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68678" w14:textId="5F73DF28" w:rsidR="009F34F8" w:rsidRDefault="009F34F8" w:rsidP="00B85941">
      <w:pPr>
        <w:pStyle w:val="CoverImage"/>
        <w:framePr w:wrap="around"/>
      </w:pPr>
    </w:p>
    <w:sdt>
      <w:sdtPr>
        <w:id w:val="-228914026"/>
        <w:docPartObj>
          <w:docPartGallery w:val="Cover Pages"/>
          <w:docPartUnique/>
        </w:docPartObj>
      </w:sdtPr>
      <w:sdtEndPr/>
      <w:sdtContent>
        <w:p w14:paraId="58855708" w14:textId="0A00E60F" w:rsidR="00B85941" w:rsidRDefault="00B85941" w:rsidP="00B85941">
          <w:pPr>
            <w:pStyle w:val="CoverImage"/>
            <w:framePr w:wrap="around"/>
          </w:pPr>
          <w:r w:rsidRPr="00F33F8D">
            <w:rPr>
              <w:noProof/>
            </w:rPr>
            <w:drawing>
              <wp:inline distT="0" distB="0" distL="0" distR="0" wp14:anchorId="3A883E02" wp14:editId="602AF329">
                <wp:extent cx="7558753" cy="2806996"/>
                <wp:effectExtent l="0" t="0" r="444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rcRect t="1308" b="1308"/>
                        <a:stretch>
                          <a:fillRect/>
                        </a:stretch>
                      </pic:blipFill>
                      <pic:spPr bwMode="auto">
                        <a:xfrm>
                          <a:off x="0" y="0"/>
                          <a:ext cx="7558753" cy="2806996"/>
                        </a:xfrm>
                        <a:prstGeom prst="rect">
                          <a:avLst/>
                        </a:prstGeom>
                        <a:ln>
                          <a:noFill/>
                        </a:ln>
                        <a:extLst>
                          <a:ext uri="{53640926-AAD7-44D8-BBD7-CCE9431645EC}">
                            <a14:shadowObscured xmlns:a14="http://schemas.microsoft.com/office/drawing/2010/main"/>
                          </a:ext>
                        </a:extLst>
                      </pic:spPr>
                    </pic:pic>
                  </a:graphicData>
                </a:graphic>
              </wp:inline>
            </w:drawing>
          </w:r>
        </w:p>
        <w:p w14:paraId="0E68A294" w14:textId="779F4CA3" w:rsidR="00B85941" w:rsidRPr="00AB5AD4" w:rsidRDefault="00841C4B" w:rsidP="00B85941">
          <w:pPr>
            <w:pStyle w:val="Coverdate"/>
            <w:framePr w:wrap="around"/>
          </w:pPr>
          <w:r>
            <w:t xml:space="preserve">May </w:t>
          </w:r>
          <w:r w:rsidR="00B85941" w:rsidRPr="00AB5AD4">
            <w:t>202</w:t>
          </w:r>
          <w:r w:rsidR="00BD4B33">
            <w:t>4</w:t>
          </w:r>
        </w:p>
        <w:p w14:paraId="5F31C4FB" w14:textId="77777777" w:rsidR="00B85941" w:rsidRPr="00461CE9" w:rsidRDefault="00B85941" w:rsidP="00B85941"/>
        <w:p w14:paraId="135EBA63" w14:textId="50B42782" w:rsidR="00B85941" w:rsidRPr="00295330" w:rsidRDefault="005712E0" w:rsidP="00B85941">
          <w:pPr>
            <w:pStyle w:val="Title"/>
            <w:ind w:right="140"/>
          </w:pPr>
          <w:r>
            <w:t>Why are investment hurdle rates so high? Risk or market power?</w:t>
          </w:r>
        </w:p>
        <w:p w14:paraId="34211C57" w14:textId="07290F27" w:rsidR="00B85941" w:rsidRPr="00295330" w:rsidRDefault="005712E0" w:rsidP="00B85941">
          <w:pPr>
            <w:pStyle w:val="Subtitle"/>
          </w:pPr>
          <w:r>
            <w:t>Staff working paper</w:t>
          </w:r>
        </w:p>
        <w:p w14:paraId="1775131F" w14:textId="77777777" w:rsidR="00BD4B33" w:rsidRDefault="00BD4B33" w:rsidP="007C7FE5">
          <w:pPr>
            <w:spacing w:after="160" w:line="336" w:lineRule="exact"/>
            <w:rPr>
              <w:color w:val="FFFFFF" w:themeColor="background1"/>
              <w:sz w:val="28"/>
              <w:szCs w:val="28"/>
            </w:rPr>
          </w:pPr>
          <w:r w:rsidRPr="00BD4B33">
            <w:rPr>
              <w:color w:val="FFFFFF" w:themeColor="background1"/>
              <w:sz w:val="28"/>
              <w:szCs w:val="28"/>
            </w:rPr>
            <w:t>Shane Evans</w:t>
          </w:r>
        </w:p>
        <w:p w14:paraId="0D7F0F45" w14:textId="77777777" w:rsidR="00BD4B33" w:rsidRDefault="00BD4B33" w:rsidP="007C7FE5">
          <w:pPr>
            <w:spacing w:after="160" w:line="336" w:lineRule="exact"/>
            <w:rPr>
              <w:color w:val="FFFFFF" w:themeColor="background1"/>
              <w:sz w:val="28"/>
              <w:szCs w:val="28"/>
            </w:rPr>
          </w:pPr>
          <w:r w:rsidRPr="00BD4B33">
            <w:rPr>
              <w:color w:val="FFFFFF" w:themeColor="background1"/>
              <w:sz w:val="28"/>
              <w:szCs w:val="28"/>
            </w:rPr>
            <w:t>Jeremy Kamil</w:t>
          </w:r>
        </w:p>
        <w:p w14:paraId="578F8570" w14:textId="77777777" w:rsidR="00BD4B33" w:rsidRDefault="00BD4B33" w:rsidP="007C7FE5">
          <w:pPr>
            <w:spacing w:after="160" w:line="336" w:lineRule="exact"/>
            <w:rPr>
              <w:color w:val="FFFFFF" w:themeColor="background1"/>
              <w:sz w:val="28"/>
              <w:szCs w:val="28"/>
            </w:rPr>
          </w:pPr>
          <w:r w:rsidRPr="00BD4B33">
            <w:rPr>
              <w:color w:val="FFFFFF" w:themeColor="background1"/>
              <w:sz w:val="28"/>
              <w:szCs w:val="28"/>
            </w:rPr>
            <w:t>James Thiris</w:t>
          </w:r>
        </w:p>
        <w:p w14:paraId="0EB763C1" w14:textId="2A51DD47" w:rsidR="00BD4B33" w:rsidRDefault="00BD4B33" w:rsidP="007C7FE5">
          <w:pPr>
            <w:spacing w:after="160" w:line="336" w:lineRule="exact"/>
            <w:rPr>
              <w:color w:val="FFFFFF" w:themeColor="background1"/>
              <w:sz w:val="28"/>
              <w:szCs w:val="28"/>
            </w:rPr>
          </w:pPr>
          <w:r w:rsidRPr="00BD4B33">
            <w:rPr>
              <w:color w:val="FFFFFF" w:themeColor="background1"/>
              <w:sz w:val="28"/>
              <w:szCs w:val="28"/>
            </w:rPr>
            <w:t>Josh Lipp</w:t>
          </w:r>
        </w:p>
        <w:p w14:paraId="1B08E563" w14:textId="13FB4B1D" w:rsidR="00B85941" w:rsidRPr="007C7FE5" w:rsidRDefault="00BD4B33" w:rsidP="007C7FE5">
          <w:pPr>
            <w:spacing w:after="160" w:line="336" w:lineRule="exact"/>
            <w:rPr>
              <w:color w:val="FFFFFF" w:themeColor="background1"/>
              <w:sz w:val="28"/>
              <w:szCs w:val="28"/>
            </w:rPr>
          </w:pPr>
          <w:r w:rsidRPr="00BD4B33">
            <w:rPr>
              <w:color w:val="FFFFFF" w:themeColor="background1"/>
              <w:sz w:val="28"/>
              <w:szCs w:val="28"/>
            </w:rPr>
            <w:t>Catherine de Fontenay</w:t>
          </w:r>
        </w:p>
        <w:p w14:paraId="3F54D856" w14:textId="77777777" w:rsidR="00B85941" w:rsidRDefault="00B85941" w:rsidP="00B85941">
          <w:pPr>
            <w:spacing w:after="160" w:line="259" w:lineRule="auto"/>
            <w:sectPr w:rsidR="00B85941" w:rsidSect="00A863A9">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2D43BFC2" wp14:editId="1B203984">
                    <wp:simplePos x="0" y="0"/>
                    <wp:positionH relativeFrom="page">
                      <wp:posOffset>721894</wp:posOffset>
                    </wp:positionH>
                    <wp:positionV relativeFrom="page">
                      <wp:posOffset>9471259</wp:posOffset>
                    </wp:positionV>
                    <wp:extent cx="2156059" cy="6115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56059" cy="611505"/>
                            </a:xfrm>
                            <a:prstGeom prst="rect">
                              <a:avLst/>
                            </a:prstGeom>
                            <a:noFill/>
                            <a:ln w="6350">
                              <a:noFill/>
                            </a:ln>
                          </wps:spPr>
                          <wps:txbx>
                            <w:txbxContent>
                              <w:p w14:paraId="6E4401B0" w14:textId="77777777" w:rsidR="00B85941" w:rsidRPr="00ED4DD9" w:rsidRDefault="00B85941" w:rsidP="00B85941">
                                <w:pPr>
                                  <w:pStyle w:val="CoverdisclaimerwhiteCover"/>
                                  <w:rPr>
                                    <w:color w:val="FFFFFF" w:themeColor="background1"/>
                                  </w:rPr>
                                </w:pPr>
                                <w:r w:rsidRPr="00ED4DD9">
                                  <w:rPr>
                                    <w:color w:val="FFFFFF" w:themeColor="background1"/>
                                  </w:rPr>
                                  <w:t>The views expressed in this paper are those of the staff involved and do not necessarily reflect the views of the Productivity Commission.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3BFC2" id="_x0000_t202" coordsize="21600,21600" o:spt="202" path="m,l,21600r21600,l21600,xe">
                    <v:stroke joinstyle="miter"/>
                    <v:path gradientshapeok="t" o:connecttype="rect"/>
                  </v:shapetype>
                  <v:shape id="Text Box 15" o:spid="_x0000_s1026" type="#_x0000_t202" style="position:absolute;margin-left:56.85pt;margin-top:745.75pt;width:169.75pt;height:48.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" filled="f" stroked="f" strokeweight=".5pt">
                    <v:textbox>
                      <w:txbxContent>
                        <w:p w14:paraId="6E4401B0" w14:textId="77777777" w:rsidR="00B85941" w:rsidRPr="00ED4DD9" w:rsidRDefault="00B85941" w:rsidP="00B85941">
                          <w:pPr>
                            <w:pStyle w:val="CoverdisclaimerwhiteCover"/>
                            <w:rPr>
                              <w:color w:val="FFFFFF" w:themeColor="background1"/>
                            </w:rPr>
                          </w:pPr>
                          <w:r w:rsidRPr="00ED4DD9">
                            <w:rPr>
                              <w:color w:val="FFFFFF" w:themeColor="background1"/>
                            </w:rPr>
                            <w:t>The views expressed in this paper are those of the staff involved and do not necessarily reflect the views of the Productivity Commission.</w:t>
                          </w:r>
                        </w:p>
                      </w:txbxContent>
                    </v:textbox>
                    <w10:wrap anchorx="page" anchory="page"/>
                  </v:shape>
                </w:pict>
              </mc:Fallback>
            </mc:AlternateContent>
          </w:r>
        </w:p>
      </w:sdtContent>
    </w:sdt>
    <w:tbl>
      <w:tblPr>
        <w:tblStyle w:val="CopyrightPage"/>
        <w:tblW w:w="0" w:type="auto"/>
        <w:tblLook w:val="04A0" w:firstRow="1" w:lastRow="0" w:firstColumn="1" w:lastColumn="0" w:noHBand="0" w:noVBand="1"/>
      </w:tblPr>
      <w:tblGrid>
        <w:gridCol w:w="9638"/>
      </w:tblGrid>
      <w:tr w:rsidR="00B85941" w14:paraId="7F67B01E" w14:textId="77777777" w:rsidTr="00ED33D7">
        <w:trPr>
          <w:trHeight w:hRule="exact" w:val="12643"/>
        </w:trPr>
        <w:tc>
          <w:tcPr>
            <w:tcW w:w="9638" w:type="dxa"/>
            <w:tcMar>
              <w:top w:w="113" w:type="dxa"/>
            </w:tcMar>
          </w:tcPr>
          <w:p w14:paraId="34FC3F1F" w14:textId="77777777" w:rsidR="00B85941" w:rsidRPr="000F4488" w:rsidRDefault="00B85941" w:rsidP="00ED33D7">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4C0E66F8" w14:textId="77777777" w:rsidR="00B85941" w:rsidRPr="00F37CB6" w:rsidRDefault="00B85941" w:rsidP="00ED33D7">
            <w:pPr>
              <w:pStyle w:val="Copyrightpage-Keylinenotext"/>
              <w:ind w:right="-284"/>
            </w:pPr>
          </w:p>
          <w:p w14:paraId="5F9128B6" w14:textId="77777777" w:rsidR="00B85941" w:rsidRPr="00D96F65" w:rsidRDefault="00B85941" w:rsidP="00ED33D7">
            <w:pPr>
              <w:pStyle w:val="Copyrightpage-Heading"/>
              <w:ind w:right="-284"/>
            </w:pPr>
            <w:r w:rsidRPr="00D96F65">
              <w:t>The Productivity Commission</w:t>
            </w:r>
          </w:p>
          <w:p w14:paraId="5ED3A82E" w14:textId="77777777" w:rsidR="00B85941" w:rsidRPr="0013722E" w:rsidRDefault="00B85941" w:rsidP="00ED33D7">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8E7D349" w14:textId="77777777" w:rsidR="00B85941" w:rsidRPr="000F4488" w:rsidRDefault="00B85941" w:rsidP="00ED33D7">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0A18AE8" w14:textId="77777777" w:rsidR="00B85941" w:rsidRPr="000F4488" w:rsidRDefault="00B85941" w:rsidP="00ED33D7">
            <w:pPr>
              <w:pStyle w:val="Copyrightpage-BodyBold"/>
            </w:pPr>
            <w:r w:rsidRPr="000561CF">
              <w:t>Further information on the Productivity Commission can be obtained from the Commission’s website (www.pc.gov.au).</w:t>
            </w:r>
          </w:p>
          <w:p w14:paraId="005ADBFF" w14:textId="77777777" w:rsidR="00B85941" w:rsidRPr="000F4488" w:rsidRDefault="00B85941" w:rsidP="00ED33D7">
            <w:pPr>
              <w:pStyle w:val="Copyrightpage-Keylinenotext"/>
              <w:ind w:right="-284"/>
              <w:rPr>
                <w:b/>
                <w:bCs/>
              </w:rPr>
            </w:pPr>
          </w:p>
          <w:p w14:paraId="38B686E6" w14:textId="18FAA6E5" w:rsidR="00B85941" w:rsidRPr="000561CF" w:rsidRDefault="00B85941" w:rsidP="00ED33D7">
            <w:pPr>
              <w:pStyle w:val="Copyrightpage-BodyBold"/>
            </w:pPr>
            <w:r w:rsidRPr="00E72EE0">
              <w:t>©</w:t>
            </w:r>
            <w:r w:rsidRPr="00137FAB">
              <w:t xml:space="preserve"> Commonwealth of Australia 202</w:t>
            </w:r>
            <w:r w:rsidR="007C7FE5">
              <w:t>4</w:t>
            </w:r>
          </w:p>
          <w:p w14:paraId="4D620769" w14:textId="77777777" w:rsidR="00B85941" w:rsidRPr="00E72EE0" w:rsidRDefault="00B85941" w:rsidP="00ED33D7">
            <w:pPr>
              <w:pStyle w:val="Copyrightpage-Heading2"/>
              <w:spacing w:before="0"/>
              <w:ind w:right="-284"/>
              <w:rPr>
                <w:bCs/>
              </w:rPr>
            </w:pPr>
            <w:r w:rsidRPr="00E72EE0">
              <w:rPr>
                <w:bCs/>
                <w:noProof/>
              </w:rPr>
              <w:drawing>
                <wp:inline distT="0" distB="0" distL="0" distR="0" wp14:anchorId="3E4B2DBB" wp14:editId="65264249">
                  <wp:extent cx="774000" cy="270000"/>
                  <wp:effectExtent l="0" t="0" r="7620" b="0"/>
                  <wp:docPr id="980822325"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44C337E9" w14:textId="77777777" w:rsidR="00B85941" w:rsidRPr="000F4488" w:rsidRDefault="00B85941" w:rsidP="00ED33D7">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1044CDA6" w14:textId="77777777" w:rsidR="00B85941" w:rsidRPr="000F4488" w:rsidRDefault="00B85941" w:rsidP="00ED33D7">
            <w:pPr>
              <w:pStyle w:val="Copyrightpage-BodyBold"/>
            </w:pPr>
            <w:r w:rsidRPr="000561CF">
              <w:t>The terms under which the Coat of Arms can be used are detailed at: www.pmc.gov.au/government/commonwealth-coat-arms.</w:t>
            </w:r>
          </w:p>
          <w:p w14:paraId="3A921147" w14:textId="77777777" w:rsidR="00B85941" w:rsidRPr="000561CF" w:rsidRDefault="00B85941" w:rsidP="00ED33D7">
            <w:pPr>
              <w:pStyle w:val="Copyrightpage-BodyBold"/>
            </w:pPr>
            <w:r w:rsidRPr="000561CF">
              <w:t>Wherever a third party holds copyright in this material the copyright remains with that party. Their permission may be required to use the material, please contact them directly.</w:t>
            </w:r>
          </w:p>
          <w:p w14:paraId="10AD9E92" w14:textId="0FA0E6D5" w:rsidR="00B85941" w:rsidRPr="006E75EA" w:rsidRDefault="00B85941" w:rsidP="00ED33D7">
            <w:pPr>
              <w:pStyle w:val="Copyrightpage-BodyBold"/>
              <w:rPr>
                <w:spacing w:val="-6"/>
              </w:rPr>
            </w:pPr>
            <w:r w:rsidRPr="006E75EA">
              <w:rPr>
                <w:spacing w:val="-6"/>
              </w:rPr>
              <w:t>An appropriate reference for this publication is:</w:t>
            </w:r>
            <w:r w:rsidRPr="006E75EA">
              <w:rPr>
                <w:spacing w:val="-6"/>
              </w:rPr>
              <w:br/>
            </w:r>
            <w:r w:rsidR="00BD4B33">
              <w:t>Evans, S, Kamil, J, Thiris</w:t>
            </w:r>
            <w:r w:rsidR="00706343">
              <w:t>,</w:t>
            </w:r>
            <w:r w:rsidR="00BD4B33">
              <w:t xml:space="preserve"> J, Lipp, J and de Fontena</w:t>
            </w:r>
            <w:r w:rsidR="00546522">
              <w:t>y,</w:t>
            </w:r>
            <w:r w:rsidR="007C7FE5">
              <w:rPr>
                <w:spacing w:val="-6"/>
              </w:rPr>
              <w:t xml:space="preserve"> C </w:t>
            </w:r>
            <w:r w:rsidRPr="006E75EA">
              <w:rPr>
                <w:spacing w:val="-6"/>
              </w:rPr>
              <w:t>202</w:t>
            </w:r>
            <w:r w:rsidR="007C7FE5">
              <w:rPr>
                <w:spacing w:val="-6"/>
              </w:rPr>
              <w:t>4</w:t>
            </w:r>
            <w:r w:rsidRPr="006E75EA">
              <w:rPr>
                <w:spacing w:val="-6"/>
              </w:rPr>
              <w:t xml:space="preserve">, </w:t>
            </w:r>
            <w:r w:rsidR="007C7FE5" w:rsidRPr="00801593">
              <w:rPr>
                <w:i/>
                <w:iCs/>
              </w:rPr>
              <w:t>Why are investment hurdle rates so high? Risk or market power?</w:t>
            </w:r>
            <w:r w:rsidRPr="006E75EA">
              <w:rPr>
                <w:spacing w:val="-6"/>
              </w:rPr>
              <w:t xml:space="preserve">, </w:t>
            </w:r>
            <w:r w:rsidR="007C7FE5">
              <w:rPr>
                <w:spacing w:val="-6"/>
              </w:rPr>
              <w:t>Staff working</w:t>
            </w:r>
            <w:r>
              <w:rPr>
                <w:spacing w:val="-6"/>
              </w:rPr>
              <w:t xml:space="preserve"> p</w:t>
            </w:r>
            <w:r w:rsidRPr="006E75EA">
              <w:rPr>
                <w:spacing w:val="-6"/>
              </w:rPr>
              <w:t>aper</w:t>
            </w:r>
            <w:r>
              <w:rPr>
                <w:spacing w:val="-6"/>
              </w:rPr>
              <w:t xml:space="preserve">, </w:t>
            </w:r>
            <w:r w:rsidRPr="006E75EA">
              <w:rPr>
                <w:spacing w:val="-6"/>
              </w:rPr>
              <w:t>Productivity Commission, Canberra</w:t>
            </w:r>
          </w:p>
          <w:p w14:paraId="6FA90F58" w14:textId="77777777" w:rsidR="00B85941" w:rsidRDefault="00B85941" w:rsidP="00ED33D7">
            <w:pPr>
              <w:pStyle w:val="Copyrightpage-BodyBold"/>
              <w:ind w:right="-284"/>
            </w:pPr>
          </w:p>
          <w:p w14:paraId="43BE87AC" w14:textId="03EACC8C" w:rsidR="00B85941" w:rsidRDefault="00B85941" w:rsidP="00ED33D7">
            <w:pPr>
              <w:pStyle w:val="Copyrightpage-BodyBold"/>
              <w:ind w:right="-284"/>
            </w:pPr>
            <w:r w:rsidRPr="00E72EE0">
              <w:t xml:space="preserve">Publication enquiries: </w:t>
            </w:r>
            <w:r>
              <w:br/>
            </w:r>
            <w:r w:rsidR="00826EF4">
              <w:t>Strategic Communications and Engagement</w:t>
            </w:r>
            <w:r w:rsidRPr="00137FAB">
              <w:t xml:space="preserve"> | 03 9653 2244 | </w:t>
            </w:r>
            <w:r w:rsidR="005A17ED">
              <w:t>p</w:t>
            </w:r>
            <w:r w:rsidRPr="00AC587D">
              <w:t>ublications@pc.gov.au</w:t>
            </w:r>
          </w:p>
        </w:tc>
      </w:tr>
    </w:tbl>
    <w:p w14:paraId="47DC588C" w14:textId="77777777" w:rsidR="00B85941" w:rsidRPr="00DA3017" w:rsidRDefault="00B85941" w:rsidP="00B85941">
      <w:pPr>
        <w:spacing w:before="0" w:after="160" w:line="259" w:lineRule="auto"/>
        <w:rPr>
          <w:b/>
          <w:color w:val="FFFFFF" w:themeColor="background1"/>
        </w:rPr>
      </w:pPr>
      <w:r>
        <w:rPr>
          <w:rStyle w:val="White"/>
          <w:b/>
        </w:rPr>
        <w:t xml:space="preserve"> </w:t>
      </w:r>
    </w:p>
    <w:p w14:paraId="6B3DD131" w14:textId="77777777" w:rsidR="00B85941" w:rsidRDefault="00B85941" w:rsidP="00B85941">
      <w:pPr>
        <w:sectPr w:rsidR="00B85941" w:rsidSect="00A863A9">
          <w:headerReference w:type="even" r:id="rId23"/>
          <w:headerReference w:type="default" r:id="rId24"/>
          <w:footerReference w:type="even" r:id="rId25"/>
          <w:footerReference w:type="default" r:id="rId26"/>
          <w:headerReference w:type="first" r:id="rId27"/>
          <w:pgSz w:w="11906" w:h="16838" w:code="9"/>
          <w:pgMar w:top="1134" w:right="1134" w:bottom="1134" w:left="1134" w:header="794" w:footer="510" w:gutter="0"/>
          <w:pgNumType w:fmt="lowerRoman" w:start="2"/>
          <w:cols w:space="708"/>
          <w:docGrid w:linePitch="360"/>
        </w:sectPr>
      </w:pPr>
    </w:p>
    <w:p w14:paraId="64F01210" w14:textId="00901337" w:rsidR="00B01117" w:rsidRPr="00E46F03" w:rsidRDefault="005712E0" w:rsidP="00E46F03">
      <w:pPr>
        <w:pStyle w:val="Heading1-nobackground"/>
      </w:pPr>
      <w:bookmarkStart w:id="0" w:name="_Toc158878723"/>
      <w:bookmarkStart w:id="1" w:name="_Toc161228805"/>
      <w:r w:rsidRPr="008E2F6D">
        <w:lastRenderedPageBreak/>
        <w:t>Contents</w:t>
      </w:r>
      <w:bookmarkEnd w:id="0"/>
      <w:bookmarkEnd w:id="1"/>
    </w:p>
    <w:p w14:paraId="322FDC96" w14:textId="7A95EB60" w:rsidR="00B01117" w:rsidRDefault="00B01117">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Pr>
          <w:noProof/>
        </w:rPr>
        <w:t>1.</w:t>
      </w:r>
      <w:r>
        <w:rPr>
          <w:rFonts w:asciiTheme="minorHAnsi" w:eastAsiaTheme="minorEastAsia" w:hAnsiTheme="minorHAnsi"/>
          <w:noProof/>
          <w:color w:val="auto"/>
          <w:kern w:val="2"/>
          <w:sz w:val="24"/>
          <w:szCs w:val="24"/>
          <w:lang w:eastAsia="en-AU"/>
          <w14:ligatures w14:val="standardContextual"/>
        </w:rPr>
        <w:tab/>
      </w:r>
      <w:r>
        <w:rPr>
          <w:noProof/>
        </w:rPr>
        <w:t>Introduction</w:t>
      </w:r>
      <w:r>
        <w:rPr>
          <w:noProof/>
          <w:webHidden/>
        </w:rPr>
        <w:tab/>
      </w:r>
      <w:r>
        <w:rPr>
          <w:noProof/>
          <w:webHidden/>
        </w:rPr>
        <w:fldChar w:fldCharType="begin"/>
      </w:r>
      <w:r>
        <w:rPr>
          <w:noProof/>
          <w:webHidden/>
        </w:rPr>
        <w:instrText xml:space="preserve"> PAGEREF _Toc161228806 \h </w:instrText>
      </w:r>
      <w:r>
        <w:rPr>
          <w:noProof/>
          <w:webHidden/>
        </w:rPr>
      </w:r>
      <w:r>
        <w:rPr>
          <w:noProof/>
          <w:webHidden/>
        </w:rPr>
        <w:fldChar w:fldCharType="separate"/>
      </w:r>
      <w:r w:rsidR="002F0EB3">
        <w:rPr>
          <w:noProof/>
          <w:webHidden/>
        </w:rPr>
        <w:t>1</w:t>
      </w:r>
      <w:r>
        <w:rPr>
          <w:noProof/>
          <w:webHidden/>
        </w:rPr>
        <w:fldChar w:fldCharType="end"/>
      </w:r>
    </w:p>
    <w:p w14:paraId="712E23EE" w14:textId="49115DC4" w:rsidR="00B01117" w:rsidRDefault="00B01117">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Selected trends in Australia</w:t>
      </w:r>
      <w:r>
        <w:rPr>
          <w:noProof/>
          <w:webHidden/>
        </w:rPr>
        <w:tab/>
      </w:r>
      <w:r>
        <w:rPr>
          <w:noProof/>
          <w:webHidden/>
        </w:rPr>
        <w:fldChar w:fldCharType="begin"/>
      </w:r>
      <w:r>
        <w:rPr>
          <w:noProof/>
          <w:webHidden/>
        </w:rPr>
        <w:instrText xml:space="preserve"> PAGEREF _Toc161228807 \h </w:instrText>
      </w:r>
      <w:r>
        <w:rPr>
          <w:noProof/>
          <w:webHidden/>
        </w:rPr>
      </w:r>
      <w:r>
        <w:rPr>
          <w:noProof/>
          <w:webHidden/>
        </w:rPr>
        <w:fldChar w:fldCharType="separate"/>
      </w:r>
      <w:r w:rsidR="002F0EB3">
        <w:rPr>
          <w:noProof/>
          <w:webHidden/>
        </w:rPr>
        <w:t>2</w:t>
      </w:r>
      <w:r>
        <w:rPr>
          <w:noProof/>
          <w:webHidden/>
        </w:rPr>
        <w:fldChar w:fldCharType="end"/>
      </w:r>
    </w:p>
    <w:p w14:paraId="12255F92" w14:textId="52CCBEA8" w:rsidR="00B01117" w:rsidRDefault="00B01117">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Evolution of the market risk premium</w:t>
      </w:r>
      <w:r>
        <w:rPr>
          <w:noProof/>
          <w:webHidden/>
        </w:rPr>
        <w:tab/>
      </w:r>
      <w:r>
        <w:rPr>
          <w:noProof/>
          <w:webHidden/>
        </w:rPr>
        <w:fldChar w:fldCharType="begin"/>
      </w:r>
      <w:r>
        <w:rPr>
          <w:noProof/>
          <w:webHidden/>
        </w:rPr>
        <w:instrText xml:space="preserve"> PAGEREF _Toc161228808 \h </w:instrText>
      </w:r>
      <w:r>
        <w:rPr>
          <w:noProof/>
          <w:webHidden/>
        </w:rPr>
      </w:r>
      <w:r>
        <w:rPr>
          <w:noProof/>
          <w:webHidden/>
        </w:rPr>
        <w:fldChar w:fldCharType="separate"/>
      </w:r>
      <w:r w:rsidR="002F0EB3">
        <w:rPr>
          <w:noProof/>
          <w:webHidden/>
        </w:rPr>
        <w:t>6</w:t>
      </w:r>
      <w:r>
        <w:rPr>
          <w:noProof/>
          <w:webHidden/>
        </w:rPr>
        <w:fldChar w:fldCharType="end"/>
      </w:r>
    </w:p>
    <w:p w14:paraId="3ED00C20" w14:textId="1F9AFB53" w:rsidR="00B01117" w:rsidRDefault="00B01117" w:rsidP="000D451E">
      <w:pPr>
        <w:pStyle w:val="TOC2"/>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 xml:space="preserve">Model </w:t>
      </w:r>
      <w:r w:rsidR="00521B82">
        <w:t>outline</w:t>
      </w:r>
      <w:r>
        <w:rPr>
          <w:webHidden/>
        </w:rPr>
        <w:tab/>
      </w:r>
      <w:r>
        <w:rPr>
          <w:webHidden/>
        </w:rPr>
        <w:fldChar w:fldCharType="begin"/>
      </w:r>
      <w:r>
        <w:rPr>
          <w:webHidden/>
        </w:rPr>
        <w:instrText xml:space="preserve"> PAGEREF _Toc161228809 \h </w:instrText>
      </w:r>
      <w:r>
        <w:rPr>
          <w:webHidden/>
        </w:rPr>
      </w:r>
      <w:r>
        <w:rPr>
          <w:webHidden/>
        </w:rPr>
        <w:fldChar w:fldCharType="separate"/>
      </w:r>
      <w:r w:rsidR="002F0EB3">
        <w:rPr>
          <w:webHidden/>
        </w:rPr>
        <w:t>6</w:t>
      </w:r>
      <w:r>
        <w:rPr>
          <w:webHidden/>
        </w:rPr>
        <w:fldChar w:fldCharType="end"/>
      </w:r>
    </w:p>
    <w:p w14:paraId="4E6E0848" w14:textId="37CB5870" w:rsidR="00B01117" w:rsidRDefault="00B01117" w:rsidP="000D451E">
      <w:pPr>
        <w:pStyle w:val="TOC2"/>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Results</w:t>
      </w:r>
      <w:r>
        <w:rPr>
          <w:webHidden/>
        </w:rPr>
        <w:tab/>
      </w:r>
      <w:r>
        <w:rPr>
          <w:webHidden/>
        </w:rPr>
        <w:fldChar w:fldCharType="begin"/>
      </w:r>
      <w:r>
        <w:rPr>
          <w:webHidden/>
        </w:rPr>
        <w:instrText xml:space="preserve"> PAGEREF _Toc161228810 \h </w:instrText>
      </w:r>
      <w:r>
        <w:rPr>
          <w:webHidden/>
        </w:rPr>
      </w:r>
      <w:r>
        <w:rPr>
          <w:webHidden/>
        </w:rPr>
        <w:fldChar w:fldCharType="separate"/>
      </w:r>
      <w:r w:rsidR="002F0EB3">
        <w:rPr>
          <w:webHidden/>
        </w:rPr>
        <w:t>8</w:t>
      </w:r>
      <w:r>
        <w:rPr>
          <w:webHidden/>
        </w:rPr>
        <w:fldChar w:fldCharType="end"/>
      </w:r>
    </w:p>
    <w:p w14:paraId="6E409822" w14:textId="6DE50900" w:rsidR="00B01117" w:rsidRDefault="00B01117">
      <w:pPr>
        <w:pStyle w:val="TOC1"/>
        <w:rPr>
          <w:rFonts w:asciiTheme="minorHAnsi" w:eastAsiaTheme="minorEastAsia" w:hAnsiTheme="minorHAnsi"/>
          <w:noProof/>
          <w:color w:val="auto"/>
          <w:kern w:val="2"/>
          <w:sz w:val="24"/>
          <w:szCs w:val="24"/>
          <w:lang w:eastAsia="en-AU"/>
          <w14:ligatures w14:val="standardContextual"/>
        </w:rPr>
      </w:pPr>
      <w:r>
        <w:rPr>
          <w:noProof/>
        </w:rPr>
        <w:t>4.</w:t>
      </w:r>
      <w:r>
        <w:rPr>
          <w:rFonts w:asciiTheme="minorHAnsi" w:eastAsiaTheme="minorEastAsia" w:hAnsiTheme="minorHAnsi"/>
          <w:noProof/>
          <w:color w:val="auto"/>
          <w:kern w:val="2"/>
          <w:sz w:val="24"/>
          <w:szCs w:val="24"/>
          <w:lang w:eastAsia="en-AU"/>
          <w14:ligatures w14:val="standardContextual"/>
        </w:rPr>
        <w:tab/>
      </w:r>
      <w:r>
        <w:rPr>
          <w:noProof/>
        </w:rPr>
        <w:t>Discussion of the results</w:t>
      </w:r>
      <w:r>
        <w:rPr>
          <w:noProof/>
          <w:webHidden/>
        </w:rPr>
        <w:tab/>
      </w:r>
      <w:r>
        <w:rPr>
          <w:noProof/>
          <w:webHidden/>
        </w:rPr>
        <w:fldChar w:fldCharType="begin"/>
      </w:r>
      <w:r>
        <w:rPr>
          <w:noProof/>
          <w:webHidden/>
        </w:rPr>
        <w:instrText xml:space="preserve"> PAGEREF _Toc161228811 \h </w:instrText>
      </w:r>
      <w:r>
        <w:rPr>
          <w:noProof/>
          <w:webHidden/>
        </w:rPr>
      </w:r>
      <w:r>
        <w:rPr>
          <w:noProof/>
          <w:webHidden/>
        </w:rPr>
        <w:fldChar w:fldCharType="separate"/>
      </w:r>
      <w:r w:rsidR="002F0EB3">
        <w:rPr>
          <w:noProof/>
          <w:webHidden/>
        </w:rPr>
        <w:t>12</w:t>
      </w:r>
      <w:r>
        <w:rPr>
          <w:noProof/>
          <w:webHidden/>
        </w:rPr>
        <w:fldChar w:fldCharType="end"/>
      </w:r>
    </w:p>
    <w:p w14:paraId="3F19325C" w14:textId="74F04614" w:rsidR="00B01117" w:rsidRDefault="00B01117" w:rsidP="000D451E">
      <w:pPr>
        <w:pStyle w:val="TOC2"/>
        <w:rPr>
          <w:rFonts w:eastAsiaTheme="minorEastAsia"/>
          <w:kern w:val="2"/>
          <w:sz w:val="24"/>
          <w:szCs w:val="24"/>
          <w:lang w:eastAsia="en-AU"/>
          <w14:ligatures w14:val="standardContextual"/>
        </w:rPr>
      </w:pPr>
      <w:r>
        <w:t>4.1</w:t>
      </w:r>
      <w:r>
        <w:rPr>
          <w:rFonts w:eastAsiaTheme="minorEastAsia"/>
          <w:kern w:val="2"/>
          <w:sz w:val="24"/>
          <w:szCs w:val="24"/>
          <w:lang w:eastAsia="en-AU"/>
          <w14:ligatures w14:val="standardContextual"/>
        </w:rPr>
        <w:tab/>
      </w:r>
      <w:r>
        <w:t>Risk</w:t>
      </w:r>
      <w:r>
        <w:rPr>
          <w:webHidden/>
        </w:rPr>
        <w:tab/>
      </w:r>
      <w:r>
        <w:rPr>
          <w:webHidden/>
        </w:rPr>
        <w:fldChar w:fldCharType="begin"/>
      </w:r>
      <w:r>
        <w:rPr>
          <w:webHidden/>
        </w:rPr>
        <w:instrText xml:space="preserve"> PAGEREF _Toc161228812 \h </w:instrText>
      </w:r>
      <w:r>
        <w:rPr>
          <w:webHidden/>
        </w:rPr>
      </w:r>
      <w:r>
        <w:rPr>
          <w:webHidden/>
        </w:rPr>
        <w:fldChar w:fldCharType="separate"/>
      </w:r>
      <w:r w:rsidR="002F0EB3">
        <w:rPr>
          <w:webHidden/>
        </w:rPr>
        <w:t>12</w:t>
      </w:r>
      <w:r>
        <w:rPr>
          <w:webHidden/>
        </w:rPr>
        <w:fldChar w:fldCharType="end"/>
      </w:r>
    </w:p>
    <w:p w14:paraId="44ADBD60" w14:textId="3E318583" w:rsidR="00B01117" w:rsidRDefault="00B01117" w:rsidP="000D451E">
      <w:pPr>
        <w:pStyle w:val="TOC2"/>
        <w:rPr>
          <w:rFonts w:eastAsiaTheme="minorEastAsia"/>
          <w:kern w:val="2"/>
          <w:sz w:val="24"/>
          <w:szCs w:val="24"/>
          <w:lang w:eastAsia="en-AU"/>
          <w14:ligatures w14:val="standardContextual"/>
        </w:rPr>
      </w:pPr>
      <w:r>
        <w:t>4.2</w:t>
      </w:r>
      <w:r>
        <w:rPr>
          <w:rFonts w:eastAsiaTheme="minorEastAsia"/>
          <w:kern w:val="2"/>
          <w:sz w:val="24"/>
          <w:szCs w:val="24"/>
          <w:lang w:eastAsia="en-AU"/>
          <w14:ligatures w14:val="standardContextual"/>
        </w:rPr>
        <w:tab/>
      </w:r>
      <w:r>
        <w:t>The role of market power</w:t>
      </w:r>
      <w:r>
        <w:rPr>
          <w:webHidden/>
        </w:rPr>
        <w:tab/>
      </w:r>
      <w:r>
        <w:rPr>
          <w:webHidden/>
        </w:rPr>
        <w:fldChar w:fldCharType="begin"/>
      </w:r>
      <w:r>
        <w:rPr>
          <w:webHidden/>
        </w:rPr>
        <w:instrText xml:space="preserve"> PAGEREF _Toc161228813 \h </w:instrText>
      </w:r>
      <w:r>
        <w:rPr>
          <w:webHidden/>
        </w:rPr>
      </w:r>
      <w:r>
        <w:rPr>
          <w:webHidden/>
        </w:rPr>
        <w:fldChar w:fldCharType="separate"/>
      </w:r>
      <w:r w:rsidR="002F0EB3">
        <w:rPr>
          <w:webHidden/>
        </w:rPr>
        <w:t>14</w:t>
      </w:r>
      <w:r>
        <w:rPr>
          <w:webHidden/>
        </w:rPr>
        <w:fldChar w:fldCharType="end"/>
      </w:r>
    </w:p>
    <w:p w14:paraId="5846F06D" w14:textId="64F12425" w:rsidR="00B01117" w:rsidRDefault="00B01117" w:rsidP="000D451E">
      <w:pPr>
        <w:pStyle w:val="TOC2"/>
        <w:rPr>
          <w:rFonts w:eastAsiaTheme="minorEastAsia"/>
          <w:kern w:val="2"/>
          <w:sz w:val="24"/>
          <w:szCs w:val="24"/>
          <w:lang w:eastAsia="en-AU"/>
          <w14:ligatures w14:val="standardContextual"/>
        </w:rPr>
      </w:pPr>
      <w:r>
        <w:t>4.3</w:t>
      </w:r>
      <w:r>
        <w:rPr>
          <w:rFonts w:eastAsiaTheme="minorEastAsia"/>
          <w:kern w:val="2"/>
          <w:sz w:val="24"/>
          <w:szCs w:val="24"/>
          <w:lang w:eastAsia="en-AU"/>
          <w14:ligatures w14:val="standardContextual"/>
        </w:rPr>
        <w:tab/>
      </w:r>
      <w:r>
        <w:t>The risk free rate</w:t>
      </w:r>
      <w:r>
        <w:rPr>
          <w:webHidden/>
        </w:rPr>
        <w:tab/>
      </w:r>
      <w:r>
        <w:rPr>
          <w:webHidden/>
        </w:rPr>
        <w:fldChar w:fldCharType="begin"/>
      </w:r>
      <w:r>
        <w:rPr>
          <w:webHidden/>
        </w:rPr>
        <w:instrText xml:space="preserve"> PAGEREF _Toc161228814 \h </w:instrText>
      </w:r>
      <w:r>
        <w:rPr>
          <w:webHidden/>
        </w:rPr>
      </w:r>
      <w:r>
        <w:rPr>
          <w:webHidden/>
        </w:rPr>
        <w:fldChar w:fldCharType="separate"/>
      </w:r>
      <w:r w:rsidR="002F0EB3">
        <w:rPr>
          <w:webHidden/>
        </w:rPr>
        <w:t>15</w:t>
      </w:r>
      <w:r>
        <w:rPr>
          <w:webHidden/>
        </w:rPr>
        <w:fldChar w:fldCharType="end"/>
      </w:r>
    </w:p>
    <w:p w14:paraId="34827CA9" w14:textId="50BBF02E" w:rsidR="00B01117" w:rsidRDefault="00B01117">
      <w:pPr>
        <w:pStyle w:val="TOC1"/>
        <w:rPr>
          <w:rFonts w:asciiTheme="minorHAnsi" w:eastAsiaTheme="minorEastAsia" w:hAnsiTheme="minorHAnsi"/>
          <w:noProof/>
          <w:color w:val="auto"/>
          <w:kern w:val="2"/>
          <w:sz w:val="24"/>
          <w:szCs w:val="24"/>
          <w:lang w:eastAsia="en-AU"/>
          <w14:ligatures w14:val="standardContextual"/>
        </w:rPr>
      </w:pPr>
      <w:r>
        <w:rPr>
          <w:noProof/>
        </w:rPr>
        <w:t>5.</w:t>
      </w:r>
      <w:r>
        <w:rPr>
          <w:rFonts w:asciiTheme="minorHAnsi" w:eastAsiaTheme="minorEastAsia" w:hAnsiTheme="minorHAnsi"/>
          <w:noProof/>
          <w:color w:val="auto"/>
          <w:kern w:val="2"/>
          <w:sz w:val="24"/>
          <w:szCs w:val="24"/>
          <w:lang w:eastAsia="en-AU"/>
          <w14:ligatures w14:val="standardContextual"/>
        </w:rPr>
        <w:tab/>
      </w:r>
      <w:r>
        <w:rPr>
          <w:noProof/>
        </w:rPr>
        <w:t>Conclusion</w:t>
      </w:r>
      <w:r>
        <w:rPr>
          <w:noProof/>
          <w:webHidden/>
        </w:rPr>
        <w:tab/>
      </w:r>
      <w:r>
        <w:rPr>
          <w:noProof/>
          <w:webHidden/>
        </w:rPr>
        <w:fldChar w:fldCharType="begin"/>
      </w:r>
      <w:r>
        <w:rPr>
          <w:noProof/>
          <w:webHidden/>
        </w:rPr>
        <w:instrText xml:space="preserve"> PAGEREF _Toc161228815 \h </w:instrText>
      </w:r>
      <w:r>
        <w:rPr>
          <w:noProof/>
          <w:webHidden/>
        </w:rPr>
      </w:r>
      <w:r>
        <w:rPr>
          <w:noProof/>
          <w:webHidden/>
        </w:rPr>
        <w:fldChar w:fldCharType="separate"/>
      </w:r>
      <w:r w:rsidR="002F0EB3">
        <w:rPr>
          <w:noProof/>
          <w:webHidden/>
        </w:rPr>
        <w:t>16</w:t>
      </w:r>
      <w:r>
        <w:rPr>
          <w:noProof/>
          <w:webHidden/>
        </w:rPr>
        <w:fldChar w:fldCharType="end"/>
      </w:r>
    </w:p>
    <w:p w14:paraId="0CF52AED" w14:textId="15D96B06" w:rsidR="00B01117" w:rsidRDefault="00B01117">
      <w:pPr>
        <w:pStyle w:val="TOC1"/>
        <w:rPr>
          <w:rFonts w:asciiTheme="minorHAnsi" w:eastAsiaTheme="minorEastAsia" w:hAnsiTheme="minorHAnsi"/>
          <w:noProof/>
          <w:color w:val="auto"/>
          <w:kern w:val="2"/>
          <w:sz w:val="24"/>
          <w:szCs w:val="24"/>
          <w:lang w:eastAsia="en-AU"/>
          <w14:ligatures w14:val="standardContextual"/>
        </w:rPr>
      </w:pPr>
      <w:r>
        <w:rPr>
          <w:noProof/>
        </w:rPr>
        <w:t>Appendix</w:t>
      </w:r>
      <w:r>
        <w:rPr>
          <w:noProof/>
          <w:webHidden/>
        </w:rPr>
        <w:tab/>
      </w:r>
      <w:r>
        <w:rPr>
          <w:noProof/>
          <w:webHidden/>
        </w:rPr>
        <w:fldChar w:fldCharType="begin"/>
      </w:r>
      <w:r>
        <w:rPr>
          <w:noProof/>
          <w:webHidden/>
        </w:rPr>
        <w:instrText xml:space="preserve"> PAGEREF _Toc161228816 \h </w:instrText>
      </w:r>
      <w:r>
        <w:rPr>
          <w:noProof/>
          <w:webHidden/>
        </w:rPr>
      </w:r>
      <w:r>
        <w:rPr>
          <w:noProof/>
          <w:webHidden/>
        </w:rPr>
        <w:fldChar w:fldCharType="separate"/>
      </w:r>
      <w:r w:rsidR="002F0EB3">
        <w:rPr>
          <w:noProof/>
          <w:webHidden/>
        </w:rPr>
        <w:t>17</w:t>
      </w:r>
      <w:r>
        <w:rPr>
          <w:noProof/>
          <w:webHidden/>
        </w:rPr>
        <w:fldChar w:fldCharType="end"/>
      </w:r>
    </w:p>
    <w:p w14:paraId="347C7D2C" w14:textId="75806B31" w:rsidR="00B01117" w:rsidRDefault="00B01117" w:rsidP="000D451E">
      <w:pPr>
        <w:pStyle w:val="TOC2"/>
        <w:rPr>
          <w:rFonts w:eastAsiaTheme="minorEastAsia"/>
          <w:kern w:val="2"/>
          <w:sz w:val="24"/>
          <w:szCs w:val="24"/>
          <w:lang w:eastAsia="en-AU"/>
          <w14:ligatures w14:val="standardContextual"/>
        </w:rPr>
      </w:pPr>
      <w:r>
        <w:t>A.1</w:t>
      </w:r>
      <w:r>
        <w:rPr>
          <w:rFonts w:eastAsiaTheme="minorEastAsia"/>
          <w:kern w:val="2"/>
          <w:sz w:val="24"/>
          <w:szCs w:val="24"/>
          <w:lang w:eastAsia="en-AU"/>
          <w14:ligatures w14:val="standardContextual"/>
        </w:rPr>
        <w:tab/>
      </w:r>
      <w:r>
        <w:t>Data dictionary</w:t>
      </w:r>
      <w:r>
        <w:rPr>
          <w:webHidden/>
        </w:rPr>
        <w:tab/>
      </w:r>
      <w:r>
        <w:rPr>
          <w:webHidden/>
        </w:rPr>
        <w:fldChar w:fldCharType="begin"/>
      </w:r>
      <w:r>
        <w:rPr>
          <w:webHidden/>
        </w:rPr>
        <w:instrText xml:space="preserve"> PAGEREF _Toc161228817 \h </w:instrText>
      </w:r>
      <w:r>
        <w:rPr>
          <w:webHidden/>
        </w:rPr>
      </w:r>
      <w:r>
        <w:rPr>
          <w:webHidden/>
        </w:rPr>
        <w:fldChar w:fldCharType="separate"/>
      </w:r>
      <w:r w:rsidR="002F0EB3">
        <w:rPr>
          <w:webHidden/>
        </w:rPr>
        <w:t>17</w:t>
      </w:r>
      <w:r>
        <w:rPr>
          <w:webHidden/>
        </w:rPr>
        <w:fldChar w:fldCharType="end"/>
      </w:r>
    </w:p>
    <w:p w14:paraId="26DAC7DE" w14:textId="5909B914" w:rsidR="00B01117" w:rsidRDefault="00B01117" w:rsidP="000D451E">
      <w:pPr>
        <w:pStyle w:val="TOC2"/>
        <w:rPr>
          <w:rFonts w:eastAsiaTheme="minorEastAsia"/>
          <w:kern w:val="2"/>
          <w:sz w:val="24"/>
          <w:szCs w:val="24"/>
          <w:lang w:eastAsia="en-AU"/>
          <w14:ligatures w14:val="standardContextual"/>
        </w:rPr>
      </w:pPr>
      <w:r>
        <w:t>A.2</w:t>
      </w:r>
      <w:r>
        <w:rPr>
          <w:rFonts w:eastAsiaTheme="minorEastAsia"/>
          <w:kern w:val="2"/>
          <w:sz w:val="24"/>
          <w:szCs w:val="24"/>
          <w:lang w:eastAsia="en-AU"/>
          <w14:ligatures w14:val="standardContextual"/>
        </w:rPr>
        <w:tab/>
      </w:r>
      <w:r>
        <w:t>Model extensions</w:t>
      </w:r>
      <w:r>
        <w:rPr>
          <w:webHidden/>
        </w:rPr>
        <w:tab/>
      </w:r>
      <w:r>
        <w:rPr>
          <w:webHidden/>
        </w:rPr>
        <w:fldChar w:fldCharType="begin"/>
      </w:r>
      <w:r>
        <w:rPr>
          <w:webHidden/>
        </w:rPr>
        <w:instrText xml:space="preserve"> PAGEREF _Toc161228818 \h </w:instrText>
      </w:r>
      <w:r>
        <w:rPr>
          <w:webHidden/>
        </w:rPr>
      </w:r>
      <w:r>
        <w:rPr>
          <w:webHidden/>
        </w:rPr>
        <w:fldChar w:fldCharType="separate"/>
      </w:r>
      <w:r w:rsidR="002F0EB3">
        <w:rPr>
          <w:webHidden/>
        </w:rPr>
        <w:t>18</w:t>
      </w:r>
      <w:r>
        <w:rPr>
          <w:webHidden/>
        </w:rPr>
        <w:fldChar w:fldCharType="end"/>
      </w:r>
    </w:p>
    <w:p w14:paraId="3232630B" w14:textId="66401EFD" w:rsidR="00B01117" w:rsidRDefault="00B01117">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_Toc161228819 \h </w:instrText>
      </w:r>
      <w:r>
        <w:rPr>
          <w:noProof/>
          <w:webHidden/>
        </w:rPr>
      </w:r>
      <w:r>
        <w:rPr>
          <w:noProof/>
          <w:webHidden/>
        </w:rPr>
        <w:fldChar w:fldCharType="separate"/>
      </w:r>
      <w:r w:rsidR="002F0EB3">
        <w:rPr>
          <w:noProof/>
          <w:webHidden/>
        </w:rPr>
        <w:t>20</w:t>
      </w:r>
      <w:r>
        <w:rPr>
          <w:noProof/>
          <w:webHidden/>
        </w:rPr>
        <w:fldChar w:fldCharType="end"/>
      </w:r>
    </w:p>
    <w:p w14:paraId="55E275EE" w14:textId="14F34214" w:rsidR="00B01117" w:rsidRDefault="00B01117" w:rsidP="00BD4B33">
      <w:pPr>
        <w:pStyle w:val="BodyText"/>
      </w:pPr>
      <w:r>
        <w:rPr>
          <w:sz w:val="18"/>
        </w:rPr>
        <w:fldChar w:fldCharType="end"/>
      </w:r>
    </w:p>
    <w:p w14:paraId="44209682" w14:textId="6C5B23CC" w:rsidR="00BD4B33" w:rsidRPr="00BD4B33" w:rsidRDefault="00BD4B33" w:rsidP="00BD4B33">
      <w:pPr>
        <w:pStyle w:val="BodyText"/>
        <w:sectPr w:rsidR="00BD4B33" w:rsidRPr="00BD4B33" w:rsidSect="00A863A9">
          <w:headerReference w:type="even" r:id="rId28"/>
          <w:headerReference w:type="default" r:id="rId29"/>
          <w:footerReference w:type="even" r:id="rId30"/>
          <w:footerReference w:type="default" r:id="rId31"/>
          <w:headerReference w:type="first" r:id="rId32"/>
          <w:footerReference w:type="first" r:id="rId33"/>
          <w:pgSz w:w="11907" w:h="16840" w:code="9"/>
          <w:pgMar w:top="1985" w:right="1304" w:bottom="1247" w:left="1814" w:header="794" w:footer="510" w:gutter="0"/>
          <w:pgNumType w:fmt="lowerRoman" w:chapSep="period"/>
          <w:cols w:space="720"/>
          <w:docGrid w:linePitch="326"/>
        </w:sectPr>
      </w:pPr>
    </w:p>
    <w:p w14:paraId="6CF2C3D8" w14:textId="03DB72A8" w:rsidR="006D2565" w:rsidRDefault="006D2565" w:rsidP="008369F9">
      <w:pPr>
        <w:pStyle w:val="Heading1-nobackground"/>
        <w:numPr>
          <w:ilvl w:val="0"/>
          <w:numId w:val="15"/>
        </w:numPr>
        <w:ind w:left="720"/>
      </w:pPr>
      <w:bookmarkStart w:id="2" w:name="_Toc158878725"/>
      <w:bookmarkStart w:id="3" w:name="_Toc161228806"/>
      <w:r w:rsidRPr="00225A64">
        <w:lastRenderedPageBreak/>
        <w:t>Introduction</w:t>
      </w:r>
      <w:bookmarkEnd w:id="2"/>
      <w:r w:rsidR="008F201B" w:rsidRPr="00387807">
        <w:rPr>
          <w:rStyle w:val="FootnoteReference"/>
        </w:rPr>
        <w:footnoteReference w:id="2"/>
      </w:r>
      <w:bookmarkEnd w:id="3"/>
    </w:p>
    <w:p w14:paraId="61E3FE5A" w14:textId="5E33BD06" w:rsidR="006D2565" w:rsidRPr="0094315B" w:rsidRDefault="006D2565" w:rsidP="006D2565">
      <w:pPr>
        <w:pStyle w:val="BodyText"/>
        <w:rPr>
          <w:spacing w:val="-4"/>
        </w:rPr>
      </w:pPr>
      <w:r w:rsidRPr="0094315B">
        <w:rPr>
          <w:spacing w:val="-4"/>
        </w:rPr>
        <w:t xml:space="preserve">Stagnating investment remains one of the major puzzles of the period between the Global Financial Crisis (GFC) and the COVID-19 pandemic. Capital investment and corporate risk-taking were subdued, even </w:t>
      </w:r>
      <w:r w:rsidR="0010371D">
        <w:rPr>
          <w:spacing w:val="-4"/>
        </w:rPr>
        <w:t>when</w:t>
      </w:r>
      <w:r w:rsidRPr="0094315B">
        <w:rPr>
          <w:spacing w:val="-4"/>
        </w:rPr>
        <w:t xml:space="preserve"> interest rates were at historically low levels (Edwards and Lane 2021).</w:t>
      </w:r>
    </w:p>
    <w:p w14:paraId="02A1B005" w14:textId="3FA288D3" w:rsidR="006D2565" w:rsidRDefault="006D2565" w:rsidP="006D2565">
      <w:pPr>
        <w:pStyle w:val="BodyText"/>
      </w:pPr>
      <w:r>
        <w:t>Research by the Reserve Bank of Australia concluded that h</w:t>
      </w:r>
      <w:r w:rsidRPr="00BE4CBC">
        <w:t>urdle rate</w:t>
      </w:r>
      <w:r>
        <w:t xml:space="preserve">s </w:t>
      </w:r>
      <w:r w:rsidRPr="00BE4CBC">
        <w:t>on investment projects</w:t>
      </w:r>
      <w:r>
        <w:t xml:space="preserve"> (the required rate of return before a firm is willing to invest)</w:t>
      </w:r>
      <w:r w:rsidRPr="00BE4CBC">
        <w:t xml:space="preserve"> </w:t>
      </w:r>
      <w:r>
        <w:t>r</w:t>
      </w:r>
      <w:r w:rsidRPr="00BE4CBC">
        <w:t xml:space="preserve">emained high even </w:t>
      </w:r>
      <w:r>
        <w:t>while</w:t>
      </w:r>
      <w:r w:rsidRPr="00BE4CBC">
        <w:t xml:space="preserve"> interest rates and the cost of capital</w:t>
      </w:r>
      <w:r>
        <w:t xml:space="preserve"> were at unprecedentedly low levels </w:t>
      </w:r>
      <w:r w:rsidRPr="00BE4CBC">
        <w:t>(</w:t>
      </w:r>
      <w:r>
        <w:t>Edwards and Lane</w:t>
      </w:r>
      <w:r w:rsidRPr="00BE4CBC">
        <w:t xml:space="preserve"> 2021)</w:t>
      </w:r>
      <w:r>
        <w:t xml:space="preserve">. As a result, the wedge between the return on private capital and the risk-free rate grew considerably. </w:t>
      </w:r>
      <w:r w:rsidR="007C238C">
        <w:t xml:space="preserve">If </w:t>
      </w:r>
      <w:r w:rsidR="002A72FD">
        <w:t xml:space="preserve">hurdle rates </w:t>
      </w:r>
      <w:r w:rsidR="00FB42D2">
        <w:t>underwent</w:t>
      </w:r>
      <w:r w:rsidR="002A72FD">
        <w:t xml:space="preserve"> a structural shif</w:t>
      </w:r>
      <w:r w:rsidR="00FA593F">
        <w:t>t</w:t>
      </w:r>
      <w:r w:rsidR="00FB42D2">
        <w:t xml:space="preserve"> after the GFC</w:t>
      </w:r>
      <w:r w:rsidR="002A72FD">
        <w:t>, permanently increasing the wedge between the risk-free rate and the hurdle rate</w:t>
      </w:r>
      <w:r w:rsidR="00D101BC">
        <w:t xml:space="preserve">, then investment </w:t>
      </w:r>
      <w:r w:rsidR="002928E3">
        <w:t>h</w:t>
      </w:r>
      <w:r w:rsidR="00CF7B3F">
        <w:t>as been</w:t>
      </w:r>
      <w:r w:rsidR="00D101BC">
        <w:t xml:space="preserve"> lower than it would otherwise b</w:t>
      </w:r>
      <w:r w:rsidR="00FB42D2">
        <w:t>e since the GFC</w:t>
      </w:r>
      <w:r w:rsidR="00287E5A">
        <w:t xml:space="preserve">, and </w:t>
      </w:r>
      <w:r w:rsidR="00DF23A4">
        <w:t xml:space="preserve">investment is likely to </w:t>
      </w:r>
      <w:r w:rsidR="00CF4024">
        <w:t>decline</w:t>
      </w:r>
      <w:r w:rsidR="00B16999">
        <w:t xml:space="preserve"> </w:t>
      </w:r>
      <w:r w:rsidR="00F765F9">
        <w:t xml:space="preserve">in the </w:t>
      </w:r>
      <w:r w:rsidR="00016C33">
        <w:t>current environment of high interest rates</w:t>
      </w:r>
      <w:r w:rsidR="00431237">
        <w:t>.</w:t>
      </w:r>
      <w:r w:rsidR="002A72FD">
        <w:t xml:space="preserve"> </w:t>
      </w:r>
      <w:r w:rsidR="00CA68B8">
        <w:t>Lower</w:t>
      </w:r>
      <w:r w:rsidR="00CF4024">
        <w:t xml:space="preserve"> investment </w:t>
      </w:r>
      <w:r w:rsidR="00CA68B8">
        <w:t>has</w:t>
      </w:r>
      <w:r w:rsidR="00CF4024">
        <w:t xml:space="preserve"> serious</w:t>
      </w:r>
      <w:r w:rsidR="00D83D13">
        <w:t xml:space="preserve"> negative consequences for productivity growth and</w:t>
      </w:r>
      <w:r w:rsidR="00EA66D1">
        <w:t xml:space="preserve"> </w:t>
      </w:r>
      <w:r w:rsidR="004C1464">
        <w:t>income growth</w:t>
      </w:r>
      <w:r w:rsidR="000E7116">
        <w:t xml:space="preserve">, </w:t>
      </w:r>
      <w:r w:rsidR="00A9190F">
        <w:t>because</w:t>
      </w:r>
      <w:r w:rsidR="000E7116">
        <w:t xml:space="preserve"> most technological change is embodied in investment</w:t>
      </w:r>
      <w:r w:rsidR="00D83D13">
        <w:t>.</w:t>
      </w:r>
    </w:p>
    <w:p w14:paraId="0FEA63D2" w14:textId="087989D9" w:rsidR="006D2565" w:rsidRDefault="006D2565" w:rsidP="006D2565">
      <w:pPr>
        <w:pStyle w:val="BodyText"/>
      </w:pPr>
      <w:r>
        <w:t>A larger wedge between the return on private capital and risk</w:t>
      </w:r>
      <w:r w:rsidR="001456E4">
        <w:t>-</w:t>
      </w:r>
      <w:r>
        <w:t xml:space="preserve">free returns could be driven by a rising risk premium. A basic tenet of investor behaviour is that investors require compensation for bearing risk. The compensation is typically referred to as a ‘risk premium’, measured as the additional return above the risk-free rate. (The </w:t>
      </w:r>
      <w:r w:rsidRPr="4A7C9C5B">
        <w:rPr>
          <w:i/>
          <w:iCs/>
        </w:rPr>
        <w:t>market</w:t>
      </w:r>
      <w:r>
        <w:t xml:space="preserve"> risk premium is the difference between the returns on a fully diversified portfolio of equities and the risk-free rate.) If investors perceived the business environment to be</w:t>
      </w:r>
      <w:r w:rsidR="001456E4">
        <w:t xml:space="preserve"> </w:t>
      </w:r>
      <w:r>
        <w:t>risk</w:t>
      </w:r>
      <w:r w:rsidR="001456E4">
        <w:t>ier</w:t>
      </w:r>
      <w:r>
        <w:t xml:space="preserve"> since the GFC, or if their risk aversion increased, they would require higher compensation to invest. </w:t>
      </w:r>
    </w:p>
    <w:p w14:paraId="2E042504" w14:textId="3AA96372" w:rsidR="006D2565" w:rsidRDefault="006D2565" w:rsidP="006D2565">
      <w:pPr>
        <w:pStyle w:val="BodyText"/>
      </w:pPr>
      <w:r>
        <w:t>However, Farhi and Gourio (2019) point out that the larger wedge could be driven by increases in market power instead. They argue that firms experiencing high profits from their existing market power will not invest to expand output and lower profits and prices. Implicitly firms behave as if they face a high hurdle rate.</w:t>
      </w:r>
      <w:r w:rsidRPr="00387807">
        <w:rPr>
          <w:rStyle w:val="FootnoteReference"/>
        </w:rPr>
        <w:footnoteReference w:id="3"/>
      </w:r>
      <w:r>
        <w:t xml:space="preserve"> </w:t>
      </w:r>
    </w:p>
    <w:p w14:paraId="700CDDFF" w14:textId="6E8C76A2" w:rsidR="006D2565" w:rsidRPr="0094315B" w:rsidRDefault="006D2565" w:rsidP="006D2565">
      <w:pPr>
        <w:pStyle w:val="BodyText"/>
        <w:rPr>
          <w:spacing w:val="-2"/>
        </w:rPr>
      </w:pPr>
      <w:r w:rsidRPr="0094315B">
        <w:rPr>
          <w:spacing w:val="-2"/>
        </w:rPr>
        <w:t xml:space="preserve">Farhi and Gourio present a novel methodology for identifying how much of the larger wedge between private capital returns and risk-free returns is attributable to a rising risk premium, and how much is attributable to rising market power. Their unifying framework can account for broad trends in gross profitability, the gross capital share, the investment-capital ratio, the price-dividend ratio, and the wedge between the return to private capital and the risk-free rate. </w:t>
      </w:r>
      <w:r>
        <w:t>And given that (with some simplifying assumptions) they obtain closed-form expressions for these variables,</w:t>
      </w:r>
      <w:r w:rsidRPr="0094315B">
        <w:rPr>
          <w:spacing w:val="-2"/>
        </w:rPr>
        <w:t xml:space="preserve"> </w:t>
      </w:r>
      <w:r>
        <w:t xml:space="preserve">the </w:t>
      </w:r>
      <w:r w:rsidRPr="0094315B">
        <w:rPr>
          <w:spacing w:val="-2"/>
        </w:rPr>
        <w:t xml:space="preserve">link between the risk premium and market power and these variables is made explicit. They find that in the United States, the increased wedge between the return on private capital and the risk-free rate is partly due to a rising risk premium, but </w:t>
      </w:r>
      <w:r w:rsidR="00662349">
        <w:rPr>
          <w:spacing w:val="-2"/>
        </w:rPr>
        <w:t xml:space="preserve">it </w:t>
      </w:r>
      <w:r w:rsidRPr="0094315B">
        <w:rPr>
          <w:spacing w:val="-2"/>
        </w:rPr>
        <w:t xml:space="preserve">is also due to rising market power. </w:t>
      </w:r>
    </w:p>
    <w:p w14:paraId="38AD6DC8" w14:textId="04F4AFC1" w:rsidR="006D2565" w:rsidRDefault="006D2565" w:rsidP="006D2565">
      <w:pPr>
        <w:pStyle w:val="BodyText"/>
      </w:pPr>
      <w:r>
        <w:t xml:space="preserve">We reproduce the Farhi and Gourio estimation for Australia. We find that a rising market risk premium explains the high hurdle rate since the GFC. Interestingly, however, our estimation suggests that increased market power played </w:t>
      </w:r>
      <w:r w:rsidRPr="007B7554">
        <w:rPr>
          <w:b/>
          <w:bCs/>
        </w:rPr>
        <w:t>no</w:t>
      </w:r>
      <w:r>
        <w:t xml:space="preserve"> role in Australia, unlike in the United States. These results are intriguing, given a </w:t>
      </w:r>
      <w:r>
        <w:lastRenderedPageBreak/>
        <w:t xml:space="preserve">growing literature focused on the role of market power in Australia </w:t>
      </w:r>
      <w:r w:rsidRPr="000E70A1">
        <w:rPr>
          <w:szCs w:val="24"/>
        </w:rPr>
        <w:t>(Day et al. 2022; Hambur 2021)</w:t>
      </w:r>
      <w:r>
        <w:t>. This literature argues that increased market power is responsible for some of the slowdown in investment in Australia (</w:t>
      </w:r>
      <w:r w:rsidRPr="00F62ED8">
        <w:rPr>
          <w:szCs w:val="24"/>
        </w:rPr>
        <w:t>Hambur and Andrews 2023</w:t>
      </w:r>
      <w:r>
        <w:t xml:space="preserve">; see King </w:t>
      </w:r>
      <w:r w:rsidRPr="009A69FA">
        <w:t>2023</w:t>
      </w:r>
      <w:r>
        <w:t xml:space="preserve"> for a dissenting view). That</w:t>
      </w:r>
      <w:r w:rsidR="00360BB1">
        <w:t xml:space="preserve"> empirical</w:t>
      </w:r>
      <w:r>
        <w:t xml:space="preserve"> literature may need to allow for changing risk premia as well as potentially rising market power.</w:t>
      </w:r>
    </w:p>
    <w:p w14:paraId="07FBDE47" w14:textId="6E1ADED0" w:rsidR="0032189E" w:rsidRDefault="006D2565" w:rsidP="0032189E">
      <w:pPr>
        <w:pStyle w:val="BodyText"/>
      </w:pPr>
      <w:r>
        <w:t>The rest of the paper proceeds as follows. Chapter 2 briefly presents the trends in key variables such as investment and hurdle rates for Australia</w:t>
      </w:r>
      <w:r w:rsidR="00871460">
        <w:t>, showing that there are fewer indicators of excess market power in Australian data than in the US data</w:t>
      </w:r>
      <w:r>
        <w:t>. Chapter 3 reproduces the Farhi and Gourio estimation for Australia and presents the results</w:t>
      </w:r>
      <w:r w:rsidR="00E16248">
        <w:t>, showing that estimated market power has not changed</w:t>
      </w:r>
      <w:r>
        <w:t xml:space="preserve">. Chapter 4 discusses the findings in light of the broader literature on hurdle rates. There is an ongoing debate as to whether hurdle rates have </w:t>
      </w:r>
      <w:r w:rsidR="00F47019">
        <w:t xml:space="preserve">indeed </w:t>
      </w:r>
      <w:r>
        <w:t xml:space="preserve">undergone a structural shift (due to risk or market power), permanently </w:t>
      </w:r>
      <w:r w:rsidR="005A35C7">
        <w:t>increasing</w:t>
      </w:r>
      <w:r>
        <w:t xml:space="preserve"> the wedge between the risk-free rate and the hurdle rate, or whether hurdle rates are simply ‘sticky’ (as argued by Edwards and Lane 2021 for instance). </w:t>
      </w:r>
      <w:r w:rsidR="00706F94">
        <w:t>If the risk-free rate falls in riskier environments</w:t>
      </w:r>
      <w:r w:rsidR="00D46A29">
        <w:t>,</w:t>
      </w:r>
      <w:r w:rsidR="00706F94">
        <w:t xml:space="preserve"> </w:t>
      </w:r>
      <w:r w:rsidR="00D46A29">
        <w:t xml:space="preserve">because more investors seek safe assets at the risk-free rate, </w:t>
      </w:r>
      <w:r w:rsidR="00706F94">
        <w:t xml:space="preserve">the hurdle rate could appear </w:t>
      </w:r>
      <w:r w:rsidR="0080420E">
        <w:t>sticky. The next few years will provide interesting evidence in that debate</w:t>
      </w:r>
      <w:r w:rsidR="0014100C">
        <w:t xml:space="preserve">, </w:t>
      </w:r>
      <w:r w:rsidR="00992027">
        <w:t>because</w:t>
      </w:r>
      <w:r w:rsidR="0014100C">
        <w:t xml:space="preserve"> interest rates have risen sharply but the </w:t>
      </w:r>
      <w:r w:rsidR="00382722">
        <w:t>riskiness of investment has not lessened</w:t>
      </w:r>
      <w:r w:rsidR="00A47811">
        <w:t xml:space="preserve"> noticeably</w:t>
      </w:r>
      <w:r w:rsidR="0080420E">
        <w:t xml:space="preserve">. </w:t>
      </w:r>
    </w:p>
    <w:p w14:paraId="315B05DD" w14:textId="64BA8A36" w:rsidR="006D2565" w:rsidRDefault="006D2565" w:rsidP="0094315B">
      <w:pPr>
        <w:pStyle w:val="Heading1-nobackground"/>
        <w:numPr>
          <w:ilvl w:val="0"/>
          <w:numId w:val="15"/>
        </w:numPr>
        <w:spacing w:after="240"/>
        <w:ind w:left="720"/>
      </w:pPr>
      <w:bookmarkStart w:id="4" w:name="begin"/>
      <w:bookmarkStart w:id="5" w:name="_Toc158878726"/>
      <w:bookmarkStart w:id="6" w:name="_Toc161228807"/>
      <w:bookmarkEnd w:id="4"/>
      <w:r>
        <w:t>Selected trends in Australia</w:t>
      </w:r>
      <w:bookmarkEnd w:id="5"/>
      <w:bookmarkEnd w:id="6"/>
    </w:p>
    <w:p w14:paraId="0BFCCE73" w14:textId="44C20CAA" w:rsidR="006D2565" w:rsidRPr="00D11A89" w:rsidRDefault="006D2565" w:rsidP="006D2565">
      <w:pPr>
        <w:pStyle w:val="BodyText"/>
        <w:rPr>
          <w:spacing w:val="-2"/>
        </w:rPr>
      </w:pPr>
      <w:r w:rsidRPr="00D11A89">
        <w:rPr>
          <w:spacing w:val="-2"/>
        </w:rPr>
        <w:t xml:space="preserve">Key financial </w:t>
      </w:r>
      <w:r w:rsidR="4BE94A74" w:rsidRPr="00D11A89">
        <w:rPr>
          <w:spacing w:val="-2"/>
        </w:rPr>
        <w:t xml:space="preserve">and economic </w:t>
      </w:r>
      <w:r w:rsidRPr="00D11A89">
        <w:rPr>
          <w:spacing w:val="-2"/>
        </w:rPr>
        <w:t xml:space="preserve">variables in Australia have exhibited a number of concerning (and potentially interrelated) trends </w:t>
      </w:r>
      <w:r w:rsidR="007C09A3">
        <w:rPr>
          <w:spacing w:val="-2"/>
        </w:rPr>
        <w:t>between</w:t>
      </w:r>
      <w:r w:rsidRPr="00D11A89">
        <w:rPr>
          <w:spacing w:val="-2"/>
        </w:rPr>
        <w:t xml:space="preserve"> the GFC</w:t>
      </w:r>
      <w:r w:rsidR="007C09A3">
        <w:rPr>
          <w:spacing w:val="-2"/>
        </w:rPr>
        <w:t xml:space="preserve"> and the C</w:t>
      </w:r>
      <w:r w:rsidR="00023A45">
        <w:rPr>
          <w:spacing w:val="-2"/>
        </w:rPr>
        <w:t>OVID-19 pandemic.</w:t>
      </w:r>
      <w:r w:rsidRPr="00D11A89">
        <w:rPr>
          <w:spacing w:val="-2"/>
        </w:rPr>
        <w:t xml:space="preserve"> The trend that has captured the most attention is the stagnation in investment rates. Figure 1 shows that non-mining investment remained roughly constant as a share of output since the GFC.</w:t>
      </w:r>
    </w:p>
    <w:p w14:paraId="27B98C73" w14:textId="2189A00B" w:rsidR="00697501" w:rsidRPr="00146382" w:rsidRDefault="00697501" w:rsidP="00ED33D7">
      <w:pPr>
        <w:pStyle w:val="FigureTableHeading"/>
      </w:pPr>
      <w:r>
        <w:t xml:space="preserve">Figure </w:t>
      </w:r>
      <w:r w:rsidR="00226B24">
        <w:rPr>
          <w:noProof/>
        </w:rPr>
        <w:t>1</w:t>
      </w:r>
      <w:r>
        <w:rPr>
          <w:noProof/>
        </w:rPr>
        <w:t xml:space="preserve"> </w:t>
      </w:r>
      <w:r>
        <w:t>– Declining investment</w:t>
      </w:r>
    </w:p>
    <w:p w14:paraId="144DE4CE" w14:textId="39CB4E94" w:rsidR="00697501" w:rsidRDefault="00697501" w:rsidP="00ED33D7">
      <w:pPr>
        <w:pStyle w:val="FigureTableSubheading"/>
        <w:keepLines/>
      </w:pPr>
      <w:r>
        <w:t>Private investment</w:t>
      </w:r>
      <w:r>
        <w:noBreakHyphen/>
        <w:t>to</w:t>
      </w:r>
      <w:r>
        <w:noBreakHyphen/>
        <w:t>output ratio</w:t>
      </w:r>
      <w:r w:rsidR="000C3029">
        <w:t>, with and without</w:t>
      </w:r>
      <w:r>
        <w:t xml:space="preserve"> mining</w:t>
      </w:r>
      <w:r w:rsidRPr="00AC66CB">
        <w:rPr>
          <w:vertAlign w:val="superscript"/>
        </w:rPr>
        <w:t>a</w:t>
      </w:r>
    </w:p>
    <w:p w14:paraId="0B4F8230" w14:textId="7EA32D1F" w:rsidR="00697501" w:rsidRPr="005550A0" w:rsidRDefault="00AF5056" w:rsidP="00AF5056">
      <w:pPr>
        <w:pStyle w:val="BodyText"/>
        <w:spacing w:before="0" w:after="0"/>
      </w:pPr>
      <w:r w:rsidRPr="00AF5056">
        <w:rPr>
          <w:noProof/>
        </w:rPr>
        <w:drawing>
          <wp:inline distT="0" distB="0" distL="0" distR="0" wp14:anchorId="7F4CD7DD" wp14:editId="3869A1FE">
            <wp:extent cx="6120765" cy="2880360"/>
            <wp:effectExtent l="0" t="0" r="0" b="0"/>
            <wp:docPr id="543685140" name="Picture 3" descr="Figure 1 shows the investment to output ratio for the Australian economy, with and without mining. The figure shows that, when mining is included, total investment as a share of GDP increased since the GFC, before declining since 2013. However, when mining is excluded, investment as share if gross valueadd has remained stable since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85140" name="Picture 3" descr="Figure 1 shows the investment to output ratio for the Australian economy, with and without mining. The figure shows that, when mining is included, total investment as a share of GDP increased since the GFC, before declining since 2013. However, when mining is excluded, investment as share if gross valueadd has remained stable since 2008.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765" cy="2880360"/>
                    </a:xfrm>
                    <a:prstGeom prst="rect">
                      <a:avLst/>
                    </a:prstGeom>
                    <a:noFill/>
                    <a:ln>
                      <a:noFill/>
                    </a:ln>
                  </pic:spPr>
                </pic:pic>
              </a:graphicData>
            </a:graphic>
          </wp:inline>
        </w:drawing>
      </w:r>
    </w:p>
    <w:p w14:paraId="04422CA1" w14:textId="6C45DBD2" w:rsidR="00697501" w:rsidRPr="00697501" w:rsidRDefault="00697501" w:rsidP="00ED33D7">
      <w:pPr>
        <w:pStyle w:val="Note"/>
        <w:keepLines/>
        <w:rPr>
          <w:spacing w:val="-4"/>
        </w:rPr>
      </w:pPr>
      <w:r w:rsidRPr="00697501">
        <w:rPr>
          <w:b/>
          <w:bCs/>
          <w:spacing w:val="-4"/>
        </w:rPr>
        <w:t>a.</w:t>
      </w:r>
      <w:r w:rsidRPr="00697501">
        <w:rPr>
          <w:spacing w:val="-4"/>
        </w:rPr>
        <w:t xml:space="preserve"> Data are volume chain measures. Including mining = gross fixed private investment/gross domestic product (GDP). Excluding mining = (gross fixed private investment – mining investment)/(GDP – mining value add to GDP).</w:t>
      </w:r>
    </w:p>
    <w:p w14:paraId="47F09E56" w14:textId="0A3349CE" w:rsidR="00120D61" w:rsidRDefault="00697501" w:rsidP="00697501">
      <w:pPr>
        <w:pStyle w:val="Source"/>
      </w:pPr>
      <w:r w:rsidRPr="00696447">
        <w:t xml:space="preserve">Source: </w:t>
      </w:r>
      <w:r w:rsidRPr="001C01BB">
        <w:t>ABS (</w:t>
      </w:r>
      <w:r>
        <w:rPr>
          <w:i/>
          <w:iCs/>
        </w:rPr>
        <w:t>Australian National Accounts: National Income, Expenditure and Product</w:t>
      </w:r>
      <w:r w:rsidRPr="001C01BB">
        <w:t xml:space="preserve">, </w:t>
      </w:r>
      <w:r>
        <w:t xml:space="preserve">October </w:t>
      </w:r>
      <w:r w:rsidRPr="001C01BB">
        <w:t>202</w:t>
      </w:r>
      <w:r>
        <w:t>3</w:t>
      </w:r>
      <w:r w:rsidRPr="001C01BB">
        <w:t>, Cat. no. 5</w:t>
      </w:r>
      <w:r>
        <w:t>06</w:t>
      </w:r>
      <w:r w:rsidRPr="001C01BB">
        <w:t>, Table </w:t>
      </w:r>
      <w:r>
        <w:t>2, 5 and 58</w:t>
      </w:r>
      <w:r w:rsidRPr="001C01BB">
        <w:t>)</w:t>
      </w:r>
      <w:r>
        <w:t>.</w:t>
      </w:r>
    </w:p>
    <w:p w14:paraId="41F225A0" w14:textId="15232F4B" w:rsidR="006D2565" w:rsidRPr="004C6B4D" w:rsidRDefault="006D2565" w:rsidP="006D2565">
      <w:pPr>
        <w:pStyle w:val="BodyText"/>
      </w:pPr>
      <w:r w:rsidRPr="004C6B4D">
        <w:lastRenderedPageBreak/>
        <w:t xml:space="preserve">Puzzlingly, this stagnation in investment occurred at the same time as real interest rates </w:t>
      </w:r>
      <w:r w:rsidR="00572A54" w:rsidRPr="004C6B4D">
        <w:t>fell</w:t>
      </w:r>
      <w:r w:rsidRPr="004C6B4D">
        <w:t>, lowering the cost of investment. The implication appears to be that investors requir</w:t>
      </w:r>
      <w:r w:rsidR="004C76D9" w:rsidRPr="004C6B4D">
        <w:t>ed</w:t>
      </w:r>
      <w:r w:rsidRPr="004C6B4D">
        <w:t xml:space="preserve"> higher expected returns before they </w:t>
      </w:r>
      <w:r w:rsidR="004C76D9" w:rsidRPr="004C6B4D">
        <w:t>we</w:t>
      </w:r>
      <w:r w:rsidRPr="004C6B4D">
        <w:t xml:space="preserve">re prepared to invest. Figure 2 shows a growing wedge between the risk-free rate and the hurdle rate, the minimum expected rate of return that an investor is willing to accept before investing in a project. </w:t>
      </w:r>
    </w:p>
    <w:p w14:paraId="493388B9" w14:textId="264AF91B" w:rsidR="00697501" w:rsidRPr="00146382" w:rsidRDefault="00697501" w:rsidP="00ED33D7">
      <w:pPr>
        <w:pStyle w:val="FigureTableHeading"/>
      </w:pPr>
      <w:r>
        <w:t xml:space="preserve">Figure </w:t>
      </w:r>
      <w:r w:rsidR="00226B24">
        <w:rPr>
          <w:noProof/>
        </w:rPr>
        <w:t>2</w:t>
      </w:r>
      <w:r>
        <w:rPr>
          <w:noProof/>
        </w:rPr>
        <w:t xml:space="preserve"> </w:t>
      </w:r>
      <w:r>
        <w:t xml:space="preserve">– </w:t>
      </w:r>
      <w:r w:rsidR="00D36383">
        <w:t>Return on capital and the risk</w:t>
      </w:r>
      <w:r w:rsidR="00D36383">
        <w:noBreakHyphen/>
        <w:t>free rate</w:t>
      </w:r>
      <w:r w:rsidR="00B952E4" w:rsidRPr="00B952E4">
        <w:rPr>
          <w:vertAlign w:val="superscript"/>
        </w:rPr>
        <w:t>a</w:t>
      </w:r>
    </w:p>
    <w:p w14:paraId="591109A8" w14:textId="6A285EDD" w:rsidR="00697501" w:rsidRDefault="00D36383" w:rsidP="00ED33D7">
      <w:pPr>
        <w:pStyle w:val="FigureTableSubheading"/>
        <w:keepLines/>
      </w:pPr>
      <w:r w:rsidRPr="00D36383">
        <w:t>The return on capital has not fallen commensurately with the risk free rate</w:t>
      </w:r>
    </w:p>
    <w:p w14:paraId="7DAC53CF" w14:textId="079F69EB" w:rsidR="00697501" w:rsidRPr="005550A0" w:rsidRDefault="00CD3F31" w:rsidP="00ED33D7">
      <w:pPr>
        <w:pStyle w:val="BodyText"/>
      </w:pPr>
      <w:r w:rsidRPr="00CD3F31">
        <w:rPr>
          <w:noProof/>
        </w:rPr>
        <w:drawing>
          <wp:inline distT="0" distB="0" distL="0" distR="0" wp14:anchorId="15F4D882" wp14:editId="17D3764A">
            <wp:extent cx="6120765" cy="2563091"/>
            <wp:effectExtent l="0" t="0" r="0" b="0"/>
            <wp:docPr id="718931736" name="Picture 7" descr="Figure 2 shows the return on capital and the risk free rate between 1997 and 2020. The figure shows the return on capital has been fairly stable, at around 14%, but the riskfree rate has fallen steadily, from 3.1% in 1997 to minus 1.4%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31736" name="Picture 7" descr="Figure 2 shows the return on capital and the risk free rate between 1997 and 2020. The figure shows the return on capital has been fairly stable, at around 14%, but the riskfree rate has fallen steadily, from 3.1% in 1997 to minus 1.4% in 2020.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522"/>
                    <a:stretch/>
                  </pic:blipFill>
                  <pic:spPr bwMode="auto">
                    <a:xfrm>
                      <a:off x="0" y="0"/>
                      <a:ext cx="6120765" cy="2563091"/>
                    </a:xfrm>
                    <a:prstGeom prst="rect">
                      <a:avLst/>
                    </a:prstGeom>
                    <a:noFill/>
                    <a:ln>
                      <a:noFill/>
                    </a:ln>
                    <a:extLst>
                      <a:ext uri="{53640926-AAD7-44D8-BBD7-CCE9431645EC}">
                        <a14:shadowObscured xmlns:a14="http://schemas.microsoft.com/office/drawing/2010/main"/>
                      </a:ext>
                    </a:extLst>
                  </pic:spPr>
                </pic:pic>
              </a:graphicData>
            </a:graphic>
          </wp:inline>
        </w:drawing>
      </w:r>
    </w:p>
    <w:p w14:paraId="0CA4E9BD" w14:textId="0E3B42DB" w:rsidR="00B952E4" w:rsidRDefault="00B952E4" w:rsidP="00B952E4">
      <w:pPr>
        <w:pStyle w:val="Note"/>
      </w:pPr>
      <w:r w:rsidRPr="00B952E4">
        <w:rPr>
          <w:b/>
          <w:bCs/>
        </w:rPr>
        <w:t>a.</w:t>
      </w:r>
      <w:r>
        <w:t xml:space="preserve"> </w:t>
      </w:r>
      <w:r w:rsidRPr="00F53BCE">
        <w:t>Return on capital is defined as capital income divided by the end of year net capital stock (current prices). Risk-free rate is estimated as the average</w:t>
      </w:r>
      <w:r>
        <w:t xml:space="preserve"> quarterly two</w:t>
      </w:r>
      <w:r>
        <w:noBreakHyphen/>
        <w:t>year government bond yield less quarterly two</w:t>
      </w:r>
      <w:r>
        <w:noBreakHyphen/>
        <w:t>year inflation expectations. Estimates of how the results would change under different estimations of the risk</w:t>
      </w:r>
      <w:r>
        <w:noBreakHyphen/>
        <w:t xml:space="preserve">free rate are provided in appendix A.2. </w:t>
      </w:r>
    </w:p>
    <w:p w14:paraId="403081E3" w14:textId="009FC714" w:rsidR="00697501" w:rsidRDefault="00697501" w:rsidP="00697501">
      <w:pPr>
        <w:pStyle w:val="Source"/>
      </w:pPr>
      <w:r w:rsidRPr="00696447">
        <w:t xml:space="preserve">Source: </w:t>
      </w:r>
      <w:r w:rsidR="00D36383" w:rsidRPr="00D36383">
        <w:t>Commission estimates, based on ABS and RBA data</w:t>
      </w:r>
      <w:r w:rsidRPr="00696447">
        <w:t>.</w:t>
      </w:r>
    </w:p>
    <w:p w14:paraId="1EAFA338" w14:textId="0202852E" w:rsidR="006D2565" w:rsidRDefault="006D2565" w:rsidP="006D2565">
      <w:pPr>
        <w:pStyle w:val="BodyText"/>
      </w:pPr>
      <w:r>
        <w:t xml:space="preserve">A </w:t>
      </w:r>
      <w:r w:rsidRPr="009F7385">
        <w:t>priori</w:t>
      </w:r>
      <w:r>
        <w:t>, one would expect the profitability of capital to increase over this period, if interest rate costs f</w:t>
      </w:r>
      <w:r w:rsidR="001E4D4C">
        <w:t>e</w:t>
      </w:r>
      <w:r>
        <w:t xml:space="preserve">ll and hurdle rates remained roughly constant. But interestingly, the </w:t>
      </w:r>
      <w:r w:rsidR="00D33021">
        <w:t xml:space="preserve">average </w:t>
      </w:r>
      <w:r>
        <w:t xml:space="preserve">profitability of capital appeared to </w:t>
      </w:r>
      <w:r w:rsidR="00464B27">
        <w:t xml:space="preserve">be </w:t>
      </w:r>
      <w:r>
        <w:t xml:space="preserve">roughly </w:t>
      </w:r>
      <w:r w:rsidR="00464B27">
        <w:t xml:space="preserve">the same </w:t>
      </w:r>
      <w:r>
        <w:t xml:space="preserve">before and after the GFC, as shown in </w:t>
      </w:r>
      <w:r w:rsidR="00080A8B">
        <w:t>f</w:t>
      </w:r>
      <w:r>
        <w:t xml:space="preserve">igure 3. There </w:t>
      </w:r>
      <w:r w:rsidR="001E4D4C">
        <w:t>wa</w:t>
      </w:r>
      <w:r>
        <w:t xml:space="preserve">s a great deal of variability from one year to the next, however, and so there is some uncertainty in this conclusion. </w:t>
      </w:r>
      <w:r w:rsidR="001240D4">
        <w:t>The greater varia</w:t>
      </w:r>
      <w:r w:rsidR="002F56E4">
        <w:t xml:space="preserve">bility </w:t>
      </w:r>
      <w:r>
        <w:t>would seem to imply that investment gr</w:t>
      </w:r>
      <w:r w:rsidR="001E4D4C">
        <w:t>ew</w:t>
      </w:r>
      <w:r>
        <w:t xml:space="preserve"> more risky (and hence less profitable) </w:t>
      </w:r>
      <w:r w:rsidR="001E4D4C">
        <w:t>after the GFC</w:t>
      </w:r>
      <w:r>
        <w:t>, which would account for the greater margins demanded by investors.</w:t>
      </w:r>
    </w:p>
    <w:p w14:paraId="53EC5279" w14:textId="26A14941" w:rsidR="00080A8B" w:rsidRPr="00146382" w:rsidRDefault="00080A8B" w:rsidP="00ED33D7">
      <w:pPr>
        <w:pStyle w:val="FigureTableHeading"/>
      </w:pPr>
      <w:r>
        <w:lastRenderedPageBreak/>
        <w:t xml:space="preserve">Figure </w:t>
      </w:r>
      <w:r w:rsidR="00226B24">
        <w:rPr>
          <w:noProof/>
        </w:rPr>
        <w:t>3</w:t>
      </w:r>
      <w:r>
        <w:rPr>
          <w:noProof/>
        </w:rPr>
        <w:t xml:space="preserve"> </w:t>
      </w:r>
      <w:r>
        <w:t>– Gross profitability of capital</w:t>
      </w:r>
    </w:p>
    <w:p w14:paraId="2C24CC8B" w14:textId="641D1511" w:rsidR="00080A8B" w:rsidRDefault="00080A8B" w:rsidP="00ED33D7">
      <w:pPr>
        <w:pStyle w:val="FigureTableSubheading"/>
        <w:keepLines/>
      </w:pPr>
      <w:r>
        <w:t>The gross profitability of capital has not declined since the GFC</w:t>
      </w:r>
    </w:p>
    <w:p w14:paraId="1AC7A925" w14:textId="6AC906D6" w:rsidR="00080A8B" w:rsidRPr="005550A0" w:rsidRDefault="00F40CEF" w:rsidP="00ED33D7">
      <w:pPr>
        <w:pStyle w:val="BodyText"/>
      </w:pPr>
      <w:r w:rsidRPr="00F40CEF">
        <w:rPr>
          <w:noProof/>
        </w:rPr>
        <w:drawing>
          <wp:inline distT="0" distB="0" distL="0" distR="0" wp14:anchorId="250F08C8" wp14:editId="08AEF96A">
            <wp:extent cx="6120765" cy="2741930"/>
            <wp:effectExtent l="0" t="0" r="0" b="0"/>
            <wp:docPr id="1425215877" name="Picture 10" descr="Figure 3 shows profitability on capital, split into two distinct timeperiods. The figure shows gross profitability was very similar over the two periods – over the period 1997-2008, gross profitability averaged 14.25%; while over the period 2009-2020 gross profitability averaged 14.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15877" name="Picture 10" descr="Figure 3 shows profitability on capital, split into two distinct timeperiods. The figure shows gross profitability was very similar over the two periods – over the period 1997-2008, gross profitability averaged 14.25%; while over the period 2009-2020 gross profitability averaged 14.19%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2741930"/>
                    </a:xfrm>
                    <a:prstGeom prst="rect">
                      <a:avLst/>
                    </a:prstGeom>
                    <a:noFill/>
                    <a:ln>
                      <a:noFill/>
                    </a:ln>
                  </pic:spPr>
                </pic:pic>
              </a:graphicData>
            </a:graphic>
          </wp:inline>
        </w:drawing>
      </w:r>
    </w:p>
    <w:p w14:paraId="06568EB9" w14:textId="13275612" w:rsidR="00080A8B" w:rsidRDefault="00080A8B" w:rsidP="00080A8B">
      <w:pPr>
        <w:pStyle w:val="Source"/>
      </w:pPr>
      <w:r w:rsidRPr="00696447">
        <w:t xml:space="preserve">Source: </w:t>
      </w:r>
      <w:r>
        <w:t xml:space="preserve">Commission estimates, based on ABS and </w:t>
      </w:r>
      <w:r w:rsidRPr="005B1C6B">
        <w:t xml:space="preserve">RBA </w:t>
      </w:r>
      <w:r>
        <w:t>data</w:t>
      </w:r>
      <w:r w:rsidRPr="00696447">
        <w:t>.</w:t>
      </w:r>
      <w:r w:rsidR="004B556D">
        <w:t xml:space="preserve"> </w:t>
      </w:r>
    </w:p>
    <w:p w14:paraId="31A1EED2" w14:textId="4E2BFD84" w:rsidR="006D2565" w:rsidRPr="001747A3" w:rsidRDefault="006D2565" w:rsidP="003B42B7">
      <w:pPr>
        <w:pStyle w:val="BodyText"/>
        <w:spacing w:line="240" w:lineRule="atLeast"/>
        <w:rPr>
          <w:spacing w:val="-2"/>
        </w:rPr>
      </w:pPr>
      <w:r w:rsidRPr="001747A3">
        <w:rPr>
          <w:spacing w:val="-2"/>
        </w:rPr>
        <w:t>Significantly, this result is quite different to the result that Farhi and Gourio (2019) obtained from US data, where gross profitability increased significantly since the GFC, and where the authors f</w:t>
      </w:r>
      <w:r w:rsidR="00F77377">
        <w:rPr>
          <w:spacing w:val="-2"/>
        </w:rPr>
        <w:t>ou</w:t>
      </w:r>
      <w:r w:rsidRPr="001747A3">
        <w:rPr>
          <w:spacing w:val="-2"/>
        </w:rPr>
        <w:t>nd that increased market power played a significant role in the increase in market premiums. No improvement in gross profitability in Australia seem</w:t>
      </w:r>
      <w:r w:rsidR="003F13F3">
        <w:rPr>
          <w:spacing w:val="-2"/>
        </w:rPr>
        <w:t>s</w:t>
      </w:r>
      <w:r w:rsidRPr="001747A3">
        <w:rPr>
          <w:spacing w:val="-2"/>
        </w:rPr>
        <w:t xml:space="preserve"> to imply that market power </w:t>
      </w:r>
      <w:r w:rsidR="003F13F3">
        <w:rPr>
          <w:spacing w:val="-2"/>
        </w:rPr>
        <w:t>did</w:t>
      </w:r>
      <w:r w:rsidRPr="001747A3">
        <w:rPr>
          <w:spacing w:val="-2"/>
        </w:rPr>
        <w:t xml:space="preserve"> not increase a great deal over this period. However, other trends such as the declining labour share of income (</w:t>
      </w:r>
      <w:r w:rsidR="00080A8B" w:rsidRPr="001747A3">
        <w:rPr>
          <w:spacing w:val="-2"/>
        </w:rPr>
        <w:t>f</w:t>
      </w:r>
      <w:r w:rsidRPr="001747A3">
        <w:rPr>
          <w:spacing w:val="-2"/>
        </w:rPr>
        <w:t xml:space="preserve">igure 4) may provide contradictory evidence, and </w:t>
      </w:r>
      <w:r w:rsidR="00CE26F2">
        <w:rPr>
          <w:spacing w:val="-2"/>
        </w:rPr>
        <w:t xml:space="preserve">may </w:t>
      </w:r>
      <w:r w:rsidRPr="001747A3">
        <w:rPr>
          <w:spacing w:val="-2"/>
        </w:rPr>
        <w:t xml:space="preserve">suggest that market power could be playing more of a role. (In a separate paper, the Productivity Commission has undertaken some analysis of the declining labour share of income and found that the trend may be overstated: </w:t>
      </w:r>
      <w:r w:rsidR="00CE26F2">
        <w:rPr>
          <w:spacing w:val="-2"/>
        </w:rPr>
        <w:t xml:space="preserve">much of </w:t>
      </w:r>
      <w:r w:rsidRPr="001747A3">
        <w:rPr>
          <w:spacing w:val="-2"/>
        </w:rPr>
        <w:t>the observed decline may be driven by fluctuations in commodity prices</w:t>
      </w:r>
      <w:r w:rsidR="000E508C">
        <w:rPr>
          <w:spacing w:val="-2"/>
        </w:rPr>
        <w:t>;</w:t>
      </w:r>
      <w:r w:rsidRPr="001747A3">
        <w:rPr>
          <w:spacing w:val="-2"/>
        </w:rPr>
        <w:t xml:space="preserve"> </w:t>
      </w:r>
      <w:r w:rsidRPr="001747A3">
        <w:rPr>
          <w:spacing w:val="-2"/>
          <w:szCs w:val="24"/>
        </w:rPr>
        <w:t>PC 2023</w:t>
      </w:r>
      <w:r w:rsidR="000E508C">
        <w:rPr>
          <w:spacing w:val="-2"/>
          <w:szCs w:val="24"/>
        </w:rPr>
        <w:t>.</w:t>
      </w:r>
      <w:r w:rsidRPr="001747A3">
        <w:rPr>
          <w:spacing w:val="-2"/>
          <w:szCs w:val="24"/>
        </w:rPr>
        <w:t>)</w:t>
      </w:r>
      <w:r w:rsidRPr="001747A3">
        <w:rPr>
          <w:spacing w:val="-2"/>
        </w:rPr>
        <w:t xml:space="preserve"> As we will see in the next Section, the Farhi and Gourio model infers changes in market power from three indicators: the gross profitability of capital, </w:t>
      </w:r>
      <w:r w:rsidR="00123D2F">
        <w:rPr>
          <w:spacing w:val="-2"/>
        </w:rPr>
        <w:t>the labour</w:t>
      </w:r>
      <w:r w:rsidRPr="001747A3">
        <w:rPr>
          <w:spacing w:val="-2"/>
        </w:rPr>
        <w:t xml:space="preserve"> share of income, and expected equity returns.</w:t>
      </w:r>
    </w:p>
    <w:p w14:paraId="419AC10A" w14:textId="342A3744" w:rsidR="00080A8B" w:rsidRPr="00146382" w:rsidRDefault="00080A8B" w:rsidP="005A1CEA">
      <w:pPr>
        <w:pStyle w:val="FigureTableHeading"/>
        <w:spacing w:after="0"/>
      </w:pPr>
      <w:r>
        <w:t>Figure</w:t>
      </w:r>
      <w:r w:rsidR="001747A3">
        <w:t xml:space="preserve"> </w:t>
      </w:r>
      <w:r w:rsidR="00226B24">
        <w:rPr>
          <w:noProof/>
        </w:rPr>
        <w:t>4</w:t>
      </w:r>
      <w:r>
        <w:rPr>
          <w:noProof/>
        </w:rPr>
        <w:t xml:space="preserve"> </w:t>
      </w:r>
      <w:r>
        <w:t>– Labour share of income has declined</w:t>
      </w:r>
    </w:p>
    <w:p w14:paraId="52C34F0B" w14:textId="5C8587CC" w:rsidR="00080A8B" w:rsidRPr="005550A0" w:rsidRDefault="009C5F02" w:rsidP="00385213">
      <w:pPr>
        <w:pStyle w:val="BodyText"/>
        <w:spacing w:before="0" w:after="0" w:line="240" w:lineRule="atLeast"/>
      </w:pPr>
      <w:r w:rsidRPr="009C5F02">
        <w:rPr>
          <w:noProof/>
        </w:rPr>
        <w:drawing>
          <wp:inline distT="0" distB="0" distL="0" distR="0" wp14:anchorId="3DF1AC5E" wp14:editId="63868BD0">
            <wp:extent cx="6120765" cy="2741930"/>
            <wp:effectExtent l="0" t="0" r="0" b="0"/>
            <wp:docPr id="1899571451" name="Picture 11" descr="Figure 4 shows the labour share of income, split into two distinct timeperiods. The figure shows the labour share of income fell between the two periods – over the period 1997-2008, labour share of income averaged 59.4%; while over the period 2009-2020, labour share of income 5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71451" name="Picture 11" descr="Figure 4 shows the labour share of income, split into two distinct timeperiods. The figure shows the labour share of income fell between the two periods – over the period 1997-2008, labour share of income averaged 59.4%; while over the period 2009-2020, labour share of income 56.6%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2741930"/>
                    </a:xfrm>
                    <a:prstGeom prst="rect">
                      <a:avLst/>
                    </a:prstGeom>
                    <a:noFill/>
                    <a:ln>
                      <a:noFill/>
                    </a:ln>
                  </pic:spPr>
                </pic:pic>
              </a:graphicData>
            </a:graphic>
          </wp:inline>
        </w:drawing>
      </w:r>
    </w:p>
    <w:p w14:paraId="2C53CB47" w14:textId="0AA00C99" w:rsidR="006D2565" w:rsidRDefault="00080A8B" w:rsidP="003B42B7">
      <w:pPr>
        <w:pStyle w:val="Source"/>
        <w:spacing w:before="120" w:after="0" w:line="160" w:lineRule="atLeast"/>
      </w:pPr>
      <w:r w:rsidRPr="00696447">
        <w:t xml:space="preserve">Source: </w:t>
      </w:r>
      <w:r>
        <w:t xml:space="preserve">Commission estimates, based on ABS and </w:t>
      </w:r>
      <w:r w:rsidRPr="005B1C6B">
        <w:t xml:space="preserve">RBA </w:t>
      </w:r>
      <w:r>
        <w:t>data</w:t>
      </w:r>
      <w:r w:rsidRPr="00696447">
        <w:t>.</w:t>
      </w:r>
    </w:p>
    <w:p w14:paraId="65A844B5" w14:textId="2DF482A0" w:rsidR="006D2565" w:rsidRPr="00BB6A34" w:rsidRDefault="006D2565" w:rsidP="00376278">
      <w:pPr>
        <w:pStyle w:val="BodyText"/>
        <w:spacing w:before="100" w:after="100" w:line="260" w:lineRule="atLeast"/>
        <w:rPr>
          <w:spacing w:val="-4"/>
        </w:rPr>
      </w:pPr>
      <w:r w:rsidRPr="00BB6A34">
        <w:rPr>
          <w:spacing w:val="-4"/>
        </w:rPr>
        <w:lastRenderedPageBreak/>
        <w:t>An empirical strategy to measure the role of a rising risk premium and the role of market power also needs to measure other possible forces. Declining productivity and demographic change could explain some of the decline in investment: there could be less investment simply because there are fewer opportunities to invest</w:t>
      </w:r>
      <w:r w:rsidR="005F5E67">
        <w:rPr>
          <w:spacing w:val="-4"/>
        </w:rPr>
        <w:t>.</w:t>
      </w:r>
      <w:r w:rsidRPr="00BB6A34">
        <w:rPr>
          <w:spacing w:val="-4"/>
        </w:rPr>
        <w:t xml:space="preserve"> </w:t>
      </w:r>
      <w:r w:rsidR="00BA7450">
        <w:rPr>
          <w:spacing w:val="-4"/>
        </w:rPr>
        <w:t xml:space="preserve"> F</w:t>
      </w:r>
      <w:r w:rsidRPr="00BB6A34">
        <w:rPr>
          <w:spacing w:val="-4"/>
        </w:rPr>
        <w:t>igure 5 confirms that productivity is stagnating in Australia, similarly to the United States and most OECD countries; and Australia is undergoing a similar demographic transition to other OECD countries, as its population ages.</w:t>
      </w:r>
    </w:p>
    <w:p w14:paraId="521F8745" w14:textId="090E737D" w:rsidR="00080A8B" w:rsidRPr="00146382" w:rsidRDefault="00080A8B" w:rsidP="00ED33D7">
      <w:pPr>
        <w:pStyle w:val="FigureTableHeading"/>
      </w:pPr>
      <w:r>
        <w:t xml:space="preserve">Figure </w:t>
      </w:r>
      <w:r w:rsidR="00226B24">
        <w:rPr>
          <w:noProof/>
        </w:rPr>
        <w:t>5</w:t>
      </w:r>
      <w:r>
        <w:rPr>
          <w:noProof/>
        </w:rPr>
        <w:t xml:space="preserve"> </w:t>
      </w:r>
      <w:r>
        <w:t>– Productivity</w:t>
      </w:r>
    </w:p>
    <w:p w14:paraId="1E954EF1" w14:textId="7F6E9F5E" w:rsidR="00080A8B" w:rsidRDefault="004C11C4" w:rsidP="00ED33D7">
      <w:pPr>
        <w:pStyle w:val="FigureTableSubheading"/>
        <w:keepLines/>
      </w:pPr>
      <w:r>
        <w:t>Growth in m</w:t>
      </w:r>
      <w:r w:rsidR="00080A8B">
        <w:t>u</w:t>
      </w:r>
      <w:r w:rsidR="00C71423">
        <w:t>l</w:t>
      </w:r>
      <w:r w:rsidR="00080A8B">
        <w:t xml:space="preserve">ti-factor productivity has </w:t>
      </w:r>
      <w:r>
        <w:t xml:space="preserve">slowed </w:t>
      </w:r>
      <w:r w:rsidR="00080A8B">
        <w:t>since the GFC</w:t>
      </w:r>
    </w:p>
    <w:p w14:paraId="6102241A" w14:textId="0B51FE07" w:rsidR="00080A8B" w:rsidRPr="005550A0" w:rsidRDefault="00E03CB6" w:rsidP="00ED33D7">
      <w:pPr>
        <w:pStyle w:val="BodyText"/>
      </w:pPr>
      <w:r w:rsidRPr="00E03CB6">
        <w:rPr>
          <w:noProof/>
        </w:rPr>
        <w:drawing>
          <wp:inline distT="0" distB="0" distL="0" distR="0" wp14:anchorId="26092498" wp14:editId="4022D48E">
            <wp:extent cx="6120765" cy="2741930"/>
            <wp:effectExtent l="0" t="0" r="0" b="1270"/>
            <wp:docPr id="612815420" name="Picture 12" descr="Figure 5 shows multifactor productivity growth, split into two distinct time periods. The figure shows that multifactor productivity growth fell slightly between the two periods – over the period 1997-2008, multifactor productivity growth averaged 0.15% per quarter; while over the period 2009-2020, multifactor productivity growth averaged 0.05% per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15420" name="Picture 12" descr="Figure 5 shows multifactor productivity growth, split into two distinct time periods. The figure shows that multifactor productivity growth fell slightly between the two periods – over the period 1997-2008, multifactor productivity growth averaged 0.15% per quarter; while over the period 2009-2020, multifactor productivity growth averaged 0.05% per quarter.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765" cy="2741930"/>
                    </a:xfrm>
                    <a:prstGeom prst="rect">
                      <a:avLst/>
                    </a:prstGeom>
                    <a:noFill/>
                    <a:ln>
                      <a:noFill/>
                    </a:ln>
                  </pic:spPr>
                </pic:pic>
              </a:graphicData>
            </a:graphic>
          </wp:inline>
        </w:drawing>
      </w:r>
    </w:p>
    <w:p w14:paraId="61961D57" w14:textId="5508F761" w:rsidR="006D2565" w:rsidRDefault="00080A8B" w:rsidP="00080A8B">
      <w:pPr>
        <w:pStyle w:val="Source"/>
      </w:pPr>
      <w:r w:rsidRPr="00696447">
        <w:t xml:space="preserve">Source: </w:t>
      </w:r>
      <w:r>
        <w:t xml:space="preserve">Commission estimates, based on ABS and </w:t>
      </w:r>
      <w:r w:rsidRPr="005B1C6B">
        <w:t xml:space="preserve">RBA </w:t>
      </w:r>
      <w:r>
        <w:t>data</w:t>
      </w:r>
      <w:r w:rsidRPr="00696447">
        <w:t>.</w:t>
      </w:r>
    </w:p>
    <w:p w14:paraId="68E10B1E" w14:textId="77777777" w:rsidR="00BE4EE9" w:rsidRPr="00841C4B" w:rsidRDefault="00BE4EE9" w:rsidP="00841C4B">
      <w:pPr>
        <w:pStyle w:val="BodyText"/>
      </w:pPr>
      <w:bookmarkStart w:id="7" w:name="_Toc158878727"/>
      <w:bookmarkStart w:id="8" w:name="_Toc161228808"/>
      <w:r w:rsidRPr="00841C4B">
        <w:br w:type="page"/>
      </w:r>
    </w:p>
    <w:p w14:paraId="56F07164" w14:textId="6331EC0E" w:rsidR="006D2565" w:rsidRDefault="006D2565" w:rsidP="008369F9">
      <w:pPr>
        <w:pStyle w:val="Heading1-nobackground"/>
        <w:numPr>
          <w:ilvl w:val="0"/>
          <w:numId w:val="15"/>
        </w:numPr>
        <w:ind w:left="720"/>
      </w:pPr>
      <w:r>
        <w:lastRenderedPageBreak/>
        <w:t>Evolution of the market risk premium</w:t>
      </w:r>
      <w:bookmarkEnd w:id="7"/>
      <w:bookmarkEnd w:id="8"/>
    </w:p>
    <w:p w14:paraId="613ADA8C" w14:textId="1207D608" w:rsidR="006D2565" w:rsidRPr="00BB6A34" w:rsidRDefault="006D2565" w:rsidP="006D2565">
      <w:pPr>
        <w:pStyle w:val="BodyText"/>
        <w:rPr>
          <w:spacing w:val="-4"/>
        </w:rPr>
      </w:pPr>
      <w:r w:rsidRPr="00BB6A34">
        <w:rPr>
          <w:spacing w:val="-4"/>
        </w:rPr>
        <w:t>This section presents the model</w:t>
      </w:r>
      <w:r w:rsidR="00356C7A">
        <w:rPr>
          <w:spacing w:val="-4"/>
        </w:rPr>
        <w:t xml:space="preserve"> briefly</w:t>
      </w:r>
      <w:r w:rsidRPr="00BB6A34">
        <w:rPr>
          <w:spacing w:val="-4"/>
        </w:rPr>
        <w:t xml:space="preserve">, with some intuition provided for the relationships between variables in their model. The reader is referred to their paper for the full derivation of the results. We explain how the model parameters are calibrated from the moments of publicly sourced data, outlined in table 1. </w:t>
      </w:r>
    </w:p>
    <w:p w14:paraId="1C2A4C2E" w14:textId="24FCD4A7" w:rsidR="00080A8B" w:rsidRDefault="00080A8B" w:rsidP="00ED33D7">
      <w:pPr>
        <w:pStyle w:val="FigureTableHeading"/>
      </w:pPr>
      <w:r>
        <w:t xml:space="preserve">Table </w:t>
      </w:r>
      <w:r w:rsidR="00226B24">
        <w:rPr>
          <w:noProof/>
        </w:rPr>
        <w:t>1</w:t>
      </w:r>
      <w:r>
        <w:rPr>
          <w:noProof/>
        </w:rPr>
        <w:t xml:space="preserve"> – </w:t>
      </w:r>
      <w:r>
        <w:t>The ten key moments from publicly sourced data</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086"/>
        <w:gridCol w:w="4821"/>
        <w:gridCol w:w="2732"/>
      </w:tblGrid>
      <w:tr w:rsidR="00E348F8" w:rsidRPr="00E348F8" w14:paraId="27DEAFB8" w14:textId="77777777" w:rsidTr="00E348F8">
        <w:trPr>
          <w:tblHeader/>
        </w:trPr>
        <w:tc>
          <w:tcPr>
            <w:tcW w:w="1082" w:type="pct"/>
            <w:tcBorders>
              <w:bottom w:val="single" w:sz="4" w:space="0" w:color="B3B3B3"/>
            </w:tcBorders>
            <w:shd w:val="clear" w:color="auto" w:fill="auto"/>
            <w:vAlign w:val="bottom"/>
          </w:tcPr>
          <w:p w14:paraId="4D191D48" w14:textId="77777777" w:rsidR="00080A8B" w:rsidRPr="00E348F8" w:rsidRDefault="00080A8B" w:rsidP="00E348F8">
            <w:pPr>
              <w:pStyle w:val="TableColumnHeading"/>
              <w:spacing w:before="45" w:after="45"/>
              <w:ind w:left="57" w:right="108"/>
              <w:jc w:val="left"/>
              <w:rPr>
                <w:rFonts w:ascii="Arial (Body)" w:hAnsi="Arial (Body)"/>
                <w:b/>
                <w:i w:val="0"/>
                <w:color w:val="265A9A"/>
              </w:rPr>
            </w:pPr>
            <w:r w:rsidRPr="00E348F8">
              <w:rPr>
                <w:rFonts w:ascii="Arial (Body)" w:hAnsi="Arial (Body)"/>
                <w:b/>
                <w:i w:val="0"/>
                <w:color w:val="265A9A"/>
              </w:rPr>
              <w:t>Moment</w:t>
            </w:r>
          </w:p>
        </w:tc>
        <w:tc>
          <w:tcPr>
            <w:tcW w:w="2501" w:type="pct"/>
            <w:tcBorders>
              <w:bottom w:val="single" w:sz="4" w:space="0" w:color="B3B3B3"/>
            </w:tcBorders>
            <w:shd w:val="clear" w:color="auto" w:fill="auto"/>
            <w:vAlign w:val="bottom"/>
          </w:tcPr>
          <w:p w14:paraId="57852FFE" w14:textId="77777777" w:rsidR="00080A8B" w:rsidRPr="00E348F8" w:rsidRDefault="00080A8B" w:rsidP="00E348F8">
            <w:pPr>
              <w:pStyle w:val="TableColumnHeading"/>
              <w:spacing w:before="45" w:after="45"/>
              <w:ind w:left="57" w:right="108"/>
              <w:jc w:val="left"/>
              <w:rPr>
                <w:rFonts w:ascii="Arial (Body)" w:hAnsi="Arial (Body)"/>
                <w:b/>
                <w:i w:val="0"/>
                <w:color w:val="265A9A"/>
              </w:rPr>
            </w:pPr>
            <w:r w:rsidRPr="00E348F8">
              <w:rPr>
                <w:rFonts w:ascii="Arial (Body)" w:hAnsi="Arial (Body)"/>
                <w:b/>
                <w:i w:val="0"/>
                <w:color w:val="265A9A"/>
              </w:rPr>
              <w:t>Description</w:t>
            </w:r>
          </w:p>
        </w:tc>
        <w:tc>
          <w:tcPr>
            <w:tcW w:w="1417" w:type="pct"/>
            <w:tcBorders>
              <w:bottom w:val="single" w:sz="4" w:space="0" w:color="B3B3B3"/>
            </w:tcBorders>
            <w:shd w:val="clear" w:color="auto" w:fill="auto"/>
            <w:vAlign w:val="bottom"/>
          </w:tcPr>
          <w:p w14:paraId="2B8EFF23" w14:textId="77777777" w:rsidR="00080A8B" w:rsidRPr="00E348F8" w:rsidRDefault="00080A8B" w:rsidP="00E348F8">
            <w:pPr>
              <w:pStyle w:val="TableColumnHeading"/>
              <w:spacing w:before="45" w:after="45"/>
              <w:ind w:left="57" w:right="108"/>
              <w:rPr>
                <w:rFonts w:ascii="Arial (Body)" w:hAnsi="Arial (Body)"/>
                <w:b/>
                <w:i w:val="0"/>
                <w:color w:val="265A9A"/>
              </w:rPr>
            </w:pPr>
            <w:r w:rsidRPr="00E348F8">
              <w:rPr>
                <w:rFonts w:ascii="Arial (Body)" w:hAnsi="Arial (Body)"/>
                <w:b/>
                <w:i w:val="0"/>
                <w:color w:val="265A9A"/>
              </w:rPr>
              <w:t>Symbol</w:t>
            </w:r>
          </w:p>
        </w:tc>
      </w:tr>
      <w:tr w:rsidR="00E348F8" w:rsidRPr="00E348F8" w14:paraId="3C1CA354" w14:textId="77777777" w:rsidTr="00E348F8">
        <w:tc>
          <w:tcPr>
            <w:tcW w:w="1082" w:type="pct"/>
            <w:tcBorders>
              <w:top w:val="single" w:sz="4" w:space="0" w:color="B3B3B3"/>
              <w:bottom w:val="nil"/>
            </w:tcBorders>
            <w:shd w:val="clear" w:color="auto" w:fill="F2F2F2"/>
          </w:tcPr>
          <w:p w14:paraId="2507DCB1" w14:textId="77777777" w:rsidR="00080A8B" w:rsidRPr="00E348F8" w:rsidRDefault="00080A8B" w:rsidP="00E348F8">
            <w:pPr>
              <w:pStyle w:val="TableUnitsRow"/>
              <w:spacing w:before="45" w:after="45"/>
              <w:ind w:left="57" w:right="108"/>
              <w:jc w:val="left"/>
              <w:rPr>
                <w:rFonts w:ascii="Arial (Body)" w:hAnsi="Arial (Body)"/>
                <w:bCs/>
              </w:rPr>
            </w:pPr>
            <w:r w:rsidRPr="00E348F8">
              <w:rPr>
                <w:rFonts w:ascii="Arial (Body)" w:hAnsi="Arial (Body)"/>
                <w:bCs/>
              </w:rPr>
              <w:t>M1</w:t>
            </w:r>
          </w:p>
        </w:tc>
        <w:tc>
          <w:tcPr>
            <w:tcW w:w="2501" w:type="pct"/>
            <w:tcBorders>
              <w:top w:val="single" w:sz="4" w:space="0" w:color="B3B3B3"/>
              <w:bottom w:val="nil"/>
            </w:tcBorders>
            <w:shd w:val="clear" w:color="auto" w:fill="F2F2F2"/>
          </w:tcPr>
          <w:p w14:paraId="39AA4AA4" w14:textId="1F7FF2C0" w:rsidR="00080A8B" w:rsidRPr="00E348F8" w:rsidRDefault="00080A8B" w:rsidP="00E348F8">
            <w:pPr>
              <w:pStyle w:val="TableUnitsRow"/>
              <w:spacing w:before="45" w:after="45"/>
              <w:ind w:left="57" w:right="108"/>
              <w:jc w:val="left"/>
              <w:rPr>
                <w:rFonts w:ascii="Arial (Body)" w:hAnsi="Arial (Body)"/>
                <w:color w:val="000000"/>
              </w:rPr>
            </w:pPr>
            <w:r w:rsidRPr="00E348F8">
              <w:rPr>
                <w:rFonts w:ascii="Arial (Body)" w:hAnsi="Arial (Body)"/>
                <w:color w:val="000000"/>
              </w:rPr>
              <w:t xml:space="preserve">measured gross profitability </w:t>
            </w:r>
          </w:p>
        </w:tc>
        <w:tc>
          <w:tcPr>
            <w:tcW w:w="1417" w:type="pct"/>
            <w:tcBorders>
              <w:top w:val="single" w:sz="4" w:space="0" w:color="B3B3B3"/>
              <w:bottom w:val="nil"/>
            </w:tcBorders>
            <w:shd w:val="clear" w:color="auto" w:fill="F2F2F2"/>
          </w:tcPr>
          <w:p w14:paraId="54FE5556" w14:textId="33290707" w:rsidR="00080A8B" w:rsidRPr="00E348F8" w:rsidRDefault="00E348F8" w:rsidP="00E348F8">
            <w:pPr>
              <w:pStyle w:val="TableBodyText"/>
              <w:spacing w:before="45" w:after="45"/>
              <w:ind w:left="57" w:right="108"/>
              <w:jc w:val="left"/>
              <w:rPr>
                <w:rFonts w:ascii="Arial (Body)" w:hAnsi="Arial (Body)"/>
                <w:color w:val="000000"/>
                <w:szCs w:val="22"/>
              </w:rPr>
            </w:pPr>
            <m:oMathPara>
              <m:oMathParaPr>
                <m:jc m:val="right"/>
              </m:oMathParaPr>
              <m:oMath>
                <m:r>
                  <m:rPr>
                    <m:sty m:val="p"/>
                  </m:rPr>
                  <w:rPr>
                    <w:rFonts w:ascii="Cambria Math" w:hAnsi="Cambria Math"/>
                    <w:color w:val="000000"/>
                    <w:szCs w:val="22"/>
                  </w:rPr>
                  <m:t xml:space="preserve">  </m:t>
                </m:r>
                <m:f>
                  <m:fPr>
                    <m:ctrlPr>
                      <w:rPr>
                        <w:rFonts w:ascii="Cambria Math" w:hAnsi="Cambria Math"/>
                        <w:color w:val="000000"/>
                        <w:szCs w:val="22"/>
                      </w:rPr>
                    </m:ctrlPr>
                  </m:fPr>
                  <m:num>
                    <m:r>
                      <w:rPr>
                        <w:rFonts w:ascii="Cambria Math" w:hAnsi="Cambria Math"/>
                        <w:color w:val="000000"/>
                        <w:szCs w:val="22"/>
                      </w:rPr>
                      <m:t>π</m:t>
                    </m:r>
                  </m:num>
                  <m:den>
                    <m:r>
                      <w:rPr>
                        <w:rFonts w:ascii="Cambria Math" w:hAnsi="Cambria Math"/>
                        <w:color w:val="000000"/>
                        <w:szCs w:val="22"/>
                      </w:rPr>
                      <m:t>K</m:t>
                    </m:r>
                  </m:den>
                </m:f>
              </m:oMath>
            </m:oMathPara>
          </w:p>
        </w:tc>
      </w:tr>
      <w:tr w:rsidR="00E348F8" w:rsidRPr="00E348F8" w14:paraId="4C66B4AC" w14:textId="77777777" w:rsidTr="00E348F8">
        <w:tc>
          <w:tcPr>
            <w:tcW w:w="1082" w:type="pct"/>
            <w:tcBorders>
              <w:top w:val="nil"/>
              <w:bottom w:val="nil"/>
            </w:tcBorders>
            <w:shd w:val="clear" w:color="auto" w:fill="auto"/>
          </w:tcPr>
          <w:p w14:paraId="31B29440" w14:textId="77777777" w:rsidR="00080A8B" w:rsidRPr="00E348F8" w:rsidRDefault="00080A8B" w:rsidP="00E348F8">
            <w:pPr>
              <w:pStyle w:val="TableBodyText"/>
              <w:spacing w:before="45" w:after="45"/>
              <w:ind w:left="57" w:right="108"/>
              <w:jc w:val="left"/>
              <w:rPr>
                <w:rFonts w:ascii="Arial (Body)" w:hAnsi="Arial (Body)"/>
                <w:bCs/>
              </w:rPr>
            </w:pPr>
            <w:r w:rsidRPr="00E348F8">
              <w:rPr>
                <w:rFonts w:ascii="Arial (Body)" w:hAnsi="Arial (Body)"/>
                <w:bCs/>
              </w:rPr>
              <w:t>M2</w:t>
            </w:r>
          </w:p>
        </w:tc>
        <w:tc>
          <w:tcPr>
            <w:tcW w:w="2501" w:type="pct"/>
            <w:tcBorders>
              <w:top w:val="nil"/>
              <w:bottom w:val="nil"/>
            </w:tcBorders>
            <w:shd w:val="clear" w:color="auto" w:fill="auto"/>
          </w:tcPr>
          <w:p w14:paraId="2AEE20B6" w14:textId="2D585B83" w:rsidR="00080A8B" w:rsidRPr="00E348F8" w:rsidRDefault="00080A8B" w:rsidP="00E348F8">
            <w:pPr>
              <w:pStyle w:val="TableBodyText"/>
              <w:spacing w:before="45" w:after="45"/>
              <w:ind w:left="57" w:right="108"/>
              <w:jc w:val="left"/>
              <w:rPr>
                <w:rFonts w:ascii="Arial (Body)" w:hAnsi="Arial (Body)"/>
                <w:color w:val="000000"/>
              </w:rPr>
            </w:pPr>
            <w:r w:rsidRPr="00E348F8">
              <w:rPr>
                <w:rFonts w:ascii="Arial (Body)" w:hAnsi="Arial (Body)"/>
                <w:color w:val="000000"/>
              </w:rPr>
              <w:t>measured gross capital share of output</w:t>
            </w:r>
          </w:p>
        </w:tc>
        <w:tc>
          <w:tcPr>
            <w:tcW w:w="1417" w:type="pct"/>
            <w:tcBorders>
              <w:top w:val="nil"/>
              <w:bottom w:val="nil"/>
            </w:tcBorders>
            <w:shd w:val="clear" w:color="auto" w:fill="auto"/>
          </w:tcPr>
          <w:p w14:paraId="0C69A835" w14:textId="4AFE1ABC" w:rsidR="00080A8B" w:rsidRPr="00E348F8" w:rsidRDefault="00521B82" w:rsidP="00E348F8">
            <w:pPr>
              <w:pStyle w:val="TableBodyText"/>
              <w:spacing w:before="45" w:after="45"/>
              <w:ind w:left="57" w:right="108"/>
              <w:jc w:val="left"/>
              <w:rPr>
                <w:rFonts w:ascii="Arial (Body)" w:hAnsi="Arial (Body)"/>
                <w:color w:val="000000"/>
                <w:szCs w:val="22"/>
              </w:rPr>
            </w:pPr>
            <m:oMathPara>
              <m:oMathParaPr>
                <m:jc m:val="right"/>
              </m:oMathParaPr>
              <m:oMath>
                <m:f>
                  <m:fPr>
                    <m:ctrlPr>
                      <w:rPr>
                        <w:rFonts w:ascii="Cambria Math" w:hAnsi="Cambria Math"/>
                        <w:color w:val="000000"/>
                        <w:szCs w:val="22"/>
                      </w:rPr>
                    </m:ctrlPr>
                  </m:fPr>
                  <m:num>
                    <m:r>
                      <w:rPr>
                        <w:rFonts w:ascii="Cambria Math" w:hAnsi="Cambria Math"/>
                        <w:color w:val="000000"/>
                        <w:szCs w:val="22"/>
                      </w:rPr>
                      <m:t>π</m:t>
                    </m:r>
                  </m:num>
                  <m:den>
                    <m:r>
                      <w:rPr>
                        <w:rFonts w:ascii="Cambria Math" w:hAnsi="Cambria Math"/>
                        <w:color w:val="000000"/>
                        <w:szCs w:val="22"/>
                      </w:rPr>
                      <m:t>Y</m:t>
                    </m:r>
                  </m:den>
                </m:f>
              </m:oMath>
            </m:oMathPara>
          </w:p>
        </w:tc>
      </w:tr>
      <w:tr w:rsidR="00E348F8" w:rsidRPr="00E348F8" w14:paraId="0B1FBD7C" w14:textId="77777777" w:rsidTr="00E348F8">
        <w:tc>
          <w:tcPr>
            <w:tcW w:w="1082" w:type="pct"/>
            <w:tcBorders>
              <w:bottom w:val="nil"/>
            </w:tcBorders>
            <w:shd w:val="clear" w:color="auto" w:fill="F2F2F2"/>
          </w:tcPr>
          <w:p w14:paraId="1B2E05E6" w14:textId="77777777" w:rsidR="00080A8B" w:rsidRPr="00E348F8" w:rsidRDefault="00080A8B" w:rsidP="00E348F8">
            <w:pPr>
              <w:pStyle w:val="TableBodyText"/>
              <w:spacing w:before="45" w:after="45"/>
              <w:ind w:left="57" w:right="108"/>
              <w:jc w:val="left"/>
              <w:rPr>
                <w:rFonts w:ascii="Arial (Body)" w:hAnsi="Arial (Body)"/>
                <w:bCs/>
              </w:rPr>
            </w:pPr>
            <w:r w:rsidRPr="00E348F8">
              <w:rPr>
                <w:rFonts w:ascii="Arial (Body)" w:hAnsi="Arial (Body)"/>
                <w:bCs/>
              </w:rPr>
              <w:t>M3</w:t>
            </w:r>
          </w:p>
        </w:tc>
        <w:tc>
          <w:tcPr>
            <w:tcW w:w="2501" w:type="pct"/>
            <w:tcBorders>
              <w:bottom w:val="nil"/>
            </w:tcBorders>
            <w:shd w:val="clear" w:color="auto" w:fill="F2F2F2"/>
          </w:tcPr>
          <w:p w14:paraId="4FA5131C" w14:textId="54D5D167" w:rsidR="00080A8B" w:rsidRPr="00E348F8" w:rsidRDefault="00080A8B" w:rsidP="00E348F8">
            <w:pPr>
              <w:pStyle w:val="TableBodyText"/>
              <w:spacing w:before="45" w:after="45"/>
              <w:ind w:left="57" w:right="108"/>
              <w:jc w:val="left"/>
              <w:rPr>
                <w:rFonts w:ascii="Arial (Body)" w:hAnsi="Arial (Body)"/>
                <w:color w:val="000000"/>
              </w:rPr>
            </w:pPr>
            <w:r w:rsidRPr="00E348F8">
              <w:rPr>
                <w:rFonts w:ascii="Arial (Body)" w:hAnsi="Arial (Body)"/>
                <w:color w:val="000000"/>
              </w:rPr>
              <w:t>investment</w:t>
            </w:r>
            <w:r w:rsidRPr="00E348F8">
              <w:rPr>
                <w:rFonts w:ascii="Arial (Body)" w:hAnsi="Arial (Body)"/>
                <w:color w:val="000000"/>
              </w:rPr>
              <w:noBreakHyphen/>
              <w:t>capital ratio</w:t>
            </w:r>
          </w:p>
        </w:tc>
        <w:tc>
          <w:tcPr>
            <w:tcW w:w="1417" w:type="pct"/>
            <w:tcBorders>
              <w:bottom w:val="nil"/>
            </w:tcBorders>
            <w:shd w:val="clear" w:color="auto" w:fill="F2F2F2"/>
          </w:tcPr>
          <w:p w14:paraId="0ADAE8C0" w14:textId="33CD3A26" w:rsidR="00080A8B" w:rsidRPr="00E348F8" w:rsidRDefault="00521B82" w:rsidP="00E348F8">
            <w:pPr>
              <w:pStyle w:val="TableBodyText"/>
              <w:spacing w:before="45" w:after="45"/>
              <w:ind w:left="57" w:right="108"/>
              <w:jc w:val="left"/>
              <w:rPr>
                <w:rFonts w:ascii="Arial (Body)" w:hAnsi="Arial (Body)"/>
                <w:color w:val="000000"/>
                <w:szCs w:val="22"/>
              </w:rPr>
            </w:pPr>
            <m:oMathPara>
              <m:oMathParaPr>
                <m:jc m:val="right"/>
              </m:oMathParaPr>
              <m:oMath>
                <m:f>
                  <m:fPr>
                    <m:ctrlPr>
                      <w:rPr>
                        <w:rFonts w:ascii="Cambria Math" w:hAnsi="Cambria Math"/>
                        <w:color w:val="000000"/>
                        <w:szCs w:val="22"/>
                      </w:rPr>
                    </m:ctrlPr>
                  </m:fPr>
                  <m:num>
                    <m:r>
                      <w:rPr>
                        <w:rFonts w:ascii="Cambria Math" w:hAnsi="Cambria Math"/>
                        <w:color w:val="000000"/>
                        <w:szCs w:val="22"/>
                      </w:rPr>
                      <m:t>I</m:t>
                    </m:r>
                  </m:num>
                  <m:den>
                    <m:r>
                      <w:rPr>
                        <w:rFonts w:ascii="Cambria Math" w:hAnsi="Cambria Math"/>
                        <w:color w:val="000000"/>
                        <w:szCs w:val="22"/>
                      </w:rPr>
                      <m:t>K</m:t>
                    </m:r>
                  </m:den>
                </m:f>
              </m:oMath>
            </m:oMathPara>
          </w:p>
        </w:tc>
      </w:tr>
      <w:tr w:rsidR="00E348F8" w:rsidRPr="00E348F8" w14:paraId="64D55499" w14:textId="77777777" w:rsidTr="00E348F8">
        <w:tc>
          <w:tcPr>
            <w:tcW w:w="1082" w:type="pct"/>
            <w:tcBorders>
              <w:top w:val="nil"/>
              <w:bottom w:val="nil"/>
            </w:tcBorders>
            <w:shd w:val="clear" w:color="auto" w:fill="auto"/>
          </w:tcPr>
          <w:p w14:paraId="5BB4E635" w14:textId="77777777" w:rsidR="00080A8B" w:rsidRPr="00E348F8" w:rsidRDefault="00080A8B" w:rsidP="00E348F8">
            <w:pPr>
              <w:pStyle w:val="TableBodyText"/>
              <w:spacing w:before="45" w:after="45"/>
              <w:ind w:left="57" w:right="108"/>
              <w:jc w:val="left"/>
              <w:rPr>
                <w:rFonts w:ascii="Arial (Body)" w:hAnsi="Arial (Body)"/>
                <w:bCs/>
              </w:rPr>
            </w:pPr>
            <w:r w:rsidRPr="00E348F8">
              <w:rPr>
                <w:rFonts w:ascii="Arial (Body)" w:hAnsi="Arial (Body)"/>
                <w:bCs/>
              </w:rPr>
              <w:t>M4</w:t>
            </w:r>
          </w:p>
        </w:tc>
        <w:tc>
          <w:tcPr>
            <w:tcW w:w="2501" w:type="pct"/>
            <w:tcBorders>
              <w:top w:val="nil"/>
              <w:bottom w:val="nil"/>
            </w:tcBorders>
            <w:shd w:val="clear" w:color="auto" w:fill="auto"/>
          </w:tcPr>
          <w:p w14:paraId="45F066E1" w14:textId="194C779D" w:rsidR="00080A8B" w:rsidRPr="00E348F8" w:rsidRDefault="00080A8B" w:rsidP="00E348F8">
            <w:pPr>
              <w:pStyle w:val="TableBodyText"/>
              <w:spacing w:before="45" w:after="45"/>
              <w:ind w:left="57" w:right="108"/>
              <w:jc w:val="left"/>
              <w:rPr>
                <w:rFonts w:ascii="Arial (Body)" w:hAnsi="Arial (Body)"/>
                <w:color w:val="000000"/>
              </w:rPr>
            </w:pPr>
            <w:r w:rsidRPr="00E348F8">
              <w:rPr>
                <w:rFonts w:ascii="Arial (Body)" w:hAnsi="Arial (Body)"/>
                <w:color w:val="000000"/>
              </w:rPr>
              <w:t>risk</w:t>
            </w:r>
            <w:r w:rsidRPr="00E348F8">
              <w:rPr>
                <w:rFonts w:ascii="Arial (Body)" w:hAnsi="Arial (Body)"/>
                <w:color w:val="000000"/>
              </w:rPr>
              <w:noBreakHyphen/>
              <w:t>free rate</w:t>
            </w:r>
          </w:p>
        </w:tc>
        <w:tc>
          <w:tcPr>
            <w:tcW w:w="1417" w:type="pct"/>
            <w:tcBorders>
              <w:top w:val="nil"/>
              <w:bottom w:val="nil"/>
            </w:tcBorders>
            <w:shd w:val="clear" w:color="auto" w:fill="auto"/>
          </w:tcPr>
          <w:p w14:paraId="32A7A799" w14:textId="7A3B9B6A" w:rsidR="00080A8B" w:rsidRPr="00E348F8" w:rsidRDefault="00521B82" w:rsidP="00E348F8">
            <w:pPr>
              <w:pStyle w:val="TableBodyText"/>
              <w:spacing w:before="45" w:after="45"/>
              <w:ind w:left="57" w:right="108"/>
              <w:jc w:val="left"/>
              <w:rPr>
                <w:rFonts w:ascii="Arial (Body)" w:hAnsi="Arial (Body)"/>
                <w:color w:val="000000"/>
              </w:rPr>
            </w:pPr>
            <m:oMathPara>
              <m:oMathParaPr>
                <m:jc m:val="right"/>
              </m:oMathParaPr>
              <m:oMath>
                <m:sSub>
                  <m:sSubPr>
                    <m:ctrlPr>
                      <w:rPr>
                        <w:rFonts w:ascii="Cambria Math" w:hAnsi="Cambria Math"/>
                        <w:color w:val="000000"/>
                      </w:rPr>
                    </m:ctrlPr>
                  </m:sSubPr>
                  <m:e>
                    <m:r>
                      <w:rPr>
                        <w:rFonts w:ascii="Cambria Math" w:hAnsi="Cambria Math"/>
                        <w:color w:val="000000"/>
                      </w:rPr>
                      <m:t>r</m:t>
                    </m:r>
                  </m:e>
                  <m:sub>
                    <m:r>
                      <w:rPr>
                        <w:rFonts w:ascii="Cambria Math" w:hAnsi="Cambria Math"/>
                        <w:color w:val="000000"/>
                      </w:rPr>
                      <m:t>f</m:t>
                    </m:r>
                  </m:sub>
                </m:sSub>
              </m:oMath>
            </m:oMathPara>
          </w:p>
        </w:tc>
      </w:tr>
      <w:tr w:rsidR="00E348F8" w:rsidRPr="00E348F8" w14:paraId="29115803" w14:textId="77777777" w:rsidTr="00E348F8">
        <w:tc>
          <w:tcPr>
            <w:tcW w:w="1082" w:type="pct"/>
            <w:tcBorders>
              <w:bottom w:val="nil"/>
            </w:tcBorders>
            <w:shd w:val="clear" w:color="auto" w:fill="F2F2F2"/>
          </w:tcPr>
          <w:p w14:paraId="671B5E60" w14:textId="77777777" w:rsidR="00080A8B" w:rsidRPr="00E348F8" w:rsidRDefault="00080A8B" w:rsidP="00E348F8">
            <w:pPr>
              <w:pStyle w:val="TableBodyText"/>
              <w:spacing w:before="45" w:after="45"/>
              <w:ind w:left="57" w:right="108"/>
              <w:jc w:val="left"/>
              <w:rPr>
                <w:rFonts w:ascii="Arial (Body)" w:hAnsi="Arial (Body)"/>
                <w:bCs/>
              </w:rPr>
            </w:pPr>
            <w:r w:rsidRPr="00E348F8">
              <w:rPr>
                <w:rFonts w:ascii="Arial (Body)" w:hAnsi="Arial (Body)"/>
                <w:bCs/>
              </w:rPr>
              <w:t>M5</w:t>
            </w:r>
          </w:p>
        </w:tc>
        <w:tc>
          <w:tcPr>
            <w:tcW w:w="2501" w:type="pct"/>
            <w:tcBorders>
              <w:bottom w:val="nil"/>
            </w:tcBorders>
            <w:shd w:val="clear" w:color="auto" w:fill="F2F2F2"/>
          </w:tcPr>
          <w:p w14:paraId="20007F30" w14:textId="6A98D19A" w:rsidR="00080A8B" w:rsidRPr="00E348F8" w:rsidRDefault="00080A8B" w:rsidP="00E348F8">
            <w:pPr>
              <w:pStyle w:val="TableBodyText"/>
              <w:spacing w:before="45" w:after="45"/>
              <w:ind w:left="57" w:right="108"/>
              <w:jc w:val="left"/>
              <w:rPr>
                <w:rFonts w:ascii="Arial (Body)" w:hAnsi="Arial (Body)"/>
                <w:color w:val="000000"/>
              </w:rPr>
            </w:pPr>
            <w:r w:rsidRPr="00E348F8">
              <w:rPr>
                <w:rFonts w:ascii="Arial (Body)" w:hAnsi="Arial (Body)"/>
                <w:color w:val="000000"/>
              </w:rPr>
              <w:t>price</w:t>
            </w:r>
            <w:r w:rsidRPr="00E348F8">
              <w:rPr>
                <w:rFonts w:ascii="Arial (Body)" w:hAnsi="Arial (Body)"/>
                <w:color w:val="000000"/>
              </w:rPr>
              <w:noBreakHyphen/>
              <w:t>dividend ratio</w:t>
            </w:r>
          </w:p>
        </w:tc>
        <w:tc>
          <w:tcPr>
            <w:tcW w:w="1417" w:type="pct"/>
            <w:tcBorders>
              <w:bottom w:val="nil"/>
            </w:tcBorders>
            <w:shd w:val="clear" w:color="auto" w:fill="F2F2F2"/>
          </w:tcPr>
          <w:p w14:paraId="4E1C2702" w14:textId="2BA377C8" w:rsidR="00080A8B" w:rsidRPr="00E348F8" w:rsidRDefault="00E348F8" w:rsidP="00E348F8">
            <w:pPr>
              <w:pStyle w:val="TableBodyText"/>
              <w:spacing w:before="45" w:after="45"/>
              <w:ind w:left="57" w:right="108"/>
              <w:jc w:val="left"/>
              <w:rPr>
                <w:rFonts w:ascii="Arial (Body)" w:hAnsi="Arial (Body)"/>
                <w:color w:val="000000"/>
              </w:rPr>
            </w:pPr>
            <m:oMathPara>
              <m:oMathParaPr>
                <m:jc m:val="right"/>
              </m:oMathParaPr>
              <m:oMath>
                <m:r>
                  <w:rPr>
                    <w:rFonts w:ascii="Cambria Math" w:hAnsi="Cambria Math"/>
                    <w:color w:val="000000"/>
                  </w:rPr>
                  <m:t>P</m:t>
                </m:r>
                <m:r>
                  <m:rPr>
                    <m:sty m:val="p"/>
                  </m:rPr>
                  <w:rPr>
                    <w:rFonts w:ascii="Cambria Math" w:hAnsi="Cambria Math"/>
                    <w:color w:val="000000"/>
                  </w:rPr>
                  <m:t>/</m:t>
                </m:r>
                <m:r>
                  <w:rPr>
                    <w:rFonts w:ascii="Cambria Math" w:hAnsi="Cambria Math"/>
                    <w:color w:val="000000"/>
                  </w:rPr>
                  <m:t>D</m:t>
                </m:r>
              </m:oMath>
            </m:oMathPara>
          </w:p>
        </w:tc>
      </w:tr>
      <w:tr w:rsidR="00E348F8" w:rsidRPr="00E348F8" w14:paraId="6BF196CF" w14:textId="77777777" w:rsidTr="00E348F8">
        <w:tc>
          <w:tcPr>
            <w:tcW w:w="1082" w:type="pct"/>
            <w:tcBorders>
              <w:top w:val="nil"/>
              <w:bottom w:val="nil"/>
            </w:tcBorders>
            <w:shd w:val="clear" w:color="auto" w:fill="auto"/>
          </w:tcPr>
          <w:p w14:paraId="196A2E3A" w14:textId="77777777" w:rsidR="00080A8B" w:rsidRPr="00E348F8" w:rsidRDefault="00080A8B" w:rsidP="00E348F8">
            <w:pPr>
              <w:pStyle w:val="TableBodyText"/>
              <w:spacing w:before="45" w:after="45"/>
              <w:ind w:left="57" w:right="108"/>
              <w:jc w:val="left"/>
              <w:rPr>
                <w:rFonts w:ascii="Arial (Body)" w:hAnsi="Arial (Body)"/>
                <w:bCs/>
              </w:rPr>
            </w:pPr>
            <w:r w:rsidRPr="00E348F8">
              <w:rPr>
                <w:rFonts w:ascii="Arial (Body)" w:hAnsi="Arial (Body)"/>
                <w:bCs/>
              </w:rPr>
              <w:t>M6</w:t>
            </w:r>
          </w:p>
        </w:tc>
        <w:tc>
          <w:tcPr>
            <w:tcW w:w="2501" w:type="pct"/>
            <w:tcBorders>
              <w:top w:val="nil"/>
              <w:bottom w:val="nil"/>
            </w:tcBorders>
            <w:shd w:val="clear" w:color="auto" w:fill="auto"/>
          </w:tcPr>
          <w:p w14:paraId="197C3752" w14:textId="5A5C9036" w:rsidR="00080A8B" w:rsidRPr="00E348F8" w:rsidRDefault="00080A8B" w:rsidP="00E348F8">
            <w:pPr>
              <w:pStyle w:val="TableBodyText"/>
              <w:spacing w:before="45" w:after="45"/>
              <w:ind w:left="57" w:right="108"/>
              <w:jc w:val="left"/>
              <w:rPr>
                <w:rFonts w:ascii="Arial (Body)" w:hAnsi="Arial (Body)"/>
                <w:color w:val="000000"/>
              </w:rPr>
            </w:pPr>
            <w:r w:rsidRPr="00E348F8">
              <w:rPr>
                <w:rFonts w:ascii="Arial (Body)" w:hAnsi="Arial (Body)"/>
                <w:color w:val="000000"/>
              </w:rPr>
              <w:t xml:space="preserve">growth rate of population </w:t>
            </w:r>
          </w:p>
        </w:tc>
        <w:tc>
          <w:tcPr>
            <w:tcW w:w="1417" w:type="pct"/>
            <w:tcBorders>
              <w:top w:val="nil"/>
              <w:bottom w:val="nil"/>
            </w:tcBorders>
            <w:shd w:val="clear" w:color="auto" w:fill="auto"/>
          </w:tcPr>
          <w:p w14:paraId="4D630CDF" w14:textId="03965019" w:rsidR="00080A8B" w:rsidRPr="00E348F8" w:rsidRDefault="00521B82" w:rsidP="00E348F8">
            <w:pPr>
              <w:pStyle w:val="TableBodyText"/>
              <w:spacing w:before="45" w:after="45"/>
              <w:ind w:left="57" w:right="108"/>
              <w:jc w:val="left"/>
              <w:rPr>
                <w:rFonts w:ascii="Arial (Body)" w:hAnsi="Arial (Body)"/>
                <w:color w:val="000000"/>
              </w:rPr>
            </w:pPr>
            <m:oMathPara>
              <m:oMathParaPr>
                <m:jc m:val="right"/>
              </m:oMathParaPr>
              <m:oMath>
                <m:sSub>
                  <m:sSubPr>
                    <m:ctrlPr>
                      <w:rPr>
                        <w:rFonts w:ascii="Cambria Math" w:hAnsi="Cambria Math"/>
                        <w:color w:val="000000"/>
                      </w:rPr>
                    </m:ctrlPr>
                  </m:sSubPr>
                  <m:e>
                    <m:r>
                      <w:rPr>
                        <w:rFonts w:ascii="Cambria Math" w:hAnsi="Cambria Math"/>
                        <w:color w:val="000000"/>
                      </w:rPr>
                      <m:t>g</m:t>
                    </m:r>
                  </m:e>
                  <m:sub>
                    <m:r>
                      <w:rPr>
                        <w:rFonts w:ascii="Cambria Math" w:hAnsi="Cambria Math"/>
                        <w:color w:val="000000"/>
                      </w:rPr>
                      <m:t>L</m:t>
                    </m:r>
                  </m:sub>
                </m:sSub>
              </m:oMath>
            </m:oMathPara>
          </w:p>
        </w:tc>
      </w:tr>
      <w:tr w:rsidR="00E348F8" w:rsidRPr="00E348F8" w14:paraId="785F9B3A" w14:textId="77777777" w:rsidTr="00E348F8">
        <w:tc>
          <w:tcPr>
            <w:tcW w:w="1082" w:type="pct"/>
            <w:tcBorders>
              <w:bottom w:val="nil"/>
            </w:tcBorders>
            <w:shd w:val="clear" w:color="auto" w:fill="F2F2F2"/>
          </w:tcPr>
          <w:p w14:paraId="2E336E33" w14:textId="77777777" w:rsidR="00080A8B" w:rsidRPr="00E348F8" w:rsidRDefault="00080A8B" w:rsidP="00E348F8">
            <w:pPr>
              <w:pStyle w:val="TableBodyText"/>
              <w:spacing w:before="45" w:after="45"/>
              <w:ind w:left="57" w:right="108"/>
              <w:jc w:val="left"/>
              <w:rPr>
                <w:rFonts w:ascii="Arial (Body)" w:hAnsi="Arial (Body)"/>
                <w:bCs/>
              </w:rPr>
            </w:pPr>
            <w:r w:rsidRPr="00E348F8">
              <w:rPr>
                <w:rFonts w:ascii="Arial (Body)" w:hAnsi="Arial (Body)"/>
                <w:bCs/>
              </w:rPr>
              <w:t>M7</w:t>
            </w:r>
          </w:p>
        </w:tc>
        <w:tc>
          <w:tcPr>
            <w:tcW w:w="2501" w:type="pct"/>
            <w:tcBorders>
              <w:bottom w:val="nil"/>
            </w:tcBorders>
            <w:shd w:val="clear" w:color="auto" w:fill="F2F2F2"/>
          </w:tcPr>
          <w:p w14:paraId="06175CB1" w14:textId="1E51C3C8" w:rsidR="00080A8B" w:rsidRPr="00E348F8" w:rsidRDefault="00080A8B" w:rsidP="00E348F8">
            <w:pPr>
              <w:pStyle w:val="TableBodyText"/>
              <w:spacing w:before="45" w:after="45"/>
              <w:ind w:left="57" w:right="108"/>
              <w:jc w:val="left"/>
              <w:rPr>
                <w:rFonts w:ascii="Arial (Body)" w:hAnsi="Arial (Body)"/>
                <w:color w:val="000000"/>
              </w:rPr>
            </w:pPr>
            <w:r w:rsidRPr="00E348F8">
              <w:rPr>
                <w:rFonts w:ascii="Arial (Body)" w:hAnsi="Arial (Body)"/>
                <w:color w:val="000000"/>
              </w:rPr>
              <w:t>growth rate of total factor productivity</w:t>
            </w:r>
          </w:p>
        </w:tc>
        <w:tc>
          <w:tcPr>
            <w:tcW w:w="1417" w:type="pct"/>
            <w:tcBorders>
              <w:bottom w:val="nil"/>
            </w:tcBorders>
            <w:shd w:val="clear" w:color="auto" w:fill="F2F2F2"/>
          </w:tcPr>
          <w:p w14:paraId="494BB4B0" w14:textId="55D9B1D0" w:rsidR="00080A8B" w:rsidRPr="00E348F8" w:rsidRDefault="00521B82" w:rsidP="00E348F8">
            <w:pPr>
              <w:pStyle w:val="TableBodyText"/>
              <w:spacing w:before="45" w:after="45"/>
              <w:ind w:left="57" w:right="108"/>
              <w:jc w:val="left"/>
              <w:rPr>
                <w:rFonts w:ascii="Arial (Body)" w:hAnsi="Arial (Body)"/>
                <w:color w:val="000000"/>
              </w:rPr>
            </w:pPr>
            <m:oMathPara>
              <m:oMathParaPr>
                <m:jc m:val="right"/>
              </m:oMathParaPr>
              <m:oMath>
                <m:sSub>
                  <m:sSubPr>
                    <m:ctrlPr>
                      <w:rPr>
                        <w:rFonts w:ascii="Cambria Math" w:hAnsi="Cambria Math"/>
                        <w:color w:val="000000"/>
                      </w:rPr>
                    </m:ctrlPr>
                  </m:sSubPr>
                  <m:e>
                    <m:r>
                      <w:rPr>
                        <w:rFonts w:ascii="Cambria Math" w:hAnsi="Cambria Math"/>
                        <w:color w:val="000000"/>
                      </w:rPr>
                      <m:t>g</m:t>
                    </m:r>
                  </m:e>
                  <m:sub>
                    <m:r>
                      <w:rPr>
                        <w:rFonts w:ascii="Cambria Math" w:hAnsi="Cambria Math"/>
                        <w:color w:val="000000"/>
                      </w:rPr>
                      <m:t>Z</m:t>
                    </m:r>
                  </m:sub>
                </m:sSub>
              </m:oMath>
            </m:oMathPara>
          </w:p>
        </w:tc>
      </w:tr>
      <w:tr w:rsidR="00E348F8" w:rsidRPr="00E348F8" w14:paraId="41E2949E" w14:textId="77777777" w:rsidTr="00E348F8">
        <w:tc>
          <w:tcPr>
            <w:tcW w:w="1082" w:type="pct"/>
            <w:tcBorders>
              <w:top w:val="nil"/>
              <w:bottom w:val="nil"/>
            </w:tcBorders>
            <w:shd w:val="clear" w:color="auto" w:fill="auto"/>
          </w:tcPr>
          <w:p w14:paraId="06D2F15E" w14:textId="77777777" w:rsidR="00080A8B" w:rsidRPr="00E348F8" w:rsidRDefault="00080A8B" w:rsidP="00E348F8">
            <w:pPr>
              <w:pStyle w:val="TableBodyText"/>
              <w:spacing w:before="45" w:after="45"/>
              <w:ind w:left="57" w:right="108"/>
              <w:jc w:val="left"/>
              <w:rPr>
                <w:rFonts w:ascii="Arial (Body)" w:hAnsi="Arial (Body)"/>
                <w:bCs/>
              </w:rPr>
            </w:pPr>
            <w:r w:rsidRPr="00E348F8">
              <w:rPr>
                <w:rFonts w:ascii="Arial (Body)" w:hAnsi="Arial (Body)"/>
                <w:bCs/>
              </w:rPr>
              <w:t>M8</w:t>
            </w:r>
          </w:p>
        </w:tc>
        <w:tc>
          <w:tcPr>
            <w:tcW w:w="2501" w:type="pct"/>
            <w:tcBorders>
              <w:top w:val="nil"/>
              <w:bottom w:val="nil"/>
            </w:tcBorders>
            <w:shd w:val="clear" w:color="auto" w:fill="auto"/>
          </w:tcPr>
          <w:p w14:paraId="658248D6" w14:textId="715FAEB6" w:rsidR="00080A8B" w:rsidRPr="00E348F8" w:rsidRDefault="00080A8B" w:rsidP="00E348F8">
            <w:pPr>
              <w:pStyle w:val="TableBodyText"/>
              <w:spacing w:before="45" w:after="45"/>
              <w:ind w:left="57" w:right="108"/>
              <w:jc w:val="left"/>
              <w:rPr>
                <w:rFonts w:ascii="Arial (Body)" w:hAnsi="Arial (Body)"/>
                <w:color w:val="000000"/>
              </w:rPr>
            </w:pPr>
            <w:r w:rsidRPr="00E348F8">
              <w:rPr>
                <w:rFonts w:ascii="Arial (Body)" w:hAnsi="Arial (Body)"/>
                <w:color w:val="000000"/>
              </w:rPr>
              <w:t>negative of growth rate of investment prices</w:t>
            </w:r>
          </w:p>
        </w:tc>
        <w:tc>
          <w:tcPr>
            <w:tcW w:w="1417" w:type="pct"/>
            <w:tcBorders>
              <w:top w:val="nil"/>
              <w:bottom w:val="nil"/>
            </w:tcBorders>
            <w:shd w:val="clear" w:color="auto" w:fill="auto"/>
          </w:tcPr>
          <w:p w14:paraId="52312198" w14:textId="49E60ECD" w:rsidR="00080A8B" w:rsidRPr="00E348F8" w:rsidRDefault="00521B82" w:rsidP="00E348F8">
            <w:pPr>
              <w:pStyle w:val="TableBodyText"/>
              <w:spacing w:before="45" w:after="45"/>
              <w:ind w:left="57" w:right="108"/>
              <w:jc w:val="left"/>
              <w:rPr>
                <w:rFonts w:ascii="Arial (Body)" w:hAnsi="Arial (Body)"/>
                <w:color w:val="000000"/>
              </w:rPr>
            </w:pPr>
            <m:oMathPara>
              <m:oMathParaPr>
                <m:jc m:val="right"/>
              </m:oMathParaPr>
              <m:oMath>
                <m:sSub>
                  <m:sSubPr>
                    <m:ctrlPr>
                      <w:rPr>
                        <w:rFonts w:ascii="Cambria Math" w:hAnsi="Cambria Math"/>
                        <w:color w:val="000000"/>
                      </w:rPr>
                    </m:ctrlPr>
                  </m:sSubPr>
                  <m:e>
                    <m:r>
                      <w:rPr>
                        <w:rFonts w:ascii="Cambria Math" w:hAnsi="Cambria Math"/>
                        <w:color w:val="000000"/>
                      </w:rPr>
                      <m:t>g</m:t>
                    </m:r>
                  </m:e>
                  <m:sub>
                    <m:r>
                      <w:rPr>
                        <w:rFonts w:ascii="Cambria Math" w:hAnsi="Cambria Math"/>
                        <w:color w:val="000000"/>
                      </w:rPr>
                      <m:t>Q</m:t>
                    </m:r>
                  </m:sub>
                </m:sSub>
              </m:oMath>
            </m:oMathPara>
          </w:p>
        </w:tc>
      </w:tr>
      <w:tr w:rsidR="00E348F8" w:rsidRPr="00E348F8" w14:paraId="06256174" w14:textId="77777777" w:rsidTr="00E348F8">
        <w:tc>
          <w:tcPr>
            <w:tcW w:w="1082" w:type="pct"/>
            <w:tcBorders>
              <w:bottom w:val="nil"/>
            </w:tcBorders>
            <w:shd w:val="clear" w:color="auto" w:fill="F2F2F2"/>
          </w:tcPr>
          <w:p w14:paraId="2C6C476B" w14:textId="77777777" w:rsidR="00080A8B" w:rsidRPr="00E348F8" w:rsidRDefault="00080A8B" w:rsidP="00E348F8">
            <w:pPr>
              <w:pStyle w:val="TableBodyText"/>
              <w:spacing w:before="45" w:after="45"/>
              <w:ind w:left="57" w:right="108"/>
              <w:jc w:val="left"/>
              <w:rPr>
                <w:rFonts w:ascii="Arial (Body)" w:hAnsi="Arial (Body)"/>
                <w:bCs/>
              </w:rPr>
            </w:pPr>
            <w:r w:rsidRPr="00E348F8">
              <w:rPr>
                <w:rFonts w:ascii="Arial (Body)" w:hAnsi="Arial (Body)"/>
                <w:bCs/>
              </w:rPr>
              <w:t>M9</w:t>
            </w:r>
          </w:p>
        </w:tc>
        <w:tc>
          <w:tcPr>
            <w:tcW w:w="2501" w:type="pct"/>
            <w:tcBorders>
              <w:bottom w:val="nil"/>
            </w:tcBorders>
            <w:shd w:val="clear" w:color="auto" w:fill="F2F2F2"/>
          </w:tcPr>
          <w:p w14:paraId="50FC9B6D" w14:textId="2EB5D0BD" w:rsidR="00080A8B" w:rsidRPr="00E348F8" w:rsidRDefault="00080A8B" w:rsidP="00E348F8">
            <w:pPr>
              <w:pStyle w:val="TableBodyText"/>
              <w:spacing w:before="45" w:after="45"/>
              <w:ind w:left="57" w:right="108"/>
              <w:jc w:val="left"/>
              <w:rPr>
                <w:rFonts w:ascii="Arial (Body)" w:hAnsi="Arial (Body)"/>
                <w:color w:val="000000"/>
              </w:rPr>
            </w:pPr>
            <w:r w:rsidRPr="00E348F8">
              <w:rPr>
                <w:rFonts w:ascii="Arial (Body)" w:hAnsi="Arial (Body)"/>
                <w:color w:val="000000"/>
              </w:rPr>
              <w:t>employment</w:t>
            </w:r>
            <w:r w:rsidRPr="00E348F8">
              <w:rPr>
                <w:rFonts w:ascii="Arial (Body)" w:hAnsi="Arial (Body)"/>
                <w:color w:val="000000"/>
              </w:rPr>
              <w:noBreakHyphen/>
              <w:t>population ratio</w:t>
            </w:r>
          </w:p>
        </w:tc>
        <w:tc>
          <w:tcPr>
            <w:tcW w:w="1417" w:type="pct"/>
            <w:tcBorders>
              <w:bottom w:val="nil"/>
            </w:tcBorders>
            <w:shd w:val="clear" w:color="auto" w:fill="F2F2F2"/>
          </w:tcPr>
          <w:p w14:paraId="05E39059" w14:textId="2F5C8712" w:rsidR="00080A8B" w:rsidRPr="00E348F8" w:rsidRDefault="00E348F8" w:rsidP="00E348F8">
            <w:pPr>
              <w:pStyle w:val="TableBodyText"/>
              <w:spacing w:before="45" w:after="45"/>
              <w:ind w:left="57" w:right="108"/>
              <w:jc w:val="left"/>
              <w:rPr>
                <w:rFonts w:ascii="Arial (Body)" w:hAnsi="Arial (Body)"/>
                <w:color w:val="000000"/>
              </w:rPr>
            </w:pPr>
            <m:oMathPara>
              <m:oMathParaPr>
                <m:jc m:val="right"/>
              </m:oMathParaPr>
              <m:oMath>
                <m:r>
                  <w:rPr>
                    <w:rFonts w:ascii="Cambria Math" w:hAnsi="Cambria Math"/>
                    <w:color w:val="000000"/>
                  </w:rPr>
                  <m:t>E</m:t>
                </m:r>
                <m:r>
                  <m:rPr>
                    <m:sty m:val="p"/>
                  </m:rPr>
                  <w:rPr>
                    <w:rFonts w:ascii="Cambria Math" w:hAnsi="Cambria Math"/>
                    <w:color w:val="000000"/>
                  </w:rPr>
                  <m:t>/</m:t>
                </m:r>
                <m:r>
                  <w:rPr>
                    <w:rFonts w:ascii="Cambria Math" w:hAnsi="Cambria Math"/>
                    <w:color w:val="000000"/>
                  </w:rPr>
                  <m:t>P</m:t>
                </m:r>
              </m:oMath>
            </m:oMathPara>
          </w:p>
        </w:tc>
      </w:tr>
      <w:tr w:rsidR="00E348F8" w:rsidRPr="00E348F8" w14:paraId="596AB955" w14:textId="77777777" w:rsidTr="00E348F8">
        <w:tc>
          <w:tcPr>
            <w:tcW w:w="1082" w:type="pct"/>
            <w:tcBorders>
              <w:top w:val="nil"/>
            </w:tcBorders>
            <w:shd w:val="clear" w:color="auto" w:fill="auto"/>
          </w:tcPr>
          <w:p w14:paraId="63185EAE" w14:textId="77777777" w:rsidR="00080A8B" w:rsidRPr="00E348F8" w:rsidRDefault="00080A8B" w:rsidP="00E348F8">
            <w:pPr>
              <w:pStyle w:val="TableBodyText"/>
              <w:spacing w:before="45" w:after="45"/>
              <w:ind w:left="57" w:right="108"/>
              <w:jc w:val="left"/>
              <w:rPr>
                <w:rFonts w:ascii="Arial (Body)" w:hAnsi="Arial (Body)"/>
                <w:bCs/>
              </w:rPr>
            </w:pPr>
            <w:r w:rsidRPr="00E348F8">
              <w:rPr>
                <w:rFonts w:ascii="Arial (Body)" w:hAnsi="Arial (Body)"/>
                <w:bCs/>
              </w:rPr>
              <w:t>M10</w:t>
            </w:r>
          </w:p>
        </w:tc>
        <w:tc>
          <w:tcPr>
            <w:tcW w:w="2501" w:type="pct"/>
            <w:tcBorders>
              <w:top w:val="nil"/>
            </w:tcBorders>
            <w:shd w:val="clear" w:color="auto" w:fill="auto"/>
          </w:tcPr>
          <w:p w14:paraId="38F51440" w14:textId="1D3D0697" w:rsidR="00080A8B" w:rsidRPr="00E348F8" w:rsidRDefault="00080A8B" w:rsidP="00E348F8">
            <w:pPr>
              <w:pStyle w:val="TableBodyText"/>
              <w:spacing w:before="45" w:after="45"/>
              <w:ind w:left="57" w:right="108"/>
              <w:jc w:val="left"/>
              <w:rPr>
                <w:rFonts w:ascii="Arial (Body)" w:hAnsi="Arial (Body)"/>
                <w:color w:val="000000"/>
              </w:rPr>
            </w:pPr>
            <w:r w:rsidRPr="00E348F8">
              <w:rPr>
                <w:rFonts w:ascii="Arial (Body)" w:hAnsi="Arial (Body)"/>
                <w:color w:val="000000"/>
              </w:rPr>
              <w:t>supply of labour</w:t>
            </w:r>
          </w:p>
        </w:tc>
        <w:tc>
          <w:tcPr>
            <w:tcW w:w="1417" w:type="pct"/>
            <w:tcBorders>
              <w:top w:val="nil"/>
            </w:tcBorders>
            <w:shd w:val="clear" w:color="auto" w:fill="auto"/>
          </w:tcPr>
          <w:p w14:paraId="2D16A954" w14:textId="7228ABF7" w:rsidR="00080A8B" w:rsidRPr="00E348F8" w:rsidRDefault="00E348F8" w:rsidP="00E348F8">
            <w:pPr>
              <w:pStyle w:val="TableBodyText"/>
              <w:spacing w:before="45" w:after="45"/>
              <w:ind w:left="57" w:right="108"/>
              <w:jc w:val="left"/>
              <w:rPr>
                <w:rFonts w:ascii="Arial (Body)" w:hAnsi="Arial (Body)"/>
                <w:color w:val="000000"/>
              </w:rPr>
            </w:pPr>
            <m:oMathPara>
              <m:oMathParaPr>
                <m:jc m:val="right"/>
              </m:oMathParaPr>
              <m:oMath>
                <m:r>
                  <w:rPr>
                    <w:rFonts w:ascii="Cambria Math" w:hAnsi="Cambria Math"/>
                    <w:color w:val="000000"/>
                  </w:rPr>
                  <m:t>N</m:t>
                </m:r>
              </m:oMath>
            </m:oMathPara>
          </w:p>
        </w:tc>
      </w:tr>
    </w:tbl>
    <w:p w14:paraId="0496C684" w14:textId="65CBE2B1" w:rsidR="006D2565" w:rsidRDefault="006D2565" w:rsidP="008369F9">
      <w:pPr>
        <w:pStyle w:val="Heading2"/>
        <w:numPr>
          <w:ilvl w:val="1"/>
          <w:numId w:val="15"/>
        </w:numPr>
        <w:ind w:left="720"/>
      </w:pPr>
      <w:bookmarkStart w:id="9" w:name="_Toc158878728"/>
      <w:bookmarkStart w:id="10" w:name="_Toc161228809"/>
      <w:r>
        <w:t xml:space="preserve">Model </w:t>
      </w:r>
      <w:r w:rsidR="00A106BD">
        <w:t>outline</w:t>
      </w:r>
      <w:bookmarkEnd w:id="9"/>
      <w:bookmarkEnd w:id="10"/>
    </w:p>
    <w:p w14:paraId="274A5F2B" w14:textId="77777777" w:rsidR="006D2565" w:rsidRDefault="006D2565" w:rsidP="006D2565">
      <w:pPr>
        <w:pStyle w:val="BodyText"/>
      </w:pPr>
      <w:r>
        <w:t>The model is a fairly standard representative-agent economy, with an assumption of constant rates of growth in population, TFP and investment-specific progress, and a technology-neutral productivity shock. Model assumptions are indicated by an asterisk (*). The building block equations that allow the main parameters to be estimated are indicated by numbers.</w:t>
      </w:r>
    </w:p>
    <w:p w14:paraId="6B31AFD8" w14:textId="77777777" w:rsidR="006D2565" w:rsidRDefault="006D2565" w:rsidP="006D2565">
      <w:pPr>
        <w:pStyle w:val="BodyText"/>
      </w:pPr>
      <w:r>
        <w:t>Consumers are assumed to have an Epstein-Zin utility function:</w:t>
      </w:r>
    </w:p>
    <w:p w14:paraId="6C33ED5C" w14:textId="77777777" w:rsidR="006D2565" w:rsidRPr="00C91080" w:rsidRDefault="00521B82" w:rsidP="006D2565">
      <w:pPr>
        <w:pStyle w:val="BodyText"/>
        <w:jc w:val="cente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β</m:t>
                          </m:r>
                        </m:e>
                      </m:d>
                      <m:sSub>
                        <m:sSubPr>
                          <m:ctrlPr>
                            <w:rPr>
                              <w:rFonts w:ascii="Cambria Math" w:hAnsi="Cambria Math"/>
                              <w:i/>
                            </w:rPr>
                          </m:ctrlPr>
                        </m:sSubPr>
                        <m:e>
                          <m:r>
                            <w:rPr>
                              <w:rFonts w:ascii="Cambria Math" w:hAnsi="Cambria Math"/>
                            </w:rPr>
                            <m:t>L</m:t>
                          </m:r>
                        </m:e>
                        <m:sub>
                          <m:r>
                            <w:rPr>
                              <w:rFonts w:ascii="Cambria Math" w:hAnsi="Cambria Math"/>
                            </w:rPr>
                            <m:t>t</m:t>
                          </m:r>
                        </m:sub>
                      </m:sSub>
                      <m:sSubSup>
                        <m:sSubSupPr>
                          <m:ctrlPr>
                            <w:rPr>
                              <w:rFonts w:ascii="Cambria Math" w:hAnsi="Cambria Math"/>
                              <w:i/>
                            </w:rPr>
                          </m:ctrlPr>
                        </m:sSubSupPr>
                        <m:e>
                          <m:r>
                            <w:rPr>
                              <w:rFonts w:ascii="Cambria Math" w:hAnsi="Cambria Math"/>
                            </w:rPr>
                            <m:t>c</m:t>
                          </m:r>
                        </m:e>
                        <m:sub>
                          <m:r>
                            <w:rPr>
                              <w:rFonts w:ascii="Cambria Math" w:hAnsi="Cambria Math"/>
                            </w:rPr>
                            <m:t>pc</m:t>
                          </m:r>
                          <m:r>
                            <w:rPr>
                              <w:rFonts w:ascii="Cambria Math" w:hAnsi="Cambria Math"/>
                            </w:rPr>
                            <m:t>,</m:t>
                          </m:r>
                          <m:r>
                            <w:rPr>
                              <w:rFonts w:ascii="Cambria Math" w:hAnsi="Cambria Math"/>
                            </w:rPr>
                            <m:t>t</m:t>
                          </m:r>
                        </m:sub>
                        <m:sup>
                          <m:r>
                            <w:rPr>
                              <w:rFonts w:ascii="Cambria Math" w:hAnsi="Cambria Math"/>
                            </w:rPr>
                            <m:t>1-</m:t>
                          </m:r>
                          <m:r>
                            <w:rPr>
                              <w:rFonts w:ascii="Cambria Math" w:hAnsi="Cambria Math"/>
                            </w:rPr>
                            <m:t>σ</m:t>
                          </m:r>
                        </m:sup>
                      </m:sSubSup>
                      <m:r>
                        <w:rPr>
                          <w:rFonts w:ascii="Cambria Math" w:hAnsi="Cambria Math"/>
                        </w:rPr>
                        <m:t>+</m:t>
                      </m:r>
                      <m:r>
                        <w:rPr>
                          <w:rFonts w:ascii="Cambria Math" w:hAnsi="Cambria Math"/>
                        </w:rPr>
                        <m:t>β</m:t>
                      </m:r>
                      <m:sSub>
                        <m:sSubPr>
                          <m:ctrlPr>
                            <w:rPr>
                              <w:rFonts w:ascii="Cambria Math" w:hAnsi="Cambria Math"/>
                              <w:i/>
                            </w:rPr>
                          </m:ctrlPr>
                        </m:sSubPr>
                        <m:e>
                          <m:r>
                            <w:rPr>
                              <w:rFonts w:ascii="Cambria Math" w:hAnsi="Cambria Math"/>
                            </w:rPr>
                            <m:t>E</m:t>
                          </m:r>
                        </m:e>
                        <m:sub>
                          <m:r>
                            <w:rPr>
                              <w:rFonts w:ascii="Cambria Math" w:hAnsi="Cambria Math"/>
                            </w:rPr>
                            <m:t>t</m:t>
                          </m:r>
                        </m:sub>
                      </m:sSub>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V</m:t>
                                  </m:r>
                                </m:e>
                                <m:sub>
                                  <m:r>
                                    <w:rPr>
                                      <w:rFonts w:ascii="Cambria Math" w:hAnsi="Cambria Math"/>
                                    </w:rPr>
                                    <m:t>t</m:t>
                                  </m:r>
                                  <m:r>
                                    <w:rPr>
                                      <w:rFonts w:ascii="Cambria Math" w:hAnsi="Cambria Math"/>
                                    </w:rPr>
                                    <m:t>+1</m:t>
                                  </m:r>
                                </m:sub>
                                <m:sup>
                                  <m:r>
                                    <w:rPr>
                                      <w:rFonts w:ascii="Cambria Math" w:hAnsi="Cambria Math"/>
                                    </w:rPr>
                                    <m:t>1-</m:t>
                                  </m:r>
                                  <m:r>
                                    <w:rPr>
                                      <w:rFonts w:ascii="Cambria Math" w:hAnsi="Cambria Math"/>
                                    </w:rPr>
                                    <m:t>θ</m:t>
                                  </m:r>
                                </m:sup>
                              </m:sSubSup>
                            </m:e>
                          </m:d>
                        </m:e>
                        <m:sup>
                          <m:f>
                            <m:fPr>
                              <m:ctrlPr>
                                <w:rPr>
                                  <w:rFonts w:ascii="Cambria Math" w:hAnsi="Cambria Math"/>
                                  <w:i/>
                                </w:rPr>
                              </m:ctrlPr>
                            </m:fPr>
                            <m:num>
                              <m:r>
                                <w:rPr>
                                  <w:rFonts w:ascii="Cambria Math" w:hAnsi="Cambria Math"/>
                                </w:rPr>
                                <m:t>1-</m:t>
                              </m:r>
                              <m:r>
                                <w:rPr>
                                  <w:rFonts w:ascii="Cambria Math" w:hAnsi="Cambria Math"/>
                                </w:rPr>
                                <m:t>σ</m:t>
                              </m:r>
                            </m:num>
                            <m:den>
                              <m:r>
                                <w:rPr>
                                  <w:rFonts w:ascii="Cambria Math" w:hAnsi="Cambria Math"/>
                                </w:rPr>
                                <m:t>1-</m:t>
                              </m:r>
                              <m:r>
                                <w:rPr>
                                  <w:rFonts w:ascii="Cambria Math" w:hAnsi="Cambria Math"/>
                                </w:rPr>
                                <m:t>θ</m:t>
                              </m:r>
                            </m:den>
                          </m:f>
                        </m:sup>
                      </m:sSup>
                    </m:e>
                  </m:d>
                </m:e>
                <m:sup>
                  <m:f>
                    <m:fPr>
                      <m:ctrlPr>
                        <w:rPr>
                          <w:rFonts w:ascii="Cambria Math" w:hAnsi="Cambria Math"/>
                          <w:i/>
                        </w:rPr>
                      </m:ctrlPr>
                    </m:fPr>
                    <m:num>
                      <m:r>
                        <w:rPr>
                          <w:rFonts w:ascii="Cambria Math" w:hAnsi="Cambria Math"/>
                        </w:rPr>
                        <m:t>1</m:t>
                      </m:r>
                    </m:num>
                    <m:den>
                      <m:r>
                        <w:rPr>
                          <w:rFonts w:ascii="Cambria Math" w:hAnsi="Cambria Math"/>
                        </w:rPr>
                        <m:t>1-</m:t>
                      </m:r>
                      <m:r>
                        <w:rPr>
                          <w:rFonts w:ascii="Cambria Math" w:hAnsi="Cambria Math"/>
                        </w:rPr>
                        <m:t>σ</m:t>
                      </m:r>
                    </m:den>
                  </m:f>
                </m:sup>
              </m:sSup>
              <m:r>
                <w:rPr>
                  <w:rFonts w:ascii="Cambria Math" w:hAnsi="Cambria Math"/>
                </w:rPr>
                <m:t>#</m:t>
              </m:r>
              <m:d>
                <m:dPr>
                  <m:ctrlPr>
                    <w:rPr>
                      <w:rFonts w:ascii="Cambria Math" w:hAnsi="Cambria Math"/>
                      <w:i/>
                    </w:rPr>
                  </m:ctrlPr>
                </m:dPr>
                <m:e>
                  <m:r>
                    <w:rPr>
                      <w:rFonts w:ascii="Cambria Math" w:hAnsi="Cambria Math"/>
                    </w:rPr>
                    <m:t>*</m:t>
                  </m:r>
                </m:e>
              </m:d>
            </m:e>
          </m:eqArr>
        </m:oMath>
      </m:oMathPara>
    </w:p>
    <w:p w14:paraId="1F25DCA2" w14:textId="77777777" w:rsidR="006D2565" w:rsidRDefault="006D2565" w:rsidP="006D2565">
      <w:pPr>
        <w:pStyle w:val="BodyText"/>
      </w:pPr>
      <w:r>
        <w:t xml:space="preserve">where </w:t>
      </w:r>
      <m:oMath>
        <m:sSub>
          <m:sSubPr>
            <m:ctrlPr>
              <w:rPr>
                <w:rFonts w:ascii="Cambria Math" w:hAnsi="Cambria Math"/>
                <w:i/>
              </w:rPr>
            </m:ctrlPr>
          </m:sSubPr>
          <m:e>
            <m:r>
              <w:rPr>
                <w:rFonts w:ascii="Cambria Math" w:hAnsi="Cambria Math"/>
              </w:rPr>
              <m:t>L</m:t>
            </m:r>
          </m:e>
          <m:sub>
            <m:r>
              <w:rPr>
                <w:rFonts w:ascii="Cambria Math" w:hAnsi="Cambria Math"/>
              </w:rPr>
              <m:t>t</m:t>
            </m:r>
          </m:sub>
        </m:sSub>
      </m:oMath>
      <w:r>
        <w:t xml:space="preserve"> is population size and </w:t>
      </w:r>
      <m:oMath>
        <m:sSub>
          <m:sSubPr>
            <m:ctrlPr>
              <w:rPr>
                <w:rFonts w:ascii="Cambria Math" w:hAnsi="Cambria Math"/>
                <w:i/>
              </w:rPr>
            </m:ctrlPr>
          </m:sSubPr>
          <m:e>
            <m:r>
              <w:rPr>
                <w:rFonts w:ascii="Cambria Math" w:hAnsi="Cambria Math"/>
              </w:rPr>
              <m:t>c</m:t>
            </m:r>
          </m:e>
          <m:sub>
            <m:r>
              <w:rPr>
                <w:rFonts w:ascii="Cambria Math" w:hAnsi="Cambria Math"/>
              </w:rPr>
              <m:t>pc,t</m:t>
            </m:r>
          </m:sub>
        </m:sSub>
      </m:oMath>
      <w:r>
        <w:t xml:space="preserve"> is per-capita consumption in period </w:t>
      </w:r>
      <m:oMath>
        <m:r>
          <w:rPr>
            <w:rFonts w:ascii="Cambria Math" w:hAnsi="Cambria Math"/>
          </w:rPr>
          <m:t>t</m:t>
        </m:r>
      </m:oMath>
      <w:r>
        <w:t>.</w:t>
      </w:r>
    </w:p>
    <w:p w14:paraId="0A8DF039" w14:textId="77777777" w:rsidR="006D2565" w:rsidRDefault="006D2565" w:rsidP="006D2565">
      <w:pPr>
        <w:pStyle w:val="BodyText"/>
      </w:pPr>
      <w:r>
        <w:t>Goods are produced using a Cobb-Douglas production function: in aggregate, output is</w:t>
      </w:r>
    </w:p>
    <w:p w14:paraId="0245651F" w14:textId="77777777" w:rsidR="006D2565" w:rsidRPr="005A2B81" w:rsidRDefault="00521B82" w:rsidP="006D2565">
      <w:pPr>
        <w:pStyle w:val="BodyText"/>
        <w:jc w:val="center"/>
        <w:rPr>
          <w:rFonts w:ascii="Cambria Math" w:hAnsi="Cambria Math"/>
          <w:i/>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m:t>
                  </m:r>
                </m:sub>
              </m:sSub>
              <m:sSubSup>
                <m:sSubSupPr>
                  <m:ctrlPr>
                    <w:rPr>
                      <w:rFonts w:ascii="Cambria Math" w:hAnsi="Cambria Math"/>
                      <w:i/>
                    </w:rPr>
                  </m:ctrlPr>
                </m:sSubSupPr>
                <m:e>
                  <m:r>
                    <w:rPr>
                      <w:rFonts w:ascii="Cambria Math" w:hAnsi="Cambria Math"/>
                    </w:rPr>
                    <m:t>K</m:t>
                  </m:r>
                </m:e>
                <m:sub>
                  <m:r>
                    <w:rPr>
                      <w:rFonts w:ascii="Cambria Math" w:hAnsi="Cambria Math"/>
                    </w:rPr>
                    <m:t>t</m:t>
                  </m:r>
                </m:sub>
                <m:sup>
                  <m:r>
                    <w:rPr>
                      <w:rFonts w:ascii="Cambria Math" w:hAnsi="Cambria Math"/>
                    </w:rPr>
                    <m:t>α</m:t>
                  </m:r>
                </m:sup>
              </m:sSubSup>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N</m:t>
                          </m:r>
                        </m:e>
                        <m:sub>
                          <m:r>
                            <w:rPr>
                              <w:rFonts w:ascii="Cambria Math" w:hAnsi="Cambria Math"/>
                            </w:rPr>
                            <m:t>t</m:t>
                          </m:r>
                        </m:sub>
                      </m:sSub>
                    </m:e>
                  </m:d>
                </m:e>
                <m:sup>
                  <m:r>
                    <w:rPr>
                      <w:rFonts w:ascii="Cambria Math" w:hAnsi="Cambria Math"/>
                    </w:rPr>
                    <m:t>1-</m:t>
                  </m:r>
                  <m:r>
                    <w:rPr>
                      <w:rFonts w:ascii="Cambria Math" w:hAnsi="Cambria Math"/>
                    </w:rPr>
                    <m:t>α</m:t>
                  </m:r>
                </m:sup>
              </m:sSup>
              <m:r>
                <w:rPr>
                  <w:rFonts w:ascii="Cambria Math" w:hAnsi="Cambria Math"/>
                </w:rPr>
                <m:t>#</m:t>
              </m:r>
            </m:e>
          </m:eqArr>
          <m:d>
            <m:dPr>
              <m:ctrlPr>
                <w:rPr>
                  <w:rFonts w:ascii="Cambria Math" w:hAnsi="Cambria Math"/>
                  <w:i/>
                </w:rPr>
              </m:ctrlPr>
            </m:dPr>
            <m:e>
              <m:r>
                <w:rPr>
                  <w:rFonts w:ascii="Cambria Math" w:hAnsi="Cambria Math"/>
                </w:rPr>
                <m:t>*</m:t>
              </m:r>
            </m:e>
          </m:d>
        </m:oMath>
      </m:oMathPara>
    </w:p>
    <w:p w14:paraId="3B450265" w14:textId="612088A2" w:rsidR="006D2565" w:rsidRDefault="006D2565" w:rsidP="006D2565">
      <w:pPr>
        <w:pStyle w:val="BodyText"/>
      </w:pPr>
      <w:r>
        <w:t xml:space="preserve">where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t xml:space="preserve"> is labour and </w:t>
      </w:r>
      <m:oMath>
        <m:sSub>
          <m:sSubPr>
            <m:ctrlPr>
              <w:rPr>
                <w:rFonts w:ascii="Cambria Math" w:hAnsi="Cambria Math"/>
                <w:i/>
              </w:rPr>
            </m:ctrlPr>
          </m:sSubPr>
          <m:e>
            <m:r>
              <w:rPr>
                <w:rFonts w:ascii="Cambria Math" w:hAnsi="Cambria Math"/>
              </w:rPr>
              <m:t>S</m:t>
            </m:r>
          </m:e>
          <m:sub>
            <m:r>
              <w:rPr>
                <w:rFonts w:ascii="Cambria Math" w:hAnsi="Cambria Math"/>
              </w:rPr>
              <m:t>t</m:t>
            </m:r>
          </m:sub>
        </m:sSub>
      </m:oMath>
      <w:r>
        <w:t xml:space="preserve"> is a martingale productivity process: </w:t>
      </w:r>
      <m:oMath>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e</m:t>
            </m:r>
          </m:e>
          <m:sup>
            <m:sSub>
              <m:sSubPr>
                <m:ctrlPr>
                  <w:rPr>
                    <w:rFonts w:ascii="Cambria Math" w:hAnsi="Cambria Math"/>
                    <w:i/>
                  </w:rPr>
                </m:ctrlPr>
              </m:sSubPr>
              <m:e>
                <m:r>
                  <w:rPr>
                    <w:rFonts w:ascii="Cambria Math" w:hAnsi="Cambria Math"/>
                  </w:rPr>
                  <m:t>χ</m:t>
                </m:r>
              </m:e>
              <m:sub>
                <m:r>
                  <w:rPr>
                    <w:rFonts w:ascii="Cambria Math" w:hAnsi="Cambria Math"/>
                  </w:rPr>
                  <m:t>t+1</m:t>
                </m:r>
              </m:sub>
            </m:sSub>
          </m:sup>
        </m:sSup>
      </m:oMath>
      <w:r>
        <w:t>.</w:t>
      </w:r>
      <w:r w:rsidR="003D1796">
        <w:t xml:space="preserve"> </w:t>
      </w:r>
      <w:r>
        <w:t xml:space="preserve">And there is constant elasticity of substitution </w:t>
      </w:r>
      <m:oMath>
        <m:r>
          <w:rPr>
            <w:rFonts w:ascii="Cambria Math" w:hAnsi="Cambria Math"/>
          </w:rPr>
          <m:t>μ</m:t>
        </m:r>
      </m:oMath>
      <w:r w:rsidR="00D6001F">
        <w:t xml:space="preserve"> </w:t>
      </w:r>
      <w:r>
        <w:t xml:space="preserve">between goods from the point of view of the consumer. As a result, each good producer charges a constant markup over its cost, equal to the elasticity of substitution, </w:t>
      </w:r>
      <m:oMath>
        <m:r>
          <w:rPr>
            <w:rFonts w:ascii="Cambria Math" w:hAnsi="Cambria Math"/>
          </w:rPr>
          <m:t>μ</m:t>
        </m:r>
      </m:oMath>
      <w:r>
        <w:t xml:space="preserve">; a larger </w:t>
      </w:r>
      <m:oMath>
        <m:r>
          <w:rPr>
            <w:rFonts w:ascii="Cambria Math" w:hAnsi="Cambria Math"/>
          </w:rPr>
          <m:t>μ</m:t>
        </m:r>
      </m:oMath>
      <w:r>
        <w:t xml:space="preserve"> implies greater market power. The markup also affects labour’s share of gross value added:</w:t>
      </w:r>
    </w:p>
    <w:p w14:paraId="6179B602" w14:textId="77777777" w:rsidR="006D2565" w:rsidRPr="00C91080" w:rsidRDefault="00521B82" w:rsidP="006D2565">
      <w:pPr>
        <w:pStyle w:val="BodyText"/>
        <w:jc w:val="center"/>
        <w:rPr>
          <w:rFonts w:ascii="Cambria Math" w:hAnsi="Cambria Math"/>
          <w:i/>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s</m:t>
                  </m:r>
                </m:e>
                <m:sub>
                  <m:r>
                    <w:rPr>
                      <w:rFonts w:ascii="Cambria Math" w:hAnsi="Cambria Math"/>
                    </w:rPr>
                    <m:t>L</m:t>
                  </m:r>
                </m:sub>
              </m:sSub>
              <m:r>
                <w:rPr>
                  <w:rFonts w:ascii="Cambria Math" w:hAnsi="Cambria Math"/>
                </w:rPr>
                <m:t>=1-</m:t>
              </m:r>
              <m:f>
                <m:fPr>
                  <m:ctrlPr>
                    <w:rPr>
                      <w:rFonts w:ascii="Cambria Math" w:hAnsi="Cambria Math"/>
                      <w:i/>
                    </w:rPr>
                  </m:ctrlPr>
                </m:fPr>
                <m:num>
                  <m:r>
                    <w:rPr>
                      <w:rFonts w:ascii="Cambria Math" w:hAnsi="Cambria Math"/>
                    </w:rPr>
                    <m:t>π</m:t>
                  </m:r>
                </m:num>
                <m:den>
                  <m:r>
                    <w:rPr>
                      <w:rFonts w:ascii="Cambria Math" w:hAnsi="Cambria Math"/>
                    </w:rPr>
                    <m:t>Y</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t</m:t>
                      </m:r>
                    </m:sub>
                  </m:sSub>
                  <m:sSub>
                    <m:sSubPr>
                      <m:ctrlPr>
                        <w:rPr>
                          <w:rFonts w:ascii="Cambria Math" w:hAnsi="Cambria Math"/>
                          <w:i/>
                        </w:rPr>
                      </m:ctrlPr>
                    </m:sSubPr>
                    <m:e>
                      <m:r>
                        <w:rPr>
                          <w:rFonts w:ascii="Cambria Math" w:hAnsi="Cambria Math"/>
                        </w:rPr>
                        <m:t>N</m:t>
                      </m:r>
                    </m:e>
                    <m:sub>
                      <m:r>
                        <w:rPr>
                          <w:rFonts w:ascii="Cambria Math" w:hAnsi="Cambria Math"/>
                        </w:rPr>
                        <m:t>t</m:t>
                      </m:r>
                    </m:sub>
                  </m:sSub>
                </m:num>
                <m:den>
                  <m:sSub>
                    <m:sSubPr>
                      <m:ctrlPr>
                        <w:rPr>
                          <w:rFonts w:ascii="Cambria Math" w:hAnsi="Cambria Math"/>
                          <w:i/>
                        </w:rPr>
                      </m:ctrlPr>
                    </m:sSubPr>
                    <m:e>
                      <m:r>
                        <w:rPr>
                          <w:rFonts w:ascii="Cambria Math" w:hAnsi="Cambria Math"/>
                        </w:rPr>
                        <m:t>Y</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r>
                    <w:rPr>
                      <w:rFonts w:ascii="Cambria Math" w:hAnsi="Cambria Math"/>
                    </w:rPr>
                    <m:t>α</m:t>
                  </m:r>
                </m:num>
                <m:den>
                  <m:r>
                    <w:rPr>
                      <w:rFonts w:ascii="Cambria Math" w:hAnsi="Cambria Math"/>
                    </w:rPr>
                    <m:t>μ</m:t>
                  </m:r>
                </m:den>
              </m:f>
              <m:r>
                <w:rPr>
                  <w:rFonts w:ascii="Cambria Math" w:hAnsi="Cambria Math"/>
                </w:rPr>
                <m:t>#</m:t>
              </m:r>
              <m:d>
                <m:dPr>
                  <m:ctrlPr>
                    <w:rPr>
                      <w:rFonts w:ascii="Cambria Math" w:hAnsi="Cambria Math"/>
                      <w:i/>
                    </w:rPr>
                  </m:ctrlPr>
                </m:dPr>
                <m:e>
                  <m:r>
                    <w:rPr>
                      <w:rFonts w:ascii="Cambria Math" w:hAnsi="Cambria Math"/>
                    </w:rPr>
                    <m:t>1</m:t>
                  </m:r>
                </m:e>
              </m:d>
            </m:e>
          </m:eqArr>
        </m:oMath>
      </m:oMathPara>
    </w:p>
    <w:p w14:paraId="154848FD" w14:textId="77777777" w:rsidR="006D2565" w:rsidRDefault="006D2565" w:rsidP="00BB6A34">
      <w:pPr>
        <w:pStyle w:val="BodyText"/>
        <w:keepNext/>
      </w:pPr>
      <w:r>
        <w:lastRenderedPageBreak/>
        <w:t>And the markup affects the first-order condition for the rental of capital and hiring of labour:</w:t>
      </w:r>
    </w:p>
    <w:p w14:paraId="1124D8B8" w14:textId="77777777" w:rsidR="006D2565" w:rsidRDefault="006D2565" w:rsidP="006D2565">
      <w:pPr>
        <w:pStyle w:val="BodyText"/>
      </w:pPr>
      <m:oMathPara>
        <m:oMath>
          <m:r>
            <w:rPr>
              <w:rFonts w:ascii="Cambria Math" w:hAnsi="Cambria Math"/>
            </w:rPr>
            <m:t>α</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t</m:t>
                  </m:r>
                </m:sub>
              </m:sSub>
            </m:num>
            <m:den>
              <m:sSub>
                <m:sSubPr>
                  <m:ctrlPr>
                    <w:rPr>
                      <w:rFonts w:ascii="Cambria Math" w:hAnsi="Cambria Math"/>
                      <w:i/>
                    </w:rPr>
                  </m:ctrlPr>
                </m:sSubPr>
                <m:e>
                  <m:r>
                    <w:rPr>
                      <w:rFonts w:ascii="Cambria Math" w:hAnsi="Cambria Math"/>
                    </w:rPr>
                    <m:t>K</m:t>
                  </m:r>
                </m:e>
                <m:sub>
                  <m:r>
                    <w:rPr>
                      <w:rFonts w:ascii="Cambria Math" w:hAnsi="Cambria Math"/>
                    </w:rPr>
                    <m:t>t</m:t>
                  </m:r>
                </m:sub>
              </m:sSub>
            </m:den>
          </m:f>
          <m:r>
            <w:rPr>
              <w:rFonts w:ascii="Cambria Math" w:hAnsi="Cambria Math"/>
            </w:rPr>
            <m:t>=μ</m:t>
          </m:r>
          <m:sSub>
            <m:sSubPr>
              <m:ctrlPr>
                <w:rPr>
                  <w:rFonts w:ascii="Cambria Math" w:hAnsi="Cambria Math"/>
                  <w:i/>
                </w:rPr>
              </m:ctrlPr>
            </m:sSubPr>
            <m:e>
              <m:r>
                <w:rPr>
                  <w:rFonts w:ascii="Cambria Math" w:hAnsi="Cambria Math"/>
                </w:rPr>
                <m:t>R</m:t>
              </m:r>
            </m:e>
            <m:sub>
              <m:r>
                <w:rPr>
                  <w:rFonts w:ascii="Cambria Math" w:hAnsi="Cambria Math"/>
                </w:rPr>
                <m:t>t</m:t>
              </m:r>
            </m:sub>
          </m:sSub>
        </m:oMath>
      </m:oMathPara>
    </w:p>
    <w:p w14:paraId="4D9AD745" w14:textId="77777777" w:rsidR="006D2565" w:rsidRDefault="006D2565" w:rsidP="006D2565">
      <w:pPr>
        <w:pStyle w:val="BodyText"/>
      </w:pPr>
      <w:r>
        <w:t xml:space="preserve">Capital is assumed to accumulate in line with depreciation, investment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t xml:space="preserve">, and investment-specific technical progress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t xml:space="preserve">: </w:t>
      </w:r>
    </w:p>
    <w:p w14:paraId="48415665" w14:textId="77777777" w:rsidR="006D2565" w:rsidRPr="005A2B81" w:rsidRDefault="00521B82" w:rsidP="006D2565">
      <w:pPr>
        <w:pStyle w:val="BodyText"/>
        <w:ind w:firstLine="720"/>
        <w:jc w:val="cente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K</m:t>
                  </m:r>
                </m:e>
                <m:sub>
                  <m:r>
                    <w:rPr>
                      <w:rFonts w:ascii="Cambria Math" w:hAnsi="Cambria Math"/>
                    </w:rPr>
                    <m:t>t</m:t>
                  </m:r>
                  <m:r>
                    <w:rPr>
                      <w:rFonts w:ascii="Cambria Math" w:hAnsi="Cambria Math"/>
                    </w:rPr>
                    <m:t>+1</m:t>
                  </m:r>
                </m:sub>
              </m:sSub>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δ</m:t>
                      </m:r>
                    </m:e>
                  </m:d>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t</m:t>
                      </m:r>
                    </m:sub>
                  </m:sSub>
                  <m:sSub>
                    <m:sSubPr>
                      <m:ctrlPr>
                        <w:rPr>
                          <w:rFonts w:ascii="Cambria Math" w:hAnsi="Cambria Math"/>
                          <w:i/>
                        </w:rPr>
                      </m:ctrlPr>
                    </m:sSubPr>
                    <m:e>
                      <m:r>
                        <w:rPr>
                          <w:rFonts w:ascii="Cambria Math" w:hAnsi="Cambria Math"/>
                        </w:rPr>
                        <m:t>X</m:t>
                      </m:r>
                    </m:e>
                    <m:sub>
                      <m:r>
                        <w:rPr>
                          <w:rFonts w:ascii="Cambria Math" w:hAnsi="Cambria Math"/>
                        </w:rPr>
                        <m:t>t</m:t>
                      </m:r>
                    </m:sub>
                  </m:sSub>
                </m:e>
              </m:d>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χ</m:t>
                      </m:r>
                    </m:e>
                    <m:sub>
                      <m:r>
                        <w:rPr>
                          <w:rFonts w:ascii="Cambria Math" w:hAnsi="Cambria Math"/>
                        </w:rPr>
                        <m:t>t</m:t>
                      </m:r>
                      <m:r>
                        <w:rPr>
                          <w:rFonts w:ascii="Cambria Math" w:hAnsi="Cambria Math"/>
                        </w:rPr>
                        <m:t>+1</m:t>
                      </m:r>
                    </m:sub>
                  </m:sSub>
                </m:sup>
              </m:sSup>
              <m:r>
                <w:rPr>
                  <w:rFonts w:ascii="Cambria Math" w:hAnsi="Cambria Math"/>
                </w:rPr>
                <m:t>#</m:t>
              </m:r>
              <m:d>
                <m:dPr>
                  <m:ctrlPr>
                    <w:rPr>
                      <w:rFonts w:ascii="Cambria Math" w:hAnsi="Cambria Math"/>
                      <w:i/>
                    </w:rPr>
                  </m:ctrlPr>
                </m:dPr>
                <m:e>
                  <m:r>
                    <w:rPr>
                      <w:rFonts w:ascii="Cambria Math" w:hAnsi="Cambria Math"/>
                    </w:rPr>
                    <m:t>*</m:t>
                  </m:r>
                </m:e>
              </m:d>
            </m:e>
          </m:eqArr>
        </m:oMath>
      </m:oMathPara>
    </w:p>
    <w:p w14:paraId="0D9C42DA" w14:textId="2C70CCF3" w:rsidR="006D2565" w:rsidRDefault="004E5B31" w:rsidP="006D2565">
      <w:pPr>
        <w:pStyle w:val="BodyText"/>
      </w:pPr>
      <w:r w:rsidRPr="00BB6A34">
        <w:rPr>
          <w:spacing w:val="-4"/>
        </w:rPr>
        <w:t xml:space="preserve">Farhi and Gourio (2019) </w:t>
      </w:r>
      <w:r w:rsidR="006D2565">
        <w:t xml:space="preserve">assume that population </w:t>
      </w:r>
      <m:oMath>
        <m:r>
          <w:rPr>
            <w:rFonts w:ascii="Cambria Math" w:hAnsi="Cambria Math"/>
          </w:rPr>
          <m:t>L</m:t>
        </m:r>
      </m:oMath>
      <w:r w:rsidR="006D2565">
        <w:t xml:space="preserve">, total factor productivity </w:t>
      </w:r>
      <m:oMath>
        <m:r>
          <w:rPr>
            <w:rFonts w:ascii="Cambria Math" w:hAnsi="Cambria Math"/>
          </w:rPr>
          <m:t>Z</m:t>
        </m:r>
      </m:oMath>
      <w:r w:rsidR="006D2565">
        <w:t xml:space="preserve">, and investment-specific technical progress </w:t>
      </w:r>
      <m:oMath>
        <m:r>
          <w:rPr>
            <w:rFonts w:ascii="Cambria Math" w:hAnsi="Cambria Math"/>
          </w:rPr>
          <m:t>Q</m:t>
        </m:r>
      </m:oMath>
      <w:r w:rsidR="006D2565">
        <w:t xml:space="preserve"> have constant rates of growth </w:t>
      </w:r>
      <m:oMath>
        <m:sSub>
          <m:sSubPr>
            <m:ctrlPr>
              <w:rPr>
                <w:rFonts w:ascii="Cambria Math" w:hAnsi="Cambria Math"/>
              </w:rPr>
            </m:ctrlPr>
          </m:sSubPr>
          <m:e>
            <m:r>
              <w:rPr>
                <w:rFonts w:ascii="Cambria Math" w:hAnsi="Cambria Math"/>
              </w:rPr>
              <m:t>g</m:t>
            </m:r>
          </m:e>
          <m:sub>
            <m:r>
              <w:rPr>
                <w:rFonts w:ascii="Cambria Math" w:hAnsi="Cambria Math"/>
              </w:rPr>
              <m:t>L</m:t>
            </m:r>
          </m:sub>
        </m:sSub>
      </m:oMath>
      <w:r w:rsidR="006D2565">
        <w:t xml:space="preserve">, </w:t>
      </w:r>
      <m:oMath>
        <m:sSub>
          <m:sSubPr>
            <m:ctrlPr>
              <w:rPr>
                <w:rFonts w:ascii="Cambria Math" w:hAnsi="Cambria Math"/>
              </w:rPr>
            </m:ctrlPr>
          </m:sSubPr>
          <m:e>
            <m:r>
              <w:rPr>
                <w:rFonts w:ascii="Cambria Math" w:hAnsi="Cambria Math"/>
              </w:rPr>
              <m:t>g</m:t>
            </m:r>
          </m:e>
          <m:sub>
            <m:r>
              <w:rPr>
                <w:rFonts w:ascii="Cambria Math" w:hAnsi="Cambria Math"/>
              </w:rPr>
              <m:t>Z</m:t>
            </m:r>
          </m:sub>
        </m:sSub>
      </m:oMath>
      <w:r w:rsidR="006D2565">
        <w:t xml:space="preserve">, and </w:t>
      </w:r>
      <m:oMath>
        <m:sSub>
          <m:sSubPr>
            <m:ctrlPr>
              <w:rPr>
                <w:rFonts w:ascii="Cambria Math" w:hAnsi="Cambria Math"/>
              </w:rPr>
            </m:ctrlPr>
          </m:sSubPr>
          <m:e>
            <m:r>
              <w:rPr>
                <w:rFonts w:ascii="Cambria Math" w:hAnsi="Cambria Math"/>
              </w:rPr>
              <m:t>g</m:t>
            </m:r>
          </m:e>
          <m:sub>
            <m:r>
              <w:rPr>
                <w:rFonts w:ascii="Cambria Math" w:hAnsi="Cambria Math"/>
              </w:rPr>
              <m:t>Q</m:t>
            </m:r>
          </m:sub>
        </m:sSub>
      </m:oMath>
      <w:r w:rsidR="006D2565">
        <w:t xml:space="preserve">, so that </w:t>
      </w:r>
      <m:oMath>
        <m:sSub>
          <m:sSubPr>
            <m:ctrlPr>
              <w:rPr>
                <w:rFonts w:ascii="Cambria Math" w:hAnsi="Cambria Math"/>
              </w:rPr>
            </m:ctrlPr>
          </m:sSubPr>
          <m:e>
            <m:r>
              <w:rPr>
                <w:rFonts w:ascii="Cambria Math" w:hAnsi="Cambria Math"/>
              </w:rPr>
              <m:t>Q</m:t>
            </m:r>
          </m:e>
          <m:sub>
            <m:r>
              <w:rPr>
                <w:rFonts w:ascii="Cambria Math" w:hAnsi="Cambria Math"/>
              </w:rPr>
              <m:t>t</m:t>
            </m:r>
          </m:sub>
        </m:sSub>
        <m:r>
          <m:rPr>
            <m:sty m:val="p"/>
          </m:rPr>
          <w:rPr>
            <w:rFonts w:ascii="Cambria Math" w:hAnsi="Cambria Math"/>
          </w:rPr>
          <m:t>=</m:t>
        </m:r>
        <m:sSup>
          <m:sSupPr>
            <m:ctrlPr>
              <w:rPr>
                <w:rFonts w:ascii="Cambria Math" w:hAnsi="Cambria Math"/>
              </w:rPr>
            </m:ctrlPr>
          </m:sSupPr>
          <m:e>
            <m:r>
              <w:rPr>
                <w:rFonts w:ascii="Cambria Math" w:hAnsi="Cambria Math"/>
              </w:rPr>
              <m:t>Q</m:t>
            </m:r>
          </m:e>
          <m:sup>
            <m:r>
              <m:rPr>
                <m:sty m:val="p"/>
              </m:rPr>
              <w:rPr>
                <w:rFonts w:ascii="Cambria Math" w:hAnsi="Cambria Math"/>
              </w:rPr>
              <m:t>*</m:t>
            </m:r>
          </m:sup>
        </m:sSup>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g</m:t>
                    </m:r>
                  </m:e>
                  <m:sub>
                    <m:r>
                      <w:rPr>
                        <w:rFonts w:ascii="Cambria Math" w:hAnsi="Cambria Math"/>
                      </w:rPr>
                      <m:t>Q</m:t>
                    </m:r>
                  </m:sub>
                </m:sSub>
              </m:e>
            </m:d>
          </m:e>
          <m:sup>
            <m:r>
              <w:rPr>
                <w:rFonts w:ascii="Cambria Math" w:hAnsi="Cambria Math"/>
              </w:rPr>
              <m:t>t</m:t>
            </m:r>
          </m:sup>
        </m:sSup>
      </m:oMath>
      <w:r w:rsidR="006D2565">
        <w:t>, for example. The</w:t>
      </w:r>
      <w:r w:rsidR="006C537C">
        <w:t>ir</w:t>
      </w:r>
      <w:r w:rsidR="006D2565">
        <w:t xml:space="preserve"> strongest assumption is that the shock to </w:t>
      </w:r>
      <w:r w:rsidR="00C32C52">
        <w:t>investment productivity</w:t>
      </w:r>
      <w:r w:rsidR="006D2565">
        <w:t xml:space="preserve"> and the shock to labour productivity are the same </w:t>
      </w:r>
      <m:oMath>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χ</m:t>
                </m:r>
              </m:e>
              <m:sub>
                <m:r>
                  <w:rPr>
                    <w:rFonts w:ascii="Cambria Math" w:hAnsi="Cambria Math"/>
                  </w:rPr>
                  <m:t>t</m:t>
                </m:r>
                <m:r>
                  <m:rPr>
                    <m:sty m:val="p"/>
                  </m:rPr>
                  <w:rPr>
                    <w:rFonts w:ascii="Cambria Math" w:hAnsi="Cambria Math"/>
                  </w:rPr>
                  <m:t>+1</m:t>
                </m:r>
              </m:sub>
            </m:sSub>
          </m:sup>
        </m:sSup>
      </m:oMath>
      <w:r w:rsidR="006D2565">
        <w:t xml:space="preserve">; this assumption ensures that the shock is technology neutral. They further assume that </w:t>
      </w:r>
      <m:oMath>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χ</m:t>
                </m:r>
              </m:e>
              <m:sub>
                <m:r>
                  <w:rPr>
                    <w:rFonts w:ascii="Cambria Math" w:hAnsi="Cambria Math"/>
                  </w:rPr>
                  <m:t>t</m:t>
                </m:r>
                <m:r>
                  <m:rPr>
                    <m:sty m:val="p"/>
                  </m:rPr>
                  <w:rPr>
                    <w:rFonts w:ascii="Cambria Math" w:hAnsi="Cambria Math"/>
                  </w:rPr>
                  <m:t>+1</m:t>
                </m:r>
              </m:sub>
            </m:sSub>
          </m:sup>
        </m:sSup>
      </m:oMath>
      <w:r w:rsidR="006D2565">
        <w:t xml:space="preserve"> is i</w:t>
      </w:r>
      <w:r w:rsidR="00CC6A5B">
        <w:t>ndependently and identically distributed</w:t>
      </w:r>
      <w:r w:rsidR="006D2565">
        <w:t xml:space="preserve">, with </w:t>
      </w:r>
      <m:oMath>
        <m:r>
          <w:rPr>
            <w:rFonts w:ascii="Cambria Math" w:hAnsi="Cambria Math"/>
          </w:rPr>
          <m:t>E</m:t>
        </m:r>
        <m:d>
          <m:dPr>
            <m:ctrlPr>
              <w:rPr>
                <w:rFonts w:ascii="Cambria Math" w:hAnsi="Cambria Math"/>
              </w:rPr>
            </m:ctrlPr>
          </m:dPr>
          <m:e>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χ</m:t>
                    </m:r>
                  </m:e>
                  <m:sub>
                    <m:r>
                      <w:rPr>
                        <w:rFonts w:ascii="Cambria Math" w:hAnsi="Cambria Math"/>
                      </w:rPr>
                      <m:t>t</m:t>
                    </m:r>
                    <m:r>
                      <m:rPr>
                        <m:sty m:val="p"/>
                      </m:rPr>
                      <w:rPr>
                        <w:rFonts w:ascii="Cambria Math" w:hAnsi="Cambria Math"/>
                      </w:rPr>
                      <m:t>+1</m:t>
                    </m:r>
                  </m:sub>
                </m:sSub>
              </m:sup>
            </m:sSup>
          </m:e>
        </m:d>
        <m:r>
          <m:rPr>
            <m:sty m:val="p"/>
          </m:rPr>
          <w:rPr>
            <w:rFonts w:ascii="Cambria Math" w:hAnsi="Cambria Math"/>
          </w:rPr>
          <m:t>=1</m:t>
        </m:r>
      </m:oMath>
      <w:r w:rsidR="006D2565">
        <w:t>. Then investment, output and consumption grow at the same rate:</w:t>
      </w:r>
    </w:p>
    <w:p w14:paraId="3EBD56B9" w14:textId="77777777" w:rsidR="006D2565" w:rsidRPr="00F74399" w:rsidRDefault="00521B82" w:rsidP="006D2565">
      <w:pPr>
        <w:pStyle w:val="BodyText"/>
      </w:pPr>
      <m:oMathPara>
        <m:oMath>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t</m:t>
              </m:r>
            </m:sub>
          </m:sSub>
          <m:sSup>
            <m:sSupPr>
              <m:ctrlPr>
                <w:rPr>
                  <w:rFonts w:ascii="Cambria Math" w:hAnsi="Cambria Math"/>
                  <w:i/>
                </w:rPr>
              </m:ctrlPr>
            </m:sSupPr>
            <m:e>
              <m:r>
                <w:rPr>
                  <w:rFonts w:ascii="Cambria Math" w:hAnsi="Cambria Math"/>
                </w:rPr>
                <m:t>x</m:t>
              </m:r>
            </m:e>
            <m:sup>
              <m:r>
                <w:rPr>
                  <w:rFonts w:ascii="Cambria Math" w:hAnsi="Cambria Math"/>
                </w:rPr>
                <m:t>*</m:t>
              </m:r>
            </m:sup>
          </m:sSup>
        </m:oMath>
      </m:oMathPara>
    </w:p>
    <w:p w14:paraId="00B4D386" w14:textId="77777777" w:rsidR="006D2565" w:rsidRPr="00F74399" w:rsidRDefault="00521B82" w:rsidP="006D2565">
      <w:pPr>
        <w:pStyle w:val="BodyText"/>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t</m:t>
              </m:r>
            </m:sub>
          </m:sSub>
          <m:sSup>
            <m:sSupPr>
              <m:ctrlPr>
                <w:rPr>
                  <w:rFonts w:ascii="Cambria Math" w:hAnsi="Cambria Math"/>
                  <w:i/>
                </w:rPr>
              </m:ctrlPr>
            </m:sSupPr>
            <m:e>
              <m:r>
                <w:rPr>
                  <w:rFonts w:ascii="Cambria Math" w:hAnsi="Cambria Math"/>
                </w:rPr>
                <m:t>y</m:t>
              </m:r>
            </m:e>
            <m:sup>
              <m:r>
                <w:rPr>
                  <w:rFonts w:ascii="Cambria Math" w:hAnsi="Cambria Math"/>
                </w:rPr>
                <m:t>*</m:t>
              </m:r>
            </m:sup>
          </m:sSup>
        </m:oMath>
      </m:oMathPara>
    </w:p>
    <w:p w14:paraId="342366C4" w14:textId="50D848B3" w:rsidR="006D2565" w:rsidRPr="00F74399" w:rsidRDefault="006D2565" w:rsidP="006D2565">
      <w:pPr>
        <w:pStyle w:val="BodyText"/>
      </w:pPr>
      <w:r>
        <w:t>where</w:t>
      </w:r>
      <w:r w:rsidR="003D1796">
        <w:t xml:space="preserve"> </w:t>
      </w:r>
      <m:oMath>
        <m:sSub>
          <m:sSubPr>
            <m:ctrlPr>
              <w:rPr>
                <w:rFonts w:ascii="Cambria Math" w:hAnsi="Cambria Math"/>
                <w:i/>
              </w:rPr>
            </m:ctrlPr>
          </m:sSubPr>
          <m:e>
            <m:r>
              <w:rPr>
                <w:rFonts w:ascii="Cambria Math" w:hAnsi="Cambria Math"/>
              </w:rPr>
              <m:t>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t</m:t>
            </m:r>
          </m:sub>
        </m:sSub>
        <m:sSubSup>
          <m:sSubSupPr>
            <m:ctrlPr>
              <w:rPr>
                <w:rFonts w:ascii="Cambria Math" w:hAnsi="Cambria Math"/>
                <w:i/>
              </w:rPr>
            </m:ctrlPr>
          </m:sSubSupPr>
          <m:e>
            <m:r>
              <w:rPr>
                <w:rFonts w:ascii="Cambria Math" w:hAnsi="Cambria Math"/>
              </w:rPr>
              <m:t>Z</m:t>
            </m:r>
          </m:e>
          <m:sub>
            <m:r>
              <w:rPr>
                <w:rFonts w:ascii="Cambria Math" w:hAnsi="Cambria Math"/>
              </w:rPr>
              <m:t>t</m:t>
            </m:r>
          </m:sub>
          <m:sup>
            <m:f>
              <m:fPr>
                <m:ctrlPr>
                  <w:rPr>
                    <w:rFonts w:ascii="Cambria Math" w:hAnsi="Cambria Math"/>
                    <w:i/>
                  </w:rPr>
                </m:ctrlPr>
              </m:fPr>
              <m:num>
                <m:r>
                  <w:rPr>
                    <w:rFonts w:ascii="Cambria Math" w:hAnsi="Cambria Math"/>
                  </w:rPr>
                  <m:t>1</m:t>
                </m:r>
              </m:num>
              <m:den>
                <m:r>
                  <w:rPr>
                    <w:rFonts w:ascii="Cambria Math" w:hAnsi="Cambria Math"/>
                  </w:rPr>
                  <m:t>1-α</m:t>
                </m:r>
              </m:den>
            </m:f>
          </m:sup>
        </m:sSubSup>
        <m:sSubSup>
          <m:sSubSupPr>
            <m:ctrlPr>
              <w:rPr>
                <w:rFonts w:ascii="Cambria Math" w:hAnsi="Cambria Math"/>
                <w:i/>
              </w:rPr>
            </m:ctrlPr>
          </m:sSubSupPr>
          <m:e>
            <m:r>
              <w:rPr>
                <w:rFonts w:ascii="Cambria Math" w:hAnsi="Cambria Math"/>
              </w:rPr>
              <m:t>Q</m:t>
            </m:r>
          </m:e>
          <m:sub>
            <m:r>
              <w:rPr>
                <w:rFonts w:ascii="Cambria Math" w:hAnsi="Cambria Math"/>
              </w:rPr>
              <m:t>t</m:t>
            </m:r>
          </m:sub>
          <m:sup>
            <m:f>
              <m:fPr>
                <m:ctrlPr>
                  <w:rPr>
                    <w:rFonts w:ascii="Cambria Math" w:hAnsi="Cambria Math"/>
                    <w:i/>
                  </w:rPr>
                </m:ctrlPr>
              </m:fPr>
              <m:num>
                <m:r>
                  <w:rPr>
                    <w:rFonts w:ascii="Cambria Math" w:hAnsi="Cambria Math"/>
                  </w:rPr>
                  <m:t>α</m:t>
                </m:r>
              </m:num>
              <m:den>
                <m:r>
                  <w:rPr>
                    <w:rFonts w:ascii="Cambria Math" w:hAnsi="Cambria Math"/>
                  </w:rPr>
                  <m:t>1-α</m:t>
                </m:r>
              </m:den>
            </m:f>
          </m:sup>
        </m:sSubSup>
      </m:oMath>
      <w:r>
        <w:t>,</w:t>
      </w:r>
      <w:r w:rsidR="003D1796">
        <w:t xml:space="preserve"> </w:t>
      </w:r>
      <w:r>
        <w:t xml:space="preserve">hence </w:t>
      </w:r>
      <m:oMath>
        <m:r>
          <w:rPr>
            <w:rFonts w:ascii="Cambria Math" w:hAnsi="Cambria Math"/>
          </w:rPr>
          <m:t>1+</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=(1+</m:t>
        </m:r>
        <m:sSub>
          <m:sSubPr>
            <m:ctrlPr>
              <w:rPr>
                <w:rFonts w:ascii="Cambria Math" w:hAnsi="Cambria Math"/>
                <w:i/>
              </w:rPr>
            </m:ctrlPr>
          </m:sSubPr>
          <m:e>
            <m:r>
              <w:rPr>
                <w:rFonts w:ascii="Cambria Math" w:hAnsi="Cambria Math"/>
              </w:rPr>
              <m:t>g</m:t>
            </m:r>
          </m:e>
          <m:sub>
            <m:r>
              <w:rPr>
                <w:rFonts w:ascii="Cambria Math" w:hAnsi="Cambria Math"/>
              </w:rPr>
              <m:t>L</m:t>
            </m:r>
          </m:sub>
        </m:sSub>
        <m:r>
          <w:rPr>
            <w:rFonts w:ascii="Cambria Math" w:hAnsi="Cambria Math"/>
          </w:rPr>
          <m:t>)</m:t>
        </m:r>
        <m:sSup>
          <m:sSupPr>
            <m:ctrlPr>
              <w:rPr>
                <w:rFonts w:ascii="Cambria Math" w:hAnsi="Cambria Math"/>
                <w:i/>
              </w:rPr>
            </m:ctrlPr>
          </m:sSupPr>
          <m:e>
            <m:r>
              <w:rPr>
                <w:rFonts w:ascii="Cambria Math" w:hAnsi="Cambria Math"/>
              </w:rPr>
              <m:t>(1+</m:t>
            </m:r>
            <m:sSub>
              <m:sSubPr>
                <m:ctrlPr>
                  <w:rPr>
                    <w:rFonts w:ascii="Cambria Math" w:hAnsi="Cambria Math"/>
                    <w:i/>
                  </w:rPr>
                </m:ctrlPr>
              </m:sSubPr>
              <m:e>
                <m:r>
                  <w:rPr>
                    <w:rFonts w:ascii="Cambria Math" w:hAnsi="Cambria Math"/>
                  </w:rPr>
                  <m:t>g</m:t>
                </m:r>
              </m:e>
              <m:sub>
                <m:r>
                  <w:rPr>
                    <w:rFonts w:ascii="Cambria Math" w:hAnsi="Cambria Math"/>
                  </w:rPr>
                  <m:t>Z</m:t>
                </m:r>
              </m:sub>
            </m:sSub>
            <m:r>
              <w:rPr>
                <w:rFonts w:ascii="Cambria Math" w:hAnsi="Cambria Math"/>
              </w:rPr>
              <m:t>)</m:t>
            </m:r>
          </m:e>
          <m:sup>
            <m:f>
              <m:fPr>
                <m:ctrlPr>
                  <w:rPr>
                    <w:rFonts w:ascii="Cambria Math" w:hAnsi="Cambria Math"/>
                    <w:i/>
                  </w:rPr>
                </m:ctrlPr>
              </m:fPr>
              <m:num>
                <m:r>
                  <w:rPr>
                    <w:rFonts w:ascii="Cambria Math" w:hAnsi="Cambria Math"/>
                  </w:rPr>
                  <m:t>1</m:t>
                </m:r>
              </m:num>
              <m:den>
                <m:r>
                  <w:rPr>
                    <w:rFonts w:ascii="Cambria Math" w:hAnsi="Cambria Math"/>
                  </w:rPr>
                  <m:t>1-α</m:t>
                </m:r>
              </m:den>
            </m:f>
          </m:sup>
        </m:sSup>
        <m:sSup>
          <m:sSupPr>
            <m:ctrlPr>
              <w:rPr>
                <w:rFonts w:ascii="Cambria Math" w:hAnsi="Cambria Math"/>
                <w:i/>
              </w:rPr>
            </m:ctrlPr>
          </m:sSupPr>
          <m:e>
            <m:r>
              <w:rPr>
                <w:rFonts w:ascii="Cambria Math" w:hAnsi="Cambria Math"/>
              </w:rPr>
              <m:t>(1+</m:t>
            </m:r>
            <m:sSub>
              <m:sSubPr>
                <m:ctrlPr>
                  <w:rPr>
                    <w:rFonts w:ascii="Cambria Math" w:hAnsi="Cambria Math"/>
                    <w:i/>
                  </w:rPr>
                </m:ctrlPr>
              </m:sSubPr>
              <m:e>
                <m:r>
                  <w:rPr>
                    <w:rFonts w:ascii="Cambria Math" w:hAnsi="Cambria Math"/>
                  </w:rPr>
                  <m:t>g</m:t>
                </m:r>
              </m:e>
              <m:sub>
                <m:r>
                  <w:rPr>
                    <w:rFonts w:ascii="Cambria Math" w:hAnsi="Cambria Math"/>
                  </w:rPr>
                  <m:t>Q</m:t>
                </m:r>
              </m:sub>
            </m:sSub>
            <m:r>
              <w:rPr>
                <w:rFonts w:ascii="Cambria Math" w:hAnsi="Cambria Math"/>
              </w:rPr>
              <m:t>)</m:t>
            </m:r>
          </m:e>
          <m:sup>
            <m:f>
              <m:fPr>
                <m:ctrlPr>
                  <w:rPr>
                    <w:rFonts w:ascii="Cambria Math" w:hAnsi="Cambria Math"/>
                    <w:i/>
                  </w:rPr>
                </m:ctrlPr>
              </m:fPr>
              <m:num>
                <m:r>
                  <w:rPr>
                    <w:rFonts w:ascii="Cambria Math" w:hAnsi="Cambria Math"/>
                  </w:rPr>
                  <m:t>α</m:t>
                </m:r>
              </m:num>
              <m:den>
                <m:r>
                  <w:rPr>
                    <w:rFonts w:ascii="Cambria Math" w:hAnsi="Cambria Math"/>
                  </w:rPr>
                  <m:t>1-α</m:t>
                </m:r>
              </m:den>
            </m:f>
          </m:sup>
        </m:sSup>
      </m:oMath>
      <w:r>
        <w:t>.</w:t>
      </w:r>
    </w:p>
    <w:p w14:paraId="4D2A31B0" w14:textId="616551F0" w:rsidR="006D2565" w:rsidRPr="00705B36" w:rsidRDefault="006D2565" w:rsidP="006D2565">
      <w:pPr>
        <w:pStyle w:val="BodyText"/>
        <w:rPr>
          <w:spacing w:val="-2"/>
        </w:rPr>
      </w:pPr>
      <w:r w:rsidRPr="00705B36">
        <w:rPr>
          <w:spacing w:val="-2"/>
        </w:rPr>
        <w:t xml:space="preserve">Noting that </w:t>
      </w:r>
      <m:oMath>
        <m:sSub>
          <m:sSubPr>
            <m:ctrlPr>
              <w:rPr>
                <w:rFonts w:ascii="Cambria Math" w:hAnsi="Cambria Math"/>
                <w:i/>
                <w:spacing w:val="-2"/>
              </w:rPr>
            </m:ctrlPr>
          </m:sSubPr>
          <m:e>
            <m:r>
              <w:rPr>
                <w:rFonts w:ascii="Cambria Math" w:hAnsi="Cambria Math"/>
                <w:spacing w:val="-2"/>
              </w:rPr>
              <m:t>K</m:t>
            </m:r>
          </m:e>
          <m:sub>
            <m:r>
              <w:rPr>
                <w:rFonts w:ascii="Cambria Math" w:hAnsi="Cambria Math"/>
                <w:spacing w:val="-2"/>
              </w:rPr>
              <m:t>t</m:t>
            </m:r>
          </m:sub>
        </m:sSub>
        <m:sSub>
          <m:sSubPr>
            <m:ctrlPr>
              <w:rPr>
                <w:rFonts w:ascii="Cambria Math" w:hAnsi="Cambria Math"/>
                <w:i/>
                <w:spacing w:val="-2"/>
              </w:rPr>
            </m:ctrlPr>
          </m:sSubPr>
          <m:e>
            <m:r>
              <w:rPr>
                <w:rFonts w:ascii="Cambria Math" w:hAnsi="Cambria Math"/>
                <w:spacing w:val="-2"/>
              </w:rPr>
              <m:t>/Q</m:t>
            </m:r>
          </m:e>
          <m:sub>
            <m:r>
              <w:rPr>
                <w:rFonts w:ascii="Cambria Math" w:hAnsi="Cambria Math"/>
                <w:spacing w:val="-2"/>
              </w:rPr>
              <m:t>t</m:t>
            </m:r>
          </m:sub>
        </m:sSub>
      </m:oMath>
      <w:r w:rsidRPr="00705B36">
        <w:rPr>
          <w:spacing w:val="-2"/>
        </w:rPr>
        <w:t xml:space="preserve"> is the capital stock at current cost,</w:t>
      </w:r>
      <w:r w:rsidR="0044305B" w:rsidRPr="00705B36">
        <w:rPr>
          <w:spacing w:val="-2"/>
        </w:rPr>
        <w:t xml:space="preserve"> </w:t>
      </w:r>
      <w:r w:rsidRPr="00705B36">
        <w:rPr>
          <w:spacing w:val="-2"/>
        </w:rPr>
        <w:t xml:space="preserve">the investment-capital ratio </w:t>
      </w:r>
      <w:r w:rsidR="00EB1CBF" w:rsidRPr="00705B36">
        <w:rPr>
          <w:spacing w:val="-2"/>
        </w:rPr>
        <w:t xml:space="preserve">then </w:t>
      </w:r>
      <w:r w:rsidRPr="00705B36">
        <w:rPr>
          <w:spacing w:val="-2"/>
        </w:rPr>
        <w:t>reflects balanced growth:</w:t>
      </w:r>
      <w:r w:rsidRPr="00705B36">
        <w:rPr>
          <w:rStyle w:val="FootnoteReference"/>
          <w:spacing w:val="-2"/>
        </w:rPr>
        <w:footnoteReference w:id="4"/>
      </w:r>
    </w:p>
    <w:p w14:paraId="66C11306" w14:textId="77777777" w:rsidR="006D2565" w:rsidRPr="00A47BB7" w:rsidRDefault="00521B82" w:rsidP="006D2565">
      <w:pPr>
        <w:pStyle w:val="BodyText"/>
      </w:pPr>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I</m:t>
                  </m:r>
                </m:num>
                <m:den>
                  <m:r>
                    <w:rPr>
                      <w:rFonts w:ascii="Cambria Math" w:hAnsi="Cambria Math"/>
                    </w:rPr>
                    <m:t>K</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t</m:t>
                      </m:r>
                    </m:sub>
                  </m:sSub>
                </m:num>
                <m:den>
                  <m:f>
                    <m:fPr>
                      <m:type m:val="skw"/>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num>
                    <m:den>
                      <m:sSub>
                        <m:sSubPr>
                          <m:ctrlPr>
                            <w:rPr>
                              <w:rFonts w:ascii="Cambria Math" w:hAnsi="Cambria Math"/>
                              <w:i/>
                            </w:rPr>
                          </m:ctrlPr>
                        </m:sSubPr>
                        <m:e>
                          <m:r>
                            <w:rPr>
                              <w:rFonts w:ascii="Cambria Math" w:hAnsi="Cambria Math"/>
                            </w:rPr>
                            <m:t>Q</m:t>
                          </m:r>
                        </m:e>
                        <m:sub>
                          <m:r>
                            <w:rPr>
                              <w:rFonts w:ascii="Cambria Math" w:hAnsi="Cambria Math"/>
                            </w:rPr>
                            <m:t>t</m:t>
                          </m:r>
                        </m:sub>
                      </m:sSub>
                    </m:den>
                  </m:f>
                </m:den>
              </m:f>
              <m:r>
                <w:rPr>
                  <w:rFonts w:ascii="Cambria Math" w:hAnsi="Cambria Math"/>
                </w:rPr>
                <m:t xml:space="preserve"> ≈</m:t>
              </m:r>
              <m:r>
                <w:rPr>
                  <w:rFonts w:ascii="Cambria Math" w:hAnsi="Cambria Math"/>
                </w:rPr>
                <m:t>δ</m:t>
              </m:r>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2</m:t>
                  </m:r>
                </m:e>
              </m:d>
            </m:e>
          </m:eqArr>
        </m:oMath>
      </m:oMathPara>
    </w:p>
    <w:p w14:paraId="1803CCDC" w14:textId="77777777" w:rsidR="006D2565" w:rsidRDefault="006D2565" w:rsidP="006D2565">
      <w:pPr>
        <w:pStyle w:val="BodyText"/>
      </w:pPr>
      <w:r>
        <w:t xml:space="preserve">The estimation proceeds as follows: First, from (2) we obtain an estimate of the depreciation rate </w:t>
      </w:r>
      <m:oMath>
        <m:r>
          <w:rPr>
            <w:rFonts w:ascii="Cambria Math" w:hAnsi="Cambria Math"/>
          </w:rPr>
          <m:t>δ</m:t>
        </m:r>
      </m:oMath>
      <w:r>
        <w:t xml:space="preserve">. </w:t>
      </w:r>
    </w:p>
    <w:p w14:paraId="64D6DB2D" w14:textId="4B9F13BD" w:rsidR="006D2565" w:rsidRDefault="006D2565" w:rsidP="006D2565">
      <w:pPr>
        <w:pStyle w:val="BodyText"/>
      </w:pPr>
      <w:r>
        <w:t>Next, the price-dividend ratio reflects the Gordon growth formula:</w:t>
      </w:r>
    </w:p>
    <w:p w14:paraId="21A34396" w14:textId="77777777" w:rsidR="006D2565" w:rsidRPr="0021293F" w:rsidRDefault="00521B82" w:rsidP="006D2565">
      <w:pPr>
        <w:pStyle w:val="BodyText"/>
      </w:pPr>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P</m:t>
                  </m:r>
                </m:num>
                <m:den>
                  <m:r>
                    <w:rPr>
                      <w:rFonts w:ascii="Cambria Math" w:hAnsi="Cambria Math"/>
                    </w:rPr>
                    <m:t>D</m:t>
                  </m:r>
                </m:den>
              </m:f>
              <m:r>
                <w:rPr>
                  <w:rFonts w:ascii="Cambria Math" w:hAnsi="Cambria Math"/>
                </w:rPr>
                <m:t xml:space="preserve">≈ </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g</m:t>
                      </m:r>
                    </m:e>
                    <m:sub>
                      <m:r>
                        <w:rPr>
                          <w:rFonts w:ascii="Cambria Math" w:hAnsi="Cambria Math"/>
                        </w:rPr>
                        <m:t>T</m:t>
                      </m:r>
                    </m:sub>
                  </m:sSub>
                </m:num>
                <m:den>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m:t>
                      </m:r>
                    </m:sub>
                  </m:sSub>
                </m:den>
              </m:f>
              <m:r>
                <w:rPr>
                  <w:rFonts w:ascii="Cambria Math" w:hAnsi="Cambria Math"/>
                </w:rPr>
                <m:t>#</m:t>
              </m:r>
              <m:d>
                <m:dPr>
                  <m:ctrlPr>
                    <w:rPr>
                      <w:rFonts w:ascii="Cambria Math" w:hAnsi="Cambria Math"/>
                      <w:i/>
                    </w:rPr>
                  </m:ctrlPr>
                </m:dPr>
                <m:e>
                  <m:r>
                    <w:rPr>
                      <w:rFonts w:ascii="Cambria Math" w:hAnsi="Cambria Math"/>
                    </w:rPr>
                    <m:t>3</m:t>
                  </m:r>
                </m:e>
              </m:d>
            </m:e>
          </m:eqArr>
        </m:oMath>
      </m:oMathPara>
    </w:p>
    <w:p w14:paraId="0F649D19" w14:textId="77777777" w:rsidR="006D2565" w:rsidRDefault="006D2565" w:rsidP="006D2565">
      <w:pPr>
        <w:pStyle w:val="BodyText"/>
      </w:pPr>
      <w:r>
        <w:t xml:space="preserve">where </w:t>
      </w:r>
      <m:oMath>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β</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g</m:t>
                        </m:r>
                      </m:e>
                      <m:sub>
                        <m:r>
                          <w:rPr>
                            <w:rFonts w:ascii="Cambria Math" w:hAnsi="Cambria Math"/>
                          </w:rPr>
                          <m:t>T</m:t>
                        </m:r>
                      </m:sub>
                    </m:sSub>
                  </m:num>
                  <m:den>
                    <m:r>
                      <w:rPr>
                        <w:rFonts w:ascii="Cambria Math" w:hAnsi="Cambria Math"/>
                      </w:rPr>
                      <m:t>1+</m:t>
                    </m:r>
                    <m:sSub>
                      <m:sSubPr>
                        <m:ctrlPr>
                          <w:rPr>
                            <w:rFonts w:ascii="Cambria Math" w:hAnsi="Cambria Math"/>
                            <w:i/>
                          </w:rPr>
                        </m:ctrlPr>
                      </m:sSubPr>
                      <m:e>
                        <m:r>
                          <w:rPr>
                            <w:rFonts w:ascii="Cambria Math" w:hAnsi="Cambria Math"/>
                          </w:rPr>
                          <m:t>g</m:t>
                        </m:r>
                      </m:e>
                      <m:sub>
                        <m:r>
                          <w:rPr>
                            <w:rFonts w:ascii="Cambria Math" w:hAnsi="Cambria Math"/>
                          </w:rPr>
                          <m:t>L</m:t>
                        </m:r>
                      </m:sub>
                    </m:sSub>
                  </m:den>
                </m:f>
              </m:e>
            </m:d>
          </m:e>
          <m:sup>
            <m:r>
              <w:rPr>
                <w:rFonts w:ascii="Cambria Math" w:hAnsi="Cambria Math"/>
              </w:rPr>
              <m:t>σ</m:t>
            </m:r>
          </m:sup>
        </m:sSup>
        <m:r>
          <w:rPr>
            <w:rFonts w:ascii="Cambria Math" w:hAnsi="Cambria Math"/>
          </w:rPr>
          <m:t>×E</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(1-θ)</m:t>
                    </m:r>
                    <m:sSub>
                      <m:sSubPr>
                        <m:ctrlPr>
                          <w:rPr>
                            <w:rFonts w:ascii="Cambria Math" w:hAnsi="Cambria Math"/>
                            <w:i/>
                          </w:rPr>
                        </m:ctrlPr>
                      </m:sSubPr>
                      <m:e>
                        <m:r>
                          <w:rPr>
                            <w:rFonts w:ascii="Cambria Math" w:hAnsi="Cambria Math"/>
                          </w:rPr>
                          <m:t>χ</m:t>
                        </m:r>
                      </m:e>
                      <m:sub>
                        <m:r>
                          <w:rPr>
                            <w:rFonts w:ascii="Cambria Math" w:hAnsi="Cambria Math"/>
                          </w:rPr>
                          <m:t>t+1</m:t>
                        </m:r>
                      </m:sub>
                    </m:sSub>
                  </m:sup>
                </m:sSup>
              </m:e>
            </m:d>
          </m:e>
          <m:sup>
            <m:f>
              <m:fPr>
                <m:ctrlPr>
                  <w:rPr>
                    <w:rFonts w:ascii="Cambria Math" w:hAnsi="Cambria Math"/>
                    <w:i/>
                  </w:rPr>
                </m:ctrlPr>
              </m:fPr>
              <m:num>
                <m:r>
                  <w:rPr>
                    <w:rFonts w:ascii="Cambria Math" w:hAnsi="Cambria Math"/>
                  </w:rPr>
                  <m:t>σ-1</m:t>
                </m:r>
              </m:num>
              <m:den>
                <m:r>
                  <w:rPr>
                    <w:rFonts w:ascii="Cambria Math" w:hAnsi="Cambria Math"/>
                  </w:rPr>
                  <m:t>1-θ</m:t>
                </m:r>
              </m:den>
            </m:f>
          </m:sup>
        </m:sSup>
      </m:oMath>
      <w:r>
        <w:t xml:space="preserve"> .</w:t>
      </w:r>
    </w:p>
    <w:p w14:paraId="21EB8620" w14:textId="371502D6" w:rsidR="006D2565" w:rsidRDefault="006D2565" w:rsidP="006D2565">
      <w:pPr>
        <w:pStyle w:val="BodyText"/>
      </w:pPr>
      <w:r>
        <w:t xml:space="preserve">Expected equity returns, defined as </w:t>
      </w: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t+1</m:t>
                </m:r>
              </m:sub>
            </m:sSub>
          </m:e>
        </m:d>
        <m:r>
          <w:rPr>
            <w:rFonts w:ascii="Cambria Math" w:hAnsi="Cambria Math"/>
          </w:rPr>
          <m:t>=E</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t+1</m:t>
                    </m:r>
                  </m:sub>
                </m:sSub>
              </m:num>
              <m:den>
                <m:sSub>
                  <m:sSubPr>
                    <m:ctrlPr>
                      <w:rPr>
                        <w:rFonts w:ascii="Cambria Math" w:hAnsi="Cambria Math"/>
                        <w:i/>
                      </w:rPr>
                    </m:ctrlPr>
                  </m:sSubPr>
                  <m:e>
                    <m:r>
                      <w:rPr>
                        <w:rFonts w:ascii="Cambria Math" w:hAnsi="Cambria Math"/>
                      </w:rPr>
                      <m:t>P</m:t>
                    </m:r>
                  </m:e>
                  <m:sub>
                    <m:r>
                      <w:rPr>
                        <w:rFonts w:ascii="Cambria Math" w:hAnsi="Cambria Math"/>
                      </w:rPr>
                      <m:t>t</m:t>
                    </m:r>
                  </m:sub>
                </m:sSub>
              </m:den>
            </m:f>
          </m:e>
        </m:d>
      </m:oMath>
      <w:r>
        <w:t xml:space="preserve">, can be shown using (3) to be equal to </w:t>
      </w: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t+1</m:t>
                </m:r>
              </m:sub>
            </m:sSub>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+1</m:t>
            </m:r>
          </m:e>
        </m:d>
        <m:r>
          <w:rPr>
            <w:rFonts w:ascii="Cambria Math" w:hAnsi="Cambria Math"/>
          </w:rPr>
          <m:t>E</m:t>
        </m:r>
        <m:d>
          <m:dPr>
            <m:ctrlPr>
              <w:rPr>
                <w:rFonts w:ascii="Cambria Math" w:hAnsi="Cambria Math"/>
                <w:i/>
              </w:rPr>
            </m:ctrlPr>
          </m:dPr>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χ</m:t>
                    </m:r>
                  </m:e>
                  <m:sub>
                    <m:r>
                      <w:rPr>
                        <w:rFonts w:ascii="Cambria Math" w:hAnsi="Cambria Math"/>
                      </w:rPr>
                      <m:t>t+1</m:t>
                    </m:r>
                  </m:sub>
                </m:sSub>
              </m:sup>
            </m:sSup>
          </m:e>
        </m:d>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+1</m:t>
        </m:r>
      </m:oMath>
      <w:r>
        <w:t xml:space="preserve">. Thus </w:t>
      </w:r>
      <w:r w:rsidRPr="00826CE0">
        <w:rPr>
          <w:i/>
          <w:iCs/>
        </w:rPr>
        <w:t>r*</w:t>
      </w:r>
      <w:r>
        <w:t xml:space="preserve"> is the expected return on risky assets and can be derived from the observed price-dividend ratio using equation (3).</w:t>
      </w:r>
    </w:p>
    <w:p w14:paraId="460C5682" w14:textId="77777777" w:rsidR="0069007A" w:rsidRDefault="006D2565" w:rsidP="006D2565">
      <w:pPr>
        <w:pStyle w:val="BodyText"/>
        <w:rPr>
          <w:rFonts w:eastAsiaTheme="minorEastAsia"/>
        </w:rPr>
      </w:pPr>
      <w:r>
        <w:t>The investment level is determined by the Euler equation</w:t>
      </w:r>
      <w:r w:rsidR="003D1796">
        <w:t xml:space="preserve"> </w:t>
      </w:r>
      <m:oMath>
        <m:sSub>
          <m:sSubPr>
            <m:ctrlPr>
              <w:rPr>
                <w:rFonts w:ascii="Cambria Math" w:hAnsi="Cambria Math"/>
                <w:i/>
              </w:rPr>
            </m:ctrlPr>
          </m:sSubPr>
          <m:e>
            <m:r>
              <w:rPr>
                <w:rFonts w:ascii="Cambria Math" w:hAnsi="Cambria Math"/>
              </w:rPr>
              <m:t>E</m:t>
            </m:r>
          </m:e>
          <m:sub>
            <m:r>
              <w:rPr>
                <w:rFonts w:ascii="Cambria Math" w:hAnsi="Cambria Math"/>
              </w:rPr>
              <m:t>t</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t+1</m:t>
                </m:r>
              </m:sub>
            </m:sSub>
            <m:sSubSup>
              <m:sSubSupPr>
                <m:ctrlPr>
                  <w:rPr>
                    <w:rFonts w:ascii="Cambria Math" w:hAnsi="Cambria Math"/>
                    <w:i/>
                  </w:rPr>
                </m:ctrlPr>
              </m:sSubSupPr>
              <m:e>
                <m:r>
                  <w:rPr>
                    <w:rFonts w:ascii="Cambria Math" w:hAnsi="Cambria Math"/>
                  </w:rPr>
                  <m:t>R</m:t>
                </m:r>
              </m:e>
              <m:sub>
                <m:r>
                  <w:rPr>
                    <w:rFonts w:ascii="Cambria Math" w:hAnsi="Cambria Math"/>
                  </w:rPr>
                  <m:t>t+1</m:t>
                </m:r>
              </m:sub>
              <m:sup>
                <m:r>
                  <w:rPr>
                    <w:rFonts w:ascii="Cambria Math" w:hAnsi="Cambria Math"/>
                  </w:rPr>
                  <m:t>K</m:t>
                </m:r>
              </m:sup>
            </m:sSubSup>
          </m:e>
        </m:d>
        <m:r>
          <w:rPr>
            <w:rFonts w:ascii="Cambria Math" w:hAnsi="Cambria Math"/>
          </w:rPr>
          <m:t>=1</m:t>
        </m:r>
      </m:oMath>
      <w:r>
        <w:t>, where</w:t>
      </w:r>
      <w:r w:rsidR="00E056F2">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t+1</m:t>
            </m:r>
          </m:sub>
          <m:sup>
            <m:r>
              <w:rPr>
                <w:rFonts w:ascii="Cambria Math" w:hAnsi="Cambria Math"/>
              </w:rPr>
              <m:t>K</m:t>
            </m:r>
          </m:sup>
        </m:sSubSup>
      </m:oMath>
      <w:r w:rsidR="00E056F2">
        <w:t xml:space="preserve"> is the return on capital that incorporates the rental rate of capital but also depreciation: </w:t>
      </w:r>
      <m:oMath>
        <m:sSubSup>
          <m:sSubSupPr>
            <m:ctrlPr>
              <w:rPr>
                <w:rFonts w:ascii="Cambria Math" w:hAnsi="Cambria Math"/>
                <w:i/>
              </w:rPr>
            </m:ctrlPr>
          </m:sSubSupPr>
          <m:e>
            <m:r>
              <w:rPr>
                <w:rFonts w:ascii="Cambria Math" w:hAnsi="Cambria Math"/>
              </w:rPr>
              <m:t>R</m:t>
            </m:r>
          </m:e>
          <m:sub>
            <m:r>
              <w:rPr>
                <w:rFonts w:ascii="Cambria Math" w:hAnsi="Cambria Math"/>
              </w:rPr>
              <m:t>t+1</m:t>
            </m:r>
          </m:sub>
          <m:sup>
            <m:r>
              <w:rPr>
                <w:rFonts w:ascii="Cambria Math" w:hAnsi="Cambria Math"/>
              </w:rPr>
              <m:t>K</m:t>
            </m:r>
          </m:sup>
        </m:sSub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α</m:t>
                </m:r>
                <m:sSub>
                  <m:sSubPr>
                    <m:ctrlPr>
                      <w:rPr>
                        <w:rFonts w:ascii="Cambria Math" w:hAnsi="Cambria Math"/>
                        <w:i/>
                      </w:rPr>
                    </m:ctrlPr>
                  </m:sSubPr>
                  <m:e>
                    <m:r>
                      <w:rPr>
                        <w:rFonts w:ascii="Cambria Math" w:hAnsi="Cambria Math"/>
                      </w:rPr>
                      <m:t>Y</m:t>
                    </m:r>
                  </m:e>
                  <m:sub>
                    <m:r>
                      <w:rPr>
                        <w:rFonts w:ascii="Cambria Math" w:hAnsi="Cambria Math"/>
                      </w:rPr>
                      <m:t>t+1</m:t>
                    </m:r>
                  </m:sub>
                </m:sSub>
              </m:num>
              <m:den>
                <m:r>
                  <w:rPr>
                    <w:rFonts w:ascii="Cambria Math" w:hAnsi="Cambria Math"/>
                  </w:rPr>
                  <m:t>μ</m:t>
                </m:r>
                <m:sSub>
                  <m:sSubPr>
                    <m:ctrlPr>
                      <w:rPr>
                        <w:rFonts w:ascii="Cambria Math" w:hAnsi="Cambria Math"/>
                        <w:i/>
                      </w:rPr>
                    </m:ctrlPr>
                  </m:sSubPr>
                  <m:e>
                    <m:r>
                      <w:rPr>
                        <w:rFonts w:ascii="Cambria Math" w:hAnsi="Cambria Math"/>
                      </w:rPr>
                      <m:t>K</m:t>
                    </m:r>
                  </m:e>
                  <m:sub>
                    <m:r>
                      <w:rPr>
                        <w:rFonts w:ascii="Cambria Math" w:hAnsi="Cambria Math"/>
                      </w:rPr>
                      <m:t>t+1</m:t>
                    </m:r>
                  </m:sub>
                </m:sSub>
              </m:den>
            </m:f>
            <m:r>
              <w:rPr>
                <w:rFonts w:ascii="Cambria Math" w:hAnsi="Cambria Math"/>
              </w:rPr>
              <m:t>+</m:t>
            </m:r>
            <m:f>
              <m:fPr>
                <m:ctrlPr>
                  <w:rPr>
                    <w:rFonts w:ascii="Cambria Math" w:hAnsi="Cambria Math"/>
                    <w:i/>
                  </w:rPr>
                </m:ctrlPr>
              </m:fPr>
              <m:num>
                <m:r>
                  <w:rPr>
                    <w:rFonts w:ascii="Cambria Math" w:hAnsi="Cambria Math"/>
                  </w:rPr>
                  <m:t>1-δ</m:t>
                </m:r>
              </m:num>
              <m:den>
                <m:sSub>
                  <m:sSubPr>
                    <m:ctrlPr>
                      <w:rPr>
                        <w:rFonts w:ascii="Cambria Math" w:hAnsi="Cambria Math"/>
                        <w:i/>
                      </w:rPr>
                    </m:ctrlPr>
                  </m:sSubPr>
                  <m:e>
                    <m:r>
                      <w:rPr>
                        <w:rFonts w:ascii="Cambria Math" w:hAnsi="Cambria Math"/>
                      </w:rPr>
                      <m:t>Q</m:t>
                    </m:r>
                  </m:e>
                  <m:sub>
                    <m:r>
                      <w:rPr>
                        <w:rFonts w:ascii="Cambria Math" w:hAnsi="Cambria Math"/>
                      </w:rPr>
                      <m:t>t+1</m:t>
                    </m:r>
                  </m:sub>
                </m:sSub>
              </m:den>
            </m:f>
          </m:e>
        </m:d>
        <m:sSub>
          <m:sSubPr>
            <m:ctrlPr>
              <w:rPr>
                <w:rFonts w:ascii="Cambria Math" w:hAnsi="Cambria Math"/>
                <w:i/>
              </w:rPr>
            </m:ctrlPr>
          </m:sSubPr>
          <m:e>
            <m:r>
              <w:rPr>
                <w:rFonts w:ascii="Cambria Math" w:hAnsi="Cambria Math"/>
              </w:rPr>
              <m:t>Q</m:t>
            </m:r>
          </m:e>
          <m:sub>
            <m:r>
              <w:rPr>
                <w:rFonts w:ascii="Cambria Math" w:hAnsi="Cambria Math"/>
              </w:rPr>
              <m:t>t</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χ</m:t>
                </m:r>
              </m:e>
              <m:sub>
                <m:r>
                  <w:rPr>
                    <w:rFonts w:ascii="Cambria Math" w:hAnsi="Cambria Math"/>
                  </w:rPr>
                  <m:t>t+1</m:t>
                </m:r>
              </m:sub>
            </m:sSub>
          </m:sup>
        </m:sSup>
      </m:oMath>
      <w:r w:rsidR="00E056F2">
        <w:t>.</w:t>
      </w:r>
      <w:r>
        <w:t xml:space="preserve"> </w:t>
      </w:r>
    </w:p>
    <w:p w14:paraId="63853C62" w14:textId="47D756AC" w:rsidR="006D2565" w:rsidRDefault="0069007A" w:rsidP="006D2565">
      <w:pPr>
        <w:pStyle w:val="BodyText"/>
      </w:pPr>
      <w:r>
        <w:rPr>
          <w:rFonts w:eastAsiaTheme="minor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t+1</m:t>
            </m:r>
          </m:sub>
        </m:sSub>
      </m:oMath>
      <w:r w:rsidR="006D2565">
        <w:t xml:space="preserve"> is the real stochastic discount factor derived from the utility function:</w:t>
      </w:r>
    </w:p>
    <w:p w14:paraId="096A75BD" w14:textId="77777777" w:rsidR="006D2565" w:rsidRDefault="00521B82" w:rsidP="006D2565">
      <w:pPr>
        <w:pStyle w:val="BodyText"/>
      </w:pPr>
      <m:oMathPara>
        <m:oMath>
          <m:sSub>
            <m:sSubPr>
              <m:ctrlPr>
                <w:rPr>
                  <w:rFonts w:ascii="Cambria Math" w:hAnsi="Cambria Math"/>
                  <w:i/>
                </w:rPr>
              </m:ctrlPr>
            </m:sSubPr>
            <m:e>
              <m:r>
                <w:rPr>
                  <w:rFonts w:ascii="Cambria Math" w:hAnsi="Cambria Math"/>
                </w:rPr>
                <m:t>M</m:t>
              </m:r>
            </m:e>
            <m:sub>
              <m:r>
                <w:rPr>
                  <w:rFonts w:ascii="Cambria Math" w:hAnsi="Cambria Math"/>
                </w:rPr>
                <m:t>t</m:t>
              </m:r>
              <m:r>
                <w:rPr>
                  <w:rFonts w:ascii="Cambria Math" w:hAnsi="Cambria Math"/>
                </w:rPr>
                <m:t>+1</m:t>
              </m:r>
            </m:sub>
          </m:sSub>
          <m:r>
            <w:rPr>
              <w:rFonts w:ascii="Cambria Math" w:hAnsi="Cambria Math"/>
            </w:rPr>
            <m:t>=</m:t>
          </m:r>
          <m:r>
            <w:rPr>
              <w:rFonts w:ascii="Cambria Math" w:hAnsi="Cambria Math"/>
            </w:rPr>
            <m:t>β</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pc</m:t>
                          </m:r>
                          <m:r>
                            <w:rPr>
                              <w:rFonts w:ascii="Cambria Math" w:hAnsi="Cambria Math"/>
                            </w:rPr>
                            <m:t>,</m:t>
                          </m:r>
                          <m:r>
                            <w:rPr>
                              <w:rFonts w:ascii="Cambria Math" w:hAnsi="Cambria Math"/>
                            </w:rPr>
                            <m:t>t</m:t>
                          </m:r>
                          <m:r>
                            <w:rPr>
                              <w:rFonts w:ascii="Cambria Math" w:hAnsi="Cambria Math"/>
                            </w:rPr>
                            <m:t>+1</m:t>
                          </m:r>
                        </m:sub>
                      </m:sSub>
                    </m:num>
                    <m:den>
                      <m:sSub>
                        <m:sSubPr>
                          <m:ctrlPr>
                            <w:rPr>
                              <w:rFonts w:ascii="Cambria Math" w:hAnsi="Cambria Math"/>
                              <w:i/>
                            </w:rPr>
                          </m:ctrlPr>
                        </m:sSubPr>
                        <m:e>
                          <m:r>
                            <w:rPr>
                              <w:rFonts w:ascii="Cambria Math" w:hAnsi="Cambria Math"/>
                            </w:rPr>
                            <m:t>c</m:t>
                          </m:r>
                        </m:e>
                        <m:sub>
                          <m:r>
                            <w:rPr>
                              <w:rFonts w:ascii="Cambria Math" w:hAnsi="Cambria Math"/>
                            </w:rPr>
                            <m:t>pc</m:t>
                          </m:r>
                          <m:r>
                            <w:rPr>
                              <w:rFonts w:ascii="Cambria Math" w:hAnsi="Cambria Math"/>
                            </w:rPr>
                            <m:t>,</m:t>
                          </m:r>
                          <m:r>
                            <w:rPr>
                              <w:rFonts w:ascii="Cambria Math" w:hAnsi="Cambria Math"/>
                            </w:rPr>
                            <m:t>t</m:t>
                          </m:r>
                        </m:sub>
                      </m:sSub>
                    </m:den>
                  </m:f>
                </m:e>
              </m:d>
            </m:e>
            <m:sup>
              <m:r>
                <w:rPr>
                  <w:rFonts w:ascii="Cambria Math" w:hAnsi="Cambria Math"/>
                </w:rPr>
                <m:t>-</m:t>
              </m:r>
              <m:r>
                <w:rPr>
                  <w:rFonts w:ascii="Cambria Math" w:hAnsi="Cambria Math"/>
                </w:rPr>
                <m:t>σ</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m:t>
                          </m:r>
                          <m:r>
                            <w:rPr>
                              <w:rFonts w:ascii="Cambria Math" w:hAnsi="Cambria Math"/>
                            </w:rPr>
                            <m:t>+1</m:t>
                          </m:r>
                        </m:sub>
                      </m:sSub>
                      <m:sSubSup>
                        <m:sSubSupPr>
                          <m:ctrlPr>
                            <w:rPr>
                              <w:rFonts w:ascii="Cambria Math" w:hAnsi="Cambria Math"/>
                              <w:i/>
                            </w:rPr>
                          </m:ctrlPr>
                        </m:sSubSupPr>
                        <m:e>
                          <m:r>
                            <w:rPr>
                              <w:rFonts w:ascii="Cambria Math" w:hAnsi="Cambria Math"/>
                            </w:rPr>
                            <m:t>L</m:t>
                          </m:r>
                        </m:e>
                        <m:sub>
                          <m:r>
                            <w:rPr>
                              <w:rFonts w:ascii="Cambria Math" w:hAnsi="Cambria Math"/>
                            </w:rPr>
                            <m:t>t</m:t>
                          </m:r>
                          <m:r>
                            <w:rPr>
                              <w:rFonts w:ascii="Cambria Math" w:hAnsi="Cambria Math"/>
                            </w:rPr>
                            <m:t>+1</m:t>
                          </m:r>
                        </m:sub>
                        <m:sup>
                          <m:r>
                            <w:rPr>
                              <w:rFonts w:ascii="Cambria Math" w:hAnsi="Cambria Math"/>
                            </w:rPr>
                            <m:t>1/(</m:t>
                          </m:r>
                          <m:r>
                            <w:rPr>
                              <w:rFonts w:ascii="Cambria Math" w:hAnsi="Cambria Math"/>
                            </w:rPr>
                            <m:t>σ</m:t>
                          </m:r>
                          <m:r>
                            <w:rPr>
                              <w:rFonts w:ascii="Cambria Math" w:hAnsi="Cambria Math"/>
                            </w:rPr>
                            <m:t>-</m:t>
                          </m:r>
                          <m:r>
                            <w:rPr>
                              <w:rFonts w:ascii="Cambria Math" w:hAnsi="Cambria Math"/>
                            </w:rPr>
                            <m:t>1)</m:t>
                          </m:r>
                        </m:sup>
                      </m:sSubSup>
                    </m:num>
                    <m:den>
                      <m:sSub>
                        <m:sSubPr>
                          <m:ctrlPr>
                            <w:rPr>
                              <w:rFonts w:ascii="Cambria Math" w:hAnsi="Cambria Math"/>
                              <w:i/>
                            </w:rPr>
                          </m:ctrlPr>
                        </m:sSubPr>
                        <m:e>
                          <m:r>
                            <w:rPr>
                              <w:rFonts w:ascii="Cambria Math" w:hAnsi="Cambria Math"/>
                            </w:rPr>
                            <m:t>E</m:t>
                          </m:r>
                        </m:e>
                        <m:sub>
                          <m:r>
                            <w:rPr>
                              <w:rFonts w:ascii="Cambria Math" w:hAnsi="Cambria Math"/>
                            </w:rPr>
                            <m:t>t</m:t>
                          </m:r>
                        </m:sub>
                      </m:sSub>
                      <m:d>
                        <m:dPr>
                          <m:ctrlPr>
                            <w:rPr>
                              <w:rFonts w:ascii="Cambria Math" w:hAnsi="Cambria Math"/>
                              <w:i/>
                            </w:rPr>
                          </m:ctrlPr>
                        </m:dPr>
                        <m:e>
                          <m:sSubSup>
                            <m:sSubSupPr>
                              <m:ctrlPr>
                                <w:rPr>
                                  <w:rFonts w:ascii="Cambria Math" w:hAnsi="Cambria Math"/>
                                  <w:i/>
                                </w:rPr>
                              </m:ctrlPr>
                            </m:sSubSupPr>
                            <m:e>
                              <m:r>
                                <w:rPr>
                                  <w:rFonts w:ascii="Cambria Math" w:hAnsi="Cambria Math"/>
                                </w:rPr>
                                <m:t>V</m:t>
                              </m:r>
                            </m:e>
                            <m:sub>
                              <m:r>
                                <w:rPr>
                                  <w:rFonts w:ascii="Cambria Math" w:hAnsi="Cambria Math"/>
                                </w:rPr>
                                <m:t>t</m:t>
                              </m:r>
                              <m:r>
                                <w:rPr>
                                  <w:rFonts w:ascii="Cambria Math" w:hAnsi="Cambria Math"/>
                                </w:rPr>
                                <m:t>+1</m:t>
                              </m:r>
                            </m:sub>
                            <m:sup>
                              <m:r>
                                <w:rPr>
                                  <w:rFonts w:ascii="Cambria Math" w:hAnsi="Cambria Math"/>
                                </w:rPr>
                                <m:t>1-</m:t>
                              </m:r>
                              <m:r>
                                <w:rPr>
                                  <w:rFonts w:ascii="Cambria Math" w:hAnsi="Cambria Math"/>
                                </w:rPr>
                                <m:t>θ</m:t>
                              </m:r>
                            </m:sup>
                          </m:sSubSup>
                          <m:sSubSup>
                            <m:sSubSupPr>
                              <m:ctrlPr>
                                <w:rPr>
                                  <w:rFonts w:ascii="Cambria Math" w:hAnsi="Cambria Math"/>
                                  <w:i/>
                                </w:rPr>
                              </m:ctrlPr>
                            </m:sSubSupPr>
                            <m:e>
                              <m:r>
                                <w:rPr>
                                  <w:rFonts w:ascii="Cambria Math" w:hAnsi="Cambria Math"/>
                                </w:rPr>
                                <m:t>L</m:t>
                              </m:r>
                            </m:e>
                            <m:sub>
                              <m:r>
                                <w:rPr>
                                  <w:rFonts w:ascii="Cambria Math" w:hAnsi="Cambria Math"/>
                                </w:rPr>
                                <m:t>t</m:t>
                              </m:r>
                              <m:r>
                                <w:rPr>
                                  <w:rFonts w:ascii="Cambria Math" w:hAnsi="Cambria Math"/>
                                </w:rPr>
                                <m:t>+1</m:t>
                              </m:r>
                            </m:sub>
                            <m:sup>
                              <m:r>
                                <w:rPr>
                                  <w:rFonts w:ascii="Cambria Math" w:hAnsi="Cambria Math"/>
                                </w:rPr>
                                <m:t>1-</m:t>
                              </m:r>
                              <m:r>
                                <w:rPr>
                                  <w:rFonts w:ascii="Cambria Math" w:hAnsi="Cambria Math"/>
                                </w:rPr>
                                <m:t>θ</m:t>
                              </m:r>
                              <m:r>
                                <w:rPr>
                                  <w:rFonts w:ascii="Cambria Math" w:hAnsi="Cambria Math"/>
                                </w:rPr>
                                <m:t>/(</m:t>
                              </m:r>
                              <m:r>
                                <w:rPr>
                                  <w:rFonts w:ascii="Cambria Math" w:hAnsi="Cambria Math"/>
                                </w:rPr>
                                <m:t>σ</m:t>
                              </m:r>
                              <m:r>
                                <w:rPr>
                                  <w:rFonts w:ascii="Cambria Math" w:hAnsi="Cambria Math"/>
                                </w:rPr>
                                <m:t>-</m:t>
                              </m:r>
                              <m:r>
                                <w:rPr>
                                  <w:rFonts w:ascii="Cambria Math" w:hAnsi="Cambria Math"/>
                                </w:rPr>
                                <m:t>1)</m:t>
                              </m:r>
                            </m:sup>
                          </m:sSubSup>
                        </m:e>
                      </m:d>
                    </m:den>
                  </m:f>
                </m:e>
              </m:d>
            </m:e>
            <m:sup>
              <m:r>
                <w:rPr>
                  <w:rFonts w:ascii="Cambria Math" w:hAnsi="Cambria Math"/>
                </w:rPr>
                <m:t>σ</m:t>
              </m:r>
              <m:r>
                <w:rPr>
                  <w:rFonts w:ascii="Cambria Math" w:hAnsi="Cambria Math"/>
                </w:rPr>
                <m:t>-</m:t>
              </m:r>
              <m:r>
                <w:rPr>
                  <w:rFonts w:ascii="Cambria Math" w:hAnsi="Cambria Math"/>
                </w:rPr>
                <m:t>θ</m:t>
              </m:r>
            </m:sup>
          </m:sSup>
        </m:oMath>
      </m:oMathPara>
    </w:p>
    <w:p w14:paraId="543389FB" w14:textId="632F1DC5" w:rsidR="006D2565" w:rsidRDefault="006D2565" w:rsidP="006D2565">
      <w:pPr>
        <w:pStyle w:val="BodyText"/>
      </w:pPr>
      <w:r>
        <w:t>Using the constant growth assumptions:</w:t>
      </w:r>
    </w:p>
    <w:p w14:paraId="58415679" w14:textId="77777777" w:rsidR="006D2565" w:rsidRPr="001535C6" w:rsidRDefault="00521B82" w:rsidP="006D2565">
      <w:pPr>
        <w:pStyle w:val="BodyText"/>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M</m:t>
                  </m:r>
                </m:e>
                <m:sub>
                  <m:r>
                    <w:rPr>
                      <w:rFonts w:ascii="Cambria Math" w:hAnsi="Cambria Math"/>
                    </w:rPr>
                    <m:t>t</m:t>
                  </m:r>
                  <m:r>
                    <w:rPr>
                      <w:rFonts w:ascii="Cambria Math" w:hAnsi="Cambria Math"/>
                    </w:rPr>
                    <m:t>+1</m:t>
                  </m:r>
                </m:sub>
              </m:sSub>
              <m:r>
                <w:rPr>
                  <w:rFonts w:ascii="Cambria Math" w:hAnsi="Cambria Math"/>
                </w:rPr>
                <m:t>=</m:t>
              </m:r>
              <m:r>
                <w:rPr>
                  <w:rFonts w:ascii="Cambria Math" w:hAnsi="Cambria Math"/>
                </w:rPr>
                <m:t>β</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g</m:t>
                              </m:r>
                            </m:e>
                            <m:sub>
                              <m:r>
                                <w:rPr>
                                  <w:rFonts w:ascii="Cambria Math" w:hAnsi="Cambria Math"/>
                                </w:rPr>
                                <m:t>T</m:t>
                              </m:r>
                            </m:sub>
                          </m:sSub>
                        </m:num>
                        <m:den>
                          <m:r>
                            <w:rPr>
                              <w:rFonts w:ascii="Cambria Math" w:hAnsi="Cambria Math"/>
                            </w:rPr>
                            <m:t>1+</m:t>
                          </m:r>
                          <m:sSub>
                            <m:sSubPr>
                              <m:ctrlPr>
                                <w:rPr>
                                  <w:rFonts w:ascii="Cambria Math" w:hAnsi="Cambria Math"/>
                                  <w:i/>
                                </w:rPr>
                              </m:ctrlPr>
                            </m:sSubPr>
                            <m:e>
                              <m:r>
                                <w:rPr>
                                  <w:rFonts w:ascii="Cambria Math" w:hAnsi="Cambria Math"/>
                                </w:rPr>
                                <m:t>g</m:t>
                              </m:r>
                            </m:e>
                            <m:sub>
                              <m:r>
                                <w:rPr>
                                  <w:rFonts w:ascii="Cambria Math" w:hAnsi="Cambria Math"/>
                                </w:rPr>
                                <m:t>L</m:t>
                              </m:r>
                            </m:sub>
                          </m:sSub>
                        </m:den>
                      </m:f>
                    </m:e>
                  </m:d>
                </m:e>
                <m:sup>
                  <m:r>
                    <w:rPr>
                      <w:rFonts w:ascii="Cambria Math" w:hAnsi="Cambria Math"/>
                    </w:rPr>
                    <m:t>-</m:t>
                  </m:r>
                  <m:r>
                    <w:rPr>
                      <w:rFonts w:ascii="Cambria Math" w:hAnsi="Cambria Math"/>
                    </w:rPr>
                    <m:t>σ</m:t>
                  </m:r>
                </m:sup>
              </m:sSup>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rPr>
                    <m:t>θ</m:t>
                  </m:r>
                  <m:sSub>
                    <m:sSubPr>
                      <m:ctrlPr>
                        <w:rPr>
                          <w:rFonts w:ascii="Cambria Math" w:hAnsi="Cambria Math"/>
                          <w:i/>
                        </w:rPr>
                      </m:ctrlPr>
                    </m:sSubPr>
                    <m:e>
                      <m:r>
                        <w:rPr>
                          <w:rFonts w:ascii="Cambria Math" w:hAnsi="Cambria Math"/>
                        </w:rPr>
                        <m:t>χ</m:t>
                      </m:r>
                    </m:e>
                    <m:sub>
                      <m:r>
                        <w:rPr>
                          <w:rFonts w:ascii="Cambria Math" w:hAnsi="Cambria Math"/>
                        </w:rPr>
                        <m:t>t</m:t>
                      </m:r>
                      <m:r>
                        <w:rPr>
                          <w:rFonts w:ascii="Cambria Math" w:hAnsi="Cambria Math"/>
                        </w:rPr>
                        <m:t>+1</m:t>
                      </m:r>
                    </m:sub>
                  </m:sSub>
                </m:sup>
              </m:sSup>
              <m:r>
                <w:rPr>
                  <w:rFonts w:ascii="Cambria Math" w:hAnsi="Cambria Math"/>
                </w:rPr>
                <m:t>E</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(1-</m:t>
                          </m:r>
                          <m:r>
                            <w:rPr>
                              <w:rFonts w:ascii="Cambria Math" w:hAnsi="Cambria Math"/>
                            </w:rPr>
                            <m:t>θ</m:t>
                          </m:r>
                          <m:r>
                            <w:rPr>
                              <w:rFonts w:ascii="Cambria Math" w:hAnsi="Cambria Math"/>
                            </w:rPr>
                            <m:t>)</m:t>
                          </m:r>
                          <m:sSub>
                            <m:sSubPr>
                              <m:ctrlPr>
                                <w:rPr>
                                  <w:rFonts w:ascii="Cambria Math" w:hAnsi="Cambria Math"/>
                                  <w:i/>
                                </w:rPr>
                              </m:ctrlPr>
                            </m:sSubPr>
                            <m:e>
                              <m:r>
                                <w:rPr>
                                  <w:rFonts w:ascii="Cambria Math" w:hAnsi="Cambria Math"/>
                                </w:rPr>
                                <m:t>χ</m:t>
                              </m:r>
                            </m:e>
                            <m:sub>
                              <m:r>
                                <w:rPr>
                                  <w:rFonts w:ascii="Cambria Math" w:hAnsi="Cambria Math"/>
                                </w:rPr>
                                <m:t>t</m:t>
                              </m:r>
                              <m:r>
                                <w:rPr>
                                  <w:rFonts w:ascii="Cambria Math" w:hAnsi="Cambria Math"/>
                                </w:rPr>
                                <m:t>+1</m:t>
                              </m:r>
                            </m:sub>
                          </m:sSub>
                        </m:sup>
                      </m:sSup>
                    </m:e>
                  </m:d>
                </m:e>
                <m:sup>
                  <m:f>
                    <m:fPr>
                      <m:ctrlPr>
                        <w:rPr>
                          <w:rFonts w:ascii="Cambria Math" w:hAnsi="Cambria Math"/>
                          <w:i/>
                        </w:rPr>
                      </m:ctrlPr>
                    </m:fPr>
                    <m:num>
                      <m:r>
                        <w:rPr>
                          <w:rFonts w:ascii="Cambria Math" w:hAnsi="Cambria Math"/>
                        </w:rPr>
                        <m:t>θ</m:t>
                      </m:r>
                      <m:r>
                        <w:rPr>
                          <w:rFonts w:ascii="Cambria Math" w:hAnsi="Cambria Math"/>
                        </w:rPr>
                        <m:t>-</m:t>
                      </m:r>
                      <m:r>
                        <w:rPr>
                          <w:rFonts w:ascii="Cambria Math" w:hAnsi="Cambria Math"/>
                        </w:rPr>
                        <m:t>σ</m:t>
                      </m:r>
                    </m:num>
                    <m:den>
                      <m:r>
                        <w:rPr>
                          <w:rFonts w:ascii="Cambria Math" w:hAnsi="Cambria Math"/>
                        </w:rPr>
                        <m:t>1-</m:t>
                      </m:r>
                      <m:r>
                        <w:rPr>
                          <w:rFonts w:ascii="Cambria Math" w:hAnsi="Cambria Math"/>
                        </w:rPr>
                        <m:t>θ</m:t>
                      </m:r>
                    </m:den>
                  </m:f>
                </m:sup>
              </m:sSup>
              <m:r>
                <w:rPr>
                  <w:rFonts w:ascii="Cambria Math" w:hAnsi="Cambria Math"/>
                </w:rPr>
                <m:t>#</m:t>
              </m:r>
              <m:d>
                <m:dPr>
                  <m:ctrlPr>
                    <w:rPr>
                      <w:rFonts w:ascii="Cambria Math" w:hAnsi="Cambria Math"/>
                      <w:i/>
                    </w:rPr>
                  </m:ctrlPr>
                </m:dPr>
                <m:e>
                  <m:r>
                    <w:rPr>
                      <w:rFonts w:ascii="Cambria Math" w:hAnsi="Cambria Math"/>
                    </w:rPr>
                    <m:t>4</m:t>
                  </m:r>
                </m:e>
              </m:d>
            </m:e>
          </m:eqArr>
        </m:oMath>
      </m:oMathPara>
    </w:p>
    <w:p w14:paraId="5D9F3633" w14:textId="198D0BA5" w:rsidR="006D2565" w:rsidRDefault="006D2565" w:rsidP="006D2565">
      <w:pPr>
        <w:pStyle w:val="BodyText"/>
      </w:pPr>
      <w:r>
        <w:lastRenderedPageBreak/>
        <w:t>Then the Euler equation can be rewritten as equating the user cost of capital with its marginal revenue:</w:t>
      </w:r>
    </w:p>
    <w:p w14:paraId="3FEF1EFD" w14:textId="77777777" w:rsidR="006D2565" w:rsidRDefault="00521B82" w:rsidP="006D2565">
      <w:pPr>
        <w:pStyle w:val="BodyText"/>
        <w:jc w:val="center"/>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Q</m:t>
                  </m:r>
                </m:e>
                <m:sup>
                  <m:r>
                    <w:rPr>
                      <w:rFonts w:ascii="Cambria Math" w:hAnsi="Cambria Math"/>
                    </w:rPr>
                    <m:t>*</m:t>
                  </m:r>
                </m:sup>
              </m:sSup>
            </m:den>
          </m:f>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r>
                <w:rPr>
                  <w:rFonts w:ascii="Cambria Math" w:hAnsi="Cambria Math"/>
                </w:rPr>
                <m:t>δ</m:t>
              </m:r>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Q</m:t>
                  </m:r>
                </m:sub>
              </m:sSub>
            </m:e>
          </m:d>
          <m:r>
            <w:rPr>
              <w:rFonts w:ascii="Cambria Math" w:hAnsi="Cambria Math"/>
            </w:rPr>
            <m:t>≈</m:t>
          </m:r>
          <m:f>
            <m:fPr>
              <m:ctrlPr>
                <w:rPr>
                  <w:rFonts w:ascii="Cambria Math" w:hAnsi="Cambria Math"/>
                  <w:i/>
                </w:rPr>
              </m:ctrlPr>
            </m:fPr>
            <m:num>
              <m:r>
                <w:rPr>
                  <w:rFonts w:ascii="Cambria Math" w:hAnsi="Cambria Math"/>
                </w:rPr>
                <m:t>α</m:t>
              </m:r>
            </m:num>
            <m:den>
              <m:r>
                <w:rPr>
                  <w:rFonts w:ascii="Cambria Math" w:hAnsi="Cambria Math"/>
                </w:rPr>
                <m:t>μ</m:t>
              </m:r>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t</m:t>
                      </m:r>
                    </m:sub>
                  </m:sSub>
                </m:num>
                <m:den>
                  <m:sSub>
                    <m:sSubPr>
                      <m:ctrlPr>
                        <w:rPr>
                          <w:rFonts w:ascii="Cambria Math" w:hAnsi="Cambria Math"/>
                          <w:i/>
                        </w:rPr>
                      </m:ctrlPr>
                    </m:sSubPr>
                    <m:e>
                      <m:r>
                        <w:rPr>
                          <w:rFonts w:ascii="Cambria Math" w:hAnsi="Cambria Math"/>
                        </w:rPr>
                        <m:t>K</m:t>
                      </m:r>
                    </m:e>
                    <m:sub>
                      <m:r>
                        <w:rPr>
                          <w:rFonts w:ascii="Cambria Math" w:hAnsi="Cambria Math"/>
                        </w:rPr>
                        <m:t>t</m:t>
                      </m:r>
                    </m:sub>
                  </m:sSub>
                </m:den>
              </m:f>
            </m:e>
          </m:d>
        </m:oMath>
      </m:oMathPara>
    </w:p>
    <w:p w14:paraId="5384AF4B" w14:textId="77777777" w:rsidR="006D2565" w:rsidRDefault="006D2565" w:rsidP="006D2565">
      <w:pPr>
        <w:pStyle w:val="BodyText"/>
      </w:pPr>
      <w:r>
        <w:t>Rewriting we obtain:</w:t>
      </w:r>
    </w:p>
    <w:p w14:paraId="2445B2DB" w14:textId="77777777" w:rsidR="006D2565" w:rsidRDefault="00521B82" w:rsidP="006D2565">
      <w:pPr>
        <w:pStyle w:val="ListBullet"/>
        <w:numPr>
          <w:ilvl w:val="0"/>
          <w:numId w:val="0"/>
        </w:numPr>
        <w:ind w:left="340" w:hanging="340"/>
      </w:pPr>
      <m:oMathPara>
        <m:oMath>
          <m:eqArr>
            <m:eqArrPr>
              <m:maxDist m:val="1"/>
              <m:ctrlPr>
                <w:rPr>
                  <w:rFonts w:ascii="Cambria Math" w:hAnsi="Cambria Math"/>
                  <w:i/>
                </w:rPr>
              </m:ctrlPr>
            </m:eqArrPr>
            <m:e>
              <m:r>
                <w:rPr>
                  <w:rFonts w:ascii="Cambria Math" w:hAnsi="Cambria Math"/>
                </w:rPr>
                <m:t xml:space="preserve"> </m:t>
              </m:r>
              <m:r>
                <w:rPr>
                  <w:rFonts w:ascii="Cambria Math" w:hAnsi="Cambria Math"/>
                </w:rPr>
                <m:t>MPK</m:t>
              </m:r>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K</m:t>
                  </m:r>
                  <m:r>
                    <w:rPr>
                      <w:rFonts w:ascii="Cambria Math" w:hAnsi="Cambria Math"/>
                    </w:rPr>
                    <m:t>/</m:t>
                  </m:r>
                  <m:r>
                    <w:rPr>
                      <w:rFonts w:ascii="Cambria Math" w:hAnsi="Cambria Math"/>
                    </w:rPr>
                    <m:t>Q</m:t>
                  </m:r>
                </m:den>
              </m:f>
              <m:r>
                <w:rPr>
                  <w:rFonts w:ascii="Cambria Math" w:hAnsi="Cambria Math"/>
                </w:rPr>
                <m:t xml:space="preserve">= </m:t>
              </m:r>
              <m:f>
                <m:fPr>
                  <m:ctrlPr>
                    <w:rPr>
                      <w:rFonts w:ascii="Cambria Math" w:hAnsi="Cambria Math"/>
                      <w:i/>
                    </w:rPr>
                  </m:ctrlPr>
                </m:fPr>
                <m:num>
                  <m:r>
                    <w:rPr>
                      <w:rFonts w:ascii="Cambria Math" w:hAnsi="Cambria Math"/>
                    </w:rPr>
                    <m:t>α</m:t>
                  </m:r>
                  <m:r>
                    <w:rPr>
                      <w:rFonts w:ascii="Cambria Math" w:hAnsi="Cambria Math"/>
                    </w:rPr>
                    <m:t>+</m:t>
                  </m:r>
                  <m:r>
                    <w:rPr>
                      <w:rFonts w:ascii="Cambria Math" w:hAnsi="Cambria Math"/>
                    </w:rPr>
                    <m:t>μ</m:t>
                  </m:r>
                  <m:r>
                    <w:rPr>
                      <w:rFonts w:ascii="Cambria Math" w:hAnsi="Cambria Math"/>
                    </w:rPr>
                    <m:t>-</m:t>
                  </m:r>
                  <m:r>
                    <w:rPr>
                      <w:rFonts w:ascii="Cambria Math" w:hAnsi="Cambria Math"/>
                    </w:rPr>
                    <m:t>1</m:t>
                  </m:r>
                </m:num>
                <m:den>
                  <m:r>
                    <w:rPr>
                      <w:rFonts w:ascii="Cambria Math" w:hAnsi="Cambria Math"/>
                    </w:rPr>
                    <m:t>α</m:t>
                  </m:r>
                </m:den>
              </m:f>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r>
                    <w:rPr>
                      <w:rFonts w:ascii="Cambria Math" w:hAnsi="Cambria Math"/>
                    </w:rPr>
                    <m:t>δ</m:t>
                  </m:r>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Q</m:t>
                      </m:r>
                    </m:sub>
                  </m:sSub>
                </m:e>
              </m:d>
              <m:r>
                <w:rPr>
                  <w:rFonts w:ascii="Cambria Math" w:hAnsi="Cambria Math"/>
                </w:rPr>
                <m:t>#</m:t>
              </m:r>
              <m:d>
                <m:dPr>
                  <m:ctrlPr>
                    <w:rPr>
                      <w:rFonts w:ascii="Cambria Math" w:hAnsi="Cambria Math"/>
                      <w:i/>
                    </w:rPr>
                  </m:ctrlPr>
                </m:dPr>
                <m:e>
                  <m:r>
                    <w:rPr>
                      <w:rFonts w:ascii="Cambria Math" w:hAnsi="Cambria Math"/>
                    </w:rPr>
                    <m:t>5</m:t>
                  </m:r>
                </m:e>
              </m:d>
            </m:e>
          </m:eqArr>
        </m:oMath>
      </m:oMathPara>
    </w:p>
    <w:p w14:paraId="20EB3089" w14:textId="1BE472BE" w:rsidR="006D2565" w:rsidRDefault="006D2565" w:rsidP="006D2565">
      <w:pPr>
        <w:pStyle w:val="BodyText"/>
      </w:pPr>
      <w:r>
        <w:t>Given that</w:t>
      </w:r>
      <w:r w:rsidR="003D1796">
        <w:t xml:space="preserve"> </w:t>
      </w:r>
      <m:oMath>
        <m:sSup>
          <m:sSupPr>
            <m:ctrlPr>
              <w:rPr>
                <w:rFonts w:ascii="Cambria Math" w:hAnsi="Cambria Math"/>
                <w:i/>
              </w:rPr>
            </m:ctrlPr>
          </m:sSupPr>
          <m:e>
            <m:r>
              <w:rPr>
                <w:rFonts w:ascii="Cambria Math" w:hAnsi="Cambria Math"/>
              </w:rPr>
              <m:t>r</m:t>
            </m:r>
          </m:e>
          <m:sup>
            <m:r>
              <w:rPr>
                <w:rFonts w:ascii="Cambria Math" w:hAnsi="Cambria Math"/>
              </w:rPr>
              <m:t>*</m:t>
            </m:r>
          </m:sup>
        </m:sSup>
      </m:oMath>
      <w:r>
        <w:t xml:space="preserve">has been estimated using (3), equations (1) and (5) together allow one to solve for </w:t>
      </w:r>
      <m:oMath>
        <m:r>
          <w:rPr>
            <w:rFonts w:ascii="Cambria Math" w:hAnsi="Cambria Math"/>
          </w:rPr>
          <m:t>α</m:t>
        </m:r>
      </m:oMath>
      <w:r>
        <w:t xml:space="preserve"> and </w:t>
      </w:r>
      <m:oMath>
        <m:r>
          <w:rPr>
            <w:rFonts w:ascii="Cambria Math" w:hAnsi="Cambria Math"/>
          </w:rPr>
          <m:t>μ</m:t>
        </m:r>
      </m:oMath>
      <w:r>
        <w:t xml:space="preserve">, using the observed labour share of value added and measured gross profitability, </w:t>
      </w:r>
      <m:oMath>
        <m:f>
          <m:fPr>
            <m:ctrlPr>
              <w:rPr>
                <w:rFonts w:ascii="Cambria Math" w:hAnsi="Cambria Math"/>
                <w:i/>
              </w:rPr>
            </m:ctrlPr>
          </m:fPr>
          <m:num>
            <m:r>
              <w:rPr>
                <w:rFonts w:ascii="Cambria Math" w:hAnsi="Cambria Math"/>
              </w:rPr>
              <m:t>π</m:t>
            </m:r>
          </m:num>
          <m:den>
            <m:r>
              <w:rPr>
                <w:rFonts w:ascii="Cambria Math" w:hAnsi="Cambria Math"/>
              </w:rPr>
              <m:t>K/Q</m:t>
            </m:r>
          </m:den>
        </m:f>
      </m:oMath>
      <w:r>
        <w:t>.</w:t>
      </w:r>
    </w:p>
    <w:p w14:paraId="79B1BB5A" w14:textId="689D8643" w:rsidR="006D2565" w:rsidRDefault="006D2565" w:rsidP="006D2565">
      <w:pPr>
        <w:pStyle w:val="BodyText"/>
      </w:pPr>
      <w:r>
        <w:t xml:space="preserve">Finally, the wedge between </w:t>
      </w:r>
      <m:oMath>
        <m:sSup>
          <m:sSupPr>
            <m:ctrlPr>
              <w:rPr>
                <w:rFonts w:ascii="Cambria Math" w:hAnsi="Cambria Math"/>
                <w:i/>
              </w:rPr>
            </m:ctrlPr>
          </m:sSupPr>
          <m:e>
            <m:r>
              <w:rPr>
                <w:rFonts w:ascii="Cambria Math" w:hAnsi="Cambria Math"/>
              </w:rPr>
              <m:t>r</m:t>
            </m:r>
          </m:e>
          <m:sup>
            <m:r>
              <w:rPr>
                <w:rFonts w:ascii="Cambria Math" w:hAnsi="Cambria Math"/>
              </w:rPr>
              <m:t>*</m:t>
            </m:r>
          </m:sup>
        </m:sSup>
      </m:oMath>
      <w:r>
        <w:t xml:space="preserve"> and the risk-free rate </w:t>
      </w:r>
      <w:r w:rsidR="00AE05AC" w:rsidRPr="0093777D">
        <w:rPr>
          <w:i/>
          <w:iCs/>
        </w:rPr>
        <w:t>r</w:t>
      </w:r>
      <w:r w:rsidR="00AE05AC" w:rsidRPr="0093777D">
        <w:rPr>
          <w:i/>
          <w:iCs/>
          <w:vertAlign w:val="subscript"/>
        </w:rPr>
        <w:t>f</w:t>
      </w:r>
      <w:r w:rsidR="00AE05AC" w:rsidRPr="0093777D">
        <w:rPr>
          <w:i/>
          <w:iCs/>
        </w:rPr>
        <w:t xml:space="preserve"> </w:t>
      </w:r>
      <w:r>
        <w:t xml:space="preserve">(where the risk-free rate can be derived from observables) provides information on the distribution of risk. The risk-free rate in this model is </w:t>
      </w:r>
      <w:r w:rsidR="0007339A">
        <w:t>equal to</w:t>
      </w:r>
      <w:r>
        <w:t xml:space="preserve"> the real stochastic discount factor:</w:t>
      </w:r>
    </w:p>
    <w:p w14:paraId="326D65C1" w14:textId="77777777" w:rsidR="006D2565" w:rsidRPr="001535C6" w:rsidRDefault="00521B82" w:rsidP="006D2565">
      <w:pPr>
        <w:pStyle w:val="BodyText"/>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t</m:t>
                          </m:r>
                          <m:r>
                            <w:rPr>
                              <w:rFonts w:ascii="Cambria Math" w:hAnsi="Cambria Math"/>
                            </w:rPr>
                            <m:t>+1</m:t>
                          </m:r>
                        </m:sub>
                      </m:sSub>
                    </m:e>
                  </m:d>
                </m:den>
              </m:f>
              <m:r>
                <w:rPr>
                  <w:rFonts w:ascii="Cambria Math" w:hAnsi="Cambria Math"/>
                </w:rPr>
                <m:t>=</m:t>
              </m:r>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+1)</m:t>
                  </m:r>
                  <m:r>
                    <w:rPr>
                      <w:rFonts w:ascii="Cambria Math" w:hAnsi="Cambria Math"/>
                    </w:rPr>
                    <m:t>E</m:t>
                  </m:r>
                  <m:d>
                    <m:dPr>
                      <m:ctrlPr>
                        <w:rPr>
                          <w:rFonts w:ascii="Cambria Math" w:hAnsi="Cambria Math"/>
                          <w:i/>
                        </w:rPr>
                      </m:ctrlPr>
                    </m:dPr>
                    <m:e>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1-</m:t>
                              </m:r>
                              <m:r>
                                <w:rPr>
                                  <w:rFonts w:ascii="Cambria Math" w:hAnsi="Cambria Math"/>
                                </w:rPr>
                                <m:t>θ</m:t>
                              </m:r>
                            </m:e>
                          </m:d>
                          <m:sSub>
                            <m:sSubPr>
                              <m:ctrlPr>
                                <w:rPr>
                                  <w:rFonts w:ascii="Cambria Math" w:hAnsi="Cambria Math"/>
                                  <w:i/>
                                </w:rPr>
                              </m:ctrlPr>
                            </m:sSubPr>
                            <m:e>
                              <m:r>
                                <w:rPr>
                                  <w:rFonts w:ascii="Cambria Math" w:hAnsi="Cambria Math"/>
                                </w:rPr>
                                <m:t>χ</m:t>
                              </m:r>
                            </m:e>
                            <m:sub>
                              <m:r>
                                <w:rPr>
                                  <w:rFonts w:ascii="Cambria Math" w:hAnsi="Cambria Math"/>
                                </w:rPr>
                                <m:t>t</m:t>
                              </m:r>
                              <m:r>
                                <w:rPr>
                                  <w:rFonts w:ascii="Cambria Math" w:hAnsi="Cambria Math"/>
                                </w:rPr>
                                <m:t>+1</m:t>
                              </m:r>
                            </m:sub>
                          </m:sSub>
                        </m:sup>
                      </m:sSup>
                    </m:e>
                  </m:d>
                </m:num>
                <m:den>
                  <m:r>
                    <w:rPr>
                      <w:rFonts w:ascii="Cambria Math" w:hAnsi="Cambria Math"/>
                    </w:rPr>
                    <m:t>E</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rPr>
                            <m:t>θ</m:t>
                          </m:r>
                          <m:sSub>
                            <m:sSubPr>
                              <m:ctrlPr>
                                <w:rPr>
                                  <w:rFonts w:ascii="Cambria Math" w:hAnsi="Cambria Math"/>
                                  <w:i/>
                                </w:rPr>
                              </m:ctrlPr>
                            </m:sSubPr>
                            <m:e>
                              <m:r>
                                <w:rPr>
                                  <w:rFonts w:ascii="Cambria Math" w:hAnsi="Cambria Math"/>
                                </w:rPr>
                                <m:t>χ</m:t>
                              </m:r>
                            </m:e>
                            <m:sub>
                              <m:r>
                                <w:rPr>
                                  <w:rFonts w:ascii="Cambria Math" w:hAnsi="Cambria Math"/>
                                </w:rPr>
                                <m:t>t</m:t>
                              </m:r>
                              <m:r>
                                <w:rPr>
                                  <w:rFonts w:ascii="Cambria Math" w:hAnsi="Cambria Math"/>
                                </w:rPr>
                                <m:t>+1</m:t>
                              </m:r>
                            </m:sub>
                          </m:sSub>
                        </m:sup>
                      </m:sSup>
                    </m:e>
                  </m:d>
                </m:den>
              </m:f>
              <m:r>
                <w:rPr>
                  <w:rFonts w:ascii="Cambria Math" w:hAnsi="Cambria Math"/>
                </w:rPr>
                <m:t>#</m:t>
              </m:r>
              <m:d>
                <m:dPr>
                  <m:ctrlPr>
                    <w:rPr>
                      <w:rFonts w:ascii="Cambria Math" w:hAnsi="Cambria Math"/>
                      <w:i/>
                    </w:rPr>
                  </m:ctrlPr>
                </m:dPr>
                <m:e>
                  <m:r>
                    <w:rPr>
                      <w:rFonts w:ascii="Cambria Math" w:hAnsi="Cambria Math"/>
                    </w:rPr>
                    <m:t>6</m:t>
                  </m:r>
                </m:e>
              </m:d>
            </m:e>
          </m:eqArr>
        </m:oMath>
      </m:oMathPara>
    </w:p>
    <w:p w14:paraId="29E572E8" w14:textId="77777777" w:rsidR="006D2565" w:rsidRDefault="006D2565" w:rsidP="006D2565">
      <w:pPr>
        <w:pStyle w:val="BodyText"/>
      </w:pPr>
      <w:r>
        <w:t>Re-arranging, we obtain:</w:t>
      </w:r>
    </w:p>
    <w:p w14:paraId="6276074B" w14:textId="77777777" w:rsidR="006D2565" w:rsidRPr="001535C6" w:rsidRDefault="00521B82" w:rsidP="006D2565">
      <w:pPr>
        <w:pStyle w:val="BodyText"/>
      </w:pPr>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r>
                <w:rPr>
                  <w:rFonts w:ascii="Cambria Math" w:hAnsi="Cambria Math"/>
                </w:rPr>
                <m:t>logE</m:t>
              </m:r>
              <m:d>
                <m:dPr>
                  <m:ctrlPr>
                    <w:rPr>
                      <w:rFonts w:ascii="Cambria Math" w:hAnsi="Cambria Math"/>
                      <w:i/>
                    </w:rPr>
                  </m:ctrlPr>
                </m:dPr>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m:t>
                          </m:r>
                          <m:r>
                            <w:rPr>
                              <w:rFonts w:ascii="Cambria Math" w:hAnsi="Cambria Math"/>
                            </w:rPr>
                            <m:t>θχ</m:t>
                          </m:r>
                        </m:e>
                        <m:sub>
                          <m:r>
                            <w:rPr>
                              <w:rFonts w:ascii="Cambria Math" w:hAnsi="Cambria Math"/>
                            </w:rPr>
                            <m:t>t</m:t>
                          </m:r>
                          <m:r>
                            <w:rPr>
                              <w:rFonts w:ascii="Cambria Math" w:hAnsi="Cambria Math"/>
                            </w:rPr>
                            <m:t>+1</m:t>
                          </m:r>
                        </m:sub>
                      </m:sSub>
                    </m:sup>
                  </m:sSup>
                </m:e>
              </m:d>
              <m:r>
                <w:rPr>
                  <w:rFonts w:ascii="Cambria Math" w:hAnsi="Cambria Math"/>
                </w:rPr>
                <m:t>-</m:t>
              </m:r>
              <m:r>
                <w:rPr>
                  <w:rFonts w:ascii="Cambria Math" w:hAnsi="Cambria Math"/>
                </w:rPr>
                <m:t>logE</m:t>
              </m:r>
              <m:d>
                <m:dPr>
                  <m:ctrlPr>
                    <w:rPr>
                      <w:rFonts w:ascii="Cambria Math" w:hAnsi="Cambria Math"/>
                      <w:i/>
                    </w:rPr>
                  </m:ctrlPr>
                </m:dPr>
                <m:e>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1-</m:t>
                          </m:r>
                          <m:r>
                            <w:rPr>
                              <w:rFonts w:ascii="Cambria Math" w:hAnsi="Cambria Math"/>
                            </w:rPr>
                            <m:t>θ</m:t>
                          </m:r>
                        </m:e>
                      </m:d>
                      <m:sSub>
                        <m:sSubPr>
                          <m:ctrlPr>
                            <w:rPr>
                              <w:rFonts w:ascii="Cambria Math" w:hAnsi="Cambria Math"/>
                              <w:i/>
                            </w:rPr>
                          </m:ctrlPr>
                        </m:sSubPr>
                        <m:e>
                          <m:r>
                            <w:rPr>
                              <w:rFonts w:ascii="Cambria Math" w:hAnsi="Cambria Math"/>
                            </w:rPr>
                            <m:t>χ</m:t>
                          </m:r>
                        </m:e>
                        <m:sub>
                          <m:r>
                            <w:rPr>
                              <w:rFonts w:ascii="Cambria Math" w:hAnsi="Cambria Math"/>
                            </w:rPr>
                            <m:t>t</m:t>
                          </m:r>
                          <m:r>
                            <w:rPr>
                              <w:rFonts w:ascii="Cambria Math" w:hAnsi="Cambria Math"/>
                            </w:rPr>
                            <m:t>+1</m:t>
                          </m:r>
                        </m:sub>
                      </m:sSub>
                    </m:sup>
                  </m:sSup>
                </m:e>
              </m:d>
              <m:r>
                <w:rPr>
                  <w:rFonts w:ascii="Cambria Math" w:hAnsi="Cambria Math"/>
                </w:rPr>
                <m:t>#</m:t>
              </m:r>
              <m:d>
                <m:dPr>
                  <m:ctrlPr>
                    <w:rPr>
                      <w:rFonts w:ascii="Cambria Math" w:hAnsi="Cambria Math"/>
                      <w:i/>
                    </w:rPr>
                  </m:ctrlPr>
                </m:dPr>
                <m:e>
                  <m:r>
                    <w:rPr>
                      <w:rFonts w:ascii="Cambria Math" w:hAnsi="Cambria Math"/>
                    </w:rPr>
                    <m:t>7</m:t>
                  </m:r>
                </m:e>
              </m:d>
            </m:e>
          </m:eqArr>
        </m:oMath>
      </m:oMathPara>
    </w:p>
    <w:p w14:paraId="6502C05B" w14:textId="77777777" w:rsidR="006D2565" w:rsidRDefault="006D2565" w:rsidP="006D2565">
      <w:pPr>
        <w:pStyle w:val="BodyText"/>
      </w:pPr>
      <w:r>
        <w:t xml:space="preserve">With assumptions on </w:t>
      </w:r>
      <m:oMath>
        <m:r>
          <w:rPr>
            <w:rFonts w:ascii="Cambria Math" w:hAnsi="Cambria Math"/>
          </w:rPr>
          <m:t>θ</m:t>
        </m:r>
      </m:oMath>
      <w:r>
        <w:t xml:space="preserve"> (the coefficient of risk aversion) and selected parameters of distribution of </w:t>
      </w:r>
      <m:oMath>
        <m:r>
          <w:rPr>
            <w:rFonts w:ascii="Cambria Math" w:hAnsi="Cambria Math"/>
          </w:rPr>
          <m:t>χ</m:t>
        </m:r>
      </m:oMath>
      <w:r>
        <w:t xml:space="preserve">, the remaining parameter of </w:t>
      </w:r>
      <m:oMath>
        <m:r>
          <w:rPr>
            <w:rFonts w:ascii="Cambria Math" w:hAnsi="Cambria Math"/>
          </w:rPr>
          <m:t>χ</m:t>
        </m:r>
      </m:oMath>
      <w:r>
        <w:t xml:space="preserve"> can be identified using (7). Farhi and Gourio assume that </w:t>
      </w:r>
      <m:oMath>
        <m:r>
          <w:rPr>
            <w:rFonts w:ascii="Cambria Math" w:hAnsi="Cambria Math"/>
          </w:rPr>
          <m:t>θ=12</m:t>
        </m:r>
      </m:oMath>
      <w:r>
        <w:t xml:space="preserve"> and that </w:t>
      </w:r>
      <m:oMath>
        <m:sSub>
          <m:sSubPr>
            <m:ctrlPr>
              <w:rPr>
                <w:rFonts w:ascii="Cambria Math" w:hAnsi="Cambria Math"/>
                <w:i/>
              </w:rPr>
            </m:ctrlPr>
          </m:sSubPr>
          <m:e>
            <m:r>
              <w:rPr>
                <w:rFonts w:ascii="Cambria Math" w:hAnsi="Cambria Math"/>
              </w:rPr>
              <m:t>χ</m:t>
            </m:r>
          </m:e>
          <m:sub>
            <m:r>
              <w:rPr>
                <w:rFonts w:ascii="Cambria Math" w:hAnsi="Cambria Math"/>
              </w:rPr>
              <m:t>t</m:t>
            </m:r>
          </m:sub>
        </m:sSub>
      </m:oMath>
      <w:r>
        <w:t xml:space="preserve"> follows a “disaster risk” three-point distribution, i.e. </w:t>
      </w:r>
    </w:p>
    <w:p w14:paraId="359A436B" w14:textId="77777777" w:rsidR="006D2565" w:rsidRPr="001535C6" w:rsidRDefault="00521B82" w:rsidP="006D2565">
      <w:pPr>
        <w:pStyle w:val="BodyText"/>
      </w:pPr>
      <m:oMathPara>
        <m:oMath>
          <m:eqArr>
            <m:eqArrPr>
              <m:maxDist m:val="1"/>
              <m:ctrlPr>
                <w:rPr>
                  <w:rFonts w:ascii="Cambria Math" w:hAnsi="Cambria Math"/>
                  <w:i/>
                </w:rPr>
              </m:ctrlPr>
            </m:eqArrPr>
            <m:e>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χ</m:t>
                          </m:r>
                        </m:e>
                        <m:sub>
                          <m:r>
                            <w:rPr>
                              <w:rFonts w:ascii="Cambria Math" w:hAnsi="Cambria Math"/>
                            </w:rPr>
                            <m:t>t</m:t>
                          </m:r>
                          <m:r>
                            <w:rPr>
                              <w:rFonts w:ascii="Cambria Math" w:hAnsi="Cambria Math"/>
                            </w:rPr>
                            <m:t>+1</m:t>
                          </m:r>
                        </m:sub>
                      </m:sSub>
                      <m:r>
                        <w:rPr>
                          <w:rFonts w:ascii="Cambria Math" w:hAnsi="Cambria Math"/>
                        </w:rPr>
                        <m:t xml:space="preserve">=0  </m:t>
                      </m:r>
                      <m:r>
                        <w:rPr>
                          <w:rFonts w:ascii="Cambria Math" w:hAnsi="Cambria Math"/>
                        </w:rPr>
                        <m:t>wit</m:t>
                      </m:r>
                      <m:r>
                        <w:rPr>
                          <w:rFonts w:ascii="Cambria Math" w:hAnsi="Cambria Math"/>
                        </w:rPr>
                        <m:t>h</m:t>
                      </m:r>
                      <m:r>
                        <w:rPr>
                          <w:rFonts w:ascii="Cambria Math" w:hAnsi="Cambria Math"/>
                        </w:rPr>
                        <m:t xml:space="preserve"> </m:t>
                      </m:r>
                      <m:r>
                        <w:rPr>
                          <w:rFonts w:ascii="Cambria Math" w:hAnsi="Cambria Math"/>
                        </w:rPr>
                        <m:t>prob</m:t>
                      </m:r>
                      <m:r>
                        <w:rPr>
                          <w:rFonts w:ascii="Cambria Math" w:hAnsi="Cambria Math"/>
                        </w:rPr>
                        <m:t xml:space="preserve"> 1-2</m:t>
                      </m:r>
                      <m:r>
                        <w:rPr>
                          <w:rFonts w:ascii="Cambria Math" w:hAnsi="Cambria Math"/>
                        </w:rPr>
                        <m:t>p</m:t>
                      </m:r>
                    </m:e>
                    <m:e>
                      <m:sSub>
                        <m:sSubPr>
                          <m:ctrlPr>
                            <w:rPr>
                              <w:rFonts w:ascii="Cambria Math" w:hAnsi="Cambria Math"/>
                              <w:i/>
                            </w:rPr>
                          </m:ctrlPr>
                        </m:sSubPr>
                        <m:e>
                          <m:r>
                            <w:rPr>
                              <w:rFonts w:ascii="Cambria Math" w:hAnsi="Cambria Math"/>
                            </w:rPr>
                            <m:t>χ</m:t>
                          </m:r>
                        </m:e>
                        <m:sub>
                          <m:r>
                            <w:rPr>
                              <w:rFonts w:ascii="Cambria Math" w:hAnsi="Cambria Math"/>
                            </w:rPr>
                            <m:t>t</m:t>
                          </m:r>
                          <m:r>
                            <w:rPr>
                              <w:rFonts w:ascii="Cambria Math" w:hAnsi="Cambria Math"/>
                            </w:rPr>
                            <m:t>+1</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m:t>
                              </m:r>
                              <m:r>
                                <w:rPr>
                                  <w:rFonts w:ascii="Cambria Math" w:hAnsi="Cambria Math"/>
                                </w:rPr>
                                <m:t>b</m:t>
                              </m:r>
                            </m:e>
                          </m:d>
                        </m:e>
                      </m:func>
                      <m:r>
                        <w:rPr>
                          <w:rFonts w:ascii="Cambria Math" w:hAnsi="Cambria Math"/>
                        </w:rPr>
                        <m:t>wit</m:t>
                      </m:r>
                      <m:r>
                        <w:rPr>
                          <w:rFonts w:ascii="Cambria Math" w:hAnsi="Cambria Math"/>
                        </w:rPr>
                        <m:t>h</m:t>
                      </m:r>
                      <m:r>
                        <w:rPr>
                          <w:rFonts w:ascii="Cambria Math" w:hAnsi="Cambria Math"/>
                        </w:rPr>
                        <m:t xml:space="preserve"> </m:t>
                      </m:r>
                      <m:r>
                        <w:rPr>
                          <w:rFonts w:ascii="Cambria Math" w:hAnsi="Cambria Math"/>
                        </w:rPr>
                        <m:t>prob</m:t>
                      </m:r>
                      <m:r>
                        <w:rPr>
                          <w:rFonts w:ascii="Cambria Math" w:hAnsi="Cambria Math"/>
                        </w:rPr>
                        <m:t xml:space="preserve"> </m:t>
                      </m:r>
                      <m:r>
                        <w:rPr>
                          <w:rFonts w:ascii="Cambria Math" w:hAnsi="Cambria Math"/>
                        </w:rPr>
                        <m:t>p</m:t>
                      </m:r>
                    </m:e>
                    <m:e>
                      <m:sSub>
                        <m:sSubPr>
                          <m:ctrlPr>
                            <w:rPr>
                              <w:rFonts w:ascii="Cambria Math" w:hAnsi="Cambria Math"/>
                              <w:i/>
                            </w:rPr>
                          </m:ctrlPr>
                        </m:sSubPr>
                        <m:e>
                          <m:r>
                            <w:rPr>
                              <w:rFonts w:ascii="Cambria Math" w:hAnsi="Cambria Math"/>
                            </w:rPr>
                            <m:t>χ</m:t>
                          </m:r>
                        </m:e>
                        <m:sub>
                          <m:r>
                            <w:rPr>
                              <w:rFonts w:ascii="Cambria Math" w:hAnsi="Cambria Math"/>
                            </w:rPr>
                            <m:t>t</m:t>
                          </m:r>
                          <m:r>
                            <w:rPr>
                              <w:rFonts w:ascii="Cambria Math" w:hAnsi="Cambria Math"/>
                            </w:rPr>
                            <m:t>+1</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H</m:t>
                                  </m:r>
                                </m:sub>
                              </m:sSub>
                            </m:e>
                          </m:d>
                        </m:e>
                      </m:func>
                      <m:r>
                        <w:rPr>
                          <w:rFonts w:ascii="Cambria Math" w:hAnsi="Cambria Math"/>
                        </w:rPr>
                        <m:t>wit</m:t>
                      </m:r>
                      <m:r>
                        <w:rPr>
                          <w:rFonts w:ascii="Cambria Math" w:hAnsi="Cambria Math"/>
                        </w:rPr>
                        <m:t>h</m:t>
                      </m:r>
                      <m:r>
                        <w:rPr>
                          <w:rFonts w:ascii="Cambria Math" w:hAnsi="Cambria Math"/>
                        </w:rPr>
                        <m:t xml:space="preserve"> </m:t>
                      </m:r>
                      <m:r>
                        <w:rPr>
                          <w:rFonts w:ascii="Cambria Math" w:hAnsi="Cambria Math"/>
                        </w:rPr>
                        <m:t>prob</m:t>
                      </m:r>
                      <m:r>
                        <w:rPr>
                          <w:rFonts w:ascii="Cambria Math" w:hAnsi="Cambria Math"/>
                        </w:rPr>
                        <m:t xml:space="preserve"> </m:t>
                      </m:r>
                      <m:r>
                        <w:rPr>
                          <w:rFonts w:ascii="Cambria Math" w:hAnsi="Cambria Math"/>
                        </w:rPr>
                        <m:t>p</m:t>
                      </m:r>
                    </m:e>
                  </m:eqArr>
                </m:e>
              </m:d>
              <m:r>
                <w:rPr>
                  <w:rFonts w:ascii="Cambria Math" w:hAnsi="Cambria Math"/>
                </w:rPr>
                <m:t>#</m:t>
              </m:r>
              <m:d>
                <m:dPr>
                  <m:ctrlPr>
                    <w:rPr>
                      <w:rFonts w:ascii="Cambria Math" w:hAnsi="Cambria Math"/>
                      <w:i/>
                    </w:rPr>
                  </m:ctrlPr>
                </m:dPr>
                <m:e>
                  <m:r>
                    <w:rPr>
                      <w:rFonts w:ascii="Cambria Math" w:hAnsi="Cambria Math"/>
                    </w:rPr>
                    <m:t>*</m:t>
                  </m:r>
                </m:e>
              </m:d>
            </m:e>
          </m:eqArr>
        </m:oMath>
      </m:oMathPara>
    </w:p>
    <w:p w14:paraId="7A1929F9" w14:textId="030C28EF" w:rsidR="006D2565" w:rsidRDefault="006D2565" w:rsidP="006D2565">
      <w:pPr>
        <w:pStyle w:val="BodyText"/>
      </w:pPr>
      <w:r>
        <w:t xml:space="preserve">They fix </w:t>
      </w:r>
      <m:oMath>
        <m:r>
          <w:rPr>
            <w:rFonts w:ascii="Cambria Math" w:hAnsi="Cambria Math"/>
          </w:rPr>
          <m:t>b</m:t>
        </m:r>
      </m:oMath>
      <w:r>
        <w:t xml:space="preserve"> (and therefore </w:t>
      </w:r>
      <m:oMath>
        <m:sSub>
          <m:sSubPr>
            <m:ctrlPr>
              <w:rPr>
                <w:rFonts w:ascii="Cambria Math" w:hAnsi="Cambria Math"/>
                <w:i/>
              </w:rPr>
            </m:ctrlPr>
          </m:sSubPr>
          <m:e>
            <m:r>
              <w:rPr>
                <w:rFonts w:ascii="Cambria Math" w:hAnsi="Cambria Math"/>
              </w:rPr>
              <m:t>b</m:t>
            </m:r>
          </m:e>
          <m:sub>
            <m:r>
              <w:rPr>
                <w:rFonts w:ascii="Cambria Math" w:hAnsi="Cambria Math"/>
              </w:rPr>
              <m:t>H</m:t>
            </m:r>
          </m:sub>
        </m:sSub>
      </m:oMath>
      <w:r>
        <w:t xml:space="preserve">, given that </w:t>
      </w:r>
      <m:oMath>
        <m:r>
          <w:rPr>
            <w:rFonts w:ascii="Cambria Math" w:hAnsi="Cambria Math"/>
          </w:rPr>
          <m:t>E</m:t>
        </m:r>
        <m:d>
          <m:dPr>
            <m:ctrlPr>
              <w:rPr>
                <w:rFonts w:ascii="Cambria Math" w:hAnsi="Cambria Math"/>
                <w:i/>
              </w:rPr>
            </m:ctrlPr>
          </m:dPr>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χ</m:t>
                    </m:r>
                  </m:e>
                  <m:sub>
                    <m:r>
                      <w:rPr>
                        <w:rFonts w:ascii="Cambria Math" w:hAnsi="Cambria Math"/>
                      </w:rPr>
                      <m:t>t+1</m:t>
                    </m:r>
                  </m:sub>
                </m:sSub>
              </m:sup>
            </m:sSup>
          </m:e>
        </m:d>
        <m:r>
          <w:rPr>
            <w:rFonts w:ascii="Cambria Math" w:hAnsi="Cambria Math"/>
          </w:rPr>
          <m:t>=1</m:t>
        </m:r>
      </m:oMath>
      <w:r>
        <w:t xml:space="preserve"> by assumption) at </w:t>
      </w:r>
      <m:oMath>
        <m:r>
          <w:rPr>
            <w:rFonts w:ascii="Cambria Math" w:hAnsi="Cambria Math"/>
          </w:rPr>
          <m:t xml:space="preserve">0.15 </m:t>
        </m:r>
      </m:oMath>
      <w:r>
        <w:t xml:space="preserve">and use (7) to estimate </w:t>
      </w:r>
      <m:oMath>
        <m:r>
          <w:rPr>
            <w:rFonts w:ascii="Cambria Math" w:hAnsi="Cambria Math"/>
          </w:rPr>
          <m:t>p</m:t>
        </m:r>
      </m:oMath>
      <w:r>
        <w:t>.</w:t>
      </w:r>
      <w:r w:rsidR="003D1796">
        <w:t xml:space="preserve"> </w:t>
      </w:r>
      <w:r>
        <w:t>(However, other distributions could easily be estimated.)</w:t>
      </w:r>
    </w:p>
    <w:p w14:paraId="326C27F3" w14:textId="2924A82C" w:rsidR="006D2565" w:rsidRDefault="006D2565" w:rsidP="006D2565">
      <w:pPr>
        <w:pStyle w:val="BodyText"/>
      </w:pPr>
      <w:r>
        <w:t>Thus</w:t>
      </w:r>
      <w:r w:rsidR="005277D2">
        <w:t>,</w:t>
      </w:r>
      <w:r>
        <w:t xml:space="preserve"> the ten moments from publicly sourced data (table 1) are used to solve sequentially for the five key parameters in the framework (table 2), and these parameters are used to identify the contribution of the market risk premium and of market power to hurdle rates.</w:t>
      </w:r>
    </w:p>
    <w:p w14:paraId="074D99F6" w14:textId="5B8847EE" w:rsidR="00E348F8" w:rsidRDefault="00E348F8" w:rsidP="00ED33D7">
      <w:pPr>
        <w:pStyle w:val="FigureTableHeading"/>
      </w:pPr>
      <w:r>
        <w:t xml:space="preserve">Table </w:t>
      </w:r>
      <w:r w:rsidR="00226B24">
        <w:rPr>
          <w:noProof/>
        </w:rPr>
        <w:t>2</w:t>
      </w:r>
      <w:r>
        <w:rPr>
          <w:noProof/>
        </w:rPr>
        <w:t xml:space="preserve"> – </w:t>
      </w:r>
      <w:r>
        <w:t>The five key parameters</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98"/>
        <w:gridCol w:w="6375"/>
        <w:gridCol w:w="1866"/>
      </w:tblGrid>
      <w:tr w:rsidR="00E348F8" w:rsidRPr="00E348F8" w14:paraId="7DBDE845" w14:textId="77777777" w:rsidTr="00E348F8">
        <w:trPr>
          <w:tblHeader/>
        </w:trPr>
        <w:tc>
          <w:tcPr>
            <w:tcW w:w="725" w:type="pct"/>
            <w:tcBorders>
              <w:bottom w:val="single" w:sz="4" w:space="0" w:color="B3B3B3"/>
            </w:tcBorders>
            <w:shd w:val="clear" w:color="auto" w:fill="auto"/>
            <w:vAlign w:val="bottom"/>
          </w:tcPr>
          <w:p w14:paraId="7B5FB9DC" w14:textId="77777777" w:rsidR="00E348F8" w:rsidRPr="00E348F8" w:rsidRDefault="00E348F8" w:rsidP="00E348F8">
            <w:pPr>
              <w:pStyle w:val="TableColumnHeading"/>
              <w:spacing w:before="45" w:after="45"/>
              <w:ind w:left="57" w:right="108"/>
              <w:jc w:val="left"/>
              <w:rPr>
                <w:rFonts w:ascii="Arial (Body)" w:hAnsi="Arial (Body)"/>
                <w:b/>
                <w:i w:val="0"/>
                <w:color w:val="265A9A"/>
              </w:rPr>
            </w:pPr>
            <w:r w:rsidRPr="00E348F8">
              <w:rPr>
                <w:rFonts w:ascii="Arial (Body)" w:hAnsi="Arial (Body)"/>
                <w:b/>
                <w:i w:val="0"/>
                <w:color w:val="265A9A"/>
              </w:rPr>
              <w:t>Parameter</w:t>
            </w:r>
          </w:p>
        </w:tc>
        <w:tc>
          <w:tcPr>
            <w:tcW w:w="3307" w:type="pct"/>
            <w:tcBorders>
              <w:bottom w:val="single" w:sz="4" w:space="0" w:color="B3B3B3"/>
            </w:tcBorders>
            <w:shd w:val="clear" w:color="auto" w:fill="auto"/>
            <w:vAlign w:val="bottom"/>
          </w:tcPr>
          <w:p w14:paraId="226A26AF" w14:textId="77777777" w:rsidR="00E348F8" w:rsidRPr="00E348F8" w:rsidRDefault="00E348F8" w:rsidP="00E348F8">
            <w:pPr>
              <w:pStyle w:val="TableColumnHeading"/>
              <w:spacing w:before="45" w:after="45"/>
              <w:ind w:left="57" w:right="108"/>
              <w:jc w:val="left"/>
              <w:rPr>
                <w:rFonts w:ascii="Arial (Body)" w:hAnsi="Arial (Body)"/>
                <w:b/>
                <w:i w:val="0"/>
                <w:color w:val="265A9A"/>
              </w:rPr>
            </w:pPr>
            <w:r w:rsidRPr="00E348F8">
              <w:rPr>
                <w:rFonts w:ascii="Arial (Body)" w:hAnsi="Arial (Body)"/>
                <w:b/>
                <w:i w:val="0"/>
                <w:color w:val="265A9A"/>
              </w:rPr>
              <w:t>Description</w:t>
            </w:r>
          </w:p>
        </w:tc>
        <w:tc>
          <w:tcPr>
            <w:tcW w:w="968" w:type="pct"/>
            <w:tcBorders>
              <w:bottom w:val="single" w:sz="4" w:space="0" w:color="B3B3B3"/>
            </w:tcBorders>
            <w:shd w:val="clear" w:color="auto" w:fill="auto"/>
            <w:vAlign w:val="bottom"/>
          </w:tcPr>
          <w:p w14:paraId="5D5AC17E" w14:textId="77777777" w:rsidR="00E348F8" w:rsidRPr="00E348F8" w:rsidRDefault="00E348F8" w:rsidP="00E348F8">
            <w:pPr>
              <w:pStyle w:val="TableColumnHeading"/>
              <w:spacing w:before="45" w:after="45"/>
              <w:ind w:left="57" w:right="108"/>
              <w:rPr>
                <w:rFonts w:ascii="Arial (Body)" w:hAnsi="Arial (Body)"/>
                <w:b/>
                <w:i w:val="0"/>
                <w:color w:val="265A9A"/>
              </w:rPr>
            </w:pPr>
            <w:r w:rsidRPr="00E348F8">
              <w:rPr>
                <w:rFonts w:ascii="Arial (Body)" w:hAnsi="Arial (Body)"/>
                <w:b/>
                <w:i w:val="0"/>
                <w:color w:val="265A9A"/>
              </w:rPr>
              <w:t>Symbol</w:t>
            </w:r>
          </w:p>
        </w:tc>
      </w:tr>
      <w:tr w:rsidR="00E348F8" w:rsidRPr="00E348F8" w14:paraId="1C326FD5" w14:textId="77777777" w:rsidTr="00E348F8">
        <w:tc>
          <w:tcPr>
            <w:tcW w:w="725" w:type="pct"/>
            <w:tcBorders>
              <w:top w:val="single" w:sz="4" w:space="0" w:color="B3B3B3"/>
              <w:bottom w:val="nil"/>
            </w:tcBorders>
            <w:shd w:val="clear" w:color="auto" w:fill="F2F2F2"/>
          </w:tcPr>
          <w:p w14:paraId="798495AD" w14:textId="77777777" w:rsidR="00E348F8" w:rsidRPr="00E348F8" w:rsidRDefault="00E348F8" w:rsidP="00E348F8">
            <w:pPr>
              <w:pStyle w:val="TableUnitsRow"/>
              <w:spacing w:before="45" w:after="45"/>
              <w:ind w:left="57" w:right="108"/>
              <w:jc w:val="left"/>
              <w:rPr>
                <w:rFonts w:ascii="Arial (Body)" w:hAnsi="Arial (Body)"/>
                <w:bCs/>
              </w:rPr>
            </w:pPr>
            <w:r w:rsidRPr="00E348F8">
              <w:rPr>
                <w:rFonts w:ascii="Arial (Body)" w:hAnsi="Arial (Body)"/>
                <w:bCs/>
              </w:rPr>
              <w:t>P1</w:t>
            </w:r>
          </w:p>
        </w:tc>
        <w:tc>
          <w:tcPr>
            <w:tcW w:w="3307" w:type="pct"/>
            <w:tcBorders>
              <w:top w:val="single" w:sz="4" w:space="0" w:color="B3B3B3"/>
              <w:bottom w:val="nil"/>
            </w:tcBorders>
            <w:shd w:val="clear" w:color="auto" w:fill="F2F2F2"/>
          </w:tcPr>
          <w:p w14:paraId="6E6EFC5D" w14:textId="7AD1E539" w:rsidR="00E348F8" w:rsidRPr="00E348F8" w:rsidRDefault="005C2A2E" w:rsidP="00E348F8">
            <w:pPr>
              <w:pStyle w:val="TableUnitsRow"/>
              <w:spacing w:before="45" w:after="45"/>
              <w:ind w:left="57" w:right="108"/>
              <w:jc w:val="left"/>
              <w:rPr>
                <w:rFonts w:ascii="Arial (Body)" w:hAnsi="Arial (Body)"/>
                <w:color w:val="000000"/>
              </w:rPr>
            </w:pPr>
            <w:r>
              <w:rPr>
                <w:rFonts w:ascii="Arial (Body)" w:hAnsi="Arial (Body)"/>
                <w:color w:val="000000"/>
              </w:rPr>
              <w:t>D</w:t>
            </w:r>
            <w:r w:rsidR="00E348F8" w:rsidRPr="00E348F8">
              <w:rPr>
                <w:rFonts w:ascii="Arial (Body)" w:hAnsi="Arial (Body)"/>
                <w:color w:val="000000"/>
              </w:rPr>
              <w:t>epreciation rate of capital</w:t>
            </w:r>
          </w:p>
        </w:tc>
        <w:tc>
          <w:tcPr>
            <w:tcW w:w="968" w:type="pct"/>
            <w:tcBorders>
              <w:top w:val="single" w:sz="4" w:space="0" w:color="B3B3B3"/>
              <w:bottom w:val="nil"/>
            </w:tcBorders>
            <w:shd w:val="clear" w:color="auto" w:fill="F2F2F2"/>
          </w:tcPr>
          <w:p w14:paraId="32D478FE" w14:textId="244EB6E4" w:rsidR="00E348F8" w:rsidRPr="00E348F8" w:rsidRDefault="00E348F8" w:rsidP="00E348F8">
            <w:pPr>
              <w:pStyle w:val="TableBodyText"/>
              <w:spacing w:before="45" w:after="45"/>
              <w:ind w:left="57" w:right="108"/>
              <w:jc w:val="left"/>
              <w:rPr>
                <w:rFonts w:ascii="Arial (Body)" w:hAnsi="Arial (Body)"/>
                <w:color w:val="000000"/>
              </w:rPr>
            </w:pPr>
            <m:oMathPara>
              <m:oMathParaPr>
                <m:jc m:val="right"/>
              </m:oMathParaPr>
              <m:oMath>
                <m:r>
                  <w:rPr>
                    <w:rFonts w:ascii="Cambria Math" w:hAnsi="Cambria Math"/>
                    <w:color w:val="000000"/>
                  </w:rPr>
                  <m:t>δ</m:t>
                </m:r>
              </m:oMath>
            </m:oMathPara>
          </w:p>
        </w:tc>
      </w:tr>
      <w:tr w:rsidR="00E348F8" w:rsidRPr="00E348F8" w14:paraId="30BCED57" w14:textId="77777777" w:rsidTr="00E348F8">
        <w:tc>
          <w:tcPr>
            <w:tcW w:w="725" w:type="pct"/>
            <w:tcBorders>
              <w:top w:val="nil"/>
              <w:bottom w:val="nil"/>
            </w:tcBorders>
            <w:shd w:val="clear" w:color="auto" w:fill="auto"/>
          </w:tcPr>
          <w:p w14:paraId="55F903C3" w14:textId="77777777" w:rsidR="00E348F8" w:rsidRPr="00E348F8" w:rsidRDefault="00E348F8" w:rsidP="00E348F8">
            <w:pPr>
              <w:pStyle w:val="TableBodyText"/>
              <w:spacing w:before="45" w:after="45"/>
              <w:ind w:left="57" w:right="108"/>
              <w:jc w:val="left"/>
              <w:rPr>
                <w:rFonts w:ascii="Arial (Body)" w:hAnsi="Arial (Body)"/>
                <w:bCs/>
              </w:rPr>
            </w:pPr>
            <w:r w:rsidRPr="00E348F8">
              <w:rPr>
                <w:rFonts w:ascii="Arial (Body)" w:hAnsi="Arial (Body)"/>
                <w:bCs/>
              </w:rPr>
              <w:t>P2</w:t>
            </w:r>
          </w:p>
        </w:tc>
        <w:tc>
          <w:tcPr>
            <w:tcW w:w="3307" w:type="pct"/>
            <w:tcBorders>
              <w:top w:val="nil"/>
              <w:bottom w:val="nil"/>
            </w:tcBorders>
            <w:shd w:val="clear" w:color="auto" w:fill="auto"/>
          </w:tcPr>
          <w:p w14:paraId="4D123152" w14:textId="77777777" w:rsidR="00E348F8" w:rsidRPr="00E348F8" w:rsidRDefault="00E348F8" w:rsidP="00E348F8">
            <w:pPr>
              <w:pStyle w:val="TableBodyText"/>
              <w:spacing w:before="45" w:after="45"/>
              <w:ind w:left="57" w:right="108"/>
              <w:jc w:val="left"/>
              <w:rPr>
                <w:rFonts w:ascii="Arial (Body)" w:hAnsi="Arial (Body)"/>
                <w:color w:val="000000"/>
              </w:rPr>
            </w:pPr>
            <w:r w:rsidRPr="00E348F8">
              <w:rPr>
                <w:rFonts w:ascii="Arial (Body)" w:hAnsi="Arial (Body)"/>
                <w:color w:val="000000"/>
              </w:rPr>
              <w:t>Expected return on risky assets</w:t>
            </w:r>
          </w:p>
        </w:tc>
        <w:tc>
          <w:tcPr>
            <w:tcW w:w="968" w:type="pct"/>
            <w:tcBorders>
              <w:top w:val="nil"/>
              <w:bottom w:val="nil"/>
            </w:tcBorders>
            <w:shd w:val="clear" w:color="auto" w:fill="auto"/>
          </w:tcPr>
          <w:p w14:paraId="4DFAFCB1" w14:textId="0C7D3AA3" w:rsidR="00E348F8" w:rsidRPr="00E348F8" w:rsidRDefault="00521B82" w:rsidP="00E348F8">
            <w:pPr>
              <w:pStyle w:val="TableBodyText"/>
              <w:spacing w:before="45" w:after="45"/>
              <w:ind w:left="57" w:right="108"/>
              <w:jc w:val="left"/>
              <w:rPr>
                <w:rFonts w:ascii="Arial (Body)" w:hAnsi="Arial (Body)"/>
                <w:color w:val="000000"/>
              </w:rPr>
            </w:pPr>
            <m:oMathPara>
              <m:oMathParaPr>
                <m:jc m:val="right"/>
              </m:oMathParaPr>
              <m:oMath>
                <m:sSup>
                  <m:sSupPr>
                    <m:ctrlPr>
                      <w:rPr>
                        <w:rFonts w:ascii="Cambria Math" w:hAnsi="Cambria Math"/>
                        <w:color w:val="000000"/>
                      </w:rPr>
                    </m:ctrlPr>
                  </m:sSupPr>
                  <m:e>
                    <m:r>
                      <w:rPr>
                        <w:rFonts w:ascii="Cambria Math" w:hAnsi="Cambria Math"/>
                        <w:color w:val="000000"/>
                      </w:rPr>
                      <m:t>r</m:t>
                    </m:r>
                  </m:e>
                  <m:sup>
                    <m:r>
                      <m:rPr>
                        <m:sty m:val="p"/>
                      </m:rPr>
                      <w:rPr>
                        <w:rFonts w:ascii="Cambria Math" w:hAnsi="Cambria Math"/>
                        <w:color w:val="000000"/>
                      </w:rPr>
                      <m:t>*</m:t>
                    </m:r>
                  </m:sup>
                </m:sSup>
              </m:oMath>
            </m:oMathPara>
          </w:p>
        </w:tc>
      </w:tr>
      <w:tr w:rsidR="00E348F8" w:rsidRPr="00E348F8" w14:paraId="4E2109FE" w14:textId="77777777" w:rsidTr="00E348F8">
        <w:tc>
          <w:tcPr>
            <w:tcW w:w="725" w:type="pct"/>
            <w:tcBorders>
              <w:bottom w:val="nil"/>
            </w:tcBorders>
            <w:shd w:val="clear" w:color="auto" w:fill="F2F2F2"/>
          </w:tcPr>
          <w:p w14:paraId="5AE9F0AE" w14:textId="77777777" w:rsidR="00E348F8" w:rsidRPr="00E348F8" w:rsidRDefault="00E348F8" w:rsidP="00E348F8">
            <w:pPr>
              <w:pStyle w:val="TableBodyText"/>
              <w:spacing w:before="45" w:after="45"/>
              <w:ind w:left="57" w:right="108"/>
              <w:jc w:val="left"/>
              <w:rPr>
                <w:rFonts w:ascii="Arial (Body)" w:hAnsi="Arial (Body)"/>
                <w:bCs/>
              </w:rPr>
            </w:pPr>
            <w:r w:rsidRPr="00E348F8">
              <w:rPr>
                <w:rFonts w:ascii="Arial (Body)" w:hAnsi="Arial (Body)"/>
                <w:bCs/>
              </w:rPr>
              <w:t>P3</w:t>
            </w:r>
          </w:p>
        </w:tc>
        <w:tc>
          <w:tcPr>
            <w:tcW w:w="3307" w:type="pct"/>
            <w:tcBorders>
              <w:bottom w:val="nil"/>
            </w:tcBorders>
            <w:shd w:val="clear" w:color="auto" w:fill="F2F2F2"/>
          </w:tcPr>
          <w:p w14:paraId="5BC32764" w14:textId="649AE886" w:rsidR="00E348F8" w:rsidRPr="00E348F8" w:rsidRDefault="005C2A2E" w:rsidP="00E348F8">
            <w:pPr>
              <w:pStyle w:val="TableBodyText"/>
              <w:spacing w:before="45" w:after="45"/>
              <w:ind w:left="57" w:right="108"/>
              <w:jc w:val="left"/>
              <w:rPr>
                <w:rFonts w:ascii="Arial (Body)" w:hAnsi="Arial (Body)"/>
                <w:color w:val="000000"/>
              </w:rPr>
            </w:pPr>
            <w:r>
              <w:rPr>
                <w:rFonts w:ascii="Arial (Body)" w:hAnsi="Arial (Body)"/>
                <w:color w:val="000000"/>
              </w:rPr>
              <w:t>M</w:t>
            </w:r>
            <w:r w:rsidR="00E348F8" w:rsidRPr="00E348F8">
              <w:rPr>
                <w:rFonts w:ascii="Arial (Body)" w:hAnsi="Arial (Body)"/>
                <w:color w:val="000000"/>
              </w:rPr>
              <w:t>arkup on prices due to firms’ market power</w:t>
            </w:r>
          </w:p>
        </w:tc>
        <w:tc>
          <w:tcPr>
            <w:tcW w:w="968" w:type="pct"/>
            <w:tcBorders>
              <w:bottom w:val="nil"/>
            </w:tcBorders>
            <w:shd w:val="clear" w:color="auto" w:fill="F2F2F2"/>
          </w:tcPr>
          <w:p w14:paraId="68CAFB8C" w14:textId="05A1DE48" w:rsidR="00E348F8" w:rsidRPr="00E348F8" w:rsidRDefault="00E348F8" w:rsidP="00E348F8">
            <w:pPr>
              <w:pStyle w:val="TableBodyText"/>
              <w:spacing w:before="45" w:after="45"/>
              <w:ind w:left="57" w:right="108"/>
              <w:jc w:val="left"/>
              <w:rPr>
                <w:rFonts w:ascii="Arial (Body)" w:hAnsi="Arial (Body)"/>
                <w:color w:val="000000"/>
              </w:rPr>
            </w:pPr>
            <m:oMathPara>
              <m:oMathParaPr>
                <m:jc m:val="right"/>
              </m:oMathParaPr>
              <m:oMath>
                <m:r>
                  <w:rPr>
                    <w:rFonts w:ascii="Cambria Math" w:hAnsi="Cambria Math"/>
                    <w:color w:val="000000"/>
                  </w:rPr>
                  <m:t>μ</m:t>
                </m:r>
              </m:oMath>
            </m:oMathPara>
          </w:p>
        </w:tc>
      </w:tr>
      <w:tr w:rsidR="00E348F8" w:rsidRPr="00E348F8" w14:paraId="766C03D4" w14:textId="77777777" w:rsidTr="00E348F8">
        <w:tc>
          <w:tcPr>
            <w:tcW w:w="725" w:type="pct"/>
            <w:tcBorders>
              <w:top w:val="nil"/>
              <w:bottom w:val="nil"/>
            </w:tcBorders>
            <w:shd w:val="clear" w:color="auto" w:fill="auto"/>
          </w:tcPr>
          <w:p w14:paraId="648930D5" w14:textId="77777777" w:rsidR="00E348F8" w:rsidRPr="00E348F8" w:rsidRDefault="00E348F8" w:rsidP="00E348F8">
            <w:pPr>
              <w:pStyle w:val="TableBodyText"/>
              <w:spacing w:before="45" w:after="45"/>
              <w:ind w:left="57" w:right="108"/>
              <w:jc w:val="left"/>
              <w:rPr>
                <w:rFonts w:ascii="Arial (Body)" w:hAnsi="Arial (Body)"/>
                <w:bCs/>
              </w:rPr>
            </w:pPr>
            <w:r w:rsidRPr="00E348F8">
              <w:rPr>
                <w:rFonts w:ascii="Arial (Body)" w:hAnsi="Arial (Body)"/>
                <w:bCs/>
              </w:rPr>
              <w:t>P4</w:t>
            </w:r>
          </w:p>
        </w:tc>
        <w:tc>
          <w:tcPr>
            <w:tcW w:w="3307" w:type="pct"/>
            <w:tcBorders>
              <w:top w:val="nil"/>
              <w:bottom w:val="nil"/>
            </w:tcBorders>
            <w:shd w:val="clear" w:color="auto" w:fill="auto"/>
          </w:tcPr>
          <w:p w14:paraId="7E235A3B" w14:textId="3D495EF4" w:rsidR="00E348F8" w:rsidRPr="00E348F8" w:rsidRDefault="00E348F8" w:rsidP="00E348F8">
            <w:pPr>
              <w:pStyle w:val="TableBodyText"/>
              <w:spacing w:before="45" w:after="45"/>
              <w:ind w:left="57" w:right="108"/>
              <w:jc w:val="left"/>
              <w:rPr>
                <w:rFonts w:ascii="Arial (Body)" w:hAnsi="Arial (Body)"/>
                <w:color w:val="000000"/>
              </w:rPr>
            </w:pPr>
            <w:r w:rsidRPr="00E348F8">
              <w:rPr>
                <w:rFonts w:ascii="Arial (Body)" w:hAnsi="Arial (Body)"/>
                <w:color w:val="000000"/>
              </w:rPr>
              <w:t>Cobb</w:t>
            </w:r>
            <w:r w:rsidRPr="00E348F8">
              <w:rPr>
                <w:rFonts w:ascii="Arial (Body)" w:hAnsi="Arial (Body)"/>
                <w:color w:val="000000"/>
              </w:rPr>
              <w:noBreakHyphen/>
              <w:t>Douglas parameter for labour share of output</w:t>
            </w:r>
          </w:p>
        </w:tc>
        <w:tc>
          <w:tcPr>
            <w:tcW w:w="968" w:type="pct"/>
            <w:tcBorders>
              <w:top w:val="nil"/>
              <w:bottom w:val="nil"/>
            </w:tcBorders>
            <w:shd w:val="clear" w:color="auto" w:fill="auto"/>
          </w:tcPr>
          <w:p w14:paraId="2D497721" w14:textId="002CF906" w:rsidR="00E348F8" w:rsidRPr="00E348F8" w:rsidRDefault="00E348F8" w:rsidP="00E348F8">
            <w:pPr>
              <w:pStyle w:val="TableBodyText"/>
              <w:spacing w:before="45" w:after="45"/>
              <w:ind w:left="57" w:right="108"/>
              <w:jc w:val="left"/>
              <w:rPr>
                <w:rFonts w:ascii="Arial (Body)" w:hAnsi="Arial (Body)"/>
                <w:color w:val="000000"/>
              </w:rPr>
            </w:pPr>
            <m:oMathPara>
              <m:oMathParaPr>
                <m:jc m:val="right"/>
              </m:oMathParaPr>
              <m:oMath>
                <m:r>
                  <w:rPr>
                    <w:rFonts w:ascii="Cambria Math" w:hAnsi="Cambria Math"/>
                    <w:color w:val="000000"/>
                  </w:rPr>
                  <m:t>α</m:t>
                </m:r>
              </m:oMath>
            </m:oMathPara>
          </w:p>
        </w:tc>
      </w:tr>
      <w:tr w:rsidR="00E348F8" w:rsidRPr="00E348F8" w14:paraId="3D305ACC" w14:textId="77777777" w:rsidTr="00E348F8">
        <w:tc>
          <w:tcPr>
            <w:tcW w:w="725" w:type="pct"/>
            <w:tcBorders>
              <w:bottom w:val="single" w:sz="4" w:space="0" w:color="B3B3B3"/>
            </w:tcBorders>
            <w:shd w:val="clear" w:color="auto" w:fill="F2F2F2"/>
          </w:tcPr>
          <w:p w14:paraId="28DBC9DD" w14:textId="77777777" w:rsidR="00E348F8" w:rsidRPr="00E348F8" w:rsidRDefault="00E348F8" w:rsidP="00E348F8">
            <w:pPr>
              <w:pStyle w:val="TableBodyText"/>
              <w:spacing w:before="45" w:after="45"/>
              <w:ind w:left="57" w:right="108"/>
              <w:jc w:val="left"/>
              <w:rPr>
                <w:rFonts w:ascii="Arial (Body)" w:hAnsi="Arial (Body)"/>
                <w:bCs/>
              </w:rPr>
            </w:pPr>
            <w:r w:rsidRPr="00E348F8">
              <w:rPr>
                <w:rFonts w:ascii="Arial (Body)" w:hAnsi="Arial (Body)"/>
                <w:bCs/>
              </w:rPr>
              <w:t>P5</w:t>
            </w:r>
          </w:p>
        </w:tc>
        <w:tc>
          <w:tcPr>
            <w:tcW w:w="3307" w:type="pct"/>
            <w:tcBorders>
              <w:bottom w:val="single" w:sz="4" w:space="0" w:color="B3B3B3"/>
            </w:tcBorders>
            <w:shd w:val="clear" w:color="auto" w:fill="F2F2F2"/>
          </w:tcPr>
          <w:p w14:paraId="12DBE1DA" w14:textId="77777777" w:rsidR="00E348F8" w:rsidRPr="00E348F8" w:rsidRDefault="00E348F8" w:rsidP="00E348F8">
            <w:pPr>
              <w:pStyle w:val="TableBodyText"/>
              <w:spacing w:before="45" w:after="45"/>
              <w:ind w:left="57" w:right="108"/>
              <w:jc w:val="left"/>
              <w:rPr>
                <w:rFonts w:ascii="Arial (Body)" w:hAnsi="Arial (Body)"/>
                <w:color w:val="000000"/>
              </w:rPr>
            </w:pPr>
            <w:r w:rsidRPr="00E348F8">
              <w:rPr>
                <w:rFonts w:ascii="Arial (Body)" w:hAnsi="Arial (Body)"/>
                <w:color w:val="000000"/>
              </w:rPr>
              <w:t>Risk, modelled as the probability of an economic crisis or disaster</w:t>
            </w:r>
          </w:p>
        </w:tc>
        <w:tc>
          <w:tcPr>
            <w:tcW w:w="968" w:type="pct"/>
            <w:tcBorders>
              <w:bottom w:val="single" w:sz="4" w:space="0" w:color="B3B3B3"/>
            </w:tcBorders>
            <w:shd w:val="clear" w:color="auto" w:fill="F2F2F2"/>
          </w:tcPr>
          <w:p w14:paraId="18743560" w14:textId="13A6010D" w:rsidR="00E348F8" w:rsidRPr="00E348F8" w:rsidRDefault="00E348F8" w:rsidP="00E348F8">
            <w:pPr>
              <w:pStyle w:val="TableBodyText"/>
              <w:spacing w:before="45" w:after="45"/>
              <w:ind w:left="57" w:right="108"/>
              <w:jc w:val="left"/>
              <w:rPr>
                <w:rFonts w:ascii="Arial (Body)" w:hAnsi="Arial (Body)"/>
                <w:color w:val="000000"/>
              </w:rPr>
            </w:pPr>
            <m:oMathPara>
              <m:oMathParaPr>
                <m:jc m:val="right"/>
              </m:oMathParaPr>
              <m:oMath>
                <m:r>
                  <w:rPr>
                    <w:rFonts w:ascii="Cambria Math" w:hAnsi="Cambria Math"/>
                    <w:color w:val="000000"/>
                  </w:rPr>
                  <m:t>p</m:t>
                </m:r>
              </m:oMath>
            </m:oMathPara>
          </w:p>
        </w:tc>
      </w:tr>
    </w:tbl>
    <w:p w14:paraId="5C8395AA" w14:textId="011497AB" w:rsidR="006D2565" w:rsidRDefault="006D2565" w:rsidP="008369F9">
      <w:pPr>
        <w:pStyle w:val="Heading2"/>
        <w:numPr>
          <w:ilvl w:val="1"/>
          <w:numId w:val="15"/>
        </w:numPr>
        <w:ind w:left="720"/>
      </w:pPr>
      <w:bookmarkStart w:id="11" w:name="_Toc158878729"/>
      <w:bookmarkStart w:id="12" w:name="_Toc161228810"/>
      <w:r>
        <w:t>Results</w:t>
      </w:r>
      <w:bookmarkEnd w:id="11"/>
      <w:bookmarkEnd w:id="12"/>
    </w:p>
    <w:p w14:paraId="3F1179EB" w14:textId="473B5138" w:rsidR="006D2565" w:rsidRPr="00AC75E6" w:rsidRDefault="006D2565" w:rsidP="006D2565">
      <w:pPr>
        <w:pStyle w:val="BodyText"/>
        <w:rPr>
          <w:spacing w:val="-2"/>
        </w:rPr>
      </w:pPr>
      <w:r w:rsidRPr="00AC75E6">
        <w:rPr>
          <w:spacing w:val="-2"/>
        </w:rPr>
        <w:t xml:space="preserve">Appendix A.1 describes the exact data series that were used to identify the ten moments in </w:t>
      </w:r>
      <w:r w:rsidR="000D64BA" w:rsidRPr="00AC75E6">
        <w:rPr>
          <w:spacing w:val="-2"/>
        </w:rPr>
        <w:t>t</w:t>
      </w:r>
      <w:r w:rsidRPr="00AC75E6">
        <w:rPr>
          <w:spacing w:val="-2"/>
        </w:rPr>
        <w:t>able 1. The one point of difficulty lies in determining the appropriate risk-free interest rate. The results presented in this section use the two-year Australian government bond rate (as government bonds in high-income countries are considered nearly risk free). Appendix A.2 explores how the results change depending on whether the one-</w:t>
      </w:r>
      <w:r w:rsidRPr="00AC75E6">
        <w:rPr>
          <w:spacing w:val="-2"/>
        </w:rPr>
        <w:lastRenderedPageBreak/>
        <w:t>year, two-year or ten-year bond rate is used. Appendix A.2 also explores how the results change when capital price growth is used instead of investment price growth (as these differ in practice, but not in the model).</w:t>
      </w:r>
    </w:p>
    <w:p w14:paraId="1C7EFA13" w14:textId="1D85D91B" w:rsidR="006D2565" w:rsidRPr="00E348F8" w:rsidRDefault="006D2565" w:rsidP="006D2565">
      <w:pPr>
        <w:pStyle w:val="BodyText"/>
        <w:rPr>
          <w:spacing w:val="-4"/>
        </w:rPr>
      </w:pPr>
      <w:r w:rsidRPr="00E348F8">
        <w:rPr>
          <w:spacing w:val="-4"/>
        </w:rPr>
        <w:t>Table 3 indicates how the moments from public data have evolved over the period from 1997 to 2020. Following Farhi and Gourio, we break the data into two broad periods, from 1997 to 2008 and from 2009 to 2020.</w:t>
      </w:r>
    </w:p>
    <w:p w14:paraId="4E4C6C3D" w14:textId="3C537FBD" w:rsidR="006D2565" w:rsidRPr="001A7DF4" w:rsidRDefault="006D2565" w:rsidP="006D2565">
      <w:pPr>
        <w:pStyle w:val="BodyText"/>
        <w:rPr>
          <w:spacing w:val="-2"/>
        </w:rPr>
      </w:pPr>
      <w:r w:rsidRPr="001A7DF4">
        <w:rPr>
          <w:spacing w:val="-2"/>
        </w:rPr>
        <w:t xml:space="preserve">Table 4 outlines the calculation of the key parameters over those two periods, using equations (1)(2)(3)(5)(7). </w:t>
      </w:r>
    </w:p>
    <w:p w14:paraId="49848068" w14:textId="2E410A0A" w:rsidR="00E348F8" w:rsidRDefault="00E348F8" w:rsidP="00ED33D7">
      <w:pPr>
        <w:pStyle w:val="FigureTableHeading"/>
      </w:pPr>
      <w:r>
        <w:t xml:space="preserve">Table </w:t>
      </w:r>
      <w:r w:rsidR="00226B24">
        <w:rPr>
          <w:noProof/>
        </w:rPr>
        <w:t>3</w:t>
      </w:r>
      <w:r>
        <w:rPr>
          <w:noProof/>
        </w:rPr>
        <w:t xml:space="preserve"> – </w:t>
      </w:r>
      <w:r>
        <w:t>Evolution of the public moments over two periods</w:t>
      </w:r>
    </w:p>
    <w:tbl>
      <w:tblPr>
        <w:tblStyle w:val="GridTable1Light-Accent5"/>
        <w:tblW w:w="5000" w:type="pct"/>
        <w:tblBorders>
          <w:top w:val="none" w:sz="0" w:space="0" w:color="auto"/>
          <w:left w:val="none" w:sz="0" w:space="0" w:color="auto"/>
          <w:bottom w:val="single" w:sz="4" w:space="0" w:color="B3B3B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970"/>
        <w:gridCol w:w="1291"/>
        <w:gridCol w:w="1669"/>
        <w:gridCol w:w="1669"/>
        <w:gridCol w:w="2040"/>
      </w:tblGrid>
      <w:tr w:rsidR="00E348F8" w:rsidRPr="00E348F8" w14:paraId="7610C14E" w14:textId="77777777" w:rsidTr="00E348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0" w:type="pct"/>
            <w:tcBorders>
              <w:bottom w:val="single" w:sz="4" w:space="0" w:color="B3B3B3"/>
            </w:tcBorders>
            <w:shd w:val="clear" w:color="auto" w:fill="auto"/>
            <w:vAlign w:val="bottom"/>
          </w:tcPr>
          <w:p w14:paraId="5123FA9A" w14:textId="77777777" w:rsidR="00E348F8" w:rsidRPr="00E348F8" w:rsidRDefault="00E348F8" w:rsidP="00E348F8">
            <w:pPr>
              <w:pStyle w:val="Box"/>
              <w:spacing w:before="45" w:after="45"/>
              <w:ind w:left="57" w:right="108"/>
              <w:jc w:val="left"/>
              <w:rPr>
                <w:rFonts w:ascii="Arial (Body)" w:hAnsi="Arial (Body)"/>
                <w:color w:val="265A9A"/>
                <w:sz w:val="18"/>
                <w:szCs w:val="18"/>
              </w:rPr>
            </w:pPr>
            <w:r w:rsidRPr="00E348F8">
              <w:rPr>
                <w:rFonts w:ascii="Arial (Body)" w:hAnsi="Arial (Body)"/>
                <w:bCs w:val="0"/>
                <w:color w:val="265A9A"/>
                <w:sz w:val="18"/>
              </w:rPr>
              <w:t>Moments</w:t>
            </w:r>
          </w:p>
        </w:tc>
        <w:tc>
          <w:tcPr>
            <w:tcW w:w="669" w:type="pct"/>
            <w:tcBorders>
              <w:bottom w:val="single" w:sz="4" w:space="0" w:color="B3B3B3"/>
            </w:tcBorders>
            <w:shd w:val="clear" w:color="auto" w:fill="auto"/>
            <w:vAlign w:val="bottom"/>
          </w:tcPr>
          <w:p w14:paraId="6C51CFD1" w14:textId="77777777" w:rsidR="00E348F8" w:rsidRPr="00E348F8" w:rsidRDefault="00E348F8" w:rsidP="00E348F8">
            <w:pPr>
              <w:pStyle w:val="Box"/>
              <w:spacing w:before="45" w:after="45"/>
              <w:ind w:left="57" w:right="108"/>
              <w:jc w:val="center"/>
              <w:cnfStyle w:val="100000000000" w:firstRow="1" w:lastRow="0" w:firstColumn="0" w:lastColumn="0" w:oddVBand="0" w:evenVBand="0" w:oddHBand="0" w:evenHBand="0" w:firstRowFirstColumn="0" w:firstRowLastColumn="0" w:lastRowFirstColumn="0" w:lastRowLastColumn="0"/>
              <w:rPr>
                <w:rFonts w:ascii="Arial (Body)" w:hAnsi="Arial (Body)"/>
                <w:color w:val="265A9A"/>
                <w:sz w:val="18"/>
                <w:szCs w:val="18"/>
              </w:rPr>
            </w:pPr>
            <w:r w:rsidRPr="00E348F8">
              <w:rPr>
                <w:rFonts w:ascii="Arial (Body)" w:hAnsi="Arial (Body)"/>
                <w:bCs w:val="0"/>
                <w:color w:val="265A9A"/>
                <w:sz w:val="18"/>
              </w:rPr>
              <w:t>Symbol</w:t>
            </w:r>
          </w:p>
        </w:tc>
        <w:tc>
          <w:tcPr>
            <w:tcW w:w="866" w:type="pct"/>
            <w:tcBorders>
              <w:bottom w:val="single" w:sz="4" w:space="0" w:color="B3B3B3"/>
            </w:tcBorders>
            <w:shd w:val="clear" w:color="auto" w:fill="auto"/>
            <w:vAlign w:val="bottom"/>
          </w:tcPr>
          <w:p w14:paraId="199E7805" w14:textId="05D23087" w:rsidR="00E348F8" w:rsidRPr="00E348F8" w:rsidRDefault="00E348F8" w:rsidP="00E348F8">
            <w:pPr>
              <w:pStyle w:val="Box"/>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color w:val="265A9A"/>
                <w:sz w:val="18"/>
                <w:szCs w:val="18"/>
              </w:rPr>
            </w:pPr>
            <w:r w:rsidRPr="00E348F8">
              <w:rPr>
                <w:rFonts w:ascii="Arial (Body)" w:hAnsi="Arial (Body)"/>
                <w:bCs w:val="0"/>
                <w:color w:val="265A9A"/>
                <w:sz w:val="18"/>
              </w:rPr>
              <w:t>1997</w:t>
            </w:r>
            <w:r w:rsidR="00841C4B">
              <w:rPr>
                <w:rFonts w:ascii="Arial (Body)" w:hAnsi="Arial (Body)"/>
                <w:bCs w:val="0"/>
                <w:color w:val="265A9A"/>
                <w:sz w:val="18"/>
              </w:rPr>
              <w:t>–</w:t>
            </w:r>
            <w:r w:rsidRPr="00E348F8">
              <w:rPr>
                <w:rFonts w:ascii="Arial (Body)" w:hAnsi="Arial (Body)"/>
                <w:bCs w:val="0"/>
                <w:color w:val="265A9A"/>
                <w:sz w:val="18"/>
              </w:rPr>
              <w:t>2008</w:t>
            </w:r>
          </w:p>
        </w:tc>
        <w:tc>
          <w:tcPr>
            <w:tcW w:w="866" w:type="pct"/>
            <w:tcBorders>
              <w:bottom w:val="single" w:sz="4" w:space="0" w:color="B3B3B3"/>
            </w:tcBorders>
            <w:shd w:val="clear" w:color="auto" w:fill="auto"/>
            <w:vAlign w:val="bottom"/>
          </w:tcPr>
          <w:p w14:paraId="6F6F0B4A" w14:textId="1DF8BAA4" w:rsidR="00E348F8" w:rsidRPr="00E348F8" w:rsidRDefault="00E348F8" w:rsidP="00E348F8">
            <w:pPr>
              <w:pStyle w:val="Box"/>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color w:val="265A9A"/>
                <w:sz w:val="18"/>
                <w:szCs w:val="18"/>
              </w:rPr>
            </w:pPr>
            <w:r w:rsidRPr="00E348F8">
              <w:rPr>
                <w:rFonts w:ascii="Arial (Body)" w:hAnsi="Arial (Body)"/>
                <w:bCs w:val="0"/>
                <w:color w:val="265A9A"/>
                <w:sz w:val="18"/>
              </w:rPr>
              <w:t>2009</w:t>
            </w:r>
            <w:r w:rsidR="00841C4B">
              <w:rPr>
                <w:rFonts w:ascii="Arial (Body)" w:hAnsi="Arial (Body)"/>
                <w:bCs w:val="0"/>
                <w:color w:val="265A9A"/>
                <w:sz w:val="18"/>
              </w:rPr>
              <w:t>–</w:t>
            </w:r>
            <w:r w:rsidRPr="00E348F8">
              <w:rPr>
                <w:rFonts w:ascii="Arial (Body)" w:hAnsi="Arial (Body)"/>
                <w:bCs w:val="0"/>
                <w:color w:val="265A9A"/>
                <w:sz w:val="18"/>
              </w:rPr>
              <w:t>2020</w:t>
            </w:r>
          </w:p>
        </w:tc>
        <w:tc>
          <w:tcPr>
            <w:tcW w:w="1058" w:type="pct"/>
            <w:tcBorders>
              <w:bottom w:val="single" w:sz="4" w:space="0" w:color="B3B3B3"/>
            </w:tcBorders>
            <w:shd w:val="clear" w:color="auto" w:fill="auto"/>
            <w:vAlign w:val="bottom"/>
          </w:tcPr>
          <w:p w14:paraId="12110DEC" w14:textId="77777777" w:rsidR="00E348F8" w:rsidRPr="00E348F8" w:rsidRDefault="00E348F8" w:rsidP="00E348F8">
            <w:pPr>
              <w:pStyle w:val="Box"/>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color w:val="265A9A"/>
                <w:sz w:val="18"/>
                <w:szCs w:val="18"/>
              </w:rPr>
            </w:pPr>
            <w:r w:rsidRPr="00E348F8">
              <w:rPr>
                <w:rFonts w:ascii="Arial (Body)" w:hAnsi="Arial (Body)"/>
                <w:color w:val="265A9A"/>
                <w:sz w:val="18"/>
              </w:rPr>
              <w:t>Difference</w:t>
            </w:r>
          </w:p>
        </w:tc>
      </w:tr>
      <w:tr w:rsidR="00E348F8" w:rsidRPr="00E348F8" w14:paraId="6CB209C1" w14:textId="77777777" w:rsidTr="00E348F8">
        <w:tc>
          <w:tcPr>
            <w:cnfStyle w:val="001000000000" w:firstRow="0" w:lastRow="0" w:firstColumn="1" w:lastColumn="0" w:oddVBand="0" w:evenVBand="0" w:oddHBand="0" w:evenHBand="0" w:firstRowFirstColumn="0" w:firstRowLastColumn="0" w:lastRowFirstColumn="0" w:lastRowLastColumn="0"/>
            <w:tcW w:w="1540" w:type="pct"/>
            <w:tcBorders>
              <w:top w:val="single" w:sz="4" w:space="0" w:color="B3B3B3"/>
              <w:bottom w:val="nil"/>
            </w:tcBorders>
            <w:shd w:val="clear" w:color="auto" w:fill="F2F2F2"/>
          </w:tcPr>
          <w:p w14:paraId="7BD4C55E" w14:textId="77777777" w:rsidR="00E348F8" w:rsidRPr="00E348F8" w:rsidRDefault="00E348F8" w:rsidP="00E348F8">
            <w:pPr>
              <w:pStyle w:val="Box"/>
              <w:spacing w:before="45" w:after="45"/>
              <w:ind w:left="57" w:right="108"/>
              <w:jc w:val="left"/>
              <w:rPr>
                <w:rFonts w:ascii="Arial (Body)" w:hAnsi="Arial (Body)"/>
                <w:b w:val="0"/>
                <w:bCs w:val="0"/>
                <w:sz w:val="18"/>
                <w:szCs w:val="18"/>
              </w:rPr>
            </w:pPr>
            <w:r w:rsidRPr="00E348F8">
              <w:rPr>
                <w:rFonts w:ascii="Arial (Body)" w:hAnsi="Arial (Body)"/>
                <w:b w:val="0"/>
                <w:bCs w:val="0"/>
                <w:sz w:val="18"/>
              </w:rPr>
              <w:t>Gross profitability</w:t>
            </w:r>
          </w:p>
        </w:tc>
        <w:tc>
          <w:tcPr>
            <w:tcW w:w="669" w:type="pct"/>
            <w:tcBorders>
              <w:top w:val="single" w:sz="4" w:space="0" w:color="B3B3B3"/>
              <w:bottom w:val="nil"/>
            </w:tcBorders>
            <w:shd w:val="clear" w:color="auto" w:fill="F2F2F2"/>
          </w:tcPr>
          <w:p w14:paraId="2CA4A70D" w14:textId="4EBEC5F4" w:rsidR="00E348F8" w:rsidRPr="00E348F8" w:rsidRDefault="00521B82" w:rsidP="00E348F8">
            <w:pPr>
              <w:pStyle w:val="Box"/>
              <w:spacing w:before="45" w:after="45"/>
              <w:ind w:left="57" w:right="108"/>
              <w:jc w:val="lef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m:oMathPara>
              <m:oMath>
                <m:f>
                  <m:fPr>
                    <m:ctrlPr>
                      <w:rPr>
                        <w:rFonts w:ascii="Cambria Math" w:hAnsi="Cambria Math"/>
                        <w:color w:val="000000"/>
                        <w:sz w:val="18"/>
                      </w:rPr>
                    </m:ctrlPr>
                  </m:fPr>
                  <m:num>
                    <m:r>
                      <w:rPr>
                        <w:rFonts w:ascii="Cambria Math" w:hAnsi="Cambria Math"/>
                        <w:color w:val="000000"/>
                        <w:sz w:val="18"/>
                      </w:rPr>
                      <m:t>π</m:t>
                    </m:r>
                  </m:num>
                  <m:den>
                    <m:r>
                      <w:rPr>
                        <w:rFonts w:ascii="Cambria Math" w:hAnsi="Cambria Math"/>
                        <w:color w:val="000000"/>
                        <w:sz w:val="18"/>
                      </w:rPr>
                      <m:t>K</m:t>
                    </m:r>
                    <m:r>
                      <m:rPr>
                        <m:sty m:val="p"/>
                      </m:rPr>
                      <w:rPr>
                        <w:rFonts w:ascii="Cambria Math" w:hAnsi="Cambria Math"/>
                        <w:color w:val="000000"/>
                        <w:sz w:val="18"/>
                      </w:rPr>
                      <m:t>/</m:t>
                    </m:r>
                    <m:r>
                      <w:rPr>
                        <w:rFonts w:ascii="Cambria Math" w:hAnsi="Cambria Math"/>
                        <w:color w:val="000000"/>
                        <w:sz w:val="18"/>
                      </w:rPr>
                      <m:t>Q</m:t>
                    </m:r>
                  </m:den>
                </m:f>
              </m:oMath>
            </m:oMathPara>
          </w:p>
        </w:tc>
        <w:tc>
          <w:tcPr>
            <w:tcW w:w="866" w:type="pct"/>
            <w:tcBorders>
              <w:top w:val="single" w:sz="4" w:space="0" w:color="B3B3B3"/>
              <w:bottom w:val="nil"/>
            </w:tcBorders>
            <w:shd w:val="clear" w:color="auto" w:fill="F2F2F2"/>
          </w:tcPr>
          <w:p w14:paraId="43A979F6"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14.249</w:t>
            </w:r>
          </w:p>
        </w:tc>
        <w:tc>
          <w:tcPr>
            <w:tcW w:w="866" w:type="pct"/>
            <w:tcBorders>
              <w:top w:val="single" w:sz="4" w:space="0" w:color="B3B3B3"/>
              <w:bottom w:val="nil"/>
            </w:tcBorders>
            <w:shd w:val="clear" w:color="auto" w:fill="F2F2F2"/>
          </w:tcPr>
          <w:p w14:paraId="57B89CD8"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14.193</w:t>
            </w:r>
          </w:p>
        </w:tc>
        <w:tc>
          <w:tcPr>
            <w:tcW w:w="1058" w:type="pct"/>
            <w:tcBorders>
              <w:top w:val="single" w:sz="4" w:space="0" w:color="B3B3B3"/>
              <w:bottom w:val="nil"/>
            </w:tcBorders>
            <w:shd w:val="clear" w:color="auto" w:fill="F2F2F2"/>
          </w:tcPr>
          <w:p w14:paraId="6065F970"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-0.057</w:t>
            </w:r>
          </w:p>
        </w:tc>
      </w:tr>
      <w:tr w:rsidR="00E348F8" w:rsidRPr="00E348F8" w14:paraId="6A743B9D" w14:textId="77777777" w:rsidTr="00E348F8">
        <w:tc>
          <w:tcPr>
            <w:cnfStyle w:val="001000000000" w:firstRow="0" w:lastRow="0" w:firstColumn="1" w:lastColumn="0" w:oddVBand="0" w:evenVBand="0" w:oddHBand="0" w:evenHBand="0" w:firstRowFirstColumn="0" w:firstRowLastColumn="0" w:lastRowFirstColumn="0" w:lastRowLastColumn="0"/>
            <w:tcW w:w="1540" w:type="pct"/>
            <w:tcBorders>
              <w:top w:val="nil"/>
              <w:bottom w:val="nil"/>
            </w:tcBorders>
            <w:shd w:val="clear" w:color="auto" w:fill="auto"/>
          </w:tcPr>
          <w:p w14:paraId="052D2F85" w14:textId="77777777" w:rsidR="00E348F8" w:rsidRPr="00E348F8" w:rsidRDefault="00E348F8" w:rsidP="00E348F8">
            <w:pPr>
              <w:pStyle w:val="Box"/>
              <w:spacing w:before="45" w:after="45"/>
              <w:ind w:left="57" w:right="108"/>
              <w:jc w:val="left"/>
              <w:rPr>
                <w:rFonts w:ascii="Arial (Body)" w:hAnsi="Arial (Body)"/>
                <w:b w:val="0"/>
                <w:bCs w:val="0"/>
                <w:sz w:val="18"/>
                <w:szCs w:val="18"/>
              </w:rPr>
            </w:pPr>
            <w:r w:rsidRPr="00E348F8">
              <w:rPr>
                <w:rFonts w:ascii="Arial (Body)" w:hAnsi="Arial (Body)"/>
                <w:b w:val="0"/>
                <w:bCs w:val="0"/>
                <w:sz w:val="18"/>
              </w:rPr>
              <w:t>Capital share</w:t>
            </w:r>
          </w:p>
        </w:tc>
        <w:tc>
          <w:tcPr>
            <w:tcW w:w="669" w:type="pct"/>
            <w:tcBorders>
              <w:top w:val="nil"/>
              <w:bottom w:val="nil"/>
            </w:tcBorders>
            <w:shd w:val="clear" w:color="auto" w:fill="auto"/>
          </w:tcPr>
          <w:p w14:paraId="3184C547" w14:textId="29D69548" w:rsidR="00E348F8" w:rsidRPr="00E348F8" w:rsidRDefault="00521B82" w:rsidP="00E348F8">
            <w:pPr>
              <w:pStyle w:val="Box"/>
              <w:spacing w:before="45" w:after="45"/>
              <w:ind w:left="57" w:right="108"/>
              <w:jc w:val="lef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m:oMathPara>
              <m:oMath>
                <m:f>
                  <m:fPr>
                    <m:ctrlPr>
                      <w:rPr>
                        <w:rFonts w:ascii="Cambria Math" w:hAnsi="Cambria Math"/>
                        <w:color w:val="000000"/>
                        <w:sz w:val="18"/>
                      </w:rPr>
                    </m:ctrlPr>
                  </m:fPr>
                  <m:num>
                    <m:r>
                      <w:rPr>
                        <w:rFonts w:ascii="Cambria Math" w:hAnsi="Cambria Math"/>
                        <w:color w:val="000000"/>
                        <w:sz w:val="18"/>
                      </w:rPr>
                      <m:t>π</m:t>
                    </m:r>
                  </m:num>
                  <m:den>
                    <m:r>
                      <w:rPr>
                        <w:rFonts w:ascii="Cambria Math" w:hAnsi="Cambria Math"/>
                        <w:color w:val="000000"/>
                        <w:sz w:val="18"/>
                      </w:rPr>
                      <m:t>Y</m:t>
                    </m:r>
                  </m:den>
                </m:f>
              </m:oMath>
            </m:oMathPara>
          </w:p>
        </w:tc>
        <w:tc>
          <w:tcPr>
            <w:tcW w:w="866" w:type="pct"/>
            <w:tcBorders>
              <w:top w:val="nil"/>
              <w:bottom w:val="nil"/>
            </w:tcBorders>
            <w:shd w:val="clear" w:color="auto" w:fill="auto"/>
          </w:tcPr>
          <w:p w14:paraId="4D9104F7"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40.620</w:t>
            </w:r>
          </w:p>
        </w:tc>
        <w:tc>
          <w:tcPr>
            <w:tcW w:w="866" w:type="pct"/>
            <w:tcBorders>
              <w:top w:val="nil"/>
              <w:bottom w:val="nil"/>
            </w:tcBorders>
            <w:shd w:val="clear" w:color="auto" w:fill="auto"/>
          </w:tcPr>
          <w:p w14:paraId="4F785F35"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43.418</w:t>
            </w:r>
          </w:p>
        </w:tc>
        <w:tc>
          <w:tcPr>
            <w:tcW w:w="1058" w:type="pct"/>
            <w:tcBorders>
              <w:top w:val="nil"/>
              <w:bottom w:val="nil"/>
            </w:tcBorders>
            <w:shd w:val="clear" w:color="auto" w:fill="auto"/>
          </w:tcPr>
          <w:p w14:paraId="57E9482C"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2.799</w:t>
            </w:r>
          </w:p>
        </w:tc>
      </w:tr>
      <w:tr w:rsidR="00E348F8" w:rsidRPr="00E348F8" w14:paraId="24163872" w14:textId="77777777" w:rsidTr="00E348F8">
        <w:tc>
          <w:tcPr>
            <w:cnfStyle w:val="001000000000" w:firstRow="0" w:lastRow="0" w:firstColumn="1" w:lastColumn="0" w:oddVBand="0" w:evenVBand="0" w:oddHBand="0" w:evenHBand="0" w:firstRowFirstColumn="0" w:firstRowLastColumn="0" w:lastRowFirstColumn="0" w:lastRowLastColumn="0"/>
            <w:tcW w:w="1540" w:type="pct"/>
            <w:tcBorders>
              <w:bottom w:val="nil"/>
            </w:tcBorders>
            <w:shd w:val="clear" w:color="auto" w:fill="F2F2F2"/>
          </w:tcPr>
          <w:p w14:paraId="081FDC64" w14:textId="77777777" w:rsidR="00E348F8" w:rsidRPr="00E348F8" w:rsidRDefault="00E348F8" w:rsidP="00E348F8">
            <w:pPr>
              <w:pStyle w:val="Box"/>
              <w:spacing w:before="45" w:after="45"/>
              <w:ind w:left="57" w:right="108"/>
              <w:jc w:val="left"/>
              <w:rPr>
                <w:rFonts w:ascii="Arial (Body)" w:hAnsi="Arial (Body)"/>
                <w:b w:val="0"/>
                <w:bCs w:val="0"/>
                <w:sz w:val="18"/>
                <w:szCs w:val="18"/>
              </w:rPr>
            </w:pPr>
            <w:r w:rsidRPr="00E348F8">
              <w:rPr>
                <w:rFonts w:ascii="Arial (Body)" w:hAnsi="Arial (Body)"/>
                <w:b w:val="0"/>
                <w:bCs w:val="0"/>
                <w:sz w:val="18"/>
              </w:rPr>
              <w:t>Risk free rate</w:t>
            </w:r>
          </w:p>
        </w:tc>
        <w:tc>
          <w:tcPr>
            <w:tcW w:w="669" w:type="pct"/>
            <w:tcBorders>
              <w:bottom w:val="nil"/>
            </w:tcBorders>
            <w:shd w:val="clear" w:color="auto" w:fill="F2F2F2"/>
          </w:tcPr>
          <w:p w14:paraId="4956A073" w14:textId="77777777" w:rsidR="00E348F8" w:rsidRPr="00E348F8" w:rsidRDefault="00E348F8" w:rsidP="00E348F8">
            <w:pPr>
              <w:pStyle w:val="Box"/>
              <w:spacing w:before="45" w:after="45"/>
              <w:ind w:left="57" w:right="108"/>
              <w:jc w:val="center"/>
              <w:cnfStyle w:val="000000000000" w:firstRow="0" w:lastRow="0" w:firstColumn="0" w:lastColumn="0" w:oddVBand="0" w:evenVBand="0" w:oddHBand="0" w:evenHBand="0" w:firstRowFirstColumn="0" w:firstRowLastColumn="0" w:lastRowFirstColumn="0" w:lastRowLastColumn="0"/>
              <w:rPr>
                <w:rFonts w:ascii="Arial (Body)" w:hAnsi="Arial (Body)"/>
                <w:iCs/>
                <w:color w:val="000000"/>
                <w:sz w:val="18"/>
                <w:szCs w:val="18"/>
              </w:rPr>
            </w:pPr>
            <w:r w:rsidRPr="00E348F8">
              <w:rPr>
                <w:rFonts w:ascii="Arial (Body)" w:hAnsi="Arial (Body)"/>
                <w:iCs/>
                <w:color w:val="000000"/>
                <w:sz w:val="18"/>
              </w:rPr>
              <w:t>r</w:t>
            </w:r>
            <w:r w:rsidRPr="00E348F8">
              <w:rPr>
                <w:rFonts w:ascii="Arial (Body)" w:hAnsi="Arial (Body)"/>
                <w:iCs/>
                <w:color w:val="000000"/>
                <w:sz w:val="18"/>
                <w:vertAlign w:val="subscript"/>
              </w:rPr>
              <w:t>F</w:t>
            </w:r>
          </w:p>
        </w:tc>
        <w:tc>
          <w:tcPr>
            <w:tcW w:w="866" w:type="pct"/>
            <w:tcBorders>
              <w:bottom w:val="nil"/>
            </w:tcBorders>
            <w:shd w:val="clear" w:color="auto" w:fill="F2F2F2"/>
          </w:tcPr>
          <w:p w14:paraId="1B56377E"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2.205</w:t>
            </w:r>
          </w:p>
        </w:tc>
        <w:tc>
          <w:tcPr>
            <w:tcW w:w="866" w:type="pct"/>
            <w:tcBorders>
              <w:bottom w:val="nil"/>
            </w:tcBorders>
            <w:shd w:val="clear" w:color="auto" w:fill="F2F2F2"/>
          </w:tcPr>
          <w:p w14:paraId="559B9CD6"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0.069</w:t>
            </w:r>
          </w:p>
        </w:tc>
        <w:tc>
          <w:tcPr>
            <w:tcW w:w="1058" w:type="pct"/>
            <w:tcBorders>
              <w:bottom w:val="nil"/>
            </w:tcBorders>
            <w:shd w:val="clear" w:color="auto" w:fill="F2F2F2"/>
          </w:tcPr>
          <w:p w14:paraId="4DDCA332"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-2.136</w:t>
            </w:r>
          </w:p>
        </w:tc>
      </w:tr>
      <w:tr w:rsidR="00E348F8" w:rsidRPr="00E348F8" w14:paraId="40E256FB" w14:textId="77777777" w:rsidTr="00E348F8">
        <w:tc>
          <w:tcPr>
            <w:cnfStyle w:val="001000000000" w:firstRow="0" w:lastRow="0" w:firstColumn="1" w:lastColumn="0" w:oddVBand="0" w:evenVBand="0" w:oddHBand="0" w:evenHBand="0" w:firstRowFirstColumn="0" w:firstRowLastColumn="0" w:lastRowFirstColumn="0" w:lastRowLastColumn="0"/>
            <w:tcW w:w="1540" w:type="pct"/>
            <w:tcBorders>
              <w:top w:val="nil"/>
              <w:bottom w:val="nil"/>
            </w:tcBorders>
            <w:shd w:val="clear" w:color="auto" w:fill="auto"/>
          </w:tcPr>
          <w:p w14:paraId="03803DBE" w14:textId="77777777" w:rsidR="00E348F8" w:rsidRPr="00E348F8" w:rsidRDefault="00E348F8" w:rsidP="00E348F8">
            <w:pPr>
              <w:pStyle w:val="Box"/>
              <w:spacing w:before="45" w:after="45"/>
              <w:ind w:left="57" w:right="108"/>
              <w:jc w:val="left"/>
              <w:rPr>
                <w:rFonts w:ascii="Arial (Body)" w:hAnsi="Arial (Body)"/>
                <w:b w:val="0"/>
                <w:bCs w:val="0"/>
                <w:sz w:val="18"/>
                <w:szCs w:val="18"/>
              </w:rPr>
            </w:pPr>
            <w:r w:rsidRPr="00E348F8">
              <w:rPr>
                <w:rFonts w:ascii="Arial (Body)" w:hAnsi="Arial (Body)"/>
                <w:b w:val="0"/>
                <w:bCs w:val="0"/>
                <w:sz w:val="18"/>
              </w:rPr>
              <w:t>Price-dividend ratio</w:t>
            </w:r>
          </w:p>
        </w:tc>
        <w:tc>
          <w:tcPr>
            <w:tcW w:w="669" w:type="pct"/>
            <w:tcBorders>
              <w:top w:val="nil"/>
              <w:bottom w:val="nil"/>
            </w:tcBorders>
            <w:shd w:val="clear" w:color="auto" w:fill="auto"/>
          </w:tcPr>
          <w:p w14:paraId="69CD4AB5" w14:textId="7061BB7D" w:rsidR="00E348F8" w:rsidRPr="00E348F8" w:rsidRDefault="00521B82" w:rsidP="00E348F8">
            <w:pPr>
              <w:pStyle w:val="Box"/>
              <w:spacing w:before="45" w:after="45"/>
              <w:ind w:left="57" w:right="108"/>
              <w:jc w:val="left"/>
              <w:cnfStyle w:val="000000000000" w:firstRow="0" w:lastRow="0" w:firstColumn="0" w:lastColumn="0" w:oddVBand="0" w:evenVBand="0" w:oddHBand="0" w:evenHBand="0" w:firstRowFirstColumn="0" w:firstRowLastColumn="0" w:lastRowFirstColumn="0" w:lastRowLastColumn="0"/>
              <w:rPr>
                <w:rFonts w:ascii="Arial (Body)" w:hAnsi="Arial (Body)"/>
                <w:iCs/>
                <w:color w:val="000000"/>
                <w:sz w:val="18"/>
                <w:szCs w:val="18"/>
              </w:rPr>
            </w:pPr>
            <m:oMathPara>
              <m:oMath>
                <m:f>
                  <m:fPr>
                    <m:ctrlPr>
                      <w:rPr>
                        <w:rFonts w:ascii="Cambria Math" w:hAnsi="Cambria Math"/>
                        <w:color w:val="000000"/>
                        <w:sz w:val="18"/>
                      </w:rPr>
                    </m:ctrlPr>
                  </m:fPr>
                  <m:num>
                    <m:r>
                      <w:rPr>
                        <w:rFonts w:ascii="Cambria Math" w:hAnsi="Cambria Math"/>
                        <w:color w:val="000000"/>
                        <w:sz w:val="18"/>
                      </w:rPr>
                      <m:t>P</m:t>
                    </m:r>
                  </m:num>
                  <m:den>
                    <m:r>
                      <w:rPr>
                        <w:rFonts w:ascii="Cambria Math" w:hAnsi="Cambria Math"/>
                        <w:color w:val="000000"/>
                        <w:sz w:val="18"/>
                      </w:rPr>
                      <m:t>D</m:t>
                    </m:r>
                  </m:den>
                </m:f>
              </m:oMath>
            </m:oMathPara>
          </w:p>
        </w:tc>
        <w:tc>
          <w:tcPr>
            <w:tcW w:w="866" w:type="pct"/>
            <w:tcBorders>
              <w:top w:val="nil"/>
              <w:bottom w:val="nil"/>
            </w:tcBorders>
            <w:shd w:val="clear" w:color="auto" w:fill="auto"/>
          </w:tcPr>
          <w:p w14:paraId="03B7F3CC"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29.487</w:t>
            </w:r>
          </w:p>
        </w:tc>
        <w:tc>
          <w:tcPr>
            <w:tcW w:w="866" w:type="pct"/>
            <w:tcBorders>
              <w:top w:val="nil"/>
              <w:bottom w:val="nil"/>
            </w:tcBorders>
            <w:shd w:val="clear" w:color="auto" w:fill="auto"/>
          </w:tcPr>
          <w:p w14:paraId="43109E1E"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24.040</w:t>
            </w:r>
          </w:p>
        </w:tc>
        <w:tc>
          <w:tcPr>
            <w:tcW w:w="1058" w:type="pct"/>
            <w:tcBorders>
              <w:top w:val="nil"/>
              <w:bottom w:val="nil"/>
            </w:tcBorders>
            <w:shd w:val="clear" w:color="auto" w:fill="auto"/>
          </w:tcPr>
          <w:p w14:paraId="6F8EC9E6"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-5.447</w:t>
            </w:r>
          </w:p>
        </w:tc>
      </w:tr>
      <w:tr w:rsidR="00E348F8" w:rsidRPr="00E348F8" w14:paraId="099CA686" w14:textId="77777777" w:rsidTr="00E348F8">
        <w:tc>
          <w:tcPr>
            <w:cnfStyle w:val="001000000000" w:firstRow="0" w:lastRow="0" w:firstColumn="1" w:lastColumn="0" w:oddVBand="0" w:evenVBand="0" w:oddHBand="0" w:evenHBand="0" w:firstRowFirstColumn="0" w:firstRowLastColumn="0" w:lastRowFirstColumn="0" w:lastRowLastColumn="0"/>
            <w:tcW w:w="1540" w:type="pct"/>
            <w:tcBorders>
              <w:bottom w:val="nil"/>
            </w:tcBorders>
            <w:shd w:val="clear" w:color="auto" w:fill="F2F2F2"/>
          </w:tcPr>
          <w:p w14:paraId="462FBADE" w14:textId="77777777" w:rsidR="00E348F8" w:rsidRPr="00E348F8" w:rsidRDefault="00E348F8" w:rsidP="00E348F8">
            <w:pPr>
              <w:pStyle w:val="Box"/>
              <w:spacing w:before="45" w:after="45"/>
              <w:ind w:left="57" w:right="108"/>
              <w:jc w:val="left"/>
              <w:rPr>
                <w:rFonts w:ascii="Arial (Body)" w:hAnsi="Arial (Body)"/>
                <w:b w:val="0"/>
                <w:bCs w:val="0"/>
                <w:sz w:val="18"/>
                <w:szCs w:val="18"/>
              </w:rPr>
            </w:pPr>
            <w:r w:rsidRPr="00E348F8">
              <w:rPr>
                <w:rFonts w:ascii="Arial (Body)" w:hAnsi="Arial (Body)"/>
                <w:b w:val="0"/>
                <w:bCs w:val="0"/>
                <w:sz w:val="18"/>
              </w:rPr>
              <w:t>Investment-capital ratio</w:t>
            </w:r>
          </w:p>
        </w:tc>
        <w:tc>
          <w:tcPr>
            <w:tcW w:w="669" w:type="pct"/>
            <w:tcBorders>
              <w:bottom w:val="nil"/>
            </w:tcBorders>
            <w:shd w:val="clear" w:color="auto" w:fill="F2F2F2"/>
          </w:tcPr>
          <w:p w14:paraId="3020AEC4" w14:textId="1D8FE6A9" w:rsidR="00E348F8" w:rsidRPr="00E348F8" w:rsidRDefault="00521B82" w:rsidP="00E348F8">
            <w:pPr>
              <w:pStyle w:val="Box"/>
              <w:spacing w:before="45" w:after="45"/>
              <w:ind w:left="57" w:right="108"/>
              <w:jc w:val="lef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m:oMathPara>
              <m:oMath>
                <m:f>
                  <m:fPr>
                    <m:ctrlPr>
                      <w:rPr>
                        <w:rFonts w:ascii="Cambria Math" w:hAnsi="Cambria Math"/>
                        <w:color w:val="000000"/>
                        <w:sz w:val="18"/>
                      </w:rPr>
                    </m:ctrlPr>
                  </m:fPr>
                  <m:num>
                    <m:r>
                      <w:rPr>
                        <w:rFonts w:ascii="Cambria Math" w:hAnsi="Cambria Math"/>
                        <w:color w:val="000000"/>
                        <w:sz w:val="18"/>
                      </w:rPr>
                      <m:t>I</m:t>
                    </m:r>
                  </m:num>
                  <m:den>
                    <m:r>
                      <w:rPr>
                        <w:rFonts w:ascii="Cambria Math" w:hAnsi="Cambria Math"/>
                        <w:color w:val="000000"/>
                        <w:sz w:val="18"/>
                      </w:rPr>
                      <m:t>K</m:t>
                    </m:r>
                  </m:den>
                </m:f>
              </m:oMath>
            </m:oMathPara>
          </w:p>
        </w:tc>
        <w:tc>
          <w:tcPr>
            <w:tcW w:w="866" w:type="pct"/>
            <w:tcBorders>
              <w:bottom w:val="nil"/>
            </w:tcBorders>
            <w:shd w:val="clear" w:color="auto" w:fill="F2F2F2"/>
          </w:tcPr>
          <w:p w14:paraId="70DD600E"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7.588</w:t>
            </w:r>
          </w:p>
        </w:tc>
        <w:tc>
          <w:tcPr>
            <w:tcW w:w="866" w:type="pct"/>
            <w:tcBorders>
              <w:bottom w:val="nil"/>
            </w:tcBorders>
            <w:shd w:val="clear" w:color="auto" w:fill="F2F2F2"/>
          </w:tcPr>
          <w:p w14:paraId="77BAE488"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6.727</w:t>
            </w:r>
          </w:p>
        </w:tc>
        <w:tc>
          <w:tcPr>
            <w:tcW w:w="1058" w:type="pct"/>
            <w:tcBorders>
              <w:bottom w:val="nil"/>
            </w:tcBorders>
            <w:shd w:val="clear" w:color="auto" w:fill="F2F2F2"/>
          </w:tcPr>
          <w:p w14:paraId="57DE2187"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-0.862</w:t>
            </w:r>
          </w:p>
        </w:tc>
      </w:tr>
      <w:tr w:rsidR="00E348F8" w:rsidRPr="00E348F8" w14:paraId="6400CA35" w14:textId="77777777" w:rsidTr="00E348F8">
        <w:tc>
          <w:tcPr>
            <w:cnfStyle w:val="001000000000" w:firstRow="0" w:lastRow="0" w:firstColumn="1" w:lastColumn="0" w:oddVBand="0" w:evenVBand="0" w:oddHBand="0" w:evenHBand="0" w:firstRowFirstColumn="0" w:firstRowLastColumn="0" w:lastRowFirstColumn="0" w:lastRowLastColumn="0"/>
            <w:tcW w:w="1540" w:type="pct"/>
            <w:tcBorders>
              <w:top w:val="nil"/>
              <w:bottom w:val="nil"/>
            </w:tcBorders>
            <w:shd w:val="clear" w:color="auto" w:fill="auto"/>
          </w:tcPr>
          <w:p w14:paraId="59AD2870" w14:textId="77777777" w:rsidR="00E348F8" w:rsidRPr="00E348F8" w:rsidRDefault="00E348F8" w:rsidP="00E348F8">
            <w:pPr>
              <w:pStyle w:val="Box"/>
              <w:spacing w:before="45" w:after="45"/>
              <w:ind w:left="57" w:right="108"/>
              <w:jc w:val="left"/>
              <w:rPr>
                <w:rFonts w:ascii="Arial (Body)" w:hAnsi="Arial (Body)"/>
                <w:b w:val="0"/>
                <w:bCs w:val="0"/>
                <w:sz w:val="18"/>
                <w:szCs w:val="18"/>
              </w:rPr>
            </w:pPr>
            <w:r w:rsidRPr="00E348F8">
              <w:rPr>
                <w:rFonts w:ascii="Arial (Body)" w:hAnsi="Arial (Body)"/>
                <w:b w:val="0"/>
                <w:bCs w:val="0"/>
                <w:sz w:val="18"/>
              </w:rPr>
              <w:t>Growth rate of TFP</w:t>
            </w:r>
          </w:p>
        </w:tc>
        <w:tc>
          <w:tcPr>
            <w:tcW w:w="669" w:type="pct"/>
            <w:tcBorders>
              <w:top w:val="nil"/>
              <w:bottom w:val="nil"/>
            </w:tcBorders>
            <w:shd w:val="clear" w:color="auto" w:fill="auto"/>
          </w:tcPr>
          <w:p w14:paraId="62F52EA5" w14:textId="77777777" w:rsidR="00E348F8" w:rsidRPr="00E348F8" w:rsidRDefault="00E348F8" w:rsidP="00E348F8">
            <w:pPr>
              <w:pStyle w:val="Box"/>
              <w:spacing w:before="45" w:after="45"/>
              <w:ind w:left="57" w:right="108"/>
              <w:jc w:val="center"/>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g</w:t>
            </w:r>
            <w:r w:rsidRPr="00E348F8">
              <w:rPr>
                <w:rFonts w:ascii="Arial (Body)" w:hAnsi="Arial (Body)"/>
                <w:color w:val="000000"/>
                <w:sz w:val="18"/>
                <w:vertAlign w:val="subscript"/>
              </w:rPr>
              <w:t>Z</w:t>
            </w:r>
          </w:p>
        </w:tc>
        <w:tc>
          <w:tcPr>
            <w:tcW w:w="866" w:type="pct"/>
            <w:tcBorders>
              <w:top w:val="nil"/>
              <w:bottom w:val="nil"/>
            </w:tcBorders>
            <w:shd w:val="clear" w:color="auto" w:fill="auto"/>
          </w:tcPr>
          <w:p w14:paraId="730B6799"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0.604</w:t>
            </w:r>
          </w:p>
        </w:tc>
        <w:tc>
          <w:tcPr>
            <w:tcW w:w="866" w:type="pct"/>
            <w:tcBorders>
              <w:top w:val="nil"/>
              <w:bottom w:val="nil"/>
            </w:tcBorders>
            <w:shd w:val="clear" w:color="auto" w:fill="auto"/>
          </w:tcPr>
          <w:p w14:paraId="17925BDC"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0.213</w:t>
            </w:r>
          </w:p>
        </w:tc>
        <w:tc>
          <w:tcPr>
            <w:tcW w:w="1058" w:type="pct"/>
            <w:tcBorders>
              <w:top w:val="nil"/>
              <w:bottom w:val="nil"/>
            </w:tcBorders>
            <w:shd w:val="clear" w:color="auto" w:fill="auto"/>
          </w:tcPr>
          <w:p w14:paraId="64DAC363"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-0.390</w:t>
            </w:r>
          </w:p>
        </w:tc>
      </w:tr>
      <w:tr w:rsidR="00E348F8" w:rsidRPr="00E348F8" w14:paraId="7DA4B1AA" w14:textId="77777777" w:rsidTr="00E348F8">
        <w:tc>
          <w:tcPr>
            <w:cnfStyle w:val="001000000000" w:firstRow="0" w:lastRow="0" w:firstColumn="1" w:lastColumn="0" w:oddVBand="0" w:evenVBand="0" w:oddHBand="0" w:evenHBand="0" w:firstRowFirstColumn="0" w:firstRowLastColumn="0" w:lastRowFirstColumn="0" w:lastRowLastColumn="0"/>
            <w:tcW w:w="1540" w:type="pct"/>
            <w:tcBorders>
              <w:bottom w:val="nil"/>
            </w:tcBorders>
            <w:shd w:val="clear" w:color="auto" w:fill="F2F2F2"/>
          </w:tcPr>
          <w:p w14:paraId="0D5A2EBF" w14:textId="77777777" w:rsidR="00E348F8" w:rsidRPr="00E348F8" w:rsidRDefault="00E348F8" w:rsidP="00E348F8">
            <w:pPr>
              <w:pStyle w:val="Box"/>
              <w:spacing w:before="45" w:after="45"/>
              <w:ind w:left="57" w:right="108"/>
              <w:jc w:val="left"/>
              <w:rPr>
                <w:rFonts w:ascii="Arial (Body)" w:hAnsi="Arial (Body)"/>
                <w:b w:val="0"/>
                <w:bCs w:val="0"/>
                <w:sz w:val="18"/>
                <w:szCs w:val="18"/>
              </w:rPr>
            </w:pPr>
            <w:r w:rsidRPr="00E348F8">
              <w:rPr>
                <w:rFonts w:ascii="Arial (Body)" w:hAnsi="Arial (Body)"/>
                <w:b w:val="0"/>
                <w:bCs w:val="0"/>
                <w:sz w:val="18"/>
              </w:rPr>
              <w:t>Growth rate of investment prices</w:t>
            </w:r>
          </w:p>
        </w:tc>
        <w:tc>
          <w:tcPr>
            <w:tcW w:w="669" w:type="pct"/>
            <w:tcBorders>
              <w:bottom w:val="nil"/>
            </w:tcBorders>
            <w:shd w:val="clear" w:color="auto" w:fill="F2F2F2"/>
          </w:tcPr>
          <w:p w14:paraId="57C0008B" w14:textId="77777777" w:rsidR="00E348F8" w:rsidRPr="00E348F8" w:rsidRDefault="00E348F8" w:rsidP="00E348F8">
            <w:pPr>
              <w:pStyle w:val="Box"/>
              <w:spacing w:before="45" w:after="45"/>
              <w:ind w:left="57" w:right="108"/>
              <w:jc w:val="center"/>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-g</w:t>
            </w:r>
            <w:r w:rsidRPr="00E348F8">
              <w:rPr>
                <w:rFonts w:ascii="Arial (Body)" w:hAnsi="Arial (Body)"/>
                <w:color w:val="000000"/>
                <w:sz w:val="18"/>
                <w:vertAlign w:val="subscript"/>
              </w:rPr>
              <w:t>Q</w:t>
            </w:r>
          </w:p>
        </w:tc>
        <w:tc>
          <w:tcPr>
            <w:tcW w:w="866" w:type="pct"/>
            <w:tcBorders>
              <w:bottom w:val="nil"/>
            </w:tcBorders>
            <w:shd w:val="clear" w:color="auto" w:fill="F2F2F2"/>
          </w:tcPr>
          <w:p w14:paraId="7BE1C64F"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-0.882</w:t>
            </w:r>
          </w:p>
        </w:tc>
        <w:tc>
          <w:tcPr>
            <w:tcW w:w="866" w:type="pct"/>
            <w:tcBorders>
              <w:bottom w:val="nil"/>
            </w:tcBorders>
            <w:shd w:val="clear" w:color="auto" w:fill="F2F2F2"/>
          </w:tcPr>
          <w:p w14:paraId="1F81C188"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-0.570</w:t>
            </w:r>
          </w:p>
        </w:tc>
        <w:tc>
          <w:tcPr>
            <w:tcW w:w="1058" w:type="pct"/>
            <w:tcBorders>
              <w:bottom w:val="nil"/>
            </w:tcBorders>
            <w:shd w:val="clear" w:color="auto" w:fill="F2F2F2"/>
          </w:tcPr>
          <w:p w14:paraId="4FEA498F"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0.312</w:t>
            </w:r>
          </w:p>
        </w:tc>
      </w:tr>
      <w:tr w:rsidR="00E348F8" w:rsidRPr="00E348F8" w14:paraId="15504A76" w14:textId="77777777" w:rsidTr="00E348F8">
        <w:tc>
          <w:tcPr>
            <w:cnfStyle w:val="001000000000" w:firstRow="0" w:lastRow="0" w:firstColumn="1" w:lastColumn="0" w:oddVBand="0" w:evenVBand="0" w:oddHBand="0" w:evenHBand="0" w:firstRowFirstColumn="0" w:firstRowLastColumn="0" w:lastRowFirstColumn="0" w:lastRowLastColumn="0"/>
            <w:tcW w:w="1540" w:type="pct"/>
            <w:tcBorders>
              <w:top w:val="nil"/>
              <w:bottom w:val="nil"/>
            </w:tcBorders>
            <w:shd w:val="clear" w:color="auto" w:fill="auto"/>
          </w:tcPr>
          <w:p w14:paraId="3240B820" w14:textId="77777777" w:rsidR="00E348F8" w:rsidRPr="00E348F8" w:rsidRDefault="00E348F8" w:rsidP="00E348F8">
            <w:pPr>
              <w:pStyle w:val="Box"/>
              <w:spacing w:before="45" w:after="45"/>
              <w:ind w:left="57" w:right="108"/>
              <w:jc w:val="left"/>
              <w:rPr>
                <w:rFonts w:ascii="Arial (Body)" w:hAnsi="Arial (Body)"/>
                <w:b w:val="0"/>
                <w:bCs w:val="0"/>
                <w:iCs/>
                <w:sz w:val="18"/>
                <w:szCs w:val="18"/>
              </w:rPr>
            </w:pPr>
            <w:r w:rsidRPr="00E348F8">
              <w:rPr>
                <w:rFonts w:ascii="Arial (Body)" w:hAnsi="Arial (Body)"/>
                <w:b w:val="0"/>
                <w:bCs w:val="0"/>
                <w:sz w:val="18"/>
              </w:rPr>
              <w:t>Growth rate of population</w:t>
            </w:r>
          </w:p>
        </w:tc>
        <w:tc>
          <w:tcPr>
            <w:tcW w:w="669" w:type="pct"/>
            <w:tcBorders>
              <w:top w:val="nil"/>
              <w:bottom w:val="nil"/>
            </w:tcBorders>
            <w:shd w:val="clear" w:color="auto" w:fill="auto"/>
          </w:tcPr>
          <w:p w14:paraId="77E476B8" w14:textId="77777777" w:rsidR="00E348F8" w:rsidRPr="00E348F8" w:rsidRDefault="00E348F8" w:rsidP="00E348F8">
            <w:pPr>
              <w:pStyle w:val="Box"/>
              <w:spacing w:before="45" w:after="45"/>
              <w:ind w:left="57" w:right="108"/>
              <w:jc w:val="center"/>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g</w:t>
            </w:r>
            <w:r w:rsidRPr="00E348F8">
              <w:rPr>
                <w:rFonts w:ascii="Arial (Body)" w:hAnsi="Arial (Body)"/>
                <w:color w:val="000000"/>
                <w:sz w:val="18"/>
                <w:vertAlign w:val="subscript"/>
              </w:rPr>
              <w:t>N</w:t>
            </w:r>
          </w:p>
        </w:tc>
        <w:tc>
          <w:tcPr>
            <w:tcW w:w="866" w:type="pct"/>
            <w:tcBorders>
              <w:top w:val="nil"/>
              <w:bottom w:val="nil"/>
            </w:tcBorders>
            <w:shd w:val="clear" w:color="auto" w:fill="auto"/>
          </w:tcPr>
          <w:p w14:paraId="12AB5B8B"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1.322</w:t>
            </w:r>
          </w:p>
        </w:tc>
        <w:tc>
          <w:tcPr>
            <w:tcW w:w="866" w:type="pct"/>
            <w:tcBorders>
              <w:top w:val="nil"/>
              <w:bottom w:val="nil"/>
            </w:tcBorders>
            <w:shd w:val="clear" w:color="auto" w:fill="auto"/>
          </w:tcPr>
          <w:p w14:paraId="52E3B026"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1.562</w:t>
            </w:r>
          </w:p>
        </w:tc>
        <w:tc>
          <w:tcPr>
            <w:tcW w:w="1058" w:type="pct"/>
            <w:tcBorders>
              <w:top w:val="nil"/>
              <w:bottom w:val="nil"/>
            </w:tcBorders>
            <w:shd w:val="clear" w:color="auto" w:fill="auto"/>
          </w:tcPr>
          <w:p w14:paraId="03E974AE"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0.240</w:t>
            </w:r>
          </w:p>
        </w:tc>
      </w:tr>
      <w:tr w:rsidR="00E348F8" w:rsidRPr="00E348F8" w14:paraId="7D4CB993" w14:textId="77777777" w:rsidTr="00E348F8">
        <w:tc>
          <w:tcPr>
            <w:cnfStyle w:val="001000000000" w:firstRow="0" w:lastRow="0" w:firstColumn="1" w:lastColumn="0" w:oddVBand="0" w:evenVBand="0" w:oddHBand="0" w:evenHBand="0" w:firstRowFirstColumn="0" w:firstRowLastColumn="0" w:lastRowFirstColumn="0" w:lastRowLastColumn="0"/>
            <w:tcW w:w="1540" w:type="pct"/>
            <w:tcBorders>
              <w:bottom w:val="single" w:sz="4" w:space="0" w:color="B3B3B3"/>
            </w:tcBorders>
            <w:shd w:val="clear" w:color="auto" w:fill="F2F2F2"/>
          </w:tcPr>
          <w:p w14:paraId="44455CFF" w14:textId="77777777" w:rsidR="00E348F8" w:rsidRPr="00E348F8" w:rsidRDefault="00E348F8" w:rsidP="00E348F8">
            <w:pPr>
              <w:pStyle w:val="Box"/>
              <w:spacing w:before="45" w:after="45"/>
              <w:ind w:left="57" w:right="108"/>
              <w:jc w:val="left"/>
              <w:rPr>
                <w:rFonts w:ascii="Arial (Body)" w:hAnsi="Arial (Body)"/>
                <w:b w:val="0"/>
                <w:bCs w:val="0"/>
                <w:iCs/>
                <w:sz w:val="18"/>
                <w:szCs w:val="18"/>
              </w:rPr>
            </w:pPr>
            <w:r w:rsidRPr="00E348F8">
              <w:rPr>
                <w:rFonts w:ascii="Arial (Body)" w:hAnsi="Arial (Body)"/>
                <w:b w:val="0"/>
                <w:bCs w:val="0"/>
                <w:sz w:val="18"/>
              </w:rPr>
              <w:t>Employment-population ratio</w:t>
            </w:r>
          </w:p>
        </w:tc>
        <w:tc>
          <w:tcPr>
            <w:tcW w:w="669" w:type="pct"/>
            <w:tcBorders>
              <w:bottom w:val="single" w:sz="4" w:space="0" w:color="B3B3B3"/>
            </w:tcBorders>
            <w:shd w:val="clear" w:color="auto" w:fill="F2F2F2"/>
          </w:tcPr>
          <w:p w14:paraId="340D6B18" w14:textId="77777777" w:rsidR="00E348F8" w:rsidRPr="00E348F8" w:rsidRDefault="00E348F8" w:rsidP="00E348F8">
            <w:pPr>
              <w:pStyle w:val="Box"/>
              <w:spacing w:before="45" w:after="45"/>
              <w:ind w:left="57" w:right="108"/>
              <w:jc w:val="center"/>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N/Pop</w:t>
            </w:r>
          </w:p>
        </w:tc>
        <w:tc>
          <w:tcPr>
            <w:tcW w:w="866" w:type="pct"/>
            <w:tcBorders>
              <w:bottom w:val="single" w:sz="4" w:space="0" w:color="B3B3B3"/>
            </w:tcBorders>
            <w:shd w:val="clear" w:color="auto" w:fill="F2F2F2"/>
          </w:tcPr>
          <w:p w14:paraId="01D24400"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59.973</w:t>
            </w:r>
          </w:p>
        </w:tc>
        <w:tc>
          <w:tcPr>
            <w:tcW w:w="866" w:type="pct"/>
            <w:tcBorders>
              <w:bottom w:val="single" w:sz="4" w:space="0" w:color="B3B3B3"/>
            </w:tcBorders>
            <w:shd w:val="clear" w:color="auto" w:fill="F2F2F2"/>
          </w:tcPr>
          <w:p w14:paraId="7A876407"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61.607</w:t>
            </w:r>
          </w:p>
        </w:tc>
        <w:tc>
          <w:tcPr>
            <w:tcW w:w="1058" w:type="pct"/>
            <w:tcBorders>
              <w:bottom w:val="single" w:sz="4" w:space="0" w:color="B3B3B3"/>
            </w:tcBorders>
            <w:shd w:val="clear" w:color="auto" w:fill="F2F2F2"/>
          </w:tcPr>
          <w:p w14:paraId="37154AF2" w14:textId="77777777" w:rsidR="00E348F8" w:rsidRPr="00E348F8" w:rsidRDefault="00E348F8" w:rsidP="00E348F8">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E348F8">
              <w:rPr>
                <w:rFonts w:ascii="Arial (Body)" w:hAnsi="Arial (Body)"/>
                <w:color w:val="000000"/>
                <w:sz w:val="18"/>
              </w:rPr>
              <w:t>1.634</w:t>
            </w:r>
          </w:p>
        </w:tc>
      </w:tr>
    </w:tbl>
    <w:p w14:paraId="3BD6D934" w14:textId="0742DF82" w:rsidR="00E348F8" w:rsidRDefault="00E348F8" w:rsidP="00ED33D7">
      <w:pPr>
        <w:pStyle w:val="FigureTableHeading"/>
      </w:pPr>
      <w:r>
        <w:t xml:space="preserve">Table </w:t>
      </w:r>
      <w:r w:rsidR="00226B24">
        <w:rPr>
          <w:noProof/>
        </w:rPr>
        <w:t>4</w:t>
      </w:r>
      <w:r>
        <w:rPr>
          <w:noProof/>
        </w:rPr>
        <w:t xml:space="preserve"> – </w:t>
      </w:r>
      <w:r w:rsidR="00A823BE">
        <w:t>The five key parameters calculated over two periods</w:t>
      </w:r>
    </w:p>
    <w:tbl>
      <w:tblPr>
        <w:tblStyle w:val="GridTable1Light-Accent5"/>
        <w:tblW w:w="5000" w:type="pct"/>
        <w:tblBorders>
          <w:top w:val="none" w:sz="0" w:space="0" w:color="auto"/>
          <w:left w:val="none" w:sz="0" w:space="0" w:color="auto"/>
          <w:bottom w:val="single" w:sz="4" w:space="0" w:color="B3B3B3"/>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84"/>
        <w:gridCol w:w="1548"/>
        <w:gridCol w:w="1642"/>
        <w:gridCol w:w="1602"/>
        <w:gridCol w:w="1963"/>
      </w:tblGrid>
      <w:tr w:rsidR="00A823BE" w:rsidRPr="00A823BE" w14:paraId="23DC0A20" w14:textId="77777777" w:rsidTr="00A823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96" w:type="pct"/>
            <w:tcBorders>
              <w:bottom w:val="single" w:sz="4" w:space="0" w:color="B3B3B3"/>
            </w:tcBorders>
            <w:shd w:val="clear" w:color="auto" w:fill="auto"/>
            <w:vAlign w:val="bottom"/>
          </w:tcPr>
          <w:p w14:paraId="5CE424BB" w14:textId="77777777" w:rsidR="00A823BE" w:rsidRPr="00A823BE" w:rsidRDefault="00A823BE" w:rsidP="00A823BE">
            <w:pPr>
              <w:pStyle w:val="Box"/>
              <w:spacing w:before="45" w:after="45"/>
              <w:ind w:left="57" w:right="108"/>
              <w:jc w:val="left"/>
              <w:rPr>
                <w:rFonts w:ascii="Arial (Body)" w:hAnsi="Arial (Body)"/>
                <w:color w:val="265A9A"/>
                <w:sz w:val="18"/>
                <w:szCs w:val="18"/>
              </w:rPr>
            </w:pPr>
            <w:r w:rsidRPr="00A823BE">
              <w:rPr>
                <w:rFonts w:ascii="Arial (Body)" w:hAnsi="Arial (Body)"/>
                <w:bCs w:val="0"/>
                <w:color w:val="265A9A"/>
                <w:sz w:val="18"/>
                <w:szCs w:val="18"/>
              </w:rPr>
              <w:t>Parameters</w:t>
            </w:r>
          </w:p>
        </w:tc>
        <w:tc>
          <w:tcPr>
            <w:tcW w:w="803" w:type="pct"/>
            <w:tcBorders>
              <w:bottom w:val="single" w:sz="4" w:space="0" w:color="B3B3B3"/>
            </w:tcBorders>
            <w:shd w:val="clear" w:color="auto" w:fill="auto"/>
            <w:vAlign w:val="bottom"/>
          </w:tcPr>
          <w:p w14:paraId="3762083B" w14:textId="77777777" w:rsidR="00A823BE" w:rsidRPr="00A823BE" w:rsidRDefault="00A823BE" w:rsidP="00A823BE">
            <w:pPr>
              <w:pStyle w:val="Box"/>
              <w:spacing w:before="45" w:after="45"/>
              <w:ind w:left="57" w:right="108"/>
              <w:jc w:val="center"/>
              <w:cnfStyle w:val="100000000000" w:firstRow="1" w:lastRow="0" w:firstColumn="0" w:lastColumn="0" w:oddVBand="0" w:evenVBand="0" w:oddHBand="0" w:evenHBand="0" w:firstRowFirstColumn="0" w:firstRowLastColumn="0" w:lastRowFirstColumn="0" w:lastRowLastColumn="0"/>
              <w:rPr>
                <w:rFonts w:ascii="Arial (Body)" w:hAnsi="Arial (Body)"/>
                <w:color w:val="265A9A"/>
                <w:sz w:val="18"/>
                <w:szCs w:val="18"/>
              </w:rPr>
            </w:pPr>
            <w:r w:rsidRPr="00A823BE">
              <w:rPr>
                <w:rFonts w:ascii="Arial (Body)" w:hAnsi="Arial (Body)"/>
                <w:bCs w:val="0"/>
                <w:color w:val="265A9A"/>
                <w:sz w:val="18"/>
                <w:szCs w:val="18"/>
              </w:rPr>
              <w:t>Symbol</w:t>
            </w:r>
          </w:p>
        </w:tc>
        <w:tc>
          <w:tcPr>
            <w:tcW w:w="852" w:type="pct"/>
            <w:tcBorders>
              <w:bottom w:val="single" w:sz="4" w:space="0" w:color="B3B3B3"/>
            </w:tcBorders>
            <w:shd w:val="clear" w:color="auto" w:fill="auto"/>
            <w:vAlign w:val="bottom"/>
          </w:tcPr>
          <w:p w14:paraId="46E2814C" w14:textId="4C6148D9" w:rsidR="00A823BE" w:rsidRPr="00A823BE" w:rsidRDefault="00A823BE" w:rsidP="00A823BE">
            <w:pPr>
              <w:pStyle w:val="Box"/>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color w:val="265A9A"/>
                <w:sz w:val="18"/>
                <w:szCs w:val="18"/>
              </w:rPr>
            </w:pPr>
            <w:r w:rsidRPr="00A823BE">
              <w:rPr>
                <w:rFonts w:ascii="Arial (Body)" w:hAnsi="Arial (Body)"/>
                <w:bCs w:val="0"/>
                <w:color w:val="265A9A"/>
                <w:sz w:val="18"/>
                <w:szCs w:val="18"/>
              </w:rPr>
              <w:t>1997</w:t>
            </w:r>
            <w:r w:rsidR="00841C4B">
              <w:rPr>
                <w:rFonts w:ascii="Arial (Body)" w:hAnsi="Arial (Body)"/>
                <w:bCs w:val="0"/>
                <w:color w:val="265A9A"/>
                <w:sz w:val="18"/>
              </w:rPr>
              <w:t>–</w:t>
            </w:r>
            <w:r w:rsidRPr="00A823BE">
              <w:rPr>
                <w:rFonts w:ascii="Arial (Body)" w:hAnsi="Arial (Body)"/>
                <w:bCs w:val="0"/>
                <w:color w:val="265A9A"/>
                <w:sz w:val="18"/>
                <w:szCs w:val="18"/>
              </w:rPr>
              <w:t>2008</w:t>
            </w:r>
          </w:p>
        </w:tc>
        <w:tc>
          <w:tcPr>
            <w:tcW w:w="831" w:type="pct"/>
            <w:tcBorders>
              <w:bottom w:val="single" w:sz="4" w:space="0" w:color="B3B3B3"/>
            </w:tcBorders>
            <w:shd w:val="clear" w:color="auto" w:fill="auto"/>
            <w:vAlign w:val="bottom"/>
          </w:tcPr>
          <w:p w14:paraId="7A870D7C" w14:textId="6745CFF3" w:rsidR="00A823BE" w:rsidRPr="00A823BE" w:rsidRDefault="00A823BE" w:rsidP="00A823BE">
            <w:pPr>
              <w:pStyle w:val="Box"/>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color w:val="265A9A"/>
                <w:sz w:val="18"/>
                <w:szCs w:val="18"/>
              </w:rPr>
            </w:pPr>
            <w:r w:rsidRPr="00A823BE">
              <w:rPr>
                <w:rFonts w:ascii="Arial (Body)" w:hAnsi="Arial (Body)"/>
                <w:bCs w:val="0"/>
                <w:color w:val="265A9A"/>
                <w:sz w:val="18"/>
                <w:szCs w:val="18"/>
              </w:rPr>
              <w:t>2009</w:t>
            </w:r>
            <w:r w:rsidR="00841C4B">
              <w:rPr>
                <w:rFonts w:ascii="Arial (Body)" w:hAnsi="Arial (Body)"/>
                <w:bCs w:val="0"/>
                <w:color w:val="265A9A"/>
                <w:sz w:val="18"/>
              </w:rPr>
              <w:t>–</w:t>
            </w:r>
            <w:r w:rsidRPr="00A823BE">
              <w:rPr>
                <w:rFonts w:ascii="Arial (Body)" w:hAnsi="Arial (Body)"/>
                <w:bCs w:val="0"/>
                <w:color w:val="265A9A"/>
                <w:sz w:val="18"/>
                <w:szCs w:val="18"/>
              </w:rPr>
              <w:t>2020</w:t>
            </w:r>
          </w:p>
        </w:tc>
        <w:tc>
          <w:tcPr>
            <w:tcW w:w="1019" w:type="pct"/>
            <w:tcBorders>
              <w:bottom w:val="single" w:sz="4" w:space="0" w:color="B3B3B3"/>
            </w:tcBorders>
            <w:shd w:val="clear" w:color="auto" w:fill="auto"/>
            <w:vAlign w:val="bottom"/>
          </w:tcPr>
          <w:p w14:paraId="2A1D35D3" w14:textId="77777777" w:rsidR="00A823BE" w:rsidRPr="00A823BE" w:rsidRDefault="00A823BE" w:rsidP="00A823BE">
            <w:pPr>
              <w:pStyle w:val="Box"/>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color w:val="265A9A"/>
                <w:sz w:val="18"/>
                <w:szCs w:val="18"/>
              </w:rPr>
            </w:pPr>
            <w:r w:rsidRPr="00A823BE">
              <w:rPr>
                <w:rFonts w:ascii="Arial (Body)" w:hAnsi="Arial (Body)"/>
                <w:bCs w:val="0"/>
                <w:color w:val="265A9A"/>
                <w:sz w:val="18"/>
                <w:szCs w:val="18"/>
              </w:rPr>
              <w:t>Difference</w:t>
            </w:r>
          </w:p>
        </w:tc>
      </w:tr>
      <w:tr w:rsidR="00A823BE" w:rsidRPr="00A823BE" w14:paraId="1EC0BB92" w14:textId="77777777" w:rsidTr="00A823BE">
        <w:tc>
          <w:tcPr>
            <w:cnfStyle w:val="001000000000" w:firstRow="0" w:lastRow="0" w:firstColumn="1" w:lastColumn="0" w:oddVBand="0" w:evenVBand="0" w:oddHBand="0" w:evenHBand="0" w:firstRowFirstColumn="0" w:firstRowLastColumn="0" w:lastRowFirstColumn="0" w:lastRowLastColumn="0"/>
            <w:tcW w:w="1496" w:type="pct"/>
            <w:tcBorders>
              <w:top w:val="single" w:sz="4" w:space="0" w:color="B3B3B3"/>
              <w:bottom w:val="nil"/>
            </w:tcBorders>
            <w:shd w:val="clear" w:color="auto" w:fill="F2F2F2"/>
          </w:tcPr>
          <w:p w14:paraId="4B7D3D0C" w14:textId="77777777" w:rsidR="00A823BE" w:rsidRPr="00A823BE" w:rsidRDefault="00A823BE" w:rsidP="00A823BE">
            <w:pPr>
              <w:pStyle w:val="Box"/>
              <w:spacing w:before="45" w:after="45"/>
              <w:ind w:left="57" w:right="108"/>
              <w:jc w:val="left"/>
              <w:rPr>
                <w:rFonts w:ascii="Arial (Body)" w:hAnsi="Arial (Body)"/>
                <w:b w:val="0"/>
                <w:bCs w:val="0"/>
                <w:iCs/>
                <w:sz w:val="18"/>
                <w:szCs w:val="18"/>
              </w:rPr>
            </w:pPr>
            <w:r w:rsidRPr="00A823BE">
              <w:rPr>
                <w:rFonts w:ascii="Arial (Body)" w:hAnsi="Arial (Body)"/>
                <w:b w:val="0"/>
                <w:bCs w:val="0"/>
                <w:iCs/>
                <w:sz w:val="18"/>
                <w:szCs w:val="18"/>
              </w:rPr>
              <w:t>Depreciation of capital</w:t>
            </w:r>
          </w:p>
        </w:tc>
        <w:tc>
          <w:tcPr>
            <w:tcW w:w="803" w:type="pct"/>
            <w:tcBorders>
              <w:top w:val="single" w:sz="4" w:space="0" w:color="B3B3B3"/>
              <w:bottom w:val="nil"/>
            </w:tcBorders>
            <w:shd w:val="clear" w:color="auto" w:fill="F2F2F2"/>
          </w:tcPr>
          <w:p w14:paraId="1E9BE3E2" w14:textId="3A19C3B8" w:rsidR="00A823BE" w:rsidRPr="00A823BE" w:rsidRDefault="001E58C3" w:rsidP="00A823BE">
            <w:pPr>
              <w:pStyle w:val="Box"/>
              <w:spacing w:before="45" w:after="45"/>
              <w:ind w:left="57" w:right="108"/>
              <w:jc w:val="center"/>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Pr>
                <w:rFonts w:cs="Arial"/>
                <w:color w:val="000000"/>
                <w:sz w:val="18"/>
                <w:szCs w:val="18"/>
              </w:rPr>
              <w:t>δ</w:t>
            </w:r>
          </w:p>
        </w:tc>
        <w:tc>
          <w:tcPr>
            <w:tcW w:w="852" w:type="pct"/>
            <w:tcBorders>
              <w:top w:val="single" w:sz="4" w:space="0" w:color="B3B3B3"/>
              <w:bottom w:val="nil"/>
            </w:tcBorders>
            <w:shd w:val="clear" w:color="auto" w:fill="F2F2F2"/>
          </w:tcPr>
          <w:p w14:paraId="5D820581" w14:textId="77777777" w:rsidR="00A823BE" w:rsidRPr="00A823BE" w:rsidRDefault="00A823BE" w:rsidP="00A823BE">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A823BE">
              <w:rPr>
                <w:rFonts w:ascii="Arial (Body)" w:hAnsi="Arial (Body)"/>
                <w:color w:val="000000"/>
                <w:sz w:val="18"/>
                <w:szCs w:val="18"/>
              </w:rPr>
              <w:t>3.7356</w:t>
            </w:r>
          </w:p>
        </w:tc>
        <w:tc>
          <w:tcPr>
            <w:tcW w:w="831" w:type="pct"/>
            <w:tcBorders>
              <w:top w:val="single" w:sz="4" w:space="0" w:color="B3B3B3"/>
              <w:bottom w:val="nil"/>
            </w:tcBorders>
            <w:shd w:val="clear" w:color="auto" w:fill="F2F2F2"/>
          </w:tcPr>
          <w:p w14:paraId="601A0CBD" w14:textId="77777777" w:rsidR="00A823BE" w:rsidRPr="00A823BE" w:rsidRDefault="00A823BE" w:rsidP="00A823BE">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A823BE">
              <w:rPr>
                <w:rFonts w:ascii="Arial (Body)" w:hAnsi="Arial (Body)"/>
                <w:color w:val="000000"/>
                <w:sz w:val="18"/>
                <w:szCs w:val="18"/>
              </w:rPr>
              <w:t>3.7657</w:t>
            </w:r>
          </w:p>
        </w:tc>
        <w:tc>
          <w:tcPr>
            <w:tcW w:w="1019" w:type="pct"/>
            <w:tcBorders>
              <w:top w:val="single" w:sz="4" w:space="0" w:color="B3B3B3"/>
              <w:bottom w:val="nil"/>
            </w:tcBorders>
            <w:shd w:val="clear" w:color="auto" w:fill="F2F2F2"/>
          </w:tcPr>
          <w:p w14:paraId="6267978F" w14:textId="77777777" w:rsidR="00A823BE" w:rsidRPr="00A823BE" w:rsidRDefault="00A823BE" w:rsidP="00A823BE">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A823BE">
              <w:rPr>
                <w:rFonts w:ascii="Arial (Body)" w:hAnsi="Arial (Body)"/>
                <w:color w:val="000000"/>
                <w:sz w:val="18"/>
                <w:szCs w:val="18"/>
              </w:rPr>
              <w:t>0.0301</w:t>
            </w:r>
          </w:p>
        </w:tc>
      </w:tr>
      <w:tr w:rsidR="00A823BE" w:rsidRPr="00A823BE" w14:paraId="14ED24EB" w14:textId="77777777" w:rsidTr="00A823BE">
        <w:tc>
          <w:tcPr>
            <w:cnfStyle w:val="001000000000" w:firstRow="0" w:lastRow="0" w:firstColumn="1" w:lastColumn="0" w:oddVBand="0" w:evenVBand="0" w:oddHBand="0" w:evenHBand="0" w:firstRowFirstColumn="0" w:firstRowLastColumn="0" w:lastRowFirstColumn="0" w:lastRowLastColumn="0"/>
            <w:tcW w:w="1496" w:type="pct"/>
            <w:tcBorders>
              <w:top w:val="nil"/>
              <w:bottom w:val="nil"/>
            </w:tcBorders>
            <w:shd w:val="clear" w:color="auto" w:fill="auto"/>
          </w:tcPr>
          <w:p w14:paraId="62E8A5AE" w14:textId="77777777" w:rsidR="00A823BE" w:rsidRPr="00A823BE" w:rsidRDefault="00A823BE" w:rsidP="00A823BE">
            <w:pPr>
              <w:pStyle w:val="Box"/>
              <w:spacing w:before="45" w:after="45"/>
              <w:ind w:left="57" w:right="108"/>
              <w:jc w:val="left"/>
              <w:rPr>
                <w:rFonts w:ascii="Arial (Body)" w:hAnsi="Arial (Body)"/>
                <w:b w:val="0"/>
                <w:bCs w:val="0"/>
                <w:sz w:val="18"/>
                <w:szCs w:val="18"/>
              </w:rPr>
            </w:pPr>
            <w:r w:rsidRPr="00A823BE">
              <w:rPr>
                <w:rFonts w:ascii="Arial (Body)" w:hAnsi="Arial (Body)"/>
                <w:b w:val="0"/>
                <w:bCs w:val="0"/>
                <w:iCs/>
                <w:sz w:val="18"/>
                <w:szCs w:val="18"/>
              </w:rPr>
              <w:t xml:space="preserve">Risk premium </w:t>
            </w:r>
          </w:p>
        </w:tc>
        <w:tc>
          <w:tcPr>
            <w:tcW w:w="803" w:type="pct"/>
            <w:tcBorders>
              <w:top w:val="nil"/>
              <w:bottom w:val="nil"/>
            </w:tcBorders>
            <w:shd w:val="clear" w:color="auto" w:fill="auto"/>
          </w:tcPr>
          <w:p w14:paraId="1228F5A8" w14:textId="5634C31C" w:rsidR="00A823BE" w:rsidRPr="00A823BE" w:rsidRDefault="00521B82" w:rsidP="00A823BE">
            <w:pPr>
              <w:pStyle w:val="Box"/>
              <w:spacing w:before="45" w:after="45"/>
              <w:ind w:left="57" w:right="108"/>
              <w:jc w:val="center"/>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m:oMathPara>
              <m:oMath>
                <m:sSup>
                  <m:sSupPr>
                    <m:ctrlPr>
                      <w:rPr>
                        <w:rFonts w:ascii="Cambria Math" w:hAnsi="Cambria Math"/>
                        <w:color w:val="000000"/>
                        <w:sz w:val="18"/>
                      </w:rPr>
                    </m:ctrlPr>
                  </m:sSupPr>
                  <m:e>
                    <m:r>
                      <w:rPr>
                        <w:rFonts w:ascii="Cambria Math" w:hAnsi="Cambria Math"/>
                        <w:color w:val="000000"/>
                        <w:sz w:val="18"/>
                      </w:rPr>
                      <m:t>r</m:t>
                    </m:r>
                  </m:e>
                  <m:sup>
                    <m:r>
                      <m:rPr>
                        <m:sty m:val="p"/>
                      </m:rPr>
                      <w:rPr>
                        <w:rFonts w:ascii="Cambria Math" w:hAnsi="Cambria Math"/>
                        <w:color w:val="000000"/>
                        <w:sz w:val="18"/>
                      </w:rPr>
                      <m:t>*</m:t>
                    </m:r>
                  </m:sup>
                </m:sSup>
              </m:oMath>
            </m:oMathPara>
          </w:p>
        </w:tc>
        <w:tc>
          <w:tcPr>
            <w:tcW w:w="852" w:type="pct"/>
            <w:tcBorders>
              <w:top w:val="nil"/>
              <w:bottom w:val="nil"/>
            </w:tcBorders>
            <w:shd w:val="clear" w:color="auto" w:fill="auto"/>
          </w:tcPr>
          <w:p w14:paraId="4864E1A8" w14:textId="77777777" w:rsidR="00A823BE" w:rsidRPr="00A823BE" w:rsidRDefault="00A823BE" w:rsidP="00A823BE">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A823BE">
              <w:rPr>
                <w:rFonts w:ascii="Arial (Body)" w:hAnsi="Arial (Body)"/>
                <w:color w:val="000000"/>
                <w:sz w:val="18"/>
                <w:szCs w:val="18"/>
              </w:rPr>
              <w:t>6.463</w:t>
            </w:r>
          </w:p>
        </w:tc>
        <w:tc>
          <w:tcPr>
            <w:tcW w:w="831" w:type="pct"/>
            <w:tcBorders>
              <w:top w:val="nil"/>
              <w:bottom w:val="nil"/>
            </w:tcBorders>
            <w:shd w:val="clear" w:color="auto" w:fill="auto"/>
          </w:tcPr>
          <w:p w14:paraId="6131C9A3" w14:textId="77777777" w:rsidR="00A823BE" w:rsidRPr="00A823BE" w:rsidRDefault="00A823BE" w:rsidP="00A823BE">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A823BE">
              <w:rPr>
                <w:rFonts w:ascii="Arial (Body)" w:hAnsi="Arial (Body)"/>
                <w:color w:val="000000"/>
                <w:sz w:val="18"/>
                <w:szCs w:val="18"/>
              </w:rPr>
              <w:t>6.650</w:t>
            </w:r>
          </w:p>
        </w:tc>
        <w:tc>
          <w:tcPr>
            <w:tcW w:w="1019" w:type="pct"/>
            <w:tcBorders>
              <w:top w:val="nil"/>
              <w:bottom w:val="nil"/>
            </w:tcBorders>
            <w:shd w:val="clear" w:color="auto" w:fill="auto"/>
          </w:tcPr>
          <w:p w14:paraId="4E1169BA" w14:textId="77777777" w:rsidR="00A823BE" w:rsidRPr="00A823BE" w:rsidRDefault="00A823BE" w:rsidP="00A823BE">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A823BE">
              <w:rPr>
                <w:rFonts w:ascii="Arial (Body)" w:hAnsi="Arial (Body)"/>
                <w:color w:val="000000"/>
                <w:sz w:val="18"/>
                <w:szCs w:val="18"/>
              </w:rPr>
              <w:t>0.187</w:t>
            </w:r>
          </w:p>
        </w:tc>
      </w:tr>
      <w:tr w:rsidR="00A823BE" w:rsidRPr="00A823BE" w14:paraId="06A94C12" w14:textId="77777777" w:rsidTr="00A823BE">
        <w:tc>
          <w:tcPr>
            <w:cnfStyle w:val="001000000000" w:firstRow="0" w:lastRow="0" w:firstColumn="1" w:lastColumn="0" w:oddVBand="0" w:evenVBand="0" w:oddHBand="0" w:evenHBand="0" w:firstRowFirstColumn="0" w:firstRowLastColumn="0" w:lastRowFirstColumn="0" w:lastRowLastColumn="0"/>
            <w:tcW w:w="1496" w:type="pct"/>
            <w:tcBorders>
              <w:bottom w:val="nil"/>
            </w:tcBorders>
            <w:shd w:val="clear" w:color="auto" w:fill="F2F2F2"/>
          </w:tcPr>
          <w:p w14:paraId="68AE12ED" w14:textId="77777777" w:rsidR="00A823BE" w:rsidRPr="00A823BE" w:rsidRDefault="00A823BE" w:rsidP="00A823BE">
            <w:pPr>
              <w:pStyle w:val="Box"/>
              <w:spacing w:before="45" w:after="45"/>
              <w:ind w:left="57" w:right="108"/>
              <w:jc w:val="left"/>
              <w:rPr>
                <w:rFonts w:ascii="Arial (Body)" w:hAnsi="Arial (Body)"/>
                <w:b w:val="0"/>
                <w:bCs w:val="0"/>
                <w:sz w:val="18"/>
                <w:szCs w:val="18"/>
              </w:rPr>
            </w:pPr>
            <w:r w:rsidRPr="00A823BE">
              <w:rPr>
                <w:rFonts w:ascii="Arial (Body)" w:hAnsi="Arial (Body)"/>
                <w:b w:val="0"/>
                <w:bCs w:val="0"/>
                <w:iCs/>
                <w:sz w:val="18"/>
                <w:szCs w:val="18"/>
              </w:rPr>
              <w:t>Mark-up</w:t>
            </w:r>
          </w:p>
        </w:tc>
        <w:tc>
          <w:tcPr>
            <w:tcW w:w="803" w:type="pct"/>
            <w:tcBorders>
              <w:bottom w:val="nil"/>
            </w:tcBorders>
            <w:shd w:val="clear" w:color="auto" w:fill="F2F2F2"/>
          </w:tcPr>
          <w:p w14:paraId="7918F9D7" w14:textId="23320B55" w:rsidR="00A823BE" w:rsidRPr="00A823BE" w:rsidRDefault="00281309" w:rsidP="00A823BE">
            <w:pPr>
              <w:pStyle w:val="Box"/>
              <w:spacing w:before="45" w:after="45"/>
              <w:ind w:left="57" w:right="108"/>
              <w:jc w:val="center"/>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Pr>
                <w:rFonts w:cs="Arial"/>
                <w:color w:val="000000"/>
                <w:sz w:val="18"/>
                <w:szCs w:val="18"/>
              </w:rPr>
              <w:t>μ</w:t>
            </w:r>
          </w:p>
        </w:tc>
        <w:tc>
          <w:tcPr>
            <w:tcW w:w="852" w:type="pct"/>
            <w:tcBorders>
              <w:bottom w:val="nil"/>
            </w:tcBorders>
            <w:shd w:val="clear" w:color="auto" w:fill="F2F2F2"/>
          </w:tcPr>
          <w:p w14:paraId="4E35B4F3" w14:textId="77777777" w:rsidR="00A823BE" w:rsidRPr="00A823BE" w:rsidRDefault="00A823BE" w:rsidP="00A823BE">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A823BE">
              <w:rPr>
                <w:rFonts w:ascii="Arial (Body)" w:hAnsi="Arial (Body)"/>
                <w:color w:val="000000"/>
                <w:sz w:val="18"/>
                <w:szCs w:val="18"/>
              </w:rPr>
              <w:t>1.0993</w:t>
            </w:r>
          </w:p>
        </w:tc>
        <w:tc>
          <w:tcPr>
            <w:tcW w:w="831" w:type="pct"/>
            <w:tcBorders>
              <w:bottom w:val="nil"/>
            </w:tcBorders>
            <w:shd w:val="clear" w:color="auto" w:fill="F2F2F2"/>
          </w:tcPr>
          <w:p w14:paraId="7D6BB440" w14:textId="77777777" w:rsidR="00A823BE" w:rsidRPr="00A823BE" w:rsidRDefault="00A823BE" w:rsidP="00A823BE">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A823BE">
              <w:rPr>
                <w:rFonts w:ascii="Arial (Body)" w:hAnsi="Arial (Body)"/>
                <w:color w:val="000000"/>
                <w:sz w:val="18"/>
                <w:szCs w:val="18"/>
              </w:rPr>
              <w:t>1.1088</w:t>
            </w:r>
          </w:p>
        </w:tc>
        <w:tc>
          <w:tcPr>
            <w:tcW w:w="1019" w:type="pct"/>
            <w:tcBorders>
              <w:bottom w:val="nil"/>
            </w:tcBorders>
            <w:shd w:val="clear" w:color="auto" w:fill="F2F2F2"/>
          </w:tcPr>
          <w:p w14:paraId="27EF039F" w14:textId="77777777" w:rsidR="00A823BE" w:rsidRPr="00A823BE" w:rsidRDefault="00A823BE" w:rsidP="00A823BE">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A823BE">
              <w:rPr>
                <w:rFonts w:ascii="Arial (Body)" w:hAnsi="Arial (Body)"/>
                <w:color w:val="000000"/>
                <w:sz w:val="18"/>
                <w:szCs w:val="18"/>
              </w:rPr>
              <w:t>0.0095</w:t>
            </w:r>
          </w:p>
        </w:tc>
      </w:tr>
      <w:tr w:rsidR="00A823BE" w:rsidRPr="00A823BE" w14:paraId="68FBABE8" w14:textId="77777777" w:rsidTr="00A823BE">
        <w:tc>
          <w:tcPr>
            <w:cnfStyle w:val="001000000000" w:firstRow="0" w:lastRow="0" w:firstColumn="1" w:lastColumn="0" w:oddVBand="0" w:evenVBand="0" w:oddHBand="0" w:evenHBand="0" w:firstRowFirstColumn="0" w:firstRowLastColumn="0" w:lastRowFirstColumn="0" w:lastRowLastColumn="0"/>
            <w:tcW w:w="1496" w:type="pct"/>
            <w:tcBorders>
              <w:top w:val="nil"/>
              <w:bottom w:val="nil"/>
            </w:tcBorders>
            <w:shd w:val="clear" w:color="auto" w:fill="auto"/>
          </w:tcPr>
          <w:p w14:paraId="27D8114D" w14:textId="77777777" w:rsidR="00A823BE" w:rsidRPr="00C971A1" w:rsidRDefault="00A823BE" w:rsidP="00A823BE">
            <w:pPr>
              <w:pStyle w:val="Box"/>
              <w:spacing w:before="45" w:after="45"/>
              <w:ind w:left="57" w:right="108"/>
              <w:jc w:val="left"/>
              <w:rPr>
                <w:rFonts w:ascii="Arial (Body)" w:hAnsi="Arial (Body)"/>
                <w:b w:val="0"/>
                <w:bCs w:val="0"/>
                <w:spacing w:val="-4"/>
                <w:sz w:val="18"/>
                <w:szCs w:val="18"/>
              </w:rPr>
            </w:pPr>
            <w:r w:rsidRPr="00C971A1">
              <w:rPr>
                <w:rFonts w:ascii="Arial (Body)" w:hAnsi="Arial (Body)"/>
                <w:b w:val="0"/>
                <w:bCs w:val="0"/>
                <w:iCs/>
                <w:spacing w:val="-4"/>
                <w:sz w:val="18"/>
                <w:szCs w:val="18"/>
              </w:rPr>
              <w:t>Cobb-Douglas parameter for labour</w:t>
            </w:r>
          </w:p>
        </w:tc>
        <w:tc>
          <w:tcPr>
            <w:tcW w:w="803" w:type="pct"/>
            <w:tcBorders>
              <w:top w:val="nil"/>
              <w:bottom w:val="nil"/>
            </w:tcBorders>
            <w:shd w:val="clear" w:color="auto" w:fill="auto"/>
          </w:tcPr>
          <w:p w14:paraId="271C8ABF" w14:textId="1896A7AE" w:rsidR="00A823BE" w:rsidRPr="00A823BE" w:rsidRDefault="001E58C3" w:rsidP="00A823BE">
            <w:pPr>
              <w:pStyle w:val="Box"/>
              <w:spacing w:before="45" w:after="45"/>
              <w:ind w:left="57" w:right="108"/>
              <w:jc w:val="center"/>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Pr>
                <w:rFonts w:cs="Arial"/>
                <w:color w:val="000000"/>
                <w:sz w:val="18"/>
                <w:szCs w:val="18"/>
              </w:rPr>
              <w:t>α</w:t>
            </w:r>
          </w:p>
        </w:tc>
        <w:tc>
          <w:tcPr>
            <w:tcW w:w="852" w:type="pct"/>
            <w:tcBorders>
              <w:top w:val="nil"/>
              <w:bottom w:val="nil"/>
            </w:tcBorders>
            <w:shd w:val="clear" w:color="auto" w:fill="auto"/>
          </w:tcPr>
          <w:p w14:paraId="0D0377B7" w14:textId="77777777" w:rsidR="00A823BE" w:rsidRPr="00A823BE" w:rsidRDefault="00A823BE" w:rsidP="00A823BE">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A823BE">
              <w:rPr>
                <w:rFonts w:ascii="Arial (Body)" w:hAnsi="Arial (Body)"/>
                <w:color w:val="000000"/>
                <w:sz w:val="18"/>
                <w:szCs w:val="18"/>
              </w:rPr>
              <w:t>0.3472</w:t>
            </w:r>
          </w:p>
        </w:tc>
        <w:tc>
          <w:tcPr>
            <w:tcW w:w="831" w:type="pct"/>
            <w:tcBorders>
              <w:top w:val="nil"/>
              <w:bottom w:val="nil"/>
            </w:tcBorders>
            <w:shd w:val="clear" w:color="auto" w:fill="auto"/>
          </w:tcPr>
          <w:p w14:paraId="59144F0B" w14:textId="77777777" w:rsidR="00A823BE" w:rsidRPr="00A823BE" w:rsidRDefault="00A823BE" w:rsidP="00A823BE">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A823BE">
              <w:rPr>
                <w:rFonts w:ascii="Arial (Body)" w:hAnsi="Arial (Body)"/>
                <w:color w:val="000000"/>
                <w:sz w:val="18"/>
                <w:szCs w:val="18"/>
              </w:rPr>
              <w:t>0.3726</w:t>
            </w:r>
          </w:p>
        </w:tc>
        <w:tc>
          <w:tcPr>
            <w:tcW w:w="1019" w:type="pct"/>
            <w:tcBorders>
              <w:top w:val="nil"/>
              <w:bottom w:val="nil"/>
            </w:tcBorders>
            <w:shd w:val="clear" w:color="auto" w:fill="auto"/>
          </w:tcPr>
          <w:p w14:paraId="7B292F3C" w14:textId="77777777" w:rsidR="00A823BE" w:rsidRPr="00A823BE" w:rsidRDefault="00A823BE" w:rsidP="00A823BE">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A823BE">
              <w:rPr>
                <w:rFonts w:ascii="Arial (Body)" w:hAnsi="Arial (Body)"/>
                <w:color w:val="000000"/>
                <w:sz w:val="18"/>
                <w:szCs w:val="18"/>
              </w:rPr>
              <w:t>0.0254</w:t>
            </w:r>
          </w:p>
        </w:tc>
      </w:tr>
      <w:tr w:rsidR="00A823BE" w:rsidRPr="00A823BE" w14:paraId="422772ED" w14:textId="77777777" w:rsidTr="00A823BE">
        <w:tc>
          <w:tcPr>
            <w:cnfStyle w:val="001000000000" w:firstRow="0" w:lastRow="0" w:firstColumn="1" w:lastColumn="0" w:oddVBand="0" w:evenVBand="0" w:oddHBand="0" w:evenHBand="0" w:firstRowFirstColumn="0" w:firstRowLastColumn="0" w:lastRowFirstColumn="0" w:lastRowLastColumn="0"/>
            <w:tcW w:w="1496" w:type="pct"/>
            <w:tcBorders>
              <w:bottom w:val="single" w:sz="4" w:space="0" w:color="B3B3B3"/>
            </w:tcBorders>
            <w:shd w:val="clear" w:color="auto" w:fill="F2F2F2"/>
          </w:tcPr>
          <w:p w14:paraId="19FED6AC" w14:textId="77777777" w:rsidR="00A823BE" w:rsidRPr="00A823BE" w:rsidRDefault="00A823BE" w:rsidP="00A823BE">
            <w:pPr>
              <w:pStyle w:val="Box"/>
              <w:spacing w:before="45" w:after="45"/>
              <w:ind w:left="57" w:right="108"/>
              <w:jc w:val="left"/>
              <w:rPr>
                <w:rFonts w:ascii="Arial (Body)" w:hAnsi="Arial (Body)"/>
                <w:b w:val="0"/>
                <w:bCs w:val="0"/>
                <w:sz w:val="18"/>
                <w:szCs w:val="18"/>
              </w:rPr>
            </w:pPr>
            <w:r w:rsidRPr="00A823BE">
              <w:rPr>
                <w:rFonts w:ascii="Arial (Body)" w:hAnsi="Arial (Body)"/>
                <w:b w:val="0"/>
                <w:bCs w:val="0"/>
                <w:iCs/>
                <w:sz w:val="18"/>
                <w:szCs w:val="18"/>
              </w:rPr>
              <w:t>Probability of economic crisis</w:t>
            </w:r>
          </w:p>
        </w:tc>
        <w:tc>
          <w:tcPr>
            <w:tcW w:w="803" w:type="pct"/>
            <w:tcBorders>
              <w:bottom w:val="single" w:sz="4" w:space="0" w:color="B3B3B3"/>
            </w:tcBorders>
            <w:shd w:val="clear" w:color="auto" w:fill="F2F2F2"/>
          </w:tcPr>
          <w:p w14:paraId="607E53D5" w14:textId="77777777" w:rsidR="00A823BE" w:rsidRPr="00A823BE" w:rsidRDefault="00A823BE" w:rsidP="00A823BE">
            <w:pPr>
              <w:pStyle w:val="Box"/>
              <w:spacing w:before="45" w:after="45"/>
              <w:ind w:left="57" w:right="108"/>
              <w:jc w:val="center"/>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A823BE">
              <w:rPr>
                <w:rFonts w:ascii="Arial (Body)" w:hAnsi="Arial (Body)"/>
                <w:color w:val="000000"/>
                <w:sz w:val="18"/>
                <w:szCs w:val="18"/>
              </w:rPr>
              <w:t>p</w:t>
            </w:r>
          </w:p>
        </w:tc>
        <w:tc>
          <w:tcPr>
            <w:tcW w:w="852" w:type="pct"/>
            <w:tcBorders>
              <w:bottom w:val="single" w:sz="4" w:space="0" w:color="B3B3B3"/>
            </w:tcBorders>
            <w:shd w:val="clear" w:color="auto" w:fill="F2F2F2"/>
          </w:tcPr>
          <w:p w14:paraId="6962F9ED" w14:textId="77777777" w:rsidR="00A823BE" w:rsidRPr="00A823BE" w:rsidRDefault="00A823BE" w:rsidP="00A823BE">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A823BE">
              <w:rPr>
                <w:rFonts w:ascii="Arial (Body)" w:hAnsi="Arial (Body)"/>
                <w:color w:val="000000"/>
                <w:sz w:val="18"/>
                <w:szCs w:val="18"/>
              </w:rPr>
              <w:t>0.03915</w:t>
            </w:r>
          </w:p>
        </w:tc>
        <w:tc>
          <w:tcPr>
            <w:tcW w:w="831" w:type="pct"/>
            <w:tcBorders>
              <w:bottom w:val="single" w:sz="4" w:space="0" w:color="B3B3B3"/>
            </w:tcBorders>
            <w:shd w:val="clear" w:color="auto" w:fill="F2F2F2"/>
          </w:tcPr>
          <w:p w14:paraId="151AFA5A" w14:textId="77777777" w:rsidR="00A823BE" w:rsidRPr="00A823BE" w:rsidRDefault="00A823BE" w:rsidP="00A823BE">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A823BE">
              <w:rPr>
                <w:rFonts w:ascii="Arial (Body)" w:hAnsi="Arial (Body)"/>
                <w:color w:val="000000"/>
                <w:sz w:val="18"/>
                <w:szCs w:val="18"/>
              </w:rPr>
              <w:t>0.0692</w:t>
            </w:r>
          </w:p>
        </w:tc>
        <w:tc>
          <w:tcPr>
            <w:tcW w:w="1019" w:type="pct"/>
            <w:tcBorders>
              <w:bottom w:val="single" w:sz="4" w:space="0" w:color="B3B3B3"/>
            </w:tcBorders>
            <w:shd w:val="clear" w:color="auto" w:fill="F2F2F2"/>
          </w:tcPr>
          <w:p w14:paraId="47030ED5" w14:textId="77777777" w:rsidR="00A823BE" w:rsidRPr="00A823BE" w:rsidRDefault="00A823BE" w:rsidP="00A823BE">
            <w:pPr>
              <w:pStyle w:val="Box"/>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A823BE">
              <w:rPr>
                <w:rFonts w:ascii="Arial (Body)" w:hAnsi="Arial (Body)"/>
                <w:color w:val="000000"/>
                <w:sz w:val="18"/>
                <w:szCs w:val="18"/>
              </w:rPr>
              <w:t>0.0301</w:t>
            </w:r>
          </w:p>
        </w:tc>
      </w:tr>
    </w:tbl>
    <w:p w14:paraId="3F76E018" w14:textId="15EF51E9" w:rsidR="006D2565" w:rsidRDefault="006D2565" w:rsidP="00D8211F">
      <w:pPr>
        <w:pStyle w:val="Heading3"/>
        <w:spacing w:before="480"/>
      </w:pPr>
      <w:r>
        <w:t>The role of risk and the role of market power</w:t>
      </w:r>
    </w:p>
    <w:p w14:paraId="4E7FC4D8" w14:textId="77777777" w:rsidR="006D2565" w:rsidRDefault="006D2565" w:rsidP="006D2565">
      <w:pPr>
        <w:pStyle w:val="BodyText"/>
      </w:pPr>
      <w:r>
        <w:t>The results of the estimation allow us to identify how much each factor has contributed to the growing wedge between the return on private capital and risk free returns. There are several possible explanations for the increased wedge:</w:t>
      </w:r>
    </w:p>
    <w:p w14:paraId="16AF814A" w14:textId="48B4B8F1" w:rsidR="006D2565" w:rsidRPr="0077066A" w:rsidRDefault="006D2565" w:rsidP="005E0146">
      <w:pPr>
        <w:pStyle w:val="ListBullet"/>
        <w:rPr>
          <w:spacing w:val="2"/>
        </w:rPr>
      </w:pPr>
      <w:r w:rsidRPr="0077066A">
        <w:rPr>
          <w:spacing w:val="2"/>
        </w:rPr>
        <w:t>An increased risk premium, either because of greater perceived risk or greater risk aversion on the part of investors</w:t>
      </w:r>
      <w:r w:rsidR="001B3CFE" w:rsidRPr="0077066A">
        <w:rPr>
          <w:spacing w:val="2"/>
        </w:rPr>
        <w:t>.</w:t>
      </w:r>
    </w:p>
    <w:p w14:paraId="65FFC028" w14:textId="5E67709D" w:rsidR="006D2565" w:rsidRDefault="006D2565" w:rsidP="005E0146">
      <w:pPr>
        <w:pStyle w:val="ListBullet"/>
      </w:pPr>
      <w:r>
        <w:t>Greater market power of firms, which causes them to restrict output and investment</w:t>
      </w:r>
      <w:r w:rsidR="001B3CFE">
        <w:t>.</w:t>
      </w:r>
    </w:p>
    <w:p w14:paraId="1F7BBB4A" w14:textId="396DF4CB" w:rsidR="006D2565" w:rsidRDefault="006D2565" w:rsidP="005E0146">
      <w:pPr>
        <w:pStyle w:val="ListBullet"/>
      </w:pPr>
      <w:r>
        <w:t>Increased depreciation or increased investment-specific technical progress, which increases the effective cost of capital (a less likely explanation)</w:t>
      </w:r>
      <w:r w:rsidR="001B3CFE">
        <w:t>.</w:t>
      </w:r>
    </w:p>
    <w:p w14:paraId="14EAA1ED" w14:textId="77777777" w:rsidR="00E573E9" w:rsidRDefault="00E573E9">
      <w:pPr>
        <w:spacing w:before="0" w:after="160" w:line="259" w:lineRule="auto"/>
      </w:pPr>
      <w:r>
        <w:br w:type="page"/>
      </w:r>
    </w:p>
    <w:p w14:paraId="68CCC9EA" w14:textId="77777777" w:rsidR="006D2565" w:rsidRDefault="006D2565" w:rsidP="006D2565">
      <w:pPr>
        <w:pStyle w:val="BodyText"/>
      </w:pPr>
      <w:r>
        <w:lastRenderedPageBreak/>
        <w:t>These contributing factors can be decomposed using equation (4), which defines the marginal product of capital, also known as the return on private capital. Equation (4) can be rewritten as:</w:t>
      </w:r>
    </w:p>
    <w:p w14:paraId="136B1384" w14:textId="56006464" w:rsidR="006D2565" w:rsidRDefault="00521B82" w:rsidP="006D2565">
      <w:pPr>
        <w:pStyle w:val="BodyText"/>
      </w:pPr>
      <m:oMathPara>
        <m:oMath>
          <m:eqArr>
            <m:eqArrPr>
              <m:maxDist m:val="1"/>
              <m:ctrlPr>
                <w:rPr>
                  <w:rFonts w:ascii="Cambria Math" w:hAnsi="Cambria Math"/>
                  <w:i/>
                </w:rPr>
              </m:ctrlPr>
            </m:eqArrPr>
            <m:e>
              <m:r>
                <w:rPr>
                  <w:rFonts w:ascii="Cambria Math" w:hAnsi="Cambria Math"/>
                </w:rPr>
                <m:t>MPK</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 xml:space="preserve">= </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δ</m:t>
                      </m:r>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Q</m:t>
                          </m:r>
                        </m:sub>
                      </m:sSub>
                    </m:e>
                  </m:groupChr>
                </m:e>
                <m:lim>
                  <m:r>
                    <w:rPr>
                      <w:rFonts w:ascii="Cambria Math" w:hAnsi="Cambria Math"/>
                    </w:rPr>
                    <m:t>depreciation</m:t>
                  </m:r>
                </m:lim>
              </m:limLow>
              <m:r>
                <w:rPr>
                  <w:rFonts w:ascii="Cambria Math" w:hAnsi="Cambria Math"/>
                </w:rPr>
                <m:t xml:space="preserve">+ </m:t>
              </m:r>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r>
                            <w:rPr>
                              <w:rFonts w:ascii="Cambria Math" w:hAnsi="Cambria Math"/>
                            </w:rPr>
                            <m:t>μ</m:t>
                          </m:r>
                          <m:r>
                            <w:rPr>
                              <w:rFonts w:ascii="Cambria Math" w:hAnsi="Cambria Math"/>
                            </w:rPr>
                            <m:t>-</m:t>
                          </m:r>
                          <m:r>
                            <w:rPr>
                              <w:rFonts w:ascii="Cambria Math" w:hAnsi="Cambria Math"/>
                            </w:rPr>
                            <m:t>1</m:t>
                          </m:r>
                        </m:num>
                        <m:den>
                          <m:r>
                            <w:rPr>
                              <w:rFonts w:ascii="Cambria Math" w:hAnsi="Cambria Math"/>
                            </w:rPr>
                            <m:t>α</m:t>
                          </m:r>
                        </m:den>
                      </m:f>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Q</m:t>
                              </m:r>
                            </m:sub>
                          </m:sSub>
                          <m:r>
                            <w:rPr>
                              <w:rFonts w:ascii="Cambria Math" w:hAnsi="Cambria Math"/>
                            </w:rPr>
                            <m:t>+</m:t>
                          </m:r>
                          <m:r>
                            <w:rPr>
                              <w:rFonts w:ascii="Cambria Math" w:hAnsi="Cambria Math"/>
                            </w:rPr>
                            <m:t>δ</m:t>
                          </m:r>
                        </m:e>
                      </m:d>
                    </m:e>
                  </m:groupChr>
                </m:e>
                <m:lim>
                  <m:r>
                    <w:rPr>
                      <w:rFonts w:ascii="Cambria Math" w:hAnsi="Cambria Math"/>
                    </w:rPr>
                    <m:t>rents</m:t>
                  </m:r>
                  <m:r>
                    <w:rPr>
                      <w:rFonts w:ascii="Cambria Math" w:hAnsi="Cambria Math"/>
                    </w:rPr>
                    <m:t xml:space="preserve"> </m:t>
                  </m:r>
                  <m:r>
                    <w:rPr>
                      <w:rFonts w:ascii="Cambria Math" w:hAnsi="Cambria Math"/>
                    </w:rPr>
                    <m:t>due</m:t>
                  </m:r>
                  <m:r>
                    <w:rPr>
                      <w:rFonts w:ascii="Cambria Math" w:hAnsi="Cambria Math"/>
                    </w:rPr>
                    <m:t xml:space="preserve"> </m:t>
                  </m:r>
                  <m:r>
                    <w:rPr>
                      <w:rFonts w:ascii="Cambria Math" w:hAnsi="Cambria Math"/>
                    </w:rPr>
                    <m:t>to</m:t>
                  </m:r>
                  <m:r>
                    <w:rPr>
                      <w:rFonts w:ascii="Cambria Math" w:hAnsi="Cambria Math"/>
                    </w:rPr>
                    <m:t xml:space="preserve"> </m:t>
                  </m:r>
                  <m:r>
                    <w:rPr>
                      <w:rFonts w:ascii="Cambria Math" w:hAnsi="Cambria Math"/>
                    </w:rPr>
                    <m:t>market</m:t>
                  </m:r>
                  <m:r>
                    <w:rPr>
                      <w:rFonts w:ascii="Cambria Math" w:hAnsi="Cambria Math"/>
                    </w:rPr>
                    <m:t xml:space="preserve"> </m:t>
                  </m:r>
                  <m:r>
                    <w:rPr>
                      <w:rFonts w:ascii="Cambria Math" w:hAnsi="Cambria Math"/>
                    </w:rPr>
                    <m:t>power</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e>
                  </m:groupChr>
                </m:e>
                <m:lim>
                  <m:r>
                    <w:rPr>
                      <w:rFonts w:ascii="Cambria Math" w:hAnsi="Cambria Math"/>
                    </w:rPr>
                    <m:t>market</m:t>
                  </m:r>
                  <m:r>
                    <w:rPr>
                      <w:rFonts w:ascii="Cambria Math" w:hAnsi="Cambria Math"/>
                    </w:rPr>
                    <m:t xml:space="preserve"> </m:t>
                  </m:r>
                  <m:r>
                    <w:rPr>
                      <w:rFonts w:ascii="Cambria Math" w:hAnsi="Cambria Math"/>
                    </w:rPr>
                    <m:t>risk</m:t>
                  </m:r>
                  <m:r>
                    <w:rPr>
                      <w:rFonts w:ascii="Cambria Math" w:hAnsi="Cambria Math"/>
                    </w:rPr>
                    <m:t xml:space="preserve"> </m:t>
                  </m:r>
                  <m:r>
                    <w:rPr>
                      <w:rFonts w:ascii="Cambria Math" w:hAnsi="Cambria Math"/>
                    </w:rPr>
                    <m:t>premium</m:t>
                  </m:r>
                </m:lim>
              </m:limLow>
              <m:r>
                <w:rPr>
                  <w:rFonts w:ascii="Cambria Math" w:hAnsi="Cambria Math"/>
                </w:rPr>
                <m:t>#</m:t>
              </m:r>
              <m:d>
                <m:dPr>
                  <m:ctrlPr>
                    <w:rPr>
                      <w:rFonts w:ascii="Cambria Math" w:hAnsi="Cambria Math"/>
                      <w:i/>
                    </w:rPr>
                  </m:ctrlPr>
                </m:dPr>
                <m:e>
                  <m:r>
                    <w:rPr>
                      <w:rFonts w:ascii="Cambria Math" w:hAnsi="Cambria Math"/>
                    </w:rPr>
                    <m:t>9</m:t>
                  </m:r>
                </m:e>
              </m:d>
            </m:e>
          </m:eqArr>
        </m:oMath>
      </m:oMathPara>
    </w:p>
    <w:p w14:paraId="0DD86BF3" w14:textId="77777777" w:rsidR="006D2565" w:rsidRDefault="006D2565" w:rsidP="006D2565">
      <w:pPr>
        <w:pStyle w:val="BodyText"/>
      </w:pPr>
      <w:r>
        <w:t>This equation decomposes the equity premium into three components:</w:t>
      </w:r>
    </w:p>
    <w:p w14:paraId="42B1F735" w14:textId="77777777" w:rsidR="006D2565" w:rsidRDefault="006D2565" w:rsidP="00A920A5">
      <w:pPr>
        <w:pStyle w:val="ListBullet"/>
      </w:pPr>
      <w:r w:rsidRPr="00A920A5">
        <w:t>depreciation</w:t>
      </w:r>
      <w:r>
        <w:t xml:space="preserve">, represented by: </w:t>
      </w:r>
      <m:oMath>
        <m:r>
          <w:rPr>
            <w:rFonts w:ascii="Cambria Math" w:hAnsi="Cambria Math"/>
          </w:rPr>
          <m:t>δ+</m:t>
        </m:r>
        <m:sSub>
          <m:sSubPr>
            <m:ctrlPr>
              <w:rPr>
                <w:rFonts w:ascii="Cambria Math" w:hAnsi="Cambria Math"/>
                <w:i/>
              </w:rPr>
            </m:ctrlPr>
          </m:sSubPr>
          <m:e>
            <m:r>
              <w:rPr>
                <w:rFonts w:ascii="Cambria Math" w:hAnsi="Cambria Math"/>
              </w:rPr>
              <m:t>g</m:t>
            </m:r>
          </m:e>
          <m:sub>
            <m:r>
              <w:rPr>
                <w:rFonts w:ascii="Cambria Math" w:hAnsi="Cambria Math"/>
              </w:rPr>
              <m:t>Q</m:t>
            </m:r>
          </m:sub>
        </m:sSub>
      </m:oMath>
      <w:r>
        <w:t>;</w:t>
      </w:r>
    </w:p>
    <w:p w14:paraId="4065935B" w14:textId="77777777" w:rsidR="006D2565" w:rsidRDefault="006D2565" w:rsidP="00A920A5">
      <w:pPr>
        <w:pStyle w:val="ListBullet"/>
      </w:pPr>
      <w:r>
        <w:t xml:space="preserve">economic rents due to market power, represented by: </w:t>
      </w:r>
      <m:oMath>
        <m:f>
          <m:fPr>
            <m:ctrlPr>
              <w:rPr>
                <w:rFonts w:ascii="Cambria Math" w:hAnsi="Cambria Math"/>
                <w:i/>
              </w:rPr>
            </m:ctrlPr>
          </m:fPr>
          <m:num>
            <m:r>
              <w:rPr>
                <w:rFonts w:ascii="Cambria Math" w:hAnsi="Cambria Math"/>
              </w:rPr>
              <m:t>μ-1</m:t>
            </m:r>
          </m:num>
          <m:den>
            <m:r>
              <w:rPr>
                <w:rFonts w:ascii="Cambria Math" w:hAnsi="Cambria Math"/>
              </w:rPr>
              <m:t>α</m:t>
            </m:r>
          </m:den>
        </m:f>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Q</m:t>
                </m:r>
              </m:sub>
            </m:sSub>
            <m:r>
              <w:rPr>
                <w:rFonts w:ascii="Cambria Math" w:hAnsi="Cambria Math"/>
              </w:rPr>
              <m:t>+δ</m:t>
            </m:r>
          </m:e>
        </m:d>
        <m:r>
          <w:rPr>
            <w:rFonts w:ascii="Cambria Math" w:hAnsi="Cambria Math"/>
          </w:rPr>
          <m:t>≡γ</m:t>
        </m:r>
      </m:oMath>
      <w:r>
        <w:t xml:space="preserve">; this is loosely related to market power because </w:t>
      </w:r>
      <w:r w:rsidRPr="00852430">
        <w:rPr>
          <w:rFonts w:ascii="Symbol" w:eastAsia="Symbol" w:hAnsi="Symbol" w:cs="Symbol"/>
          <w:i/>
          <w:iCs/>
        </w:rPr>
        <w:t>m</w:t>
      </w:r>
      <w:r>
        <w:t xml:space="preserve"> is firms’ markup;</w:t>
      </w:r>
    </w:p>
    <w:p w14:paraId="13D2E181" w14:textId="77777777" w:rsidR="006D2565" w:rsidRDefault="006D2565" w:rsidP="00A920A5">
      <w:pPr>
        <w:pStyle w:val="ListBullet"/>
      </w:pPr>
      <w:r w:rsidRPr="0052144E">
        <w:t>a market risk premium</w:t>
      </w:r>
      <w:r>
        <w:t xml:space="preserve">, represented by </w:t>
      </w:r>
      <m:oMath>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oMath>
      <w:r>
        <w:t>.</w:t>
      </w:r>
    </w:p>
    <w:p w14:paraId="1C21C45E" w14:textId="73A87D20" w:rsidR="006D2565" w:rsidRDefault="006D2565" w:rsidP="006D2565">
      <w:pPr>
        <w:pStyle w:val="BodyText"/>
      </w:pPr>
      <w:r>
        <w:t xml:space="preserve">Figure </w:t>
      </w:r>
      <w:r w:rsidR="00FB62AD">
        <w:t>6</w:t>
      </w:r>
      <w:r>
        <w:t xml:space="preserve"> illustrates how each component adds to the marginal product of capital, and hence to the user cost of capital (the cost of borrowing additional capital for investment). In a world with no risk and no market power, the cost of capital would simply reflect time preferences </w:t>
      </w:r>
      <m:oMath>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oMath>
      <w:r>
        <w:t xml:space="preserve">, the depreciation of the capital while in use </w:t>
      </w:r>
      <m:oMath>
        <m:r>
          <w:rPr>
            <w:rFonts w:ascii="Cambria Math" w:hAnsi="Cambria Math"/>
          </w:rPr>
          <m:t>(δ)</m:t>
        </m:r>
      </m:oMath>
      <w:r>
        <w:t xml:space="preserve">, and technological progress which increases its productivity in the future, </w:t>
      </w:r>
      <m:oMath>
        <m:sSub>
          <m:sSubPr>
            <m:ctrlPr>
              <w:rPr>
                <w:rFonts w:ascii="Cambria Math" w:hAnsi="Cambria Math"/>
                <w:i/>
              </w:rPr>
            </m:ctrlPr>
          </m:sSubPr>
          <m:e>
            <m:r>
              <w:rPr>
                <w:rFonts w:ascii="Cambria Math" w:hAnsi="Cambria Math"/>
              </w:rPr>
              <m:t>g</m:t>
            </m:r>
          </m:e>
          <m:sub>
            <m:r>
              <w:rPr>
                <w:rFonts w:ascii="Cambria Math" w:hAnsi="Cambria Math"/>
              </w:rPr>
              <m:t>Q</m:t>
            </m:r>
          </m:sub>
        </m:sSub>
      </m:oMath>
      <w:r>
        <w:t>. But in a world of risk, there is additionally a risk premium that the owners of capital require, to compensate them for the risk that they may not recover their capital. And if firms have market power and charge a markup, the hurdle rate before they choose to invest will be higher, as they will choose to have lower output and higher prices.</w:t>
      </w:r>
    </w:p>
    <w:p w14:paraId="181CB4D3" w14:textId="7FBA608D" w:rsidR="001B3CFE" w:rsidRPr="00146382" w:rsidRDefault="001B3CFE" w:rsidP="00ED33D7">
      <w:pPr>
        <w:pStyle w:val="FigureTableHeading"/>
      </w:pPr>
      <w:r>
        <w:t xml:space="preserve">Figure </w:t>
      </w:r>
      <w:r w:rsidR="00226B24">
        <w:rPr>
          <w:noProof/>
        </w:rPr>
        <w:t>6</w:t>
      </w:r>
      <w:r>
        <w:rPr>
          <w:noProof/>
        </w:rPr>
        <w:t xml:space="preserve"> </w:t>
      </w:r>
      <w:r>
        <w:t>– The user cost of capital is affected by risk and market power</w:t>
      </w:r>
      <w:r w:rsidRPr="00066CF5">
        <w:rPr>
          <w:vertAlign w:val="superscript"/>
        </w:rPr>
        <w:t>a</w:t>
      </w:r>
    </w:p>
    <w:p w14:paraId="2051C0B2" w14:textId="052C1447" w:rsidR="001B3CFE" w:rsidRDefault="001B3CFE" w:rsidP="00ED33D7">
      <w:pPr>
        <w:pStyle w:val="FigureTableSubheading"/>
        <w:keepLines/>
      </w:pPr>
      <w:r>
        <w:t>Components of the wedge between the return on private capital (which equals user cost) and the risk free rate</w:t>
      </w:r>
    </w:p>
    <w:p w14:paraId="7B5A2F6C" w14:textId="4977167C" w:rsidR="001B3CFE" w:rsidRPr="005550A0" w:rsidRDefault="00C0752E" w:rsidP="00ED33D7">
      <w:pPr>
        <w:pStyle w:val="BodyText"/>
      </w:pPr>
      <w:r w:rsidRPr="00C0752E">
        <w:rPr>
          <w:noProof/>
        </w:rPr>
        <w:drawing>
          <wp:inline distT="0" distB="0" distL="0" distR="0" wp14:anchorId="64F356AC" wp14:editId="501ED65B">
            <wp:extent cx="6120765" cy="3503295"/>
            <wp:effectExtent l="0" t="0" r="0" b="0"/>
            <wp:docPr id="168104817" name="Picture 14" descr="Figure 6 breaks down the user cost of capital into its components.  &#10;&#10;The first column shows that the standard user cost of capital comprises the riskfree rate plus the rate of physical depreciation of capital plus the change in the price of capital. &#10;&#10;The second column shows that the riskadjusted user cost of capital comprises the riskfree rate plus the rate of physical depreciation of capital plus the change in the price of capital, plus a risk premium. &#10;&#10;The third column shows that the risk and market power adjusted user cost of capital comprises the riskfree rate plus the rate of physical depreciation of capital plus the change in the price of capital, plus a risk premium, plus the pure profit from ca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4817" name="Picture 14" descr="Figure 6 breaks down the user cost of capital into its components.  &#10;&#10;The first column shows that the standard user cost of capital comprises the riskfree rate plus the rate of physical depreciation of capital plus the change in the price of capital. &#10;&#10;The second column shows that the riskadjusted user cost of capital comprises the riskfree rate plus the rate of physical depreciation of capital plus the change in the price of capital, plus a risk premium. &#10;&#10;The third column shows that the risk and market power adjusted user cost of capital comprises the riskfree rate plus the rate of physical depreciation of capital plus the change in the price of capital, plus a risk premium, plus the pure profit from capital.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3503295"/>
                    </a:xfrm>
                    <a:prstGeom prst="rect">
                      <a:avLst/>
                    </a:prstGeom>
                    <a:noFill/>
                    <a:ln>
                      <a:noFill/>
                    </a:ln>
                  </pic:spPr>
                </pic:pic>
              </a:graphicData>
            </a:graphic>
          </wp:inline>
        </w:drawing>
      </w:r>
    </w:p>
    <w:p w14:paraId="4DDA3C5E" w14:textId="54AC2801" w:rsidR="001B3CFE" w:rsidRDefault="001B3CFE" w:rsidP="00ED33D7">
      <w:pPr>
        <w:pStyle w:val="Note"/>
        <w:keepLines/>
      </w:pPr>
      <w:r w:rsidRPr="00180E66">
        <w:rPr>
          <w:b/>
          <w:bCs/>
        </w:rPr>
        <w:t>a.</w:t>
      </w:r>
      <w:r>
        <w:t xml:space="preserve"> Notation in the figure: </w:t>
      </w:r>
      <m:oMath>
        <m:sSub>
          <m:sSubPr>
            <m:ctrlPr>
              <w:rPr>
                <w:rFonts w:ascii="Cambria Math" w:hAnsi="Cambria Math"/>
                <w:i/>
              </w:rPr>
            </m:ctrlPr>
          </m:sSubPr>
          <m:e>
            <m:r>
              <w:rPr>
                <w:rFonts w:ascii="Cambria Math" w:hAnsi="Cambria Math"/>
              </w:rPr>
              <m:t>r</m:t>
            </m:r>
          </m:e>
          <m:sub>
            <m:r>
              <w:rPr>
                <w:rFonts w:ascii="Cambria Math" w:hAnsi="Cambria Math"/>
              </w:rPr>
              <m:t>f</m:t>
            </m:r>
          </m:sub>
        </m:sSub>
      </m:oMath>
      <w:r>
        <w:t xml:space="preserve"> is the risk</w:t>
      </w:r>
      <w:r>
        <w:noBreakHyphen/>
        <w:t xml:space="preserve">free interest rate; </w:t>
      </w:r>
      <m:oMath>
        <m:r>
          <w:rPr>
            <w:rFonts w:ascii="Cambria Math" w:hAnsi="Cambria Math"/>
          </w:rPr>
          <m:t>δ</m:t>
        </m:r>
      </m:oMath>
      <w:r>
        <w:t xml:space="preserve"> is the rate of physical depreciation on capital; </w:t>
      </w:r>
      <m:oMath>
        <m:sSub>
          <m:sSubPr>
            <m:ctrlPr>
              <w:rPr>
                <w:rFonts w:ascii="Cambria Math" w:hAnsi="Cambria Math"/>
                <w:i/>
              </w:rPr>
            </m:ctrlPr>
          </m:sSubPr>
          <m:e>
            <m:r>
              <w:rPr>
                <w:rFonts w:ascii="Cambria Math" w:hAnsi="Cambria Math"/>
              </w:rPr>
              <m:t>g</m:t>
            </m:r>
          </m:e>
          <m:sub>
            <m:r>
              <w:rPr>
                <w:rFonts w:ascii="Cambria Math" w:hAnsi="Cambria Math"/>
              </w:rPr>
              <m:t>Q</m:t>
            </m:r>
          </m:sub>
        </m:sSub>
      </m:oMath>
      <w:r>
        <w:t xml:space="preserve"> is the change in price of capital; </w:t>
      </w:r>
      <m:oMath>
        <m:sSup>
          <m:sSupPr>
            <m:ctrlPr>
              <w:rPr>
                <w:rFonts w:ascii="Cambria Math" w:hAnsi="Cambria Math"/>
                <w:i/>
              </w:rPr>
            </m:ctrlPr>
          </m:sSupPr>
          <m:e>
            <m:r>
              <w:rPr>
                <w:rFonts w:ascii="Cambria Math" w:hAnsi="Cambria Math"/>
              </w:rPr>
              <m:t>r</m:t>
            </m:r>
          </m:e>
          <m:sup>
            <m:r>
              <w:rPr>
                <w:rFonts w:ascii="Cambria Math" w:hAnsi="Cambria Math"/>
              </w:rPr>
              <m:t>*</m:t>
            </m:r>
          </m:sup>
        </m:sSup>
      </m:oMath>
      <w:r>
        <w:t xml:space="preserve"> is the return on private equity; and </w:t>
      </w:r>
      <m:oMath>
        <m:r>
          <w:rPr>
            <w:rFonts w:ascii="Cambria Math" w:hAnsi="Cambria Math"/>
          </w:rPr>
          <m:t>γ</m:t>
        </m:r>
      </m:oMath>
      <w:r>
        <w:t xml:space="preserve"> is the pure profit from capital.</w:t>
      </w:r>
    </w:p>
    <w:p w14:paraId="61889FAE" w14:textId="22C029B8" w:rsidR="006D2565" w:rsidRDefault="006D2565" w:rsidP="006D2565">
      <w:pPr>
        <w:pStyle w:val="BodyText"/>
      </w:pPr>
      <w:r>
        <w:t>The components of the spread between private capital returns and the risk</w:t>
      </w:r>
      <w:r>
        <w:noBreakHyphen/>
        <w:t>free rate are reported across the two distinct time periods</w:t>
      </w:r>
      <w:r w:rsidR="00141658">
        <w:t>,</w:t>
      </w:r>
      <w:r>
        <w:t xml:space="preserve"> divided by the Global Financial Crisis. </w:t>
      </w:r>
    </w:p>
    <w:p w14:paraId="5162D105" w14:textId="6B17266B" w:rsidR="006D2565" w:rsidRDefault="006D2565" w:rsidP="006D2565">
      <w:pPr>
        <w:pStyle w:val="BodyText"/>
      </w:pPr>
      <w:r>
        <w:lastRenderedPageBreak/>
        <w:t>The average spread was 14.1% over the period 2009</w:t>
      </w:r>
      <w:r>
        <w:noBreakHyphen/>
        <w:t>2020 after the crisis; up from 12.0% over the prior period 1997-2008. In other words, the spread rose by 2.1 percentage points after the crisis, an increase which is largely attributable to a rising market risk premium (table 5).</w:t>
      </w:r>
    </w:p>
    <w:p w14:paraId="238A8594" w14:textId="084E27A7" w:rsidR="00C318F4" w:rsidRDefault="00C318F4" w:rsidP="00ED33D7">
      <w:pPr>
        <w:pStyle w:val="FigureTableHeading"/>
      </w:pPr>
      <w:r>
        <w:t xml:space="preserve">Table </w:t>
      </w:r>
      <w:r w:rsidR="00226B24">
        <w:rPr>
          <w:noProof/>
        </w:rPr>
        <w:t>5</w:t>
      </w:r>
      <w:r>
        <w:rPr>
          <w:noProof/>
        </w:rPr>
        <w:t xml:space="preserve"> – </w:t>
      </w:r>
      <w:r>
        <w:t xml:space="preserve">The spread between private capital returns and the risk free rate </w:t>
      </w:r>
      <w:r w:rsidR="0085718D">
        <w:t>has increased significantly due to the risk premium</w:t>
      </w:r>
    </w:p>
    <w:p w14:paraId="14334520" w14:textId="77A23D09" w:rsidR="00C318F4" w:rsidRDefault="00C318F4" w:rsidP="00ED33D7">
      <w:pPr>
        <w:pStyle w:val="FigureTableSubheading"/>
      </w:pPr>
      <w:r>
        <w:t>Comparison of spread pre</w:t>
      </w:r>
      <w:r>
        <w:noBreakHyphen/>
        <w:t xml:space="preserve"> and post</w:t>
      </w:r>
      <w:r>
        <w:noBreakHyphen/>
        <w:t xml:space="preserve"> Global Financial Crisis</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737"/>
        <w:gridCol w:w="2300"/>
        <w:gridCol w:w="2300"/>
        <w:gridCol w:w="2302"/>
      </w:tblGrid>
      <w:tr w:rsidR="00C318F4" w:rsidRPr="00C318F4" w14:paraId="56DF2B24" w14:textId="77777777" w:rsidTr="00C318F4">
        <w:trPr>
          <w:tblHeader/>
        </w:trPr>
        <w:tc>
          <w:tcPr>
            <w:tcW w:w="1420" w:type="pct"/>
            <w:tcBorders>
              <w:bottom w:val="single" w:sz="4" w:space="0" w:color="B3B3B3"/>
            </w:tcBorders>
            <w:shd w:val="clear" w:color="auto" w:fill="auto"/>
            <w:tcMar>
              <w:top w:w="28" w:type="dxa"/>
            </w:tcMar>
            <w:vAlign w:val="bottom"/>
          </w:tcPr>
          <w:p w14:paraId="5882C273" w14:textId="77777777" w:rsidR="00C318F4" w:rsidRPr="00C318F4" w:rsidRDefault="00C318F4" w:rsidP="00C318F4">
            <w:pPr>
              <w:pStyle w:val="TableColumnHeading"/>
              <w:spacing w:before="45" w:after="45"/>
              <w:ind w:left="57" w:right="108"/>
              <w:jc w:val="left"/>
              <w:rPr>
                <w:rFonts w:ascii="Arial (Body)" w:hAnsi="Arial (Body)"/>
                <w:b/>
                <w:i w:val="0"/>
                <w:color w:val="265A9A"/>
              </w:rPr>
            </w:pPr>
            <w:r w:rsidRPr="00C318F4">
              <w:rPr>
                <w:rFonts w:ascii="Arial (Body)" w:hAnsi="Arial (Body)"/>
                <w:b/>
                <w:i w:val="0"/>
                <w:color w:val="265A9A"/>
              </w:rPr>
              <w:t>MPK</w:t>
            </w:r>
            <w:r w:rsidRPr="00C318F4">
              <w:rPr>
                <w:rFonts w:ascii="Arial (Body)" w:hAnsi="Arial (Body)"/>
                <w:b/>
                <w:i w:val="0"/>
                <w:color w:val="265A9A"/>
              </w:rPr>
              <w:noBreakHyphen/>
              <w:t xml:space="preserve">RF spread </w:t>
            </w:r>
          </w:p>
        </w:tc>
        <w:tc>
          <w:tcPr>
            <w:tcW w:w="1193" w:type="pct"/>
            <w:tcBorders>
              <w:bottom w:val="single" w:sz="4" w:space="0" w:color="B3B3B3"/>
            </w:tcBorders>
            <w:shd w:val="clear" w:color="auto" w:fill="auto"/>
            <w:vAlign w:val="bottom"/>
          </w:tcPr>
          <w:p w14:paraId="2B6A9BFB" w14:textId="444FBE61" w:rsidR="00C318F4" w:rsidRPr="00C318F4" w:rsidRDefault="00C318F4" w:rsidP="00C318F4">
            <w:pPr>
              <w:pStyle w:val="TableColumnHeading"/>
              <w:spacing w:before="45" w:after="45"/>
              <w:ind w:left="57" w:right="108"/>
              <w:rPr>
                <w:rFonts w:ascii="Arial (Body)" w:hAnsi="Arial (Body)"/>
                <w:b/>
                <w:i w:val="0"/>
                <w:color w:val="265A9A"/>
              </w:rPr>
            </w:pPr>
            <w:r w:rsidRPr="00C318F4">
              <w:rPr>
                <w:rFonts w:ascii="Arial (Body)" w:hAnsi="Arial (Body)"/>
                <w:b/>
                <w:i w:val="0"/>
                <w:color w:val="265A9A"/>
              </w:rPr>
              <w:t>1997</w:t>
            </w:r>
            <w:r w:rsidR="00D502FF">
              <w:rPr>
                <w:rFonts w:ascii="Arial (Body)" w:hAnsi="Arial (Body)"/>
                <w:bCs/>
                <w:color w:val="265A9A"/>
              </w:rPr>
              <w:t>–</w:t>
            </w:r>
            <w:r w:rsidRPr="00C318F4">
              <w:rPr>
                <w:rFonts w:ascii="Arial (Body)" w:hAnsi="Arial (Body)"/>
                <w:b/>
                <w:i w:val="0"/>
                <w:color w:val="265A9A"/>
              </w:rPr>
              <w:t>2008</w:t>
            </w:r>
          </w:p>
        </w:tc>
        <w:tc>
          <w:tcPr>
            <w:tcW w:w="1193" w:type="pct"/>
            <w:tcBorders>
              <w:bottom w:val="single" w:sz="4" w:space="0" w:color="B3B3B3"/>
            </w:tcBorders>
            <w:shd w:val="clear" w:color="auto" w:fill="auto"/>
            <w:tcMar>
              <w:top w:w="28" w:type="dxa"/>
            </w:tcMar>
            <w:vAlign w:val="bottom"/>
          </w:tcPr>
          <w:p w14:paraId="33EEBCBC" w14:textId="6E211A66" w:rsidR="00C318F4" w:rsidRPr="00C318F4" w:rsidRDefault="00C318F4" w:rsidP="00C318F4">
            <w:pPr>
              <w:pStyle w:val="TableColumnHeading"/>
              <w:spacing w:before="45" w:after="45"/>
              <w:ind w:left="57" w:right="108"/>
              <w:rPr>
                <w:rFonts w:ascii="Arial (Body)" w:hAnsi="Arial (Body)"/>
                <w:b/>
                <w:i w:val="0"/>
                <w:color w:val="265A9A"/>
              </w:rPr>
            </w:pPr>
            <w:r w:rsidRPr="00C318F4">
              <w:rPr>
                <w:rFonts w:ascii="Arial (Body)" w:hAnsi="Arial (Body)"/>
                <w:b/>
                <w:i w:val="0"/>
                <w:color w:val="265A9A"/>
              </w:rPr>
              <w:t>2009</w:t>
            </w:r>
            <w:r w:rsidR="00D502FF">
              <w:rPr>
                <w:rFonts w:ascii="Arial (Body)" w:hAnsi="Arial (Body)"/>
                <w:bCs/>
                <w:color w:val="265A9A"/>
              </w:rPr>
              <w:t>–</w:t>
            </w:r>
            <w:r w:rsidRPr="00C318F4">
              <w:rPr>
                <w:rFonts w:ascii="Arial (Body)" w:hAnsi="Arial (Body)"/>
                <w:b/>
                <w:i w:val="0"/>
                <w:color w:val="265A9A"/>
              </w:rPr>
              <w:t>2020</w:t>
            </w:r>
          </w:p>
        </w:tc>
        <w:tc>
          <w:tcPr>
            <w:tcW w:w="1194" w:type="pct"/>
            <w:tcBorders>
              <w:bottom w:val="single" w:sz="4" w:space="0" w:color="B3B3B3"/>
            </w:tcBorders>
            <w:shd w:val="clear" w:color="auto" w:fill="auto"/>
            <w:tcMar>
              <w:top w:w="28" w:type="dxa"/>
            </w:tcMar>
            <w:vAlign w:val="bottom"/>
          </w:tcPr>
          <w:p w14:paraId="68CB35E3" w14:textId="77777777" w:rsidR="00C318F4" w:rsidRPr="00C318F4" w:rsidRDefault="00C318F4" w:rsidP="00C318F4">
            <w:pPr>
              <w:pStyle w:val="TableColumnHeading"/>
              <w:spacing w:before="45" w:after="45"/>
              <w:ind w:left="57" w:right="108"/>
              <w:rPr>
                <w:rFonts w:ascii="Arial (Body)" w:hAnsi="Arial (Body)"/>
                <w:b/>
                <w:i w:val="0"/>
                <w:color w:val="265A9A"/>
              </w:rPr>
            </w:pPr>
            <w:r w:rsidRPr="00C318F4">
              <w:rPr>
                <w:rFonts w:ascii="Arial (Body)" w:hAnsi="Arial (Body)"/>
                <w:b/>
                <w:i w:val="0"/>
                <w:color w:val="265A9A"/>
              </w:rPr>
              <w:t>Difference</w:t>
            </w:r>
          </w:p>
        </w:tc>
      </w:tr>
      <w:tr w:rsidR="00C318F4" w:rsidRPr="00C318F4" w14:paraId="690A836E" w14:textId="77777777" w:rsidTr="00C318F4">
        <w:tc>
          <w:tcPr>
            <w:tcW w:w="1420" w:type="pct"/>
            <w:tcBorders>
              <w:top w:val="single" w:sz="4" w:space="0" w:color="B3B3B3"/>
              <w:bottom w:val="nil"/>
            </w:tcBorders>
            <w:shd w:val="clear" w:color="auto" w:fill="F2F2F2"/>
          </w:tcPr>
          <w:p w14:paraId="4A86F093" w14:textId="77777777" w:rsidR="00C318F4" w:rsidRPr="00C318F4" w:rsidRDefault="00C318F4" w:rsidP="00C318F4">
            <w:pPr>
              <w:pStyle w:val="TableBodyText"/>
              <w:spacing w:before="45" w:after="45"/>
              <w:ind w:left="57" w:right="108"/>
              <w:jc w:val="left"/>
              <w:rPr>
                <w:rFonts w:ascii="Arial (Body)" w:hAnsi="Arial (Body)"/>
                <w:bCs/>
              </w:rPr>
            </w:pPr>
            <w:r w:rsidRPr="00C318F4">
              <w:rPr>
                <w:rFonts w:ascii="Arial (Body)" w:hAnsi="Arial (Body)"/>
                <w:bCs/>
              </w:rPr>
              <w:t>Total spread</w:t>
            </w:r>
          </w:p>
        </w:tc>
        <w:tc>
          <w:tcPr>
            <w:tcW w:w="1193" w:type="pct"/>
            <w:tcBorders>
              <w:top w:val="single" w:sz="4" w:space="0" w:color="B3B3B3"/>
              <w:bottom w:val="nil"/>
            </w:tcBorders>
            <w:shd w:val="clear" w:color="auto" w:fill="F2F2F2"/>
          </w:tcPr>
          <w:p w14:paraId="35C811D7" w14:textId="77777777" w:rsidR="00C318F4" w:rsidRPr="00C318F4" w:rsidRDefault="00C318F4" w:rsidP="00C318F4">
            <w:pPr>
              <w:pStyle w:val="TableBodyText"/>
              <w:spacing w:before="45" w:after="45"/>
              <w:ind w:left="57" w:right="108"/>
              <w:rPr>
                <w:rFonts w:ascii="Arial (Body)" w:hAnsi="Arial (Body)"/>
                <w:color w:val="000000"/>
              </w:rPr>
            </w:pPr>
            <w:r w:rsidRPr="00C318F4">
              <w:rPr>
                <w:rFonts w:ascii="Arial (Body)" w:hAnsi="Arial (Body)"/>
                <w:color w:val="000000"/>
              </w:rPr>
              <w:t>12.04</w:t>
            </w:r>
          </w:p>
        </w:tc>
        <w:tc>
          <w:tcPr>
            <w:tcW w:w="1193" w:type="pct"/>
            <w:tcBorders>
              <w:top w:val="single" w:sz="4" w:space="0" w:color="B3B3B3"/>
              <w:bottom w:val="nil"/>
            </w:tcBorders>
            <w:shd w:val="clear" w:color="auto" w:fill="F2F2F2"/>
          </w:tcPr>
          <w:p w14:paraId="57614829" w14:textId="77777777" w:rsidR="00C318F4" w:rsidRPr="00C318F4" w:rsidRDefault="00C318F4" w:rsidP="00C318F4">
            <w:pPr>
              <w:pStyle w:val="TableBodyText"/>
              <w:spacing w:before="45" w:after="45"/>
              <w:ind w:left="57" w:right="108"/>
              <w:rPr>
                <w:rFonts w:ascii="Arial (Body)" w:hAnsi="Arial (Body)"/>
                <w:color w:val="000000"/>
              </w:rPr>
            </w:pPr>
            <w:r w:rsidRPr="00C318F4">
              <w:rPr>
                <w:rFonts w:ascii="Arial (Body)" w:hAnsi="Arial (Body)"/>
                <w:color w:val="000000"/>
              </w:rPr>
              <w:t>14.12</w:t>
            </w:r>
          </w:p>
        </w:tc>
        <w:tc>
          <w:tcPr>
            <w:tcW w:w="1194" w:type="pct"/>
            <w:tcBorders>
              <w:top w:val="single" w:sz="4" w:space="0" w:color="B3B3B3"/>
              <w:bottom w:val="nil"/>
            </w:tcBorders>
            <w:shd w:val="clear" w:color="auto" w:fill="F2F2F2"/>
          </w:tcPr>
          <w:p w14:paraId="4A1A2BAE" w14:textId="77777777" w:rsidR="00C318F4" w:rsidRPr="00C318F4" w:rsidRDefault="00C318F4" w:rsidP="00C318F4">
            <w:pPr>
              <w:pStyle w:val="TableBodyText"/>
              <w:spacing w:before="45" w:after="45"/>
              <w:ind w:left="57" w:right="108"/>
              <w:rPr>
                <w:rFonts w:ascii="Arial (Body)" w:hAnsi="Arial (Body)"/>
                <w:color w:val="000000"/>
              </w:rPr>
            </w:pPr>
            <w:r w:rsidRPr="00C318F4">
              <w:rPr>
                <w:rFonts w:ascii="Arial (Body)" w:hAnsi="Arial (Body)"/>
                <w:color w:val="000000"/>
              </w:rPr>
              <w:t>2.08</w:t>
            </w:r>
          </w:p>
        </w:tc>
      </w:tr>
      <w:tr w:rsidR="00C318F4" w:rsidRPr="00C318F4" w14:paraId="52DF1ACC" w14:textId="77777777" w:rsidTr="00C318F4">
        <w:tc>
          <w:tcPr>
            <w:tcW w:w="1420" w:type="pct"/>
            <w:tcBorders>
              <w:top w:val="nil"/>
              <w:bottom w:val="nil"/>
            </w:tcBorders>
            <w:shd w:val="clear" w:color="auto" w:fill="auto"/>
          </w:tcPr>
          <w:p w14:paraId="53610F44" w14:textId="31ECACBB" w:rsidR="00C318F4" w:rsidRPr="00C318F4" w:rsidRDefault="00C318F4" w:rsidP="00C318F4">
            <w:pPr>
              <w:pStyle w:val="TableBullet"/>
              <w:numPr>
                <w:ilvl w:val="0"/>
                <w:numId w:val="0"/>
              </w:numPr>
              <w:spacing w:before="45" w:after="45"/>
              <w:ind w:left="57" w:right="108"/>
              <w:rPr>
                <w:rFonts w:ascii="Arial (Body)" w:hAnsi="Arial (Body)"/>
                <w:bCs/>
              </w:rPr>
            </w:pPr>
            <w:r w:rsidRPr="00C318F4">
              <w:rPr>
                <w:rFonts w:ascii="Arial (Body)" w:hAnsi="Arial (Body)"/>
                <w:bCs/>
              </w:rPr>
              <w:t xml:space="preserve">Depreciation </w:t>
            </w:r>
            <m:oMath>
              <m:r>
                <w:rPr>
                  <w:rFonts w:ascii="Cambria Math" w:hAnsi="Cambria Math"/>
                </w:rPr>
                <m:t>δ</m:t>
              </m:r>
              <m:r>
                <m:rPr>
                  <m:sty m:val="p"/>
                </m:rP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Q</m:t>
                  </m:r>
                </m:sub>
              </m:sSub>
            </m:oMath>
          </w:p>
        </w:tc>
        <w:tc>
          <w:tcPr>
            <w:tcW w:w="1193" w:type="pct"/>
            <w:tcBorders>
              <w:top w:val="nil"/>
              <w:bottom w:val="nil"/>
            </w:tcBorders>
            <w:shd w:val="clear" w:color="auto" w:fill="auto"/>
          </w:tcPr>
          <w:p w14:paraId="4D938AA7" w14:textId="77777777" w:rsidR="00C318F4" w:rsidRPr="00C318F4" w:rsidRDefault="00C318F4" w:rsidP="00C318F4">
            <w:pPr>
              <w:pStyle w:val="TableBodyText"/>
              <w:spacing w:before="45" w:after="45"/>
              <w:ind w:left="57" w:right="108"/>
              <w:rPr>
                <w:rFonts w:ascii="Arial (Body)" w:hAnsi="Arial (Body)"/>
                <w:color w:val="000000"/>
              </w:rPr>
            </w:pPr>
            <w:r w:rsidRPr="00C318F4">
              <w:rPr>
                <w:rFonts w:ascii="Arial (Body)" w:hAnsi="Arial (Body)"/>
                <w:color w:val="000000"/>
              </w:rPr>
              <w:t>4.62</w:t>
            </w:r>
          </w:p>
        </w:tc>
        <w:tc>
          <w:tcPr>
            <w:tcW w:w="1193" w:type="pct"/>
            <w:tcBorders>
              <w:top w:val="nil"/>
              <w:bottom w:val="nil"/>
            </w:tcBorders>
            <w:shd w:val="clear" w:color="auto" w:fill="auto"/>
          </w:tcPr>
          <w:p w14:paraId="303B188A" w14:textId="77777777" w:rsidR="00C318F4" w:rsidRPr="00C318F4" w:rsidRDefault="00C318F4" w:rsidP="00C318F4">
            <w:pPr>
              <w:pStyle w:val="TableBodyText"/>
              <w:spacing w:before="45" w:after="45"/>
              <w:ind w:left="57" w:right="108"/>
              <w:rPr>
                <w:rFonts w:ascii="Arial (Body)" w:hAnsi="Arial (Body)"/>
                <w:color w:val="000000"/>
              </w:rPr>
            </w:pPr>
            <w:r w:rsidRPr="00C318F4">
              <w:rPr>
                <w:rFonts w:ascii="Arial (Body)" w:hAnsi="Arial (Body)"/>
                <w:color w:val="000000"/>
              </w:rPr>
              <w:t>4.34</w:t>
            </w:r>
          </w:p>
        </w:tc>
        <w:tc>
          <w:tcPr>
            <w:tcW w:w="1194" w:type="pct"/>
            <w:tcBorders>
              <w:top w:val="nil"/>
              <w:bottom w:val="nil"/>
            </w:tcBorders>
            <w:shd w:val="clear" w:color="auto" w:fill="auto"/>
          </w:tcPr>
          <w:p w14:paraId="662920E0" w14:textId="77777777" w:rsidR="00C318F4" w:rsidRPr="00C318F4" w:rsidRDefault="00C318F4" w:rsidP="00C318F4">
            <w:pPr>
              <w:pStyle w:val="TableBodyText"/>
              <w:spacing w:before="45" w:after="45"/>
              <w:ind w:left="57" w:right="108"/>
              <w:rPr>
                <w:rFonts w:ascii="Arial (Body)" w:hAnsi="Arial (Body)"/>
                <w:color w:val="000000"/>
              </w:rPr>
            </w:pPr>
            <w:r w:rsidRPr="00C318F4">
              <w:rPr>
                <w:rFonts w:ascii="Arial (Body)" w:hAnsi="Arial (Body)"/>
                <w:color w:val="000000"/>
              </w:rPr>
              <w:noBreakHyphen/>
              <w:t>0.28</w:t>
            </w:r>
          </w:p>
        </w:tc>
      </w:tr>
      <w:tr w:rsidR="00C318F4" w:rsidRPr="00C318F4" w14:paraId="4B8E1776" w14:textId="77777777" w:rsidTr="00C318F4">
        <w:tc>
          <w:tcPr>
            <w:tcW w:w="1420" w:type="pct"/>
            <w:tcBorders>
              <w:bottom w:val="nil"/>
            </w:tcBorders>
            <w:shd w:val="clear" w:color="auto" w:fill="F2F2F2"/>
          </w:tcPr>
          <w:p w14:paraId="5413F3C0" w14:textId="4909CDD7" w:rsidR="00C318F4" w:rsidRPr="00C318F4" w:rsidRDefault="00C318F4" w:rsidP="00C318F4">
            <w:pPr>
              <w:pStyle w:val="TableBullet"/>
              <w:numPr>
                <w:ilvl w:val="0"/>
                <w:numId w:val="0"/>
              </w:numPr>
              <w:spacing w:before="45" w:after="45"/>
              <w:ind w:left="57" w:right="108"/>
              <w:rPr>
                <w:rFonts w:ascii="Arial (Body)" w:hAnsi="Arial (Body)"/>
                <w:bCs/>
              </w:rPr>
            </w:pPr>
            <w:r w:rsidRPr="00C318F4">
              <w:rPr>
                <w:rFonts w:ascii="Arial (Body)" w:hAnsi="Arial (Body)"/>
                <w:bCs/>
              </w:rPr>
              <w:t xml:space="preserve">Market power </w:t>
            </w:r>
            <m:oMath>
              <m:r>
                <w:rPr>
                  <w:rFonts w:ascii="Cambria Math" w:hAnsi="Cambria Math"/>
                </w:rPr>
                <m:t>γ</m:t>
              </m:r>
            </m:oMath>
          </w:p>
        </w:tc>
        <w:tc>
          <w:tcPr>
            <w:tcW w:w="1193" w:type="pct"/>
            <w:tcBorders>
              <w:bottom w:val="nil"/>
            </w:tcBorders>
            <w:shd w:val="clear" w:color="auto" w:fill="F2F2F2"/>
          </w:tcPr>
          <w:p w14:paraId="1C7AFF51" w14:textId="77777777" w:rsidR="00C318F4" w:rsidRPr="00C318F4" w:rsidRDefault="00C318F4" w:rsidP="00C318F4">
            <w:pPr>
              <w:pStyle w:val="TableBodyText"/>
              <w:spacing w:before="45" w:after="45"/>
              <w:ind w:left="57" w:right="108"/>
              <w:rPr>
                <w:rFonts w:ascii="Arial (Body)" w:hAnsi="Arial (Body)"/>
                <w:color w:val="000000"/>
              </w:rPr>
            </w:pPr>
            <w:r w:rsidRPr="00C318F4">
              <w:rPr>
                <w:rFonts w:ascii="Arial (Body)" w:hAnsi="Arial (Body)"/>
                <w:color w:val="000000"/>
              </w:rPr>
              <w:t>3.17</w:t>
            </w:r>
          </w:p>
        </w:tc>
        <w:tc>
          <w:tcPr>
            <w:tcW w:w="1193" w:type="pct"/>
            <w:tcBorders>
              <w:bottom w:val="nil"/>
            </w:tcBorders>
            <w:shd w:val="clear" w:color="auto" w:fill="F2F2F2"/>
          </w:tcPr>
          <w:p w14:paraId="35A195DA" w14:textId="77777777" w:rsidR="00C318F4" w:rsidRPr="00C318F4" w:rsidRDefault="00C318F4" w:rsidP="00C318F4">
            <w:pPr>
              <w:pStyle w:val="TableBodyText"/>
              <w:spacing w:before="45" w:after="45"/>
              <w:ind w:left="57" w:right="108"/>
              <w:rPr>
                <w:rFonts w:ascii="Arial (Body)" w:hAnsi="Arial (Body)"/>
                <w:color w:val="000000"/>
              </w:rPr>
            </w:pPr>
            <w:r w:rsidRPr="00C318F4">
              <w:rPr>
                <w:rFonts w:ascii="Arial (Body)" w:hAnsi="Arial (Body)"/>
                <w:color w:val="000000"/>
              </w:rPr>
              <w:t>3.21</w:t>
            </w:r>
          </w:p>
        </w:tc>
        <w:tc>
          <w:tcPr>
            <w:tcW w:w="1194" w:type="pct"/>
            <w:tcBorders>
              <w:bottom w:val="nil"/>
            </w:tcBorders>
            <w:shd w:val="clear" w:color="auto" w:fill="F2F2F2"/>
          </w:tcPr>
          <w:p w14:paraId="12FE945B" w14:textId="77777777" w:rsidR="00C318F4" w:rsidRPr="00C318F4" w:rsidRDefault="00C318F4" w:rsidP="00C318F4">
            <w:pPr>
              <w:pStyle w:val="TableBodyText"/>
              <w:spacing w:before="45" w:after="45"/>
              <w:ind w:left="57" w:right="108"/>
              <w:rPr>
                <w:rFonts w:ascii="Arial (Body)" w:hAnsi="Arial (Body)"/>
                <w:color w:val="000000"/>
              </w:rPr>
            </w:pPr>
            <w:r w:rsidRPr="00C318F4">
              <w:rPr>
                <w:rFonts w:ascii="Arial (Body)" w:hAnsi="Arial (Body)"/>
                <w:color w:val="000000"/>
              </w:rPr>
              <w:t>0.04</w:t>
            </w:r>
          </w:p>
        </w:tc>
      </w:tr>
      <w:tr w:rsidR="00C318F4" w:rsidRPr="00C318F4" w14:paraId="65246AAC" w14:textId="77777777" w:rsidTr="00C318F4">
        <w:tc>
          <w:tcPr>
            <w:tcW w:w="1420" w:type="pct"/>
            <w:tcBorders>
              <w:top w:val="nil"/>
            </w:tcBorders>
            <w:shd w:val="clear" w:color="auto" w:fill="auto"/>
          </w:tcPr>
          <w:p w14:paraId="2526F0BF" w14:textId="16F5C957" w:rsidR="00C318F4" w:rsidRPr="00C318F4" w:rsidRDefault="00C318F4" w:rsidP="00C318F4">
            <w:pPr>
              <w:pStyle w:val="TableBullet"/>
              <w:numPr>
                <w:ilvl w:val="0"/>
                <w:numId w:val="0"/>
              </w:numPr>
              <w:spacing w:before="45" w:after="45"/>
              <w:ind w:left="57" w:right="108"/>
              <w:rPr>
                <w:rFonts w:ascii="Arial (Body)" w:hAnsi="Arial (Body)"/>
                <w:bCs/>
              </w:rPr>
            </w:pPr>
            <w:r w:rsidRPr="00C318F4">
              <w:rPr>
                <w:rFonts w:ascii="Arial (Body)" w:hAnsi="Arial (Body)"/>
                <w:bCs/>
              </w:rPr>
              <w:t xml:space="preserve">Risk premium </w:t>
            </w:r>
            <m:oMath>
              <m:sSup>
                <m:sSupPr>
                  <m:ctrlPr>
                    <w:rPr>
                      <w:rFonts w:ascii="Cambria Math" w:hAnsi="Cambria Math"/>
                      <w:bCs/>
                    </w:rPr>
                  </m:ctrlPr>
                </m:sSupPr>
                <m:e>
                  <m:r>
                    <w:rPr>
                      <w:rFonts w:ascii="Cambria Math" w:hAnsi="Cambria Math"/>
                    </w:rPr>
                    <m:t>r</m:t>
                  </m:r>
                </m:e>
                <m:sup>
                  <m:r>
                    <m:rPr>
                      <m:sty m:val="p"/>
                    </m:rPr>
                    <w:rPr>
                      <w:rFonts w:ascii="Cambria Math" w:hAnsi="Cambria Math"/>
                    </w:rPr>
                    <m:t>*</m:t>
                  </m:r>
                </m:sup>
              </m:sSup>
              <m:r>
                <m:rPr>
                  <m:sty m:val="p"/>
                </m:rPr>
                <w:rPr>
                  <w:rFonts w:ascii="Cambria Math" w:hAnsi="Cambria Math"/>
                </w:rPr>
                <m:t>-</m:t>
              </m:r>
              <m:sSub>
                <m:sSubPr>
                  <m:ctrlPr>
                    <w:rPr>
                      <w:rFonts w:ascii="Cambria Math" w:hAnsi="Cambria Math"/>
                      <w:bCs/>
                    </w:rPr>
                  </m:ctrlPr>
                </m:sSubPr>
                <m:e>
                  <m:r>
                    <w:rPr>
                      <w:rFonts w:ascii="Cambria Math" w:hAnsi="Cambria Math"/>
                    </w:rPr>
                    <m:t>r</m:t>
                  </m:r>
                </m:e>
                <m:sub>
                  <m:r>
                    <w:rPr>
                      <w:rFonts w:ascii="Cambria Math" w:hAnsi="Cambria Math"/>
                    </w:rPr>
                    <m:t>f</m:t>
                  </m:r>
                </m:sub>
              </m:sSub>
            </m:oMath>
          </w:p>
        </w:tc>
        <w:tc>
          <w:tcPr>
            <w:tcW w:w="1193" w:type="pct"/>
            <w:tcBorders>
              <w:top w:val="nil"/>
            </w:tcBorders>
            <w:shd w:val="clear" w:color="auto" w:fill="auto"/>
          </w:tcPr>
          <w:p w14:paraId="61EE91EC" w14:textId="77777777" w:rsidR="00C318F4" w:rsidRPr="00C318F4" w:rsidRDefault="00C318F4" w:rsidP="00C318F4">
            <w:pPr>
              <w:pStyle w:val="TableBodyText"/>
              <w:spacing w:before="45" w:after="45"/>
              <w:ind w:left="57" w:right="108"/>
              <w:rPr>
                <w:rFonts w:ascii="Arial (Body)" w:hAnsi="Arial (Body)"/>
                <w:color w:val="000000"/>
              </w:rPr>
            </w:pPr>
            <w:r w:rsidRPr="00C318F4">
              <w:rPr>
                <w:rFonts w:ascii="Arial (Body)" w:hAnsi="Arial (Body)"/>
                <w:color w:val="000000"/>
              </w:rPr>
              <w:t>4.26</w:t>
            </w:r>
          </w:p>
        </w:tc>
        <w:tc>
          <w:tcPr>
            <w:tcW w:w="1193" w:type="pct"/>
            <w:tcBorders>
              <w:top w:val="nil"/>
            </w:tcBorders>
            <w:shd w:val="clear" w:color="auto" w:fill="auto"/>
          </w:tcPr>
          <w:p w14:paraId="1860EFF7" w14:textId="77777777" w:rsidR="00C318F4" w:rsidRPr="00C318F4" w:rsidRDefault="00C318F4" w:rsidP="00C318F4">
            <w:pPr>
              <w:pStyle w:val="TableBodyText"/>
              <w:spacing w:before="45" w:after="45"/>
              <w:ind w:left="57" w:right="108"/>
              <w:rPr>
                <w:rFonts w:ascii="Arial (Body)" w:hAnsi="Arial (Body)"/>
                <w:color w:val="000000"/>
              </w:rPr>
            </w:pPr>
            <w:r w:rsidRPr="00C318F4">
              <w:rPr>
                <w:rFonts w:ascii="Arial (Body)" w:hAnsi="Arial (Body)"/>
                <w:color w:val="000000"/>
              </w:rPr>
              <w:t>6.58</w:t>
            </w:r>
          </w:p>
        </w:tc>
        <w:tc>
          <w:tcPr>
            <w:tcW w:w="1194" w:type="pct"/>
            <w:tcBorders>
              <w:top w:val="nil"/>
            </w:tcBorders>
            <w:shd w:val="clear" w:color="auto" w:fill="auto"/>
          </w:tcPr>
          <w:p w14:paraId="59E2996A" w14:textId="77777777" w:rsidR="00C318F4" w:rsidRPr="00C318F4" w:rsidRDefault="00C318F4" w:rsidP="00C318F4">
            <w:pPr>
              <w:pStyle w:val="TableBodyText"/>
              <w:spacing w:before="45" w:after="45"/>
              <w:ind w:left="57" w:right="108"/>
              <w:rPr>
                <w:rFonts w:ascii="Arial (Body)" w:hAnsi="Arial (Body)"/>
                <w:color w:val="000000"/>
              </w:rPr>
            </w:pPr>
            <w:r w:rsidRPr="00C318F4">
              <w:rPr>
                <w:rFonts w:ascii="Arial (Body)" w:hAnsi="Arial (Body)"/>
                <w:color w:val="000000"/>
              </w:rPr>
              <w:t>2.32</w:t>
            </w:r>
          </w:p>
        </w:tc>
      </w:tr>
    </w:tbl>
    <w:p w14:paraId="73CC886D" w14:textId="44D80A72" w:rsidR="001B6BD3" w:rsidRDefault="00C318F4" w:rsidP="00C318F4">
      <w:pPr>
        <w:pStyle w:val="Source"/>
      </w:pPr>
      <w:r w:rsidRPr="00696447">
        <w:t xml:space="preserve">Source: </w:t>
      </w:r>
      <w:r>
        <w:t>Commission estimates based on ABS, RBA and Market Index data.</w:t>
      </w:r>
    </w:p>
    <w:p w14:paraId="762DBD39" w14:textId="23B8A874" w:rsidR="006D2565" w:rsidRPr="001E59AC" w:rsidRDefault="006D2565" w:rsidP="006D2565">
      <w:pPr>
        <w:pStyle w:val="BodyText"/>
        <w:rPr>
          <w:spacing w:val="-4"/>
        </w:rPr>
      </w:pPr>
      <w:r w:rsidRPr="001E59AC">
        <w:rPr>
          <w:spacing w:val="-4"/>
        </w:rPr>
        <w:t xml:space="preserve">As risk premiums rise, firm managers </w:t>
      </w:r>
      <w:r w:rsidR="00273990" w:rsidRPr="001E59AC">
        <w:rPr>
          <w:spacing w:val="-4"/>
        </w:rPr>
        <w:t>–</w:t>
      </w:r>
      <w:r w:rsidRPr="001E59AC">
        <w:rPr>
          <w:spacing w:val="-4"/>
        </w:rPr>
        <w:t xml:space="preserve"> acting on behalf of their shareholders</w:t>
      </w:r>
      <w:r w:rsidR="00273990" w:rsidRPr="001E59AC">
        <w:rPr>
          <w:spacing w:val="-4"/>
        </w:rPr>
        <w:t xml:space="preserve"> – </w:t>
      </w:r>
      <w:r w:rsidRPr="001E59AC">
        <w:rPr>
          <w:spacing w:val="-4"/>
        </w:rPr>
        <w:t>w</w:t>
      </w:r>
      <w:r w:rsidR="00817BD5" w:rsidRPr="001E59AC">
        <w:rPr>
          <w:spacing w:val="-4"/>
        </w:rPr>
        <w:t>ere</w:t>
      </w:r>
      <w:r w:rsidRPr="001E59AC">
        <w:rPr>
          <w:spacing w:val="-4"/>
        </w:rPr>
        <w:t xml:space="preserve"> deterred from investing </w:t>
      </w:r>
      <w:r w:rsidR="006A19F3" w:rsidRPr="001E59AC">
        <w:rPr>
          <w:spacing w:val="-4"/>
        </w:rPr>
        <w:t xml:space="preserve">(despite cheap capital) </w:t>
      </w:r>
      <w:r w:rsidRPr="001E59AC">
        <w:rPr>
          <w:spacing w:val="-4"/>
        </w:rPr>
        <w:t xml:space="preserve">as fewer projects </w:t>
      </w:r>
      <w:r w:rsidR="006A19F3" w:rsidRPr="001E59AC">
        <w:rPr>
          <w:spacing w:val="-4"/>
        </w:rPr>
        <w:t>had</w:t>
      </w:r>
      <w:r w:rsidRPr="001E59AC">
        <w:rPr>
          <w:spacing w:val="-4"/>
        </w:rPr>
        <w:t xml:space="preserve"> a large enough return to cover the risk</w:t>
      </w:r>
      <w:r w:rsidRPr="001E59AC">
        <w:rPr>
          <w:spacing w:val="-4"/>
        </w:rPr>
        <w:noBreakHyphen/>
        <w:t>adjusted user cost of capital.</w:t>
      </w:r>
    </w:p>
    <w:p w14:paraId="53C12393" w14:textId="7A830392" w:rsidR="006D2565" w:rsidRPr="00E573E9" w:rsidRDefault="006D2565" w:rsidP="006D2565">
      <w:pPr>
        <w:pStyle w:val="BodyText"/>
        <w:rPr>
          <w:spacing w:val="-4"/>
        </w:rPr>
      </w:pPr>
      <w:r w:rsidRPr="00E573E9">
        <w:rPr>
          <w:spacing w:val="-4"/>
        </w:rPr>
        <w:t>In Australia, as in the United States, a number of risk</w:t>
      </w:r>
      <w:r w:rsidR="00643EDD" w:rsidRPr="00E573E9">
        <w:rPr>
          <w:spacing w:val="-4"/>
        </w:rPr>
        <w:t>s</w:t>
      </w:r>
      <w:r w:rsidRPr="00E573E9">
        <w:rPr>
          <w:spacing w:val="-4"/>
        </w:rPr>
        <w:t xml:space="preserve"> increased the risk premium required by investors </w:t>
      </w:r>
      <w:r w:rsidR="00643EDD" w:rsidRPr="00E573E9">
        <w:rPr>
          <w:spacing w:val="-4"/>
        </w:rPr>
        <w:t xml:space="preserve">in </w:t>
      </w:r>
      <w:r w:rsidR="003252B7" w:rsidRPr="00E573E9">
        <w:rPr>
          <w:spacing w:val="-4"/>
        </w:rPr>
        <w:t>the period between</w:t>
      </w:r>
      <w:r w:rsidRPr="00E573E9">
        <w:rPr>
          <w:spacing w:val="-4"/>
        </w:rPr>
        <w:t xml:space="preserve"> the GFC</w:t>
      </w:r>
      <w:r w:rsidR="00053C04" w:rsidRPr="00E573E9">
        <w:rPr>
          <w:spacing w:val="-4"/>
        </w:rPr>
        <w:t xml:space="preserve"> and the COVID-19 pandemic</w:t>
      </w:r>
      <w:r w:rsidRPr="00E573E9">
        <w:rPr>
          <w:spacing w:val="-4"/>
        </w:rPr>
        <w:t xml:space="preserve">, including technological disruptions, geopolitical uncertainty, and domestic political uncertainty </w:t>
      </w:r>
      <w:r w:rsidRPr="00E573E9">
        <w:rPr>
          <w:spacing w:val="-4"/>
          <w:szCs w:val="24"/>
        </w:rPr>
        <w:t>(The Australian Government and Heads of Treasury 2017, pp. 18–19)</w:t>
      </w:r>
      <w:r w:rsidRPr="00E573E9">
        <w:rPr>
          <w:spacing w:val="-4"/>
        </w:rPr>
        <w:t xml:space="preserve">. </w:t>
      </w:r>
      <w:r w:rsidR="00705933" w:rsidRPr="00E573E9">
        <w:rPr>
          <w:spacing w:val="-4"/>
        </w:rPr>
        <w:t>These are illustrated</w:t>
      </w:r>
      <w:r w:rsidR="00CC32BE" w:rsidRPr="00E573E9">
        <w:rPr>
          <w:spacing w:val="-4"/>
        </w:rPr>
        <w:t xml:space="preserve"> in Figure 7. </w:t>
      </w:r>
      <w:r w:rsidRPr="00E573E9">
        <w:rPr>
          <w:spacing w:val="-4"/>
        </w:rPr>
        <w:t xml:space="preserve">There </w:t>
      </w:r>
      <w:r w:rsidR="00CC32BE" w:rsidRPr="00E573E9">
        <w:rPr>
          <w:spacing w:val="-4"/>
        </w:rPr>
        <w:t>wa</w:t>
      </w:r>
      <w:r w:rsidRPr="00E573E9">
        <w:rPr>
          <w:spacing w:val="-4"/>
        </w:rPr>
        <w:t xml:space="preserve">s a growing demand among investors for safety and certainty following the global financial crisis, affecting firms’ ability to take on risky investments </w:t>
      </w:r>
      <w:r w:rsidRPr="00E573E9">
        <w:rPr>
          <w:spacing w:val="-4"/>
          <w:szCs w:val="24"/>
        </w:rPr>
        <w:t>(Ellis 2021; Jones 2021)</w:t>
      </w:r>
      <w:r w:rsidRPr="00E573E9">
        <w:rPr>
          <w:spacing w:val="-4"/>
        </w:rPr>
        <w:t>.</w:t>
      </w:r>
    </w:p>
    <w:p w14:paraId="4A26279E" w14:textId="3B04E90F" w:rsidR="00C318F4" w:rsidRPr="00146382" w:rsidRDefault="00C318F4" w:rsidP="00ED33D7">
      <w:pPr>
        <w:pStyle w:val="FigureTableHeading"/>
      </w:pPr>
      <w:r>
        <w:t xml:space="preserve">Figure </w:t>
      </w:r>
      <w:r w:rsidR="00226B24">
        <w:rPr>
          <w:noProof/>
        </w:rPr>
        <w:t>7</w:t>
      </w:r>
      <w:r>
        <w:rPr>
          <w:noProof/>
        </w:rPr>
        <w:t xml:space="preserve"> </w:t>
      </w:r>
      <w:r>
        <w:t xml:space="preserve">– </w:t>
      </w:r>
      <w:r w:rsidR="00771C9F">
        <w:t>Macroeconomic events</w:t>
      </w:r>
    </w:p>
    <w:p w14:paraId="5DD16F17" w14:textId="47EF6D50" w:rsidR="00C318F4" w:rsidRPr="005550A0" w:rsidRDefault="00204D6A" w:rsidP="00ED33D7">
      <w:pPr>
        <w:pStyle w:val="BodyText"/>
      </w:pPr>
      <w:r w:rsidRPr="00204D6A">
        <w:rPr>
          <w:noProof/>
        </w:rPr>
        <w:drawing>
          <wp:inline distT="0" distB="0" distL="0" distR="0" wp14:anchorId="27358197" wp14:editId="1C439F96">
            <wp:extent cx="6120000" cy="1884146"/>
            <wp:effectExtent l="0" t="0" r="0" b="0"/>
            <wp:docPr id="21628642" name="Picture 15" descr="Figure 7 shows the key macroeconomic events that have occurred between 1997 and 2020. &#10;&#10;It shows the Asian financial crisis (between 1997 and 1999), the dot-com bubble (between 1999 and 2001), the investment phase of the mining boom (between 2004 and 2012), the global financial crisis (between 2007 and 2009), the Euro debt crisis (between 2009 and 2013) and the production phase of the mining boom (between 2011 and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8642" name="Picture 15" descr="Figure 7 shows the key macroeconomic events that have occurred between 1997 and 2020. &#10;&#10;It shows the Asian financial crisis (between 1997 and 1999), the dot-com bubble (between 1999 and 2001), the investment phase of the mining boom (between 2004 and 2012), the global financial crisis (between 2007 and 2009), the Euro debt crisis (between 2009 and 2013) and the production phase of the mining boom (between 2011 and 2015). "/>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84" r="1533"/>
                    <a:stretch/>
                  </pic:blipFill>
                  <pic:spPr bwMode="auto">
                    <a:xfrm>
                      <a:off x="0" y="0"/>
                      <a:ext cx="6120000" cy="1884146"/>
                    </a:xfrm>
                    <a:prstGeom prst="rect">
                      <a:avLst/>
                    </a:prstGeom>
                    <a:noFill/>
                    <a:ln>
                      <a:noFill/>
                    </a:ln>
                    <a:extLst>
                      <a:ext uri="{53640926-AAD7-44D8-BBD7-CCE9431645EC}">
                        <a14:shadowObscured xmlns:a14="http://schemas.microsoft.com/office/drawing/2010/main"/>
                      </a:ext>
                    </a:extLst>
                  </pic:spPr>
                </pic:pic>
              </a:graphicData>
            </a:graphic>
          </wp:inline>
        </w:drawing>
      </w:r>
    </w:p>
    <w:p w14:paraId="469FB8AC" w14:textId="126619F6" w:rsidR="00C318F4" w:rsidRDefault="00C318F4" w:rsidP="00ED33D7">
      <w:pPr>
        <w:pStyle w:val="Note"/>
        <w:keepLines/>
      </w:pPr>
      <w:r w:rsidRPr="00180E66">
        <w:rPr>
          <w:b/>
          <w:bCs/>
        </w:rPr>
        <w:t>a.</w:t>
      </w:r>
      <w:r>
        <w:t xml:space="preserve"> </w:t>
      </w:r>
      <w:r w:rsidR="00771C9F">
        <w:t xml:space="preserve">Asian Financial Crisis </w:t>
      </w:r>
      <w:r w:rsidR="00771C9F" w:rsidRPr="00771C9F">
        <w:rPr>
          <w:b/>
        </w:rPr>
        <w:t>b</w:t>
      </w:r>
      <w:r w:rsidR="00771C9F">
        <w:rPr>
          <w:b/>
        </w:rPr>
        <w:t>.</w:t>
      </w:r>
      <w:r w:rsidR="00771C9F">
        <w:t xml:space="preserve"> Global Financial Crisis. </w:t>
      </w:r>
    </w:p>
    <w:p w14:paraId="58D6B5E6" w14:textId="6FB24D8B" w:rsidR="006D2565" w:rsidRDefault="006D2565" w:rsidP="006D2565">
      <w:pPr>
        <w:pStyle w:val="BodyText"/>
      </w:pPr>
      <w:r>
        <w:t>The evolution of the market risk premium as a component of the wedge between the return on capital and the risk</w:t>
      </w:r>
      <w:r>
        <w:noBreakHyphen/>
        <w:t>free rate is best illustrated using a five</w:t>
      </w:r>
      <w:r>
        <w:noBreakHyphen/>
        <w:t>year moving average (figure </w:t>
      </w:r>
      <w:r w:rsidR="00DF5DA4">
        <w:t>8</w:t>
      </w:r>
      <w:r>
        <w:t xml:space="preserve">). This approach is appealing as it allows for a visualisation of how the market risk premium </w:t>
      </w:r>
      <w:r w:rsidR="00273990">
        <w:t>–</w:t>
      </w:r>
      <w:r>
        <w:t xml:space="preserve"> and its underlying components </w:t>
      </w:r>
      <w:r w:rsidR="00273990">
        <w:t>–</w:t>
      </w:r>
      <w:r>
        <w:t xml:space="preserve"> have evolved over time. (It does, however, do violence to the model, which assumes that the economy is on a steady state growth path.) The evolution of the estimated market risk premium seems to broadly align with world events</w:t>
      </w:r>
      <w:r w:rsidR="00BB7D11">
        <w:t xml:space="preserve"> as outlined in Figure 7</w:t>
      </w:r>
      <w:r>
        <w:t>. It seems likely that over the period under investigation (1997 to 2020), the market risk</w:t>
      </w:r>
      <w:r>
        <w:noBreakHyphen/>
        <w:t>premium was higher shortly after the Asian Financial Crisis in 1997, then decreased in the lead</w:t>
      </w:r>
      <w:r>
        <w:noBreakHyphen/>
        <w:t>up to the Global Financial Crisis in 2008 before increasing significantly in 2008. The subsequent European debt crisis is likely to have caused the market risk premium to remain high.</w:t>
      </w:r>
    </w:p>
    <w:p w14:paraId="0B9D8A04" w14:textId="77D65427" w:rsidR="005A287C" w:rsidRPr="00146382" w:rsidRDefault="005A287C" w:rsidP="00ED33D7">
      <w:pPr>
        <w:pStyle w:val="FigureTableHeading"/>
      </w:pPr>
      <w:r>
        <w:lastRenderedPageBreak/>
        <w:t xml:space="preserve">Figure </w:t>
      </w:r>
      <w:r w:rsidR="00226B24">
        <w:rPr>
          <w:noProof/>
        </w:rPr>
        <w:t>8</w:t>
      </w:r>
      <w:r>
        <w:rPr>
          <w:noProof/>
        </w:rPr>
        <w:t xml:space="preserve"> </w:t>
      </w:r>
      <w:r>
        <w:t>– Components of investment to risk</w:t>
      </w:r>
      <w:r>
        <w:noBreakHyphen/>
        <w:t>free rate spread</w:t>
      </w:r>
    </w:p>
    <w:p w14:paraId="35C47021" w14:textId="139B8B88" w:rsidR="005A287C" w:rsidRDefault="005A287C" w:rsidP="00ED33D7">
      <w:pPr>
        <w:pStyle w:val="FigureTableSubheading"/>
        <w:keepLines/>
      </w:pPr>
      <w:r>
        <w:t>Five year moving average</w:t>
      </w:r>
    </w:p>
    <w:p w14:paraId="4C0E7010" w14:textId="35B9F1D1" w:rsidR="005A287C" w:rsidRPr="005550A0" w:rsidRDefault="0000277C" w:rsidP="00ED33D7">
      <w:pPr>
        <w:pStyle w:val="BodyText"/>
      </w:pPr>
      <w:r w:rsidRPr="0000277C">
        <w:rPr>
          <w:noProof/>
        </w:rPr>
        <w:drawing>
          <wp:inline distT="0" distB="0" distL="0" distR="0" wp14:anchorId="3272D693" wp14:editId="2A4BBF13">
            <wp:extent cx="6120765" cy="2880360"/>
            <wp:effectExtent l="0" t="0" r="0" b="0"/>
            <wp:docPr id="1107575236" name="Picture 16" descr="Figure 8 breaks down the spread between the riskfree rate and the return to capital into three components – depreciation and capital growth, a riskpremium and market power – using a 5year moving average. &#10;&#10;The figure shows that the risk premium shrunk in the lead up to the GFC, but increased after the GFC to be broadly consistent with its level in 1999. The contribution of market power has remained relatively stagnant over the ti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75236" name="Picture 16" descr="Figure 8 breaks down the spread between the riskfree rate and the return to capital into three components – depreciation and capital growth, a riskpremium and market power – using a 5year moving average. &#10;&#10;The figure shows that the risk premium shrunk in the lead up to the GFC, but increased after the GFC to be broadly consistent with its level in 1999. The contribution of market power has remained relatively stagnant over the time period.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2880360"/>
                    </a:xfrm>
                    <a:prstGeom prst="rect">
                      <a:avLst/>
                    </a:prstGeom>
                    <a:noFill/>
                    <a:ln>
                      <a:noFill/>
                    </a:ln>
                  </pic:spPr>
                </pic:pic>
              </a:graphicData>
            </a:graphic>
          </wp:inline>
        </w:drawing>
      </w:r>
    </w:p>
    <w:p w14:paraId="400D1EE8" w14:textId="750A37AE" w:rsidR="006D2565" w:rsidRDefault="005A287C" w:rsidP="005A287C">
      <w:pPr>
        <w:pStyle w:val="Source"/>
      </w:pPr>
      <w:r w:rsidRPr="00696447">
        <w:t xml:space="preserve">Source: </w:t>
      </w:r>
      <w:r w:rsidRPr="005B1C6B">
        <w:t xml:space="preserve">Commission estimates based on ABS (Australian National Accounts: National Income, Expenditure and Product, September 2021, Cat. no. 5206, </w:t>
      </w:r>
      <w:r>
        <w:t>t</w:t>
      </w:r>
      <w:r w:rsidRPr="005B1C6B">
        <w:t>able</w:t>
      </w:r>
      <w:r>
        <w:t> </w:t>
      </w:r>
      <w:r w:rsidRPr="005B1C6B">
        <w:t xml:space="preserve">2, 4, 6 and 58), ABS (Australian System of National Accounts, June 2021, Cat. no. 5204, </w:t>
      </w:r>
      <w:r>
        <w:t>t</w:t>
      </w:r>
      <w:r w:rsidRPr="005B1C6B">
        <w:t>able</w:t>
      </w:r>
      <w:r>
        <w:t> </w:t>
      </w:r>
      <w:r w:rsidRPr="005B1C6B">
        <w:t xml:space="preserve">1, 6, 56 and 58), ABS (National, state and territory population, March 2021, Cat. no. 3101, </w:t>
      </w:r>
      <w:r>
        <w:t>t</w:t>
      </w:r>
      <w:r w:rsidRPr="005B1C6B">
        <w:t>able</w:t>
      </w:r>
      <w:r>
        <w:t> </w:t>
      </w:r>
      <w:r w:rsidRPr="005B1C6B">
        <w:t xml:space="preserve">1), ABS (Estimates of Industry Multifactor Productivity, Australia, 30 November 2020, Cat. no. 5260.0.55.002, </w:t>
      </w:r>
      <w:r>
        <w:t>t</w:t>
      </w:r>
      <w:r w:rsidRPr="005B1C6B">
        <w:t>able</w:t>
      </w:r>
      <w:r>
        <w:t> </w:t>
      </w:r>
      <w:r w:rsidRPr="005B1C6B">
        <w:t>6), RBA (Capital Market Yields – Government Bonds, 2021), RBA (Inflation expectations, 2021) and Market Index (2021).</w:t>
      </w:r>
    </w:p>
    <w:p w14:paraId="73324435" w14:textId="2A817910" w:rsidR="006D2565" w:rsidRDefault="006D2565" w:rsidP="008369F9">
      <w:pPr>
        <w:pStyle w:val="Heading1-nobackground"/>
        <w:numPr>
          <w:ilvl w:val="0"/>
          <w:numId w:val="15"/>
        </w:numPr>
        <w:ind w:left="720"/>
      </w:pPr>
      <w:bookmarkStart w:id="13" w:name="_Toc158878730"/>
      <w:bookmarkStart w:id="14" w:name="_Toc161228811"/>
      <w:r>
        <w:t>Discussion of the results</w:t>
      </w:r>
      <w:bookmarkEnd w:id="13"/>
      <w:bookmarkEnd w:id="14"/>
    </w:p>
    <w:p w14:paraId="6A6F8C81" w14:textId="03AAC060" w:rsidR="006D2565" w:rsidRDefault="005C6710" w:rsidP="008369F9">
      <w:pPr>
        <w:pStyle w:val="Heading2"/>
        <w:numPr>
          <w:ilvl w:val="1"/>
          <w:numId w:val="15"/>
        </w:numPr>
        <w:ind w:left="720"/>
      </w:pPr>
      <w:bookmarkStart w:id="15" w:name="_Toc161228812"/>
      <w:r>
        <w:t>Risk</w:t>
      </w:r>
      <w:bookmarkEnd w:id="15"/>
    </w:p>
    <w:p w14:paraId="063E1484" w14:textId="77777777" w:rsidR="005C6710" w:rsidRDefault="005C6710" w:rsidP="005C6710">
      <w:pPr>
        <w:pStyle w:val="Heading3"/>
      </w:pPr>
      <w:r>
        <w:t>Possible determinants of the market risk premium</w:t>
      </w:r>
    </w:p>
    <w:p w14:paraId="16A5CCEB" w14:textId="77777777" w:rsidR="005C6710" w:rsidRDefault="005C6710" w:rsidP="005C6710">
      <w:pPr>
        <w:pStyle w:val="BodyText"/>
      </w:pPr>
      <w:r>
        <w:t>While the model can identify an increase in the market risk premium, there are limits to the interpretation of that result. Changes in the market risk premium can result from either:</w:t>
      </w:r>
    </w:p>
    <w:p w14:paraId="71B3195A" w14:textId="40CFC99C" w:rsidR="005C6710" w:rsidRDefault="005768C5" w:rsidP="002E0C1E">
      <w:pPr>
        <w:pStyle w:val="ListBullet"/>
      </w:pPr>
      <w:r>
        <w:t xml:space="preserve">a change </w:t>
      </w:r>
      <w:r w:rsidR="005C6710" w:rsidRPr="002E0C1E">
        <w:t>in the probability o</w:t>
      </w:r>
      <w:r>
        <w:t>f</w:t>
      </w:r>
      <w:r w:rsidR="005C6710" w:rsidRPr="002E0C1E">
        <w:t xml:space="preserve"> macroeconomic shocks</w:t>
      </w:r>
    </w:p>
    <w:p w14:paraId="3E6D2CFC" w14:textId="7782ED42" w:rsidR="005768C5" w:rsidRPr="002E0C1E" w:rsidRDefault="005768C5" w:rsidP="002E0C1E">
      <w:pPr>
        <w:pStyle w:val="ListBullet"/>
      </w:pPr>
      <w:r>
        <w:t>a change in the size of macroeconomic shocks</w:t>
      </w:r>
    </w:p>
    <w:p w14:paraId="7EE0848F" w14:textId="44C1B16B" w:rsidR="005C6710" w:rsidRDefault="005C6710" w:rsidP="005C6710">
      <w:pPr>
        <w:pStyle w:val="ListBullet"/>
      </w:pPr>
      <w:r>
        <w:t xml:space="preserve">a change in the </w:t>
      </w:r>
      <w:r w:rsidRPr="006B68FA">
        <w:rPr>
          <w:i/>
          <w:iCs/>
        </w:rPr>
        <w:t>attitude to risk</w:t>
      </w:r>
      <w:r w:rsidR="005768C5">
        <w:t xml:space="preserve">, as </w:t>
      </w:r>
      <w:r>
        <w:t>measured by the implied coefficient of risk aversion.</w:t>
      </w:r>
    </w:p>
    <w:p w14:paraId="064A4D53" w14:textId="0DCEC69B" w:rsidR="005C6710" w:rsidRDefault="005C6710" w:rsidP="005C6710">
      <w:pPr>
        <w:pStyle w:val="BodyText"/>
      </w:pPr>
      <w:r>
        <w:t xml:space="preserve">Unfortunately these cannot be disentangled from the available data. As is clear from equation (7), </w:t>
      </w:r>
      <w:r w:rsidR="00D729A7">
        <w:t xml:space="preserve">each </w:t>
      </w:r>
      <w:r>
        <w:t>contribute</w:t>
      </w:r>
      <w:r w:rsidR="00D729A7">
        <w:t>s</w:t>
      </w:r>
      <w:r>
        <w:t xml:space="preserve"> to the market risk premium, and they are not separately identified. </w:t>
      </w:r>
    </w:p>
    <w:p w14:paraId="6B8527DD" w14:textId="67B341D3" w:rsidR="005C6710" w:rsidRDefault="005C6710" w:rsidP="005C6710">
      <w:pPr>
        <w:pStyle w:val="BodyText"/>
      </w:pPr>
      <w:r>
        <w:t xml:space="preserve">In figures 9 and 10 we illustrate what the estimated change in the market premium would imply for any one of these three factors, holding the other two constant; this provides some idea of the maximum possible change in each variable. </w:t>
      </w:r>
    </w:p>
    <w:p w14:paraId="6E574AC2" w14:textId="77EE8D29" w:rsidR="005C6710" w:rsidRDefault="005C6710" w:rsidP="005C6710">
      <w:pPr>
        <w:pStyle w:val="BodyText"/>
        <w:rPr>
          <w:spacing w:val="-2"/>
        </w:rPr>
      </w:pPr>
      <w:r w:rsidRPr="005A287C">
        <w:rPr>
          <w:spacing w:val="-2"/>
        </w:rPr>
        <w:t xml:space="preserve">We maintain the assumption of a three point disaster distribution: a negative shock of size </w:t>
      </w:r>
      <w:r w:rsidRPr="005A287C">
        <w:rPr>
          <w:i/>
          <w:iCs/>
          <w:spacing w:val="-2"/>
        </w:rPr>
        <w:t>b</w:t>
      </w:r>
      <w:r w:rsidRPr="005A287C">
        <w:rPr>
          <w:spacing w:val="-2"/>
        </w:rPr>
        <w:t xml:space="preserve"> (held fixed at 0.15) with probability </w:t>
      </w:r>
      <m:oMath>
        <m:r>
          <w:rPr>
            <w:rFonts w:ascii="Cambria Math" w:hAnsi="Cambria Math"/>
            <w:spacing w:val="-2"/>
          </w:rPr>
          <m:t>p</m:t>
        </m:r>
      </m:oMath>
      <w:r w:rsidRPr="005A287C">
        <w:rPr>
          <w:spacing w:val="-2"/>
        </w:rPr>
        <w:t xml:space="preserve">; a </w:t>
      </w:r>
      <w:r w:rsidR="00EC1808">
        <w:rPr>
          <w:spacing w:val="-2"/>
        </w:rPr>
        <w:t>posi</w:t>
      </w:r>
      <w:r w:rsidRPr="005A287C">
        <w:rPr>
          <w:spacing w:val="-2"/>
        </w:rPr>
        <w:t xml:space="preserve">tive shock of size </w:t>
      </w:r>
      <m:oMath>
        <m:sSub>
          <m:sSubPr>
            <m:ctrlPr>
              <w:rPr>
                <w:rFonts w:ascii="Cambria Math" w:hAnsi="Cambria Math"/>
                <w:i/>
                <w:spacing w:val="-2"/>
              </w:rPr>
            </m:ctrlPr>
          </m:sSubPr>
          <m:e>
            <m:r>
              <w:rPr>
                <w:rFonts w:ascii="Cambria Math" w:hAnsi="Cambria Math"/>
                <w:spacing w:val="-2"/>
              </w:rPr>
              <m:t>b</m:t>
            </m:r>
          </m:e>
          <m:sub>
            <m:r>
              <w:rPr>
                <w:rFonts w:ascii="Cambria Math" w:hAnsi="Cambria Math"/>
                <w:spacing w:val="-2"/>
              </w:rPr>
              <m:t>H</m:t>
            </m:r>
          </m:sub>
        </m:sSub>
      </m:oMath>
      <w:r w:rsidRPr="005A287C">
        <w:rPr>
          <w:spacing w:val="-2"/>
        </w:rPr>
        <w:t xml:space="preserve"> (also 0.15) with probability </w:t>
      </w:r>
      <m:oMath>
        <m:r>
          <w:rPr>
            <w:rFonts w:ascii="Cambria Math" w:hAnsi="Cambria Math"/>
            <w:spacing w:val="-2"/>
          </w:rPr>
          <m:t>p</m:t>
        </m:r>
      </m:oMath>
      <w:r w:rsidRPr="005A287C">
        <w:rPr>
          <w:spacing w:val="-2"/>
        </w:rPr>
        <w:t xml:space="preserve">; and no shock, with probability </w:t>
      </w:r>
      <w:r>
        <w:rPr>
          <w:spacing w:val="-2"/>
        </w:rPr>
        <w:br/>
      </w:r>
      <m:oMath>
        <m:r>
          <w:rPr>
            <w:rFonts w:ascii="Cambria Math" w:hAnsi="Cambria Math"/>
            <w:spacing w:val="-2"/>
          </w:rPr>
          <w:lastRenderedPageBreak/>
          <m:t>1-2p</m:t>
        </m:r>
      </m:oMath>
      <w:r w:rsidRPr="005A287C">
        <w:rPr>
          <w:spacing w:val="-2"/>
        </w:rPr>
        <w:t xml:space="preserve">. We ask what increase in </w:t>
      </w:r>
      <m:oMath>
        <m:r>
          <w:rPr>
            <w:rFonts w:ascii="Cambria Math" w:hAnsi="Cambria Math"/>
            <w:spacing w:val="-2"/>
          </w:rPr>
          <m:t>p</m:t>
        </m:r>
      </m:oMath>
      <w:r w:rsidRPr="005A287C">
        <w:rPr>
          <w:spacing w:val="-2"/>
        </w:rPr>
        <w:t xml:space="preserve"> at the time of the GFC would explain the higher post-GFC risk premium, if the size of shocks and the level of risk aversion were held constant; it is in some sense the maximum increase in </w:t>
      </w:r>
      <m:oMath>
        <m:r>
          <w:rPr>
            <w:rFonts w:ascii="Cambria Math" w:hAnsi="Cambria Math"/>
            <w:spacing w:val="-2"/>
          </w:rPr>
          <m:t>p</m:t>
        </m:r>
      </m:oMath>
      <w:r w:rsidRPr="005A287C">
        <w:rPr>
          <w:spacing w:val="-2"/>
        </w:rPr>
        <w:t xml:space="preserve">. Figure </w:t>
      </w:r>
      <w:r>
        <w:rPr>
          <w:spacing w:val="-2"/>
        </w:rPr>
        <w:t>9</w:t>
      </w:r>
      <w:r w:rsidRPr="005A287C">
        <w:rPr>
          <w:spacing w:val="-2"/>
        </w:rPr>
        <w:t xml:space="preserve"> indicates that the probability of a shock would have to increase from 4% to 7%.</w:t>
      </w:r>
    </w:p>
    <w:p w14:paraId="25DBEFE3" w14:textId="182AC246" w:rsidR="005C6710" w:rsidRPr="00146382" w:rsidRDefault="005C6710" w:rsidP="005C6710">
      <w:pPr>
        <w:pStyle w:val="FigureTableHeading"/>
      </w:pPr>
      <w:r>
        <w:t xml:space="preserve">Figure </w:t>
      </w:r>
      <w:r>
        <w:rPr>
          <w:noProof/>
        </w:rPr>
        <w:t xml:space="preserve">9 </w:t>
      </w:r>
      <w:r>
        <w:t>– If the increase in risk premium were due to higher likelihood of a shock</w:t>
      </w:r>
    </w:p>
    <w:p w14:paraId="018E913D" w14:textId="77777777" w:rsidR="005C6710" w:rsidRDefault="005C6710" w:rsidP="005C6710">
      <w:pPr>
        <w:pStyle w:val="FigureTableSubheading"/>
        <w:keepLines/>
      </w:pPr>
      <w:r>
        <w:t>Probability distribution of a shock</w:t>
      </w:r>
    </w:p>
    <w:p w14:paraId="5566865C" w14:textId="4087D22D" w:rsidR="005C6710" w:rsidRPr="005550A0" w:rsidRDefault="005F2036" w:rsidP="005C6710">
      <w:pPr>
        <w:pStyle w:val="BodyText"/>
      </w:pPr>
      <w:r w:rsidRPr="005F2036">
        <w:rPr>
          <w:noProof/>
        </w:rPr>
        <w:drawing>
          <wp:inline distT="0" distB="0" distL="0" distR="0" wp14:anchorId="537D9625" wp14:editId="4DA72AC7">
            <wp:extent cx="6120765" cy="2719070"/>
            <wp:effectExtent l="0" t="0" r="0" b="5080"/>
            <wp:docPr id="1049340040" name="Picture 17" descr="Figure 9 shows how the probability of a shock occurring is implied to change, given the change in the risk premium that occurred between 1997-2008, and 2009-2020 and holding all else constant. &#10;&#10;The figure shows that the likelihood of a shock occurring is implied to increase from 4% between 1997-2008 to 7% between 2009-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40040" name="Picture 17" descr="Figure 9 shows how the probability of a shock occurring is implied to change, given the change in the risk premium that occurred between 1997-2008, and 2009-2020 and holding all else constant. &#10;&#10;The figure shows that the likelihood of a shock occurring is implied to increase from 4% between 1997-2008 to 7% between 2009-2020.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2719070"/>
                    </a:xfrm>
                    <a:prstGeom prst="rect">
                      <a:avLst/>
                    </a:prstGeom>
                    <a:noFill/>
                    <a:ln>
                      <a:noFill/>
                    </a:ln>
                  </pic:spPr>
                </pic:pic>
              </a:graphicData>
            </a:graphic>
          </wp:inline>
        </w:drawing>
      </w:r>
    </w:p>
    <w:p w14:paraId="593D4FEA" w14:textId="38A52C63" w:rsidR="005C6710" w:rsidRDefault="005C6710" w:rsidP="005C6710">
      <w:pPr>
        <w:pStyle w:val="BodyText"/>
      </w:pPr>
      <w:r>
        <w:t>In the second instance, the co</w:t>
      </w:r>
      <w:r>
        <w:noBreakHyphen/>
        <w:t xml:space="preserve">efficient of risk aversion and </w:t>
      </w:r>
      <w:r>
        <w:rPr>
          <w:i/>
          <w:iCs/>
        </w:rPr>
        <w:t xml:space="preserve">probability </w:t>
      </w:r>
      <w:r>
        <w:t>of shock is assumed to remain constant over time. The co</w:t>
      </w:r>
      <w:r>
        <w:noBreakHyphen/>
        <w:t xml:space="preserve">efficient of risk aversion is held fixed at </w:t>
      </w:r>
      <m:oMath>
        <m:r>
          <w:rPr>
            <w:rFonts w:ascii="Cambria Math" w:hAnsi="Cambria Math"/>
          </w:rPr>
          <m:t>θ=12</m:t>
        </m:r>
      </m:oMath>
      <w:r>
        <w:t>, and the probability of the shock held constant at 5.4% (the average probability of a shock estimated in the 1997</w:t>
      </w:r>
      <w:r>
        <w:noBreakHyphen/>
        <w:t xml:space="preserve">2008 window). The estimated size of the macroeconomic shock would have to increase by 2 percentage points (from 15% to 17%) to account for the increase in the risk premium (figure 10, </w:t>
      </w:r>
      <w:r w:rsidR="00FB299B">
        <w:t>first panel</w:t>
      </w:r>
      <w:r>
        <w:t>).</w:t>
      </w:r>
    </w:p>
    <w:p w14:paraId="202F96CE" w14:textId="1BD66ADD" w:rsidR="005C6710" w:rsidRDefault="005C6710" w:rsidP="005C6710">
      <w:pPr>
        <w:pStyle w:val="BodyText"/>
      </w:pPr>
      <w:r>
        <w:t>Lastly, we ask how much the coefficient of risk aversion would have to increase to account for the increase in the risk premium. The value of the risk aversion coefficient was initially set at 12, well above empirical microeconomic estimates, but set in order to generate a reasonable equity premium.</w:t>
      </w:r>
      <w:r w:rsidRPr="00387807">
        <w:rPr>
          <w:rStyle w:val="FootnoteReference"/>
        </w:rPr>
        <w:footnoteReference w:id="5"/>
      </w:r>
      <w:r>
        <w:t xml:space="preserve"> Applying this to the comparison of two distinct time periods, the coefficient of risk aversion would have to increase from </w:t>
      </w:r>
      <m:oMath>
        <m:r>
          <w:rPr>
            <w:rFonts w:ascii="Cambria Math" w:hAnsi="Cambria Math"/>
          </w:rPr>
          <m:t>θ=12</m:t>
        </m:r>
      </m:oMath>
      <w:r>
        <w:t xml:space="preserve"> to </w:t>
      </w:r>
      <m:oMath>
        <m:r>
          <w:rPr>
            <w:rFonts w:ascii="Cambria Math" w:hAnsi="Cambria Math"/>
          </w:rPr>
          <m:t>θ=15.4</m:t>
        </m:r>
      </m:oMath>
      <w:r>
        <w:t xml:space="preserve"> to explain the increase in the equity risk premium (figure 10, </w:t>
      </w:r>
      <w:r w:rsidR="00FB299B">
        <w:t>second panel</w:t>
      </w:r>
      <w:r>
        <w:t>).</w:t>
      </w:r>
    </w:p>
    <w:p w14:paraId="5CB92BA9" w14:textId="3239DD8F" w:rsidR="005C6710" w:rsidRPr="00146382" w:rsidRDefault="005C6710" w:rsidP="005C6710">
      <w:pPr>
        <w:pStyle w:val="FigureTableHeading"/>
      </w:pPr>
      <w:bookmarkStart w:id="16" w:name="_Toc30502221"/>
      <w:r>
        <w:lastRenderedPageBreak/>
        <w:t xml:space="preserve">Figure </w:t>
      </w:r>
      <w:r>
        <w:rPr>
          <w:noProof/>
        </w:rPr>
        <w:t xml:space="preserve">10 </w:t>
      </w:r>
      <w:r>
        <w:t>– If the increase in the risk premium were due to greater risk aversion, or greater shock size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20"/>
      </w:tblGrid>
      <w:tr w:rsidR="005C6710" w:rsidRPr="005550A0" w14:paraId="2047672D" w14:textId="77777777" w:rsidTr="00ED33D7">
        <w:trPr>
          <w:tblHeader/>
        </w:trPr>
        <w:tc>
          <w:tcPr>
            <w:tcW w:w="2500" w:type="pct"/>
            <w:shd w:val="clear" w:color="auto" w:fill="auto"/>
          </w:tcPr>
          <w:p w14:paraId="46CCCF88" w14:textId="77777777" w:rsidR="005C6710" w:rsidRPr="005550A0" w:rsidRDefault="005C6710" w:rsidP="00ED33D7">
            <w:pPr>
              <w:pStyle w:val="BodyText"/>
            </w:pPr>
            <w:r w:rsidRPr="005E16B4">
              <w:t>Coefficient of risk aversion has increased</w:t>
            </w:r>
          </w:p>
        </w:tc>
        <w:tc>
          <w:tcPr>
            <w:tcW w:w="2500" w:type="pct"/>
            <w:shd w:val="clear" w:color="auto" w:fill="auto"/>
          </w:tcPr>
          <w:p w14:paraId="3A4265C7" w14:textId="77777777" w:rsidR="005C6710" w:rsidRPr="005550A0" w:rsidRDefault="005C6710" w:rsidP="00ED33D7">
            <w:pPr>
              <w:pStyle w:val="BodyText"/>
            </w:pPr>
            <w:r>
              <w:t>Macroeconomic shock size has increased</w:t>
            </w:r>
          </w:p>
        </w:tc>
      </w:tr>
      <w:tr w:rsidR="005C6710" w:rsidRPr="001C1B35" w14:paraId="4D4C9882" w14:textId="77777777" w:rsidTr="00ED33D7">
        <w:trPr>
          <w:tblHeader/>
        </w:trPr>
        <w:tc>
          <w:tcPr>
            <w:tcW w:w="2500" w:type="pct"/>
            <w:shd w:val="clear" w:color="auto" w:fill="auto"/>
          </w:tcPr>
          <w:p w14:paraId="6E4DE1B1" w14:textId="0092B082" w:rsidR="005C6710" w:rsidRPr="001C1B35" w:rsidRDefault="008D1285" w:rsidP="008D1285">
            <w:pPr>
              <w:pStyle w:val="TableBody"/>
              <w:ind w:left="0"/>
              <w:rPr>
                <w:noProof/>
              </w:rPr>
            </w:pPr>
            <w:r w:rsidRPr="008D1285">
              <w:rPr>
                <w:noProof/>
              </w:rPr>
              <w:drawing>
                <wp:inline distT="0" distB="0" distL="0" distR="0" wp14:anchorId="3BEB4F09" wp14:editId="14E154D4">
                  <wp:extent cx="2985770" cy="2125980"/>
                  <wp:effectExtent l="0" t="0" r="5080" b="7620"/>
                  <wp:docPr id="2066323756" name="Picture 18" descr="Figure 10 has two panels. &#10;&#10;The left hand panel shows how the co-efficient of riskaversion is implied to have changed, given the change in the risk premium that occurred between 1997-2008, and 2009-2020 and holding all else constant. The coefficient of risk aversion is implied to have increased from 12 between 1997-2008 to 15.4 between 2009-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23756" name="Picture 18" descr="Figure 10 has two panels. &#10;&#10;The left hand panel shows how the co-efficient of riskaversion is implied to have changed, given the change in the risk premium that occurred between 1997-2008, and 2009-2020 and holding all else constant. The coefficient of risk aversion is implied to have increased from 12 between 1997-2008 to 15.4 between 2009-2020.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85770" cy="2125980"/>
                          </a:xfrm>
                          <a:prstGeom prst="rect">
                            <a:avLst/>
                          </a:prstGeom>
                          <a:noFill/>
                          <a:ln>
                            <a:noFill/>
                          </a:ln>
                        </pic:spPr>
                      </pic:pic>
                    </a:graphicData>
                  </a:graphic>
                </wp:inline>
              </w:drawing>
            </w:r>
          </w:p>
        </w:tc>
        <w:tc>
          <w:tcPr>
            <w:tcW w:w="2500" w:type="pct"/>
            <w:shd w:val="clear" w:color="auto" w:fill="auto"/>
          </w:tcPr>
          <w:p w14:paraId="3CD833EB" w14:textId="300709A1" w:rsidR="005C6710" w:rsidRPr="001C1B35" w:rsidRDefault="008D1285" w:rsidP="008D1285">
            <w:pPr>
              <w:pStyle w:val="TableBody"/>
              <w:ind w:left="0"/>
              <w:rPr>
                <w:noProof/>
              </w:rPr>
            </w:pPr>
            <w:r w:rsidRPr="008D1285">
              <w:rPr>
                <w:noProof/>
              </w:rPr>
              <w:drawing>
                <wp:inline distT="0" distB="0" distL="0" distR="0" wp14:anchorId="70C54230" wp14:editId="037A3716">
                  <wp:extent cx="2985770" cy="2125980"/>
                  <wp:effectExtent l="0" t="0" r="5080" b="7620"/>
                  <wp:docPr id="2004883071" name="Picture 19" descr="The right hand panel shows how the size of the shock is implied to have changed, given the change in the risk premium that occurred between 1997-2008, and 2009-2020 and holding all else constant. The size of the shock is implied to have increased from 15% between 1997-2008 to 17% between 200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83071" name="Picture 19" descr="The right hand panel shows how the size of the shock is implied to have changed, given the change in the risk premium that occurred between 1997-2008, and 2009-2020 and holding all else constant. The size of the shock is implied to have increased from 15% between 1997-2008 to 17% between 2009-20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85770" cy="2125980"/>
                          </a:xfrm>
                          <a:prstGeom prst="rect">
                            <a:avLst/>
                          </a:prstGeom>
                          <a:noFill/>
                          <a:ln>
                            <a:noFill/>
                          </a:ln>
                        </pic:spPr>
                      </pic:pic>
                    </a:graphicData>
                  </a:graphic>
                </wp:inline>
              </w:drawing>
            </w:r>
          </w:p>
        </w:tc>
      </w:tr>
    </w:tbl>
    <w:bookmarkEnd w:id="16"/>
    <w:p w14:paraId="1DB1FF30" w14:textId="47BA287E" w:rsidR="006D264E" w:rsidRDefault="00604BFB" w:rsidP="006D264E">
      <w:pPr>
        <w:pStyle w:val="Heading3"/>
      </w:pPr>
      <w:r>
        <w:t xml:space="preserve">Other measures of </w:t>
      </w:r>
      <w:r w:rsidR="006D264E">
        <w:t>risk</w:t>
      </w:r>
    </w:p>
    <w:p w14:paraId="72BC35D1" w14:textId="748A9E74" w:rsidR="006D264E" w:rsidRPr="00105F78" w:rsidRDefault="006D264E" w:rsidP="006D264E">
      <w:pPr>
        <w:pStyle w:val="BodyText"/>
        <w:rPr>
          <w:spacing w:val="-2"/>
        </w:rPr>
      </w:pPr>
      <w:r w:rsidRPr="00105F78">
        <w:rPr>
          <w:spacing w:val="-2"/>
        </w:rPr>
        <w:t xml:space="preserve">The Farhi and Gouri model considers only one type of risk in financial markets: the risk of price volatility. However, many models with more of a focus on financial variables would include other forms of risk, and there may have been changes to those risks during the period in question. Liquidity risk, for instance, played an important risk during the global financial crisis, when many institutions limited withdrawals at the peak of the crisis </w:t>
      </w:r>
      <w:r w:rsidRPr="00105F78">
        <w:rPr>
          <w:spacing w:val="-2"/>
          <w:szCs w:val="24"/>
        </w:rPr>
        <w:t>(Allen 2012)</w:t>
      </w:r>
      <w:r w:rsidRPr="00105F78">
        <w:rPr>
          <w:spacing w:val="-2"/>
        </w:rPr>
        <w:t>. And there are a number of information risks that could be relevant to the growth and then collapse of the Collateralised Debt Obligation (CDO) market. However, we consider it unlikely that the inclusion of these more detailed types of risk in the model would lead to major changes to the model’s predictions.</w:t>
      </w:r>
    </w:p>
    <w:p w14:paraId="1E5DD8E4" w14:textId="634109CA" w:rsidR="006D2565" w:rsidRDefault="006D2565" w:rsidP="008369F9">
      <w:pPr>
        <w:pStyle w:val="Heading2"/>
        <w:numPr>
          <w:ilvl w:val="1"/>
          <w:numId w:val="15"/>
        </w:numPr>
        <w:ind w:left="720"/>
      </w:pPr>
      <w:bookmarkStart w:id="17" w:name="_Toc158878732"/>
      <w:bookmarkStart w:id="18" w:name="_Toc161228813"/>
      <w:r>
        <w:t>The role of market power</w:t>
      </w:r>
      <w:bookmarkEnd w:id="17"/>
      <w:bookmarkEnd w:id="18"/>
    </w:p>
    <w:p w14:paraId="11565F26" w14:textId="130C5066" w:rsidR="006D2565" w:rsidRPr="008544FA" w:rsidRDefault="006D2565" w:rsidP="006D2565">
      <w:pPr>
        <w:pStyle w:val="BodyText"/>
        <w:rPr>
          <w:spacing w:val="-4"/>
        </w:rPr>
      </w:pPr>
      <w:r w:rsidRPr="008544FA">
        <w:rPr>
          <w:spacing w:val="-4"/>
        </w:rPr>
        <w:t xml:space="preserve">As illustrated in </w:t>
      </w:r>
      <w:r w:rsidR="00A545A2" w:rsidRPr="008544FA">
        <w:rPr>
          <w:spacing w:val="-4"/>
        </w:rPr>
        <w:t>f</w:t>
      </w:r>
      <w:r w:rsidRPr="008544FA">
        <w:rPr>
          <w:spacing w:val="-4"/>
        </w:rPr>
        <w:t xml:space="preserve">igure </w:t>
      </w:r>
      <w:r w:rsidR="00A545A2" w:rsidRPr="008544FA">
        <w:rPr>
          <w:spacing w:val="-4"/>
        </w:rPr>
        <w:t>8</w:t>
      </w:r>
      <w:r w:rsidRPr="008544FA">
        <w:rPr>
          <w:spacing w:val="-4"/>
        </w:rPr>
        <w:t>, the spread between the private return on capital and the risk free rate can be decomposed into several contributing factors: the risk premium, market power, and depreciation. Strikingly, the contribution of market power does not appear to change at all over the period of interest.</w:t>
      </w:r>
      <w:r w:rsidR="003D1796" w:rsidRPr="008544FA">
        <w:rPr>
          <w:spacing w:val="-4"/>
        </w:rPr>
        <w:t xml:space="preserve"> </w:t>
      </w:r>
      <w:r w:rsidRPr="008544FA">
        <w:rPr>
          <w:spacing w:val="-4"/>
        </w:rPr>
        <w:t xml:space="preserve">This is in clear contrast to results for the United States, where </w:t>
      </w:r>
      <w:r w:rsidR="00D65686" w:rsidRPr="008544FA">
        <w:rPr>
          <w:spacing w:val="-4"/>
        </w:rPr>
        <w:t xml:space="preserve">there is </w:t>
      </w:r>
      <w:r w:rsidRPr="008544FA">
        <w:rPr>
          <w:spacing w:val="-4"/>
        </w:rPr>
        <w:t xml:space="preserve">a significant increase in market power from the period up to the year 2000 to the period afterwards. </w:t>
      </w:r>
      <w:r w:rsidR="00D65686" w:rsidRPr="008544FA">
        <w:rPr>
          <w:spacing w:val="-4"/>
        </w:rPr>
        <w:t>Farhi and Gourio</w:t>
      </w:r>
      <w:r w:rsidRPr="008544FA">
        <w:rPr>
          <w:spacing w:val="-4"/>
        </w:rPr>
        <w:t xml:space="preserve"> estimate that US markups increased by 6.2%; in contrast, undertaking the same exercise with Australian data shows an increase in markups in Australia of less than 1%. </w:t>
      </w:r>
    </w:p>
    <w:p w14:paraId="398CF0BF" w14:textId="313A436E" w:rsidR="006D2565" w:rsidRDefault="006D2565" w:rsidP="006D2565">
      <w:pPr>
        <w:pStyle w:val="BodyText"/>
      </w:pPr>
      <w:r>
        <w:t xml:space="preserve">This finding adds another piece of evidence in the broader discussion over the role of market power in Australia. An important literature focused on the United States has attributed stagnating business investment and growth and the decline of the labour share of income to the increased exercise of market power in many industries. (The rise in market power may be due to relatively lax antitrust enforcement, and/or to the emergence of superstar firms that earn outsize profits.) However, Farhi and Gourio </w:t>
      </w:r>
      <w:r w:rsidRPr="002C51A2">
        <w:t>(2019)</w:t>
      </w:r>
      <w:r>
        <w:t xml:space="preserve"> point out that this literature does not attempt to account for risk in explaining these trends. </w:t>
      </w:r>
      <w:r w:rsidR="00EB1F7A">
        <w:t>T</w:t>
      </w:r>
      <w:r>
        <w:t>he</w:t>
      </w:r>
      <w:r w:rsidR="00EB1F7A">
        <w:t>y find that the</w:t>
      </w:r>
      <w:r>
        <w:t xml:space="preserve"> high hurdle rate for investment (which explains slow investment) is attributable </w:t>
      </w:r>
      <w:r w:rsidR="0088739A">
        <w:t>in part</w:t>
      </w:r>
      <w:r>
        <w:t xml:space="preserve"> to an increased risk premium (equation 6 and table 1). Their paper finds an important role for market power in explaining slowing investment</w:t>
      </w:r>
      <w:r w:rsidR="0088739A">
        <w:t xml:space="preserve"> in the U.S.</w:t>
      </w:r>
      <w:r>
        <w:t>, but a smaller role than in a framework that ignored risk.</w:t>
      </w:r>
    </w:p>
    <w:p w14:paraId="73D6D771" w14:textId="4B51E759" w:rsidR="00861C81" w:rsidRDefault="006D2565" w:rsidP="00861C81">
      <w:pPr>
        <w:pStyle w:val="BodyText"/>
      </w:pPr>
      <w:r>
        <w:t xml:space="preserve">Some researchers have argued that Australia’s stagnating investment and declining labour share of income must also be attributable to increased market power </w:t>
      </w:r>
      <w:r w:rsidRPr="00307D23">
        <w:rPr>
          <w:szCs w:val="24"/>
        </w:rPr>
        <w:t>(Hambur 2021; Hambur and Andrews 2023)</w:t>
      </w:r>
      <w:r>
        <w:t xml:space="preserve">. However, </w:t>
      </w:r>
      <w:r>
        <w:lastRenderedPageBreak/>
        <w:t xml:space="preserve">the empirical evidence is not conclusive </w:t>
      </w:r>
      <w:r w:rsidRPr="00152623">
        <w:rPr>
          <w:szCs w:val="24"/>
        </w:rPr>
        <w:t>(King 2023)</w:t>
      </w:r>
      <w:r>
        <w:t>. While this particular estimation framework needs further validation (see next section), it is very interesting that Australian data do not show the same role for market power as US data.</w:t>
      </w:r>
      <w:r w:rsidR="00861C81" w:rsidRPr="00861C81">
        <w:t xml:space="preserve"> </w:t>
      </w:r>
    </w:p>
    <w:p w14:paraId="1413F175" w14:textId="374256DB" w:rsidR="00861C81" w:rsidRDefault="00861C81" w:rsidP="00861C81">
      <w:pPr>
        <w:pStyle w:val="Heading2"/>
        <w:numPr>
          <w:ilvl w:val="1"/>
          <w:numId w:val="15"/>
        </w:numPr>
        <w:ind w:left="720"/>
      </w:pPr>
      <w:r>
        <w:t>Mismeasured capital</w:t>
      </w:r>
    </w:p>
    <w:p w14:paraId="11D3237B" w14:textId="77777777" w:rsidR="008A1B17" w:rsidRDefault="00E66FDD" w:rsidP="00861C81">
      <w:pPr>
        <w:pStyle w:val="BodyText"/>
      </w:pPr>
      <w:r>
        <w:t xml:space="preserve">One issue that we have not explored in detail is the </w:t>
      </w:r>
      <w:r w:rsidR="003D221B">
        <w:t>role of intangible capital.</w:t>
      </w:r>
      <w:r w:rsidR="00F95F3D">
        <w:t xml:space="preserve"> The measurement of capital has traditionally focused on tangible capital assets, but intangible capital is rising in importance, and thus there is a risk of underestimation of intangible capital assets. If mismeasurement were growing over time (and it is not clear that it is) then </w:t>
      </w:r>
      <w:r w:rsidR="007F58A5">
        <w:t xml:space="preserve">that could explain </w:t>
      </w:r>
      <w:r w:rsidR="00223139">
        <w:t xml:space="preserve">some of the </w:t>
      </w:r>
      <w:r w:rsidR="00876B35">
        <w:t xml:space="preserve">increasing </w:t>
      </w:r>
      <w:r w:rsidR="00223139">
        <w:t xml:space="preserve">spread between the </w:t>
      </w:r>
      <w:r w:rsidR="007F58A5">
        <w:t xml:space="preserve">measured </w:t>
      </w:r>
      <w:r w:rsidR="00223139">
        <w:t>marginal product of capital and the risk free rate</w:t>
      </w:r>
      <w:r w:rsidR="00876B35">
        <w:t xml:space="preserve">. </w:t>
      </w:r>
    </w:p>
    <w:p w14:paraId="6EFCB536" w14:textId="6C31B5AD" w:rsidR="006D2565" w:rsidRDefault="00876B35" w:rsidP="006D2565">
      <w:pPr>
        <w:pStyle w:val="BodyText"/>
      </w:pPr>
      <w:r>
        <w:t xml:space="preserve">However, </w:t>
      </w:r>
      <w:r w:rsidR="00820A30">
        <w:t>Farhi and Gouri undertake simulations and conclude that</w:t>
      </w:r>
      <w:r w:rsidR="00242DCE">
        <w:t xml:space="preserve"> increasing mismeasurement</w:t>
      </w:r>
      <w:r w:rsidR="0034600D">
        <w:t xml:space="preserve"> of intangible capital</w:t>
      </w:r>
      <w:r w:rsidR="00A6462C">
        <w:t xml:space="preserve"> </w:t>
      </w:r>
      <w:r w:rsidR="00740B62">
        <w:t xml:space="preserve">would reduce the </w:t>
      </w:r>
      <w:r w:rsidR="008A1B17">
        <w:t>estimated</w:t>
      </w:r>
      <w:r w:rsidR="00740B62">
        <w:t xml:space="preserve"> impact of </w:t>
      </w:r>
      <w:r w:rsidR="008A1B17">
        <w:t xml:space="preserve">market power, but it would have no effect on the estimated risk premium. Given that we find no role for increased market power, </w:t>
      </w:r>
      <w:r w:rsidR="0034600D">
        <w:t>we did not explore the role of intangible</w:t>
      </w:r>
      <w:r w:rsidR="0031622F">
        <w:t xml:space="preserve"> capital in detail</w:t>
      </w:r>
      <w:r w:rsidR="0034600D">
        <w:t>.</w:t>
      </w:r>
    </w:p>
    <w:p w14:paraId="6FC0D30C" w14:textId="518D254F" w:rsidR="006D2565" w:rsidRDefault="006D2565" w:rsidP="008369F9">
      <w:pPr>
        <w:pStyle w:val="Heading2"/>
        <w:numPr>
          <w:ilvl w:val="1"/>
          <w:numId w:val="15"/>
        </w:numPr>
        <w:ind w:left="720"/>
      </w:pPr>
      <w:bookmarkStart w:id="19" w:name="_Toc158878733"/>
      <w:bookmarkStart w:id="20" w:name="_Toc161228814"/>
      <w:r>
        <w:t>The risk free rate</w:t>
      </w:r>
      <w:bookmarkEnd w:id="19"/>
      <w:bookmarkEnd w:id="20"/>
    </w:p>
    <w:p w14:paraId="536D6C11" w14:textId="77777777" w:rsidR="006D2565" w:rsidRDefault="006D2565" w:rsidP="006D2565">
      <w:pPr>
        <w:pStyle w:val="BodyText"/>
      </w:pPr>
      <w:r>
        <w:t>The Farhi and Gourio estimation treats the risk-free rate as an exogenous variable, estimated from public data. Yet interestingly the model also yields an explicit formula for the real rate of time preference, and hence the risk-free rate, r</w:t>
      </w:r>
      <w:r w:rsidRPr="00094C9C">
        <w:rPr>
          <w:vertAlign w:val="subscript"/>
        </w:rPr>
        <w:t>f</w:t>
      </w:r>
      <w:r>
        <w:t>, using equations (4) and (6). Equation (4) defines the real rate of time preference M</w:t>
      </w:r>
      <w:r w:rsidRPr="00094C9C">
        <w:rPr>
          <w:vertAlign w:val="subscript"/>
        </w:rPr>
        <w:t>t+1</w:t>
      </w:r>
      <w:r>
        <w:t xml:space="preserve">, and Equation (6) defines the risk-free rate as its inverse. </w:t>
      </w:r>
    </w:p>
    <w:p w14:paraId="27D7B9FE" w14:textId="5F800633" w:rsidR="006D2565" w:rsidRDefault="006D2565" w:rsidP="006D2565">
      <w:pPr>
        <w:pStyle w:val="BodyText"/>
      </w:pPr>
      <w:r>
        <w:t xml:space="preserve">Changes in risk aversion and changes in the likelihood and size of shocks will all lead to changes in the risk-free rate, according to equations (4) and (6), because they affect the real rate of time preference. Under the </w:t>
      </w:r>
      <w:r w:rsidR="005433B5">
        <w:t xml:space="preserve">current </w:t>
      </w:r>
      <w:r w:rsidR="00463765">
        <w:t xml:space="preserve">model </w:t>
      </w:r>
      <w:r w:rsidR="005433B5">
        <w:t>assumptions, for many parameter values</w:t>
      </w:r>
      <w:r>
        <w:t xml:space="preserve">, if the probability of shocks increases, then the risk-free rate will rise. </w:t>
      </w:r>
    </w:p>
    <w:p w14:paraId="2A50A39E" w14:textId="7BE150F8" w:rsidR="00E01DA9" w:rsidRDefault="001509AD" w:rsidP="006D2565">
      <w:pPr>
        <w:pStyle w:val="BodyText"/>
      </w:pPr>
      <w:r>
        <w:rPr>
          <w:spacing w:val="-2"/>
        </w:rPr>
        <w:t>How does this result compare to t</w:t>
      </w:r>
      <w:r w:rsidR="00E01DA9" w:rsidRPr="00DC5E27">
        <w:rPr>
          <w:spacing w:val="-2"/>
        </w:rPr>
        <w:t xml:space="preserve">he </w:t>
      </w:r>
      <w:r w:rsidR="00704BB7">
        <w:rPr>
          <w:spacing w:val="-2"/>
        </w:rPr>
        <w:t xml:space="preserve">rest of the </w:t>
      </w:r>
      <w:r w:rsidR="00E01DA9" w:rsidRPr="00DC5E27">
        <w:rPr>
          <w:spacing w:val="-2"/>
        </w:rPr>
        <w:t>macro-finance literature (see for example Constantinides and Duffie (1996), or Rietz (1988))</w:t>
      </w:r>
      <w:r w:rsidR="00704BB7">
        <w:rPr>
          <w:spacing w:val="-2"/>
        </w:rPr>
        <w:t>?</w:t>
      </w:r>
      <w:r w:rsidR="00E01DA9" w:rsidRPr="00DC5E27">
        <w:rPr>
          <w:spacing w:val="-2"/>
        </w:rPr>
        <w:t xml:space="preserve"> That literature tends to assume that the real risk-free rate is relatively constant, while the real rate of return on risky assets is likely to vary with macroeconomic factors. </w:t>
      </w:r>
      <w:r w:rsidR="00FE21B7">
        <w:rPr>
          <w:spacing w:val="-2"/>
        </w:rPr>
        <w:t>(</w:t>
      </w:r>
      <w:r w:rsidR="00E01DA9" w:rsidRPr="00DC5E27">
        <w:rPr>
          <w:spacing w:val="-2"/>
        </w:rPr>
        <w:t>The macro-finance literature also generally assumes that the weighted average cost of capital</w:t>
      </w:r>
      <w:r w:rsidR="00FE21B7">
        <w:rPr>
          <w:spacing w:val="-2"/>
        </w:rPr>
        <w:t xml:space="preserve"> </w:t>
      </w:r>
      <w:r w:rsidR="00E01DA9" w:rsidRPr="00DC5E27">
        <w:rPr>
          <w:spacing w:val="-2"/>
        </w:rPr>
        <w:t>rises when the risk premium rises, because it assumes a constant risk-free rate and a higher risk premium for risky capital.</w:t>
      </w:r>
      <w:r w:rsidR="00FE21B7">
        <w:rPr>
          <w:spacing w:val="-2"/>
        </w:rPr>
        <w:t xml:space="preserve"> Farhi and Gourio instead find that the weighted average cost of capital falls.)</w:t>
      </w:r>
    </w:p>
    <w:p w14:paraId="1A071BBE" w14:textId="1AC255CC" w:rsidR="006D2565" w:rsidRDefault="006D2565" w:rsidP="006D2565">
      <w:pPr>
        <w:pStyle w:val="BodyText"/>
      </w:pPr>
      <w:r>
        <w:t xml:space="preserve">What evidence exists on the risk-free rate? Jordà et al. </w:t>
      </w:r>
      <w:r w:rsidRPr="00DC15D1">
        <w:t>(2019)</w:t>
      </w:r>
      <w:r>
        <w:t xml:space="preserve"> undertake an analysis of the rate of return on a number of important asset classes from 1870 to 2015, in 16 advanced economies, drawing together important sources of data for the first time. Surprisingly, Jord</w:t>
      </w:r>
      <w:r w:rsidR="00481FC5">
        <w:t>à</w:t>
      </w:r>
      <w:r>
        <w:t xml:space="preserve"> et al. find that over these extremely long time horizons, the real rate of return on risky assets does not vary much, while the real risk free rate appears to have very persistent swings up and down. </w:t>
      </w:r>
      <w:r w:rsidRPr="007D09EE">
        <w:t xml:space="preserve">This is consistent with the RBA's observation that hurdle rates </w:t>
      </w:r>
      <w:r>
        <w:t xml:space="preserve">in Australia are </w:t>
      </w:r>
      <w:r w:rsidRPr="007D09EE">
        <w:t>sticky</w:t>
      </w:r>
      <w:r>
        <w:t xml:space="preserve"> </w:t>
      </w:r>
      <w:r w:rsidRPr="0050238F">
        <w:rPr>
          <w:szCs w:val="24"/>
        </w:rPr>
        <w:t>(Edwards and Lane 2021)</w:t>
      </w:r>
      <w:r>
        <w:t>.</w:t>
      </w:r>
    </w:p>
    <w:p w14:paraId="79E7F924" w14:textId="462300FC" w:rsidR="00E01DA9" w:rsidRDefault="00BA09C9" w:rsidP="006D2565">
      <w:pPr>
        <w:pStyle w:val="BodyText"/>
      </w:pPr>
      <w:r>
        <w:t xml:space="preserve">On reflection, it seems likely that the risk-free rate will fall if risk or risk aversion increases after a shock. </w:t>
      </w:r>
      <w:r w:rsidR="00481FC5">
        <w:t xml:space="preserve">An increase in risk or risk aversion would lead to a flight to safe assets (such as government bonds) by investors, and hence a decrease in the interest rate on those safe assets. If the fluctuations that Jordà et al. (2019) identify over the decades are primarily driven by </w:t>
      </w:r>
      <w:r w:rsidR="00217390">
        <w:t>changes in risk, the risk free rate would fluctuate and the hurdle rate would appear sticky.</w:t>
      </w:r>
    </w:p>
    <w:p w14:paraId="6CA6C690" w14:textId="415D622F" w:rsidR="006D2565" w:rsidRDefault="006D2565" w:rsidP="006D2565">
      <w:pPr>
        <w:pStyle w:val="BodyText"/>
      </w:pPr>
      <w:r>
        <w:lastRenderedPageBreak/>
        <w:t xml:space="preserve">The Farhi and Gourio model requires slight changes to its assumptions in order to obtain the result that the risk-free rate falls as risk increases. Barro </w:t>
      </w:r>
      <w:r w:rsidRPr="008B50F3">
        <w:t>(2023)</w:t>
      </w:r>
      <w:r>
        <w:t xml:space="preserve"> develops a related theoretical model that might provide some basis for such an amendment. Whereas in Farhi and Gourio, the risk-free rate simply reflects the rate of time preference, by assumption, in the Barro model, agents trade loans at the risk-free rate, and thus these loans serve as an insurance product against output risk for the lender. As a result, Barro’s risk-free interest rate falls when risk increases. </w:t>
      </w:r>
    </w:p>
    <w:p w14:paraId="551C660B" w14:textId="1756F302" w:rsidR="006D2565" w:rsidRDefault="006D2565" w:rsidP="008369F9">
      <w:pPr>
        <w:pStyle w:val="Heading1-nobackground"/>
        <w:numPr>
          <w:ilvl w:val="0"/>
          <w:numId w:val="15"/>
        </w:numPr>
        <w:ind w:left="720"/>
      </w:pPr>
      <w:bookmarkStart w:id="21" w:name="_Toc158878734"/>
      <w:bookmarkStart w:id="22" w:name="_Toc161228815"/>
      <w:r>
        <w:t>Conclusion</w:t>
      </w:r>
      <w:bookmarkEnd w:id="21"/>
      <w:bookmarkEnd w:id="22"/>
    </w:p>
    <w:p w14:paraId="1E82099E" w14:textId="5991242F" w:rsidR="00B33BAA" w:rsidRPr="00411747" w:rsidRDefault="00B33BAA" w:rsidP="006D2565">
      <w:pPr>
        <w:pStyle w:val="BodyText"/>
        <w:rPr>
          <w:spacing w:val="-2"/>
        </w:rPr>
      </w:pPr>
      <w:r w:rsidRPr="00411747">
        <w:rPr>
          <w:spacing w:val="-2"/>
        </w:rPr>
        <w:t xml:space="preserve">This paper </w:t>
      </w:r>
      <w:r w:rsidR="00C9277B" w:rsidRPr="00411747">
        <w:rPr>
          <w:spacing w:val="-2"/>
        </w:rPr>
        <w:t xml:space="preserve">investigates the </w:t>
      </w:r>
      <w:r w:rsidR="00C670DB" w:rsidRPr="00411747">
        <w:rPr>
          <w:spacing w:val="-2"/>
        </w:rPr>
        <w:t xml:space="preserve">high hurdle rates that Australia experienced in the period between the GFC and the COVID-19 pandemic. </w:t>
      </w:r>
      <w:r w:rsidR="002D7733" w:rsidRPr="00411747">
        <w:rPr>
          <w:spacing w:val="-2"/>
        </w:rPr>
        <w:t xml:space="preserve">High hurdle rates are a serious concern because of their negative implications for investment, productivity growth and income growth. </w:t>
      </w:r>
      <w:r w:rsidR="00E3465E" w:rsidRPr="00411747">
        <w:rPr>
          <w:spacing w:val="-2"/>
        </w:rPr>
        <w:t xml:space="preserve">It would be particularly concerning if those high hurdle rates were due to greater market power in the Australian economy. Given that market power </w:t>
      </w:r>
      <w:r w:rsidR="005F434B" w:rsidRPr="00411747">
        <w:rPr>
          <w:spacing w:val="-2"/>
        </w:rPr>
        <w:t xml:space="preserve">can be influenced by competition policy and other levers, </w:t>
      </w:r>
      <w:r w:rsidR="009E46B1" w:rsidRPr="00411747">
        <w:rPr>
          <w:spacing w:val="-2"/>
        </w:rPr>
        <w:t xml:space="preserve">any negative effects of </w:t>
      </w:r>
      <w:r w:rsidR="00C12765" w:rsidRPr="00411747">
        <w:rPr>
          <w:spacing w:val="-2"/>
        </w:rPr>
        <w:t xml:space="preserve">market power should be </w:t>
      </w:r>
      <w:r w:rsidR="00F81783" w:rsidRPr="00411747">
        <w:rPr>
          <w:spacing w:val="-2"/>
        </w:rPr>
        <w:t>treated with concern.</w:t>
      </w:r>
    </w:p>
    <w:p w14:paraId="15F4537C" w14:textId="0220D987" w:rsidR="00F81783" w:rsidRPr="00411747" w:rsidRDefault="00F81783" w:rsidP="006D2565">
      <w:pPr>
        <w:pStyle w:val="BodyText"/>
        <w:rPr>
          <w:spacing w:val="-2"/>
        </w:rPr>
      </w:pPr>
      <w:r w:rsidRPr="00411747">
        <w:rPr>
          <w:spacing w:val="-2"/>
        </w:rPr>
        <w:t xml:space="preserve">However, when we examine the relative contribution of risk premiums, </w:t>
      </w:r>
      <w:r w:rsidR="00E12284" w:rsidRPr="00411747">
        <w:rPr>
          <w:spacing w:val="-2"/>
        </w:rPr>
        <w:t xml:space="preserve">market power, and depreciation to the </w:t>
      </w:r>
      <w:r w:rsidR="004273D5" w:rsidRPr="00411747">
        <w:rPr>
          <w:spacing w:val="-2"/>
        </w:rPr>
        <w:t xml:space="preserve">larger hurdle rates, we find </w:t>
      </w:r>
      <w:r w:rsidR="00635B85" w:rsidRPr="00411747">
        <w:rPr>
          <w:spacing w:val="-2"/>
        </w:rPr>
        <w:t xml:space="preserve">that market power did not increase, and therefore increasing market power played no role in rising hurdle rates. Rather, the </w:t>
      </w:r>
      <w:r w:rsidR="00FD1FB7" w:rsidRPr="00411747">
        <w:rPr>
          <w:spacing w:val="-2"/>
        </w:rPr>
        <w:t xml:space="preserve">high hurdle rates were due to an increase in the market risk premium. </w:t>
      </w:r>
    </w:p>
    <w:p w14:paraId="2EDB52EA" w14:textId="57C7B2E1" w:rsidR="00BB6F28" w:rsidRDefault="006D2565" w:rsidP="006D2565">
      <w:pPr>
        <w:pStyle w:val="BodyText"/>
      </w:pPr>
      <w:r>
        <w:t xml:space="preserve">While </w:t>
      </w:r>
      <w:r w:rsidR="00BB6F28">
        <w:t>a similar</w:t>
      </w:r>
      <w:r>
        <w:t xml:space="preserve"> decomposition for the United States found a role for both a rising risk premium and increased market power, the Australian decomposition found no role for market power. Markups in Australia (as estimated in the model) increased less than 1% over the period of interest, whereas in the US data (over a slightly longer time period) they had increased 6%. The finding is intriguing, given the current debate on whether increased market power is responsible for a decline in business dynamism in Australia. </w:t>
      </w:r>
    </w:p>
    <w:p w14:paraId="15A67803" w14:textId="62A7007A" w:rsidR="00BB6F28" w:rsidRDefault="00BB6F28" w:rsidP="006D2565">
      <w:pPr>
        <w:pStyle w:val="BodyText"/>
      </w:pPr>
      <w:r>
        <w:t xml:space="preserve">While we cannot determine whether the rising risk premium is due to an increase in risk aversion, or an increase in the actual risk faced by investors, there </w:t>
      </w:r>
      <w:r w:rsidR="008A594A">
        <w:t>are a number of indicators suggesting</w:t>
      </w:r>
      <w:r>
        <w:t xml:space="preserve"> that </w:t>
      </w:r>
      <w:r w:rsidR="00B5741F">
        <w:t xml:space="preserve">investors perceive the </w:t>
      </w:r>
      <w:r>
        <w:t xml:space="preserve">climate </w:t>
      </w:r>
      <w:r w:rsidR="00B56C7F">
        <w:t>to be</w:t>
      </w:r>
      <w:r>
        <w:t xml:space="preserve"> more risky since the GFC (Ellis 2021). </w:t>
      </w:r>
      <w:r w:rsidR="004874FE">
        <w:t>If</w:t>
      </w:r>
      <w:r w:rsidR="00DB2652">
        <w:t xml:space="preserve"> </w:t>
      </w:r>
      <w:r w:rsidR="00BB0DC8">
        <w:t xml:space="preserve">this is driven by pessimism, it is less clear how </w:t>
      </w:r>
      <w:r w:rsidR="00142D7B">
        <w:t>policy can have an impact.</w:t>
      </w:r>
    </w:p>
    <w:p w14:paraId="117E4505" w14:textId="77777777" w:rsidR="006D2565" w:rsidRDefault="006D2565" w:rsidP="006D2565"/>
    <w:p w14:paraId="342A9886" w14:textId="77777777" w:rsidR="006D2565" w:rsidRDefault="006D2565" w:rsidP="006D2565">
      <w:pPr>
        <w:sectPr w:rsidR="006D2565" w:rsidSect="00A863A9">
          <w:headerReference w:type="even" r:id="rId45"/>
          <w:headerReference w:type="default" r:id="rId46"/>
          <w:footerReference w:type="even" r:id="rId47"/>
          <w:footerReference w:type="default" r:id="rId48"/>
          <w:headerReference w:type="first" r:id="rId49"/>
          <w:type w:val="oddPage"/>
          <w:pgSz w:w="11907" w:h="16840" w:code="9"/>
          <w:pgMar w:top="1134" w:right="1134" w:bottom="1134" w:left="1134" w:header="794" w:footer="510" w:gutter="0"/>
          <w:pgNumType w:start="1" w:chapSep="period"/>
          <w:cols w:space="720"/>
          <w:docGrid w:linePitch="326"/>
        </w:sectPr>
      </w:pPr>
    </w:p>
    <w:p w14:paraId="612A2000" w14:textId="0BCFFD48" w:rsidR="006D2565" w:rsidRDefault="006D2565" w:rsidP="003D1796">
      <w:pPr>
        <w:pStyle w:val="Heading1-nobackground"/>
      </w:pPr>
      <w:bookmarkStart w:id="23" w:name="_Toc158878735"/>
      <w:bookmarkStart w:id="24" w:name="_Toc161228816"/>
      <w:r>
        <w:lastRenderedPageBreak/>
        <w:t>Appendix</w:t>
      </w:r>
      <w:bookmarkEnd w:id="23"/>
      <w:bookmarkEnd w:id="24"/>
    </w:p>
    <w:p w14:paraId="281A793E" w14:textId="2405B296" w:rsidR="006D2565" w:rsidRDefault="006D2565" w:rsidP="003D1796">
      <w:pPr>
        <w:pStyle w:val="Heading2-Appendix"/>
      </w:pPr>
      <w:bookmarkStart w:id="25" w:name="_Toc158878736"/>
      <w:bookmarkStart w:id="26" w:name="_Toc161228817"/>
      <w:r>
        <w:t>Data dictionary</w:t>
      </w:r>
      <w:bookmarkEnd w:id="25"/>
      <w:bookmarkEnd w:id="26"/>
    </w:p>
    <w:p w14:paraId="1AA9FFD1" w14:textId="48414E65" w:rsidR="006D2565" w:rsidRDefault="006D2565" w:rsidP="006D2565">
      <w:pPr>
        <w:pStyle w:val="BodyText"/>
      </w:pPr>
      <w:r w:rsidRPr="007C13EE">
        <w:t xml:space="preserve">This </w:t>
      </w:r>
      <w:r>
        <w:t>section</w:t>
      </w:r>
      <w:r w:rsidRPr="007C13EE">
        <w:t xml:space="preserve"> details </w:t>
      </w:r>
      <w:r>
        <w:t xml:space="preserve">the </w:t>
      </w:r>
      <w:r w:rsidRPr="007C13EE">
        <w:t>construction</w:t>
      </w:r>
      <w:r>
        <w:t xml:space="preserve"> of the nine key moments</w:t>
      </w:r>
      <w:r w:rsidRPr="007C13EE">
        <w:t>.</w:t>
      </w:r>
      <w:r>
        <w:t xml:space="preserve"> In many cases, alternate series were considered, but as the paper focuses on medium</w:t>
      </w:r>
      <w:r>
        <w:noBreakHyphen/>
        <w:t>run trends and abstracts from business cycle shocks, changing data specifications has little effect on the target moments. Where relevant, results under alternate specifications are presented in section A.</w:t>
      </w:r>
      <w:r w:rsidR="007A7DF1">
        <w:t>2</w:t>
      </w:r>
      <w:r>
        <w:t>.</w:t>
      </w:r>
    </w:p>
    <w:p w14:paraId="06C7A290" w14:textId="0C6946D8" w:rsidR="006D2565" w:rsidRPr="00EC33C1" w:rsidRDefault="006D2565" w:rsidP="006D2565">
      <w:pPr>
        <w:pStyle w:val="BodyText"/>
        <w:rPr>
          <w:spacing w:val="4"/>
        </w:rPr>
      </w:pPr>
      <w:r w:rsidRPr="00EC33C1">
        <w:rPr>
          <w:spacing w:val="4"/>
        </w:rPr>
        <w:t>Publicly available data was used to construct the nine key moments (table A.1). Table A.</w:t>
      </w:r>
      <w:r w:rsidR="007A7DF1" w:rsidRPr="00EC33C1">
        <w:rPr>
          <w:spacing w:val="4"/>
        </w:rPr>
        <w:t xml:space="preserve">1 </w:t>
      </w:r>
      <w:r w:rsidRPr="00EC33C1">
        <w:rPr>
          <w:spacing w:val="4"/>
        </w:rPr>
        <w:t>summarises the variable names and descriptions, and the data sources used. Quarterly data observations were used in the analysis.</w:t>
      </w:r>
    </w:p>
    <w:p w14:paraId="0ABD4840" w14:textId="2AAA0A70" w:rsidR="00DC5E27" w:rsidRDefault="00DC5E27" w:rsidP="00ED33D7">
      <w:pPr>
        <w:pStyle w:val="FigureTableHeading"/>
      </w:pPr>
      <w:r>
        <w:t xml:space="preserve">Table </w:t>
      </w:r>
      <w:r w:rsidR="007A7DF1">
        <w:t>A</w:t>
      </w:r>
      <w:r>
        <w:t>.</w:t>
      </w:r>
      <w:r w:rsidR="007A7DF1">
        <w:t>1</w:t>
      </w:r>
      <w:r>
        <w:rPr>
          <w:noProof/>
        </w:rPr>
        <w:t xml:space="preserve"> – </w:t>
      </w:r>
      <w:r>
        <w:t>Framework variables created with public data</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64"/>
        <w:gridCol w:w="3936"/>
        <w:gridCol w:w="3938"/>
      </w:tblGrid>
      <w:tr w:rsidR="00DC5E27" w:rsidRPr="00DC5E27" w14:paraId="2AA41045" w14:textId="77777777" w:rsidTr="00536C92">
        <w:trPr>
          <w:tblHeader/>
        </w:trPr>
        <w:tc>
          <w:tcPr>
            <w:tcW w:w="915" w:type="pct"/>
            <w:tcBorders>
              <w:bottom w:val="single" w:sz="4" w:space="0" w:color="B3B3B3"/>
            </w:tcBorders>
            <w:shd w:val="clear" w:color="auto" w:fill="auto"/>
            <w:tcMar>
              <w:top w:w="28" w:type="dxa"/>
            </w:tcMar>
            <w:vAlign w:val="bottom"/>
          </w:tcPr>
          <w:p w14:paraId="1C67A6DA" w14:textId="77777777" w:rsidR="00DC5E27" w:rsidRPr="00DC5E27" w:rsidRDefault="00DC5E27" w:rsidP="00DC5E27">
            <w:pPr>
              <w:pStyle w:val="TableColumnHeading"/>
              <w:spacing w:before="45" w:after="45"/>
              <w:ind w:left="57" w:right="108"/>
              <w:jc w:val="left"/>
              <w:rPr>
                <w:rFonts w:ascii="Arial (Body)" w:hAnsi="Arial (Body)"/>
                <w:b/>
                <w:i w:val="0"/>
                <w:color w:val="265A9A"/>
              </w:rPr>
            </w:pPr>
            <w:r w:rsidRPr="00DC5E27">
              <w:rPr>
                <w:rFonts w:ascii="Arial (Body)" w:hAnsi="Arial (Body)"/>
                <w:b/>
                <w:i w:val="0"/>
                <w:color w:val="265A9A"/>
              </w:rPr>
              <w:t>Variable name</w:t>
            </w:r>
          </w:p>
        </w:tc>
        <w:tc>
          <w:tcPr>
            <w:tcW w:w="2042" w:type="pct"/>
            <w:tcBorders>
              <w:bottom w:val="single" w:sz="4" w:space="0" w:color="B3B3B3"/>
            </w:tcBorders>
            <w:shd w:val="clear" w:color="auto" w:fill="auto"/>
            <w:vAlign w:val="bottom"/>
          </w:tcPr>
          <w:p w14:paraId="4F78B1EA" w14:textId="77777777" w:rsidR="00DC5E27" w:rsidRPr="00DC5E27" w:rsidRDefault="00DC5E27" w:rsidP="00DC5E27">
            <w:pPr>
              <w:pStyle w:val="TableColumnHeading"/>
              <w:spacing w:before="45" w:after="45"/>
              <w:ind w:left="57" w:right="108"/>
              <w:jc w:val="left"/>
              <w:rPr>
                <w:rFonts w:ascii="Arial (Body)" w:hAnsi="Arial (Body)"/>
                <w:b/>
                <w:i w:val="0"/>
                <w:color w:val="265A9A"/>
              </w:rPr>
            </w:pPr>
            <w:r w:rsidRPr="00DC5E27">
              <w:rPr>
                <w:rFonts w:ascii="Arial (Body)" w:hAnsi="Arial (Body)"/>
                <w:b/>
                <w:i w:val="0"/>
                <w:color w:val="265A9A"/>
              </w:rPr>
              <w:t>Description</w:t>
            </w:r>
          </w:p>
        </w:tc>
        <w:tc>
          <w:tcPr>
            <w:tcW w:w="2043" w:type="pct"/>
            <w:tcBorders>
              <w:bottom w:val="single" w:sz="4" w:space="0" w:color="B3B3B3"/>
            </w:tcBorders>
            <w:shd w:val="clear" w:color="auto" w:fill="auto"/>
            <w:tcMar>
              <w:top w:w="28" w:type="dxa"/>
            </w:tcMar>
            <w:vAlign w:val="bottom"/>
          </w:tcPr>
          <w:p w14:paraId="644E4B1A" w14:textId="77777777" w:rsidR="00DC5E27" w:rsidRPr="00DC5E27" w:rsidRDefault="00DC5E27" w:rsidP="00DC5E27">
            <w:pPr>
              <w:pStyle w:val="TableColumnHeading"/>
              <w:spacing w:before="45" w:after="45"/>
              <w:ind w:left="57" w:right="108"/>
              <w:jc w:val="left"/>
              <w:rPr>
                <w:rFonts w:ascii="Arial (Body)" w:hAnsi="Arial (Body)"/>
                <w:b/>
                <w:i w:val="0"/>
                <w:color w:val="265A9A"/>
              </w:rPr>
            </w:pPr>
            <w:r w:rsidRPr="00DC5E27">
              <w:rPr>
                <w:rFonts w:ascii="Arial (Body)" w:hAnsi="Arial (Body)"/>
                <w:b/>
                <w:i w:val="0"/>
                <w:color w:val="265A9A"/>
              </w:rPr>
              <w:t>Data source</w:t>
            </w:r>
          </w:p>
        </w:tc>
      </w:tr>
      <w:tr w:rsidR="00DC5E27" w:rsidRPr="00DC5E27" w14:paraId="72B1FDE4" w14:textId="77777777" w:rsidTr="00536C92">
        <w:tc>
          <w:tcPr>
            <w:tcW w:w="915" w:type="pct"/>
            <w:tcBorders>
              <w:top w:val="single" w:sz="4" w:space="0" w:color="B3B3B3"/>
              <w:bottom w:val="nil"/>
            </w:tcBorders>
            <w:shd w:val="clear" w:color="auto" w:fill="F2F2F2"/>
          </w:tcPr>
          <w:p w14:paraId="7310E926" w14:textId="6292A0B1" w:rsidR="00DC5E27" w:rsidRPr="00DC5E27" w:rsidRDefault="00DC5E27" w:rsidP="00DC5E27">
            <w:pPr>
              <w:pStyle w:val="TableBodyText"/>
              <w:spacing w:before="45" w:after="45"/>
              <w:ind w:left="57" w:right="108"/>
              <w:jc w:val="left"/>
              <w:rPr>
                <w:rFonts w:ascii="Arial (Body)" w:hAnsi="Arial (Body)"/>
                <w:bCs/>
              </w:rPr>
            </w:pPr>
            <w:r w:rsidRPr="00DC5E27">
              <w:rPr>
                <w:rFonts w:ascii="Arial (Body)" w:hAnsi="Arial (Body)"/>
                <w:bCs/>
              </w:rPr>
              <w:t>Risk</w:t>
            </w:r>
            <w:r w:rsidRPr="00DC5E27">
              <w:rPr>
                <w:rFonts w:ascii="Arial (Body)" w:hAnsi="Arial (Body)"/>
                <w:bCs/>
              </w:rPr>
              <w:noBreakHyphen/>
              <w:t xml:space="preserve">free rate </w:t>
            </w:r>
            <m:oMath>
              <m:sSub>
                <m:sSubPr>
                  <m:ctrlPr>
                    <w:rPr>
                      <w:rFonts w:ascii="Cambria Math" w:hAnsi="Cambria Math"/>
                      <w:bCs/>
                    </w:rPr>
                  </m:ctrlPr>
                </m:sSubPr>
                <m:e>
                  <m:r>
                    <m:rPr>
                      <m:sty m:val="p"/>
                    </m:rPr>
                    <w:rPr>
                      <w:rFonts w:ascii="Cambria Math" w:hAnsi="Cambria Math"/>
                    </w:rPr>
                    <m:t>(</m:t>
                  </m:r>
                  <m:r>
                    <w:rPr>
                      <w:rFonts w:ascii="Cambria Math" w:hAnsi="Cambria Math"/>
                    </w:rPr>
                    <m:t>r</m:t>
                  </m:r>
                </m:e>
                <m:sub>
                  <m:r>
                    <w:rPr>
                      <w:rFonts w:ascii="Cambria Math" w:hAnsi="Cambria Math"/>
                    </w:rPr>
                    <m:t>f</m:t>
                  </m:r>
                </m:sub>
              </m:sSub>
              <m:r>
                <m:rPr>
                  <m:sty m:val="p"/>
                </m:rPr>
                <w:rPr>
                  <w:rFonts w:ascii="Cambria Math" w:hAnsi="Cambria Math"/>
                </w:rPr>
                <m:t>)</m:t>
              </m:r>
            </m:oMath>
          </w:p>
        </w:tc>
        <w:tc>
          <w:tcPr>
            <w:tcW w:w="2042" w:type="pct"/>
            <w:tcBorders>
              <w:top w:val="single" w:sz="4" w:space="0" w:color="B3B3B3"/>
              <w:bottom w:val="nil"/>
            </w:tcBorders>
            <w:shd w:val="clear" w:color="auto" w:fill="F2F2F2"/>
          </w:tcPr>
          <w:p w14:paraId="6ACD5EF2"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The average quarterly two</w:t>
            </w:r>
            <w:r w:rsidRPr="00DC5E27">
              <w:rPr>
                <w:rFonts w:ascii="Arial (Body)" w:hAnsi="Arial (Body)"/>
                <w:color w:val="000000"/>
              </w:rPr>
              <w:noBreakHyphen/>
              <w:t>year government bond yield less quarterly two</w:t>
            </w:r>
            <w:r w:rsidRPr="00DC5E27">
              <w:rPr>
                <w:rFonts w:ascii="Arial (Body)" w:hAnsi="Arial (Body)"/>
                <w:color w:val="000000"/>
              </w:rPr>
              <w:noBreakHyphen/>
              <w:t>year inflation expectations</w:t>
            </w:r>
          </w:p>
        </w:tc>
        <w:tc>
          <w:tcPr>
            <w:tcW w:w="2043" w:type="pct"/>
            <w:tcBorders>
              <w:top w:val="single" w:sz="4" w:space="0" w:color="B3B3B3"/>
              <w:bottom w:val="nil"/>
            </w:tcBorders>
            <w:shd w:val="clear" w:color="auto" w:fill="F2F2F2"/>
          </w:tcPr>
          <w:p w14:paraId="63C06BC3"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RBA (</w:t>
            </w:r>
            <w:r w:rsidRPr="00370401">
              <w:rPr>
                <w:rFonts w:ascii="Arial (Body)" w:hAnsi="Arial (Body)"/>
                <w:i/>
                <w:color w:val="000000"/>
              </w:rPr>
              <w:t>F2.1 Capital market yields – government bonds</w:t>
            </w:r>
            <w:r w:rsidRPr="00DC5E27">
              <w:rPr>
                <w:rFonts w:ascii="Arial (Body)" w:hAnsi="Arial (Body)"/>
                <w:color w:val="000000"/>
              </w:rPr>
              <w:t>, 2021)</w:t>
            </w:r>
          </w:p>
          <w:p w14:paraId="67F30FCC"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RBA (</w:t>
            </w:r>
            <w:r w:rsidRPr="00370401">
              <w:rPr>
                <w:rFonts w:ascii="Arial (Body)" w:hAnsi="Arial (Body)"/>
                <w:i/>
                <w:color w:val="000000"/>
              </w:rPr>
              <w:t>G3 Inflation expectations</w:t>
            </w:r>
            <w:r w:rsidRPr="00DC5E27">
              <w:rPr>
                <w:rFonts w:ascii="Arial (Body)" w:hAnsi="Arial (Body)"/>
                <w:color w:val="000000"/>
              </w:rPr>
              <w:t>, 2021)</w:t>
            </w:r>
          </w:p>
        </w:tc>
      </w:tr>
      <w:tr w:rsidR="00DC5E27" w:rsidRPr="00DC5E27" w14:paraId="73B12C23" w14:textId="77777777" w:rsidTr="00536C92">
        <w:tc>
          <w:tcPr>
            <w:tcW w:w="915" w:type="pct"/>
            <w:tcBorders>
              <w:top w:val="nil"/>
              <w:bottom w:val="nil"/>
            </w:tcBorders>
            <w:shd w:val="clear" w:color="auto" w:fill="auto"/>
          </w:tcPr>
          <w:p w14:paraId="31660C8A" w14:textId="28E59CE7" w:rsidR="00DC5E27" w:rsidRPr="00DC5E27" w:rsidRDefault="00DC5E27" w:rsidP="00DC5E27">
            <w:pPr>
              <w:pStyle w:val="TableBodyText"/>
              <w:spacing w:before="45" w:after="45"/>
              <w:ind w:left="57" w:right="108"/>
              <w:jc w:val="left"/>
              <w:rPr>
                <w:rFonts w:ascii="Arial (Body)" w:hAnsi="Arial (Body)"/>
                <w:bCs/>
              </w:rPr>
            </w:pPr>
            <w:r w:rsidRPr="00DC5E27">
              <w:rPr>
                <w:rFonts w:ascii="Arial (Body)" w:hAnsi="Arial (Body)"/>
                <w:bCs/>
              </w:rPr>
              <w:t>Gross profitability of capital (</w:t>
            </w:r>
            <m:oMath>
              <m:r>
                <m:rPr>
                  <m:sty m:val="p"/>
                </m:rPr>
                <w:rPr>
                  <w:rFonts w:ascii="Cambria Math" w:hAnsi="Cambria Math"/>
                </w:rPr>
                <m:t>Π/</m:t>
              </m:r>
              <m:r>
                <w:rPr>
                  <w:rFonts w:ascii="Cambria Math" w:hAnsi="Cambria Math"/>
                </w:rPr>
                <m:t>K</m:t>
              </m:r>
            </m:oMath>
            <w:r w:rsidRPr="00DC5E27">
              <w:rPr>
                <w:rFonts w:ascii="Arial (Body)" w:hAnsi="Arial (Body)"/>
                <w:bCs/>
              </w:rPr>
              <w:t>)</w:t>
            </w:r>
          </w:p>
        </w:tc>
        <w:tc>
          <w:tcPr>
            <w:tcW w:w="2042" w:type="pct"/>
            <w:tcBorders>
              <w:top w:val="nil"/>
              <w:bottom w:val="nil"/>
            </w:tcBorders>
            <w:shd w:val="clear" w:color="auto" w:fill="auto"/>
          </w:tcPr>
          <w:p w14:paraId="32FBD596"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The ratio of capital income to gross domestic output (GDP) divided by the ratio of end of year net capital stock to GDP (current prices)</w:t>
            </w:r>
          </w:p>
        </w:tc>
        <w:tc>
          <w:tcPr>
            <w:tcW w:w="2043" w:type="pct"/>
            <w:tcBorders>
              <w:top w:val="nil"/>
              <w:bottom w:val="nil"/>
            </w:tcBorders>
            <w:shd w:val="clear" w:color="auto" w:fill="auto"/>
          </w:tcPr>
          <w:p w14:paraId="023DB1F7"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ABS (</w:t>
            </w:r>
            <w:r w:rsidRPr="00370401">
              <w:rPr>
                <w:rFonts w:ascii="Arial (Body)" w:hAnsi="Arial (Body)"/>
                <w:i/>
                <w:color w:val="000000"/>
              </w:rPr>
              <w:t>Estimates of Industry Multifactor Productivity</w:t>
            </w:r>
            <w:r w:rsidRPr="00DC5E27">
              <w:rPr>
                <w:rFonts w:ascii="Arial (Body)" w:hAnsi="Arial (Body)"/>
                <w:color w:val="000000"/>
              </w:rPr>
              <w:t>,</w:t>
            </w:r>
            <w:r w:rsidRPr="00DC5E27">
              <w:rPr>
                <w:rFonts w:ascii="Arial (Body)" w:hAnsi="Arial (Body)"/>
                <w:iCs/>
                <w:color w:val="000000"/>
              </w:rPr>
              <w:t xml:space="preserve"> Australia,</w:t>
            </w:r>
            <w:r w:rsidRPr="00DC5E27">
              <w:rPr>
                <w:rFonts w:ascii="Arial (Body)" w:hAnsi="Arial (Body)"/>
                <w:color w:val="000000"/>
              </w:rPr>
              <w:t xml:space="preserve"> December 2021, Cat. no. 5260.0.55.022, table 2)</w:t>
            </w:r>
          </w:p>
          <w:p w14:paraId="13E0F560"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ABS (</w:t>
            </w:r>
            <w:r w:rsidRPr="00370401">
              <w:rPr>
                <w:rFonts w:ascii="Arial (Body)" w:hAnsi="Arial (Body)"/>
                <w:i/>
                <w:color w:val="000000"/>
              </w:rPr>
              <w:t>Australian System of National Accounts</w:t>
            </w:r>
            <w:r w:rsidRPr="00DC5E27">
              <w:rPr>
                <w:rFonts w:ascii="Arial (Body)" w:hAnsi="Arial (Body)"/>
                <w:color w:val="000000"/>
              </w:rPr>
              <w:t xml:space="preserve">, June 2021, Cat. no. 5204, table 56) </w:t>
            </w:r>
          </w:p>
          <w:p w14:paraId="38321089"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ABS (</w:t>
            </w:r>
            <w:r w:rsidRPr="00370401">
              <w:rPr>
                <w:rFonts w:ascii="Arial (Body)" w:hAnsi="Arial (Body)"/>
                <w:i/>
                <w:color w:val="000000"/>
              </w:rPr>
              <w:t>Australian National Accounts: National income, Expenditure and Product</w:t>
            </w:r>
            <w:r w:rsidRPr="00DC5E27">
              <w:rPr>
                <w:rFonts w:ascii="Arial (Body)" w:hAnsi="Arial (Body)"/>
                <w:color w:val="000000"/>
              </w:rPr>
              <w:t>, September 2021, Cat. no. 5206, table 3)</w:t>
            </w:r>
          </w:p>
        </w:tc>
      </w:tr>
      <w:tr w:rsidR="00DC5E27" w:rsidRPr="00DC5E27" w14:paraId="0ADF72E3" w14:textId="77777777" w:rsidTr="00536C92">
        <w:tc>
          <w:tcPr>
            <w:tcW w:w="915" w:type="pct"/>
            <w:tcBorders>
              <w:bottom w:val="nil"/>
            </w:tcBorders>
            <w:shd w:val="clear" w:color="auto" w:fill="F2F2F2"/>
          </w:tcPr>
          <w:p w14:paraId="6EF728C8" w14:textId="1D3FCA89" w:rsidR="00DC5E27" w:rsidRPr="00DC5E27" w:rsidRDefault="00DC5E27" w:rsidP="00DC5E27">
            <w:pPr>
              <w:pStyle w:val="TableBodyText"/>
              <w:spacing w:before="45" w:after="45"/>
              <w:ind w:left="57" w:right="108"/>
              <w:jc w:val="left"/>
              <w:rPr>
                <w:rFonts w:ascii="Arial (Body)" w:hAnsi="Arial (Body)"/>
                <w:bCs/>
              </w:rPr>
            </w:pPr>
            <w:r w:rsidRPr="00DC5E27">
              <w:rPr>
                <w:rFonts w:ascii="Arial (Body)" w:hAnsi="Arial (Body)"/>
                <w:bCs/>
              </w:rPr>
              <w:t>Price</w:t>
            </w:r>
            <w:r w:rsidRPr="00DC5E27">
              <w:rPr>
                <w:rFonts w:ascii="Arial (Body)" w:hAnsi="Arial (Body)"/>
                <w:bCs/>
              </w:rPr>
              <w:noBreakHyphen/>
              <w:t xml:space="preserve">dividend ratio </w:t>
            </w:r>
            <m:oMath>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m:t>
              </m:r>
              <m:r>
                <m:rPr>
                  <m:sty m:val="p"/>
                </m:rPr>
                <w:rPr>
                  <w:rFonts w:ascii="Cambria Math" w:hAnsi="Cambria Math"/>
                </w:rPr>
                <m:t>)</m:t>
              </m:r>
            </m:oMath>
          </w:p>
        </w:tc>
        <w:tc>
          <w:tcPr>
            <w:tcW w:w="2042" w:type="pct"/>
            <w:tcBorders>
              <w:bottom w:val="nil"/>
            </w:tcBorders>
            <w:shd w:val="clear" w:color="auto" w:fill="F2F2F2"/>
          </w:tcPr>
          <w:p w14:paraId="1AE47A6B"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The inverse of the quarterly average market</w:t>
            </w:r>
            <w:r w:rsidRPr="00DC5E27">
              <w:rPr>
                <w:rFonts w:ascii="Arial (Body)" w:hAnsi="Arial (Body)"/>
                <w:color w:val="000000"/>
              </w:rPr>
              <w:noBreakHyphen/>
              <w:t>cap weighted dividend yield for the Australian stock market</w:t>
            </w:r>
          </w:p>
        </w:tc>
        <w:tc>
          <w:tcPr>
            <w:tcW w:w="2043" w:type="pct"/>
            <w:tcBorders>
              <w:bottom w:val="nil"/>
            </w:tcBorders>
            <w:shd w:val="clear" w:color="auto" w:fill="F2F2F2"/>
          </w:tcPr>
          <w:p w14:paraId="4A3914CA"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Market Index (2021)</w:t>
            </w:r>
          </w:p>
        </w:tc>
      </w:tr>
      <w:tr w:rsidR="00DC5E27" w:rsidRPr="00DC5E27" w14:paraId="00462C18" w14:textId="77777777" w:rsidTr="00536C92">
        <w:tc>
          <w:tcPr>
            <w:tcW w:w="915" w:type="pct"/>
            <w:tcBorders>
              <w:top w:val="nil"/>
              <w:bottom w:val="nil"/>
            </w:tcBorders>
            <w:shd w:val="clear" w:color="auto" w:fill="auto"/>
          </w:tcPr>
          <w:p w14:paraId="3947185A" w14:textId="32DDA14C" w:rsidR="00DC5E27" w:rsidRPr="00DC5E27" w:rsidRDefault="00DC5E27" w:rsidP="00DC5E27">
            <w:pPr>
              <w:pStyle w:val="TableBodyText"/>
              <w:spacing w:before="45" w:after="45"/>
              <w:ind w:left="57" w:right="108"/>
              <w:jc w:val="left"/>
              <w:rPr>
                <w:rFonts w:ascii="Arial (Body)" w:hAnsi="Arial (Body)"/>
                <w:bCs/>
              </w:rPr>
            </w:pPr>
            <w:r w:rsidRPr="00DC5E27">
              <w:rPr>
                <w:rFonts w:ascii="Arial (Body)" w:hAnsi="Arial (Body)"/>
                <w:bCs/>
              </w:rPr>
              <w:t>Investment</w:t>
            </w:r>
            <w:r w:rsidRPr="00DC5E27">
              <w:rPr>
                <w:rFonts w:ascii="Arial (Body)" w:hAnsi="Arial (Body)"/>
                <w:bCs/>
              </w:rPr>
              <w:noBreakHyphen/>
              <w:t>capital ratio (</w:t>
            </w:r>
            <m:oMath>
              <m:r>
                <w:rPr>
                  <w:rFonts w:ascii="Cambria Math" w:hAnsi="Cambria Math"/>
                  <w:szCs w:val="22"/>
                </w:rPr>
                <m:t>I</m:t>
              </m:r>
              <m:r>
                <m:rPr>
                  <m:sty m:val="p"/>
                </m:rPr>
                <w:rPr>
                  <w:rFonts w:ascii="Cambria Math" w:hAnsi="Cambria Math"/>
                  <w:szCs w:val="22"/>
                </w:rPr>
                <m:t>/</m:t>
              </m:r>
              <m:r>
                <w:rPr>
                  <w:rFonts w:ascii="Cambria Math" w:hAnsi="Cambria Math"/>
                  <w:szCs w:val="22"/>
                </w:rPr>
                <m:t>K</m:t>
              </m:r>
              <m:r>
                <m:rPr>
                  <m:sty m:val="p"/>
                </m:rPr>
                <w:rPr>
                  <w:rFonts w:ascii="Cambria Math" w:hAnsi="Cambria Math"/>
                  <w:szCs w:val="22"/>
                </w:rPr>
                <m:t>)</m:t>
              </m:r>
            </m:oMath>
          </w:p>
        </w:tc>
        <w:tc>
          <w:tcPr>
            <w:tcW w:w="2042" w:type="pct"/>
            <w:tcBorders>
              <w:top w:val="nil"/>
              <w:bottom w:val="nil"/>
            </w:tcBorders>
            <w:shd w:val="clear" w:color="auto" w:fill="auto"/>
          </w:tcPr>
          <w:p w14:paraId="777DFCC6"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The gross private capital accumulation (seasonally adjusted) divided by the total end of year net capital stock (current prices).</w:t>
            </w:r>
          </w:p>
        </w:tc>
        <w:tc>
          <w:tcPr>
            <w:tcW w:w="2043" w:type="pct"/>
            <w:tcBorders>
              <w:top w:val="nil"/>
              <w:bottom w:val="nil"/>
            </w:tcBorders>
            <w:shd w:val="clear" w:color="auto" w:fill="auto"/>
          </w:tcPr>
          <w:p w14:paraId="37572E18"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ABS (</w:t>
            </w:r>
            <w:r w:rsidRPr="00370401">
              <w:rPr>
                <w:rFonts w:ascii="Arial (Body)" w:hAnsi="Arial (Body)"/>
                <w:i/>
                <w:color w:val="000000"/>
              </w:rPr>
              <w:t>Australian National Accounts: National income, Expenditure and Product</w:t>
            </w:r>
            <w:r w:rsidRPr="00DC5E27">
              <w:rPr>
                <w:rFonts w:ascii="Arial (Body)" w:hAnsi="Arial (Body)"/>
                <w:color w:val="000000"/>
              </w:rPr>
              <w:t>, September 2021, Cat. no. 5206, table 3)</w:t>
            </w:r>
          </w:p>
          <w:p w14:paraId="2690136E"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ABS (</w:t>
            </w:r>
            <w:r w:rsidRPr="00370401">
              <w:rPr>
                <w:rFonts w:ascii="Arial (Body)" w:hAnsi="Arial (Body)"/>
                <w:i/>
                <w:color w:val="000000"/>
              </w:rPr>
              <w:t>Australian System of National Accounts</w:t>
            </w:r>
            <w:r w:rsidRPr="00DC5E27">
              <w:rPr>
                <w:rFonts w:ascii="Arial (Body)" w:hAnsi="Arial (Body)"/>
                <w:color w:val="000000"/>
              </w:rPr>
              <w:t>, June 2021, Cat. no. 5204, table 56)</w:t>
            </w:r>
          </w:p>
        </w:tc>
      </w:tr>
      <w:tr w:rsidR="00DC5E27" w:rsidRPr="00DC5E27" w14:paraId="104EB8F3" w14:textId="77777777" w:rsidTr="00536C92">
        <w:tc>
          <w:tcPr>
            <w:tcW w:w="915" w:type="pct"/>
            <w:tcBorders>
              <w:bottom w:val="nil"/>
            </w:tcBorders>
            <w:shd w:val="clear" w:color="auto" w:fill="F2F2F2"/>
          </w:tcPr>
          <w:p w14:paraId="1F1652FD" w14:textId="17FB7784" w:rsidR="00DC5E27" w:rsidRPr="00DC5E27" w:rsidRDefault="00DC5E27" w:rsidP="00DC5E27">
            <w:pPr>
              <w:pStyle w:val="TableBodyText"/>
              <w:spacing w:before="45" w:after="45"/>
              <w:ind w:left="57" w:right="108"/>
              <w:jc w:val="left"/>
              <w:rPr>
                <w:rFonts w:ascii="Arial (Body)" w:hAnsi="Arial (Body)"/>
                <w:bCs/>
              </w:rPr>
            </w:pPr>
            <w:r w:rsidRPr="00DC5E27">
              <w:rPr>
                <w:rFonts w:ascii="Arial (Body)" w:hAnsi="Arial (Body)"/>
                <w:bCs/>
              </w:rPr>
              <w:t>Labour share of income (</w:t>
            </w:r>
            <m:oMath>
              <m:sSub>
                <m:sSubPr>
                  <m:ctrlPr>
                    <w:rPr>
                      <w:rFonts w:ascii="Cambria Math" w:hAnsi="Cambria Math"/>
                      <w:bCs/>
                    </w:rPr>
                  </m:ctrlPr>
                </m:sSubPr>
                <m:e>
                  <m:r>
                    <w:rPr>
                      <w:rFonts w:ascii="Cambria Math" w:hAnsi="Cambria Math"/>
                    </w:rPr>
                    <m:t>s</m:t>
                  </m:r>
                </m:e>
                <m:sub>
                  <m:r>
                    <w:rPr>
                      <w:rFonts w:ascii="Cambria Math" w:hAnsi="Cambria Math"/>
                    </w:rPr>
                    <m:t>L</m:t>
                  </m:r>
                </m:sub>
              </m:sSub>
            </m:oMath>
            <w:r w:rsidRPr="00DC5E27">
              <w:rPr>
                <w:rFonts w:ascii="Arial (Body)" w:hAnsi="Arial (Body)"/>
                <w:bCs/>
              </w:rPr>
              <w:t>)</w:t>
            </w:r>
          </w:p>
        </w:tc>
        <w:tc>
          <w:tcPr>
            <w:tcW w:w="2042" w:type="pct"/>
            <w:tcBorders>
              <w:bottom w:val="nil"/>
            </w:tcBorders>
            <w:shd w:val="clear" w:color="auto" w:fill="F2F2F2"/>
          </w:tcPr>
          <w:p w14:paraId="367A6537"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The ratio of labour income to GDP</w:t>
            </w:r>
          </w:p>
        </w:tc>
        <w:tc>
          <w:tcPr>
            <w:tcW w:w="2043" w:type="pct"/>
            <w:tcBorders>
              <w:bottom w:val="nil"/>
            </w:tcBorders>
            <w:shd w:val="clear" w:color="auto" w:fill="F2F2F2"/>
          </w:tcPr>
          <w:p w14:paraId="1089C4C7"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ABS (</w:t>
            </w:r>
            <w:r w:rsidRPr="00370401">
              <w:rPr>
                <w:rFonts w:ascii="Arial (Body)" w:hAnsi="Arial (Body)"/>
                <w:i/>
                <w:color w:val="000000"/>
              </w:rPr>
              <w:t>Estimates of Industry Multifactor Productivity</w:t>
            </w:r>
            <w:r w:rsidRPr="00DC5E27">
              <w:rPr>
                <w:rFonts w:ascii="Arial (Body)" w:hAnsi="Arial (Body)"/>
                <w:iCs/>
                <w:color w:val="000000"/>
              </w:rPr>
              <w:t>,</w:t>
            </w:r>
            <w:r w:rsidRPr="00DC5E27">
              <w:rPr>
                <w:rFonts w:ascii="Arial (Body)" w:hAnsi="Arial (Body)"/>
                <w:color w:val="000000"/>
              </w:rPr>
              <w:t xml:space="preserve"> </w:t>
            </w:r>
            <w:r w:rsidRPr="00DC5E27">
              <w:rPr>
                <w:rFonts w:ascii="Arial (Body)" w:hAnsi="Arial (Body)"/>
                <w:iCs/>
                <w:color w:val="000000"/>
              </w:rPr>
              <w:t>Australia</w:t>
            </w:r>
            <w:r w:rsidRPr="00DC5E27">
              <w:rPr>
                <w:rFonts w:ascii="Arial (Body)" w:hAnsi="Arial (Body)"/>
                <w:color w:val="000000"/>
              </w:rPr>
              <w:t>, December 2021, Cat. no. 5260.0.55.022, table 2)</w:t>
            </w:r>
          </w:p>
        </w:tc>
      </w:tr>
      <w:tr w:rsidR="00DC5E27" w:rsidRPr="00DC5E27" w14:paraId="678EFA8B" w14:textId="77777777" w:rsidTr="00536C92">
        <w:tc>
          <w:tcPr>
            <w:tcW w:w="915" w:type="pct"/>
            <w:tcBorders>
              <w:top w:val="nil"/>
              <w:bottom w:val="nil"/>
            </w:tcBorders>
            <w:shd w:val="clear" w:color="auto" w:fill="auto"/>
          </w:tcPr>
          <w:p w14:paraId="3719EDA9" w14:textId="7A9857AA" w:rsidR="00DC5E27" w:rsidRPr="00DC5E27" w:rsidRDefault="00DC5E27" w:rsidP="00DC5E27">
            <w:pPr>
              <w:pStyle w:val="TableBodyText"/>
              <w:spacing w:before="45" w:after="45"/>
              <w:ind w:left="57" w:right="108"/>
              <w:jc w:val="left"/>
              <w:rPr>
                <w:rFonts w:ascii="Arial (Body)" w:hAnsi="Arial (Body)"/>
                <w:bCs/>
              </w:rPr>
            </w:pPr>
            <w:r w:rsidRPr="00DC5E27">
              <w:rPr>
                <w:rFonts w:ascii="Arial (Body)" w:hAnsi="Arial (Body)"/>
                <w:bCs/>
              </w:rPr>
              <w:t xml:space="preserve">Total factor productivity growth </w:t>
            </w:r>
            <m:oMath>
              <m:r>
                <m:rPr>
                  <m:sty m:val="p"/>
                </m:rP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Z</m:t>
                  </m:r>
                </m:sub>
              </m:sSub>
              <m:r>
                <m:rPr>
                  <m:sty m:val="p"/>
                </m:rPr>
                <w:rPr>
                  <w:rFonts w:ascii="Cambria Math" w:hAnsi="Cambria Math"/>
                </w:rPr>
                <m:t>)</m:t>
              </m:r>
            </m:oMath>
          </w:p>
        </w:tc>
        <w:tc>
          <w:tcPr>
            <w:tcW w:w="2042" w:type="pct"/>
            <w:tcBorders>
              <w:top w:val="nil"/>
              <w:bottom w:val="nil"/>
            </w:tcBorders>
            <w:shd w:val="clear" w:color="auto" w:fill="auto"/>
          </w:tcPr>
          <w:p w14:paraId="78BF4CC0"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The quality adjusted annual growth rate of the market sector multifactor productivity index</w:t>
            </w:r>
          </w:p>
        </w:tc>
        <w:tc>
          <w:tcPr>
            <w:tcW w:w="2043" w:type="pct"/>
            <w:tcBorders>
              <w:top w:val="nil"/>
              <w:bottom w:val="nil"/>
            </w:tcBorders>
            <w:shd w:val="clear" w:color="auto" w:fill="auto"/>
          </w:tcPr>
          <w:p w14:paraId="5DF05237"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ABS (</w:t>
            </w:r>
            <w:r w:rsidRPr="00370401">
              <w:rPr>
                <w:rFonts w:ascii="Arial (Body)" w:hAnsi="Arial (Body)"/>
                <w:i/>
                <w:color w:val="000000"/>
              </w:rPr>
              <w:t>Estimates of Industry Multifactor Productivity</w:t>
            </w:r>
            <w:r w:rsidRPr="00DC5E27">
              <w:rPr>
                <w:rFonts w:ascii="Arial (Body)" w:hAnsi="Arial (Body)"/>
                <w:iCs/>
                <w:color w:val="000000"/>
              </w:rPr>
              <w:t>,</w:t>
            </w:r>
            <w:r w:rsidRPr="00DC5E27">
              <w:rPr>
                <w:rFonts w:ascii="Arial (Body)" w:hAnsi="Arial (Body)"/>
                <w:color w:val="000000"/>
              </w:rPr>
              <w:t xml:space="preserve"> </w:t>
            </w:r>
            <w:r w:rsidRPr="00DC5E27">
              <w:rPr>
                <w:rFonts w:ascii="Arial (Body)" w:hAnsi="Arial (Body)"/>
                <w:iCs/>
                <w:color w:val="000000"/>
              </w:rPr>
              <w:t>Australia</w:t>
            </w:r>
            <w:r w:rsidRPr="00DC5E27">
              <w:rPr>
                <w:rFonts w:ascii="Arial (Body)" w:hAnsi="Arial (Body)"/>
                <w:color w:val="000000"/>
              </w:rPr>
              <w:t xml:space="preserve">, December 2021, Cat. no. 5260.0.55.022, table 2) </w:t>
            </w:r>
          </w:p>
        </w:tc>
      </w:tr>
      <w:tr w:rsidR="00DC5E27" w:rsidRPr="00DC5E27" w14:paraId="076EA8C9" w14:textId="77777777" w:rsidTr="00536C92">
        <w:tc>
          <w:tcPr>
            <w:tcW w:w="915" w:type="pct"/>
            <w:tcBorders>
              <w:bottom w:val="nil"/>
            </w:tcBorders>
            <w:shd w:val="clear" w:color="auto" w:fill="F2F2F2"/>
          </w:tcPr>
          <w:p w14:paraId="732E9C48" w14:textId="33103384" w:rsidR="00DC5E27" w:rsidRPr="00DC5E27" w:rsidRDefault="00DC5E27" w:rsidP="00DC5E27">
            <w:pPr>
              <w:pStyle w:val="TableBodyText"/>
              <w:spacing w:before="45" w:after="45"/>
              <w:ind w:left="57" w:right="108"/>
              <w:jc w:val="left"/>
              <w:rPr>
                <w:rFonts w:ascii="Arial (Body)" w:hAnsi="Arial (Body)"/>
                <w:bCs/>
              </w:rPr>
            </w:pPr>
            <w:r w:rsidRPr="00DC5E27">
              <w:rPr>
                <w:rFonts w:ascii="Arial (Body)" w:hAnsi="Arial (Body)"/>
                <w:bCs/>
              </w:rPr>
              <w:t xml:space="preserve">Population growth </w:t>
            </w:r>
            <m:oMath>
              <m:r>
                <m:rPr>
                  <m:sty m:val="p"/>
                </m:rP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L</m:t>
                  </m:r>
                </m:sub>
              </m:sSub>
              <m:r>
                <m:rPr>
                  <m:sty m:val="p"/>
                </m:rPr>
                <w:rPr>
                  <w:rFonts w:ascii="Cambria Math" w:hAnsi="Cambria Math"/>
                </w:rPr>
                <m:t>)</m:t>
              </m:r>
            </m:oMath>
          </w:p>
        </w:tc>
        <w:tc>
          <w:tcPr>
            <w:tcW w:w="2042" w:type="pct"/>
            <w:tcBorders>
              <w:bottom w:val="nil"/>
            </w:tcBorders>
            <w:shd w:val="clear" w:color="auto" w:fill="F2F2F2"/>
          </w:tcPr>
          <w:p w14:paraId="5E2E64AD"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Quarterly population growth using the estimated residential population of Australia</w:t>
            </w:r>
          </w:p>
        </w:tc>
        <w:tc>
          <w:tcPr>
            <w:tcW w:w="2043" w:type="pct"/>
            <w:tcBorders>
              <w:bottom w:val="nil"/>
            </w:tcBorders>
            <w:shd w:val="clear" w:color="auto" w:fill="F2F2F2"/>
          </w:tcPr>
          <w:p w14:paraId="34D917B1"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ABS (</w:t>
            </w:r>
            <w:r w:rsidRPr="00370401">
              <w:rPr>
                <w:rFonts w:ascii="Arial (Body)" w:hAnsi="Arial (Body)"/>
                <w:i/>
                <w:color w:val="000000"/>
              </w:rPr>
              <w:t>National, state and territory population</w:t>
            </w:r>
            <w:r w:rsidRPr="00DC5E27">
              <w:rPr>
                <w:rFonts w:ascii="Arial (Body)" w:hAnsi="Arial (Body)"/>
                <w:color w:val="000000"/>
              </w:rPr>
              <w:t xml:space="preserve">, November 2021, Cat. no. 3101.0, table 1) </w:t>
            </w:r>
          </w:p>
        </w:tc>
      </w:tr>
      <w:tr w:rsidR="00DC5E27" w:rsidRPr="00DC5E27" w14:paraId="3D9875AF" w14:textId="77777777" w:rsidTr="00536C92">
        <w:tc>
          <w:tcPr>
            <w:tcW w:w="915" w:type="pct"/>
            <w:tcBorders>
              <w:top w:val="nil"/>
              <w:bottom w:val="nil"/>
            </w:tcBorders>
            <w:shd w:val="clear" w:color="auto" w:fill="auto"/>
          </w:tcPr>
          <w:p w14:paraId="240339FA" w14:textId="77777777" w:rsidR="00CD0101" w:rsidRDefault="00DC5E27" w:rsidP="00DC5E27">
            <w:pPr>
              <w:pStyle w:val="TableBodyText"/>
              <w:spacing w:before="45" w:after="45"/>
              <w:ind w:left="57" w:right="108"/>
              <w:jc w:val="left"/>
              <w:rPr>
                <w:rFonts w:ascii="Arial (Body)" w:hAnsi="Arial (Body)"/>
                <w:bCs/>
              </w:rPr>
            </w:pPr>
            <w:r w:rsidRPr="00DC5E27">
              <w:rPr>
                <w:rFonts w:ascii="Arial (Body)" w:hAnsi="Arial (Body)"/>
                <w:bCs/>
              </w:rPr>
              <w:t>Employment</w:t>
            </w:r>
            <w:r w:rsidRPr="00DC5E27">
              <w:rPr>
                <w:rFonts w:ascii="Arial (Body)" w:hAnsi="Arial (Body)"/>
                <w:bCs/>
              </w:rPr>
              <w:noBreakHyphen/>
              <w:t>to</w:t>
            </w:r>
            <w:r w:rsidRPr="00DC5E27">
              <w:rPr>
                <w:rFonts w:ascii="Arial (Body)" w:hAnsi="Arial (Body)"/>
                <w:bCs/>
              </w:rPr>
              <w:noBreakHyphen/>
            </w:r>
          </w:p>
          <w:p w14:paraId="5D93C8B0" w14:textId="77777777" w:rsidR="00CD0101" w:rsidRDefault="00DC5E27" w:rsidP="00DC5E27">
            <w:pPr>
              <w:pStyle w:val="TableBodyText"/>
              <w:spacing w:before="45" w:after="45"/>
              <w:ind w:left="57" w:right="108"/>
              <w:jc w:val="left"/>
              <w:rPr>
                <w:rFonts w:ascii="Arial (Body)" w:hAnsi="Arial (Body)"/>
                <w:bCs/>
              </w:rPr>
            </w:pPr>
            <w:r w:rsidRPr="00DC5E27">
              <w:rPr>
                <w:rFonts w:ascii="Arial (Body)" w:hAnsi="Arial (Body)"/>
                <w:bCs/>
              </w:rPr>
              <w:t xml:space="preserve">population ratio </w:t>
            </w:r>
          </w:p>
          <w:p w14:paraId="3B4DE56F" w14:textId="3264BC2D" w:rsidR="00DC5E27" w:rsidRPr="00CD0101" w:rsidRDefault="00DC5E27" w:rsidP="00DC5E27">
            <w:pPr>
              <w:pStyle w:val="TableBodyText"/>
              <w:spacing w:before="45" w:after="45"/>
              <w:ind w:left="57" w:right="108"/>
              <w:jc w:val="left"/>
              <w:rPr>
                <w:rFonts w:ascii="Arial (Body)" w:hAnsi="Arial (Body)"/>
                <w:bCs/>
              </w:rPr>
            </w:pPr>
            <m:oMathPara>
              <m:oMathParaPr>
                <m:jc m:val="left"/>
              </m:oMathParaPr>
              <m:oMath>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P</m:t>
                </m:r>
                <m:r>
                  <m:rPr>
                    <m:sty m:val="p"/>
                  </m:rPr>
                  <w:rPr>
                    <w:rFonts w:ascii="Cambria Math" w:hAnsi="Cambria Math"/>
                  </w:rPr>
                  <m:t>)</m:t>
                </m:r>
              </m:oMath>
            </m:oMathPara>
          </w:p>
        </w:tc>
        <w:tc>
          <w:tcPr>
            <w:tcW w:w="2042" w:type="pct"/>
            <w:tcBorders>
              <w:top w:val="nil"/>
              <w:bottom w:val="nil"/>
            </w:tcBorders>
            <w:shd w:val="clear" w:color="auto" w:fill="auto"/>
          </w:tcPr>
          <w:p w14:paraId="3667B8EE"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The quarterly average number of people aged 15 years and over that are employed as a percentage of the quarterly average civilian population aged 15 years and over</w:t>
            </w:r>
          </w:p>
        </w:tc>
        <w:tc>
          <w:tcPr>
            <w:tcW w:w="2043" w:type="pct"/>
            <w:tcBorders>
              <w:top w:val="nil"/>
              <w:bottom w:val="nil"/>
            </w:tcBorders>
            <w:shd w:val="clear" w:color="auto" w:fill="auto"/>
          </w:tcPr>
          <w:p w14:paraId="442E41A0" w14:textId="77777777" w:rsidR="00DC5E27" w:rsidRPr="00DC5E27" w:rsidRDefault="00DC5E27" w:rsidP="00DC5E27">
            <w:pPr>
              <w:pStyle w:val="TableBodyText"/>
              <w:spacing w:before="45" w:after="45"/>
              <w:ind w:left="57" w:right="108"/>
              <w:jc w:val="left"/>
              <w:rPr>
                <w:rFonts w:ascii="Arial (Body)" w:hAnsi="Arial (Body)"/>
                <w:color w:val="000000"/>
              </w:rPr>
            </w:pPr>
            <w:r w:rsidRPr="00DC5E27">
              <w:rPr>
                <w:rFonts w:ascii="Arial (Body)" w:hAnsi="Arial (Body)"/>
                <w:color w:val="000000"/>
              </w:rPr>
              <w:t>ABS (</w:t>
            </w:r>
            <w:r w:rsidRPr="00370401">
              <w:rPr>
                <w:rFonts w:ascii="Arial (Body)" w:hAnsi="Arial (Body)"/>
                <w:i/>
                <w:color w:val="000000"/>
              </w:rPr>
              <w:t>Labour Force, Australia, Detailed</w:t>
            </w:r>
            <w:r w:rsidRPr="00DC5E27">
              <w:rPr>
                <w:rFonts w:ascii="Arial (Body)" w:hAnsi="Arial (Body)"/>
                <w:color w:val="000000"/>
              </w:rPr>
              <w:t xml:space="preserve">, November 2021, Cat. no. 6291.0.55.001, table 1) </w:t>
            </w:r>
          </w:p>
        </w:tc>
      </w:tr>
      <w:tr w:rsidR="00DC5E27" w:rsidRPr="00DC5E27" w14:paraId="2330E9AD" w14:textId="77777777" w:rsidTr="00536C92">
        <w:tc>
          <w:tcPr>
            <w:tcW w:w="915" w:type="pct"/>
            <w:tcBorders>
              <w:bottom w:val="single" w:sz="4" w:space="0" w:color="B3B3B3"/>
            </w:tcBorders>
            <w:shd w:val="clear" w:color="auto" w:fill="F2F2F2"/>
          </w:tcPr>
          <w:p w14:paraId="1CE79D42" w14:textId="36C76C66" w:rsidR="00DC5E27" w:rsidRPr="00DC5E27" w:rsidRDefault="00DC5E27" w:rsidP="00370401">
            <w:pPr>
              <w:pStyle w:val="TableBodyText"/>
              <w:keepNext w:val="0"/>
              <w:keepLines w:val="0"/>
              <w:spacing w:before="45" w:after="45"/>
              <w:ind w:left="57" w:right="108"/>
              <w:jc w:val="left"/>
              <w:rPr>
                <w:rFonts w:ascii="Arial (Body)" w:hAnsi="Arial (Body)"/>
                <w:bCs/>
              </w:rPr>
            </w:pPr>
            <w:r w:rsidRPr="00DC5E27">
              <w:rPr>
                <w:rFonts w:ascii="Arial (Body)" w:hAnsi="Arial (Body)"/>
                <w:bCs/>
              </w:rPr>
              <w:t xml:space="preserve">Negative investment price growth </w:t>
            </w:r>
            <m:oMath>
              <m:r>
                <m:rPr>
                  <m:sty m:val="p"/>
                </m:rPr>
                <w:rPr>
                  <w:rFonts w:ascii="Cambria Math" w:hAnsi="Cambria Math"/>
                </w:rPr>
                <m:t>(</m:t>
              </m:r>
              <m:sSub>
                <m:sSubPr>
                  <m:ctrlPr>
                    <w:rPr>
                      <w:rFonts w:ascii="Cambria Math" w:hAnsi="Cambria Math"/>
                      <w:bCs/>
                    </w:rPr>
                  </m:ctrlPr>
                </m:sSubPr>
                <m:e>
                  <m:r>
                    <w:rPr>
                      <w:rFonts w:ascii="Cambria Math" w:hAnsi="Cambria Math"/>
                    </w:rPr>
                    <m:t>g</m:t>
                  </m:r>
                </m:e>
                <m:sub>
                  <m:r>
                    <w:rPr>
                      <w:rFonts w:ascii="Cambria Math" w:hAnsi="Cambria Math"/>
                    </w:rPr>
                    <m:t>Q</m:t>
                  </m:r>
                </m:sub>
              </m:sSub>
              <m:r>
                <m:rPr>
                  <m:sty m:val="p"/>
                </m:rPr>
                <w:rPr>
                  <w:rFonts w:ascii="Cambria Math" w:hAnsi="Cambria Math"/>
                </w:rPr>
                <m:t>)</m:t>
              </m:r>
            </m:oMath>
          </w:p>
        </w:tc>
        <w:tc>
          <w:tcPr>
            <w:tcW w:w="2042" w:type="pct"/>
            <w:tcBorders>
              <w:bottom w:val="single" w:sz="4" w:space="0" w:color="B3B3B3"/>
            </w:tcBorders>
            <w:shd w:val="clear" w:color="auto" w:fill="F2F2F2"/>
          </w:tcPr>
          <w:p w14:paraId="7C88A8EA" w14:textId="77777777" w:rsidR="00DC5E27" w:rsidRPr="00DC5E27" w:rsidRDefault="00DC5E27" w:rsidP="00370401">
            <w:pPr>
              <w:pStyle w:val="TableBodyText"/>
              <w:keepNext w:val="0"/>
              <w:keepLines w:val="0"/>
              <w:spacing w:before="45" w:after="45"/>
              <w:ind w:left="57" w:right="108"/>
              <w:jc w:val="left"/>
              <w:rPr>
                <w:rFonts w:ascii="Arial (Body)" w:hAnsi="Arial (Body)"/>
                <w:color w:val="000000"/>
              </w:rPr>
            </w:pPr>
            <w:r w:rsidRPr="00DC5E27">
              <w:rPr>
                <w:rFonts w:ascii="Arial (Body)" w:hAnsi="Arial (Body)"/>
                <w:color w:val="000000"/>
              </w:rPr>
              <w:t>Quarterly growth of the ratio of the gross fixed capital formation chain price index to the final consumption expenditure chain price index</w:t>
            </w:r>
          </w:p>
        </w:tc>
        <w:tc>
          <w:tcPr>
            <w:tcW w:w="2043" w:type="pct"/>
            <w:tcBorders>
              <w:bottom w:val="single" w:sz="4" w:space="0" w:color="B3B3B3"/>
            </w:tcBorders>
            <w:shd w:val="clear" w:color="auto" w:fill="F2F2F2"/>
          </w:tcPr>
          <w:p w14:paraId="21C52533" w14:textId="77777777" w:rsidR="00DC5E27" w:rsidRPr="00DC5E27" w:rsidRDefault="00DC5E27" w:rsidP="00370401">
            <w:pPr>
              <w:pStyle w:val="TableBodyText"/>
              <w:keepNext w:val="0"/>
              <w:keepLines w:val="0"/>
              <w:spacing w:before="45" w:after="45"/>
              <w:ind w:left="57" w:right="108"/>
              <w:jc w:val="left"/>
              <w:rPr>
                <w:rFonts w:ascii="Arial (Body)" w:hAnsi="Arial (Body)"/>
                <w:color w:val="000000"/>
              </w:rPr>
            </w:pPr>
            <w:r w:rsidRPr="00DC5E27">
              <w:rPr>
                <w:rFonts w:ascii="Arial (Body)" w:hAnsi="Arial (Body)"/>
                <w:color w:val="000000"/>
              </w:rPr>
              <w:t>ABS (</w:t>
            </w:r>
            <w:r w:rsidRPr="00370401">
              <w:rPr>
                <w:rFonts w:ascii="Arial (Body)" w:hAnsi="Arial (Body)"/>
                <w:i/>
                <w:color w:val="000000"/>
              </w:rPr>
              <w:t>Australian National Accounts: National income, Expenditure and Product</w:t>
            </w:r>
            <w:r w:rsidRPr="00DC5E27">
              <w:rPr>
                <w:rFonts w:ascii="Arial (Body)" w:hAnsi="Arial (Body)"/>
                <w:color w:val="000000"/>
              </w:rPr>
              <w:t>, September 2021, Cat. no. 5206, table 4)</w:t>
            </w:r>
          </w:p>
        </w:tc>
      </w:tr>
    </w:tbl>
    <w:p w14:paraId="60F05BBB" w14:textId="77777777" w:rsidR="00F64D44" w:rsidRDefault="00F64D44" w:rsidP="00F64D44">
      <w:pPr>
        <w:pStyle w:val="Heading2-Appendix"/>
      </w:pPr>
      <w:bookmarkStart w:id="27" w:name="_Toc158878737"/>
      <w:bookmarkStart w:id="28" w:name="_Toc161228818"/>
      <w:r>
        <w:lastRenderedPageBreak/>
        <w:t>Model extensions</w:t>
      </w:r>
      <w:bookmarkEnd w:id="27"/>
      <w:bookmarkEnd w:id="28"/>
    </w:p>
    <w:p w14:paraId="7FFC0519" w14:textId="4A80F7C3" w:rsidR="00F64D44" w:rsidRPr="00F56254" w:rsidRDefault="00F64D44" w:rsidP="00F64D44">
      <w:pPr>
        <w:pStyle w:val="BodyText"/>
        <w:rPr>
          <w:spacing w:val="2"/>
        </w:rPr>
      </w:pPr>
      <w:r w:rsidRPr="00F56254">
        <w:rPr>
          <w:spacing w:val="2"/>
        </w:rPr>
        <w:t xml:space="preserve">As a robustness check, the specification of some data series were altered to examine how they </w:t>
      </w:r>
      <w:r w:rsidR="004F3DDC" w:rsidRPr="00F56254">
        <w:rPr>
          <w:spacing w:val="2"/>
        </w:rPr>
        <w:t>a</w:t>
      </w:r>
      <w:r w:rsidRPr="00F56254">
        <w:rPr>
          <w:spacing w:val="2"/>
        </w:rPr>
        <w:t>ffected the results. Two key data of interest are the measurement of the risk</w:t>
      </w:r>
      <w:r w:rsidRPr="00F56254">
        <w:rPr>
          <w:spacing w:val="2"/>
        </w:rPr>
        <w:noBreakHyphen/>
        <w:t>free rate and investment price growth. This section explains why the data specification may affect results and sets out the results under the alternate specification.</w:t>
      </w:r>
    </w:p>
    <w:p w14:paraId="025C8D11" w14:textId="77777777" w:rsidR="00F64D44" w:rsidRPr="00C31BED" w:rsidRDefault="00F64D44" w:rsidP="00F64D44">
      <w:pPr>
        <w:pStyle w:val="Heading3"/>
      </w:pPr>
      <w:r>
        <w:t>Risk</w:t>
      </w:r>
      <w:r>
        <w:noBreakHyphen/>
        <w:t>free rate</w:t>
      </w:r>
    </w:p>
    <w:p w14:paraId="339C77C1" w14:textId="77777777" w:rsidR="00F64D44" w:rsidRPr="00780B62" w:rsidRDefault="00F64D44" w:rsidP="00F64D44">
      <w:pPr>
        <w:pStyle w:val="BodyText"/>
      </w:pPr>
      <w:r>
        <w:t>To estimate the risk</w:t>
      </w:r>
      <w:r>
        <w:noBreakHyphen/>
        <w:t>free rate, c</w:t>
      </w:r>
      <w:r w:rsidRPr="00780B62">
        <w:t>hapter 2 use</w:t>
      </w:r>
      <w:r>
        <w:t>d</w:t>
      </w:r>
      <w:r w:rsidRPr="00780B62">
        <w:t xml:space="preserve"> </w:t>
      </w:r>
      <w:r>
        <w:t xml:space="preserve">the Australian Government </w:t>
      </w:r>
      <w:r w:rsidRPr="00780B62">
        <w:t>two</w:t>
      </w:r>
      <w:r w:rsidRPr="00780B62">
        <w:noBreakHyphen/>
        <w:t xml:space="preserve">year bond yield </w:t>
      </w:r>
      <w:r>
        <w:t>rate, less two</w:t>
      </w:r>
      <w:r>
        <w:noBreakHyphen/>
        <w:t>year inflation expectations published by the RBA</w:t>
      </w:r>
      <w:r w:rsidRPr="00780B62">
        <w:t xml:space="preserve">. However, </w:t>
      </w:r>
      <w:r>
        <w:t xml:space="preserve">as </w:t>
      </w:r>
      <w:r w:rsidRPr="00780B62">
        <w:t>capital investments can be short</w:t>
      </w:r>
      <w:r w:rsidRPr="00780B62">
        <w:noBreakHyphen/>
        <w:t>, medium</w:t>
      </w:r>
      <w:r w:rsidRPr="00780B62">
        <w:noBreakHyphen/>
        <w:t xml:space="preserve"> or long</w:t>
      </w:r>
      <w:r w:rsidRPr="00780B62">
        <w:noBreakHyphen/>
        <w:t>term</w:t>
      </w:r>
      <w:r>
        <w:t xml:space="preserve">, </w:t>
      </w:r>
      <w:r w:rsidRPr="00780B62">
        <w:t xml:space="preserve">different </w:t>
      </w:r>
      <w:r>
        <w:t xml:space="preserve">estimates of the </w:t>
      </w:r>
      <w:r w:rsidRPr="00780B62">
        <w:t>risk</w:t>
      </w:r>
      <w:r w:rsidRPr="00780B62">
        <w:noBreakHyphen/>
        <w:t xml:space="preserve">free rate could be used to reflect different investment time horizons. </w:t>
      </w:r>
      <w:r>
        <w:t>This will control for the term premium that is required to compensate investors for the risks associated with time for longer</w:t>
      </w:r>
      <w:r>
        <w:noBreakHyphen/>
        <w:t xml:space="preserve">term investments. </w:t>
      </w:r>
      <w:r w:rsidRPr="00780B62">
        <w:t xml:space="preserve">For example, </w:t>
      </w:r>
      <w:r>
        <w:t>if a project has a longer lifespan</w:t>
      </w:r>
      <w:r w:rsidRPr="00780B62">
        <w:t xml:space="preserve"> a ten</w:t>
      </w:r>
      <w:r w:rsidRPr="00780B62">
        <w:noBreakHyphen/>
        <w:t>year risk</w:t>
      </w:r>
      <w:r>
        <w:noBreakHyphen/>
      </w:r>
      <w:r w:rsidRPr="00780B62">
        <w:t>free</w:t>
      </w:r>
      <w:r>
        <w:t xml:space="preserve"> </w:t>
      </w:r>
      <w:r w:rsidRPr="00780B62">
        <w:t>rate may be more suitable.</w:t>
      </w:r>
    </w:p>
    <w:p w14:paraId="14AAF1E6" w14:textId="77777777" w:rsidR="00F64D44" w:rsidRPr="00DA58AA" w:rsidRDefault="00F64D44" w:rsidP="00F64D44">
      <w:pPr>
        <w:pStyle w:val="BodyText"/>
        <w:rPr>
          <w:spacing w:val="-4"/>
        </w:rPr>
      </w:pPr>
      <w:r w:rsidRPr="00DA58AA">
        <w:rPr>
          <w:spacing w:val="-4"/>
        </w:rPr>
        <w:t>Table A.2 shows how different estimates of the risk</w:t>
      </w:r>
      <w:r w:rsidRPr="00DA58AA">
        <w:rPr>
          <w:spacing w:val="-4"/>
        </w:rPr>
        <w:noBreakHyphen/>
        <w:t>free rate (one</w:t>
      </w:r>
      <w:r w:rsidRPr="00DA58AA">
        <w:rPr>
          <w:spacing w:val="-4"/>
        </w:rPr>
        <w:noBreakHyphen/>
        <w:t>year, two</w:t>
      </w:r>
      <w:r w:rsidRPr="00DA58AA">
        <w:rPr>
          <w:spacing w:val="-4"/>
        </w:rPr>
        <w:noBreakHyphen/>
        <w:t>year and ten</w:t>
      </w:r>
      <w:r w:rsidRPr="00DA58AA">
        <w:rPr>
          <w:spacing w:val="-4"/>
        </w:rPr>
        <w:noBreakHyphen/>
        <w:t>year) affect the total spread between the return on capital and the risk</w:t>
      </w:r>
      <w:r w:rsidRPr="00DA58AA">
        <w:rPr>
          <w:spacing w:val="-4"/>
        </w:rPr>
        <w:noBreakHyphen/>
        <w:t>free rate and the aggregate market risk premium.</w:t>
      </w:r>
      <w:r w:rsidRPr="002C109C">
        <w:rPr>
          <w:rStyle w:val="FootnoteReference"/>
        </w:rPr>
        <w:footnoteReference w:id="6"/>
      </w:r>
      <w:r w:rsidRPr="00DA58AA">
        <w:rPr>
          <w:spacing w:val="-4"/>
        </w:rPr>
        <w:t xml:space="preserve"> The one</w:t>
      </w:r>
      <w:r w:rsidRPr="00DA58AA">
        <w:rPr>
          <w:spacing w:val="-4"/>
        </w:rPr>
        <w:noBreakHyphen/>
        <w:t>year and two</w:t>
      </w:r>
      <w:r w:rsidRPr="00DA58AA">
        <w:rPr>
          <w:spacing w:val="-4"/>
        </w:rPr>
        <w:noBreakHyphen/>
        <w:t>year risk</w:t>
      </w:r>
      <w:r w:rsidRPr="00DA58AA">
        <w:rPr>
          <w:spacing w:val="-4"/>
        </w:rPr>
        <w:noBreakHyphen/>
        <w:t>free rate had similar results, while the ten</w:t>
      </w:r>
      <w:r w:rsidRPr="00DA58AA">
        <w:rPr>
          <w:spacing w:val="-4"/>
        </w:rPr>
        <w:noBreakHyphen/>
        <w:t>year real risk</w:t>
      </w:r>
      <w:r w:rsidRPr="00DA58AA">
        <w:rPr>
          <w:spacing w:val="-4"/>
        </w:rPr>
        <w:noBreakHyphen/>
        <w:t>free rate resulted in a smaller total spread and risk premium. This is likely due to the term premium associated with long</w:t>
      </w:r>
      <w:r w:rsidRPr="00DA58AA">
        <w:rPr>
          <w:spacing w:val="-4"/>
        </w:rPr>
        <w:noBreakHyphen/>
        <w:t>term bond yields. Long</w:t>
      </w:r>
      <w:r w:rsidRPr="00DA58AA">
        <w:rPr>
          <w:spacing w:val="-4"/>
        </w:rPr>
        <w:noBreakHyphen/>
        <w:t>term bonds will generally have a higher yield to compensate investors for the risks associated with time; therefore, this results in a higher risk</w:t>
      </w:r>
      <w:r w:rsidRPr="00DA58AA">
        <w:rPr>
          <w:spacing w:val="-4"/>
        </w:rPr>
        <w:noBreakHyphen/>
        <w:t xml:space="preserve">free rate which will decrease the total spread and risk premium (holding all else equal). </w:t>
      </w:r>
    </w:p>
    <w:p w14:paraId="7D0EB34E" w14:textId="77777777" w:rsidR="00F64D44" w:rsidRDefault="00F64D44" w:rsidP="00F64D44">
      <w:pPr>
        <w:pStyle w:val="BodyText"/>
      </w:pPr>
      <w:r>
        <w:t>Despite this, each risk</w:t>
      </w:r>
      <w:r>
        <w:noBreakHyphen/>
        <w:t xml:space="preserve">free rate selected showed evidence of </w:t>
      </w:r>
      <w:r w:rsidRPr="00C21AAF">
        <w:t>a rising risk premium.</w:t>
      </w:r>
      <w:r>
        <w:t xml:space="preserve"> </w:t>
      </w:r>
    </w:p>
    <w:p w14:paraId="21711829" w14:textId="4A3DFBBC" w:rsidR="00370401" w:rsidRDefault="00370401" w:rsidP="00ED33D7">
      <w:pPr>
        <w:pStyle w:val="FigureTableHeading"/>
      </w:pPr>
      <w:r>
        <w:t xml:space="preserve">Table </w:t>
      </w:r>
      <w:r w:rsidR="007A7DF1">
        <w:t>A</w:t>
      </w:r>
      <w:r>
        <w:t>.</w:t>
      </w:r>
      <w:r w:rsidR="007A7DF1">
        <w:t>2</w:t>
      </w:r>
      <w:r>
        <w:rPr>
          <w:noProof/>
        </w:rPr>
        <w:t xml:space="preserve"> – </w:t>
      </w:r>
      <w:r>
        <w:t>Model results using different risk</w:t>
      </w:r>
      <w:r>
        <w:noBreakHyphen/>
        <w:t>free rates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89"/>
        <w:gridCol w:w="2248"/>
        <w:gridCol w:w="2093"/>
        <w:gridCol w:w="2408"/>
      </w:tblGrid>
      <w:tr w:rsidR="00370401" w:rsidRPr="00C60FBD" w14:paraId="7875D673" w14:textId="77777777" w:rsidTr="00C60FBD">
        <w:trPr>
          <w:tblHeader/>
        </w:trPr>
        <w:tc>
          <w:tcPr>
            <w:tcW w:w="1499" w:type="pct"/>
            <w:tcBorders>
              <w:bottom w:val="single" w:sz="4" w:space="0" w:color="B3B3B3"/>
            </w:tcBorders>
            <w:shd w:val="clear" w:color="000000" w:fill="auto"/>
            <w:tcMar>
              <w:top w:w="28" w:type="dxa"/>
            </w:tcMar>
            <w:vAlign w:val="bottom"/>
          </w:tcPr>
          <w:p w14:paraId="6337FF93" w14:textId="77777777" w:rsidR="00370401" w:rsidRPr="00C60FBD" w:rsidRDefault="00370401" w:rsidP="00C60FBD">
            <w:pPr>
              <w:pStyle w:val="TableColumnHeading"/>
              <w:spacing w:before="45" w:after="45"/>
              <w:ind w:left="57" w:right="108"/>
              <w:jc w:val="left"/>
              <w:rPr>
                <w:rFonts w:ascii="Arial (Body)" w:hAnsi="Arial (Body)"/>
                <w:b/>
                <w:i w:val="0"/>
                <w:color w:val="265A9A"/>
              </w:rPr>
            </w:pPr>
            <w:r w:rsidRPr="00C60FBD">
              <w:rPr>
                <w:rFonts w:ascii="Arial (Body)" w:hAnsi="Arial (Body)"/>
                <w:b/>
                <w:i w:val="0"/>
                <w:color w:val="265A9A"/>
              </w:rPr>
              <w:t>MPK</w:t>
            </w:r>
            <w:r w:rsidRPr="00C60FBD">
              <w:rPr>
                <w:rFonts w:ascii="Arial (Body)" w:hAnsi="Arial (Body)"/>
                <w:b/>
                <w:i w:val="0"/>
                <w:color w:val="265A9A"/>
              </w:rPr>
              <w:noBreakHyphen/>
              <w:t xml:space="preserve">RF spread </w:t>
            </w:r>
          </w:p>
        </w:tc>
        <w:tc>
          <w:tcPr>
            <w:tcW w:w="1166" w:type="pct"/>
            <w:tcBorders>
              <w:bottom w:val="single" w:sz="4" w:space="0" w:color="B3B3B3"/>
            </w:tcBorders>
            <w:shd w:val="clear" w:color="000000" w:fill="auto"/>
            <w:vAlign w:val="bottom"/>
          </w:tcPr>
          <w:p w14:paraId="76548C55" w14:textId="513313B0" w:rsidR="00370401" w:rsidRPr="00C60FBD" w:rsidRDefault="00370401" w:rsidP="00C60FBD">
            <w:pPr>
              <w:pStyle w:val="TableColumnHeading"/>
              <w:spacing w:before="45" w:after="45"/>
              <w:ind w:left="57" w:right="108"/>
              <w:rPr>
                <w:rFonts w:ascii="Arial (Body)" w:hAnsi="Arial (Body)"/>
                <w:b/>
                <w:i w:val="0"/>
                <w:color w:val="265A9A"/>
              </w:rPr>
            </w:pPr>
            <w:r w:rsidRPr="00C60FBD">
              <w:rPr>
                <w:rFonts w:ascii="Arial (Body)" w:hAnsi="Arial (Body)"/>
                <w:b/>
                <w:i w:val="0"/>
                <w:color w:val="265A9A"/>
              </w:rPr>
              <w:t>1997</w:t>
            </w:r>
            <w:r w:rsidR="00D502FF">
              <w:rPr>
                <w:rFonts w:ascii="Arial (Body)" w:hAnsi="Arial (Body)"/>
                <w:bCs/>
                <w:color w:val="265A9A"/>
              </w:rPr>
              <w:t>–</w:t>
            </w:r>
            <w:r w:rsidRPr="00C60FBD">
              <w:rPr>
                <w:rFonts w:ascii="Arial (Body)" w:hAnsi="Arial (Body)"/>
                <w:b/>
                <w:i w:val="0"/>
                <w:color w:val="265A9A"/>
              </w:rPr>
              <w:t>2008</w:t>
            </w:r>
          </w:p>
        </w:tc>
        <w:tc>
          <w:tcPr>
            <w:tcW w:w="1086" w:type="pct"/>
            <w:tcBorders>
              <w:bottom w:val="single" w:sz="4" w:space="0" w:color="B3B3B3"/>
            </w:tcBorders>
            <w:shd w:val="clear" w:color="000000" w:fill="auto"/>
            <w:tcMar>
              <w:top w:w="28" w:type="dxa"/>
            </w:tcMar>
            <w:vAlign w:val="bottom"/>
          </w:tcPr>
          <w:p w14:paraId="2498823B" w14:textId="27A23FF5" w:rsidR="00370401" w:rsidRPr="00C60FBD" w:rsidRDefault="00370401" w:rsidP="00C60FBD">
            <w:pPr>
              <w:pStyle w:val="TableColumnHeading"/>
              <w:spacing w:before="45" w:after="45"/>
              <w:ind w:left="57" w:right="108"/>
              <w:rPr>
                <w:rFonts w:ascii="Arial (Body)" w:hAnsi="Arial (Body)"/>
                <w:b/>
                <w:i w:val="0"/>
                <w:color w:val="265A9A"/>
              </w:rPr>
            </w:pPr>
            <w:r w:rsidRPr="00C60FBD">
              <w:rPr>
                <w:rFonts w:ascii="Arial (Body)" w:hAnsi="Arial (Body)"/>
                <w:b/>
                <w:i w:val="0"/>
                <w:color w:val="265A9A"/>
              </w:rPr>
              <w:t>2009</w:t>
            </w:r>
            <w:r w:rsidR="00D502FF">
              <w:rPr>
                <w:rFonts w:ascii="Arial (Body)" w:hAnsi="Arial (Body)"/>
                <w:bCs/>
                <w:color w:val="265A9A"/>
              </w:rPr>
              <w:t>–</w:t>
            </w:r>
            <w:r w:rsidRPr="00C60FBD">
              <w:rPr>
                <w:rFonts w:ascii="Arial (Body)" w:hAnsi="Arial (Body)"/>
                <w:b/>
                <w:i w:val="0"/>
                <w:color w:val="265A9A"/>
              </w:rPr>
              <w:t>2020</w:t>
            </w:r>
          </w:p>
        </w:tc>
        <w:tc>
          <w:tcPr>
            <w:tcW w:w="1249" w:type="pct"/>
            <w:tcBorders>
              <w:bottom w:val="single" w:sz="4" w:space="0" w:color="B3B3B3"/>
            </w:tcBorders>
            <w:shd w:val="clear" w:color="000000" w:fill="auto"/>
            <w:tcMar>
              <w:top w:w="28" w:type="dxa"/>
            </w:tcMar>
            <w:vAlign w:val="bottom"/>
          </w:tcPr>
          <w:p w14:paraId="09C8D3E6" w14:textId="77777777" w:rsidR="00370401" w:rsidRPr="00C60FBD" w:rsidRDefault="00370401" w:rsidP="00C60FBD">
            <w:pPr>
              <w:pStyle w:val="TableColumnHeading"/>
              <w:spacing w:before="45" w:after="45"/>
              <w:ind w:left="57" w:right="108"/>
              <w:rPr>
                <w:rFonts w:ascii="Arial (Body)" w:hAnsi="Arial (Body)"/>
                <w:b/>
                <w:i w:val="0"/>
                <w:color w:val="265A9A"/>
              </w:rPr>
            </w:pPr>
            <w:r w:rsidRPr="00C60FBD">
              <w:rPr>
                <w:rFonts w:ascii="Arial (Body)" w:hAnsi="Arial (Body)"/>
                <w:b/>
                <w:i w:val="0"/>
                <w:color w:val="265A9A"/>
              </w:rPr>
              <w:t>Difference</w:t>
            </w:r>
          </w:p>
        </w:tc>
      </w:tr>
      <w:tr w:rsidR="00370401" w:rsidRPr="00C60FBD" w14:paraId="64FB022B" w14:textId="77777777" w:rsidTr="00C60FBD">
        <w:tc>
          <w:tcPr>
            <w:tcW w:w="1499" w:type="pct"/>
            <w:tcBorders>
              <w:top w:val="single" w:sz="4" w:space="0" w:color="B3B3B3"/>
              <w:bottom w:val="nil"/>
            </w:tcBorders>
            <w:shd w:val="clear" w:color="000000" w:fill="F2F2F2"/>
          </w:tcPr>
          <w:p w14:paraId="5BB0E6F2" w14:textId="76AA526B" w:rsidR="00370401" w:rsidRPr="00C60FBD" w:rsidRDefault="00370401" w:rsidP="00C60FBD">
            <w:pPr>
              <w:pStyle w:val="TableBodyText"/>
              <w:spacing w:before="45" w:after="45"/>
              <w:ind w:left="57" w:right="108"/>
              <w:jc w:val="left"/>
              <w:rPr>
                <w:rFonts w:ascii="Arial (Body)" w:hAnsi="Arial (Body)"/>
              </w:rPr>
            </w:pPr>
            <w:r w:rsidRPr="00C60FBD">
              <w:rPr>
                <w:rFonts w:ascii="Arial (Body)" w:hAnsi="Arial (Body)"/>
              </w:rPr>
              <w:t>Total spread (</w:t>
            </w:r>
            <m:oMath>
              <m:sSub>
                <m:sSubPr>
                  <m:ctrlPr>
                    <w:rPr>
                      <w:rFonts w:ascii="Cambria Math" w:hAnsi="Cambria Math"/>
                    </w:rPr>
                  </m:ctrlPr>
                </m:sSubPr>
                <m:e>
                  <m:r>
                    <w:rPr>
                      <w:rFonts w:ascii="Cambria Math" w:hAnsi="Cambria Math"/>
                    </w:rPr>
                    <m:t>r</m:t>
                  </m:r>
                </m:e>
                <m:sub>
                  <m:r>
                    <w:rPr>
                      <w:rFonts w:ascii="Cambria Math" w:hAnsi="Cambria Math"/>
                    </w:rPr>
                    <m:t>f</m:t>
                  </m:r>
                </m:sub>
              </m:sSub>
              <m:r>
                <m:rPr>
                  <m:sty m:val="p"/>
                </m:rPr>
                <w:rPr>
                  <w:rFonts w:ascii="Cambria Math" w:hAnsi="Cambria Math"/>
                </w:rPr>
                <m:t>=1 </m:t>
              </m:r>
              <m:r>
                <w:rPr>
                  <w:rFonts w:ascii="Cambria Math" w:hAnsi="Cambria Math"/>
                </w:rPr>
                <m:t>year</m:t>
              </m:r>
              <m:r>
                <m:rPr>
                  <m:sty m:val="p"/>
                </m:rPr>
                <w:rPr>
                  <w:rStyle w:val="NoteLabel"/>
                  <w:rFonts w:ascii="Cambria Math" w:eastAsiaTheme="majorEastAsia" w:hAnsi="Cambria Math"/>
                </w:rPr>
                <m:t>a</m:t>
              </m:r>
              <m:r>
                <m:rPr>
                  <m:sty m:val="p"/>
                </m:rPr>
                <w:rPr>
                  <w:rFonts w:ascii="Cambria Math" w:hAnsi="Cambria Math"/>
                </w:rPr>
                <m:t>)</m:t>
              </m:r>
            </m:oMath>
          </w:p>
        </w:tc>
        <w:tc>
          <w:tcPr>
            <w:tcW w:w="1166" w:type="pct"/>
            <w:tcBorders>
              <w:top w:val="single" w:sz="4" w:space="0" w:color="B3B3B3"/>
              <w:bottom w:val="nil"/>
            </w:tcBorders>
            <w:shd w:val="clear" w:color="000000" w:fill="F2F2F2"/>
          </w:tcPr>
          <w:p w14:paraId="2C98C4C8"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12.10</w:t>
            </w:r>
          </w:p>
        </w:tc>
        <w:tc>
          <w:tcPr>
            <w:tcW w:w="1086" w:type="pct"/>
            <w:tcBorders>
              <w:top w:val="single" w:sz="4" w:space="0" w:color="B3B3B3"/>
              <w:bottom w:val="nil"/>
            </w:tcBorders>
            <w:shd w:val="clear" w:color="000000" w:fill="F2F2F2"/>
          </w:tcPr>
          <w:p w14:paraId="7BC1F196"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14.10</w:t>
            </w:r>
          </w:p>
        </w:tc>
        <w:tc>
          <w:tcPr>
            <w:tcW w:w="1249" w:type="pct"/>
            <w:tcBorders>
              <w:top w:val="single" w:sz="4" w:space="0" w:color="B3B3B3"/>
              <w:bottom w:val="nil"/>
            </w:tcBorders>
            <w:shd w:val="clear" w:color="000000" w:fill="F2F2F2"/>
          </w:tcPr>
          <w:p w14:paraId="5A5E0BE4"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2.05</w:t>
            </w:r>
          </w:p>
        </w:tc>
      </w:tr>
      <w:tr w:rsidR="00370401" w:rsidRPr="00C60FBD" w14:paraId="71ACB42F" w14:textId="77777777" w:rsidTr="00C60FBD">
        <w:tc>
          <w:tcPr>
            <w:tcW w:w="1499" w:type="pct"/>
            <w:tcBorders>
              <w:top w:val="nil"/>
              <w:bottom w:val="nil"/>
            </w:tcBorders>
            <w:shd w:val="clear" w:color="000000" w:fill="auto"/>
          </w:tcPr>
          <w:p w14:paraId="0C8F0B62" w14:textId="7E180398" w:rsidR="00370401" w:rsidRPr="00C60FBD" w:rsidRDefault="00370401" w:rsidP="00C60FBD">
            <w:pPr>
              <w:pStyle w:val="TableBodyText"/>
              <w:spacing w:before="45" w:after="45"/>
              <w:ind w:left="57" w:right="108"/>
              <w:jc w:val="left"/>
              <w:rPr>
                <w:rFonts w:ascii="Arial (Body)" w:hAnsi="Arial (Body)"/>
              </w:rPr>
            </w:pPr>
            <w:r w:rsidRPr="00C60FBD">
              <w:rPr>
                <w:rFonts w:ascii="Arial (Body)" w:hAnsi="Arial (Body)"/>
              </w:rPr>
              <w:t xml:space="preserve">Depreciation </w:t>
            </w:r>
            <m:oMath>
              <m:r>
                <w:rPr>
                  <w:rFonts w:ascii="Cambria Math" w:hAnsi="Cambria Math"/>
                </w:rPr>
                <m:t>δ</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Q</m:t>
                  </m:r>
                </m:sub>
              </m:sSub>
            </m:oMath>
          </w:p>
        </w:tc>
        <w:tc>
          <w:tcPr>
            <w:tcW w:w="1166" w:type="pct"/>
            <w:tcBorders>
              <w:top w:val="nil"/>
              <w:bottom w:val="nil"/>
            </w:tcBorders>
            <w:shd w:val="clear" w:color="000000" w:fill="auto"/>
          </w:tcPr>
          <w:p w14:paraId="66B46752"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4.62</w:t>
            </w:r>
          </w:p>
        </w:tc>
        <w:tc>
          <w:tcPr>
            <w:tcW w:w="1086" w:type="pct"/>
            <w:tcBorders>
              <w:top w:val="nil"/>
              <w:bottom w:val="nil"/>
            </w:tcBorders>
            <w:shd w:val="clear" w:color="000000" w:fill="auto"/>
          </w:tcPr>
          <w:p w14:paraId="31ECA1E3"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4.34</w:t>
            </w:r>
          </w:p>
        </w:tc>
        <w:tc>
          <w:tcPr>
            <w:tcW w:w="1249" w:type="pct"/>
            <w:tcBorders>
              <w:top w:val="nil"/>
              <w:bottom w:val="nil"/>
            </w:tcBorders>
            <w:shd w:val="clear" w:color="000000" w:fill="auto"/>
          </w:tcPr>
          <w:p w14:paraId="5E0B46EC"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noBreakHyphen/>
              <w:t>0.28</w:t>
            </w:r>
          </w:p>
        </w:tc>
      </w:tr>
      <w:tr w:rsidR="00370401" w:rsidRPr="00C60FBD" w14:paraId="69E4790D" w14:textId="77777777" w:rsidTr="00C60FBD">
        <w:tc>
          <w:tcPr>
            <w:tcW w:w="1499" w:type="pct"/>
            <w:tcBorders>
              <w:bottom w:val="nil"/>
            </w:tcBorders>
            <w:shd w:val="clear" w:color="000000" w:fill="F2F2F2"/>
          </w:tcPr>
          <w:p w14:paraId="098950DC" w14:textId="3CAF5E77" w:rsidR="00370401" w:rsidRPr="00C60FBD" w:rsidRDefault="00370401" w:rsidP="00C60FBD">
            <w:pPr>
              <w:pStyle w:val="TableBodyText"/>
              <w:spacing w:before="45" w:after="45"/>
              <w:ind w:left="57" w:right="108"/>
              <w:jc w:val="left"/>
              <w:rPr>
                <w:rFonts w:ascii="Arial (Body)" w:hAnsi="Arial (Body)"/>
              </w:rPr>
            </w:pPr>
            <w:r w:rsidRPr="00C60FBD">
              <w:rPr>
                <w:rFonts w:ascii="Arial (Body)" w:hAnsi="Arial (Body)"/>
              </w:rPr>
              <w:t xml:space="preserve">Market power </w:t>
            </w:r>
            <m:oMath>
              <m:r>
                <w:rPr>
                  <w:rFonts w:ascii="Cambria Math" w:hAnsi="Cambria Math"/>
                </w:rPr>
                <m:t>γ</m:t>
              </m:r>
            </m:oMath>
          </w:p>
        </w:tc>
        <w:tc>
          <w:tcPr>
            <w:tcW w:w="1166" w:type="pct"/>
            <w:tcBorders>
              <w:bottom w:val="nil"/>
            </w:tcBorders>
            <w:shd w:val="clear" w:color="000000" w:fill="F2F2F2"/>
          </w:tcPr>
          <w:p w14:paraId="73EFBD0B"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3.17</w:t>
            </w:r>
          </w:p>
        </w:tc>
        <w:tc>
          <w:tcPr>
            <w:tcW w:w="1086" w:type="pct"/>
            <w:tcBorders>
              <w:bottom w:val="nil"/>
            </w:tcBorders>
            <w:shd w:val="clear" w:color="000000" w:fill="F2F2F2"/>
          </w:tcPr>
          <w:p w14:paraId="4F3446E1"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3.21</w:t>
            </w:r>
          </w:p>
        </w:tc>
        <w:tc>
          <w:tcPr>
            <w:tcW w:w="1249" w:type="pct"/>
            <w:tcBorders>
              <w:bottom w:val="nil"/>
            </w:tcBorders>
            <w:shd w:val="clear" w:color="000000" w:fill="F2F2F2"/>
          </w:tcPr>
          <w:p w14:paraId="2390178E"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0.04</w:t>
            </w:r>
          </w:p>
        </w:tc>
      </w:tr>
      <w:tr w:rsidR="00370401" w:rsidRPr="00C60FBD" w14:paraId="365F6F47" w14:textId="77777777" w:rsidTr="00C60FBD">
        <w:tc>
          <w:tcPr>
            <w:tcW w:w="1499" w:type="pct"/>
            <w:tcBorders>
              <w:top w:val="nil"/>
              <w:bottom w:val="single" w:sz="4" w:space="0" w:color="BFBFBF" w:themeColor="background1" w:themeShade="BF"/>
            </w:tcBorders>
            <w:shd w:val="clear" w:color="000000" w:fill="auto"/>
          </w:tcPr>
          <w:p w14:paraId="7D04D916" w14:textId="18CFD465" w:rsidR="00370401" w:rsidRPr="00C60FBD" w:rsidRDefault="00370401" w:rsidP="00C60FBD">
            <w:pPr>
              <w:pStyle w:val="TableBodyText"/>
              <w:spacing w:before="45" w:after="45"/>
              <w:ind w:left="57" w:right="108"/>
              <w:jc w:val="left"/>
              <w:rPr>
                <w:rFonts w:ascii="Arial (Body)" w:hAnsi="Arial (Body)"/>
              </w:rPr>
            </w:pPr>
            <w:r w:rsidRPr="00C60FBD">
              <w:rPr>
                <w:rFonts w:ascii="Arial (Body)" w:hAnsi="Arial (Body)"/>
              </w:rPr>
              <w:t xml:space="preserve">Risk premium </w:t>
            </w:r>
            <m:oMath>
              <m:sSup>
                <m:sSupPr>
                  <m:ctrlPr>
                    <w:rPr>
                      <w:rFonts w:ascii="Cambria Math" w:hAnsi="Cambria Math"/>
                    </w:rPr>
                  </m:ctrlPr>
                </m:sSupPr>
                <m:e>
                  <m:r>
                    <w:rPr>
                      <w:rFonts w:ascii="Cambria Math" w:hAnsi="Cambria Math"/>
                    </w:rPr>
                    <m:t>r</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oMath>
          </w:p>
        </w:tc>
        <w:tc>
          <w:tcPr>
            <w:tcW w:w="1166" w:type="pct"/>
            <w:tcBorders>
              <w:top w:val="nil"/>
              <w:bottom w:val="single" w:sz="4" w:space="0" w:color="BFBFBF" w:themeColor="background1" w:themeShade="BF"/>
            </w:tcBorders>
            <w:shd w:val="clear" w:color="000000" w:fill="auto"/>
          </w:tcPr>
          <w:p w14:paraId="3E091A60"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4.30</w:t>
            </w:r>
          </w:p>
        </w:tc>
        <w:tc>
          <w:tcPr>
            <w:tcW w:w="1086" w:type="pct"/>
            <w:tcBorders>
              <w:top w:val="nil"/>
              <w:bottom w:val="single" w:sz="4" w:space="0" w:color="BFBFBF" w:themeColor="background1" w:themeShade="BF"/>
            </w:tcBorders>
            <w:shd w:val="clear" w:color="000000" w:fill="auto"/>
          </w:tcPr>
          <w:p w14:paraId="7E45B89A"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6.59</w:t>
            </w:r>
          </w:p>
        </w:tc>
        <w:tc>
          <w:tcPr>
            <w:tcW w:w="1249" w:type="pct"/>
            <w:tcBorders>
              <w:top w:val="nil"/>
              <w:bottom w:val="single" w:sz="4" w:space="0" w:color="BFBFBF" w:themeColor="background1" w:themeShade="BF"/>
            </w:tcBorders>
            <w:shd w:val="clear" w:color="000000" w:fill="auto"/>
          </w:tcPr>
          <w:p w14:paraId="53C7E315"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2.29</w:t>
            </w:r>
          </w:p>
        </w:tc>
      </w:tr>
      <w:tr w:rsidR="00370401" w:rsidRPr="00C60FBD" w14:paraId="261FAFD3" w14:textId="77777777" w:rsidTr="00C60FBD">
        <w:tc>
          <w:tcPr>
            <w:tcW w:w="1499" w:type="pct"/>
            <w:tcBorders>
              <w:top w:val="single" w:sz="4" w:space="0" w:color="BFBFBF" w:themeColor="background1" w:themeShade="BF"/>
              <w:bottom w:val="nil"/>
            </w:tcBorders>
            <w:shd w:val="clear" w:color="000000" w:fill="F2F2F2"/>
          </w:tcPr>
          <w:p w14:paraId="0FF72225" w14:textId="1A3ADF5E" w:rsidR="00370401" w:rsidRPr="00C60FBD" w:rsidRDefault="00370401" w:rsidP="00C60FBD">
            <w:pPr>
              <w:pStyle w:val="TableBodyText"/>
              <w:spacing w:before="120" w:after="45"/>
              <w:ind w:left="57" w:right="108"/>
              <w:jc w:val="left"/>
              <w:rPr>
                <w:rFonts w:ascii="Arial (Body)" w:hAnsi="Arial (Body)"/>
              </w:rPr>
            </w:pPr>
            <w:r w:rsidRPr="00C60FBD">
              <w:rPr>
                <w:rFonts w:ascii="Arial (Body)" w:hAnsi="Arial (Body)"/>
              </w:rPr>
              <w:t>Total spread (</w:t>
            </w:r>
            <m:oMath>
              <m:sSub>
                <m:sSubPr>
                  <m:ctrlPr>
                    <w:rPr>
                      <w:rFonts w:ascii="Cambria Math" w:hAnsi="Cambria Math"/>
                    </w:rPr>
                  </m:ctrlPr>
                </m:sSubPr>
                <m:e>
                  <m:r>
                    <w:rPr>
                      <w:rFonts w:ascii="Cambria Math" w:hAnsi="Cambria Math"/>
                    </w:rPr>
                    <m:t>r</m:t>
                  </m:r>
                </m:e>
                <m:sub>
                  <m:r>
                    <w:rPr>
                      <w:rFonts w:ascii="Cambria Math" w:hAnsi="Cambria Math"/>
                    </w:rPr>
                    <m:t>f</m:t>
                  </m:r>
                </m:sub>
              </m:sSub>
              <m:r>
                <m:rPr>
                  <m:sty m:val="p"/>
                </m:rPr>
                <w:rPr>
                  <w:rFonts w:ascii="Cambria Math" w:hAnsi="Cambria Math"/>
                </w:rPr>
                <m:t>=2 </m:t>
              </m:r>
              <m:r>
                <w:rPr>
                  <w:rFonts w:ascii="Cambria Math" w:hAnsi="Cambria Math"/>
                </w:rPr>
                <m:t>years</m:t>
              </m:r>
              <m:r>
                <m:rPr>
                  <m:sty m:val="p"/>
                </m:rPr>
                <w:rPr>
                  <w:rStyle w:val="NoteLabel"/>
                  <w:rFonts w:ascii="Cambria Math" w:eastAsiaTheme="majorEastAsia" w:hAnsi="Cambria Math"/>
                </w:rPr>
                <m:t>b</m:t>
              </m:r>
              <m:r>
                <m:rPr>
                  <m:sty m:val="p"/>
                </m:rPr>
                <w:rPr>
                  <w:rFonts w:ascii="Cambria Math" w:hAnsi="Cambria Math"/>
                </w:rPr>
                <m:t>)</m:t>
              </m:r>
            </m:oMath>
          </w:p>
        </w:tc>
        <w:tc>
          <w:tcPr>
            <w:tcW w:w="1166" w:type="pct"/>
            <w:tcBorders>
              <w:top w:val="single" w:sz="4" w:space="0" w:color="BFBFBF" w:themeColor="background1" w:themeShade="BF"/>
              <w:bottom w:val="nil"/>
            </w:tcBorders>
            <w:shd w:val="clear" w:color="000000" w:fill="F2F2F2"/>
          </w:tcPr>
          <w:p w14:paraId="16E58CEE" w14:textId="77777777" w:rsidR="00370401" w:rsidRPr="00C60FBD" w:rsidRDefault="00370401" w:rsidP="00C60FBD">
            <w:pPr>
              <w:pStyle w:val="TableBodyText"/>
              <w:spacing w:before="120" w:after="45"/>
              <w:ind w:left="57" w:right="108"/>
              <w:rPr>
                <w:rFonts w:ascii="Arial (Body)" w:hAnsi="Arial (Body)"/>
                <w:color w:val="000000"/>
              </w:rPr>
            </w:pPr>
            <w:r w:rsidRPr="00C60FBD">
              <w:rPr>
                <w:rFonts w:ascii="Arial (Body)" w:hAnsi="Arial (Body)"/>
                <w:color w:val="000000"/>
              </w:rPr>
              <w:t>12.00</w:t>
            </w:r>
          </w:p>
        </w:tc>
        <w:tc>
          <w:tcPr>
            <w:tcW w:w="1086" w:type="pct"/>
            <w:tcBorders>
              <w:top w:val="single" w:sz="4" w:space="0" w:color="BFBFBF" w:themeColor="background1" w:themeShade="BF"/>
              <w:bottom w:val="nil"/>
            </w:tcBorders>
            <w:shd w:val="clear" w:color="000000" w:fill="F2F2F2"/>
          </w:tcPr>
          <w:p w14:paraId="7F5C55BB" w14:textId="77777777" w:rsidR="00370401" w:rsidRPr="00C60FBD" w:rsidRDefault="00370401" w:rsidP="00C60FBD">
            <w:pPr>
              <w:pStyle w:val="TableBodyText"/>
              <w:spacing w:before="120" w:after="45"/>
              <w:ind w:left="57" w:right="108"/>
              <w:rPr>
                <w:rFonts w:ascii="Arial (Body)" w:hAnsi="Arial (Body)"/>
                <w:color w:val="000000"/>
              </w:rPr>
            </w:pPr>
            <w:r w:rsidRPr="00C60FBD">
              <w:rPr>
                <w:rFonts w:ascii="Arial (Body)" w:hAnsi="Arial (Body)"/>
                <w:color w:val="000000"/>
              </w:rPr>
              <w:t>14.10</w:t>
            </w:r>
          </w:p>
        </w:tc>
        <w:tc>
          <w:tcPr>
            <w:tcW w:w="1249" w:type="pct"/>
            <w:tcBorders>
              <w:top w:val="single" w:sz="4" w:space="0" w:color="BFBFBF" w:themeColor="background1" w:themeShade="BF"/>
              <w:bottom w:val="nil"/>
            </w:tcBorders>
            <w:shd w:val="clear" w:color="000000" w:fill="F2F2F2"/>
          </w:tcPr>
          <w:p w14:paraId="1451EDE2" w14:textId="77777777" w:rsidR="00370401" w:rsidRPr="00C60FBD" w:rsidRDefault="00370401" w:rsidP="00C60FBD">
            <w:pPr>
              <w:pStyle w:val="TableBodyText"/>
              <w:spacing w:before="120" w:after="45"/>
              <w:ind w:left="57" w:right="108"/>
              <w:rPr>
                <w:rFonts w:ascii="Arial (Body)" w:hAnsi="Arial (Body)"/>
                <w:color w:val="000000"/>
              </w:rPr>
            </w:pPr>
            <w:r w:rsidRPr="00C60FBD">
              <w:rPr>
                <w:rFonts w:ascii="Arial (Body)" w:hAnsi="Arial (Body)"/>
                <w:color w:val="000000"/>
              </w:rPr>
              <w:t>2.08</w:t>
            </w:r>
          </w:p>
        </w:tc>
      </w:tr>
      <w:tr w:rsidR="00370401" w:rsidRPr="00C60FBD" w14:paraId="3A859B37" w14:textId="77777777" w:rsidTr="00C60FBD">
        <w:tc>
          <w:tcPr>
            <w:tcW w:w="1499" w:type="pct"/>
            <w:tcBorders>
              <w:top w:val="nil"/>
              <w:bottom w:val="nil"/>
            </w:tcBorders>
            <w:shd w:val="clear" w:color="000000" w:fill="auto"/>
          </w:tcPr>
          <w:p w14:paraId="28A8F863" w14:textId="0E06F062" w:rsidR="00370401" w:rsidRPr="00C60FBD" w:rsidRDefault="00370401" w:rsidP="00C60FBD">
            <w:pPr>
              <w:pStyle w:val="TableBodyText"/>
              <w:spacing w:before="45" w:after="45"/>
              <w:ind w:left="57" w:right="108"/>
              <w:jc w:val="left"/>
              <w:rPr>
                <w:rFonts w:ascii="Arial (Body)" w:hAnsi="Arial (Body)"/>
              </w:rPr>
            </w:pPr>
            <w:r w:rsidRPr="00C60FBD">
              <w:rPr>
                <w:rFonts w:ascii="Arial (Body)" w:hAnsi="Arial (Body)"/>
              </w:rPr>
              <w:t xml:space="preserve">Depreciation </w:t>
            </w:r>
            <m:oMath>
              <m:r>
                <w:rPr>
                  <w:rFonts w:ascii="Cambria Math" w:hAnsi="Cambria Math"/>
                </w:rPr>
                <m:t>δ</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Q</m:t>
                  </m:r>
                </m:sub>
              </m:sSub>
            </m:oMath>
          </w:p>
        </w:tc>
        <w:tc>
          <w:tcPr>
            <w:tcW w:w="1166" w:type="pct"/>
            <w:tcBorders>
              <w:top w:val="nil"/>
              <w:bottom w:val="nil"/>
            </w:tcBorders>
            <w:shd w:val="clear" w:color="000000" w:fill="auto"/>
          </w:tcPr>
          <w:p w14:paraId="754DB36C"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4.62</w:t>
            </w:r>
          </w:p>
        </w:tc>
        <w:tc>
          <w:tcPr>
            <w:tcW w:w="1086" w:type="pct"/>
            <w:tcBorders>
              <w:top w:val="nil"/>
              <w:bottom w:val="nil"/>
            </w:tcBorders>
            <w:shd w:val="clear" w:color="000000" w:fill="auto"/>
          </w:tcPr>
          <w:p w14:paraId="40E91EAF"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4.34</w:t>
            </w:r>
          </w:p>
        </w:tc>
        <w:tc>
          <w:tcPr>
            <w:tcW w:w="1249" w:type="pct"/>
            <w:tcBorders>
              <w:top w:val="nil"/>
              <w:bottom w:val="nil"/>
            </w:tcBorders>
            <w:shd w:val="clear" w:color="000000" w:fill="auto"/>
          </w:tcPr>
          <w:p w14:paraId="4A4B0181"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noBreakHyphen/>
              <w:t>0.28</w:t>
            </w:r>
          </w:p>
        </w:tc>
      </w:tr>
      <w:tr w:rsidR="00370401" w:rsidRPr="00C60FBD" w14:paraId="509E9447" w14:textId="77777777" w:rsidTr="00C60FBD">
        <w:tc>
          <w:tcPr>
            <w:tcW w:w="1499" w:type="pct"/>
            <w:tcBorders>
              <w:bottom w:val="nil"/>
            </w:tcBorders>
            <w:shd w:val="clear" w:color="000000" w:fill="F2F2F2"/>
          </w:tcPr>
          <w:p w14:paraId="32A04F4B" w14:textId="389EE932" w:rsidR="00370401" w:rsidRPr="00C60FBD" w:rsidRDefault="00370401" w:rsidP="00C60FBD">
            <w:pPr>
              <w:pStyle w:val="TableBodyText"/>
              <w:spacing w:before="45" w:after="45"/>
              <w:ind w:left="57" w:right="108"/>
              <w:jc w:val="left"/>
              <w:rPr>
                <w:rFonts w:ascii="Arial (Body)" w:hAnsi="Arial (Body)"/>
              </w:rPr>
            </w:pPr>
            <w:r w:rsidRPr="00C60FBD">
              <w:rPr>
                <w:rFonts w:ascii="Arial (Body)" w:hAnsi="Arial (Body)"/>
              </w:rPr>
              <w:t xml:space="preserve">Market power </w:t>
            </w:r>
            <m:oMath>
              <m:r>
                <w:rPr>
                  <w:rFonts w:ascii="Cambria Math" w:hAnsi="Cambria Math"/>
                </w:rPr>
                <m:t>γ</m:t>
              </m:r>
            </m:oMath>
          </w:p>
        </w:tc>
        <w:tc>
          <w:tcPr>
            <w:tcW w:w="1166" w:type="pct"/>
            <w:tcBorders>
              <w:bottom w:val="nil"/>
            </w:tcBorders>
            <w:shd w:val="clear" w:color="000000" w:fill="F2F2F2"/>
          </w:tcPr>
          <w:p w14:paraId="4B0EC092"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3.17</w:t>
            </w:r>
          </w:p>
        </w:tc>
        <w:tc>
          <w:tcPr>
            <w:tcW w:w="1086" w:type="pct"/>
            <w:tcBorders>
              <w:bottom w:val="nil"/>
            </w:tcBorders>
            <w:shd w:val="clear" w:color="000000" w:fill="F2F2F2"/>
          </w:tcPr>
          <w:p w14:paraId="0FFE7017"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3.21</w:t>
            </w:r>
          </w:p>
        </w:tc>
        <w:tc>
          <w:tcPr>
            <w:tcW w:w="1249" w:type="pct"/>
            <w:tcBorders>
              <w:bottom w:val="nil"/>
            </w:tcBorders>
            <w:shd w:val="clear" w:color="000000" w:fill="F2F2F2"/>
          </w:tcPr>
          <w:p w14:paraId="2F1EEE09"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0.04</w:t>
            </w:r>
          </w:p>
        </w:tc>
      </w:tr>
      <w:tr w:rsidR="00370401" w:rsidRPr="00C60FBD" w14:paraId="60B0D5FA" w14:textId="77777777" w:rsidTr="00C60FBD">
        <w:tc>
          <w:tcPr>
            <w:tcW w:w="1499" w:type="pct"/>
            <w:tcBorders>
              <w:top w:val="nil"/>
              <w:bottom w:val="single" w:sz="4" w:space="0" w:color="BFBFBF" w:themeColor="background1" w:themeShade="BF"/>
            </w:tcBorders>
            <w:shd w:val="clear" w:color="000000" w:fill="auto"/>
          </w:tcPr>
          <w:p w14:paraId="6EAB4CCB" w14:textId="6EBCDEC7" w:rsidR="00370401" w:rsidRPr="00C60FBD" w:rsidRDefault="00370401" w:rsidP="00C60FBD">
            <w:pPr>
              <w:pStyle w:val="TableBodyText"/>
              <w:spacing w:before="45" w:after="45"/>
              <w:ind w:left="57" w:right="108"/>
              <w:jc w:val="left"/>
              <w:rPr>
                <w:rFonts w:ascii="Arial (Body)" w:hAnsi="Arial (Body)"/>
              </w:rPr>
            </w:pPr>
            <w:r w:rsidRPr="00C60FBD">
              <w:rPr>
                <w:rFonts w:ascii="Arial (Body)" w:hAnsi="Arial (Body)"/>
              </w:rPr>
              <w:t xml:space="preserve">Risk premium </w:t>
            </w:r>
            <m:oMath>
              <m:sSup>
                <m:sSupPr>
                  <m:ctrlPr>
                    <w:rPr>
                      <w:rFonts w:ascii="Cambria Math" w:hAnsi="Cambria Math"/>
                    </w:rPr>
                  </m:ctrlPr>
                </m:sSupPr>
                <m:e>
                  <m:r>
                    <w:rPr>
                      <w:rFonts w:ascii="Cambria Math" w:hAnsi="Cambria Math"/>
                    </w:rPr>
                    <m:t>r</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oMath>
          </w:p>
        </w:tc>
        <w:tc>
          <w:tcPr>
            <w:tcW w:w="1166" w:type="pct"/>
            <w:tcBorders>
              <w:top w:val="nil"/>
              <w:bottom w:val="single" w:sz="4" w:space="0" w:color="BFBFBF" w:themeColor="background1" w:themeShade="BF"/>
            </w:tcBorders>
            <w:shd w:val="clear" w:color="000000" w:fill="auto"/>
          </w:tcPr>
          <w:p w14:paraId="3CAE0241"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4.26</w:t>
            </w:r>
          </w:p>
        </w:tc>
        <w:tc>
          <w:tcPr>
            <w:tcW w:w="1086" w:type="pct"/>
            <w:tcBorders>
              <w:top w:val="nil"/>
              <w:bottom w:val="single" w:sz="4" w:space="0" w:color="BFBFBF" w:themeColor="background1" w:themeShade="BF"/>
            </w:tcBorders>
            <w:shd w:val="clear" w:color="000000" w:fill="auto"/>
          </w:tcPr>
          <w:p w14:paraId="7A9950DA"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6.58</w:t>
            </w:r>
          </w:p>
        </w:tc>
        <w:tc>
          <w:tcPr>
            <w:tcW w:w="1249" w:type="pct"/>
            <w:tcBorders>
              <w:top w:val="nil"/>
              <w:bottom w:val="single" w:sz="4" w:space="0" w:color="BFBFBF" w:themeColor="background1" w:themeShade="BF"/>
            </w:tcBorders>
            <w:shd w:val="clear" w:color="000000" w:fill="auto"/>
          </w:tcPr>
          <w:p w14:paraId="66BFA1D8"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2.32</w:t>
            </w:r>
          </w:p>
        </w:tc>
      </w:tr>
      <w:tr w:rsidR="00370401" w:rsidRPr="00C60FBD" w14:paraId="5DEC3299" w14:textId="77777777" w:rsidTr="00C60FBD">
        <w:tc>
          <w:tcPr>
            <w:tcW w:w="1499" w:type="pct"/>
            <w:tcBorders>
              <w:top w:val="single" w:sz="4" w:space="0" w:color="BFBFBF" w:themeColor="background1" w:themeShade="BF"/>
              <w:bottom w:val="nil"/>
            </w:tcBorders>
            <w:shd w:val="clear" w:color="000000" w:fill="F2F2F2"/>
          </w:tcPr>
          <w:p w14:paraId="79138081" w14:textId="3EC51DA8" w:rsidR="00370401" w:rsidRPr="00C60FBD" w:rsidRDefault="00370401" w:rsidP="00C60FBD">
            <w:pPr>
              <w:pStyle w:val="TableBodyText"/>
              <w:spacing w:before="120" w:after="45"/>
              <w:ind w:left="57" w:right="108"/>
              <w:jc w:val="left"/>
              <w:rPr>
                <w:rFonts w:ascii="Arial (Body)" w:hAnsi="Arial (Body)"/>
              </w:rPr>
            </w:pPr>
            <w:r w:rsidRPr="00C60FBD">
              <w:rPr>
                <w:rFonts w:ascii="Arial (Body)" w:hAnsi="Arial (Body)"/>
              </w:rPr>
              <w:t>Total spread (</w:t>
            </w:r>
            <m:oMath>
              <m:sSub>
                <m:sSubPr>
                  <m:ctrlPr>
                    <w:rPr>
                      <w:rFonts w:ascii="Cambria Math" w:hAnsi="Cambria Math"/>
                    </w:rPr>
                  </m:ctrlPr>
                </m:sSubPr>
                <m:e>
                  <m:r>
                    <w:rPr>
                      <w:rFonts w:ascii="Cambria Math" w:hAnsi="Cambria Math"/>
                    </w:rPr>
                    <m:t>r</m:t>
                  </m:r>
                </m:e>
                <m:sub>
                  <m:r>
                    <w:rPr>
                      <w:rFonts w:ascii="Cambria Math" w:hAnsi="Cambria Math"/>
                    </w:rPr>
                    <m:t>f</m:t>
                  </m:r>
                </m:sub>
              </m:sSub>
              <m:r>
                <m:rPr>
                  <m:sty m:val="p"/>
                </m:rPr>
                <w:rPr>
                  <w:rFonts w:ascii="Cambria Math" w:hAnsi="Cambria Math"/>
                </w:rPr>
                <m:t>=10 </m:t>
              </m:r>
              <m:r>
                <w:rPr>
                  <w:rFonts w:ascii="Cambria Math" w:hAnsi="Cambria Math"/>
                </w:rPr>
                <m:t>years</m:t>
              </m:r>
              <m:r>
                <w:rPr>
                  <w:rStyle w:val="NoteLabel"/>
                  <w:rFonts w:ascii="Cambria Math" w:eastAsiaTheme="majorEastAsia" w:hAnsi="Cambria Math"/>
                </w:rPr>
                <m:t>c</m:t>
              </m:r>
              <m:r>
                <m:rPr>
                  <m:sty m:val="p"/>
                </m:rPr>
                <w:rPr>
                  <w:rFonts w:ascii="Cambria Math" w:hAnsi="Cambria Math"/>
                </w:rPr>
                <m:t>)</m:t>
              </m:r>
            </m:oMath>
          </w:p>
        </w:tc>
        <w:tc>
          <w:tcPr>
            <w:tcW w:w="1166" w:type="pct"/>
            <w:tcBorders>
              <w:top w:val="single" w:sz="4" w:space="0" w:color="BFBFBF" w:themeColor="background1" w:themeShade="BF"/>
              <w:bottom w:val="nil"/>
            </w:tcBorders>
            <w:shd w:val="clear" w:color="000000" w:fill="F2F2F2"/>
          </w:tcPr>
          <w:p w14:paraId="7C35C7BA" w14:textId="77777777" w:rsidR="00370401" w:rsidRPr="00C60FBD" w:rsidRDefault="00370401" w:rsidP="00C60FBD">
            <w:pPr>
              <w:pStyle w:val="TableBodyText"/>
              <w:spacing w:before="120" w:after="45"/>
              <w:ind w:left="57" w:right="108"/>
              <w:rPr>
                <w:rFonts w:ascii="Arial (Body)" w:hAnsi="Arial (Body)"/>
                <w:color w:val="000000"/>
              </w:rPr>
            </w:pPr>
            <w:r w:rsidRPr="00C60FBD">
              <w:rPr>
                <w:rFonts w:ascii="Arial (Body)" w:hAnsi="Arial (Body)"/>
                <w:color w:val="000000"/>
              </w:rPr>
              <w:t>11.1</w:t>
            </w:r>
          </w:p>
        </w:tc>
        <w:tc>
          <w:tcPr>
            <w:tcW w:w="1086" w:type="pct"/>
            <w:tcBorders>
              <w:top w:val="single" w:sz="4" w:space="0" w:color="BFBFBF" w:themeColor="background1" w:themeShade="BF"/>
              <w:bottom w:val="nil"/>
            </w:tcBorders>
            <w:shd w:val="clear" w:color="000000" w:fill="F2F2F2"/>
          </w:tcPr>
          <w:p w14:paraId="363C15F2" w14:textId="77777777" w:rsidR="00370401" w:rsidRPr="00C60FBD" w:rsidRDefault="00370401" w:rsidP="00C60FBD">
            <w:pPr>
              <w:pStyle w:val="TableBodyText"/>
              <w:spacing w:before="120" w:after="45"/>
              <w:ind w:left="57" w:right="108"/>
              <w:rPr>
                <w:rFonts w:ascii="Arial (Body)" w:hAnsi="Arial (Body)"/>
                <w:color w:val="000000"/>
              </w:rPr>
            </w:pPr>
            <w:r w:rsidRPr="00C60FBD">
              <w:rPr>
                <w:rFonts w:ascii="Arial (Body)" w:hAnsi="Arial (Body)"/>
                <w:color w:val="000000"/>
              </w:rPr>
              <w:t>13.0</w:t>
            </w:r>
          </w:p>
        </w:tc>
        <w:tc>
          <w:tcPr>
            <w:tcW w:w="1249" w:type="pct"/>
            <w:tcBorders>
              <w:top w:val="single" w:sz="4" w:space="0" w:color="BFBFBF" w:themeColor="background1" w:themeShade="BF"/>
              <w:bottom w:val="nil"/>
            </w:tcBorders>
            <w:shd w:val="clear" w:color="000000" w:fill="F2F2F2"/>
          </w:tcPr>
          <w:p w14:paraId="3A22A3A1" w14:textId="77777777" w:rsidR="00370401" w:rsidRPr="00C60FBD" w:rsidRDefault="00370401" w:rsidP="00C60FBD">
            <w:pPr>
              <w:pStyle w:val="TableBodyText"/>
              <w:spacing w:before="120" w:after="45"/>
              <w:ind w:left="57" w:right="108"/>
              <w:rPr>
                <w:rFonts w:ascii="Arial (Body)" w:hAnsi="Arial (Body)"/>
                <w:color w:val="000000"/>
              </w:rPr>
            </w:pPr>
            <w:r w:rsidRPr="00C60FBD">
              <w:rPr>
                <w:rFonts w:ascii="Arial (Body)" w:hAnsi="Arial (Body)"/>
                <w:color w:val="000000"/>
              </w:rPr>
              <w:t>1.98</w:t>
            </w:r>
          </w:p>
        </w:tc>
      </w:tr>
      <w:tr w:rsidR="00370401" w:rsidRPr="00C60FBD" w14:paraId="6F21C12E" w14:textId="77777777" w:rsidTr="00C60FBD">
        <w:tc>
          <w:tcPr>
            <w:tcW w:w="1499" w:type="pct"/>
            <w:tcBorders>
              <w:top w:val="nil"/>
              <w:bottom w:val="nil"/>
            </w:tcBorders>
            <w:shd w:val="clear" w:color="000000" w:fill="auto"/>
          </w:tcPr>
          <w:p w14:paraId="495E12FD" w14:textId="18834C71" w:rsidR="00370401" w:rsidRPr="00C60FBD" w:rsidRDefault="00370401" w:rsidP="00C60FBD">
            <w:pPr>
              <w:pStyle w:val="TableBodyText"/>
              <w:spacing w:before="45" w:after="45"/>
              <w:ind w:left="57" w:right="108"/>
              <w:jc w:val="left"/>
              <w:rPr>
                <w:rFonts w:ascii="Arial (Body)" w:hAnsi="Arial (Body)"/>
              </w:rPr>
            </w:pPr>
            <w:r w:rsidRPr="00C60FBD">
              <w:rPr>
                <w:rFonts w:ascii="Arial (Body)" w:hAnsi="Arial (Body)"/>
              </w:rPr>
              <w:t xml:space="preserve">Depreciation </w:t>
            </w:r>
            <m:oMath>
              <m:r>
                <w:rPr>
                  <w:rFonts w:ascii="Cambria Math" w:hAnsi="Cambria Math"/>
                </w:rPr>
                <m:t>δ</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Q</m:t>
                  </m:r>
                </m:sub>
              </m:sSub>
            </m:oMath>
          </w:p>
        </w:tc>
        <w:tc>
          <w:tcPr>
            <w:tcW w:w="1166" w:type="pct"/>
            <w:tcBorders>
              <w:top w:val="nil"/>
              <w:bottom w:val="nil"/>
            </w:tcBorders>
            <w:shd w:val="clear" w:color="000000" w:fill="auto"/>
          </w:tcPr>
          <w:p w14:paraId="390B53F8"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4.62</w:t>
            </w:r>
          </w:p>
        </w:tc>
        <w:tc>
          <w:tcPr>
            <w:tcW w:w="1086" w:type="pct"/>
            <w:tcBorders>
              <w:top w:val="nil"/>
              <w:bottom w:val="nil"/>
            </w:tcBorders>
            <w:shd w:val="clear" w:color="000000" w:fill="auto"/>
          </w:tcPr>
          <w:p w14:paraId="02A125B1"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4.34</w:t>
            </w:r>
          </w:p>
        </w:tc>
        <w:tc>
          <w:tcPr>
            <w:tcW w:w="1249" w:type="pct"/>
            <w:tcBorders>
              <w:top w:val="nil"/>
              <w:bottom w:val="nil"/>
            </w:tcBorders>
            <w:shd w:val="clear" w:color="000000" w:fill="auto"/>
          </w:tcPr>
          <w:p w14:paraId="7B2FAD8C"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noBreakHyphen/>
              <w:t>0.28</w:t>
            </w:r>
          </w:p>
        </w:tc>
      </w:tr>
      <w:tr w:rsidR="00370401" w:rsidRPr="00C60FBD" w14:paraId="6A142BC4" w14:textId="77777777" w:rsidTr="00C60FBD">
        <w:tc>
          <w:tcPr>
            <w:tcW w:w="1499" w:type="pct"/>
            <w:tcBorders>
              <w:bottom w:val="nil"/>
            </w:tcBorders>
            <w:shd w:val="clear" w:color="000000" w:fill="F2F2F2"/>
          </w:tcPr>
          <w:p w14:paraId="7CFCF313" w14:textId="4042AEC3" w:rsidR="00370401" w:rsidRPr="00C60FBD" w:rsidRDefault="00370401" w:rsidP="00C60FBD">
            <w:pPr>
              <w:pStyle w:val="TableBodyText"/>
              <w:spacing w:before="45" w:after="45"/>
              <w:ind w:left="57" w:right="108"/>
              <w:jc w:val="left"/>
              <w:rPr>
                <w:rFonts w:ascii="Arial (Body)" w:hAnsi="Arial (Body)"/>
              </w:rPr>
            </w:pPr>
            <w:r w:rsidRPr="00C60FBD">
              <w:rPr>
                <w:rFonts w:ascii="Arial (Body)" w:hAnsi="Arial (Body)"/>
              </w:rPr>
              <w:t xml:space="preserve">Market power </w:t>
            </w:r>
            <m:oMath>
              <m:r>
                <w:rPr>
                  <w:rFonts w:ascii="Cambria Math" w:hAnsi="Cambria Math"/>
                </w:rPr>
                <m:t>γ</m:t>
              </m:r>
            </m:oMath>
          </w:p>
        </w:tc>
        <w:tc>
          <w:tcPr>
            <w:tcW w:w="1166" w:type="pct"/>
            <w:tcBorders>
              <w:bottom w:val="nil"/>
            </w:tcBorders>
            <w:shd w:val="clear" w:color="000000" w:fill="F2F2F2"/>
          </w:tcPr>
          <w:p w14:paraId="0F06195D"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3.17</w:t>
            </w:r>
          </w:p>
        </w:tc>
        <w:tc>
          <w:tcPr>
            <w:tcW w:w="1086" w:type="pct"/>
            <w:tcBorders>
              <w:bottom w:val="nil"/>
            </w:tcBorders>
            <w:shd w:val="clear" w:color="000000" w:fill="F2F2F2"/>
          </w:tcPr>
          <w:p w14:paraId="7807C931"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3.21</w:t>
            </w:r>
          </w:p>
        </w:tc>
        <w:tc>
          <w:tcPr>
            <w:tcW w:w="1249" w:type="pct"/>
            <w:tcBorders>
              <w:bottom w:val="nil"/>
            </w:tcBorders>
            <w:shd w:val="clear" w:color="000000" w:fill="F2F2F2"/>
          </w:tcPr>
          <w:p w14:paraId="5DBE56C8"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0.04</w:t>
            </w:r>
          </w:p>
        </w:tc>
      </w:tr>
      <w:tr w:rsidR="00370401" w:rsidRPr="00C60FBD" w14:paraId="34C5A086" w14:textId="77777777" w:rsidTr="00C60FBD">
        <w:tc>
          <w:tcPr>
            <w:tcW w:w="1499" w:type="pct"/>
            <w:tcBorders>
              <w:top w:val="nil"/>
            </w:tcBorders>
            <w:shd w:val="clear" w:color="000000" w:fill="auto"/>
          </w:tcPr>
          <w:p w14:paraId="22DFFABC" w14:textId="2885E908" w:rsidR="00370401" w:rsidRPr="00C60FBD" w:rsidRDefault="00370401" w:rsidP="00C60FBD">
            <w:pPr>
              <w:pStyle w:val="TableBodyText"/>
              <w:spacing w:before="45" w:after="45"/>
              <w:ind w:left="57" w:right="108"/>
              <w:jc w:val="left"/>
              <w:rPr>
                <w:rFonts w:ascii="Arial (Body)" w:hAnsi="Arial (Body)"/>
              </w:rPr>
            </w:pPr>
            <w:r w:rsidRPr="00C60FBD">
              <w:rPr>
                <w:rFonts w:ascii="Arial (Body)" w:hAnsi="Arial (Body)"/>
              </w:rPr>
              <w:t xml:space="preserve">Risk premium </w:t>
            </w:r>
            <m:oMath>
              <m:sSup>
                <m:sSupPr>
                  <m:ctrlPr>
                    <w:rPr>
                      <w:rFonts w:ascii="Cambria Math" w:hAnsi="Cambria Math"/>
                    </w:rPr>
                  </m:ctrlPr>
                </m:sSupPr>
                <m:e>
                  <m:r>
                    <w:rPr>
                      <w:rFonts w:ascii="Cambria Math" w:hAnsi="Cambria Math"/>
                    </w:rPr>
                    <m:t>r</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oMath>
          </w:p>
        </w:tc>
        <w:tc>
          <w:tcPr>
            <w:tcW w:w="1166" w:type="pct"/>
            <w:tcBorders>
              <w:top w:val="nil"/>
            </w:tcBorders>
            <w:shd w:val="clear" w:color="000000" w:fill="auto"/>
          </w:tcPr>
          <w:p w14:paraId="05A2D3CB"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3.28</w:t>
            </w:r>
          </w:p>
        </w:tc>
        <w:tc>
          <w:tcPr>
            <w:tcW w:w="1086" w:type="pct"/>
            <w:tcBorders>
              <w:top w:val="nil"/>
            </w:tcBorders>
            <w:shd w:val="clear" w:color="000000" w:fill="auto"/>
          </w:tcPr>
          <w:p w14:paraId="52A3CFE3"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5.50</w:t>
            </w:r>
          </w:p>
        </w:tc>
        <w:tc>
          <w:tcPr>
            <w:tcW w:w="1249" w:type="pct"/>
            <w:tcBorders>
              <w:top w:val="nil"/>
            </w:tcBorders>
            <w:shd w:val="clear" w:color="000000" w:fill="auto"/>
          </w:tcPr>
          <w:p w14:paraId="716B19B1" w14:textId="77777777" w:rsidR="00370401" w:rsidRPr="00C60FBD" w:rsidRDefault="00370401" w:rsidP="00C60FBD">
            <w:pPr>
              <w:pStyle w:val="TableBodyText"/>
              <w:spacing w:before="45" w:after="45"/>
              <w:ind w:left="57" w:right="108"/>
              <w:rPr>
                <w:rFonts w:ascii="Arial (Body)" w:hAnsi="Arial (Body)"/>
                <w:color w:val="000000"/>
              </w:rPr>
            </w:pPr>
            <w:r w:rsidRPr="00C60FBD">
              <w:rPr>
                <w:rFonts w:ascii="Arial (Body)" w:hAnsi="Arial (Body)"/>
                <w:color w:val="000000"/>
              </w:rPr>
              <w:t>2.22</w:t>
            </w:r>
          </w:p>
        </w:tc>
      </w:tr>
    </w:tbl>
    <w:p w14:paraId="72734721" w14:textId="796BDFF2" w:rsidR="00370401" w:rsidRDefault="00370401" w:rsidP="00ED33D7">
      <w:pPr>
        <w:pStyle w:val="Note"/>
      </w:pPr>
      <w:r w:rsidRPr="00C36914">
        <w:rPr>
          <w:b/>
          <w:bCs/>
        </w:rPr>
        <w:t>a.</w:t>
      </w:r>
      <w:r w:rsidRPr="00C36914">
        <w:t xml:space="preserve"> </w:t>
      </w:r>
      <w:r w:rsidR="00844087">
        <w:t>1 year risk</w:t>
      </w:r>
      <w:r w:rsidR="00844087">
        <w:noBreakHyphen/>
        <w:t>free rate = 1 year RBA zero coupon rate – 1 year inflation expectations.</w:t>
      </w:r>
      <w:r w:rsidR="00844087" w:rsidRPr="00844087">
        <w:rPr>
          <w:b/>
        </w:rPr>
        <w:t xml:space="preserve"> </w:t>
      </w:r>
      <w:r w:rsidR="00844087">
        <w:rPr>
          <w:b/>
        </w:rPr>
        <w:t>b</w:t>
      </w:r>
      <w:r w:rsidR="00844087" w:rsidRPr="00844087">
        <w:rPr>
          <w:b/>
        </w:rPr>
        <w:t xml:space="preserve">. </w:t>
      </w:r>
      <w:r w:rsidR="00844087">
        <w:t>2 year risk</w:t>
      </w:r>
      <w:r w:rsidR="00844087">
        <w:noBreakHyphen/>
        <w:t>free rate = 2 year government bond yields – 2 year inflation expectations.</w:t>
      </w:r>
      <w:r w:rsidR="00844087">
        <w:rPr>
          <w:rStyle w:val="NoteLabel"/>
        </w:rPr>
        <w:t xml:space="preserve"> </w:t>
      </w:r>
      <w:r w:rsidR="00844087" w:rsidRPr="00844087">
        <w:rPr>
          <w:b/>
        </w:rPr>
        <w:t>c.</w:t>
      </w:r>
      <w:r w:rsidR="00844087">
        <w:t xml:space="preserve"> 10 year risk</w:t>
      </w:r>
      <w:r w:rsidR="00844087">
        <w:noBreakHyphen/>
        <w:t>free rate = 10 year government bond yields – 10 year inflation expectations.</w:t>
      </w:r>
    </w:p>
    <w:p w14:paraId="71076BBD" w14:textId="49036BE0" w:rsidR="00370401" w:rsidRDefault="00370401" w:rsidP="00370401">
      <w:pPr>
        <w:pStyle w:val="Source"/>
      </w:pPr>
      <w:r w:rsidRPr="00696447">
        <w:t xml:space="preserve">Source: </w:t>
      </w:r>
      <w:r w:rsidR="00844087">
        <w:t>Commission estimates based on RBA, ABS and Market Index data.</w:t>
      </w:r>
    </w:p>
    <w:p w14:paraId="132D91CF" w14:textId="77777777" w:rsidR="006D2565" w:rsidRDefault="006D2565" w:rsidP="006D2565">
      <w:pPr>
        <w:pStyle w:val="Heading3"/>
      </w:pPr>
      <w:r>
        <w:lastRenderedPageBreak/>
        <w:t>Investment price growth</w:t>
      </w:r>
    </w:p>
    <w:p w14:paraId="563F685F" w14:textId="6446EDA8" w:rsidR="006D2565" w:rsidRPr="008003EC" w:rsidRDefault="006D2565" w:rsidP="006D2565">
      <w:pPr>
        <w:pStyle w:val="BodyText"/>
      </w:pPr>
      <w:r>
        <w:t xml:space="preserve">Farhi and Gourio’s </w:t>
      </w:r>
      <w:r w:rsidRPr="00B13848">
        <w:t>(2019)</w:t>
      </w:r>
      <w:r>
        <w:t xml:space="preserve"> model assumes that an increase in investment price growth will reduce capital accumulation and economic growth by reducing investment in capita</w:t>
      </w:r>
      <w:r w:rsidR="004F3DDC">
        <w:t>l</w:t>
      </w:r>
      <w:r>
        <w:t xml:space="preserve">. </w:t>
      </w:r>
    </w:p>
    <w:p w14:paraId="5993EADD" w14:textId="77777777" w:rsidR="006D2565" w:rsidRDefault="006D2565" w:rsidP="006D2565">
      <w:pPr>
        <w:pStyle w:val="BodyText"/>
      </w:pPr>
      <w:r>
        <w:t xml:space="preserve">While this assumption is intuitive, standard user cost of capital theory uses capital price growth rather than investment price growth. Capital and investment prices have diverged in Australia – ABS data show that capital prices have grown about six times faster than investment prices from 1997 to 2021. Given this difference, capital price growth was substituted into the model for investment price growth (i.e. </w:t>
      </w:r>
      <m:oMath>
        <m:sSub>
          <m:sSubPr>
            <m:ctrlPr>
              <w:rPr>
                <w:rFonts w:ascii="Cambria Math" w:hAnsi="Cambria Math"/>
                <w:i/>
              </w:rPr>
            </m:ctrlPr>
          </m:sSubPr>
          <m:e>
            <m:r>
              <w:rPr>
                <w:rFonts w:ascii="Cambria Math" w:hAnsi="Cambria Math"/>
              </w:rPr>
              <m:t>g</m:t>
            </m:r>
          </m:e>
          <m:sub>
            <m:r>
              <w:rPr>
                <w:rFonts w:ascii="Cambria Math" w:hAnsi="Cambria Math"/>
              </w:rPr>
              <m:t>Q</m:t>
            </m:r>
          </m:sub>
        </m:sSub>
      </m:oMath>
      <w:r>
        <w:t xml:space="preserve"> became a larger negative value in the model) (table A.3). </w:t>
      </w:r>
    </w:p>
    <w:p w14:paraId="300F672C" w14:textId="77777777" w:rsidR="00E8349C" w:rsidRDefault="00E8349C" w:rsidP="00E8349C">
      <w:pPr>
        <w:pStyle w:val="BodyText"/>
      </w:pPr>
      <w:r>
        <w:t xml:space="preserve">Introducing capital price growth into the framework decreased the absolute value of the risk premium and increased the absolute value of depreciation; the market power component remained relatively constant. Using capital prices still resulted in a rising risk premium. </w:t>
      </w:r>
    </w:p>
    <w:p w14:paraId="59F5DC99" w14:textId="77777777" w:rsidR="00E8349C" w:rsidRDefault="00E8349C" w:rsidP="00E8349C">
      <w:pPr>
        <w:pStyle w:val="BodyText"/>
      </w:pPr>
      <w:r>
        <w:t xml:space="preserve">The large increase in the depreciation spread reflects that the higher capital prices (larger negative </w:t>
      </w:r>
      <m:oMath>
        <m:sSub>
          <m:sSubPr>
            <m:ctrlPr>
              <w:rPr>
                <w:rFonts w:ascii="Cambria Math" w:hAnsi="Cambria Math"/>
                <w:i/>
              </w:rPr>
            </m:ctrlPr>
          </m:sSubPr>
          <m:e>
            <m:r>
              <w:rPr>
                <w:rFonts w:ascii="Cambria Math" w:hAnsi="Cambria Math"/>
              </w:rPr>
              <m:t>g</m:t>
            </m:r>
          </m:e>
          <m:sub>
            <m:r>
              <w:rPr>
                <w:rFonts w:ascii="Cambria Math" w:hAnsi="Cambria Math"/>
              </w:rPr>
              <m:t>Q</m:t>
            </m:r>
          </m:sub>
        </m:sSub>
      </m:oMath>
      <w:r>
        <w:t>) would reduce investment in new capital stock and the trend growth rate (</w:t>
      </w:r>
      <m:oMath>
        <m:sSub>
          <m:sSubPr>
            <m:ctrlPr>
              <w:rPr>
                <w:rFonts w:ascii="Cambria Math" w:hAnsi="Cambria Math"/>
                <w:i/>
              </w:rPr>
            </m:ctrlPr>
          </m:sSubPr>
          <m:e>
            <m:r>
              <w:rPr>
                <w:rFonts w:ascii="Cambria Math" w:hAnsi="Cambria Math"/>
              </w:rPr>
              <m:t>g</m:t>
            </m:r>
          </m:e>
          <m:sub>
            <m:r>
              <w:rPr>
                <w:rFonts w:ascii="Cambria Math" w:hAnsi="Cambria Math"/>
              </w:rPr>
              <m:t>T</m:t>
            </m:r>
          </m:sub>
        </m:sSub>
      </m:oMath>
      <w:r>
        <w:t xml:space="preserve">), thereby resulting in a larger magnitude of depreciation </w:t>
      </w:r>
      <m:oMath>
        <m:d>
          <m:dPr>
            <m:ctrlPr>
              <w:rPr>
                <w:rFonts w:ascii="Cambria Math" w:hAnsi="Cambria Math"/>
                <w:i/>
              </w:rPr>
            </m:ctrlPr>
          </m:dPr>
          <m:e>
            <m:r>
              <w:rPr>
                <w:rFonts w:ascii="Cambria Math" w:hAnsi="Cambria Math"/>
              </w:rPr>
              <m:t>δ</m:t>
            </m:r>
          </m:e>
        </m:d>
      </m:oMath>
      <w:r>
        <w:t xml:space="preserve">. This increase in depreciation offsets the larger negative value of </w:t>
      </w:r>
      <m:oMath>
        <m:sSub>
          <m:sSubPr>
            <m:ctrlPr>
              <w:rPr>
                <w:rFonts w:ascii="Cambria Math" w:hAnsi="Cambria Math"/>
                <w:i/>
              </w:rPr>
            </m:ctrlPr>
          </m:sSubPr>
          <m:e>
            <m:r>
              <w:rPr>
                <w:rFonts w:ascii="Cambria Math" w:hAnsi="Cambria Math"/>
              </w:rPr>
              <m:t>g</m:t>
            </m:r>
          </m:e>
          <m:sub>
            <m:r>
              <w:rPr>
                <w:rFonts w:ascii="Cambria Math" w:hAnsi="Cambria Math"/>
              </w:rPr>
              <m:t>Q</m:t>
            </m:r>
          </m:sub>
        </m:sSub>
      </m:oMath>
      <w:r>
        <w:t>, resulting in a higher overall depreciation spread.</w:t>
      </w:r>
    </w:p>
    <w:p w14:paraId="2586664D" w14:textId="33C9A50E" w:rsidR="00E8349C" w:rsidRPr="0063295B" w:rsidRDefault="00E8349C" w:rsidP="006D2565">
      <w:pPr>
        <w:pStyle w:val="BodyText"/>
        <w:rPr>
          <w:spacing w:val="2"/>
        </w:rPr>
      </w:pPr>
      <w:r w:rsidRPr="00536C92">
        <w:rPr>
          <w:spacing w:val="2"/>
        </w:rPr>
        <w:t>The lower risk premium reflects that higher capital prices would reduce capital accumulation, and therefore the trend growth of GDP; a lower trend growth in GDP would reduce the required rate of return according to the Gordon growth model, and therefore the risk premium.</w:t>
      </w:r>
    </w:p>
    <w:p w14:paraId="2516AC72" w14:textId="1AB3E208" w:rsidR="00844087" w:rsidRDefault="00844087" w:rsidP="00ED33D7">
      <w:pPr>
        <w:pStyle w:val="FigureTableHeading"/>
      </w:pPr>
      <w:r>
        <w:t xml:space="preserve">Table </w:t>
      </w:r>
      <w:r w:rsidR="007A7DF1">
        <w:t>A</w:t>
      </w:r>
      <w:r>
        <w:t>.</w:t>
      </w:r>
      <w:r w:rsidR="007A7DF1">
        <w:t>3</w:t>
      </w:r>
      <w:r>
        <w:rPr>
          <w:noProof/>
        </w:rPr>
        <w:t xml:space="preserve"> – </w:t>
      </w:r>
      <w:r>
        <w:t>Substituting capital price growth into the model</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047"/>
        <w:gridCol w:w="1773"/>
        <w:gridCol w:w="2410"/>
        <w:gridCol w:w="2408"/>
      </w:tblGrid>
      <w:tr w:rsidR="00601806" w:rsidRPr="00601806" w14:paraId="62891216" w14:textId="77777777" w:rsidTr="00601806">
        <w:trPr>
          <w:tblHeader/>
        </w:trPr>
        <w:tc>
          <w:tcPr>
            <w:tcW w:w="1581" w:type="pct"/>
            <w:tcBorders>
              <w:bottom w:val="single" w:sz="4" w:space="0" w:color="B3B3B3"/>
            </w:tcBorders>
            <w:shd w:val="clear" w:color="000000" w:fill="auto"/>
            <w:tcMar>
              <w:top w:w="28" w:type="dxa"/>
            </w:tcMar>
            <w:vAlign w:val="bottom"/>
          </w:tcPr>
          <w:p w14:paraId="721FBBBE" w14:textId="77777777" w:rsidR="00DA7B63" w:rsidRPr="00601806" w:rsidRDefault="00DA7B63" w:rsidP="00601806">
            <w:pPr>
              <w:pStyle w:val="TableColumnHeading"/>
              <w:spacing w:before="45" w:after="45"/>
              <w:ind w:left="57" w:right="108"/>
              <w:jc w:val="left"/>
              <w:rPr>
                <w:rFonts w:ascii="Arial (Body)" w:hAnsi="Arial (Body)"/>
                <w:b/>
                <w:i w:val="0"/>
                <w:color w:val="265A9A"/>
              </w:rPr>
            </w:pPr>
            <w:r w:rsidRPr="00601806">
              <w:rPr>
                <w:rFonts w:ascii="Arial (Body)" w:hAnsi="Arial (Body)"/>
                <w:b/>
                <w:i w:val="0"/>
                <w:color w:val="265A9A"/>
              </w:rPr>
              <w:t>MPK</w:t>
            </w:r>
            <w:r w:rsidRPr="00601806">
              <w:rPr>
                <w:rFonts w:ascii="Arial (Body)" w:hAnsi="Arial (Body)"/>
                <w:b/>
                <w:i w:val="0"/>
                <w:color w:val="265A9A"/>
              </w:rPr>
              <w:noBreakHyphen/>
              <w:t xml:space="preserve">RF spread </w:t>
            </w:r>
          </w:p>
        </w:tc>
        <w:tc>
          <w:tcPr>
            <w:tcW w:w="920" w:type="pct"/>
            <w:tcBorders>
              <w:bottom w:val="single" w:sz="4" w:space="0" w:color="B3B3B3"/>
            </w:tcBorders>
            <w:shd w:val="clear" w:color="000000" w:fill="auto"/>
            <w:vAlign w:val="bottom"/>
          </w:tcPr>
          <w:p w14:paraId="46726F6B" w14:textId="0ABE2B89" w:rsidR="00DA7B63" w:rsidRPr="00601806" w:rsidRDefault="00DA7B63" w:rsidP="00601806">
            <w:pPr>
              <w:pStyle w:val="TableColumnHeading"/>
              <w:spacing w:before="45" w:after="45"/>
              <w:ind w:left="57" w:right="108"/>
              <w:rPr>
                <w:rFonts w:ascii="Arial (Body)" w:hAnsi="Arial (Body)"/>
                <w:b/>
                <w:i w:val="0"/>
                <w:color w:val="265A9A"/>
              </w:rPr>
            </w:pPr>
            <w:r w:rsidRPr="00601806">
              <w:rPr>
                <w:rFonts w:ascii="Arial (Body)" w:hAnsi="Arial (Body)"/>
                <w:b/>
                <w:i w:val="0"/>
                <w:color w:val="265A9A"/>
              </w:rPr>
              <w:t>1997</w:t>
            </w:r>
            <w:r w:rsidR="00D502FF">
              <w:rPr>
                <w:rFonts w:ascii="Arial (Body)" w:hAnsi="Arial (Body)"/>
                <w:bCs/>
                <w:color w:val="265A9A"/>
              </w:rPr>
              <w:t>–</w:t>
            </w:r>
            <w:r w:rsidRPr="00601806">
              <w:rPr>
                <w:rFonts w:ascii="Arial (Body)" w:hAnsi="Arial (Body)"/>
                <w:b/>
                <w:i w:val="0"/>
                <w:color w:val="265A9A"/>
              </w:rPr>
              <w:t>2008</w:t>
            </w:r>
          </w:p>
        </w:tc>
        <w:tc>
          <w:tcPr>
            <w:tcW w:w="1250" w:type="pct"/>
            <w:tcBorders>
              <w:bottom w:val="single" w:sz="4" w:space="0" w:color="B3B3B3"/>
            </w:tcBorders>
            <w:shd w:val="clear" w:color="000000" w:fill="auto"/>
            <w:tcMar>
              <w:top w:w="28" w:type="dxa"/>
            </w:tcMar>
            <w:vAlign w:val="bottom"/>
          </w:tcPr>
          <w:p w14:paraId="2F293E67" w14:textId="4FE09A42" w:rsidR="00DA7B63" w:rsidRPr="00601806" w:rsidRDefault="00DA7B63" w:rsidP="00601806">
            <w:pPr>
              <w:pStyle w:val="TableColumnHeading"/>
              <w:spacing w:before="45" w:after="45"/>
              <w:ind w:left="57" w:right="108"/>
              <w:rPr>
                <w:rFonts w:ascii="Arial (Body)" w:hAnsi="Arial (Body)"/>
                <w:b/>
                <w:i w:val="0"/>
                <w:color w:val="265A9A"/>
              </w:rPr>
            </w:pPr>
            <w:r w:rsidRPr="00601806">
              <w:rPr>
                <w:rFonts w:ascii="Arial (Body)" w:hAnsi="Arial (Body)"/>
                <w:b/>
                <w:i w:val="0"/>
                <w:color w:val="265A9A"/>
              </w:rPr>
              <w:t>2009</w:t>
            </w:r>
            <w:r w:rsidR="00D502FF">
              <w:rPr>
                <w:rFonts w:ascii="Arial (Body)" w:hAnsi="Arial (Body)"/>
                <w:bCs/>
                <w:color w:val="265A9A"/>
              </w:rPr>
              <w:t>–</w:t>
            </w:r>
            <w:r w:rsidRPr="00601806">
              <w:rPr>
                <w:rFonts w:ascii="Arial (Body)" w:hAnsi="Arial (Body)"/>
                <w:b/>
                <w:i w:val="0"/>
                <w:color w:val="265A9A"/>
              </w:rPr>
              <w:t>2020</w:t>
            </w:r>
          </w:p>
        </w:tc>
        <w:tc>
          <w:tcPr>
            <w:tcW w:w="1249" w:type="pct"/>
            <w:tcBorders>
              <w:bottom w:val="single" w:sz="4" w:space="0" w:color="B3B3B3"/>
            </w:tcBorders>
            <w:shd w:val="clear" w:color="000000" w:fill="auto"/>
            <w:tcMar>
              <w:top w:w="28" w:type="dxa"/>
            </w:tcMar>
            <w:vAlign w:val="bottom"/>
          </w:tcPr>
          <w:p w14:paraId="5C4BC9C9" w14:textId="77777777" w:rsidR="00DA7B63" w:rsidRPr="00601806" w:rsidRDefault="00DA7B63" w:rsidP="00601806">
            <w:pPr>
              <w:pStyle w:val="TableColumnHeading"/>
              <w:spacing w:before="45" w:after="45"/>
              <w:ind w:left="57" w:right="108"/>
              <w:rPr>
                <w:rFonts w:ascii="Arial (Body)" w:hAnsi="Arial (Body)"/>
                <w:b/>
                <w:i w:val="0"/>
                <w:color w:val="265A9A"/>
              </w:rPr>
            </w:pPr>
            <w:r w:rsidRPr="00601806">
              <w:rPr>
                <w:rFonts w:ascii="Arial (Body)" w:hAnsi="Arial (Body)"/>
                <w:b/>
                <w:i w:val="0"/>
                <w:color w:val="265A9A"/>
              </w:rPr>
              <w:t>Difference</w:t>
            </w:r>
          </w:p>
        </w:tc>
      </w:tr>
      <w:tr w:rsidR="00601806" w:rsidRPr="00601806" w14:paraId="73FF1A6A" w14:textId="77777777" w:rsidTr="00601806">
        <w:tc>
          <w:tcPr>
            <w:tcW w:w="1581" w:type="pct"/>
            <w:tcBorders>
              <w:top w:val="single" w:sz="4" w:space="0" w:color="B3B3B3"/>
              <w:bottom w:val="nil"/>
            </w:tcBorders>
            <w:shd w:val="clear" w:color="000000" w:fill="F2F2F2"/>
          </w:tcPr>
          <w:p w14:paraId="3F87CFAD" w14:textId="6A64E3F0" w:rsidR="00DA7B63" w:rsidRPr="00601806" w:rsidRDefault="00DA7B63" w:rsidP="00601806">
            <w:pPr>
              <w:pStyle w:val="TableUnitsRow"/>
              <w:spacing w:before="45" w:after="45"/>
              <w:ind w:left="57" w:right="108"/>
              <w:jc w:val="left"/>
              <w:rPr>
                <w:rFonts w:ascii="Arial (Body)" w:hAnsi="Arial (Body)"/>
              </w:rPr>
            </w:pPr>
            <w:r w:rsidRPr="00601806">
              <w:rPr>
                <w:rFonts w:ascii="Arial (Body)" w:hAnsi="Arial (Body)"/>
              </w:rPr>
              <w:t>Total spread (</w:t>
            </w:r>
            <m:oMath>
              <m:sSub>
                <m:sSubPr>
                  <m:ctrlPr>
                    <w:rPr>
                      <w:rFonts w:ascii="Cambria Math" w:hAnsi="Cambria Math"/>
                    </w:rPr>
                  </m:ctrlPr>
                </m:sSubPr>
                <m:e>
                  <m:r>
                    <w:rPr>
                      <w:rFonts w:ascii="Cambria Math" w:hAnsi="Cambria Math"/>
                    </w:rPr>
                    <m:t>g</m:t>
                  </m:r>
                </m:e>
                <m:sub>
                  <m:r>
                    <w:rPr>
                      <w:rFonts w:ascii="Cambria Math" w:hAnsi="Cambria Math"/>
                    </w:rPr>
                    <m:t>Q</m:t>
                  </m:r>
                </m:sub>
              </m:sSub>
              <m:r>
                <m:rPr>
                  <m:sty m:val="p"/>
                </m:rPr>
                <w:rPr>
                  <w:rFonts w:ascii="Cambria Math" w:hAnsi="Cambria Math"/>
                </w:rPr>
                <m:t>=</m:t>
              </m:r>
              <m:r>
                <w:rPr>
                  <w:rFonts w:ascii="Cambria Math" w:hAnsi="Cambria Math"/>
                </w:rPr>
                <m:t>investment</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growth</m:t>
              </m:r>
              <m:r>
                <m:rPr>
                  <m:sty m:val="p"/>
                </m:rPr>
                <w:rPr>
                  <w:rFonts w:ascii="Cambria Math" w:hAnsi="Cambria Math"/>
                </w:rPr>
                <m:t>)</m:t>
              </m:r>
              <m:r>
                <m:rPr>
                  <m:sty m:val="p"/>
                </m:rPr>
                <w:rPr>
                  <w:rStyle w:val="NoteLabel"/>
                  <w:rFonts w:ascii="Cambria Math" w:eastAsiaTheme="majorEastAsia" w:hAnsi="Cambria Math"/>
                </w:rPr>
                <m:t>a</m:t>
              </m:r>
            </m:oMath>
          </w:p>
        </w:tc>
        <w:tc>
          <w:tcPr>
            <w:tcW w:w="920" w:type="pct"/>
            <w:tcBorders>
              <w:top w:val="single" w:sz="4" w:space="0" w:color="B3B3B3"/>
              <w:bottom w:val="nil"/>
            </w:tcBorders>
            <w:shd w:val="clear" w:color="000000" w:fill="F2F2F2"/>
          </w:tcPr>
          <w:p w14:paraId="5836F916" w14:textId="77777777" w:rsidR="00DA7B63" w:rsidRPr="00601806" w:rsidRDefault="00DA7B63" w:rsidP="00601806">
            <w:pPr>
              <w:pStyle w:val="TableUnitsRow"/>
              <w:spacing w:before="45" w:after="45"/>
              <w:ind w:left="57" w:right="108"/>
              <w:rPr>
                <w:rFonts w:ascii="Arial (Body)" w:hAnsi="Arial (Body)"/>
                <w:color w:val="000000"/>
              </w:rPr>
            </w:pPr>
            <w:r w:rsidRPr="00601806">
              <w:rPr>
                <w:rFonts w:ascii="Arial (Body)" w:hAnsi="Arial (Body)"/>
                <w:color w:val="000000"/>
              </w:rPr>
              <w:t>12.00</w:t>
            </w:r>
          </w:p>
        </w:tc>
        <w:tc>
          <w:tcPr>
            <w:tcW w:w="1250" w:type="pct"/>
            <w:tcBorders>
              <w:top w:val="single" w:sz="4" w:space="0" w:color="B3B3B3"/>
              <w:bottom w:val="nil"/>
            </w:tcBorders>
            <w:shd w:val="clear" w:color="000000" w:fill="F2F2F2"/>
          </w:tcPr>
          <w:p w14:paraId="4FFEA7A5" w14:textId="77777777" w:rsidR="00DA7B63" w:rsidRPr="00601806" w:rsidRDefault="00DA7B63" w:rsidP="00601806">
            <w:pPr>
              <w:pStyle w:val="TableUnitsRow"/>
              <w:spacing w:before="45" w:after="45"/>
              <w:ind w:left="57" w:right="108"/>
              <w:rPr>
                <w:rFonts w:ascii="Arial (Body)" w:hAnsi="Arial (Body)"/>
                <w:color w:val="000000"/>
              </w:rPr>
            </w:pPr>
            <w:r w:rsidRPr="00601806">
              <w:rPr>
                <w:rFonts w:ascii="Arial (Body)" w:hAnsi="Arial (Body)"/>
                <w:color w:val="000000"/>
              </w:rPr>
              <w:t>14.10</w:t>
            </w:r>
          </w:p>
        </w:tc>
        <w:tc>
          <w:tcPr>
            <w:tcW w:w="1249" w:type="pct"/>
            <w:tcBorders>
              <w:top w:val="single" w:sz="4" w:space="0" w:color="B3B3B3"/>
              <w:bottom w:val="nil"/>
            </w:tcBorders>
            <w:shd w:val="clear" w:color="000000" w:fill="F2F2F2"/>
          </w:tcPr>
          <w:p w14:paraId="777238EF" w14:textId="77777777" w:rsidR="00DA7B63" w:rsidRPr="00601806" w:rsidRDefault="00DA7B63" w:rsidP="00601806">
            <w:pPr>
              <w:pStyle w:val="TableUnitsRow"/>
              <w:spacing w:before="45" w:after="45"/>
              <w:ind w:left="57" w:right="108"/>
              <w:rPr>
                <w:rFonts w:ascii="Arial (Body)" w:hAnsi="Arial (Body)"/>
                <w:color w:val="000000"/>
              </w:rPr>
            </w:pPr>
            <w:r w:rsidRPr="00601806">
              <w:rPr>
                <w:rFonts w:ascii="Arial (Body)" w:hAnsi="Arial (Body)"/>
                <w:color w:val="000000"/>
              </w:rPr>
              <w:t>2.08</w:t>
            </w:r>
          </w:p>
        </w:tc>
      </w:tr>
      <w:tr w:rsidR="00DA7B63" w:rsidRPr="00601806" w14:paraId="29DF6DEF" w14:textId="77777777" w:rsidTr="00601806">
        <w:tc>
          <w:tcPr>
            <w:tcW w:w="1581" w:type="pct"/>
            <w:tcBorders>
              <w:top w:val="nil"/>
              <w:bottom w:val="nil"/>
            </w:tcBorders>
            <w:shd w:val="clear" w:color="000000" w:fill="auto"/>
          </w:tcPr>
          <w:p w14:paraId="1CA53C70" w14:textId="62DBC8E2" w:rsidR="00DA7B63" w:rsidRPr="00601806" w:rsidRDefault="00DA7B63" w:rsidP="00601806">
            <w:pPr>
              <w:pStyle w:val="TableBodyText"/>
              <w:spacing w:before="45" w:after="45"/>
              <w:ind w:left="57" w:right="108"/>
              <w:jc w:val="left"/>
              <w:rPr>
                <w:rFonts w:ascii="Arial (Body)" w:hAnsi="Arial (Body)"/>
              </w:rPr>
            </w:pPr>
            <w:r w:rsidRPr="00601806">
              <w:rPr>
                <w:rFonts w:ascii="Arial (Body)" w:hAnsi="Arial (Body)"/>
              </w:rPr>
              <w:t xml:space="preserve">Depreciation </w:t>
            </w:r>
            <m:oMath>
              <m:r>
                <w:rPr>
                  <w:rFonts w:ascii="Cambria Math" w:hAnsi="Cambria Math"/>
                </w:rPr>
                <m:t>δ</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Q</m:t>
                  </m:r>
                </m:sub>
              </m:sSub>
            </m:oMath>
          </w:p>
        </w:tc>
        <w:tc>
          <w:tcPr>
            <w:tcW w:w="920" w:type="pct"/>
            <w:tcBorders>
              <w:top w:val="nil"/>
              <w:bottom w:val="nil"/>
            </w:tcBorders>
            <w:shd w:val="clear" w:color="000000" w:fill="auto"/>
          </w:tcPr>
          <w:p w14:paraId="0A0C45C5"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t>4.62</w:t>
            </w:r>
          </w:p>
        </w:tc>
        <w:tc>
          <w:tcPr>
            <w:tcW w:w="1250" w:type="pct"/>
            <w:tcBorders>
              <w:top w:val="nil"/>
              <w:bottom w:val="nil"/>
            </w:tcBorders>
            <w:shd w:val="clear" w:color="000000" w:fill="auto"/>
          </w:tcPr>
          <w:p w14:paraId="13DD4912"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t>4.34</w:t>
            </w:r>
          </w:p>
        </w:tc>
        <w:tc>
          <w:tcPr>
            <w:tcW w:w="1249" w:type="pct"/>
            <w:tcBorders>
              <w:top w:val="nil"/>
              <w:bottom w:val="nil"/>
            </w:tcBorders>
            <w:shd w:val="clear" w:color="000000" w:fill="auto"/>
          </w:tcPr>
          <w:p w14:paraId="2B48FB5A"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noBreakHyphen/>
              <w:t>0.28</w:t>
            </w:r>
          </w:p>
        </w:tc>
      </w:tr>
      <w:tr w:rsidR="00601806" w:rsidRPr="00601806" w14:paraId="1A31B117" w14:textId="77777777" w:rsidTr="00601806">
        <w:tc>
          <w:tcPr>
            <w:tcW w:w="1581" w:type="pct"/>
            <w:tcBorders>
              <w:bottom w:val="nil"/>
            </w:tcBorders>
            <w:shd w:val="clear" w:color="000000" w:fill="F2F2F2"/>
          </w:tcPr>
          <w:p w14:paraId="7B89332D" w14:textId="03EA4DF5" w:rsidR="00DA7B63" w:rsidRPr="00601806" w:rsidRDefault="00DA7B63" w:rsidP="00601806">
            <w:pPr>
              <w:pStyle w:val="TableBodyText"/>
              <w:spacing w:before="45" w:after="45"/>
              <w:ind w:left="57" w:right="108"/>
              <w:jc w:val="left"/>
              <w:rPr>
                <w:rFonts w:ascii="Arial (Body)" w:hAnsi="Arial (Body)"/>
              </w:rPr>
            </w:pPr>
            <w:r w:rsidRPr="00601806">
              <w:rPr>
                <w:rFonts w:ascii="Arial (Body)" w:hAnsi="Arial (Body)"/>
              </w:rPr>
              <w:t xml:space="preserve">Market power </w:t>
            </w:r>
            <m:oMath>
              <m:r>
                <w:rPr>
                  <w:rFonts w:ascii="Cambria Math" w:hAnsi="Cambria Math"/>
                </w:rPr>
                <m:t>γ</m:t>
              </m:r>
            </m:oMath>
          </w:p>
        </w:tc>
        <w:tc>
          <w:tcPr>
            <w:tcW w:w="920" w:type="pct"/>
            <w:tcBorders>
              <w:bottom w:val="nil"/>
            </w:tcBorders>
            <w:shd w:val="clear" w:color="000000" w:fill="F2F2F2"/>
          </w:tcPr>
          <w:p w14:paraId="597D3EE1"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t>3.17</w:t>
            </w:r>
          </w:p>
        </w:tc>
        <w:tc>
          <w:tcPr>
            <w:tcW w:w="1250" w:type="pct"/>
            <w:tcBorders>
              <w:bottom w:val="nil"/>
            </w:tcBorders>
            <w:shd w:val="clear" w:color="000000" w:fill="F2F2F2"/>
          </w:tcPr>
          <w:p w14:paraId="34E22F8E"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t>3.21</w:t>
            </w:r>
          </w:p>
        </w:tc>
        <w:tc>
          <w:tcPr>
            <w:tcW w:w="1249" w:type="pct"/>
            <w:tcBorders>
              <w:bottom w:val="nil"/>
            </w:tcBorders>
            <w:shd w:val="clear" w:color="000000" w:fill="F2F2F2"/>
          </w:tcPr>
          <w:p w14:paraId="6447310D"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t>0.04</w:t>
            </w:r>
          </w:p>
        </w:tc>
      </w:tr>
      <w:tr w:rsidR="00604C3E" w:rsidRPr="00601806" w14:paraId="35A159FB" w14:textId="77777777" w:rsidTr="00604C3E">
        <w:tc>
          <w:tcPr>
            <w:tcW w:w="1581" w:type="pct"/>
            <w:tcBorders>
              <w:top w:val="nil"/>
              <w:bottom w:val="single" w:sz="4" w:space="0" w:color="BFBFBF" w:themeColor="background1" w:themeShade="BF"/>
            </w:tcBorders>
            <w:shd w:val="clear" w:color="000000" w:fill="auto"/>
          </w:tcPr>
          <w:p w14:paraId="7F63925F" w14:textId="25183FA8" w:rsidR="00DA7B63" w:rsidRPr="00601806" w:rsidRDefault="00DA7B63" w:rsidP="00601806">
            <w:pPr>
              <w:pStyle w:val="TableBodyText"/>
              <w:spacing w:before="45" w:after="45"/>
              <w:ind w:left="57" w:right="108"/>
              <w:jc w:val="left"/>
              <w:rPr>
                <w:rFonts w:ascii="Arial (Body)" w:hAnsi="Arial (Body)"/>
              </w:rPr>
            </w:pPr>
            <w:r w:rsidRPr="00601806">
              <w:rPr>
                <w:rFonts w:ascii="Arial (Body)" w:hAnsi="Arial (Body)"/>
              </w:rPr>
              <w:t xml:space="preserve">Risk premium </w:t>
            </w:r>
            <m:oMath>
              <m:sSup>
                <m:sSupPr>
                  <m:ctrlPr>
                    <w:rPr>
                      <w:rFonts w:ascii="Cambria Math" w:hAnsi="Cambria Math"/>
                    </w:rPr>
                  </m:ctrlPr>
                </m:sSupPr>
                <m:e>
                  <m:r>
                    <w:rPr>
                      <w:rFonts w:ascii="Cambria Math" w:hAnsi="Cambria Math"/>
                    </w:rPr>
                    <m:t>r</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oMath>
          </w:p>
        </w:tc>
        <w:tc>
          <w:tcPr>
            <w:tcW w:w="920" w:type="pct"/>
            <w:tcBorders>
              <w:top w:val="nil"/>
              <w:bottom w:val="single" w:sz="4" w:space="0" w:color="BFBFBF" w:themeColor="background1" w:themeShade="BF"/>
            </w:tcBorders>
            <w:shd w:val="clear" w:color="000000" w:fill="auto"/>
          </w:tcPr>
          <w:p w14:paraId="29F3509B"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t>4.26</w:t>
            </w:r>
          </w:p>
        </w:tc>
        <w:tc>
          <w:tcPr>
            <w:tcW w:w="1250" w:type="pct"/>
            <w:tcBorders>
              <w:top w:val="nil"/>
              <w:bottom w:val="single" w:sz="4" w:space="0" w:color="BFBFBF" w:themeColor="background1" w:themeShade="BF"/>
            </w:tcBorders>
            <w:shd w:val="clear" w:color="000000" w:fill="auto"/>
          </w:tcPr>
          <w:p w14:paraId="76681B27"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t>6.58</w:t>
            </w:r>
          </w:p>
        </w:tc>
        <w:tc>
          <w:tcPr>
            <w:tcW w:w="1249" w:type="pct"/>
            <w:tcBorders>
              <w:top w:val="nil"/>
              <w:bottom w:val="single" w:sz="4" w:space="0" w:color="BFBFBF" w:themeColor="background1" w:themeShade="BF"/>
            </w:tcBorders>
            <w:shd w:val="clear" w:color="000000" w:fill="auto"/>
          </w:tcPr>
          <w:p w14:paraId="12E6A700"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t>2.32</w:t>
            </w:r>
          </w:p>
        </w:tc>
      </w:tr>
      <w:tr w:rsidR="00601806" w:rsidRPr="00601806" w14:paraId="26E7FC82" w14:textId="77777777" w:rsidTr="00604C3E">
        <w:tc>
          <w:tcPr>
            <w:tcW w:w="1581" w:type="pct"/>
            <w:tcBorders>
              <w:top w:val="single" w:sz="4" w:space="0" w:color="BFBFBF" w:themeColor="background1" w:themeShade="BF"/>
              <w:bottom w:val="nil"/>
            </w:tcBorders>
            <w:shd w:val="clear" w:color="000000" w:fill="F2F2F2"/>
          </w:tcPr>
          <w:p w14:paraId="79DD58E4" w14:textId="7CB69F63" w:rsidR="00DA7B63" w:rsidRPr="00601806" w:rsidRDefault="00DA7B63" w:rsidP="00656171">
            <w:pPr>
              <w:pStyle w:val="TableBodyText"/>
              <w:spacing w:before="120" w:after="45"/>
              <w:ind w:left="57" w:right="108"/>
              <w:jc w:val="left"/>
              <w:rPr>
                <w:rFonts w:ascii="Arial (Body)" w:hAnsi="Arial (Body)"/>
              </w:rPr>
            </w:pPr>
            <w:r w:rsidRPr="00601806">
              <w:rPr>
                <w:rFonts w:ascii="Arial (Body)" w:hAnsi="Arial (Body)"/>
              </w:rPr>
              <w:t>Total spread (</w:t>
            </w:r>
            <m:oMath>
              <m:sSub>
                <m:sSubPr>
                  <m:ctrlPr>
                    <w:rPr>
                      <w:rFonts w:ascii="Cambria Math" w:hAnsi="Cambria Math"/>
                    </w:rPr>
                  </m:ctrlPr>
                </m:sSubPr>
                <m:e>
                  <m:r>
                    <w:rPr>
                      <w:rFonts w:ascii="Cambria Math" w:hAnsi="Cambria Math"/>
                    </w:rPr>
                    <m:t>g</m:t>
                  </m:r>
                </m:e>
                <m:sub>
                  <m:r>
                    <w:rPr>
                      <w:rFonts w:ascii="Cambria Math" w:hAnsi="Cambria Math"/>
                    </w:rPr>
                    <m:t>Q</m:t>
                  </m:r>
                </m:sub>
              </m:sSub>
              <m:r>
                <m:rPr>
                  <m:sty m:val="p"/>
                </m:rPr>
                <w:rPr>
                  <w:rFonts w:ascii="Cambria Math" w:hAnsi="Cambria Math"/>
                </w:rPr>
                <m:t>=</m:t>
              </m:r>
              <m:r>
                <w:rPr>
                  <w:rFonts w:ascii="Cambria Math" w:hAnsi="Cambria Math"/>
                </w:rPr>
                <m:t>capital</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growth</m:t>
              </m:r>
              <m:r>
                <m:rPr>
                  <m:sty m:val="p"/>
                </m:rPr>
                <w:rPr>
                  <w:rFonts w:ascii="Cambria Math" w:hAnsi="Cambria Math"/>
                </w:rPr>
                <m:t>)</m:t>
              </m:r>
              <m:r>
                <m:rPr>
                  <m:sty m:val="p"/>
                </m:rPr>
                <w:rPr>
                  <w:rStyle w:val="NoteLabel"/>
                  <w:rFonts w:ascii="Cambria Math" w:eastAsiaTheme="majorEastAsia" w:hAnsi="Cambria Math"/>
                </w:rPr>
                <m:t>b</m:t>
              </m:r>
            </m:oMath>
          </w:p>
        </w:tc>
        <w:tc>
          <w:tcPr>
            <w:tcW w:w="920" w:type="pct"/>
            <w:tcBorders>
              <w:top w:val="single" w:sz="4" w:space="0" w:color="BFBFBF" w:themeColor="background1" w:themeShade="BF"/>
              <w:bottom w:val="nil"/>
            </w:tcBorders>
            <w:shd w:val="clear" w:color="000000" w:fill="F2F2F2"/>
          </w:tcPr>
          <w:p w14:paraId="3BA80C07" w14:textId="77777777" w:rsidR="00DA7B63" w:rsidRPr="00601806" w:rsidRDefault="00DA7B63" w:rsidP="00656171">
            <w:pPr>
              <w:pStyle w:val="TableBodyText"/>
              <w:spacing w:before="120" w:after="45"/>
              <w:ind w:left="57" w:right="108"/>
              <w:rPr>
                <w:rFonts w:ascii="Arial (Body)" w:hAnsi="Arial (Body)"/>
                <w:color w:val="000000"/>
              </w:rPr>
            </w:pPr>
            <w:r w:rsidRPr="00601806">
              <w:rPr>
                <w:rFonts w:ascii="Arial (Body)" w:hAnsi="Arial (Body)"/>
                <w:color w:val="000000"/>
              </w:rPr>
              <w:t>12.00</w:t>
            </w:r>
          </w:p>
        </w:tc>
        <w:tc>
          <w:tcPr>
            <w:tcW w:w="1250" w:type="pct"/>
            <w:tcBorders>
              <w:top w:val="single" w:sz="4" w:space="0" w:color="BFBFBF" w:themeColor="background1" w:themeShade="BF"/>
              <w:bottom w:val="nil"/>
            </w:tcBorders>
            <w:shd w:val="clear" w:color="000000" w:fill="F2F2F2"/>
          </w:tcPr>
          <w:p w14:paraId="38E24348" w14:textId="77777777" w:rsidR="00DA7B63" w:rsidRPr="00601806" w:rsidRDefault="00DA7B63" w:rsidP="00656171">
            <w:pPr>
              <w:pStyle w:val="TableBodyText"/>
              <w:spacing w:before="120" w:after="45"/>
              <w:ind w:left="57" w:right="108"/>
              <w:rPr>
                <w:rFonts w:ascii="Arial (Body)" w:hAnsi="Arial (Body)"/>
                <w:color w:val="000000"/>
              </w:rPr>
            </w:pPr>
            <w:r w:rsidRPr="00601806">
              <w:rPr>
                <w:rFonts w:ascii="Arial (Body)" w:hAnsi="Arial (Body)"/>
                <w:color w:val="000000"/>
              </w:rPr>
              <w:t>14.10</w:t>
            </w:r>
          </w:p>
        </w:tc>
        <w:tc>
          <w:tcPr>
            <w:tcW w:w="1249" w:type="pct"/>
            <w:tcBorders>
              <w:top w:val="single" w:sz="4" w:space="0" w:color="BFBFBF" w:themeColor="background1" w:themeShade="BF"/>
              <w:bottom w:val="nil"/>
            </w:tcBorders>
            <w:shd w:val="clear" w:color="000000" w:fill="F2F2F2"/>
          </w:tcPr>
          <w:p w14:paraId="5B3BF9B8" w14:textId="77777777" w:rsidR="00DA7B63" w:rsidRPr="00601806" w:rsidRDefault="00DA7B63" w:rsidP="00656171">
            <w:pPr>
              <w:pStyle w:val="TableBodyText"/>
              <w:spacing w:before="120" w:after="45"/>
              <w:ind w:left="57" w:right="108"/>
              <w:rPr>
                <w:rFonts w:ascii="Arial (Body)" w:hAnsi="Arial (Body)"/>
                <w:color w:val="000000"/>
              </w:rPr>
            </w:pPr>
            <w:r w:rsidRPr="00601806">
              <w:rPr>
                <w:rFonts w:ascii="Arial (Body)" w:hAnsi="Arial (Body)"/>
                <w:color w:val="000000"/>
              </w:rPr>
              <w:t>2.08</w:t>
            </w:r>
          </w:p>
        </w:tc>
      </w:tr>
      <w:tr w:rsidR="00601806" w:rsidRPr="00601806" w14:paraId="3EB7F886" w14:textId="77777777" w:rsidTr="00601806">
        <w:tc>
          <w:tcPr>
            <w:tcW w:w="1581" w:type="pct"/>
            <w:tcBorders>
              <w:top w:val="nil"/>
              <w:bottom w:val="nil"/>
            </w:tcBorders>
            <w:shd w:val="clear" w:color="000000" w:fill="auto"/>
          </w:tcPr>
          <w:p w14:paraId="2CCED9F3" w14:textId="4E2D5535" w:rsidR="00DA7B63" w:rsidRPr="00601806" w:rsidRDefault="00DA7B63" w:rsidP="00601806">
            <w:pPr>
              <w:pStyle w:val="TableBodyText"/>
              <w:spacing w:before="45" w:after="45"/>
              <w:ind w:left="57" w:right="108"/>
              <w:jc w:val="left"/>
              <w:rPr>
                <w:rFonts w:ascii="Arial (Body)" w:hAnsi="Arial (Body)"/>
              </w:rPr>
            </w:pPr>
            <w:r w:rsidRPr="00601806">
              <w:rPr>
                <w:rFonts w:ascii="Arial (Body)" w:hAnsi="Arial (Body)"/>
              </w:rPr>
              <w:t xml:space="preserve">Depreciation </w:t>
            </w:r>
            <m:oMath>
              <m:r>
                <w:rPr>
                  <w:rFonts w:ascii="Cambria Math" w:hAnsi="Cambria Math"/>
                </w:rPr>
                <m:t>δ</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Q</m:t>
                  </m:r>
                </m:sub>
              </m:sSub>
            </m:oMath>
          </w:p>
        </w:tc>
        <w:tc>
          <w:tcPr>
            <w:tcW w:w="920" w:type="pct"/>
            <w:tcBorders>
              <w:top w:val="nil"/>
              <w:bottom w:val="nil"/>
            </w:tcBorders>
            <w:shd w:val="clear" w:color="000000" w:fill="auto"/>
          </w:tcPr>
          <w:p w14:paraId="168C0723"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t>8.51</w:t>
            </w:r>
          </w:p>
        </w:tc>
        <w:tc>
          <w:tcPr>
            <w:tcW w:w="1250" w:type="pct"/>
            <w:tcBorders>
              <w:top w:val="nil"/>
              <w:bottom w:val="nil"/>
            </w:tcBorders>
            <w:shd w:val="clear" w:color="000000" w:fill="auto"/>
          </w:tcPr>
          <w:p w14:paraId="14FA849D"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t>7.18</w:t>
            </w:r>
          </w:p>
        </w:tc>
        <w:tc>
          <w:tcPr>
            <w:tcW w:w="1249" w:type="pct"/>
            <w:tcBorders>
              <w:top w:val="nil"/>
              <w:bottom w:val="nil"/>
            </w:tcBorders>
            <w:shd w:val="clear" w:color="000000" w:fill="auto"/>
          </w:tcPr>
          <w:p w14:paraId="69BE25AB"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noBreakHyphen/>
              <w:t>1.33</w:t>
            </w:r>
          </w:p>
        </w:tc>
      </w:tr>
      <w:tr w:rsidR="00601806" w:rsidRPr="00601806" w14:paraId="57B150AF" w14:textId="77777777" w:rsidTr="00601806">
        <w:tc>
          <w:tcPr>
            <w:tcW w:w="1581" w:type="pct"/>
            <w:tcBorders>
              <w:bottom w:val="nil"/>
            </w:tcBorders>
            <w:shd w:val="clear" w:color="000000" w:fill="F2F2F2"/>
          </w:tcPr>
          <w:p w14:paraId="32C5F9A2" w14:textId="4A07FE30" w:rsidR="00DA7B63" w:rsidRPr="00601806" w:rsidRDefault="00DA7B63" w:rsidP="00601806">
            <w:pPr>
              <w:pStyle w:val="TableBodyText"/>
              <w:spacing w:before="45" w:after="45"/>
              <w:ind w:left="57" w:right="108"/>
              <w:jc w:val="left"/>
              <w:rPr>
                <w:rFonts w:ascii="Arial (Body)" w:hAnsi="Arial (Body)"/>
              </w:rPr>
            </w:pPr>
            <w:r w:rsidRPr="00601806">
              <w:rPr>
                <w:rFonts w:ascii="Arial (Body)" w:hAnsi="Arial (Body)"/>
              </w:rPr>
              <w:t xml:space="preserve">Market power </w:t>
            </w:r>
            <m:oMath>
              <m:r>
                <w:rPr>
                  <w:rFonts w:ascii="Cambria Math" w:hAnsi="Cambria Math"/>
                </w:rPr>
                <m:t>γ</m:t>
              </m:r>
            </m:oMath>
          </w:p>
        </w:tc>
        <w:tc>
          <w:tcPr>
            <w:tcW w:w="920" w:type="pct"/>
            <w:tcBorders>
              <w:bottom w:val="nil"/>
            </w:tcBorders>
            <w:shd w:val="clear" w:color="000000" w:fill="F2F2F2"/>
          </w:tcPr>
          <w:p w14:paraId="7006843B"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t>3.30</w:t>
            </w:r>
          </w:p>
        </w:tc>
        <w:tc>
          <w:tcPr>
            <w:tcW w:w="1250" w:type="pct"/>
            <w:tcBorders>
              <w:bottom w:val="nil"/>
            </w:tcBorders>
            <w:shd w:val="clear" w:color="000000" w:fill="F2F2F2"/>
          </w:tcPr>
          <w:p w14:paraId="450BB71B"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t>3.32</w:t>
            </w:r>
          </w:p>
        </w:tc>
        <w:tc>
          <w:tcPr>
            <w:tcW w:w="1249" w:type="pct"/>
            <w:tcBorders>
              <w:bottom w:val="nil"/>
            </w:tcBorders>
            <w:shd w:val="clear" w:color="000000" w:fill="F2F2F2"/>
          </w:tcPr>
          <w:p w14:paraId="6D7C6165"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t>0.02</w:t>
            </w:r>
          </w:p>
        </w:tc>
      </w:tr>
      <w:tr w:rsidR="00601806" w:rsidRPr="00601806" w14:paraId="388CDA00" w14:textId="77777777" w:rsidTr="00601806">
        <w:tc>
          <w:tcPr>
            <w:tcW w:w="1581" w:type="pct"/>
            <w:tcBorders>
              <w:top w:val="nil"/>
            </w:tcBorders>
            <w:shd w:val="clear" w:color="000000" w:fill="auto"/>
          </w:tcPr>
          <w:p w14:paraId="4871201E" w14:textId="753842BD" w:rsidR="00DA7B63" w:rsidRPr="00601806" w:rsidRDefault="00DA7B63" w:rsidP="00601806">
            <w:pPr>
              <w:pStyle w:val="TableBodyText"/>
              <w:spacing w:before="45" w:after="45"/>
              <w:ind w:left="57" w:right="108"/>
              <w:jc w:val="left"/>
              <w:rPr>
                <w:rFonts w:ascii="Arial (Body)" w:hAnsi="Arial (Body)"/>
              </w:rPr>
            </w:pPr>
            <w:r w:rsidRPr="00601806">
              <w:rPr>
                <w:rFonts w:ascii="Arial (Body)" w:hAnsi="Arial (Body)"/>
              </w:rPr>
              <w:t xml:space="preserve">Risk premium </w:t>
            </w:r>
            <m:oMath>
              <m:sSup>
                <m:sSupPr>
                  <m:ctrlPr>
                    <w:rPr>
                      <w:rFonts w:ascii="Cambria Math" w:hAnsi="Cambria Math"/>
                    </w:rPr>
                  </m:ctrlPr>
                </m:sSupPr>
                <m:e>
                  <m:r>
                    <w:rPr>
                      <w:rFonts w:ascii="Cambria Math" w:hAnsi="Cambria Math"/>
                    </w:rPr>
                    <m:t>r</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oMath>
          </w:p>
        </w:tc>
        <w:tc>
          <w:tcPr>
            <w:tcW w:w="920" w:type="pct"/>
            <w:tcBorders>
              <w:top w:val="nil"/>
            </w:tcBorders>
            <w:shd w:val="clear" w:color="000000" w:fill="auto"/>
          </w:tcPr>
          <w:p w14:paraId="36E9F0DF"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t>0.23</w:t>
            </w:r>
          </w:p>
        </w:tc>
        <w:tc>
          <w:tcPr>
            <w:tcW w:w="1250" w:type="pct"/>
            <w:tcBorders>
              <w:top w:val="nil"/>
            </w:tcBorders>
            <w:shd w:val="clear" w:color="000000" w:fill="auto"/>
          </w:tcPr>
          <w:p w14:paraId="47CA69E9"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t>3.62</w:t>
            </w:r>
          </w:p>
        </w:tc>
        <w:tc>
          <w:tcPr>
            <w:tcW w:w="1249" w:type="pct"/>
            <w:tcBorders>
              <w:top w:val="nil"/>
            </w:tcBorders>
            <w:shd w:val="clear" w:color="000000" w:fill="auto"/>
          </w:tcPr>
          <w:p w14:paraId="3B4DF3C0" w14:textId="77777777" w:rsidR="00DA7B63" w:rsidRPr="00601806" w:rsidRDefault="00DA7B63" w:rsidP="00601806">
            <w:pPr>
              <w:pStyle w:val="TableBodyText"/>
              <w:spacing w:before="45" w:after="45"/>
              <w:ind w:left="57" w:right="108"/>
              <w:rPr>
                <w:rFonts w:ascii="Arial (Body)" w:hAnsi="Arial (Body)"/>
                <w:color w:val="000000"/>
              </w:rPr>
            </w:pPr>
            <w:r w:rsidRPr="00601806">
              <w:rPr>
                <w:rFonts w:ascii="Arial (Body)" w:hAnsi="Arial (Body)"/>
                <w:color w:val="000000"/>
              </w:rPr>
              <w:t>3.39</w:t>
            </w:r>
          </w:p>
        </w:tc>
      </w:tr>
    </w:tbl>
    <w:p w14:paraId="281645DB" w14:textId="356F3999" w:rsidR="00844087" w:rsidRDefault="00844087" w:rsidP="00ED33D7">
      <w:pPr>
        <w:pStyle w:val="Note"/>
      </w:pPr>
      <w:r w:rsidRPr="00C36914">
        <w:rPr>
          <w:b/>
          <w:bCs/>
        </w:rPr>
        <w:t>a.</w:t>
      </w:r>
      <w:r w:rsidRPr="00C36914">
        <w:t xml:space="preserve"> </w:t>
      </w:r>
      <m:oMath>
        <m:sSub>
          <m:sSubPr>
            <m:ctrlPr>
              <w:rPr>
                <w:rFonts w:ascii="Cambria Math" w:hAnsi="Cambria Math"/>
                <w:i/>
              </w:rPr>
            </m:ctrlPr>
          </m:sSubPr>
          <m:e>
            <m:r>
              <w:rPr>
                <w:rFonts w:ascii="Cambria Math" w:hAnsi="Cambria Math"/>
              </w:rPr>
              <m:t>g</m:t>
            </m:r>
          </m:e>
          <m:sub>
            <m:r>
              <w:rPr>
                <w:rFonts w:ascii="Cambria Math" w:hAnsi="Cambria Math"/>
              </w:rPr>
              <m:t>Q</m:t>
            </m:r>
          </m:sub>
        </m:sSub>
      </m:oMath>
      <w:r w:rsidR="00DA7B63">
        <w:t xml:space="preserve"> is the negative quarterly growth of (gross fixed private capital accumulation chain price index)/(final consumption chain price index). </w:t>
      </w:r>
      <w:r w:rsidR="00DA7B63" w:rsidRPr="00DA7B63">
        <w:rPr>
          <w:b/>
        </w:rPr>
        <w:t>b.</w:t>
      </w:r>
      <w:r w:rsidR="00DA7B63">
        <w:t xml:space="preserve"> </w:t>
      </w:r>
      <m:oMath>
        <m:sSub>
          <m:sSubPr>
            <m:ctrlPr>
              <w:rPr>
                <w:rFonts w:ascii="Cambria Math" w:hAnsi="Cambria Math"/>
                <w:i/>
              </w:rPr>
            </m:ctrlPr>
          </m:sSubPr>
          <m:e>
            <m:r>
              <w:rPr>
                <w:rFonts w:ascii="Cambria Math" w:hAnsi="Cambria Math"/>
              </w:rPr>
              <m:t>g</m:t>
            </m:r>
          </m:e>
          <m:sub>
            <m:r>
              <w:rPr>
                <w:rFonts w:ascii="Cambria Math" w:hAnsi="Cambria Math"/>
              </w:rPr>
              <m:t>Q</m:t>
            </m:r>
          </m:sub>
        </m:sSub>
      </m:oMath>
      <w:r w:rsidR="00DA7B63">
        <w:t xml:space="preserve"> is the negative quarterly growth rate of (capital price index)/(final consumption chain price index). The capital price index was constructed by subtracting the growth rate of the quantity of the capital stock by the growth rate of the value (price and quantity) of the capital stock. This gives a growth rate for capital stock prices.</w:t>
      </w:r>
    </w:p>
    <w:p w14:paraId="0E99549B" w14:textId="6F79D892" w:rsidR="00844087" w:rsidRDefault="00844087" w:rsidP="00844087">
      <w:pPr>
        <w:pStyle w:val="Source"/>
      </w:pPr>
      <w:r w:rsidRPr="00696447">
        <w:t xml:space="preserve">Source: </w:t>
      </w:r>
      <w:r w:rsidR="00536C92">
        <w:t>Commission estimates based on RBA, ABS and Market Index data.</w:t>
      </w:r>
    </w:p>
    <w:p w14:paraId="5ACD6C69" w14:textId="77777777" w:rsidR="0098382B" w:rsidRPr="00C60FBD" w:rsidRDefault="0098382B" w:rsidP="00C60FBD">
      <w:pPr>
        <w:pStyle w:val="BodyText"/>
      </w:pPr>
      <w:bookmarkStart w:id="29" w:name="_Toc158878738"/>
      <w:r w:rsidRPr="00C60FBD">
        <w:br w:type="page"/>
      </w:r>
    </w:p>
    <w:p w14:paraId="6F03EAE6" w14:textId="77777777" w:rsidR="00536C92" w:rsidRDefault="006D2565" w:rsidP="003D1796">
      <w:pPr>
        <w:pStyle w:val="Heading1-nobackground"/>
        <w:sectPr w:rsidR="00536C92" w:rsidSect="00A863A9">
          <w:headerReference w:type="even" r:id="rId50"/>
          <w:headerReference w:type="default" r:id="rId51"/>
          <w:footerReference w:type="even" r:id="rId52"/>
          <w:footerReference w:type="default" r:id="rId53"/>
          <w:headerReference w:type="first" r:id="rId54"/>
          <w:pgSz w:w="11906" w:h="16838" w:code="9"/>
          <w:pgMar w:top="1134" w:right="1134" w:bottom="1134" w:left="1134" w:header="794" w:footer="510" w:gutter="0"/>
          <w:cols w:space="708"/>
          <w:docGrid w:linePitch="360"/>
        </w:sectPr>
      </w:pPr>
      <w:bookmarkStart w:id="30" w:name="_Toc161228819"/>
      <w:r>
        <w:lastRenderedPageBreak/>
        <w:t>References</w:t>
      </w:r>
      <w:bookmarkEnd w:id="29"/>
      <w:bookmarkEnd w:id="30"/>
    </w:p>
    <w:p w14:paraId="13805FBD" w14:textId="630A29B9" w:rsidR="00975001" w:rsidRPr="00975001" w:rsidRDefault="00975001" w:rsidP="0013145C">
      <w:pPr>
        <w:pStyle w:val="Reference"/>
      </w:pPr>
      <w:r w:rsidRPr="00975001">
        <w:t>Allen</w:t>
      </w:r>
      <w:r w:rsidR="00C62491">
        <w:t>,</w:t>
      </w:r>
      <w:r w:rsidR="00C62491" w:rsidRPr="00975001">
        <w:t xml:space="preserve"> </w:t>
      </w:r>
      <w:r w:rsidRPr="00975001">
        <w:t xml:space="preserve">W 2012, </w:t>
      </w:r>
      <w:r w:rsidRPr="009470F9">
        <w:rPr>
          <w:i/>
          <w:iCs/>
        </w:rPr>
        <w:t>International liquidity and the financial crisis</w:t>
      </w:r>
      <w:r w:rsidRPr="00975001">
        <w:t>, Cambridge University Press.</w:t>
      </w:r>
    </w:p>
    <w:p w14:paraId="3EE5A3D0" w14:textId="17EF83F6" w:rsidR="00975001" w:rsidRPr="00975001" w:rsidRDefault="00975001" w:rsidP="0013145C">
      <w:pPr>
        <w:pStyle w:val="Reference"/>
      </w:pPr>
      <w:r w:rsidRPr="00975001">
        <w:t>Barro</w:t>
      </w:r>
      <w:r w:rsidR="00C62491">
        <w:t>,</w:t>
      </w:r>
      <w:r w:rsidR="00C62491" w:rsidRPr="00975001">
        <w:t xml:space="preserve"> </w:t>
      </w:r>
      <w:r w:rsidRPr="00975001">
        <w:t xml:space="preserve">R 2023, ‘r Minus g’, </w:t>
      </w:r>
      <w:r w:rsidRPr="009470F9">
        <w:rPr>
          <w:i/>
          <w:iCs/>
        </w:rPr>
        <w:t>Review of Economic Dynamics</w:t>
      </w:r>
      <w:r w:rsidRPr="00975001">
        <w:t>, vol. 48, pp. 1–17.</w:t>
      </w:r>
    </w:p>
    <w:p w14:paraId="0ACA275A" w14:textId="77777777" w:rsidR="00975001" w:rsidRPr="00975001" w:rsidRDefault="00975001" w:rsidP="0013145C">
      <w:pPr>
        <w:pStyle w:val="Reference"/>
      </w:pPr>
      <w:r w:rsidRPr="00975001">
        <w:t>Cohen, W 2010, ‘Fifty years of empirical studies of innovation activity and performance’, in Hall, B and Rosenberg, N (eds), Handbook of the economics of innovation, vol 1, Elsevier, North-Holland, pp. 129–213.</w:t>
      </w:r>
    </w:p>
    <w:p w14:paraId="0854516F" w14:textId="77777777" w:rsidR="00975001" w:rsidRPr="00975001" w:rsidRDefault="00975001" w:rsidP="0013145C">
      <w:pPr>
        <w:pStyle w:val="Reference"/>
      </w:pPr>
      <w:r w:rsidRPr="00975001">
        <w:t xml:space="preserve">Constantinides, GM and Duffie, D 1996, ‘Asset Pricing with Heterogeneous Consumers’, </w:t>
      </w:r>
      <w:r w:rsidRPr="009470F9">
        <w:rPr>
          <w:i/>
          <w:iCs/>
        </w:rPr>
        <w:t>Journal of Political Economy</w:t>
      </w:r>
      <w:r w:rsidRPr="00975001">
        <w:t>, vol. 104, no. 2, pp. 219–240.</w:t>
      </w:r>
    </w:p>
    <w:p w14:paraId="25C4C978" w14:textId="6E35CD95" w:rsidR="00975001" w:rsidRPr="00975001" w:rsidRDefault="00975001" w:rsidP="0013145C">
      <w:pPr>
        <w:pStyle w:val="Reference"/>
      </w:pPr>
      <w:r w:rsidRPr="00975001">
        <w:t>Day</w:t>
      </w:r>
      <w:r w:rsidR="00230AC8">
        <w:t>,</w:t>
      </w:r>
      <w:r w:rsidR="00230AC8" w:rsidRPr="00975001">
        <w:t xml:space="preserve"> </w:t>
      </w:r>
      <w:r w:rsidRPr="00975001">
        <w:t>I</w:t>
      </w:r>
      <w:r w:rsidR="00230AC8">
        <w:t>,</w:t>
      </w:r>
      <w:r w:rsidR="00230AC8" w:rsidRPr="00975001">
        <w:t xml:space="preserve"> </w:t>
      </w:r>
      <w:r w:rsidRPr="00975001">
        <w:t xml:space="preserve">Duretto, Z, Hartigan, P and Hambur, J 2022, </w:t>
      </w:r>
      <w:r w:rsidRPr="009470F9">
        <w:rPr>
          <w:i/>
          <w:iCs/>
        </w:rPr>
        <w:t>Competition in Australia and its impact on productivity growth</w:t>
      </w:r>
      <w:r w:rsidRPr="00975001">
        <w:t>, October, Treasury round-up, October 2022.</w:t>
      </w:r>
    </w:p>
    <w:p w14:paraId="0971D8A3" w14:textId="77777777" w:rsidR="00975001" w:rsidRPr="00975001" w:rsidRDefault="00975001" w:rsidP="0013145C">
      <w:pPr>
        <w:pStyle w:val="Reference"/>
      </w:pPr>
      <w:r w:rsidRPr="00975001">
        <w:t>Edwards, H and Lane, K 2021, ‘Why are investment hurdle rates so sticky?’, RBA Bulletin.</w:t>
      </w:r>
    </w:p>
    <w:p w14:paraId="6F90A919" w14:textId="5E8FB7D0" w:rsidR="00975001" w:rsidRPr="002D06AB" w:rsidRDefault="00975001" w:rsidP="0013145C">
      <w:pPr>
        <w:pStyle w:val="Reference"/>
        <w:rPr>
          <w:spacing w:val="-4"/>
        </w:rPr>
      </w:pPr>
      <w:r w:rsidRPr="002D06AB">
        <w:rPr>
          <w:spacing w:val="-4"/>
        </w:rPr>
        <w:t xml:space="preserve">Ellis, L 2021, </w:t>
      </w:r>
      <w:r w:rsidRPr="009470F9">
        <w:rPr>
          <w:i/>
          <w:iCs/>
          <w:spacing w:val="-4"/>
        </w:rPr>
        <w:t>Innovation and Dynamism in the Post-pandemic World</w:t>
      </w:r>
      <w:r w:rsidR="00230AC8" w:rsidRPr="002D06AB">
        <w:rPr>
          <w:spacing w:val="-4"/>
        </w:rPr>
        <w:t xml:space="preserve">, </w:t>
      </w:r>
      <w:r w:rsidRPr="002D06AB">
        <w:rPr>
          <w:spacing w:val="-4"/>
        </w:rPr>
        <w:t>Reserve Bank of Australia, www.rba.gov.au/speeches/</w:t>
      </w:r>
      <w:r w:rsidR="002D06AB">
        <w:rPr>
          <w:spacing w:val="-4"/>
        </w:rPr>
        <w:br/>
      </w:r>
      <w:r w:rsidRPr="002D06AB">
        <w:rPr>
          <w:spacing w:val="-4"/>
        </w:rPr>
        <w:t>2021/sp-ag-2021-11-18.html (accessed 11 January 2022).</w:t>
      </w:r>
    </w:p>
    <w:p w14:paraId="1BB413A7" w14:textId="77777777" w:rsidR="00975001" w:rsidRPr="00975001" w:rsidRDefault="00975001" w:rsidP="0013145C">
      <w:pPr>
        <w:pStyle w:val="Reference"/>
      </w:pPr>
      <w:r w:rsidRPr="00975001">
        <w:t xml:space="preserve">Farhi, E and Gourio, F 2019, </w:t>
      </w:r>
      <w:r w:rsidRPr="009470F9">
        <w:rPr>
          <w:i/>
          <w:iCs/>
        </w:rPr>
        <w:t>Accounting for Macro-Finance Trends: Market Power, Intangibles, and Risk Premia</w:t>
      </w:r>
      <w:r w:rsidRPr="00975001">
        <w:t>, 25283, National Bureau of Economic Research.</w:t>
      </w:r>
    </w:p>
    <w:p w14:paraId="6662B2FA" w14:textId="11096C39" w:rsidR="00975001" w:rsidRPr="00975001" w:rsidRDefault="00975001" w:rsidP="0013145C">
      <w:pPr>
        <w:pStyle w:val="Reference"/>
      </w:pPr>
      <w:r w:rsidRPr="00975001">
        <w:t>Freestone</w:t>
      </w:r>
      <w:r w:rsidR="00C62491">
        <w:t>,</w:t>
      </w:r>
      <w:r w:rsidR="00C62491" w:rsidRPr="00975001">
        <w:t xml:space="preserve"> </w:t>
      </w:r>
      <w:r w:rsidRPr="00975001">
        <w:t xml:space="preserve">O and Breunig, R 2020, ‘Risk Aversion and the Elasticity of Intertemporal Substitution among Australian Households’, </w:t>
      </w:r>
      <w:r w:rsidRPr="009470F9">
        <w:rPr>
          <w:i/>
          <w:iCs/>
        </w:rPr>
        <w:t>Economic Record</w:t>
      </w:r>
      <w:r w:rsidRPr="00975001">
        <w:t>, vol. 96, no. 313, pp. 121–139.</w:t>
      </w:r>
    </w:p>
    <w:p w14:paraId="7378FB55" w14:textId="3BA77028" w:rsidR="00975001" w:rsidRPr="00975001" w:rsidRDefault="00975001" w:rsidP="0013145C">
      <w:pPr>
        <w:pStyle w:val="Reference"/>
      </w:pPr>
      <w:r w:rsidRPr="00975001">
        <w:t>Hambur</w:t>
      </w:r>
      <w:r w:rsidR="00F24CCC">
        <w:t>,</w:t>
      </w:r>
      <w:r w:rsidR="00F24CCC" w:rsidRPr="00975001">
        <w:t xml:space="preserve"> </w:t>
      </w:r>
      <w:r w:rsidRPr="00975001">
        <w:t xml:space="preserve">J 2021, </w:t>
      </w:r>
      <w:r w:rsidRPr="009470F9">
        <w:rPr>
          <w:i/>
          <w:iCs/>
        </w:rPr>
        <w:t>Product market power and its implications for the Australian economy</w:t>
      </w:r>
      <w:r w:rsidRPr="00975001">
        <w:t>, Treasury Working Paper 2021-03.</w:t>
      </w:r>
    </w:p>
    <w:p w14:paraId="034ED5E8" w14:textId="77777777" w:rsidR="00975001" w:rsidRPr="00C439D4" w:rsidRDefault="00975001" w:rsidP="0013145C">
      <w:pPr>
        <w:pStyle w:val="Reference"/>
        <w:rPr>
          <w:spacing w:val="-4"/>
        </w:rPr>
      </w:pPr>
      <w:r w:rsidRPr="00C439D4">
        <w:rPr>
          <w:spacing w:val="-4"/>
        </w:rPr>
        <w:t xml:space="preserve">—— and Andrews, D 2023, </w:t>
      </w:r>
      <w:r w:rsidRPr="009470F9">
        <w:rPr>
          <w:i/>
          <w:iCs/>
          <w:spacing w:val="-4"/>
        </w:rPr>
        <w:t>Doing less, with less: Capital misallocation, investment, and the productivity slowdown in Australia</w:t>
      </w:r>
      <w:r w:rsidRPr="00C439D4">
        <w:rPr>
          <w:spacing w:val="-4"/>
        </w:rPr>
        <w:t>, Research Discussion Paper, Reserve Bank of Australia.</w:t>
      </w:r>
    </w:p>
    <w:p w14:paraId="0270D9A9" w14:textId="77777777" w:rsidR="00975001" w:rsidRPr="00975001" w:rsidRDefault="00975001" w:rsidP="0013145C">
      <w:pPr>
        <w:pStyle w:val="Reference"/>
      </w:pPr>
      <w:r w:rsidRPr="00975001">
        <w:t>Jones, B 2021</w:t>
      </w:r>
      <w:r w:rsidRPr="009470F9">
        <w:rPr>
          <w:i/>
          <w:iCs/>
        </w:rPr>
        <w:t>, Uncertainty and risk aversion - before and after the pandemic</w:t>
      </w:r>
      <w:r w:rsidRPr="00975001">
        <w:t>, Reserve Bank of Australia, https://www.rba.gov.au/speeches/2021/sp-so-2021-06-02.html (accessed 6 December 2021).</w:t>
      </w:r>
    </w:p>
    <w:p w14:paraId="3E5ADA99" w14:textId="05342372" w:rsidR="00975001" w:rsidRPr="00C439D4" w:rsidRDefault="00975001" w:rsidP="0013145C">
      <w:pPr>
        <w:pStyle w:val="Reference"/>
        <w:rPr>
          <w:spacing w:val="-2"/>
        </w:rPr>
      </w:pPr>
      <w:r w:rsidRPr="00C439D4">
        <w:rPr>
          <w:spacing w:val="-2"/>
        </w:rPr>
        <w:t>Jordà</w:t>
      </w:r>
      <w:r w:rsidR="00C62491">
        <w:rPr>
          <w:spacing w:val="-2"/>
        </w:rPr>
        <w:t>,</w:t>
      </w:r>
      <w:r w:rsidR="00C62491" w:rsidRPr="00C439D4">
        <w:rPr>
          <w:spacing w:val="-2"/>
        </w:rPr>
        <w:t xml:space="preserve"> </w:t>
      </w:r>
      <w:r w:rsidRPr="00C439D4">
        <w:rPr>
          <w:spacing w:val="-2"/>
        </w:rPr>
        <w:t xml:space="preserve">Ò, Knoll, K, Kuvshinov, D, Schularick, M and Taylor, A 2019, ‘The Rate of Return on Everything, 1870–2015’, The </w:t>
      </w:r>
      <w:r w:rsidRPr="009470F9">
        <w:rPr>
          <w:i/>
          <w:iCs/>
          <w:spacing w:val="-2"/>
        </w:rPr>
        <w:t>Quarterly Journal of Economics</w:t>
      </w:r>
      <w:r w:rsidRPr="00C439D4">
        <w:rPr>
          <w:spacing w:val="-2"/>
        </w:rPr>
        <w:t>, vol. 134, no. 3, pp. 1225–1298.</w:t>
      </w:r>
    </w:p>
    <w:p w14:paraId="3E8104E1" w14:textId="77777777" w:rsidR="00975001" w:rsidRPr="00975001" w:rsidRDefault="00975001" w:rsidP="0013145C">
      <w:pPr>
        <w:pStyle w:val="Reference"/>
      </w:pPr>
      <w:r w:rsidRPr="00975001">
        <w:t xml:space="preserve">King, S 2023, ‘Productivity, Economic Dynamism and the “Failure of Competition” Narrative’, </w:t>
      </w:r>
      <w:r w:rsidRPr="00666D59">
        <w:rPr>
          <w:i/>
          <w:iCs/>
        </w:rPr>
        <w:t>Economic papers</w:t>
      </w:r>
      <w:r w:rsidRPr="00975001">
        <w:t>, vol. 42, no. 3, pp. 213–228.</w:t>
      </w:r>
    </w:p>
    <w:p w14:paraId="76A5141C" w14:textId="1981DF6C" w:rsidR="00975001" w:rsidRPr="00975001" w:rsidRDefault="00975001" w:rsidP="0013145C">
      <w:pPr>
        <w:pStyle w:val="Reference"/>
      </w:pPr>
      <w:r w:rsidRPr="00975001">
        <w:t xml:space="preserve">PC (Productivity Commission) 2023, </w:t>
      </w:r>
      <w:r w:rsidRPr="00666D59">
        <w:rPr>
          <w:i/>
          <w:iCs/>
        </w:rPr>
        <w:t>Productivity growth and wages: a forensic look</w:t>
      </w:r>
      <w:r w:rsidRPr="00975001">
        <w:t>, PC Productivity Insight</w:t>
      </w:r>
      <w:r w:rsidR="00666D59">
        <w:t>s, Canberra</w:t>
      </w:r>
      <w:r w:rsidRPr="00975001">
        <w:t>.</w:t>
      </w:r>
    </w:p>
    <w:p w14:paraId="36017759" w14:textId="77777777" w:rsidR="00975001" w:rsidRPr="00975001" w:rsidRDefault="00975001" w:rsidP="0013145C">
      <w:pPr>
        <w:pStyle w:val="Reference"/>
      </w:pPr>
      <w:r w:rsidRPr="00975001">
        <w:t xml:space="preserve">Rietz, T 1988, ‘The Equity Risk Premium’, </w:t>
      </w:r>
      <w:r w:rsidRPr="00666D59">
        <w:rPr>
          <w:i/>
          <w:iCs/>
        </w:rPr>
        <w:t>Journal of Monetary Economics</w:t>
      </w:r>
      <w:r w:rsidRPr="00975001">
        <w:t>, vol. 22, no. 1, pp. 117–131.</w:t>
      </w:r>
    </w:p>
    <w:p w14:paraId="714C70DD" w14:textId="0F746EF9" w:rsidR="00975001" w:rsidRPr="00975001" w:rsidRDefault="00975001" w:rsidP="0013145C">
      <w:pPr>
        <w:pStyle w:val="Reference"/>
      </w:pPr>
      <w:r w:rsidRPr="00975001">
        <w:t xml:space="preserve">The Australian Government and Heads of Treasury 2017, </w:t>
      </w:r>
      <w:r w:rsidRPr="00666D59">
        <w:rPr>
          <w:i/>
          <w:iCs/>
        </w:rPr>
        <w:t>Intergovernmental Review of Business Investment</w:t>
      </w:r>
      <w:r w:rsidRPr="00975001">
        <w:t>, Commonwealth of Australia, https://research.treasury.gov.au/</w:t>
      </w:r>
      <w:r w:rsidR="00154CC1">
        <w:br/>
      </w:r>
      <w:r w:rsidRPr="00975001">
        <w:t>external-paper/intergovernmental-review-of-business-investment (accessed 6 December 2021).</w:t>
      </w:r>
    </w:p>
    <w:p w14:paraId="302710E9" w14:textId="1BA531C7" w:rsidR="0013145C" w:rsidRDefault="0013145C" w:rsidP="00536C92">
      <w:pPr>
        <w:pStyle w:val="Reference"/>
        <w:sectPr w:rsidR="0013145C" w:rsidSect="00A863A9">
          <w:type w:val="continuous"/>
          <w:pgSz w:w="11906" w:h="16838" w:code="9"/>
          <w:pgMar w:top="1134" w:right="1134" w:bottom="1134" w:left="1134" w:header="794" w:footer="510" w:gutter="0"/>
          <w:cols w:num="2" w:space="708"/>
          <w:docGrid w:linePitch="360"/>
        </w:sectPr>
      </w:pPr>
    </w:p>
    <w:p w14:paraId="60EF0014" w14:textId="2057429D" w:rsidR="00A91551" w:rsidRDefault="00A91551" w:rsidP="00536C92">
      <w:pPr>
        <w:pStyle w:val="Reference"/>
      </w:pPr>
    </w:p>
    <w:sectPr w:rsidR="00A91551" w:rsidSect="00A863A9">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D12B44" w14:textId="77777777" w:rsidR="006813F2" w:rsidRDefault="006813F2" w:rsidP="008017BC">
      <w:r>
        <w:separator/>
      </w:r>
    </w:p>
    <w:p w14:paraId="4E758AE5" w14:textId="77777777" w:rsidR="006813F2" w:rsidRDefault="006813F2"/>
  </w:endnote>
  <w:endnote w:type="continuationSeparator" w:id="0">
    <w:p w14:paraId="55981CBA" w14:textId="77777777" w:rsidR="006813F2" w:rsidRDefault="006813F2" w:rsidP="008017BC">
      <w:r>
        <w:continuationSeparator/>
      </w:r>
    </w:p>
    <w:p w14:paraId="47930062" w14:textId="77777777" w:rsidR="006813F2" w:rsidRDefault="006813F2"/>
  </w:endnote>
  <w:endnote w:type="continuationNotice" w:id="1">
    <w:p w14:paraId="44E519F4" w14:textId="77777777" w:rsidR="006813F2" w:rsidRDefault="006813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198C1" w14:textId="77777777" w:rsidR="00B85941" w:rsidRPr="00187F05" w:rsidRDefault="00B85941"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8E7DE" w14:textId="57400C33" w:rsidR="006D2565" w:rsidRPr="003D1796" w:rsidRDefault="003D1796" w:rsidP="00994AB4">
    <w:pPr>
      <w:pStyle w:val="Footer-right"/>
    </w:pPr>
    <w:r>
      <w:fldChar w:fldCharType="begin"/>
    </w:r>
    <w:r>
      <w:instrText xml:space="preserve"> PAGE   \* MERGEFORMAT </w:instrText>
    </w:r>
    <w:r>
      <w:fldChar w:fldCharType="separate"/>
    </w:r>
    <w:r>
      <w:t>24</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29961"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2152423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65DF0" w14:textId="77777777" w:rsidR="00B85941" w:rsidRDefault="00B85941">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EFED5" w14:textId="77777777" w:rsidR="00B85941" w:rsidRDefault="00B85941">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1" behindDoc="0" locked="1" layoutInCell="1" allowOverlap="1" wp14:anchorId="6F80B7A3" wp14:editId="7FD15D3C">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CD2FF" w14:textId="2E69A4ED" w:rsidR="00EA2D6D" w:rsidRDefault="00EA2D6D" w:rsidP="007059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0B7A3" id="Rectangle 11" o:spid="_x0000_s1029" alt="&quot;&quot;" style="position:absolute;margin-left:0;margin-top:0;width:595.3pt;height:566.9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" fillcolor="#265a99" stroked="f" strokeweight="1pt">
              <v:textbox>
                <w:txbxContent>
                  <w:p w14:paraId="106CD2FF" w14:textId="2E69A4ED" w:rsidR="00EA2D6D" w:rsidRDefault="00EA2D6D" w:rsidP="0070591C"/>
                </w:txbxContent>
              </v:textbox>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017FE" w14:textId="77777777" w:rsidR="00B85941" w:rsidRDefault="00B85941"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0401705"/>
      <w:docPartObj>
        <w:docPartGallery w:val="Page Numbers (Bottom of Page)"/>
        <w:docPartUnique/>
      </w:docPartObj>
    </w:sdtPr>
    <w:sdtEndPr/>
    <w:sdtContent>
      <w:sdt>
        <w:sdtPr>
          <w:id w:val="2054880720"/>
          <w:docPartObj>
            <w:docPartGallery w:val="Page Numbers (Top of Page)"/>
            <w:docPartUnique/>
          </w:docPartObj>
        </w:sdtPr>
        <w:sdtEndPr/>
        <w:sdtContent>
          <w:p w14:paraId="358CFF08" w14:textId="77777777" w:rsidR="00B85941" w:rsidRDefault="00B85941"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6C3F1" w14:textId="43612A1D" w:rsidR="006D2565" w:rsidRPr="003D1796" w:rsidRDefault="003D1796" w:rsidP="003D1796">
    <w:pPr>
      <w:pStyle w:val="Footer"/>
    </w:pPr>
    <w:r>
      <w:fldChar w:fldCharType="begin"/>
    </w:r>
    <w:r>
      <w:instrText xml:space="preserve"> PAGE   \* MERGEFORMAT </w:instrText>
    </w:r>
    <w:r>
      <w:fldChar w:fldCharType="separate"/>
    </w:r>
    <w:r>
      <w:t>24</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9D7C7" w14:textId="4974BD12" w:rsidR="006D2565" w:rsidRPr="003D1796" w:rsidRDefault="003D1796" w:rsidP="00994AB4">
    <w:pPr>
      <w:pStyle w:val="Footer-right"/>
    </w:pPr>
    <w:r>
      <w:fldChar w:fldCharType="begin"/>
    </w:r>
    <w:r>
      <w:instrText xml:space="preserve"> PAGE   \* MERGEFORMAT </w:instrText>
    </w:r>
    <w:r>
      <w:fldChar w:fldCharType="separate"/>
    </w:r>
    <w:r>
      <w:t>24</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6B2C0" w14:textId="77777777" w:rsidR="003D1796" w:rsidRDefault="003D179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9D1A8" w14:textId="5B2EE162" w:rsidR="006D2565" w:rsidRPr="003D1796" w:rsidRDefault="003D1796" w:rsidP="003D1796">
    <w:pPr>
      <w:pStyle w:val="Footer"/>
    </w:pPr>
    <w:r>
      <w:fldChar w:fldCharType="begin"/>
    </w:r>
    <w:r>
      <w:instrText xml:space="preserve"> PAGE   \* MERGEFORMAT </w:instrText>
    </w:r>
    <w:r>
      <w:fldChar w:fldCharType="separate"/>
    </w:r>
    <w:r>
      <w:t>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6D664" w14:textId="77777777" w:rsidR="006813F2" w:rsidRPr="00C238D1" w:rsidRDefault="006813F2" w:rsidP="00273E86">
      <w:pPr>
        <w:spacing w:after="0" w:line="240" w:lineRule="auto"/>
        <w:rPr>
          <w:rStyle w:val="ColourDarkBlue"/>
        </w:rPr>
      </w:pPr>
      <w:r w:rsidRPr="00C238D1">
        <w:rPr>
          <w:rStyle w:val="ColourDarkBlue"/>
        </w:rPr>
        <w:continuationSeparator/>
      </w:r>
    </w:p>
  </w:footnote>
  <w:footnote w:type="continuationSeparator" w:id="0">
    <w:p w14:paraId="73C7B44C" w14:textId="77777777" w:rsidR="006813F2" w:rsidRPr="001D7D9B" w:rsidRDefault="006813F2" w:rsidP="001D7D9B">
      <w:pPr>
        <w:spacing w:after="0" w:line="240" w:lineRule="auto"/>
        <w:rPr>
          <w:color w:val="265A9A" w:themeColor="background2"/>
        </w:rPr>
      </w:pPr>
      <w:r w:rsidRPr="00C238D1">
        <w:rPr>
          <w:rStyle w:val="ColourDarkBlue"/>
        </w:rPr>
        <w:continuationSeparator/>
      </w:r>
    </w:p>
  </w:footnote>
  <w:footnote w:type="continuationNotice" w:id="1">
    <w:p w14:paraId="31CCB1F4" w14:textId="77777777" w:rsidR="006813F2" w:rsidRDefault="006813F2"/>
  </w:footnote>
  <w:footnote w:id="2">
    <w:p w14:paraId="14CA48DD" w14:textId="1DB8CFA6" w:rsidR="008F201B" w:rsidRPr="00552D8C" w:rsidRDefault="008F201B" w:rsidP="008F201B">
      <w:pPr>
        <w:pStyle w:val="FootnoteText"/>
        <w:rPr>
          <w:spacing w:val="-4"/>
        </w:rPr>
      </w:pPr>
      <w:r w:rsidRPr="005D2BFD">
        <w:rPr>
          <w:rStyle w:val="FootnoteReference"/>
        </w:rPr>
        <w:footnoteRef/>
      </w:r>
      <w:r w:rsidRPr="00552D8C">
        <w:rPr>
          <w:spacing w:val="-4"/>
        </w:rPr>
        <w:t xml:space="preserve"> </w:t>
      </w:r>
      <w:r w:rsidR="004B0027" w:rsidRPr="00552D8C">
        <w:rPr>
          <w:spacing w:val="-4"/>
        </w:rPr>
        <w:t xml:space="preserve">An earlier version of this paper was presented at the </w:t>
      </w:r>
      <w:r w:rsidR="00801A27" w:rsidRPr="00552D8C">
        <w:rPr>
          <w:spacing w:val="-4"/>
        </w:rPr>
        <w:t>202</w:t>
      </w:r>
      <w:r w:rsidR="00574439" w:rsidRPr="00552D8C">
        <w:rPr>
          <w:spacing w:val="-4"/>
        </w:rPr>
        <w:t>2</w:t>
      </w:r>
      <w:r w:rsidR="00801A27" w:rsidRPr="00552D8C">
        <w:rPr>
          <w:spacing w:val="-4"/>
        </w:rPr>
        <w:t xml:space="preserve"> Australian Conference of Economists. </w:t>
      </w:r>
      <w:r w:rsidRPr="00552D8C">
        <w:rPr>
          <w:spacing w:val="-4"/>
        </w:rPr>
        <w:t xml:space="preserve">We thank our colleagues at the Productivity Commission for helpful comments, especially </w:t>
      </w:r>
      <w:r w:rsidR="00545071">
        <w:rPr>
          <w:spacing w:val="-4"/>
        </w:rPr>
        <w:t xml:space="preserve">Rosalyn Bell, </w:t>
      </w:r>
      <w:r w:rsidRPr="00552D8C">
        <w:rPr>
          <w:spacing w:val="-4"/>
        </w:rPr>
        <w:t>Michael Brennan and Stephen King. We thank Christian Valence, Michael Kouparitsas, Riki Polygenis, Rebecca Cassells, Damien Dunn, Sam Hurley, Michelle Le, and especially Damoon Sadeghian from the Department of Treasury for extremely useful feedback. All errors remain our own.</w:t>
      </w:r>
    </w:p>
  </w:footnote>
  <w:footnote w:id="3">
    <w:p w14:paraId="263CD6EA" w14:textId="09FDEDFE" w:rsidR="006D2565" w:rsidRDefault="006D2565" w:rsidP="006D2565">
      <w:pPr>
        <w:pStyle w:val="FootnoteText"/>
      </w:pPr>
      <w:r w:rsidRPr="00387807">
        <w:rPr>
          <w:rStyle w:val="FootnoteReference"/>
        </w:rPr>
        <w:footnoteRef/>
      </w:r>
      <w:r>
        <w:t xml:space="preserve"> It should be noted that there is an extensive literature on whether firms with more market power are more or less likely to invest than firms in more competitive markets. Much of that literature has concentrated on firms’ incentives to invest in innovation; see </w:t>
      </w:r>
      <w:r w:rsidR="00975001" w:rsidRPr="00975001">
        <w:rPr>
          <w:rFonts w:ascii="Arial" w:hAnsi="Arial" w:cs="Arial"/>
          <w:szCs w:val="24"/>
        </w:rPr>
        <w:t>(Cohen 2010)</w:t>
      </w:r>
      <w:r>
        <w:t xml:space="preserve">. There are theoretical arguments and empirical evidence in favour of both more and less investment, and so the Farhi and Gourio proposition that market power means less investment is not self-evident. </w:t>
      </w:r>
    </w:p>
  </w:footnote>
  <w:footnote w:id="4">
    <w:p w14:paraId="070D9CA3" w14:textId="77777777" w:rsidR="006D2565" w:rsidRDefault="006D2565" w:rsidP="006D2565">
      <w:pPr>
        <w:pStyle w:val="FootnoteText"/>
      </w:pPr>
      <w:r w:rsidRPr="00387807">
        <w:rPr>
          <w:rStyle w:val="FootnoteReference"/>
        </w:rPr>
        <w:footnoteRef/>
      </w:r>
      <w:r>
        <w:t xml:space="preserve"> The approximate equality signs here and further on reflect the approximation that </w:t>
      </w:r>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1+x</m:t>
                </m:r>
              </m:e>
            </m:d>
          </m:e>
        </m:func>
        <m:r>
          <w:rPr>
            <w:rFonts w:ascii="Cambria Math" w:hAnsi="Cambria Math"/>
          </w:rPr>
          <m:t>≈x≈1/(1-x)</m:t>
        </m:r>
      </m:oMath>
      <w:r>
        <w:t>.</w:t>
      </w:r>
    </w:p>
  </w:footnote>
  <w:footnote w:id="5">
    <w:p w14:paraId="4170079A" w14:textId="3FD2B5F4" w:rsidR="005C6710" w:rsidRPr="005A287C" w:rsidRDefault="005C6710" w:rsidP="005C6710">
      <w:pPr>
        <w:pStyle w:val="FootnoteText"/>
        <w:rPr>
          <w:spacing w:val="-2"/>
        </w:rPr>
      </w:pPr>
      <w:r w:rsidRPr="004A4525">
        <w:rPr>
          <w:rStyle w:val="FootnoteReference"/>
        </w:rPr>
        <w:footnoteRef/>
      </w:r>
      <w:r w:rsidRPr="005A287C">
        <w:rPr>
          <w:spacing w:val="-2"/>
        </w:rPr>
        <w:t xml:space="preserve"> There is a degree of conjecture in the literature as to an appropriate coefficient of risk aversion. This has, in part, given rise to the equity premium puzzle, proposed by Mehra and Prescott (1985). Under Mehra and Prescott’s framework, to explain the return on equities in the Unites States, the coefficient of risk aversion needs to be ‘large’ </w:t>
      </w:r>
      <w:r>
        <w:rPr>
          <w:spacing w:val="-2"/>
        </w:rPr>
        <w:t>–</w:t>
      </w:r>
      <w:r w:rsidRPr="005A287C">
        <w:rPr>
          <w:spacing w:val="-2"/>
        </w:rPr>
        <w:t xml:space="preserve"> much higher than what is commonly documented in the microeconomic literature (which Mehra and Prescott document to be between 1 and 10). In an Australian context, estimates the coefficient of risk aversion are between 1.08 and 2.47 </w:t>
      </w:r>
      <w:r w:rsidRPr="005A287C">
        <w:rPr>
          <w:spacing w:val="-2"/>
          <w:szCs w:val="24"/>
        </w:rPr>
        <w:t>(Freestone and Breunig 2020)</w:t>
      </w:r>
      <w:r w:rsidRPr="005A287C">
        <w:rPr>
          <w:spacing w:val="-2"/>
        </w:rPr>
        <w:t>.</w:t>
      </w:r>
    </w:p>
  </w:footnote>
  <w:footnote w:id="6">
    <w:p w14:paraId="3801C4BA" w14:textId="77777777" w:rsidR="00F64D44" w:rsidRDefault="00F64D44" w:rsidP="00F64D44">
      <w:pPr>
        <w:pStyle w:val="FootnoteText"/>
      </w:pPr>
      <w:r w:rsidRPr="00387807">
        <w:rPr>
          <w:rStyle w:val="FootnoteReference"/>
        </w:rPr>
        <w:footnoteRef/>
      </w:r>
      <w:r>
        <w:t xml:space="preserve"> The one</w:t>
      </w:r>
      <w:r>
        <w:noBreakHyphen/>
        <w:t>year risk</w:t>
      </w:r>
      <w:r>
        <w:noBreakHyphen/>
        <w:t>free rate was constructed using the RBA’s one year zero coupon rate data, which is a theoretical measure and not government bond yield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4D138" w14:textId="688A16D8" w:rsidR="00B85941" w:rsidRDefault="00D14CB2" w:rsidP="00ED33D7">
    <w:pPr>
      <w:pStyle w:val="Header-Keyline"/>
    </w:pPr>
    <w:r>
      <w:rPr>
        <w:noProof/>
      </w:rPr>
      <mc:AlternateContent>
        <mc:Choice Requires="wps">
          <w:drawing>
            <wp:anchor distT="0" distB="0" distL="0" distR="0" simplePos="0" relativeHeight="251658242" behindDoc="0" locked="0" layoutInCell="1" allowOverlap="1" wp14:anchorId="149B39B8" wp14:editId="264FC642">
              <wp:simplePos x="720725" y="504825"/>
              <wp:positionH relativeFrom="page">
                <wp:align>center</wp:align>
              </wp:positionH>
              <wp:positionV relativeFrom="page">
                <wp:align>top</wp:align>
              </wp:positionV>
              <wp:extent cx="443865" cy="443865"/>
              <wp:effectExtent l="0" t="0" r="4445" b="4445"/>
              <wp:wrapNone/>
              <wp:docPr id="689783558" name="Text Box 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F37951" w14:textId="2E81DD96" w:rsidR="00D14CB2" w:rsidRPr="00D14CB2" w:rsidRDefault="00D14CB2" w:rsidP="00D14CB2">
                          <w:pPr>
                            <w:spacing w:after="0"/>
                            <w:rPr>
                              <w:rFonts w:ascii="Calibri" w:eastAsia="Calibri" w:hAnsi="Calibri" w:cs="Calibri"/>
                              <w:noProof/>
                              <w:color w:val="000000"/>
                              <w:sz w:val="24"/>
                              <w:szCs w:val="24"/>
                            </w:rPr>
                          </w:pPr>
                          <w:r w:rsidRPr="00D14CB2">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9B39B8" id="_x0000_t202" coordsize="21600,21600" o:spt="202" path="m,l,21600r21600,l21600,xe">
              <v:stroke joinstyle="miter"/>
              <v:path gradientshapeok="t" o:connecttype="rect"/>
            </v:shapetype>
            <v:shape id="Text Box 2" o:spid="_x0000_s1027" type="#_x0000_t202" alt=" 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3F37951" w14:textId="2E81DD96" w:rsidR="00D14CB2" w:rsidRPr="00D14CB2" w:rsidRDefault="00D14CB2" w:rsidP="00D14CB2">
                    <w:pPr>
                      <w:spacing w:after="0"/>
                      <w:rPr>
                        <w:rFonts w:ascii="Calibri" w:eastAsia="Calibri" w:hAnsi="Calibri" w:cs="Calibri"/>
                        <w:noProof/>
                        <w:color w:val="000000"/>
                        <w:sz w:val="24"/>
                        <w:szCs w:val="24"/>
                      </w:rPr>
                    </w:pPr>
                    <w:r w:rsidRPr="00D14CB2">
                      <w:rPr>
                        <w:rFonts w:ascii="Calibri" w:eastAsia="Calibri" w:hAnsi="Calibri" w:cs="Calibri"/>
                        <w:noProof/>
                        <w:color w:val="000000"/>
                        <w:sz w:val="24"/>
                        <w:szCs w:val="24"/>
                      </w:rPr>
                      <w:t xml:space="preserve"> OFFICIAL</w:t>
                    </w:r>
                  </w:p>
                </w:txbxContent>
              </v:textbox>
              <w10:wrap anchorx="page" anchory="page"/>
            </v:shape>
          </w:pict>
        </mc:Fallback>
      </mc:AlternateContent>
    </w:r>
    <w:r w:rsidR="00EA2D6D">
      <w:t>Staff working paper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DADC3" w14:textId="4DDA7C4D" w:rsidR="00DA0689" w:rsidRPr="00F610A6" w:rsidRDefault="00DA0689" w:rsidP="00DA0689">
    <w:pPr>
      <w:pStyle w:val="Header-Keyline"/>
    </w:pPr>
    <w:r w:rsidRPr="004353A2">
      <w:rPr>
        <w:b/>
        <w:bCs/>
      </w:rPr>
      <w:t xml:space="preserve">Why </w:t>
    </w:r>
    <w:r>
      <w:rPr>
        <w:b/>
        <w:bCs/>
      </w:rPr>
      <w:t>a</w:t>
    </w:r>
    <w:r w:rsidRPr="004353A2">
      <w:rPr>
        <w:b/>
        <w:bCs/>
      </w:rPr>
      <w:t>re investment hurdle rates so high? Risk or market power?</w:t>
    </w:r>
    <w:r>
      <w:t xml:space="preserve"> Staff working paper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B87EE" w14:textId="2FC7C77E" w:rsidR="00F23600" w:rsidRDefault="00521B82" w:rsidP="001F4118">
    <w:pPr>
      <w:pStyle w:val="Header-KeylineRight"/>
      <w:rPr>
        <w:noProof/>
      </w:rPr>
    </w:pPr>
    <w:r>
      <w:fldChar w:fldCharType="begin"/>
    </w:r>
    <w:r>
      <w:instrText>STYLEREF  "Heading 1-no background"  \* MERGEFORMAT</w:instrText>
    </w:r>
    <w:r>
      <w:fldChar w:fldCharType="separate"/>
    </w:r>
    <w:r>
      <w:rPr>
        <w:noProof/>
      </w:rPr>
      <w:t>Discussion of the results</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4512B" w14:textId="389D62E3" w:rsidR="00D14CB2" w:rsidRDefault="00D14CB2">
    <w:pPr>
      <w:pStyle w:val="Header"/>
    </w:pPr>
    <w:r>
      <w:rPr>
        <w:noProof/>
      </w:rPr>
      <mc:AlternateContent>
        <mc:Choice Requires="wps">
          <w:drawing>
            <wp:anchor distT="0" distB="0" distL="0" distR="0" simplePos="0" relativeHeight="251658248" behindDoc="0" locked="0" layoutInCell="1" allowOverlap="1" wp14:anchorId="08E7686C" wp14:editId="3CF63A82">
              <wp:simplePos x="635" y="635"/>
              <wp:positionH relativeFrom="page">
                <wp:align>center</wp:align>
              </wp:positionH>
              <wp:positionV relativeFrom="page">
                <wp:align>top</wp:align>
              </wp:positionV>
              <wp:extent cx="443865" cy="443865"/>
              <wp:effectExtent l="0" t="0" r="4445" b="4445"/>
              <wp:wrapNone/>
              <wp:docPr id="105005975" name="Text Box 10"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C71A22" w14:textId="0A428E27" w:rsidR="00D14CB2" w:rsidRPr="00D14CB2" w:rsidRDefault="00D14CB2" w:rsidP="00D14CB2">
                          <w:pPr>
                            <w:spacing w:after="0"/>
                            <w:rPr>
                              <w:rFonts w:ascii="Calibri" w:eastAsia="Calibri" w:hAnsi="Calibri" w:cs="Calibri"/>
                              <w:noProof/>
                              <w:color w:val="000000"/>
                              <w:sz w:val="24"/>
                              <w:szCs w:val="24"/>
                            </w:rPr>
                          </w:pPr>
                          <w:r w:rsidRPr="00D14CB2">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E7686C" id="_x0000_t202" coordsize="21600,21600" o:spt="202" path="m,l,21600r21600,l21600,xe">
              <v:stroke joinstyle="miter"/>
              <v:path gradientshapeok="t" o:connecttype="rect"/>
            </v:shapetype>
            <v:shape id="Text Box 10" o:spid="_x0000_s1034" type="#_x0000_t202" alt=" 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6DC71A22" w14:textId="0A428E27" w:rsidR="00D14CB2" w:rsidRPr="00D14CB2" w:rsidRDefault="00D14CB2" w:rsidP="00D14CB2">
                    <w:pPr>
                      <w:spacing w:after="0"/>
                      <w:rPr>
                        <w:rFonts w:ascii="Calibri" w:eastAsia="Calibri" w:hAnsi="Calibri" w:cs="Calibri"/>
                        <w:noProof/>
                        <w:color w:val="000000"/>
                        <w:sz w:val="24"/>
                        <w:szCs w:val="24"/>
                      </w:rPr>
                    </w:pPr>
                    <w:r w:rsidRPr="00D14CB2">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BFA66" w14:textId="04564B33" w:rsidR="00F173EF" w:rsidRDefault="00165645" w:rsidP="00F173EF">
    <w:pPr>
      <w:pStyle w:val="Header-Keyline"/>
    </w:pPr>
    <w:r w:rsidRPr="00165645">
      <w:rPr>
        <w:b/>
        <w:bCs/>
      </w:rPr>
      <w:t>Why are investment hurdle rates so high? Risk or market power?</w:t>
    </w:r>
    <w:r>
      <w:rPr>
        <w:b/>
        <w:bCs/>
      </w:rPr>
      <w:t xml:space="preserve"> </w:t>
    </w:r>
    <w:r>
      <w:t>Staff working paper</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EF6D4" w14:textId="7D19ADF9" w:rsidR="00D14CB2" w:rsidRDefault="00521B82" w:rsidP="00604D69">
    <w:pPr>
      <w:pStyle w:val="Header-KeylineRight"/>
    </w:pPr>
    <w:r>
      <w:fldChar w:fldCharType="begin"/>
    </w:r>
    <w:r>
      <w:instrText>STYLEREF  "Heading 1-no background"  \* MERGEFORMAT</w:instrText>
    </w:r>
    <w:r>
      <w:fldChar w:fldCharType="separate"/>
    </w:r>
    <w:r>
      <w:rPr>
        <w:noProof/>
      </w:rPr>
      <w:t>Appendix</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1D20C" w14:textId="70957FEB" w:rsidR="00D14CB2" w:rsidRDefault="00D14CB2">
    <w:pPr>
      <w:pStyle w:val="Header"/>
    </w:pPr>
    <w:r>
      <w:rPr>
        <w:noProof/>
      </w:rPr>
      <mc:AlternateContent>
        <mc:Choice Requires="wps">
          <w:drawing>
            <wp:anchor distT="0" distB="0" distL="0" distR="0" simplePos="0" relativeHeight="251658249" behindDoc="0" locked="0" layoutInCell="1" allowOverlap="1" wp14:anchorId="32593B8E" wp14:editId="6DBDE66B">
              <wp:simplePos x="635" y="635"/>
              <wp:positionH relativeFrom="page">
                <wp:align>center</wp:align>
              </wp:positionH>
              <wp:positionV relativeFrom="page">
                <wp:align>top</wp:align>
              </wp:positionV>
              <wp:extent cx="443865" cy="443865"/>
              <wp:effectExtent l="0" t="0" r="4445" b="4445"/>
              <wp:wrapNone/>
              <wp:docPr id="255370310" name="Text Box 1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B48E6B" w14:textId="5DC86B39" w:rsidR="00D14CB2" w:rsidRPr="00D14CB2" w:rsidRDefault="00D14CB2" w:rsidP="00D14CB2">
                          <w:pPr>
                            <w:spacing w:after="0"/>
                            <w:rPr>
                              <w:rFonts w:ascii="Calibri" w:eastAsia="Calibri" w:hAnsi="Calibri" w:cs="Calibri"/>
                              <w:noProof/>
                              <w:color w:val="000000"/>
                              <w:sz w:val="24"/>
                              <w:szCs w:val="24"/>
                            </w:rPr>
                          </w:pPr>
                          <w:r w:rsidRPr="00D14CB2">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593B8E" id="_x0000_t202" coordsize="21600,21600" o:spt="202" path="m,l,21600r21600,l21600,xe">
              <v:stroke joinstyle="miter"/>
              <v:path gradientshapeok="t" o:connecttype="rect"/>
            </v:shapetype>
            <v:shape id="Text Box 13" o:spid="_x0000_s1035" type="#_x0000_t202" alt=" 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44B48E6B" w14:textId="5DC86B39" w:rsidR="00D14CB2" w:rsidRPr="00D14CB2" w:rsidRDefault="00D14CB2" w:rsidP="00D14CB2">
                    <w:pPr>
                      <w:spacing w:after="0"/>
                      <w:rPr>
                        <w:rFonts w:ascii="Calibri" w:eastAsia="Calibri" w:hAnsi="Calibri" w:cs="Calibri"/>
                        <w:noProof/>
                        <w:color w:val="000000"/>
                        <w:sz w:val="24"/>
                        <w:szCs w:val="24"/>
                      </w:rPr>
                    </w:pPr>
                    <w:r w:rsidRPr="00D14CB2">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F1D6D" w14:textId="0763200C" w:rsidR="00B85941" w:rsidRDefault="00D14CB2" w:rsidP="00ED33D7">
    <w:pPr>
      <w:pStyle w:val="Header-KeylineRight"/>
    </w:pPr>
    <w:r>
      <w:rPr>
        <w:noProof/>
      </w:rPr>
      <mc:AlternateContent>
        <mc:Choice Requires="wps">
          <w:drawing>
            <wp:anchor distT="0" distB="0" distL="0" distR="0" simplePos="0" relativeHeight="251658243" behindDoc="0" locked="0" layoutInCell="1" allowOverlap="1" wp14:anchorId="225D8CAB" wp14:editId="6BEBF451">
              <wp:simplePos x="635" y="635"/>
              <wp:positionH relativeFrom="page">
                <wp:align>center</wp:align>
              </wp:positionH>
              <wp:positionV relativeFrom="page">
                <wp:align>top</wp:align>
              </wp:positionV>
              <wp:extent cx="443865" cy="443865"/>
              <wp:effectExtent l="0" t="0" r="4445" b="4445"/>
              <wp:wrapNone/>
              <wp:docPr id="345658592" name="Text Box 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A8167B" w14:textId="3B733B5C" w:rsidR="00D14CB2" w:rsidRPr="00D14CB2" w:rsidRDefault="00D14CB2" w:rsidP="00D14CB2">
                          <w:pPr>
                            <w:spacing w:after="0"/>
                            <w:rPr>
                              <w:rFonts w:ascii="Calibri" w:eastAsia="Calibri" w:hAnsi="Calibri" w:cs="Calibri"/>
                              <w:noProof/>
                              <w:color w:val="000000"/>
                              <w:sz w:val="24"/>
                              <w:szCs w:val="24"/>
                            </w:rPr>
                          </w:pPr>
                          <w:r w:rsidRPr="00D14CB2">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D8CAB" id="_x0000_t202" coordsize="21600,21600" o:spt="202" path="m,l,21600r21600,l21600,xe">
              <v:stroke joinstyle="miter"/>
              <v:path gradientshapeok="t" o:connecttype="rect"/>
            </v:shapetype>
            <v:shape id="Text Box 3" o:spid="_x0000_s1028" type="#_x0000_t202" alt=" OFFI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0A8167B" w14:textId="3B733B5C" w:rsidR="00D14CB2" w:rsidRPr="00D14CB2" w:rsidRDefault="00D14CB2" w:rsidP="00D14CB2">
                    <w:pPr>
                      <w:spacing w:after="0"/>
                      <w:rPr>
                        <w:rFonts w:ascii="Calibri" w:eastAsia="Calibri" w:hAnsi="Calibri" w:cs="Calibri"/>
                        <w:noProof/>
                        <w:color w:val="000000"/>
                        <w:sz w:val="24"/>
                        <w:szCs w:val="24"/>
                      </w:rPr>
                    </w:pPr>
                    <w:r w:rsidRPr="00D14CB2">
                      <w:rPr>
                        <w:rFonts w:ascii="Calibri" w:eastAsia="Calibri" w:hAnsi="Calibri" w:cs="Calibri"/>
                        <w:noProof/>
                        <w:color w:val="000000"/>
                        <w:sz w:val="24"/>
                        <w:szCs w:val="24"/>
                      </w:rPr>
                      <w:t xml:space="preserve"> OFFICIAL</w:t>
                    </w:r>
                  </w:p>
                </w:txbxContent>
              </v:textbox>
              <w10:wrap anchorx="page" anchory="page"/>
            </v:shape>
          </w:pict>
        </mc:Fallback>
      </mc:AlternateContent>
    </w:r>
    <w:r w:rsidR="00B85941">
      <w:fldChar w:fldCharType="begin"/>
    </w:r>
    <w:r w:rsidR="00B85941">
      <w:instrText xml:space="preserve"> STYLEREF  "Heading 1"  \* MERGEFORMAT </w:instrText>
    </w:r>
    <w:r w:rsidR="00B85941">
      <w:fldChar w:fldCharType="separate"/>
    </w:r>
    <w:r w:rsidR="002F0EB3">
      <w:rPr>
        <w:b/>
        <w:bCs/>
        <w:noProof/>
        <w:lang w:val="en-US"/>
      </w:rPr>
      <w:t>Error! No text of specified style in document.</w:t>
    </w:r>
    <w:r w:rsidR="00B85941">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8B42B" w14:textId="08E5A261" w:rsidR="00B85941" w:rsidRPr="007215EF" w:rsidRDefault="00B85941" w:rsidP="007215EF">
    <w:r w:rsidRPr="007215EF">
      <w:rPr>
        <w:noProof/>
      </w:rPr>
      <w:drawing>
        <wp:anchor distT="0" distB="0" distL="114300" distR="114300" simplePos="0" relativeHeight="251658240" behindDoc="0" locked="1" layoutInCell="1" allowOverlap="1" wp14:anchorId="688A7500" wp14:editId="6C932BC5">
          <wp:simplePos x="0" y="0"/>
          <wp:positionH relativeFrom="margin">
            <wp:align>left</wp:align>
          </wp:positionH>
          <wp:positionV relativeFrom="page">
            <wp:align>top</wp:align>
          </wp:positionV>
          <wp:extent cx="2235600" cy="1058400"/>
          <wp:effectExtent l="0" t="0" r="0" b="8890"/>
          <wp:wrapNone/>
          <wp:docPr id="1298235019"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14A9C5" w14:textId="77777777" w:rsidR="00B85941" w:rsidRPr="005965BC" w:rsidRDefault="00B85941"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DCE1E" w14:textId="4822B759" w:rsidR="00D53D99" w:rsidRPr="00F610A6" w:rsidRDefault="004353A2" w:rsidP="00827056">
    <w:pPr>
      <w:pStyle w:val="Header-Keyline"/>
    </w:pPr>
    <w:r w:rsidRPr="004353A2">
      <w:rPr>
        <w:b/>
        <w:bCs/>
      </w:rPr>
      <w:t>Why are investment hurdle rates so high? Risk or market power?</w:t>
    </w:r>
    <w:r>
      <w:t xml:space="preserve"> Staff working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3531C" w14:textId="05FE5896" w:rsidR="00D14CB2" w:rsidRDefault="00D14CB2">
    <w:pPr>
      <w:pStyle w:val="Header"/>
    </w:pPr>
    <w:r>
      <w:rPr>
        <w:noProof/>
      </w:rPr>
      <mc:AlternateContent>
        <mc:Choice Requires="wps">
          <w:drawing>
            <wp:anchor distT="0" distB="0" distL="0" distR="0" simplePos="0" relativeHeight="251658245" behindDoc="0" locked="0" layoutInCell="1" allowOverlap="1" wp14:anchorId="09991E2E" wp14:editId="54494014">
              <wp:simplePos x="635" y="635"/>
              <wp:positionH relativeFrom="page">
                <wp:align>center</wp:align>
              </wp:positionH>
              <wp:positionV relativeFrom="page">
                <wp:align>top</wp:align>
              </wp:positionV>
              <wp:extent cx="443865" cy="443865"/>
              <wp:effectExtent l="0" t="0" r="4445" b="4445"/>
              <wp:wrapNone/>
              <wp:docPr id="1091678929" name="Text Box 6"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E4538F" w14:textId="02669801" w:rsidR="00D14CB2" w:rsidRPr="00D14CB2" w:rsidRDefault="00D14CB2" w:rsidP="00D14CB2">
                          <w:pPr>
                            <w:spacing w:after="0"/>
                            <w:rPr>
                              <w:rFonts w:ascii="Calibri" w:eastAsia="Calibri" w:hAnsi="Calibri" w:cs="Calibri"/>
                              <w:noProof/>
                              <w:color w:val="000000"/>
                              <w:sz w:val="24"/>
                              <w:szCs w:val="24"/>
                            </w:rPr>
                          </w:pPr>
                          <w:r w:rsidRPr="00D14CB2">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991E2E" id="_x0000_t202" coordsize="21600,21600" o:spt="202" path="m,l,21600r21600,l21600,xe">
              <v:stroke joinstyle="miter"/>
              <v:path gradientshapeok="t" o:connecttype="rect"/>
            </v:shapetype>
            <v:shape id="Text Box 6" o:spid="_x0000_s1030" type="#_x0000_t202" alt=" 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70E4538F" w14:textId="02669801" w:rsidR="00D14CB2" w:rsidRPr="00D14CB2" w:rsidRDefault="00D14CB2" w:rsidP="00D14CB2">
                    <w:pPr>
                      <w:spacing w:after="0"/>
                      <w:rPr>
                        <w:rFonts w:ascii="Calibri" w:eastAsia="Calibri" w:hAnsi="Calibri" w:cs="Calibri"/>
                        <w:noProof/>
                        <w:color w:val="000000"/>
                        <w:sz w:val="24"/>
                        <w:szCs w:val="24"/>
                      </w:rPr>
                    </w:pPr>
                    <w:r w:rsidRPr="00D14CB2">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F6EE6" w14:textId="71D005C5" w:rsidR="00D14CB2" w:rsidRDefault="00D14CB2">
    <w:pPr>
      <w:pStyle w:val="Header"/>
    </w:pPr>
    <w:r>
      <w:rPr>
        <w:noProof/>
      </w:rPr>
      <mc:AlternateContent>
        <mc:Choice Requires="wps">
          <w:drawing>
            <wp:anchor distT="0" distB="0" distL="0" distR="0" simplePos="0" relativeHeight="251658244" behindDoc="0" locked="0" layoutInCell="1" allowOverlap="1" wp14:anchorId="547A52A6" wp14:editId="1383850A">
              <wp:simplePos x="635" y="635"/>
              <wp:positionH relativeFrom="page">
                <wp:align>center</wp:align>
              </wp:positionH>
              <wp:positionV relativeFrom="page">
                <wp:align>top</wp:align>
              </wp:positionV>
              <wp:extent cx="443865" cy="443865"/>
              <wp:effectExtent l="0" t="0" r="4445" b="4445"/>
              <wp:wrapNone/>
              <wp:docPr id="1451639029" name="Text Box 4"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549A73" w14:textId="17B5E2FB" w:rsidR="00D14CB2" w:rsidRPr="00D14CB2" w:rsidRDefault="00D14CB2" w:rsidP="00D14CB2">
                          <w:pPr>
                            <w:spacing w:after="0"/>
                            <w:rPr>
                              <w:rFonts w:ascii="Calibri" w:eastAsia="Calibri" w:hAnsi="Calibri" w:cs="Calibri"/>
                              <w:noProof/>
                              <w:color w:val="000000"/>
                              <w:sz w:val="24"/>
                              <w:szCs w:val="24"/>
                            </w:rPr>
                          </w:pPr>
                          <w:r w:rsidRPr="00D14CB2">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7A52A6" id="_x0000_t202" coordsize="21600,21600" o:spt="202" path="m,l,21600r21600,l21600,xe">
              <v:stroke joinstyle="miter"/>
              <v:path gradientshapeok="t" o:connecttype="rect"/>
            </v:shapetype>
            <v:shape id="Text Box 4" o:spid="_x0000_s1031" type="#_x0000_t202" alt=" 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1B549A73" w14:textId="17B5E2FB" w:rsidR="00D14CB2" w:rsidRPr="00D14CB2" w:rsidRDefault="00D14CB2" w:rsidP="00D14CB2">
                    <w:pPr>
                      <w:spacing w:after="0"/>
                      <w:rPr>
                        <w:rFonts w:ascii="Calibri" w:eastAsia="Calibri" w:hAnsi="Calibri" w:cs="Calibri"/>
                        <w:noProof/>
                        <w:color w:val="000000"/>
                        <w:sz w:val="24"/>
                        <w:szCs w:val="24"/>
                      </w:rPr>
                    </w:pPr>
                    <w:r w:rsidRPr="00D14CB2">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5E627" w14:textId="67BB0B40" w:rsidR="006D2565" w:rsidRPr="005F3BA5" w:rsidRDefault="00D14CB2" w:rsidP="003D1796">
    <w:pPr>
      <w:pStyle w:val="Header-Keyline"/>
    </w:pPr>
    <w:r>
      <w:rPr>
        <w:b/>
        <w:bCs/>
        <w:noProof/>
      </w:rPr>
      <mc:AlternateContent>
        <mc:Choice Requires="wps">
          <w:drawing>
            <wp:anchor distT="0" distB="0" distL="0" distR="0" simplePos="0" relativeHeight="251658247" behindDoc="0" locked="0" layoutInCell="1" allowOverlap="1" wp14:anchorId="0DAB909C" wp14:editId="270EFDF0">
              <wp:simplePos x="635" y="635"/>
              <wp:positionH relativeFrom="page">
                <wp:align>center</wp:align>
              </wp:positionH>
              <wp:positionV relativeFrom="page">
                <wp:align>top</wp:align>
              </wp:positionV>
              <wp:extent cx="443865" cy="443865"/>
              <wp:effectExtent l="0" t="0" r="4445" b="4445"/>
              <wp:wrapNone/>
              <wp:docPr id="2029982833" name="Text Box 8"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6D5C0D" w14:textId="3671309F" w:rsidR="00D14CB2" w:rsidRPr="00D14CB2" w:rsidRDefault="00D14CB2" w:rsidP="00D14CB2">
                          <w:pPr>
                            <w:spacing w:after="0"/>
                            <w:rPr>
                              <w:rFonts w:ascii="Calibri" w:eastAsia="Calibri" w:hAnsi="Calibri" w:cs="Calibri"/>
                              <w:noProof/>
                              <w:color w:val="000000"/>
                              <w:sz w:val="24"/>
                              <w:szCs w:val="24"/>
                            </w:rPr>
                          </w:pPr>
                          <w:r w:rsidRPr="00D14CB2">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AB909C" id="_x0000_t202" coordsize="21600,21600" o:spt="202" path="m,l,21600r21600,l21600,xe">
              <v:stroke joinstyle="miter"/>
              <v:path gradientshapeok="t" o:connecttype="rect"/>
            </v:shapetype>
            <v:shape id="Text Box 8" o:spid="_x0000_s1032" type="#_x0000_t202" alt=" 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186D5C0D" w14:textId="3671309F" w:rsidR="00D14CB2" w:rsidRPr="00D14CB2" w:rsidRDefault="00D14CB2" w:rsidP="00D14CB2">
                    <w:pPr>
                      <w:spacing w:after="0"/>
                      <w:rPr>
                        <w:rFonts w:ascii="Calibri" w:eastAsia="Calibri" w:hAnsi="Calibri" w:cs="Calibri"/>
                        <w:noProof/>
                        <w:color w:val="000000"/>
                        <w:sz w:val="24"/>
                        <w:szCs w:val="24"/>
                      </w:rPr>
                    </w:pPr>
                    <w:r w:rsidRPr="00D14CB2">
                      <w:rPr>
                        <w:rFonts w:ascii="Calibri" w:eastAsia="Calibri" w:hAnsi="Calibri" w:cs="Calibri"/>
                        <w:noProof/>
                        <w:color w:val="000000"/>
                        <w:sz w:val="24"/>
                        <w:szCs w:val="24"/>
                      </w:rPr>
                      <w:t xml:space="preserve"> OFFICIAL</w:t>
                    </w:r>
                  </w:p>
                </w:txbxContent>
              </v:textbox>
              <w10:wrap anchorx="page" anchory="page"/>
            </v:shape>
          </w:pict>
        </mc:Fallback>
      </mc:AlternateContent>
    </w:r>
    <w:r w:rsidR="005F3BA5">
      <w:rPr>
        <w:rStyle w:val="Strong"/>
      </w:rPr>
      <w:t>Staff</w:t>
    </w:r>
    <w:r w:rsidR="005F3BA5" w:rsidRPr="005F3BA5">
      <w:rPr>
        <w:rStyle w:val="Strong"/>
      </w:rPr>
      <w:t xml:space="preserve"> working paper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9CEA2" w14:textId="4D03B49A" w:rsidR="001F4118" w:rsidRPr="00EE5F5E" w:rsidRDefault="00521B82" w:rsidP="001F4118">
    <w:pPr>
      <w:pStyle w:val="Header-KeylineRight"/>
    </w:pPr>
    <w:r>
      <w:fldChar w:fldCharType="begin"/>
    </w:r>
    <w:r>
      <w:instrText>STYLEREF  "Heading 1-no background" \l  \* MERGEFORMAT</w:instrText>
    </w:r>
    <w:r>
      <w:fldChar w:fldCharType="separate"/>
    </w:r>
    <w:r>
      <w:rPr>
        <w:noProof/>
      </w:rPr>
      <w:t>Contents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9F7EF" w14:textId="4D727F78" w:rsidR="003D1796" w:rsidRDefault="00D14CB2">
    <w:pPr>
      <w:pStyle w:val="Header"/>
    </w:pPr>
    <w:r>
      <w:rPr>
        <w:noProof/>
      </w:rPr>
      <mc:AlternateContent>
        <mc:Choice Requires="wps">
          <w:drawing>
            <wp:anchor distT="0" distB="0" distL="0" distR="0" simplePos="0" relativeHeight="251658246" behindDoc="0" locked="0" layoutInCell="1" allowOverlap="1" wp14:anchorId="3C910000" wp14:editId="053EB46A">
              <wp:simplePos x="635" y="635"/>
              <wp:positionH relativeFrom="page">
                <wp:align>center</wp:align>
              </wp:positionH>
              <wp:positionV relativeFrom="page">
                <wp:align>top</wp:align>
              </wp:positionV>
              <wp:extent cx="443865" cy="443865"/>
              <wp:effectExtent l="0" t="0" r="4445" b="4445"/>
              <wp:wrapNone/>
              <wp:docPr id="961057179" name="Text Box 7"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B17240" w14:textId="3178C2AA" w:rsidR="00D14CB2" w:rsidRPr="00D14CB2" w:rsidRDefault="00D14CB2" w:rsidP="00D14CB2">
                          <w:pPr>
                            <w:spacing w:after="0"/>
                            <w:rPr>
                              <w:rFonts w:ascii="Calibri" w:eastAsia="Calibri" w:hAnsi="Calibri" w:cs="Calibri"/>
                              <w:noProof/>
                              <w:color w:val="000000"/>
                              <w:sz w:val="24"/>
                              <w:szCs w:val="24"/>
                            </w:rPr>
                          </w:pPr>
                          <w:r w:rsidRPr="00D14CB2">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910000" id="_x0000_t202" coordsize="21600,21600" o:spt="202" path="m,l,21600r21600,l21600,xe">
              <v:stroke joinstyle="miter"/>
              <v:path gradientshapeok="t" o:connecttype="rect"/>
            </v:shapetype>
            <v:shape id="Text Box 7" o:spid="_x0000_s1033" type="#_x0000_t202" alt=" 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0BB17240" w14:textId="3178C2AA" w:rsidR="00D14CB2" w:rsidRPr="00D14CB2" w:rsidRDefault="00D14CB2" w:rsidP="00D14CB2">
                    <w:pPr>
                      <w:spacing w:after="0"/>
                      <w:rPr>
                        <w:rFonts w:ascii="Calibri" w:eastAsia="Calibri" w:hAnsi="Calibri" w:cs="Calibri"/>
                        <w:noProof/>
                        <w:color w:val="000000"/>
                        <w:sz w:val="24"/>
                        <w:szCs w:val="24"/>
                      </w:rPr>
                    </w:pPr>
                    <w:r w:rsidRPr="00D14CB2">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1135"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3"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6"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2D665246"/>
    <w:multiLevelType w:val="multilevel"/>
    <w:tmpl w:val="55366B42"/>
    <w:numStyleLink w:val="LetteredList"/>
  </w:abstractNum>
  <w:abstractNum w:abstractNumId="18" w15:restartNumberingAfterBreak="0">
    <w:nsid w:val="2DFE29AF"/>
    <w:multiLevelType w:val="multilevel"/>
    <w:tmpl w:val="72768BCE"/>
    <w:numStyleLink w:val="AppendixHeadingList"/>
  </w:abstractNum>
  <w:abstractNum w:abstractNumId="19"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4"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594B628F"/>
    <w:multiLevelType w:val="multilevel"/>
    <w:tmpl w:val="5226FBA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9" w15:restartNumberingAfterBreak="0">
    <w:nsid w:val="761B4A1B"/>
    <w:multiLevelType w:val="multilevel"/>
    <w:tmpl w:val="4F48000A"/>
    <w:numStyleLink w:val="Alphalist"/>
  </w:abstractNum>
  <w:abstractNum w:abstractNumId="30"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1412121560">
    <w:abstractNumId w:val="19"/>
  </w:num>
  <w:num w:numId="2" w16cid:durableId="277611748">
    <w:abstractNumId w:val="1"/>
  </w:num>
  <w:num w:numId="3" w16cid:durableId="1302155483">
    <w:abstractNumId w:val="9"/>
  </w:num>
  <w:num w:numId="4" w16cid:durableId="548958593">
    <w:abstractNumId w:val="23"/>
  </w:num>
  <w:num w:numId="5" w16cid:durableId="1054354161">
    <w:abstractNumId w:val="6"/>
  </w:num>
  <w:num w:numId="6" w16cid:durableId="2080252243">
    <w:abstractNumId w:val="15"/>
  </w:num>
  <w:num w:numId="7" w16cid:durableId="264851329">
    <w:abstractNumId w:val="16"/>
  </w:num>
  <w:num w:numId="8" w16cid:durableId="940333106">
    <w:abstractNumId w:val="2"/>
  </w:num>
  <w:num w:numId="9" w16cid:durableId="1721398925">
    <w:abstractNumId w:val="24"/>
  </w:num>
  <w:num w:numId="10" w16cid:durableId="1335493018">
    <w:abstractNumId w:val="30"/>
  </w:num>
  <w:num w:numId="11" w16cid:durableId="363211452">
    <w:abstractNumId w:val="22"/>
  </w:num>
  <w:num w:numId="12" w16cid:durableId="112946579">
    <w:abstractNumId w:val="31"/>
  </w:num>
  <w:num w:numId="13" w16cid:durableId="1192497743">
    <w:abstractNumId w:val="27"/>
  </w:num>
  <w:num w:numId="14" w16cid:durableId="1135685140">
    <w:abstractNumId w:val="11"/>
  </w:num>
  <w:num w:numId="15" w16cid:durableId="2140831701">
    <w:abstractNumId w:val="25"/>
  </w:num>
  <w:num w:numId="16" w16cid:durableId="1572424740">
    <w:abstractNumId w:val="10"/>
  </w:num>
  <w:num w:numId="17" w16cid:durableId="1104182378">
    <w:abstractNumId w:val="4"/>
  </w:num>
  <w:num w:numId="18" w16cid:durableId="849031450">
    <w:abstractNumId w:val="14"/>
  </w:num>
  <w:num w:numId="19" w16cid:durableId="1696807359">
    <w:abstractNumId w:val="26"/>
  </w:num>
  <w:num w:numId="20" w16cid:durableId="301620261">
    <w:abstractNumId w:val="28"/>
  </w:num>
  <w:num w:numId="21" w16cid:durableId="902377827">
    <w:abstractNumId w:val="21"/>
  </w:num>
  <w:num w:numId="22" w16cid:durableId="357777181">
    <w:abstractNumId w:val="18"/>
  </w:num>
  <w:num w:numId="23" w16cid:durableId="28339413">
    <w:abstractNumId w:val="12"/>
  </w:num>
  <w:num w:numId="24" w16cid:durableId="203717212">
    <w:abstractNumId w:val="17"/>
  </w:num>
  <w:num w:numId="25" w16cid:durableId="268591687">
    <w:abstractNumId w:val="29"/>
  </w:num>
  <w:num w:numId="26" w16cid:durableId="1388532035">
    <w:abstractNumId w:val="0"/>
  </w:num>
  <w:num w:numId="27" w16cid:durableId="1153135370">
    <w:abstractNumId w:val="5"/>
  </w:num>
  <w:num w:numId="28" w16cid:durableId="1192958808">
    <w:abstractNumId w:val="13"/>
  </w:num>
  <w:num w:numId="29" w16cid:durableId="1065490972">
    <w:abstractNumId w:val="8"/>
  </w:num>
  <w:num w:numId="30" w16cid:durableId="1273787309">
    <w:abstractNumId w:val="7"/>
  </w:num>
  <w:num w:numId="31" w16cid:durableId="238295757">
    <w:abstractNumId w:val="3"/>
  </w:num>
  <w:num w:numId="32" w16cid:durableId="1404449485">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565"/>
    <w:rsid w:val="00000075"/>
    <w:rsid w:val="00000F3C"/>
    <w:rsid w:val="0000277C"/>
    <w:rsid w:val="00004489"/>
    <w:rsid w:val="00005C79"/>
    <w:rsid w:val="00006A31"/>
    <w:rsid w:val="00012730"/>
    <w:rsid w:val="00013897"/>
    <w:rsid w:val="00016C33"/>
    <w:rsid w:val="00016E60"/>
    <w:rsid w:val="000209E1"/>
    <w:rsid w:val="00023A45"/>
    <w:rsid w:val="000249B0"/>
    <w:rsid w:val="00026C04"/>
    <w:rsid w:val="000300AF"/>
    <w:rsid w:val="000331E4"/>
    <w:rsid w:val="0003338D"/>
    <w:rsid w:val="00033619"/>
    <w:rsid w:val="000338B7"/>
    <w:rsid w:val="0003655E"/>
    <w:rsid w:val="00047894"/>
    <w:rsid w:val="0005151B"/>
    <w:rsid w:val="00053C04"/>
    <w:rsid w:val="00054883"/>
    <w:rsid w:val="00054C95"/>
    <w:rsid w:val="000561CF"/>
    <w:rsid w:val="0005774F"/>
    <w:rsid w:val="00062594"/>
    <w:rsid w:val="00062A44"/>
    <w:rsid w:val="000703B0"/>
    <w:rsid w:val="000724AE"/>
    <w:rsid w:val="000732A0"/>
    <w:rsid w:val="0007339A"/>
    <w:rsid w:val="00075ED5"/>
    <w:rsid w:val="00076E01"/>
    <w:rsid w:val="0007776A"/>
    <w:rsid w:val="00077A76"/>
    <w:rsid w:val="0008037D"/>
    <w:rsid w:val="0008049E"/>
    <w:rsid w:val="00080A8B"/>
    <w:rsid w:val="000819BC"/>
    <w:rsid w:val="00082D7B"/>
    <w:rsid w:val="00083E5C"/>
    <w:rsid w:val="00084660"/>
    <w:rsid w:val="00085FB9"/>
    <w:rsid w:val="00090CBD"/>
    <w:rsid w:val="00091286"/>
    <w:rsid w:val="00091572"/>
    <w:rsid w:val="000966D1"/>
    <w:rsid w:val="000A0F08"/>
    <w:rsid w:val="000A38AA"/>
    <w:rsid w:val="000B062E"/>
    <w:rsid w:val="000B321A"/>
    <w:rsid w:val="000B497F"/>
    <w:rsid w:val="000B4A72"/>
    <w:rsid w:val="000B5105"/>
    <w:rsid w:val="000C3029"/>
    <w:rsid w:val="000C6B77"/>
    <w:rsid w:val="000D3A50"/>
    <w:rsid w:val="000D3E4E"/>
    <w:rsid w:val="000D451E"/>
    <w:rsid w:val="000D52C0"/>
    <w:rsid w:val="000D64BA"/>
    <w:rsid w:val="000D64ED"/>
    <w:rsid w:val="000E3C34"/>
    <w:rsid w:val="000E43B0"/>
    <w:rsid w:val="000E508C"/>
    <w:rsid w:val="000E7116"/>
    <w:rsid w:val="000F4488"/>
    <w:rsid w:val="000F5CA8"/>
    <w:rsid w:val="000F6EB3"/>
    <w:rsid w:val="00100FAB"/>
    <w:rsid w:val="0010371D"/>
    <w:rsid w:val="0010499A"/>
    <w:rsid w:val="00104AC0"/>
    <w:rsid w:val="00105F78"/>
    <w:rsid w:val="00107681"/>
    <w:rsid w:val="00110602"/>
    <w:rsid w:val="0011217E"/>
    <w:rsid w:val="00112E8F"/>
    <w:rsid w:val="00120792"/>
    <w:rsid w:val="00120D61"/>
    <w:rsid w:val="00123D2F"/>
    <w:rsid w:val="001240D4"/>
    <w:rsid w:val="001268BC"/>
    <w:rsid w:val="00126993"/>
    <w:rsid w:val="0013145C"/>
    <w:rsid w:val="001359DC"/>
    <w:rsid w:val="00136FFB"/>
    <w:rsid w:val="0013722E"/>
    <w:rsid w:val="00137FAB"/>
    <w:rsid w:val="0014100C"/>
    <w:rsid w:val="00141658"/>
    <w:rsid w:val="0014297F"/>
    <w:rsid w:val="00142D7B"/>
    <w:rsid w:val="001456E4"/>
    <w:rsid w:val="001462A5"/>
    <w:rsid w:val="001509AD"/>
    <w:rsid w:val="001531E2"/>
    <w:rsid w:val="00154CC1"/>
    <w:rsid w:val="00154E0D"/>
    <w:rsid w:val="001600E9"/>
    <w:rsid w:val="00160FEC"/>
    <w:rsid w:val="001610E5"/>
    <w:rsid w:val="00161BC8"/>
    <w:rsid w:val="00162FFE"/>
    <w:rsid w:val="00164DF7"/>
    <w:rsid w:val="00165645"/>
    <w:rsid w:val="001714F3"/>
    <w:rsid w:val="0017396B"/>
    <w:rsid w:val="00174271"/>
    <w:rsid w:val="001747A3"/>
    <w:rsid w:val="00182A32"/>
    <w:rsid w:val="00187F05"/>
    <w:rsid w:val="00190014"/>
    <w:rsid w:val="001955F2"/>
    <w:rsid w:val="001957BF"/>
    <w:rsid w:val="001A0CDC"/>
    <w:rsid w:val="001A0D77"/>
    <w:rsid w:val="001A196A"/>
    <w:rsid w:val="001A1BFB"/>
    <w:rsid w:val="001A1D95"/>
    <w:rsid w:val="001A2565"/>
    <w:rsid w:val="001A35D8"/>
    <w:rsid w:val="001A37A2"/>
    <w:rsid w:val="001A7491"/>
    <w:rsid w:val="001A7CE7"/>
    <w:rsid w:val="001A7D95"/>
    <w:rsid w:val="001A7DF4"/>
    <w:rsid w:val="001A7F44"/>
    <w:rsid w:val="001B02F1"/>
    <w:rsid w:val="001B1762"/>
    <w:rsid w:val="001B17AC"/>
    <w:rsid w:val="001B3CFE"/>
    <w:rsid w:val="001B588D"/>
    <w:rsid w:val="001B6BD3"/>
    <w:rsid w:val="001C1B35"/>
    <w:rsid w:val="001C5102"/>
    <w:rsid w:val="001C5618"/>
    <w:rsid w:val="001C77D2"/>
    <w:rsid w:val="001C7835"/>
    <w:rsid w:val="001D1F8E"/>
    <w:rsid w:val="001D4050"/>
    <w:rsid w:val="001D4971"/>
    <w:rsid w:val="001D6171"/>
    <w:rsid w:val="001D7D9B"/>
    <w:rsid w:val="001E4D4C"/>
    <w:rsid w:val="001E58C3"/>
    <w:rsid w:val="001E58ED"/>
    <w:rsid w:val="001E59AC"/>
    <w:rsid w:val="001E6E6E"/>
    <w:rsid w:val="001E70D9"/>
    <w:rsid w:val="001E7873"/>
    <w:rsid w:val="001F13C1"/>
    <w:rsid w:val="001F15E0"/>
    <w:rsid w:val="001F1E9A"/>
    <w:rsid w:val="001F3B15"/>
    <w:rsid w:val="001F4118"/>
    <w:rsid w:val="001F446D"/>
    <w:rsid w:val="001F5B50"/>
    <w:rsid w:val="001F6B0A"/>
    <w:rsid w:val="00201320"/>
    <w:rsid w:val="0020204A"/>
    <w:rsid w:val="00204D6A"/>
    <w:rsid w:val="002112EC"/>
    <w:rsid w:val="00217390"/>
    <w:rsid w:val="00221800"/>
    <w:rsid w:val="00221AB7"/>
    <w:rsid w:val="00222EE1"/>
    <w:rsid w:val="00223139"/>
    <w:rsid w:val="00225A64"/>
    <w:rsid w:val="00225B38"/>
    <w:rsid w:val="00226AC4"/>
    <w:rsid w:val="00226B24"/>
    <w:rsid w:val="00227712"/>
    <w:rsid w:val="002308FC"/>
    <w:rsid w:val="00230AC8"/>
    <w:rsid w:val="002310E4"/>
    <w:rsid w:val="00236B97"/>
    <w:rsid w:val="0023706C"/>
    <w:rsid w:val="00242DCE"/>
    <w:rsid w:val="002457DE"/>
    <w:rsid w:val="00245CD6"/>
    <w:rsid w:val="00246435"/>
    <w:rsid w:val="00246BCF"/>
    <w:rsid w:val="002476F3"/>
    <w:rsid w:val="00251245"/>
    <w:rsid w:val="00251CA2"/>
    <w:rsid w:val="002601BB"/>
    <w:rsid w:val="00262BFA"/>
    <w:rsid w:val="00263A81"/>
    <w:rsid w:val="00265918"/>
    <w:rsid w:val="00270834"/>
    <w:rsid w:val="00273990"/>
    <w:rsid w:val="00273E86"/>
    <w:rsid w:val="00281309"/>
    <w:rsid w:val="002814E6"/>
    <w:rsid w:val="00281A54"/>
    <w:rsid w:val="00282AE5"/>
    <w:rsid w:val="00284047"/>
    <w:rsid w:val="00286CB9"/>
    <w:rsid w:val="00287114"/>
    <w:rsid w:val="00287E5A"/>
    <w:rsid w:val="002928E3"/>
    <w:rsid w:val="00293532"/>
    <w:rsid w:val="002936B4"/>
    <w:rsid w:val="002951E6"/>
    <w:rsid w:val="00295330"/>
    <w:rsid w:val="002A72FD"/>
    <w:rsid w:val="002B0577"/>
    <w:rsid w:val="002B0C95"/>
    <w:rsid w:val="002B1EEA"/>
    <w:rsid w:val="002B3B8E"/>
    <w:rsid w:val="002B796B"/>
    <w:rsid w:val="002C109C"/>
    <w:rsid w:val="002C1F7B"/>
    <w:rsid w:val="002C6004"/>
    <w:rsid w:val="002C797E"/>
    <w:rsid w:val="002D06AB"/>
    <w:rsid w:val="002D0FD2"/>
    <w:rsid w:val="002D50CB"/>
    <w:rsid w:val="002D569C"/>
    <w:rsid w:val="002D7733"/>
    <w:rsid w:val="002D7B8E"/>
    <w:rsid w:val="002E0436"/>
    <w:rsid w:val="002E0C1E"/>
    <w:rsid w:val="002E0EEB"/>
    <w:rsid w:val="002E2B79"/>
    <w:rsid w:val="002E2CDC"/>
    <w:rsid w:val="002E2E0B"/>
    <w:rsid w:val="002E3F19"/>
    <w:rsid w:val="002E51D2"/>
    <w:rsid w:val="002E5F98"/>
    <w:rsid w:val="002E76BB"/>
    <w:rsid w:val="002E7A0E"/>
    <w:rsid w:val="002E7EFA"/>
    <w:rsid w:val="002F03D5"/>
    <w:rsid w:val="002F0EB3"/>
    <w:rsid w:val="002F2A15"/>
    <w:rsid w:val="002F54E5"/>
    <w:rsid w:val="002F56E4"/>
    <w:rsid w:val="002F6386"/>
    <w:rsid w:val="002F7FDB"/>
    <w:rsid w:val="00300241"/>
    <w:rsid w:val="00300E67"/>
    <w:rsid w:val="00303704"/>
    <w:rsid w:val="00304E0F"/>
    <w:rsid w:val="00305171"/>
    <w:rsid w:val="00306010"/>
    <w:rsid w:val="0030677E"/>
    <w:rsid w:val="00311099"/>
    <w:rsid w:val="0031125C"/>
    <w:rsid w:val="00312C06"/>
    <w:rsid w:val="0031622F"/>
    <w:rsid w:val="0032189E"/>
    <w:rsid w:val="00323400"/>
    <w:rsid w:val="003252B7"/>
    <w:rsid w:val="00326A36"/>
    <w:rsid w:val="00327332"/>
    <w:rsid w:val="00330257"/>
    <w:rsid w:val="00336ECB"/>
    <w:rsid w:val="003371F7"/>
    <w:rsid w:val="0034600D"/>
    <w:rsid w:val="0034680A"/>
    <w:rsid w:val="00354696"/>
    <w:rsid w:val="0035519A"/>
    <w:rsid w:val="00356C7A"/>
    <w:rsid w:val="0036059A"/>
    <w:rsid w:val="00360BB1"/>
    <w:rsid w:val="00362F68"/>
    <w:rsid w:val="00363FF8"/>
    <w:rsid w:val="003640E1"/>
    <w:rsid w:val="00370401"/>
    <w:rsid w:val="00376278"/>
    <w:rsid w:val="00376491"/>
    <w:rsid w:val="00376BB2"/>
    <w:rsid w:val="0037721D"/>
    <w:rsid w:val="0038102A"/>
    <w:rsid w:val="00382722"/>
    <w:rsid w:val="003833B4"/>
    <w:rsid w:val="00385213"/>
    <w:rsid w:val="00386D30"/>
    <w:rsid w:val="00387807"/>
    <w:rsid w:val="00391594"/>
    <w:rsid w:val="003930C0"/>
    <w:rsid w:val="00394AA6"/>
    <w:rsid w:val="00395850"/>
    <w:rsid w:val="0039741C"/>
    <w:rsid w:val="003A743E"/>
    <w:rsid w:val="003A7ADE"/>
    <w:rsid w:val="003B04B9"/>
    <w:rsid w:val="003B29FC"/>
    <w:rsid w:val="003B2A34"/>
    <w:rsid w:val="003B301E"/>
    <w:rsid w:val="003B3F8E"/>
    <w:rsid w:val="003B42B7"/>
    <w:rsid w:val="003B5BD8"/>
    <w:rsid w:val="003B6E2C"/>
    <w:rsid w:val="003B7DB1"/>
    <w:rsid w:val="003C01D4"/>
    <w:rsid w:val="003C2CC3"/>
    <w:rsid w:val="003C69BF"/>
    <w:rsid w:val="003D09EE"/>
    <w:rsid w:val="003D160D"/>
    <w:rsid w:val="003D1796"/>
    <w:rsid w:val="003D221B"/>
    <w:rsid w:val="003D23A3"/>
    <w:rsid w:val="003D376B"/>
    <w:rsid w:val="003D5856"/>
    <w:rsid w:val="003D7C71"/>
    <w:rsid w:val="003E2B2F"/>
    <w:rsid w:val="003E41BD"/>
    <w:rsid w:val="003E6055"/>
    <w:rsid w:val="003F13F3"/>
    <w:rsid w:val="003F6A51"/>
    <w:rsid w:val="003F6F1A"/>
    <w:rsid w:val="003F7670"/>
    <w:rsid w:val="0040060F"/>
    <w:rsid w:val="00404E4F"/>
    <w:rsid w:val="004064F7"/>
    <w:rsid w:val="004112F0"/>
    <w:rsid w:val="00411747"/>
    <w:rsid w:val="00415A0E"/>
    <w:rsid w:val="004177F7"/>
    <w:rsid w:val="00420F0E"/>
    <w:rsid w:val="0042339A"/>
    <w:rsid w:val="00423B15"/>
    <w:rsid w:val="00424CB8"/>
    <w:rsid w:val="0042508F"/>
    <w:rsid w:val="004265D2"/>
    <w:rsid w:val="00426F6C"/>
    <w:rsid w:val="004273D5"/>
    <w:rsid w:val="00431237"/>
    <w:rsid w:val="0043326D"/>
    <w:rsid w:val="004353A2"/>
    <w:rsid w:val="004379C2"/>
    <w:rsid w:val="004400E8"/>
    <w:rsid w:val="0044012B"/>
    <w:rsid w:val="004407E9"/>
    <w:rsid w:val="0044305B"/>
    <w:rsid w:val="00450C80"/>
    <w:rsid w:val="0045105B"/>
    <w:rsid w:val="004544D6"/>
    <w:rsid w:val="00454826"/>
    <w:rsid w:val="00456F93"/>
    <w:rsid w:val="00456FB1"/>
    <w:rsid w:val="004571BA"/>
    <w:rsid w:val="004572DC"/>
    <w:rsid w:val="00461CE9"/>
    <w:rsid w:val="00462407"/>
    <w:rsid w:val="004631DD"/>
    <w:rsid w:val="004635FD"/>
    <w:rsid w:val="00463765"/>
    <w:rsid w:val="004646FD"/>
    <w:rsid w:val="00464B27"/>
    <w:rsid w:val="004672B9"/>
    <w:rsid w:val="00470129"/>
    <w:rsid w:val="004728A0"/>
    <w:rsid w:val="00473210"/>
    <w:rsid w:val="004738B0"/>
    <w:rsid w:val="00473A8A"/>
    <w:rsid w:val="004742DD"/>
    <w:rsid w:val="00474684"/>
    <w:rsid w:val="00475231"/>
    <w:rsid w:val="0047642E"/>
    <w:rsid w:val="00477B6B"/>
    <w:rsid w:val="00481FC5"/>
    <w:rsid w:val="004829BC"/>
    <w:rsid w:val="004844E7"/>
    <w:rsid w:val="00484E96"/>
    <w:rsid w:val="004874FE"/>
    <w:rsid w:val="00490DCF"/>
    <w:rsid w:val="004914E7"/>
    <w:rsid w:val="0049597A"/>
    <w:rsid w:val="00496700"/>
    <w:rsid w:val="004967E1"/>
    <w:rsid w:val="004A1AE1"/>
    <w:rsid w:val="004A2FB8"/>
    <w:rsid w:val="004A4525"/>
    <w:rsid w:val="004A5586"/>
    <w:rsid w:val="004A67DA"/>
    <w:rsid w:val="004A68DF"/>
    <w:rsid w:val="004B0027"/>
    <w:rsid w:val="004B1531"/>
    <w:rsid w:val="004B1575"/>
    <w:rsid w:val="004B1CC3"/>
    <w:rsid w:val="004B507F"/>
    <w:rsid w:val="004B556D"/>
    <w:rsid w:val="004B609E"/>
    <w:rsid w:val="004C11C4"/>
    <w:rsid w:val="004C1464"/>
    <w:rsid w:val="004C1AFE"/>
    <w:rsid w:val="004C34D2"/>
    <w:rsid w:val="004C4823"/>
    <w:rsid w:val="004C6B4D"/>
    <w:rsid w:val="004C76D9"/>
    <w:rsid w:val="004D18F4"/>
    <w:rsid w:val="004E1233"/>
    <w:rsid w:val="004E28C6"/>
    <w:rsid w:val="004E385D"/>
    <w:rsid w:val="004E5B31"/>
    <w:rsid w:val="004E6DE1"/>
    <w:rsid w:val="004F10E0"/>
    <w:rsid w:val="004F138F"/>
    <w:rsid w:val="004F2D0A"/>
    <w:rsid w:val="004F3B40"/>
    <w:rsid w:val="004F3DDC"/>
    <w:rsid w:val="004F4155"/>
    <w:rsid w:val="004F420C"/>
    <w:rsid w:val="004F50DA"/>
    <w:rsid w:val="004F70C5"/>
    <w:rsid w:val="00500123"/>
    <w:rsid w:val="00501378"/>
    <w:rsid w:val="005029C5"/>
    <w:rsid w:val="00503FFA"/>
    <w:rsid w:val="0050590D"/>
    <w:rsid w:val="0050670B"/>
    <w:rsid w:val="0050737A"/>
    <w:rsid w:val="005114C3"/>
    <w:rsid w:val="00511B29"/>
    <w:rsid w:val="005124ED"/>
    <w:rsid w:val="005129CC"/>
    <w:rsid w:val="005141E8"/>
    <w:rsid w:val="00516303"/>
    <w:rsid w:val="00516878"/>
    <w:rsid w:val="00516A89"/>
    <w:rsid w:val="00517257"/>
    <w:rsid w:val="00521B82"/>
    <w:rsid w:val="00522610"/>
    <w:rsid w:val="00522805"/>
    <w:rsid w:val="005277D2"/>
    <w:rsid w:val="00527A18"/>
    <w:rsid w:val="00533E84"/>
    <w:rsid w:val="005351DD"/>
    <w:rsid w:val="005351E3"/>
    <w:rsid w:val="00536740"/>
    <w:rsid w:val="00536C92"/>
    <w:rsid w:val="00537D9D"/>
    <w:rsid w:val="00540B70"/>
    <w:rsid w:val="005433B5"/>
    <w:rsid w:val="00545071"/>
    <w:rsid w:val="00546522"/>
    <w:rsid w:val="00546BA3"/>
    <w:rsid w:val="00550C99"/>
    <w:rsid w:val="00551446"/>
    <w:rsid w:val="00552C11"/>
    <w:rsid w:val="00552D8C"/>
    <w:rsid w:val="00553413"/>
    <w:rsid w:val="00555AB2"/>
    <w:rsid w:val="00561129"/>
    <w:rsid w:val="00562410"/>
    <w:rsid w:val="00562DBB"/>
    <w:rsid w:val="00564A90"/>
    <w:rsid w:val="005712E0"/>
    <w:rsid w:val="00571371"/>
    <w:rsid w:val="00571C54"/>
    <w:rsid w:val="00572A54"/>
    <w:rsid w:val="00574439"/>
    <w:rsid w:val="005754AB"/>
    <w:rsid w:val="005768C5"/>
    <w:rsid w:val="00581BF6"/>
    <w:rsid w:val="00582569"/>
    <w:rsid w:val="005826F4"/>
    <w:rsid w:val="00582ACC"/>
    <w:rsid w:val="0058369E"/>
    <w:rsid w:val="00585395"/>
    <w:rsid w:val="00586734"/>
    <w:rsid w:val="00590A60"/>
    <w:rsid w:val="00590B88"/>
    <w:rsid w:val="00590D09"/>
    <w:rsid w:val="0059156A"/>
    <w:rsid w:val="00593314"/>
    <w:rsid w:val="0059368E"/>
    <w:rsid w:val="00593BF5"/>
    <w:rsid w:val="00594496"/>
    <w:rsid w:val="005956D3"/>
    <w:rsid w:val="00595FF0"/>
    <w:rsid w:val="00596365"/>
    <w:rsid w:val="005965BC"/>
    <w:rsid w:val="00597D07"/>
    <w:rsid w:val="005A17ED"/>
    <w:rsid w:val="005A1CEA"/>
    <w:rsid w:val="005A287C"/>
    <w:rsid w:val="005A35C7"/>
    <w:rsid w:val="005A35F6"/>
    <w:rsid w:val="005A3631"/>
    <w:rsid w:val="005A4850"/>
    <w:rsid w:val="005A7E78"/>
    <w:rsid w:val="005A7F38"/>
    <w:rsid w:val="005B03ED"/>
    <w:rsid w:val="005B1776"/>
    <w:rsid w:val="005B1BA3"/>
    <w:rsid w:val="005B26DE"/>
    <w:rsid w:val="005B32FB"/>
    <w:rsid w:val="005B488D"/>
    <w:rsid w:val="005B7FE4"/>
    <w:rsid w:val="005C05E0"/>
    <w:rsid w:val="005C2A2E"/>
    <w:rsid w:val="005C2FE6"/>
    <w:rsid w:val="005C37E0"/>
    <w:rsid w:val="005C4C41"/>
    <w:rsid w:val="005C54B9"/>
    <w:rsid w:val="005C5A1C"/>
    <w:rsid w:val="005C6618"/>
    <w:rsid w:val="005C6710"/>
    <w:rsid w:val="005C77C6"/>
    <w:rsid w:val="005D0189"/>
    <w:rsid w:val="005D0E95"/>
    <w:rsid w:val="005D2BFD"/>
    <w:rsid w:val="005D3B7A"/>
    <w:rsid w:val="005D6B66"/>
    <w:rsid w:val="005E0146"/>
    <w:rsid w:val="005E027D"/>
    <w:rsid w:val="005E0BA0"/>
    <w:rsid w:val="005E311F"/>
    <w:rsid w:val="005E4470"/>
    <w:rsid w:val="005E5794"/>
    <w:rsid w:val="005F2036"/>
    <w:rsid w:val="005F3BA5"/>
    <w:rsid w:val="005F434B"/>
    <w:rsid w:val="005F4856"/>
    <w:rsid w:val="005F5E67"/>
    <w:rsid w:val="005F614C"/>
    <w:rsid w:val="00601806"/>
    <w:rsid w:val="00602A59"/>
    <w:rsid w:val="00603FD5"/>
    <w:rsid w:val="00604BFB"/>
    <w:rsid w:val="00604C3E"/>
    <w:rsid w:val="00604D69"/>
    <w:rsid w:val="00605423"/>
    <w:rsid w:val="0060792B"/>
    <w:rsid w:val="00607F03"/>
    <w:rsid w:val="00610627"/>
    <w:rsid w:val="00610F6C"/>
    <w:rsid w:val="00611747"/>
    <w:rsid w:val="006131DA"/>
    <w:rsid w:val="0061571F"/>
    <w:rsid w:val="00616DC8"/>
    <w:rsid w:val="00620548"/>
    <w:rsid w:val="00624B90"/>
    <w:rsid w:val="0063005C"/>
    <w:rsid w:val="00630F02"/>
    <w:rsid w:val="0063295B"/>
    <w:rsid w:val="00632EA7"/>
    <w:rsid w:val="00635479"/>
    <w:rsid w:val="00635B85"/>
    <w:rsid w:val="006425FD"/>
    <w:rsid w:val="00643DE3"/>
    <w:rsid w:val="00643EDD"/>
    <w:rsid w:val="006464FE"/>
    <w:rsid w:val="006475BD"/>
    <w:rsid w:val="006522BF"/>
    <w:rsid w:val="006527FF"/>
    <w:rsid w:val="00654200"/>
    <w:rsid w:val="00654EDC"/>
    <w:rsid w:val="00656171"/>
    <w:rsid w:val="00656A8A"/>
    <w:rsid w:val="006611D3"/>
    <w:rsid w:val="00661382"/>
    <w:rsid w:val="00662209"/>
    <w:rsid w:val="00662349"/>
    <w:rsid w:val="006633EE"/>
    <w:rsid w:val="00666D59"/>
    <w:rsid w:val="006813F2"/>
    <w:rsid w:val="00681434"/>
    <w:rsid w:val="006833D9"/>
    <w:rsid w:val="0068724F"/>
    <w:rsid w:val="0068736B"/>
    <w:rsid w:val="006876F2"/>
    <w:rsid w:val="0069007A"/>
    <w:rsid w:val="00694926"/>
    <w:rsid w:val="00697501"/>
    <w:rsid w:val="006A0B3F"/>
    <w:rsid w:val="006A19F3"/>
    <w:rsid w:val="006A1DEF"/>
    <w:rsid w:val="006A4218"/>
    <w:rsid w:val="006A7069"/>
    <w:rsid w:val="006C27FD"/>
    <w:rsid w:val="006C36D5"/>
    <w:rsid w:val="006C4AF4"/>
    <w:rsid w:val="006C4B34"/>
    <w:rsid w:val="006C4C82"/>
    <w:rsid w:val="006C537C"/>
    <w:rsid w:val="006C56B7"/>
    <w:rsid w:val="006C6BC6"/>
    <w:rsid w:val="006D095B"/>
    <w:rsid w:val="006D2565"/>
    <w:rsid w:val="006D264E"/>
    <w:rsid w:val="006D3F2F"/>
    <w:rsid w:val="006D4F09"/>
    <w:rsid w:val="006D5F4F"/>
    <w:rsid w:val="006E1036"/>
    <w:rsid w:val="006E3536"/>
    <w:rsid w:val="006E5BA8"/>
    <w:rsid w:val="006F005C"/>
    <w:rsid w:val="006F278A"/>
    <w:rsid w:val="006F5921"/>
    <w:rsid w:val="0070059F"/>
    <w:rsid w:val="00701100"/>
    <w:rsid w:val="00704BB7"/>
    <w:rsid w:val="00705493"/>
    <w:rsid w:val="0070591C"/>
    <w:rsid w:val="00705933"/>
    <w:rsid w:val="00705B36"/>
    <w:rsid w:val="00706343"/>
    <w:rsid w:val="00706F94"/>
    <w:rsid w:val="00707265"/>
    <w:rsid w:val="0071036E"/>
    <w:rsid w:val="00711544"/>
    <w:rsid w:val="00714488"/>
    <w:rsid w:val="007158C6"/>
    <w:rsid w:val="00720507"/>
    <w:rsid w:val="007215EF"/>
    <w:rsid w:val="00722252"/>
    <w:rsid w:val="007245D7"/>
    <w:rsid w:val="00726EEF"/>
    <w:rsid w:val="007301C9"/>
    <w:rsid w:val="007332B6"/>
    <w:rsid w:val="00734DC7"/>
    <w:rsid w:val="007373F6"/>
    <w:rsid w:val="00740804"/>
    <w:rsid w:val="00740B62"/>
    <w:rsid w:val="00742F0D"/>
    <w:rsid w:val="00743548"/>
    <w:rsid w:val="00744120"/>
    <w:rsid w:val="00746F32"/>
    <w:rsid w:val="0075386F"/>
    <w:rsid w:val="007548A8"/>
    <w:rsid w:val="00755F1C"/>
    <w:rsid w:val="0075628E"/>
    <w:rsid w:val="007569FB"/>
    <w:rsid w:val="00760005"/>
    <w:rsid w:val="00760304"/>
    <w:rsid w:val="00760E1B"/>
    <w:rsid w:val="007612BF"/>
    <w:rsid w:val="00762F69"/>
    <w:rsid w:val="0076388B"/>
    <w:rsid w:val="00764FE1"/>
    <w:rsid w:val="0076636F"/>
    <w:rsid w:val="007669DE"/>
    <w:rsid w:val="00767EAE"/>
    <w:rsid w:val="00767FDE"/>
    <w:rsid w:val="0077066A"/>
    <w:rsid w:val="00770DB0"/>
    <w:rsid w:val="00771C9F"/>
    <w:rsid w:val="00772452"/>
    <w:rsid w:val="00772887"/>
    <w:rsid w:val="00774D31"/>
    <w:rsid w:val="00775165"/>
    <w:rsid w:val="0077641B"/>
    <w:rsid w:val="007779AD"/>
    <w:rsid w:val="0078056B"/>
    <w:rsid w:val="00783706"/>
    <w:rsid w:val="0078533C"/>
    <w:rsid w:val="00786415"/>
    <w:rsid w:val="00790507"/>
    <w:rsid w:val="00791BA2"/>
    <w:rsid w:val="0079325E"/>
    <w:rsid w:val="00794166"/>
    <w:rsid w:val="0079705B"/>
    <w:rsid w:val="007A0363"/>
    <w:rsid w:val="007A0EF6"/>
    <w:rsid w:val="007A22CF"/>
    <w:rsid w:val="007A769B"/>
    <w:rsid w:val="007A7DF1"/>
    <w:rsid w:val="007B15FE"/>
    <w:rsid w:val="007B2695"/>
    <w:rsid w:val="007B4130"/>
    <w:rsid w:val="007C09A3"/>
    <w:rsid w:val="007C238C"/>
    <w:rsid w:val="007C3475"/>
    <w:rsid w:val="007C4133"/>
    <w:rsid w:val="007C475F"/>
    <w:rsid w:val="007C500A"/>
    <w:rsid w:val="007C65AA"/>
    <w:rsid w:val="007C7FE5"/>
    <w:rsid w:val="007D1569"/>
    <w:rsid w:val="007D25EB"/>
    <w:rsid w:val="007D5CDC"/>
    <w:rsid w:val="007E1A38"/>
    <w:rsid w:val="007E4671"/>
    <w:rsid w:val="007E57B0"/>
    <w:rsid w:val="007F58A5"/>
    <w:rsid w:val="00801593"/>
    <w:rsid w:val="008017BC"/>
    <w:rsid w:val="00801A27"/>
    <w:rsid w:val="0080322B"/>
    <w:rsid w:val="00803380"/>
    <w:rsid w:val="008035C3"/>
    <w:rsid w:val="00803F26"/>
    <w:rsid w:val="0080420E"/>
    <w:rsid w:val="00804B8B"/>
    <w:rsid w:val="00804F2E"/>
    <w:rsid w:val="00806F63"/>
    <w:rsid w:val="00807E5A"/>
    <w:rsid w:val="00807F06"/>
    <w:rsid w:val="00811196"/>
    <w:rsid w:val="008113EF"/>
    <w:rsid w:val="00813320"/>
    <w:rsid w:val="0081533C"/>
    <w:rsid w:val="008161D7"/>
    <w:rsid w:val="00817BD5"/>
    <w:rsid w:val="00820661"/>
    <w:rsid w:val="00820A30"/>
    <w:rsid w:val="0082437F"/>
    <w:rsid w:val="00826EF4"/>
    <w:rsid w:val="00827056"/>
    <w:rsid w:val="00831CB6"/>
    <w:rsid w:val="00832334"/>
    <w:rsid w:val="0083428E"/>
    <w:rsid w:val="0083591E"/>
    <w:rsid w:val="00836262"/>
    <w:rsid w:val="008363FA"/>
    <w:rsid w:val="008369F9"/>
    <w:rsid w:val="00836A3E"/>
    <w:rsid w:val="00836E3A"/>
    <w:rsid w:val="00837210"/>
    <w:rsid w:val="00841C4B"/>
    <w:rsid w:val="0084238D"/>
    <w:rsid w:val="008423EB"/>
    <w:rsid w:val="0084325D"/>
    <w:rsid w:val="00843370"/>
    <w:rsid w:val="00844087"/>
    <w:rsid w:val="0084568E"/>
    <w:rsid w:val="008472B8"/>
    <w:rsid w:val="00851A2E"/>
    <w:rsid w:val="008529A2"/>
    <w:rsid w:val="0085439B"/>
    <w:rsid w:val="008544FA"/>
    <w:rsid w:val="00855453"/>
    <w:rsid w:val="00855798"/>
    <w:rsid w:val="008559A5"/>
    <w:rsid w:val="00855A06"/>
    <w:rsid w:val="0085718D"/>
    <w:rsid w:val="008579B4"/>
    <w:rsid w:val="00860498"/>
    <w:rsid w:val="00861C81"/>
    <w:rsid w:val="00867DC3"/>
    <w:rsid w:val="00871460"/>
    <w:rsid w:val="0087169A"/>
    <w:rsid w:val="00871A6C"/>
    <w:rsid w:val="00871B6A"/>
    <w:rsid w:val="00872A6F"/>
    <w:rsid w:val="00875CCB"/>
    <w:rsid w:val="00876B35"/>
    <w:rsid w:val="008775D2"/>
    <w:rsid w:val="00882573"/>
    <w:rsid w:val="00882F02"/>
    <w:rsid w:val="008833F3"/>
    <w:rsid w:val="00883C17"/>
    <w:rsid w:val="00885B4A"/>
    <w:rsid w:val="00885E5B"/>
    <w:rsid w:val="0088739A"/>
    <w:rsid w:val="00890899"/>
    <w:rsid w:val="00897793"/>
    <w:rsid w:val="008A1632"/>
    <w:rsid w:val="008A1B17"/>
    <w:rsid w:val="008A594A"/>
    <w:rsid w:val="008A6F83"/>
    <w:rsid w:val="008B05C3"/>
    <w:rsid w:val="008B0BE7"/>
    <w:rsid w:val="008B27B3"/>
    <w:rsid w:val="008B3FF3"/>
    <w:rsid w:val="008B466B"/>
    <w:rsid w:val="008B4965"/>
    <w:rsid w:val="008B4B55"/>
    <w:rsid w:val="008B6D82"/>
    <w:rsid w:val="008B78B1"/>
    <w:rsid w:val="008C1CCF"/>
    <w:rsid w:val="008C3864"/>
    <w:rsid w:val="008C6C8E"/>
    <w:rsid w:val="008D09B7"/>
    <w:rsid w:val="008D0C8E"/>
    <w:rsid w:val="008D1285"/>
    <w:rsid w:val="008D19FD"/>
    <w:rsid w:val="008D1ABD"/>
    <w:rsid w:val="008D3A0D"/>
    <w:rsid w:val="008D7D89"/>
    <w:rsid w:val="008E16F3"/>
    <w:rsid w:val="008E25D6"/>
    <w:rsid w:val="008E2F6D"/>
    <w:rsid w:val="008E66EB"/>
    <w:rsid w:val="008E746B"/>
    <w:rsid w:val="008E7BD4"/>
    <w:rsid w:val="008F0A95"/>
    <w:rsid w:val="008F201B"/>
    <w:rsid w:val="008F567D"/>
    <w:rsid w:val="008F6884"/>
    <w:rsid w:val="008F6F1A"/>
    <w:rsid w:val="008F7897"/>
    <w:rsid w:val="008F7A1E"/>
    <w:rsid w:val="0090137A"/>
    <w:rsid w:val="00903370"/>
    <w:rsid w:val="009059DD"/>
    <w:rsid w:val="0090697F"/>
    <w:rsid w:val="00907628"/>
    <w:rsid w:val="009110A1"/>
    <w:rsid w:val="0091349A"/>
    <w:rsid w:val="009134DA"/>
    <w:rsid w:val="00914399"/>
    <w:rsid w:val="009151BC"/>
    <w:rsid w:val="0091530C"/>
    <w:rsid w:val="009158BF"/>
    <w:rsid w:val="00915AA2"/>
    <w:rsid w:val="0091798A"/>
    <w:rsid w:val="00921D44"/>
    <w:rsid w:val="0092580F"/>
    <w:rsid w:val="009260B7"/>
    <w:rsid w:val="00933E08"/>
    <w:rsid w:val="009342FC"/>
    <w:rsid w:val="009344AC"/>
    <w:rsid w:val="00936068"/>
    <w:rsid w:val="0093777D"/>
    <w:rsid w:val="00937887"/>
    <w:rsid w:val="0094315B"/>
    <w:rsid w:val="00943806"/>
    <w:rsid w:val="00946351"/>
    <w:rsid w:val="009470F9"/>
    <w:rsid w:val="00947A99"/>
    <w:rsid w:val="009517CC"/>
    <w:rsid w:val="00954B13"/>
    <w:rsid w:val="009615D4"/>
    <w:rsid w:val="00961DEA"/>
    <w:rsid w:val="00962905"/>
    <w:rsid w:val="00966E68"/>
    <w:rsid w:val="00970A20"/>
    <w:rsid w:val="00970C1C"/>
    <w:rsid w:val="0097163D"/>
    <w:rsid w:val="009721F8"/>
    <w:rsid w:val="0097349A"/>
    <w:rsid w:val="00974677"/>
    <w:rsid w:val="00975001"/>
    <w:rsid w:val="00976023"/>
    <w:rsid w:val="00977B21"/>
    <w:rsid w:val="00980461"/>
    <w:rsid w:val="0098382B"/>
    <w:rsid w:val="00984576"/>
    <w:rsid w:val="00984827"/>
    <w:rsid w:val="009864AF"/>
    <w:rsid w:val="009901F4"/>
    <w:rsid w:val="00990D7B"/>
    <w:rsid w:val="0099172E"/>
    <w:rsid w:val="00992027"/>
    <w:rsid w:val="00994AB4"/>
    <w:rsid w:val="009969C3"/>
    <w:rsid w:val="009A2F17"/>
    <w:rsid w:val="009A3C2B"/>
    <w:rsid w:val="009A67A1"/>
    <w:rsid w:val="009B22D1"/>
    <w:rsid w:val="009B312D"/>
    <w:rsid w:val="009C5168"/>
    <w:rsid w:val="009C5F02"/>
    <w:rsid w:val="009C6075"/>
    <w:rsid w:val="009C7749"/>
    <w:rsid w:val="009D1BE4"/>
    <w:rsid w:val="009D24F5"/>
    <w:rsid w:val="009D47F4"/>
    <w:rsid w:val="009D5695"/>
    <w:rsid w:val="009D5764"/>
    <w:rsid w:val="009E19A3"/>
    <w:rsid w:val="009E2BF5"/>
    <w:rsid w:val="009E46B1"/>
    <w:rsid w:val="009E4DC0"/>
    <w:rsid w:val="009E61A8"/>
    <w:rsid w:val="009E6913"/>
    <w:rsid w:val="009F1BEA"/>
    <w:rsid w:val="009F34F8"/>
    <w:rsid w:val="009F36A8"/>
    <w:rsid w:val="009F7385"/>
    <w:rsid w:val="00A017BA"/>
    <w:rsid w:val="00A0545D"/>
    <w:rsid w:val="00A0757A"/>
    <w:rsid w:val="00A106BD"/>
    <w:rsid w:val="00A128B7"/>
    <w:rsid w:val="00A13274"/>
    <w:rsid w:val="00A13664"/>
    <w:rsid w:val="00A21393"/>
    <w:rsid w:val="00A26981"/>
    <w:rsid w:val="00A26B8D"/>
    <w:rsid w:val="00A3265B"/>
    <w:rsid w:val="00A40612"/>
    <w:rsid w:val="00A416AD"/>
    <w:rsid w:val="00A462CF"/>
    <w:rsid w:val="00A470E1"/>
    <w:rsid w:val="00A471AE"/>
    <w:rsid w:val="00A474E1"/>
    <w:rsid w:val="00A47811"/>
    <w:rsid w:val="00A50CD9"/>
    <w:rsid w:val="00A51374"/>
    <w:rsid w:val="00A521D5"/>
    <w:rsid w:val="00A545A2"/>
    <w:rsid w:val="00A5529A"/>
    <w:rsid w:val="00A5703F"/>
    <w:rsid w:val="00A61736"/>
    <w:rsid w:val="00A6462C"/>
    <w:rsid w:val="00A65DCB"/>
    <w:rsid w:val="00A668D5"/>
    <w:rsid w:val="00A70704"/>
    <w:rsid w:val="00A72051"/>
    <w:rsid w:val="00A73473"/>
    <w:rsid w:val="00A74CE6"/>
    <w:rsid w:val="00A75DCB"/>
    <w:rsid w:val="00A77E9D"/>
    <w:rsid w:val="00A8183A"/>
    <w:rsid w:val="00A823BE"/>
    <w:rsid w:val="00A84C57"/>
    <w:rsid w:val="00A86051"/>
    <w:rsid w:val="00A8625F"/>
    <w:rsid w:val="00A863A9"/>
    <w:rsid w:val="00A87AB4"/>
    <w:rsid w:val="00A90151"/>
    <w:rsid w:val="00A90256"/>
    <w:rsid w:val="00A91551"/>
    <w:rsid w:val="00A9190F"/>
    <w:rsid w:val="00A920A5"/>
    <w:rsid w:val="00A9359B"/>
    <w:rsid w:val="00A937E1"/>
    <w:rsid w:val="00A9545C"/>
    <w:rsid w:val="00A95F36"/>
    <w:rsid w:val="00A970A6"/>
    <w:rsid w:val="00AA0AF4"/>
    <w:rsid w:val="00AA163B"/>
    <w:rsid w:val="00AA197F"/>
    <w:rsid w:val="00AA1BE2"/>
    <w:rsid w:val="00AA3569"/>
    <w:rsid w:val="00AA3FAC"/>
    <w:rsid w:val="00AA718E"/>
    <w:rsid w:val="00AB10F4"/>
    <w:rsid w:val="00AB2D17"/>
    <w:rsid w:val="00AB34AD"/>
    <w:rsid w:val="00AB3590"/>
    <w:rsid w:val="00AB46E2"/>
    <w:rsid w:val="00AB488B"/>
    <w:rsid w:val="00AC4F7C"/>
    <w:rsid w:val="00AC587D"/>
    <w:rsid w:val="00AC63AB"/>
    <w:rsid w:val="00AC7122"/>
    <w:rsid w:val="00AC75E6"/>
    <w:rsid w:val="00AD1AA2"/>
    <w:rsid w:val="00AD6A3C"/>
    <w:rsid w:val="00AD7A30"/>
    <w:rsid w:val="00AE05AC"/>
    <w:rsid w:val="00AE42C1"/>
    <w:rsid w:val="00AE528A"/>
    <w:rsid w:val="00AF058F"/>
    <w:rsid w:val="00AF198A"/>
    <w:rsid w:val="00AF1A95"/>
    <w:rsid w:val="00AF28A2"/>
    <w:rsid w:val="00AF3BD9"/>
    <w:rsid w:val="00AF479F"/>
    <w:rsid w:val="00AF5056"/>
    <w:rsid w:val="00B01117"/>
    <w:rsid w:val="00B044BC"/>
    <w:rsid w:val="00B06F35"/>
    <w:rsid w:val="00B10CFF"/>
    <w:rsid w:val="00B11F80"/>
    <w:rsid w:val="00B1207D"/>
    <w:rsid w:val="00B16999"/>
    <w:rsid w:val="00B23258"/>
    <w:rsid w:val="00B23603"/>
    <w:rsid w:val="00B25228"/>
    <w:rsid w:val="00B302FA"/>
    <w:rsid w:val="00B32D6C"/>
    <w:rsid w:val="00B3340B"/>
    <w:rsid w:val="00B33BAA"/>
    <w:rsid w:val="00B34048"/>
    <w:rsid w:val="00B34683"/>
    <w:rsid w:val="00B3749D"/>
    <w:rsid w:val="00B42D7F"/>
    <w:rsid w:val="00B443CC"/>
    <w:rsid w:val="00B45780"/>
    <w:rsid w:val="00B45869"/>
    <w:rsid w:val="00B516DA"/>
    <w:rsid w:val="00B55411"/>
    <w:rsid w:val="00B56C7F"/>
    <w:rsid w:val="00B5741F"/>
    <w:rsid w:val="00B655EE"/>
    <w:rsid w:val="00B65DAA"/>
    <w:rsid w:val="00B66B2F"/>
    <w:rsid w:val="00B6748D"/>
    <w:rsid w:val="00B7195C"/>
    <w:rsid w:val="00B720EC"/>
    <w:rsid w:val="00B74AA8"/>
    <w:rsid w:val="00B74F7F"/>
    <w:rsid w:val="00B75B01"/>
    <w:rsid w:val="00B75B08"/>
    <w:rsid w:val="00B7663C"/>
    <w:rsid w:val="00B77099"/>
    <w:rsid w:val="00B84869"/>
    <w:rsid w:val="00B85941"/>
    <w:rsid w:val="00B86607"/>
    <w:rsid w:val="00B86B5A"/>
    <w:rsid w:val="00B87859"/>
    <w:rsid w:val="00B91D47"/>
    <w:rsid w:val="00B93D97"/>
    <w:rsid w:val="00B952E4"/>
    <w:rsid w:val="00B953E2"/>
    <w:rsid w:val="00BA09C9"/>
    <w:rsid w:val="00BA0A8F"/>
    <w:rsid w:val="00BA0B8C"/>
    <w:rsid w:val="00BA3CB8"/>
    <w:rsid w:val="00BA7450"/>
    <w:rsid w:val="00BA7623"/>
    <w:rsid w:val="00BA7973"/>
    <w:rsid w:val="00BB0DC8"/>
    <w:rsid w:val="00BB1BE4"/>
    <w:rsid w:val="00BB2409"/>
    <w:rsid w:val="00BB3951"/>
    <w:rsid w:val="00BB6798"/>
    <w:rsid w:val="00BB6A34"/>
    <w:rsid w:val="00BB6F28"/>
    <w:rsid w:val="00BB7119"/>
    <w:rsid w:val="00BB7D11"/>
    <w:rsid w:val="00BC0345"/>
    <w:rsid w:val="00BC0DCE"/>
    <w:rsid w:val="00BC127C"/>
    <w:rsid w:val="00BC18E6"/>
    <w:rsid w:val="00BC219C"/>
    <w:rsid w:val="00BC2851"/>
    <w:rsid w:val="00BC6606"/>
    <w:rsid w:val="00BC7068"/>
    <w:rsid w:val="00BC79D9"/>
    <w:rsid w:val="00BC7C1B"/>
    <w:rsid w:val="00BC7C47"/>
    <w:rsid w:val="00BD190D"/>
    <w:rsid w:val="00BD47C6"/>
    <w:rsid w:val="00BD4B33"/>
    <w:rsid w:val="00BD63CE"/>
    <w:rsid w:val="00BE1528"/>
    <w:rsid w:val="00BE4EE9"/>
    <w:rsid w:val="00BF0EF2"/>
    <w:rsid w:val="00BF11A0"/>
    <w:rsid w:val="00BF68C8"/>
    <w:rsid w:val="00C016A3"/>
    <w:rsid w:val="00C01E68"/>
    <w:rsid w:val="00C03519"/>
    <w:rsid w:val="00C036F6"/>
    <w:rsid w:val="00C047D1"/>
    <w:rsid w:val="00C0752E"/>
    <w:rsid w:val="00C11924"/>
    <w:rsid w:val="00C12765"/>
    <w:rsid w:val="00C1344C"/>
    <w:rsid w:val="00C14016"/>
    <w:rsid w:val="00C14E00"/>
    <w:rsid w:val="00C17B40"/>
    <w:rsid w:val="00C221A0"/>
    <w:rsid w:val="00C238D1"/>
    <w:rsid w:val="00C25C46"/>
    <w:rsid w:val="00C26E28"/>
    <w:rsid w:val="00C318F4"/>
    <w:rsid w:val="00C31E23"/>
    <w:rsid w:val="00C324BF"/>
    <w:rsid w:val="00C326F9"/>
    <w:rsid w:val="00C32C52"/>
    <w:rsid w:val="00C365A1"/>
    <w:rsid w:val="00C36FFC"/>
    <w:rsid w:val="00C37A29"/>
    <w:rsid w:val="00C40EAF"/>
    <w:rsid w:val="00C43243"/>
    <w:rsid w:val="00C439D4"/>
    <w:rsid w:val="00C45D54"/>
    <w:rsid w:val="00C50340"/>
    <w:rsid w:val="00C50CE8"/>
    <w:rsid w:val="00C572A7"/>
    <w:rsid w:val="00C60FBD"/>
    <w:rsid w:val="00C62491"/>
    <w:rsid w:val="00C64BCA"/>
    <w:rsid w:val="00C66398"/>
    <w:rsid w:val="00C666EC"/>
    <w:rsid w:val="00C670DB"/>
    <w:rsid w:val="00C70D80"/>
    <w:rsid w:val="00C70EFC"/>
    <w:rsid w:val="00C71423"/>
    <w:rsid w:val="00C71688"/>
    <w:rsid w:val="00C73592"/>
    <w:rsid w:val="00C74CC3"/>
    <w:rsid w:val="00C75C56"/>
    <w:rsid w:val="00C82E74"/>
    <w:rsid w:val="00C873F7"/>
    <w:rsid w:val="00C91FBC"/>
    <w:rsid w:val="00C924B4"/>
    <w:rsid w:val="00C9277B"/>
    <w:rsid w:val="00C932F3"/>
    <w:rsid w:val="00C971A1"/>
    <w:rsid w:val="00CA0466"/>
    <w:rsid w:val="00CA0B3F"/>
    <w:rsid w:val="00CA68B8"/>
    <w:rsid w:val="00CB70EC"/>
    <w:rsid w:val="00CC03AD"/>
    <w:rsid w:val="00CC28B7"/>
    <w:rsid w:val="00CC32BE"/>
    <w:rsid w:val="00CC3DE4"/>
    <w:rsid w:val="00CC459B"/>
    <w:rsid w:val="00CC5F5B"/>
    <w:rsid w:val="00CC6A5B"/>
    <w:rsid w:val="00CD0101"/>
    <w:rsid w:val="00CD0ECA"/>
    <w:rsid w:val="00CD1507"/>
    <w:rsid w:val="00CD1D4D"/>
    <w:rsid w:val="00CD3F31"/>
    <w:rsid w:val="00CD61EB"/>
    <w:rsid w:val="00CD7F44"/>
    <w:rsid w:val="00CE26F2"/>
    <w:rsid w:val="00CE43AF"/>
    <w:rsid w:val="00CE4D3A"/>
    <w:rsid w:val="00CE64FD"/>
    <w:rsid w:val="00CE7236"/>
    <w:rsid w:val="00CE7260"/>
    <w:rsid w:val="00CF02F0"/>
    <w:rsid w:val="00CF4024"/>
    <w:rsid w:val="00CF4BC6"/>
    <w:rsid w:val="00CF5FF3"/>
    <w:rsid w:val="00CF7B3F"/>
    <w:rsid w:val="00CF7F06"/>
    <w:rsid w:val="00D001B2"/>
    <w:rsid w:val="00D0158B"/>
    <w:rsid w:val="00D01615"/>
    <w:rsid w:val="00D02433"/>
    <w:rsid w:val="00D030F1"/>
    <w:rsid w:val="00D0352E"/>
    <w:rsid w:val="00D06DF6"/>
    <w:rsid w:val="00D101BC"/>
    <w:rsid w:val="00D10F14"/>
    <w:rsid w:val="00D11A89"/>
    <w:rsid w:val="00D127E5"/>
    <w:rsid w:val="00D12DC4"/>
    <w:rsid w:val="00D12E1A"/>
    <w:rsid w:val="00D14CB2"/>
    <w:rsid w:val="00D14FC3"/>
    <w:rsid w:val="00D15113"/>
    <w:rsid w:val="00D15B7C"/>
    <w:rsid w:val="00D15B7D"/>
    <w:rsid w:val="00D1694D"/>
    <w:rsid w:val="00D16F74"/>
    <w:rsid w:val="00D21111"/>
    <w:rsid w:val="00D21E4A"/>
    <w:rsid w:val="00D23225"/>
    <w:rsid w:val="00D23E87"/>
    <w:rsid w:val="00D26C51"/>
    <w:rsid w:val="00D30791"/>
    <w:rsid w:val="00D31E3E"/>
    <w:rsid w:val="00D321DB"/>
    <w:rsid w:val="00D32F7B"/>
    <w:rsid w:val="00D33021"/>
    <w:rsid w:val="00D330CA"/>
    <w:rsid w:val="00D3316D"/>
    <w:rsid w:val="00D36383"/>
    <w:rsid w:val="00D37882"/>
    <w:rsid w:val="00D40087"/>
    <w:rsid w:val="00D410A7"/>
    <w:rsid w:val="00D41DDC"/>
    <w:rsid w:val="00D45B09"/>
    <w:rsid w:val="00D46A29"/>
    <w:rsid w:val="00D46F59"/>
    <w:rsid w:val="00D46FD9"/>
    <w:rsid w:val="00D4759E"/>
    <w:rsid w:val="00D47A55"/>
    <w:rsid w:val="00D502FF"/>
    <w:rsid w:val="00D5064A"/>
    <w:rsid w:val="00D521AF"/>
    <w:rsid w:val="00D53D99"/>
    <w:rsid w:val="00D562D8"/>
    <w:rsid w:val="00D6001F"/>
    <w:rsid w:val="00D60649"/>
    <w:rsid w:val="00D60EF0"/>
    <w:rsid w:val="00D61E88"/>
    <w:rsid w:val="00D63D2A"/>
    <w:rsid w:val="00D65686"/>
    <w:rsid w:val="00D6650A"/>
    <w:rsid w:val="00D67F27"/>
    <w:rsid w:val="00D7073F"/>
    <w:rsid w:val="00D729A7"/>
    <w:rsid w:val="00D7556E"/>
    <w:rsid w:val="00D80FED"/>
    <w:rsid w:val="00D8128A"/>
    <w:rsid w:val="00D8211F"/>
    <w:rsid w:val="00D83923"/>
    <w:rsid w:val="00D83D13"/>
    <w:rsid w:val="00D85A29"/>
    <w:rsid w:val="00D866E2"/>
    <w:rsid w:val="00D8754C"/>
    <w:rsid w:val="00D90B7C"/>
    <w:rsid w:val="00D93EFD"/>
    <w:rsid w:val="00D9419D"/>
    <w:rsid w:val="00D96F65"/>
    <w:rsid w:val="00DA0689"/>
    <w:rsid w:val="00DA136C"/>
    <w:rsid w:val="00DA3017"/>
    <w:rsid w:val="00DA3C0C"/>
    <w:rsid w:val="00DA43CF"/>
    <w:rsid w:val="00DA5484"/>
    <w:rsid w:val="00DA58AA"/>
    <w:rsid w:val="00DA7B63"/>
    <w:rsid w:val="00DB1743"/>
    <w:rsid w:val="00DB2652"/>
    <w:rsid w:val="00DB6090"/>
    <w:rsid w:val="00DB7E8D"/>
    <w:rsid w:val="00DC1012"/>
    <w:rsid w:val="00DC18D8"/>
    <w:rsid w:val="00DC1B37"/>
    <w:rsid w:val="00DC25B8"/>
    <w:rsid w:val="00DC5DFF"/>
    <w:rsid w:val="00DC5E27"/>
    <w:rsid w:val="00DC74CB"/>
    <w:rsid w:val="00DD134A"/>
    <w:rsid w:val="00DD325C"/>
    <w:rsid w:val="00DD6473"/>
    <w:rsid w:val="00DE1487"/>
    <w:rsid w:val="00DE40C3"/>
    <w:rsid w:val="00DF051B"/>
    <w:rsid w:val="00DF1ED8"/>
    <w:rsid w:val="00DF23A4"/>
    <w:rsid w:val="00DF32FD"/>
    <w:rsid w:val="00DF4E3E"/>
    <w:rsid w:val="00DF57D9"/>
    <w:rsid w:val="00DF589D"/>
    <w:rsid w:val="00DF5DA4"/>
    <w:rsid w:val="00DF60B9"/>
    <w:rsid w:val="00DF63B7"/>
    <w:rsid w:val="00DF6A60"/>
    <w:rsid w:val="00DF7137"/>
    <w:rsid w:val="00DF7C8F"/>
    <w:rsid w:val="00E010CD"/>
    <w:rsid w:val="00E01DA9"/>
    <w:rsid w:val="00E03B8F"/>
    <w:rsid w:val="00E03CB6"/>
    <w:rsid w:val="00E0453D"/>
    <w:rsid w:val="00E056F2"/>
    <w:rsid w:val="00E05FA6"/>
    <w:rsid w:val="00E06203"/>
    <w:rsid w:val="00E06310"/>
    <w:rsid w:val="00E10523"/>
    <w:rsid w:val="00E12284"/>
    <w:rsid w:val="00E122AD"/>
    <w:rsid w:val="00E15A2F"/>
    <w:rsid w:val="00E16248"/>
    <w:rsid w:val="00E16CE6"/>
    <w:rsid w:val="00E22820"/>
    <w:rsid w:val="00E2417A"/>
    <w:rsid w:val="00E24C45"/>
    <w:rsid w:val="00E24CDA"/>
    <w:rsid w:val="00E25474"/>
    <w:rsid w:val="00E32EE5"/>
    <w:rsid w:val="00E32F93"/>
    <w:rsid w:val="00E3465E"/>
    <w:rsid w:val="00E348F8"/>
    <w:rsid w:val="00E379F7"/>
    <w:rsid w:val="00E46F03"/>
    <w:rsid w:val="00E47107"/>
    <w:rsid w:val="00E50206"/>
    <w:rsid w:val="00E54ACD"/>
    <w:rsid w:val="00E54B2B"/>
    <w:rsid w:val="00E573E9"/>
    <w:rsid w:val="00E60182"/>
    <w:rsid w:val="00E61632"/>
    <w:rsid w:val="00E642E7"/>
    <w:rsid w:val="00E66FDD"/>
    <w:rsid w:val="00E70DD7"/>
    <w:rsid w:val="00E72EE0"/>
    <w:rsid w:val="00E73153"/>
    <w:rsid w:val="00E741FB"/>
    <w:rsid w:val="00E7478D"/>
    <w:rsid w:val="00E76DCF"/>
    <w:rsid w:val="00E8174C"/>
    <w:rsid w:val="00E82B9A"/>
    <w:rsid w:val="00E8349C"/>
    <w:rsid w:val="00E844D1"/>
    <w:rsid w:val="00E871FD"/>
    <w:rsid w:val="00E91A7E"/>
    <w:rsid w:val="00E91FED"/>
    <w:rsid w:val="00E965C9"/>
    <w:rsid w:val="00E96626"/>
    <w:rsid w:val="00E97AAF"/>
    <w:rsid w:val="00EA1943"/>
    <w:rsid w:val="00EA2D6D"/>
    <w:rsid w:val="00EA5C2D"/>
    <w:rsid w:val="00EA66D1"/>
    <w:rsid w:val="00EB11EC"/>
    <w:rsid w:val="00EB1CBF"/>
    <w:rsid w:val="00EB1F7A"/>
    <w:rsid w:val="00EB3D67"/>
    <w:rsid w:val="00EB3F9D"/>
    <w:rsid w:val="00EB5DC6"/>
    <w:rsid w:val="00EC1808"/>
    <w:rsid w:val="00EC33C1"/>
    <w:rsid w:val="00EC40B8"/>
    <w:rsid w:val="00ED1864"/>
    <w:rsid w:val="00ED33D7"/>
    <w:rsid w:val="00ED4983"/>
    <w:rsid w:val="00EE0CA7"/>
    <w:rsid w:val="00EE5F5E"/>
    <w:rsid w:val="00EE6E9C"/>
    <w:rsid w:val="00EE6F14"/>
    <w:rsid w:val="00EF0901"/>
    <w:rsid w:val="00EF18BF"/>
    <w:rsid w:val="00EF2AED"/>
    <w:rsid w:val="00EF3F23"/>
    <w:rsid w:val="00EF6C20"/>
    <w:rsid w:val="00F04708"/>
    <w:rsid w:val="00F04EA7"/>
    <w:rsid w:val="00F051FC"/>
    <w:rsid w:val="00F10DEA"/>
    <w:rsid w:val="00F13CDD"/>
    <w:rsid w:val="00F147E0"/>
    <w:rsid w:val="00F162D4"/>
    <w:rsid w:val="00F17210"/>
    <w:rsid w:val="00F173EF"/>
    <w:rsid w:val="00F17604"/>
    <w:rsid w:val="00F2058B"/>
    <w:rsid w:val="00F22AB1"/>
    <w:rsid w:val="00F23600"/>
    <w:rsid w:val="00F2402C"/>
    <w:rsid w:val="00F24CCC"/>
    <w:rsid w:val="00F25AE6"/>
    <w:rsid w:val="00F26011"/>
    <w:rsid w:val="00F3209B"/>
    <w:rsid w:val="00F3214C"/>
    <w:rsid w:val="00F32CCB"/>
    <w:rsid w:val="00F33F8D"/>
    <w:rsid w:val="00F37CB6"/>
    <w:rsid w:val="00F37F65"/>
    <w:rsid w:val="00F4010B"/>
    <w:rsid w:val="00F40CEF"/>
    <w:rsid w:val="00F46100"/>
    <w:rsid w:val="00F46E42"/>
    <w:rsid w:val="00F47019"/>
    <w:rsid w:val="00F4702C"/>
    <w:rsid w:val="00F470C8"/>
    <w:rsid w:val="00F505B8"/>
    <w:rsid w:val="00F531BA"/>
    <w:rsid w:val="00F53EFE"/>
    <w:rsid w:val="00F54970"/>
    <w:rsid w:val="00F55591"/>
    <w:rsid w:val="00F55E15"/>
    <w:rsid w:val="00F56254"/>
    <w:rsid w:val="00F575B2"/>
    <w:rsid w:val="00F60AC6"/>
    <w:rsid w:val="00F60BA2"/>
    <w:rsid w:val="00F610A6"/>
    <w:rsid w:val="00F61C07"/>
    <w:rsid w:val="00F634F6"/>
    <w:rsid w:val="00F64D44"/>
    <w:rsid w:val="00F7244B"/>
    <w:rsid w:val="00F7583E"/>
    <w:rsid w:val="00F75B98"/>
    <w:rsid w:val="00F765F9"/>
    <w:rsid w:val="00F77377"/>
    <w:rsid w:val="00F77B4D"/>
    <w:rsid w:val="00F81783"/>
    <w:rsid w:val="00F83C5C"/>
    <w:rsid w:val="00F83FC1"/>
    <w:rsid w:val="00F87B07"/>
    <w:rsid w:val="00F904FF"/>
    <w:rsid w:val="00F94880"/>
    <w:rsid w:val="00F95F3D"/>
    <w:rsid w:val="00FA33D2"/>
    <w:rsid w:val="00FA593F"/>
    <w:rsid w:val="00FA7460"/>
    <w:rsid w:val="00FB016C"/>
    <w:rsid w:val="00FB299B"/>
    <w:rsid w:val="00FB42D2"/>
    <w:rsid w:val="00FB4E93"/>
    <w:rsid w:val="00FB62AD"/>
    <w:rsid w:val="00FB76D4"/>
    <w:rsid w:val="00FC2D8B"/>
    <w:rsid w:val="00FC3062"/>
    <w:rsid w:val="00FC3761"/>
    <w:rsid w:val="00FC6007"/>
    <w:rsid w:val="00FC650A"/>
    <w:rsid w:val="00FD1FB7"/>
    <w:rsid w:val="00FD3009"/>
    <w:rsid w:val="00FD3306"/>
    <w:rsid w:val="00FD36B1"/>
    <w:rsid w:val="00FD3FE4"/>
    <w:rsid w:val="00FD470C"/>
    <w:rsid w:val="00FD4E10"/>
    <w:rsid w:val="00FE21B7"/>
    <w:rsid w:val="00FE3913"/>
    <w:rsid w:val="00FE59FD"/>
    <w:rsid w:val="00FE7AE3"/>
    <w:rsid w:val="00FE7F98"/>
    <w:rsid w:val="00FF2CCE"/>
    <w:rsid w:val="00FF2E29"/>
    <w:rsid w:val="00FF2E7F"/>
    <w:rsid w:val="00FF306D"/>
    <w:rsid w:val="00FF31E8"/>
    <w:rsid w:val="03813E0D"/>
    <w:rsid w:val="0F3A2C97"/>
    <w:rsid w:val="0FC41A75"/>
    <w:rsid w:val="1725DA70"/>
    <w:rsid w:val="2C595E7A"/>
    <w:rsid w:val="2CE1EA97"/>
    <w:rsid w:val="3C5161B9"/>
    <w:rsid w:val="46E365AA"/>
    <w:rsid w:val="4BE94A74"/>
    <w:rsid w:val="5F3A1DD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C6EB0"/>
  <w15:chartTrackingRefBased/>
  <w15:docId w15:val="{29DDB69F-1397-49AA-84C1-101D4E8DC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4"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1" w:unhideWhenUsed="1" w:qFormat="1"/>
    <w:lsdException w:name="List Bullet 3" w:semiHidden="1" w:uiPriority="1" w:unhideWhenUsed="1" w:qFormat="1"/>
    <w:lsdException w:name="List Bullet 4" w:semiHidden="1" w:uiPriority="13"/>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5351E3"/>
    <w:pPr>
      <w:spacing w:before="120" w:after="120" w:line="280" w:lineRule="atLeast"/>
    </w:pPr>
    <w:rPr>
      <w:sz w:val="20"/>
      <w:szCs w:val="20"/>
    </w:rPr>
  </w:style>
  <w:style w:type="paragraph" w:styleId="Heading1">
    <w:name w:val="heading 1"/>
    <w:basedOn w:val="Normal"/>
    <w:next w:val="BodyText"/>
    <w:link w:val="Heading1Char"/>
    <w:uiPriority w:val="9"/>
    <w:qFormat/>
    <w:rsid w:val="005351E3"/>
    <w:pPr>
      <w:numPr>
        <w:numId w:val="28"/>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5351E3"/>
    <w:pPr>
      <w:keepNext/>
      <w:keepLines/>
      <w:numPr>
        <w:ilvl w:val="2"/>
        <w:numId w:val="28"/>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5351E3"/>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5351E3"/>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5351E3"/>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5351E3"/>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5351E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5351E3"/>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5351E3"/>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51E3"/>
    <w:rPr>
      <w:color w:val="808080"/>
    </w:rPr>
  </w:style>
  <w:style w:type="paragraph" w:styleId="Date">
    <w:name w:val="Date"/>
    <w:basedOn w:val="Normal"/>
    <w:next w:val="Normal"/>
    <w:link w:val="DateChar"/>
    <w:uiPriority w:val="99"/>
    <w:unhideWhenUsed/>
    <w:rsid w:val="005351E3"/>
    <w:pPr>
      <w:spacing w:after="360" w:line="293" w:lineRule="auto"/>
    </w:pPr>
  </w:style>
  <w:style w:type="character" w:customStyle="1" w:styleId="DateChar">
    <w:name w:val="Date Char"/>
    <w:basedOn w:val="DefaultParagraphFont"/>
    <w:link w:val="Date"/>
    <w:uiPriority w:val="99"/>
    <w:rsid w:val="005351E3"/>
    <w:rPr>
      <w:sz w:val="20"/>
      <w:szCs w:val="20"/>
    </w:rPr>
  </w:style>
  <w:style w:type="paragraph" w:styleId="NoSpacing">
    <w:name w:val="No Spacing"/>
    <w:basedOn w:val="Normal"/>
    <w:link w:val="NoSpacingChar"/>
    <w:uiPriority w:val="10"/>
    <w:qFormat/>
    <w:rsid w:val="005351E3"/>
    <w:pPr>
      <w:spacing w:before="0" w:after="0"/>
    </w:pPr>
  </w:style>
  <w:style w:type="paragraph" w:styleId="ListBullet">
    <w:name w:val="List Bullet"/>
    <w:basedOn w:val="Normal"/>
    <w:link w:val="ListBulletChar"/>
    <w:uiPriority w:val="1"/>
    <w:qFormat/>
    <w:rsid w:val="005351E3"/>
    <w:pPr>
      <w:numPr>
        <w:numId w:val="30"/>
      </w:numPr>
      <w:contextualSpacing/>
    </w:pPr>
  </w:style>
  <w:style w:type="paragraph" w:styleId="ListBullet2">
    <w:name w:val="List Bullet 2"/>
    <w:basedOn w:val="Normal"/>
    <w:uiPriority w:val="1"/>
    <w:qFormat/>
    <w:rsid w:val="005351E3"/>
    <w:pPr>
      <w:numPr>
        <w:ilvl w:val="1"/>
        <w:numId w:val="30"/>
      </w:numPr>
      <w:contextualSpacing/>
    </w:pPr>
  </w:style>
  <w:style w:type="paragraph" w:styleId="ListNumber">
    <w:name w:val="List Number"/>
    <w:basedOn w:val="Normal"/>
    <w:uiPriority w:val="2"/>
    <w:qFormat/>
    <w:rsid w:val="005351E3"/>
    <w:pPr>
      <w:numPr>
        <w:numId w:val="29"/>
      </w:numPr>
      <w:spacing w:before="60"/>
      <w:contextualSpacing/>
    </w:pPr>
  </w:style>
  <w:style w:type="numbering" w:customStyle="1" w:styleId="Bullets">
    <w:name w:val="Bullets"/>
    <w:uiPriority w:val="99"/>
    <w:rsid w:val="005351E3"/>
    <w:pPr>
      <w:numPr>
        <w:numId w:val="20"/>
      </w:numPr>
    </w:pPr>
  </w:style>
  <w:style w:type="character" w:customStyle="1" w:styleId="Heading1Char">
    <w:name w:val="Heading 1 Char"/>
    <w:basedOn w:val="DefaultParagraphFont"/>
    <w:link w:val="Heading1"/>
    <w:uiPriority w:val="9"/>
    <w:rsid w:val="005351E3"/>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5351E3"/>
    <w:pPr>
      <w:numPr>
        <w:ilvl w:val="1"/>
        <w:numId w:val="29"/>
      </w:numPr>
      <w:spacing w:before="60"/>
      <w:contextualSpacing/>
    </w:pPr>
  </w:style>
  <w:style w:type="character" w:customStyle="1" w:styleId="Heading2Char">
    <w:name w:val="Heading 2 Char"/>
    <w:basedOn w:val="DefaultParagraphFont"/>
    <w:link w:val="Heading2"/>
    <w:uiPriority w:val="9"/>
    <w:rsid w:val="005351E3"/>
    <w:rPr>
      <w:rFonts w:asciiTheme="majorHAnsi" w:eastAsiaTheme="majorEastAsia" w:hAnsiTheme="majorHAnsi" w:cstheme="majorBidi"/>
      <w:sz w:val="30"/>
      <w:szCs w:val="60"/>
    </w:rPr>
  </w:style>
  <w:style w:type="paragraph" w:styleId="ListParagraph">
    <w:name w:val="List Paragraph"/>
    <w:basedOn w:val="Normal"/>
    <w:uiPriority w:val="34"/>
    <w:rsid w:val="005351E3"/>
    <w:pPr>
      <w:spacing w:line="293" w:lineRule="auto"/>
      <w:ind w:left="284"/>
      <w:contextualSpacing/>
    </w:pPr>
  </w:style>
  <w:style w:type="paragraph" w:styleId="Header">
    <w:name w:val="header"/>
    <w:basedOn w:val="Normal"/>
    <w:link w:val="HeaderChar"/>
    <w:uiPriority w:val="99"/>
    <w:unhideWhenUsed/>
    <w:rsid w:val="005351E3"/>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5351E3"/>
    <w:rPr>
      <w:sz w:val="16"/>
      <w:szCs w:val="20"/>
    </w:rPr>
  </w:style>
  <w:style w:type="paragraph" w:styleId="Footer">
    <w:name w:val="footer"/>
    <w:basedOn w:val="Normal"/>
    <w:link w:val="FooterChar"/>
    <w:uiPriority w:val="11"/>
    <w:rsid w:val="005351E3"/>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5351E3"/>
    <w:rPr>
      <w:rFonts w:asciiTheme="majorHAnsi" w:hAnsiTheme="majorHAnsi"/>
      <w:sz w:val="17"/>
    </w:rPr>
  </w:style>
  <w:style w:type="numbering" w:customStyle="1" w:styleId="Numbering">
    <w:name w:val="Numbering"/>
    <w:uiPriority w:val="99"/>
    <w:rsid w:val="005351E3"/>
    <w:pPr>
      <w:numPr>
        <w:numId w:val="29"/>
      </w:numPr>
    </w:pPr>
  </w:style>
  <w:style w:type="paragraph" w:styleId="ListBullet3">
    <w:name w:val="List Bullet 3"/>
    <w:basedOn w:val="Normal"/>
    <w:uiPriority w:val="1"/>
    <w:qFormat/>
    <w:rsid w:val="005351E3"/>
    <w:pPr>
      <w:numPr>
        <w:ilvl w:val="2"/>
        <w:numId w:val="30"/>
      </w:numPr>
      <w:contextualSpacing/>
    </w:pPr>
  </w:style>
  <w:style w:type="paragraph" w:styleId="ListContinue2">
    <w:name w:val="List Continue 2"/>
    <w:basedOn w:val="Normal"/>
    <w:uiPriority w:val="3"/>
    <w:unhideWhenUsed/>
    <w:qFormat/>
    <w:rsid w:val="005351E3"/>
    <w:pPr>
      <w:spacing w:before="60"/>
      <w:ind w:left="454"/>
    </w:pPr>
  </w:style>
  <w:style w:type="paragraph" w:styleId="ListNumber3">
    <w:name w:val="List Number 3"/>
    <w:basedOn w:val="Normal"/>
    <w:uiPriority w:val="13"/>
    <w:qFormat/>
    <w:rsid w:val="005351E3"/>
    <w:pPr>
      <w:numPr>
        <w:ilvl w:val="2"/>
        <w:numId w:val="29"/>
      </w:numPr>
      <w:spacing w:before="60"/>
      <w:contextualSpacing/>
    </w:pPr>
  </w:style>
  <w:style w:type="paragraph" w:styleId="ListNumber4">
    <w:name w:val="List Number 4"/>
    <w:basedOn w:val="Normal"/>
    <w:uiPriority w:val="13"/>
    <w:semiHidden/>
    <w:qFormat/>
    <w:rsid w:val="005351E3"/>
    <w:pPr>
      <w:numPr>
        <w:ilvl w:val="3"/>
        <w:numId w:val="29"/>
      </w:numPr>
      <w:spacing w:after="200" w:line="293" w:lineRule="auto"/>
      <w:contextualSpacing/>
    </w:pPr>
  </w:style>
  <w:style w:type="paragraph" w:styleId="ListNumber5">
    <w:name w:val="List Number 5"/>
    <w:basedOn w:val="Normal"/>
    <w:uiPriority w:val="13"/>
    <w:semiHidden/>
    <w:rsid w:val="005351E3"/>
    <w:pPr>
      <w:numPr>
        <w:ilvl w:val="4"/>
        <w:numId w:val="29"/>
      </w:numPr>
      <w:spacing w:after="200" w:line="293" w:lineRule="auto"/>
      <w:contextualSpacing/>
    </w:pPr>
  </w:style>
  <w:style w:type="paragraph" w:styleId="ListContinue">
    <w:name w:val="List Continue"/>
    <w:basedOn w:val="Normal"/>
    <w:uiPriority w:val="3"/>
    <w:unhideWhenUsed/>
    <w:qFormat/>
    <w:rsid w:val="005351E3"/>
    <w:pPr>
      <w:spacing w:before="60"/>
      <w:ind w:left="227"/>
    </w:pPr>
  </w:style>
  <w:style w:type="paragraph" w:styleId="ListContinue3">
    <w:name w:val="List Continue 3"/>
    <w:basedOn w:val="Normal"/>
    <w:uiPriority w:val="3"/>
    <w:unhideWhenUsed/>
    <w:qFormat/>
    <w:rsid w:val="005351E3"/>
    <w:pPr>
      <w:spacing w:before="60"/>
      <w:ind w:left="907"/>
    </w:pPr>
  </w:style>
  <w:style w:type="paragraph" w:styleId="ListContinue4">
    <w:name w:val="List Continue 4"/>
    <w:basedOn w:val="Normal"/>
    <w:uiPriority w:val="3"/>
    <w:unhideWhenUsed/>
    <w:qFormat/>
    <w:rsid w:val="005351E3"/>
    <w:pPr>
      <w:spacing w:line="293" w:lineRule="auto"/>
      <w:ind w:left="907"/>
      <w:contextualSpacing/>
    </w:pPr>
  </w:style>
  <w:style w:type="character" w:customStyle="1" w:styleId="Heading3Char">
    <w:name w:val="Heading 3 Char"/>
    <w:basedOn w:val="DefaultParagraphFont"/>
    <w:link w:val="Heading3"/>
    <w:uiPriority w:val="9"/>
    <w:rsid w:val="005351E3"/>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5351E3"/>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5351E3"/>
    <w:rPr>
      <w:rFonts w:eastAsiaTheme="majorEastAsia" w:cstheme="majorBidi"/>
      <w:b/>
      <w:color w:val="265A9A" w:themeColor="background2"/>
      <w:szCs w:val="29"/>
    </w:rPr>
  </w:style>
  <w:style w:type="numbering" w:customStyle="1" w:styleId="ListHeadings">
    <w:name w:val="List Headings"/>
    <w:uiPriority w:val="99"/>
    <w:rsid w:val="005351E3"/>
    <w:pPr>
      <w:numPr>
        <w:numId w:val="27"/>
      </w:numPr>
    </w:pPr>
  </w:style>
  <w:style w:type="paragraph" w:styleId="Title">
    <w:name w:val="Title"/>
    <w:basedOn w:val="Heading1"/>
    <w:next w:val="Normal"/>
    <w:link w:val="TitleChar"/>
    <w:uiPriority w:val="39"/>
    <w:rsid w:val="005351E3"/>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5351E3"/>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5351E3"/>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5351E3"/>
    <w:rPr>
      <w:b/>
    </w:rPr>
  </w:style>
  <w:style w:type="character" w:customStyle="1" w:styleId="Pull-outQuoteChar">
    <w:name w:val="Pull-out Quote Char"/>
    <w:basedOn w:val="DefaultParagraphFont"/>
    <w:link w:val="Pull-outQuote"/>
    <w:uiPriority w:val="99"/>
    <w:semiHidden/>
    <w:rsid w:val="005351E3"/>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5351E3"/>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5351E3"/>
  </w:style>
  <w:style w:type="paragraph" w:customStyle="1" w:styleId="NumberedHeading2">
    <w:name w:val="Numbered Heading 2"/>
    <w:basedOn w:val="Heading2"/>
    <w:next w:val="Normal"/>
    <w:link w:val="NumberedHeading2Char"/>
    <w:uiPriority w:val="9"/>
    <w:semiHidden/>
    <w:rsid w:val="005351E3"/>
  </w:style>
  <w:style w:type="character" w:customStyle="1" w:styleId="NumberedHeading1Char">
    <w:name w:val="Numbered Heading 1 Char"/>
    <w:basedOn w:val="Heading1Char"/>
    <w:link w:val="NumberedHeading1"/>
    <w:uiPriority w:val="9"/>
    <w:semiHidden/>
    <w:rsid w:val="005351E3"/>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5351E3"/>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5351E3"/>
    <w:pPr>
      <w:ind w:left="1134"/>
      <w:contextualSpacing/>
    </w:pPr>
  </w:style>
  <w:style w:type="table" w:styleId="TableGrid">
    <w:name w:val="Table Grid"/>
    <w:basedOn w:val="TableNormal"/>
    <w:uiPriority w:val="39"/>
    <w:rsid w:val="00535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5351E3"/>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5351E3"/>
    <w:pPr>
      <w:numPr>
        <w:numId w:val="24"/>
      </w:numPr>
      <w:spacing w:before="60"/>
    </w:pPr>
  </w:style>
  <w:style w:type="paragraph" w:styleId="List2">
    <w:name w:val="List 2"/>
    <w:basedOn w:val="Normal"/>
    <w:uiPriority w:val="99"/>
    <w:semiHidden/>
    <w:qFormat/>
    <w:rsid w:val="005351E3"/>
    <w:pPr>
      <w:numPr>
        <w:ilvl w:val="1"/>
        <w:numId w:val="24"/>
      </w:numPr>
      <w:spacing w:before="60"/>
    </w:pPr>
  </w:style>
  <w:style w:type="numbering" w:customStyle="1" w:styleId="LetteredList">
    <w:name w:val="Lettered List"/>
    <w:uiPriority w:val="99"/>
    <w:rsid w:val="005351E3"/>
    <w:pPr>
      <w:numPr>
        <w:numId w:val="23"/>
      </w:numPr>
    </w:pPr>
  </w:style>
  <w:style w:type="paragraph" w:styleId="Subtitle">
    <w:name w:val="Subtitle"/>
    <w:basedOn w:val="Normal"/>
    <w:next w:val="Normal"/>
    <w:link w:val="SubtitleChar"/>
    <w:uiPriority w:val="39"/>
    <w:qFormat/>
    <w:rsid w:val="005351E3"/>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5351E3"/>
    <w:rPr>
      <w:rFonts w:eastAsiaTheme="minorEastAsia"/>
      <w:color w:val="FFFFFF" w:themeColor="background1"/>
      <w:sz w:val="52"/>
      <w:szCs w:val="20"/>
    </w:rPr>
  </w:style>
  <w:style w:type="character" w:styleId="Strong">
    <w:name w:val="Strong"/>
    <w:basedOn w:val="DefaultParagraphFont"/>
    <w:uiPriority w:val="22"/>
    <w:qFormat/>
    <w:rsid w:val="005351E3"/>
    <w:rPr>
      <w:rFonts w:asciiTheme="minorHAnsi" w:hAnsiTheme="minorHAnsi"/>
      <w:b/>
      <w:bCs/>
    </w:rPr>
  </w:style>
  <w:style w:type="paragraph" w:customStyle="1" w:styleId="Header-Keyline">
    <w:name w:val="Header - Keyline"/>
    <w:basedOn w:val="Header"/>
    <w:link w:val="Header-KeylineChar"/>
    <w:uiPriority w:val="99"/>
    <w:rsid w:val="005351E3"/>
    <w:pPr>
      <w:pBdr>
        <w:bottom w:val="single" w:sz="4" w:space="31" w:color="66BCDB" w:themeColor="text2"/>
      </w:pBdr>
      <w:spacing w:after="600"/>
    </w:pPr>
  </w:style>
  <w:style w:type="character" w:customStyle="1" w:styleId="Heading6Char">
    <w:name w:val="Heading 6 Char"/>
    <w:basedOn w:val="DefaultParagraphFont"/>
    <w:link w:val="Heading6"/>
    <w:uiPriority w:val="9"/>
    <w:rsid w:val="005351E3"/>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5351E3"/>
    <w:rPr>
      <w:sz w:val="16"/>
      <w:szCs w:val="20"/>
    </w:rPr>
  </w:style>
  <w:style w:type="character" w:customStyle="1" w:styleId="Heading7Char">
    <w:name w:val="Heading 7 Char"/>
    <w:basedOn w:val="DefaultParagraphFont"/>
    <w:link w:val="Heading7"/>
    <w:uiPriority w:val="9"/>
    <w:semiHidden/>
    <w:rsid w:val="005351E3"/>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5351E3"/>
    <w:rPr>
      <w:rFonts w:eastAsiaTheme="majorEastAsia" w:cstheme="majorBidi"/>
      <w:b/>
      <w:sz w:val="18"/>
      <w:szCs w:val="21"/>
    </w:rPr>
  </w:style>
  <w:style w:type="table" w:customStyle="1" w:styleId="ProductivityCommissionTable1">
    <w:name w:val="Productivity Commission Table 1"/>
    <w:basedOn w:val="TableNormal"/>
    <w:uiPriority w:val="99"/>
    <w:rsid w:val="005351E3"/>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5351E3"/>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5351E3"/>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5351E3"/>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5351E3"/>
    <w:pPr>
      <w:spacing w:before="60" w:after="60" w:line="293" w:lineRule="auto"/>
      <w:contextualSpacing/>
    </w:pPr>
    <w:rPr>
      <w:sz w:val="18"/>
    </w:rPr>
  </w:style>
  <w:style w:type="paragraph" w:styleId="TOC1">
    <w:name w:val="toc 1"/>
    <w:basedOn w:val="Normal"/>
    <w:next w:val="BodyText"/>
    <w:link w:val="TOC1Char"/>
    <w:autoRedefine/>
    <w:uiPriority w:val="39"/>
    <w:unhideWhenUsed/>
    <w:rsid w:val="005351E3"/>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5351E3"/>
    <w:rPr>
      <w:sz w:val="18"/>
      <w:szCs w:val="20"/>
    </w:rPr>
  </w:style>
  <w:style w:type="character" w:styleId="FootnoteReference">
    <w:name w:val="footnote reference"/>
    <w:basedOn w:val="DefaultParagraphFont"/>
    <w:uiPriority w:val="99"/>
    <w:semiHidden/>
    <w:unhideWhenUsed/>
    <w:rsid w:val="005351E3"/>
    <w:rPr>
      <w:vertAlign w:val="superscript"/>
    </w:rPr>
  </w:style>
  <w:style w:type="character" w:styleId="Hyperlink">
    <w:name w:val="Hyperlink"/>
    <w:basedOn w:val="DefaultParagraphFont"/>
    <w:uiPriority w:val="99"/>
    <w:unhideWhenUsed/>
    <w:rsid w:val="005351E3"/>
    <w:rPr>
      <w:color w:val="000000" w:themeColor="hyperlink"/>
      <w:u w:val="single"/>
    </w:rPr>
  </w:style>
  <w:style w:type="character" w:styleId="HTMLVariable">
    <w:name w:val="HTML Variable"/>
    <w:basedOn w:val="DefaultParagraphFont"/>
    <w:uiPriority w:val="99"/>
    <w:unhideWhenUsed/>
    <w:rsid w:val="005351E3"/>
    <w:rPr>
      <w:i/>
      <w:iCs/>
    </w:rPr>
  </w:style>
  <w:style w:type="paragraph" w:styleId="TOC2">
    <w:name w:val="toc 2"/>
    <w:basedOn w:val="Normal"/>
    <w:next w:val="Normal"/>
    <w:autoRedefine/>
    <w:uiPriority w:val="39"/>
    <w:unhideWhenUsed/>
    <w:rsid w:val="000D451E"/>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5351E3"/>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5351E3"/>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5351E3"/>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5351E3"/>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5351E3"/>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5351E3"/>
    <w:rPr>
      <w:sz w:val="20"/>
      <w:szCs w:val="20"/>
    </w:rPr>
  </w:style>
  <w:style w:type="character" w:customStyle="1" w:styleId="Copyrightpage-Heading2Char">
    <w:name w:val="Copyright page-Heading 2 Char"/>
    <w:basedOn w:val="NoSpacingChar"/>
    <w:link w:val="Copyrightpage-Heading2"/>
    <w:uiPriority w:val="19"/>
    <w:rsid w:val="005351E3"/>
    <w:rPr>
      <w:b/>
      <w:color w:val="FFFFFF" w:themeColor="background1"/>
      <w:sz w:val="16"/>
      <w:szCs w:val="16"/>
    </w:rPr>
  </w:style>
  <w:style w:type="paragraph" w:customStyle="1" w:styleId="Copyrightpage-Heading">
    <w:name w:val="Copyright page-Heading"/>
    <w:basedOn w:val="Subtitle2"/>
    <w:link w:val="Copyrightpage-HeadingChar"/>
    <w:uiPriority w:val="19"/>
    <w:rsid w:val="005351E3"/>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5351E3"/>
    <w:rPr>
      <w:color w:val="FFFFFF" w:themeColor="background1"/>
      <w:sz w:val="16"/>
      <w:szCs w:val="20"/>
    </w:rPr>
  </w:style>
  <w:style w:type="paragraph" w:customStyle="1" w:styleId="Subtitle4">
    <w:name w:val="Subtitle 4"/>
    <w:basedOn w:val="Copyrightpage-Heading"/>
    <w:link w:val="Subtitle4Char"/>
    <w:uiPriority w:val="39"/>
    <w:rsid w:val="005351E3"/>
    <w:pPr>
      <w:spacing w:after="40"/>
    </w:pPr>
    <w:rPr>
      <w:b/>
      <w:sz w:val="16"/>
    </w:rPr>
  </w:style>
  <w:style w:type="character" w:customStyle="1" w:styleId="Copyrightpage-HeadingChar">
    <w:name w:val="Copyright page-Heading Char"/>
    <w:basedOn w:val="Subtitle2Char"/>
    <w:link w:val="Copyrightpage-Heading"/>
    <w:uiPriority w:val="19"/>
    <w:rsid w:val="005351E3"/>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5351E3"/>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5351E3"/>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5351E3"/>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5351E3"/>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5351E3"/>
    <w:pPr>
      <w:spacing w:line="360" w:lineRule="auto"/>
      <w:jc w:val="right"/>
    </w:pPr>
    <w:rPr>
      <w:sz w:val="16"/>
    </w:rPr>
  </w:style>
  <w:style w:type="paragraph" w:customStyle="1" w:styleId="Letterlogo">
    <w:name w:val="Letter logo"/>
    <w:basedOn w:val="LetterRight"/>
    <w:uiPriority w:val="99"/>
    <w:rsid w:val="005351E3"/>
    <w:pPr>
      <w:spacing w:after="320"/>
    </w:pPr>
  </w:style>
  <w:style w:type="character" w:customStyle="1" w:styleId="LetterRightChar">
    <w:name w:val="Letter Right Char"/>
    <w:basedOn w:val="DefaultParagraphFont"/>
    <w:link w:val="LetterRight"/>
    <w:uiPriority w:val="99"/>
    <w:rsid w:val="005351E3"/>
    <w:rPr>
      <w:sz w:val="16"/>
      <w:szCs w:val="20"/>
    </w:rPr>
  </w:style>
  <w:style w:type="character" w:styleId="UnresolvedMention">
    <w:name w:val="Unresolved Mention"/>
    <w:basedOn w:val="DefaultParagraphFont"/>
    <w:uiPriority w:val="99"/>
    <w:semiHidden/>
    <w:unhideWhenUsed/>
    <w:rsid w:val="005351E3"/>
    <w:rPr>
      <w:color w:val="605E5C"/>
      <w:shd w:val="clear" w:color="auto" w:fill="E1DFDD"/>
    </w:rPr>
  </w:style>
  <w:style w:type="paragraph" w:customStyle="1" w:styleId="LetterRight-NoSpace">
    <w:name w:val="Letter Right-No Space"/>
    <w:basedOn w:val="LetterRight"/>
    <w:uiPriority w:val="99"/>
    <w:rsid w:val="005351E3"/>
    <w:pPr>
      <w:spacing w:after="0"/>
    </w:pPr>
  </w:style>
  <w:style w:type="table" w:customStyle="1" w:styleId="Blank">
    <w:name w:val="Blank"/>
    <w:basedOn w:val="TableNormal"/>
    <w:uiPriority w:val="99"/>
    <w:rsid w:val="005351E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5351E3"/>
    <w:pPr>
      <w:numPr>
        <w:numId w:val="26"/>
      </w:numPr>
      <w:contextualSpacing/>
    </w:pPr>
  </w:style>
  <w:style w:type="paragraph" w:customStyle="1" w:styleId="Coverdate">
    <w:name w:val="Cover date"/>
    <w:basedOn w:val="Normal"/>
    <w:uiPriority w:val="29"/>
    <w:rsid w:val="005351E3"/>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5351E3"/>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5351E3"/>
    <w:rPr>
      <w:color w:val="FFFFFF" w:themeColor="background1"/>
    </w:rPr>
  </w:style>
  <w:style w:type="paragraph" w:customStyle="1" w:styleId="Copyrightpage-Keylinenotext">
    <w:name w:val="Copyright page-Keyline (no text)"/>
    <w:basedOn w:val="Copyrightpage-Heading2"/>
    <w:uiPriority w:val="19"/>
    <w:rsid w:val="005351E3"/>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5351E3"/>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5351E3"/>
    <w:rPr>
      <w:b/>
    </w:rPr>
  </w:style>
  <w:style w:type="paragraph" w:customStyle="1" w:styleId="CoverImage">
    <w:name w:val="Cover Image"/>
    <w:basedOn w:val="Normal"/>
    <w:uiPriority w:val="29"/>
    <w:rsid w:val="005351E3"/>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5351E3"/>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5351E3"/>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5351E3"/>
    <w:pPr>
      <w:spacing w:before="60"/>
      <w:ind w:left="113" w:right="851"/>
    </w:pPr>
    <w:rPr>
      <w:color w:val="58585B"/>
    </w:rPr>
  </w:style>
  <w:style w:type="numbering" w:customStyle="1" w:styleId="TOCList">
    <w:name w:val="TOC List"/>
    <w:uiPriority w:val="99"/>
    <w:rsid w:val="005351E3"/>
    <w:pPr>
      <w:numPr>
        <w:numId w:val="32"/>
      </w:numPr>
    </w:pPr>
  </w:style>
  <w:style w:type="paragraph" w:customStyle="1" w:styleId="Heading1-Section-fullpage">
    <w:name w:val="Heading 1-Section-full page"/>
    <w:basedOn w:val="Heading1-nobackground"/>
    <w:uiPriority w:val="9"/>
    <w:qFormat/>
    <w:rsid w:val="005351E3"/>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5351E3"/>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5351E3"/>
    <w:pPr>
      <w:keepNext/>
      <w:spacing w:before="240"/>
    </w:pPr>
  </w:style>
  <w:style w:type="paragraph" w:customStyle="1" w:styleId="Source">
    <w:name w:val="Source"/>
    <w:basedOn w:val="Normal"/>
    <w:uiPriority w:val="9"/>
    <w:qFormat/>
    <w:rsid w:val="005351E3"/>
    <w:pPr>
      <w:spacing w:before="80" w:after="240" w:line="216" w:lineRule="atLeast"/>
    </w:pPr>
    <w:rPr>
      <w:sz w:val="18"/>
    </w:rPr>
  </w:style>
  <w:style w:type="paragraph" w:customStyle="1" w:styleId="Note">
    <w:name w:val="Note"/>
    <w:basedOn w:val="Source"/>
    <w:uiPriority w:val="9"/>
    <w:qFormat/>
    <w:rsid w:val="005351E3"/>
    <w:pPr>
      <w:spacing w:after="20"/>
    </w:pPr>
  </w:style>
  <w:style w:type="numbering" w:customStyle="1" w:styleId="Figure">
    <w:name w:val="Figure"/>
    <w:uiPriority w:val="99"/>
    <w:rsid w:val="005351E3"/>
    <w:pPr>
      <w:numPr>
        <w:numId w:val="21"/>
      </w:numPr>
    </w:pPr>
  </w:style>
  <w:style w:type="table" w:customStyle="1" w:styleId="Boxtable">
    <w:name w:val="Box table"/>
    <w:basedOn w:val="Texttable-Paleblue"/>
    <w:uiPriority w:val="99"/>
    <w:rsid w:val="005351E3"/>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5351E3"/>
    <w:pPr>
      <w:numPr>
        <w:numId w:val="19"/>
      </w:numPr>
    </w:pPr>
  </w:style>
  <w:style w:type="paragraph" w:customStyle="1" w:styleId="BoxHeading2">
    <w:name w:val="Box Heading 2"/>
    <w:basedOn w:val="Normal"/>
    <w:next w:val="BodyText"/>
    <w:uiPriority w:val="4"/>
    <w:qFormat/>
    <w:rsid w:val="005351E3"/>
    <w:rPr>
      <w:b/>
    </w:rPr>
  </w:style>
  <w:style w:type="table" w:customStyle="1" w:styleId="ProductivityCommissionTable2-Dark">
    <w:name w:val="Productivity Commission Table 2 - Dark"/>
    <w:basedOn w:val="ProductivityCommissionTable2"/>
    <w:uiPriority w:val="99"/>
    <w:rsid w:val="005351E3"/>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351E3"/>
    <w:rPr>
      <w:i/>
    </w:rPr>
  </w:style>
  <w:style w:type="paragraph" w:customStyle="1" w:styleId="TableHeading">
    <w:name w:val="Table Heading"/>
    <w:basedOn w:val="NoSpacing"/>
    <w:uiPriority w:val="4"/>
    <w:qFormat/>
    <w:rsid w:val="005351E3"/>
    <w:pPr>
      <w:spacing w:after="20"/>
      <w:ind w:left="57"/>
    </w:pPr>
    <w:rPr>
      <w:b/>
      <w:color w:val="265A9A" w:themeColor="background2"/>
      <w:sz w:val="18"/>
    </w:rPr>
  </w:style>
  <w:style w:type="paragraph" w:customStyle="1" w:styleId="BodyText-Blue">
    <w:name w:val="Body Text-Blue"/>
    <w:basedOn w:val="BodyText"/>
    <w:link w:val="BodyText-BlueChar"/>
    <w:semiHidden/>
    <w:qFormat/>
    <w:rsid w:val="005351E3"/>
    <w:rPr>
      <w:color w:val="265A9A" w:themeColor="background2"/>
    </w:rPr>
  </w:style>
  <w:style w:type="table" w:customStyle="1" w:styleId="Texttable-Keyline">
    <w:name w:val="Text table-Keyline"/>
    <w:basedOn w:val="Texttable-Paleblue"/>
    <w:uiPriority w:val="99"/>
    <w:rsid w:val="005351E3"/>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5351E3"/>
    <w:pPr>
      <w:jc w:val="right"/>
    </w:pPr>
  </w:style>
  <w:style w:type="table" w:customStyle="1" w:styleId="CopyrightPage">
    <w:name w:val="Copyright Page"/>
    <w:basedOn w:val="OverviewPageBannerTableStyle"/>
    <w:uiPriority w:val="99"/>
    <w:rsid w:val="005351E3"/>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5351E3"/>
    <w:pPr>
      <w:spacing w:line="312" w:lineRule="atLeast"/>
    </w:pPr>
    <w:rPr>
      <w:color w:val="2C9BC2"/>
    </w:rPr>
  </w:style>
  <w:style w:type="paragraph" w:styleId="BodyText">
    <w:name w:val="Body Text"/>
    <w:basedOn w:val="Normal"/>
    <w:link w:val="BodyTextChar"/>
    <w:qFormat/>
    <w:rsid w:val="005351E3"/>
  </w:style>
  <w:style w:type="character" w:customStyle="1" w:styleId="BodyTextChar">
    <w:name w:val="Body Text Char"/>
    <w:basedOn w:val="DefaultParagraphFont"/>
    <w:link w:val="BodyText"/>
    <w:rsid w:val="005351E3"/>
    <w:rPr>
      <w:sz w:val="20"/>
      <w:szCs w:val="20"/>
    </w:rPr>
  </w:style>
  <w:style w:type="paragraph" w:styleId="List4">
    <w:name w:val="List 4"/>
    <w:basedOn w:val="Normal"/>
    <w:uiPriority w:val="99"/>
    <w:semiHidden/>
    <w:rsid w:val="005351E3"/>
    <w:pPr>
      <w:numPr>
        <w:ilvl w:val="3"/>
        <w:numId w:val="24"/>
      </w:numPr>
      <w:contextualSpacing/>
    </w:pPr>
  </w:style>
  <w:style w:type="paragraph" w:styleId="List3">
    <w:name w:val="List 3"/>
    <w:basedOn w:val="Normal"/>
    <w:uiPriority w:val="99"/>
    <w:semiHidden/>
    <w:rsid w:val="005351E3"/>
    <w:pPr>
      <w:numPr>
        <w:ilvl w:val="2"/>
        <w:numId w:val="24"/>
      </w:numPr>
      <w:contextualSpacing/>
    </w:pPr>
  </w:style>
  <w:style w:type="paragraph" w:customStyle="1" w:styleId="Heading1-nonumber">
    <w:name w:val="Heading 1-no number"/>
    <w:basedOn w:val="Heading1"/>
    <w:next w:val="BodyText"/>
    <w:uiPriority w:val="9"/>
    <w:qFormat/>
    <w:rsid w:val="005351E3"/>
    <w:pPr>
      <w:numPr>
        <w:numId w:val="0"/>
      </w:numPr>
      <w:ind w:left="567"/>
    </w:pPr>
  </w:style>
  <w:style w:type="paragraph" w:customStyle="1" w:styleId="ListAlpha1">
    <w:name w:val="List Alpha 1"/>
    <w:basedOn w:val="Normal"/>
    <w:uiPriority w:val="3"/>
    <w:qFormat/>
    <w:rsid w:val="005351E3"/>
    <w:pPr>
      <w:numPr>
        <w:numId w:val="25"/>
      </w:numPr>
      <w:spacing w:before="60"/>
      <w:contextualSpacing/>
    </w:pPr>
  </w:style>
  <w:style w:type="paragraph" w:customStyle="1" w:styleId="ListAlpha2">
    <w:name w:val="List Alpha 2"/>
    <w:basedOn w:val="ListAlpha1"/>
    <w:uiPriority w:val="3"/>
    <w:qFormat/>
    <w:rsid w:val="005351E3"/>
    <w:pPr>
      <w:numPr>
        <w:ilvl w:val="1"/>
      </w:numPr>
    </w:pPr>
  </w:style>
  <w:style w:type="paragraph" w:customStyle="1" w:styleId="ListAlpha3">
    <w:name w:val="List Alpha 3"/>
    <w:basedOn w:val="ListAlpha2"/>
    <w:uiPriority w:val="3"/>
    <w:qFormat/>
    <w:rsid w:val="005351E3"/>
    <w:pPr>
      <w:numPr>
        <w:ilvl w:val="2"/>
      </w:numPr>
    </w:pPr>
  </w:style>
  <w:style w:type="paragraph" w:customStyle="1" w:styleId="ListAlpha4">
    <w:name w:val="List Alpha 4"/>
    <w:basedOn w:val="ListAlpha3"/>
    <w:uiPriority w:val="3"/>
    <w:semiHidden/>
    <w:qFormat/>
    <w:rsid w:val="005351E3"/>
    <w:pPr>
      <w:numPr>
        <w:ilvl w:val="3"/>
      </w:numPr>
    </w:pPr>
  </w:style>
  <w:style w:type="numbering" w:customStyle="1" w:styleId="Alphalist">
    <w:name w:val="Alpha list"/>
    <w:uiPriority w:val="99"/>
    <w:rsid w:val="005351E3"/>
    <w:pPr>
      <w:numPr>
        <w:numId w:val="16"/>
      </w:numPr>
    </w:pPr>
  </w:style>
  <w:style w:type="paragraph" w:customStyle="1" w:styleId="KeyPoints-Bold">
    <w:name w:val="Key Points-Bold"/>
    <w:basedOn w:val="Normal"/>
    <w:uiPriority w:val="10"/>
    <w:qFormat/>
    <w:rsid w:val="005351E3"/>
    <w:pPr>
      <w:spacing w:before="40" w:after="60" w:line="274" w:lineRule="atLeast"/>
    </w:pPr>
    <w:rPr>
      <w:b/>
      <w:sz w:val="18"/>
    </w:rPr>
  </w:style>
  <w:style w:type="paragraph" w:customStyle="1" w:styleId="Copyrightpage-BodyBold">
    <w:name w:val="Copyright page-Body Bold"/>
    <w:basedOn w:val="Copyrightpage-BodyText"/>
    <w:uiPriority w:val="19"/>
    <w:rsid w:val="005351E3"/>
    <w:rPr>
      <w:b/>
    </w:rPr>
  </w:style>
  <w:style w:type="paragraph" w:customStyle="1" w:styleId="KeyPoints-Bullet">
    <w:name w:val="Key Points-Bullet"/>
    <w:basedOn w:val="ListBullet"/>
    <w:uiPriority w:val="10"/>
    <w:qFormat/>
    <w:rsid w:val="005351E3"/>
    <w:pPr>
      <w:spacing w:after="60" w:line="274" w:lineRule="atLeast"/>
    </w:pPr>
    <w:rPr>
      <w:sz w:val="18"/>
    </w:rPr>
  </w:style>
  <w:style w:type="paragraph" w:customStyle="1" w:styleId="BodyText-Grey">
    <w:name w:val="Body Text-Grey"/>
    <w:basedOn w:val="BodyText"/>
    <w:link w:val="BodyText-GreyChar"/>
    <w:semiHidden/>
    <w:qFormat/>
    <w:rsid w:val="005351E3"/>
    <w:rPr>
      <w:color w:val="58585B"/>
    </w:rPr>
  </w:style>
  <w:style w:type="character" w:customStyle="1" w:styleId="BodyText-GreyChar">
    <w:name w:val="Body Text-Grey Char"/>
    <w:basedOn w:val="BodyTextChar"/>
    <w:link w:val="BodyText-Grey"/>
    <w:semiHidden/>
    <w:rsid w:val="005351E3"/>
    <w:rPr>
      <w:color w:val="58585B"/>
      <w:sz w:val="20"/>
      <w:szCs w:val="20"/>
    </w:rPr>
  </w:style>
  <w:style w:type="paragraph" w:styleId="BalloonText">
    <w:name w:val="Balloon Text"/>
    <w:basedOn w:val="Normal"/>
    <w:link w:val="BalloonTextChar"/>
    <w:uiPriority w:val="99"/>
    <w:unhideWhenUsed/>
    <w:rsid w:val="005351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5351E3"/>
    <w:rPr>
      <w:rFonts w:ascii="Segoe UI" w:hAnsi="Segoe UI" w:cs="Segoe UI"/>
      <w:sz w:val="18"/>
      <w:szCs w:val="18"/>
    </w:rPr>
  </w:style>
  <w:style w:type="character" w:styleId="CommentReference">
    <w:name w:val="annotation reference"/>
    <w:basedOn w:val="DefaultParagraphFont"/>
    <w:uiPriority w:val="99"/>
    <w:semiHidden/>
    <w:unhideWhenUsed/>
    <w:rsid w:val="005351E3"/>
    <w:rPr>
      <w:sz w:val="16"/>
      <w:szCs w:val="16"/>
    </w:rPr>
  </w:style>
  <w:style w:type="paragraph" w:styleId="CommentText">
    <w:name w:val="annotation text"/>
    <w:basedOn w:val="Normal"/>
    <w:link w:val="CommentTextChar"/>
    <w:uiPriority w:val="99"/>
    <w:unhideWhenUsed/>
    <w:rsid w:val="005351E3"/>
    <w:pPr>
      <w:spacing w:line="240" w:lineRule="auto"/>
    </w:pPr>
  </w:style>
  <w:style w:type="character" w:customStyle="1" w:styleId="CommentTextChar">
    <w:name w:val="Comment Text Char"/>
    <w:basedOn w:val="DefaultParagraphFont"/>
    <w:link w:val="CommentText"/>
    <w:uiPriority w:val="99"/>
    <w:rsid w:val="005351E3"/>
    <w:rPr>
      <w:sz w:val="20"/>
      <w:szCs w:val="20"/>
    </w:rPr>
  </w:style>
  <w:style w:type="paragraph" w:styleId="CommentSubject">
    <w:name w:val="annotation subject"/>
    <w:basedOn w:val="CommentText"/>
    <w:next w:val="CommentText"/>
    <w:link w:val="CommentSubjectChar"/>
    <w:uiPriority w:val="99"/>
    <w:semiHidden/>
    <w:unhideWhenUsed/>
    <w:rsid w:val="005351E3"/>
    <w:rPr>
      <w:b/>
      <w:bCs/>
    </w:rPr>
  </w:style>
  <w:style w:type="character" w:customStyle="1" w:styleId="CommentSubjectChar">
    <w:name w:val="Comment Subject Char"/>
    <w:basedOn w:val="CommentTextChar"/>
    <w:link w:val="CommentSubject"/>
    <w:uiPriority w:val="99"/>
    <w:semiHidden/>
    <w:rsid w:val="005351E3"/>
    <w:rPr>
      <w:b/>
      <w:bCs/>
      <w:sz w:val="20"/>
      <w:szCs w:val="20"/>
    </w:rPr>
  </w:style>
  <w:style w:type="character" w:customStyle="1" w:styleId="ColourBlue">
    <w:name w:val="Colour Blue"/>
    <w:basedOn w:val="DefaultParagraphFont"/>
    <w:uiPriority w:val="22"/>
    <w:qFormat/>
    <w:rsid w:val="005351E3"/>
    <w:rPr>
      <w:color w:val="66BCDB" w:themeColor="text2"/>
    </w:rPr>
  </w:style>
  <w:style w:type="character" w:customStyle="1" w:styleId="ColourDarkBlue">
    <w:name w:val="Colour Dark Blue"/>
    <w:basedOn w:val="ColourBlue"/>
    <w:uiPriority w:val="22"/>
    <w:qFormat/>
    <w:rsid w:val="005351E3"/>
    <w:rPr>
      <w:color w:val="265A9A" w:themeColor="background2"/>
    </w:rPr>
  </w:style>
  <w:style w:type="paragraph" w:customStyle="1" w:styleId="BodyText-Beforebullet">
    <w:name w:val="Body Text-Before bullet"/>
    <w:basedOn w:val="BodyText"/>
    <w:link w:val="BodyText-BeforebulletChar"/>
    <w:semiHidden/>
    <w:unhideWhenUsed/>
    <w:rsid w:val="005351E3"/>
    <w:pPr>
      <w:spacing w:after="20"/>
    </w:pPr>
  </w:style>
  <w:style w:type="paragraph" w:customStyle="1" w:styleId="PullQuote">
    <w:name w:val="Pull Quote"/>
    <w:basedOn w:val="BodyText"/>
    <w:next w:val="BodyText"/>
    <w:uiPriority w:val="10"/>
    <w:qFormat/>
    <w:rsid w:val="005351E3"/>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5351E3"/>
    <w:rPr>
      <w:sz w:val="20"/>
      <w:szCs w:val="20"/>
    </w:rPr>
  </w:style>
  <w:style w:type="paragraph" w:customStyle="1" w:styleId="TableBody">
    <w:name w:val="Table Body"/>
    <w:basedOn w:val="NoSpacing"/>
    <w:uiPriority w:val="4"/>
    <w:qFormat/>
    <w:rsid w:val="005351E3"/>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5351E3"/>
    <w:pPr>
      <w:spacing w:before="60"/>
      <w:jc w:val="right"/>
    </w:pPr>
  </w:style>
  <w:style w:type="paragraph" w:customStyle="1" w:styleId="FigureTableSubheading">
    <w:name w:val="Figure/Table Subheading"/>
    <w:basedOn w:val="FigureTableHeading"/>
    <w:uiPriority w:val="4"/>
    <w:qFormat/>
    <w:rsid w:val="005351E3"/>
    <w:pPr>
      <w:spacing w:before="40"/>
    </w:pPr>
    <w:rPr>
      <w:color w:val="58585B"/>
    </w:rPr>
  </w:style>
  <w:style w:type="table" w:customStyle="1" w:styleId="TextTable-Grey">
    <w:name w:val="Text Table-Grey"/>
    <w:basedOn w:val="Texttable-Paleblue"/>
    <w:uiPriority w:val="99"/>
    <w:rsid w:val="005351E3"/>
    <w:rPr>
      <w:color w:val="265A9A" w:themeColor="background2"/>
    </w:rPr>
    <w:tblPr/>
    <w:tcPr>
      <w:shd w:val="clear" w:color="auto" w:fill="F2F2F2"/>
    </w:tcPr>
  </w:style>
  <w:style w:type="character" w:customStyle="1" w:styleId="BodyText-BlueChar">
    <w:name w:val="Body Text-Blue Char"/>
    <w:basedOn w:val="BodyTextChar"/>
    <w:link w:val="BodyText-Blue"/>
    <w:semiHidden/>
    <w:rsid w:val="005351E3"/>
    <w:rPr>
      <w:color w:val="265A9A" w:themeColor="background2"/>
      <w:sz w:val="20"/>
      <w:szCs w:val="20"/>
    </w:rPr>
  </w:style>
  <w:style w:type="paragraph" w:customStyle="1" w:styleId="Heading3-nonumber">
    <w:name w:val="Heading 3-no number"/>
    <w:basedOn w:val="Heading3"/>
    <w:uiPriority w:val="9"/>
    <w:semiHidden/>
    <w:qFormat/>
    <w:rsid w:val="005351E3"/>
  </w:style>
  <w:style w:type="paragraph" w:customStyle="1" w:styleId="Heading1-nobackground">
    <w:name w:val="Heading 1-no background"/>
    <w:basedOn w:val="Heading1"/>
    <w:next w:val="BodyText"/>
    <w:uiPriority w:val="9"/>
    <w:qFormat/>
    <w:rsid w:val="005351E3"/>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5351E3"/>
    <w:rPr>
      <w:color w:val="58585B"/>
      <w:sz w:val="20"/>
      <w:szCs w:val="20"/>
    </w:rPr>
  </w:style>
  <w:style w:type="paragraph" w:customStyle="1" w:styleId="TableHeading-numbered">
    <w:name w:val="Table Heading-numbered"/>
    <w:basedOn w:val="Normal"/>
    <w:semiHidden/>
    <w:qFormat/>
    <w:rsid w:val="005351E3"/>
    <w:pPr>
      <w:numPr>
        <w:numId w:val="31"/>
      </w:numPr>
      <w:spacing w:before="60"/>
      <w:contextualSpacing/>
    </w:pPr>
    <w:rPr>
      <w:b/>
      <w:color w:val="265A9A" w:themeColor="background2"/>
    </w:rPr>
  </w:style>
  <w:style w:type="numbering" w:customStyle="1" w:styleId="TableList">
    <w:name w:val="TableList"/>
    <w:uiPriority w:val="99"/>
    <w:rsid w:val="005351E3"/>
    <w:pPr>
      <w:numPr>
        <w:numId w:val="31"/>
      </w:numPr>
    </w:pPr>
  </w:style>
  <w:style w:type="paragraph" w:customStyle="1" w:styleId="Footer-right">
    <w:name w:val="Footer-right"/>
    <w:basedOn w:val="Footer"/>
    <w:uiPriority w:val="11"/>
    <w:rsid w:val="005351E3"/>
    <w:pPr>
      <w:jc w:val="right"/>
    </w:pPr>
    <w:rPr>
      <w:szCs w:val="24"/>
    </w:rPr>
  </w:style>
  <w:style w:type="paragraph" w:customStyle="1" w:styleId="Heading2-nonumber">
    <w:name w:val="Heading 2-no number"/>
    <w:basedOn w:val="Heading2"/>
    <w:uiPriority w:val="9"/>
    <w:qFormat/>
    <w:rsid w:val="005351E3"/>
    <w:pPr>
      <w:numPr>
        <w:ilvl w:val="0"/>
        <w:numId w:val="0"/>
      </w:numPr>
    </w:pPr>
  </w:style>
  <w:style w:type="paragraph" w:customStyle="1" w:styleId="Heading-Appendix">
    <w:name w:val="Heading-Appendix"/>
    <w:basedOn w:val="Heading1-nonumber"/>
    <w:next w:val="BodyText"/>
    <w:uiPriority w:val="9"/>
    <w:qFormat/>
    <w:rsid w:val="005351E3"/>
    <w:pPr>
      <w:numPr>
        <w:numId w:val="22"/>
      </w:numPr>
    </w:pPr>
  </w:style>
  <w:style w:type="numbering" w:customStyle="1" w:styleId="AppendixHeading">
    <w:name w:val="AppendixHeading"/>
    <w:uiPriority w:val="99"/>
    <w:rsid w:val="005351E3"/>
    <w:pPr>
      <w:numPr>
        <w:numId w:val="18"/>
      </w:numPr>
    </w:pPr>
  </w:style>
  <w:style w:type="paragraph" w:customStyle="1" w:styleId="DraftingNote">
    <w:name w:val="Drafting Note"/>
    <w:basedOn w:val="BodyText"/>
    <w:link w:val="DraftingNoteChar"/>
    <w:qFormat/>
    <w:rsid w:val="005351E3"/>
    <w:pPr>
      <w:contextualSpacing/>
    </w:pPr>
    <w:rPr>
      <w:color w:val="A22D2B"/>
      <w:sz w:val="24"/>
      <w:u w:val="dotted"/>
    </w:rPr>
  </w:style>
  <w:style w:type="character" w:customStyle="1" w:styleId="DraftingNoteChar">
    <w:name w:val="Drafting Note Char"/>
    <w:basedOn w:val="BodyTextChar"/>
    <w:link w:val="DraftingNote"/>
    <w:rsid w:val="005351E3"/>
    <w:rPr>
      <w:color w:val="A22D2B"/>
      <w:sz w:val="24"/>
      <w:szCs w:val="20"/>
      <w:u w:val="dotted"/>
    </w:rPr>
  </w:style>
  <w:style w:type="paragraph" w:customStyle="1" w:styleId="BoxHeading1">
    <w:name w:val="Box Heading 1"/>
    <w:basedOn w:val="FigureTableHeading"/>
    <w:next w:val="BodyText"/>
    <w:uiPriority w:val="4"/>
    <w:qFormat/>
    <w:rsid w:val="005351E3"/>
    <w:pPr>
      <w:spacing w:after="0"/>
    </w:pPr>
  </w:style>
  <w:style w:type="character" w:styleId="Emphasis">
    <w:name w:val="Emphasis"/>
    <w:basedOn w:val="DefaultParagraphFont"/>
    <w:uiPriority w:val="22"/>
    <w:qFormat/>
    <w:rsid w:val="005351E3"/>
    <w:rPr>
      <w:i/>
      <w:iCs/>
    </w:rPr>
  </w:style>
  <w:style w:type="paragraph" w:customStyle="1" w:styleId="Reference">
    <w:name w:val="Reference"/>
    <w:basedOn w:val="BodyText"/>
    <w:qFormat/>
    <w:rsid w:val="005351E3"/>
    <w:pPr>
      <w:spacing w:before="0" w:after="60" w:line="200" w:lineRule="exact"/>
    </w:pPr>
    <w:rPr>
      <w:sz w:val="16"/>
    </w:rPr>
  </w:style>
  <w:style w:type="paragraph" w:customStyle="1" w:styleId="Keypoints-heading">
    <w:name w:val="Key points-heading"/>
    <w:basedOn w:val="Heading3"/>
    <w:uiPriority w:val="10"/>
    <w:qFormat/>
    <w:rsid w:val="005351E3"/>
    <w:rPr>
      <w:color w:val="auto"/>
    </w:rPr>
  </w:style>
  <w:style w:type="paragraph" w:customStyle="1" w:styleId="Heading2-Appendix">
    <w:name w:val="Heading 2-Appendix"/>
    <w:basedOn w:val="Heading2-nonumber"/>
    <w:next w:val="Normal"/>
    <w:uiPriority w:val="10"/>
    <w:qFormat/>
    <w:rsid w:val="005351E3"/>
    <w:pPr>
      <w:numPr>
        <w:ilvl w:val="1"/>
        <w:numId w:val="22"/>
      </w:numPr>
      <w:ind w:left="851"/>
    </w:pPr>
  </w:style>
  <w:style w:type="numbering" w:customStyle="1" w:styleId="AppendixHeadingList">
    <w:name w:val="Appendix Heading List"/>
    <w:uiPriority w:val="99"/>
    <w:rsid w:val="005351E3"/>
    <w:pPr>
      <w:numPr>
        <w:numId w:val="17"/>
      </w:numPr>
    </w:pPr>
  </w:style>
  <w:style w:type="paragraph" w:customStyle="1" w:styleId="Space">
    <w:name w:val="Space"/>
    <w:basedOn w:val="BodyText"/>
    <w:uiPriority w:val="1"/>
    <w:rsid w:val="005351E3"/>
    <w:pPr>
      <w:spacing w:before="0" w:after="0"/>
    </w:pPr>
  </w:style>
  <w:style w:type="paragraph" w:customStyle="1" w:styleId="QuoteBullet">
    <w:name w:val="Quote Bullet"/>
    <w:basedOn w:val="ListBullet"/>
    <w:link w:val="QuoteBulletChar"/>
    <w:uiPriority w:val="1"/>
    <w:qFormat/>
    <w:rsid w:val="005351E3"/>
    <w:pPr>
      <w:spacing w:before="60"/>
      <w:ind w:left="340" w:right="851"/>
    </w:pPr>
    <w:rPr>
      <w:color w:val="58585B"/>
    </w:rPr>
  </w:style>
  <w:style w:type="character" w:customStyle="1" w:styleId="ListBulletChar">
    <w:name w:val="List Bullet Char"/>
    <w:basedOn w:val="DefaultParagraphFont"/>
    <w:link w:val="ListBullet"/>
    <w:uiPriority w:val="1"/>
    <w:rsid w:val="005351E3"/>
    <w:rPr>
      <w:sz w:val="20"/>
      <w:szCs w:val="20"/>
    </w:rPr>
  </w:style>
  <w:style w:type="character" w:customStyle="1" w:styleId="QuoteBulletChar">
    <w:name w:val="Quote Bullet Char"/>
    <w:basedOn w:val="ListBulletChar"/>
    <w:link w:val="QuoteBullet"/>
    <w:uiPriority w:val="1"/>
    <w:rsid w:val="005351E3"/>
    <w:rPr>
      <w:color w:val="58585B"/>
      <w:sz w:val="20"/>
      <w:szCs w:val="20"/>
    </w:rPr>
  </w:style>
  <w:style w:type="paragraph" w:customStyle="1" w:styleId="Figurecharttitle">
    <w:name w:val="Figure chart title"/>
    <w:basedOn w:val="BodyText"/>
    <w:uiPriority w:val="10"/>
    <w:qFormat/>
    <w:rsid w:val="005351E3"/>
    <w:pPr>
      <w:spacing w:before="0" w:after="0"/>
      <w:ind w:left="284" w:hanging="284"/>
    </w:pPr>
    <w:rPr>
      <w:sz w:val="18"/>
      <w:szCs w:val="18"/>
    </w:rPr>
  </w:style>
  <w:style w:type="paragraph" w:customStyle="1" w:styleId="TableListBullet">
    <w:name w:val="Table List Bullet"/>
    <w:basedOn w:val="ListBullet"/>
    <w:uiPriority w:val="10"/>
    <w:qFormat/>
    <w:rsid w:val="005351E3"/>
    <w:pPr>
      <w:spacing w:before="0" w:after="20"/>
      <w:ind w:left="170" w:hanging="113"/>
    </w:pPr>
    <w:rPr>
      <w:sz w:val="18"/>
    </w:rPr>
  </w:style>
  <w:style w:type="paragraph" w:customStyle="1" w:styleId="FooterEnd">
    <w:name w:val="Footer End"/>
    <w:basedOn w:val="Footer"/>
    <w:rsid w:val="006D2565"/>
    <w:pPr>
      <w:tabs>
        <w:tab w:val="clear" w:pos="4513"/>
        <w:tab w:val="clear" w:pos="9026"/>
      </w:tabs>
      <w:spacing w:before="0" w:line="20" w:lineRule="exact"/>
      <w:ind w:right="6"/>
      <w:contextualSpacing w:val="0"/>
    </w:pPr>
    <w:rPr>
      <w:rFonts w:ascii="Arial" w:eastAsia="Times New Roman" w:hAnsi="Arial" w:cs="Times New Roman"/>
      <w:caps/>
      <w:spacing w:val="-4"/>
      <w:sz w:val="16"/>
      <w:szCs w:val="20"/>
      <w:lang w:eastAsia="en-AU"/>
    </w:rPr>
  </w:style>
  <w:style w:type="paragraph" w:customStyle="1" w:styleId="HeaderEnd">
    <w:name w:val="Header End"/>
    <w:basedOn w:val="Header"/>
    <w:autoRedefine/>
    <w:rsid w:val="006D2565"/>
    <w:pPr>
      <w:tabs>
        <w:tab w:val="clear" w:pos="4513"/>
        <w:tab w:val="clear" w:pos="9026"/>
        <w:tab w:val="center" w:pos="4394"/>
        <w:tab w:val="right" w:pos="8789"/>
      </w:tabs>
      <w:spacing w:before="0" w:line="20" w:lineRule="exact"/>
    </w:pPr>
    <w:rPr>
      <w:rFonts w:ascii="Arial" w:eastAsia="Times New Roman" w:hAnsi="Arial" w:cs="Times New Roman"/>
      <w:caps/>
      <w:lang w:eastAsia="en-AU"/>
    </w:rPr>
  </w:style>
  <w:style w:type="paragraph" w:customStyle="1" w:styleId="HeaderEven">
    <w:name w:val="Header Even"/>
    <w:basedOn w:val="Header"/>
    <w:semiHidden/>
    <w:rsid w:val="006D2565"/>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paragraph" w:customStyle="1" w:styleId="HeaderOdd">
    <w:name w:val="Header Odd"/>
    <w:basedOn w:val="Header"/>
    <w:semiHidden/>
    <w:rsid w:val="006D2565"/>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character" w:styleId="PageNumber">
    <w:name w:val="page number"/>
    <w:basedOn w:val="DefaultParagraphFont"/>
    <w:rsid w:val="006D2565"/>
    <w:rPr>
      <w:rFonts w:ascii="Arial" w:hAnsi="Arial"/>
      <w:b/>
      <w:sz w:val="16"/>
    </w:rPr>
  </w:style>
  <w:style w:type="paragraph" w:customStyle="1" w:styleId="Abbreviation">
    <w:name w:val="Abbreviation"/>
    <w:basedOn w:val="BodyText"/>
    <w:rsid w:val="006D2565"/>
    <w:pPr>
      <w:spacing w:after="0" w:line="300" w:lineRule="atLeast"/>
      <w:ind w:left="2381" w:hanging="2381"/>
    </w:pPr>
    <w:rPr>
      <w:rFonts w:ascii="Times New Roman" w:eastAsia="Times New Roman" w:hAnsi="Times New Roman" w:cs="Times New Roman"/>
      <w:sz w:val="24"/>
      <w:lang w:eastAsia="en-AU"/>
    </w:rPr>
  </w:style>
  <w:style w:type="paragraph" w:customStyle="1" w:styleId="Box">
    <w:name w:val="Box"/>
    <w:basedOn w:val="BodyText"/>
    <w:qFormat/>
    <w:rsid w:val="006D2565"/>
    <w:pPr>
      <w:keepNext/>
      <w:spacing w:after="0" w:line="260" w:lineRule="atLeast"/>
      <w:jc w:val="both"/>
    </w:pPr>
    <w:rPr>
      <w:rFonts w:ascii="Arial" w:eastAsia="Times New Roman" w:hAnsi="Arial" w:cs="Times New Roman"/>
      <w:lang w:eastAsia="en-AU"/>
    </w:rPr>
  </w:style>
  <w:style w:type="paragraph" w:customStyle="1" w:styleId="BoxContinued">
    <w:name w:val="Box Continued"/>
    <w:basedOn w:val="BodyText"/>
    <w:next w:val="BodyText"/>
    <w:semiHidden/>
    <w:rsid w:val="006D2565"/>
    <w:pPr>
      <w:spacing w:before="180" w:after="0" w:line="220" w:lineRule="exact"/>
      <w:jc w:val="right"/>
    </w:pPr>
    <w:rPr>
      <w:rFonts w:ascii="Arial" w:eastAsia="Times New Roman" w:hAnsi="Arial" w:cs="Times New Roman"/>
      <w:sz w:val="18"/>
      <w:lang w:eastAsia="en-AU"/>
    </w:rPr>
  </w:style>
  <w:style w:type="paragraph" w:customStyle="1" w:styleId="BoxListBullet">
    <w:name w:val="Box List Bullet"/>
    <w:basedOn w:val="BodyText"/>
    <w:rsid w:val="006D2565"/>
    <w:pPr>
      <w:keepNext/>
      <w:numPr>
        <w:numId w:val="1"/>
      </w:numPr>
      <w:spacing w:before="100" w:after="0" w:line="260" w:lineRule="atLeast"/>
      <w:jc w:val="both"/>
    </w:pPr>
    <w:rPr>
      <w:rFonts w:ascii="Arial" w:eastAsia="Times New Roman" w:hAnsi="Arial" w:cs="Times New Roman"/>
      <w:lang w:eastAsia="en-AU"/>
    </w:rPr>
  </w:style>
  <w:style w:type="paragraph" w:customStyle="1" w:styleId="BoxListBullet2">
    <w:name w:val="Box List Bullet 2"/>
    <w:basedOn w:val="BoxListBullet"/>
    <w:rsid w:val="006D2565"/>
    <w:pPr>
      <w:numPr>
        <w:numId w:val="8"/>
      </w:numPr>
      <w:ind w:left="568" w:hanging="284"/>
    </w:pPr>
  </w:style>
  <w:style w:type="paragraph" w:customStyle="1" w:styleId="BoxListNumber">
    <w:name w:val="Box List Number"/>
    <w:basedOn w:val="BodyText"/>
    <w:rsid w:val="006D2565"/>
    <w:pPr>
      <w:keepNext/>
      <w:numPr>
        <w:numId w:val="5"/>
      </w:numPr>
      <w:spacing w:before="100" w:after="0" w:line="260" w:lineRule="atLeast"/>
      <w:jc w:val="both"/>
    </w:pPr>
    <w:rPr>
      <w:rFonts w:ascii="Arial" w:eastAsia="Times New Roman" w:hAnsi="Arial" w:cs="Times New Roman"/>
      <w:lang w:eastAsia="en-AU"/>
    </w:rPr>
  </w:style>
  <w:style w:type="paragraph" w:customStyle="1" w:styleId="BoxListNumber2">
    <w:name w:val="Box List Number 2"/>
    <w:basedOn w:val="BoxListNumber"/>
    <w:rsid w:val="006D2565"/>
    <w:pPr>
      <w:numPr>
        <w:ilvl w:val="1"/>
      </w:numPr>
      <w:ind w:left="681" w:hanging="397"/>
    </w:pPr>
  </w:style>
  <w:style w:type="paragraph" w:customStyle="1" w:styleId="BoxQuote">
    <w:name w:val="Box Quote"/>
    <w:basedOn w:val="BodyText"/>
    <w:next w:val="Box"/>
    <w:qFormat/>
    <w:rsid w:val="006D2565"/>
    <w:pPr>
      <w:keepNext/>
      <w:spacing w:before="60" w:after="0" w:line="240" w:lineRule="exact"/>
      <w:ind w:left="284"/>
      <w:jc w:val="both"/>
    </w:pPr>
    <w:rPr>
      <w:rFonts w:ascii="Arial" w:eastAsia="Times New Roman" w:hAnsi="Arial" w:cs="Times New Roman"/>
      <w:sz w:val="18"/>
      <w:lang w:eastAsia="en-AU"/>
    </w:rPr>
  </w:style>
  <w:style w:type="paragraph" w:customStyle="1" w:styleId="BoxSource">
    <w:name w:val="Box Source"/>
    <w:basedOn w:val="Source"/>
    <w:next w:val="BodyText"/>
    <w:rsid w:val="006D2565"/>
    <w:pPr>
      <w:keepLines/>
      <w:spacing w:before="120" w:after="0" w:line="220" w:lineRule="exact"/>
      <w:jc w:val="both"/>
    </w:pPr>
    <w:rPr>
      <w:rFonts w:ascii="Arial" w:eastAsia="Times New Roman" w:hAnsi="Arial" w:cs="Times New Roman"/>
      <w:lang w:eastAsia="en-AU"/>
    </w:rPr>
  </w:style>
  <w:style w:type="paragraph" w:customStyle="1" w:styleId="BoxSpaceAbove">
    <w:name w:val="Box Space Above"/>
    <w:basedOn w:val="BodyText"/>
    <w:rsid w:val="006D2565"/>
    <w:pPr>
      <w:keepNext/>
      <w:spacing w:before="360" w:after="0" w:line="80" w:lineRule="exact"/>
    </w:pPr>
    <w:rPr>
      <w:rFonts w:ascii="Times New Roman" w:eastAsia="Times New Roman" w:hAnsi="Times New Roman" w:cs="Times New Roman"/>
      <w:sz w:val="24"/>
      <w:lang w:eastAsia="en-AU"/>
    </w:rPr>
  </w:style>
  <w:style w:type="paragraph" w:customStyle="1" w:styleId="BoxTitle">
    <w:name w:val="Box Title"/>
    <w:basedOn w:val="Caption"/>
    <w:next w:val="BoxSubtitle"/>
    <w:rsid w:val="006D2565"/>
  </w:style>
  <w:style w:type="paragraph" w:customStyle="1" w:styleId="BoxSubtitle">
    <w:name w:val="Box Subtitle"/>
    <w:basedOn w:val="BoxTitle"/>
    <w:next w:val="Normal"/>
    <w:rsid w:val="006D2565"/>
  </w:style>
  <w:style w:type="paragraph" w:customStyle="1" w:styleId="Chapter">
    <w:name w:val="Chapter"/>
    <w:basedOn w:val="Heading1"/>
    <w:next w:val="BodyText"/>
    <w:semiHidden/>
    <w:rsid w:val="006D2565"/>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right="0"/>
      <w:outlineLvl w:val="9"/>
    </w:pPr>
    <w:rPr>
      <w:rFonts w:ascii="Times New Roman" w:eastAsia="Times New Roman" w:hAnsi="Times New Roman" w:cs="Times New Roman"/>
      <w:color w:val="auto"/>
      <w:sz w:val="52"/>
      <w:lang w:eastAsia="en-AU"/>
    </w:rPr>
  </w:style>
  <w:style w:type="paragraph" w:customStyle="1" w:styleId="ChapterSummary">
    <w:name w:val="Chapter Summary"/>
    <w:basedOn w:val="BodyText"/>
    <w:rsid w:val="006D2565"/>
    <w:pPr>
      <w:spacing w:before="240" w:after="0"/>
      <w:ind w:left="907"/>
      <w:jc w:val="both"/>
    </w:pPr>
    <w:rPr>
      <w:rFonts w:ascii="Arial" w:eastAsia="Times New Roman" w:hAnsi="Arial" w:cs="Times New Roman"/>
      <w:b/>
      <w:lang w:eastAsia="en-AU"/>
    </w:rPr>
  </w:style>
  <w:style w:type="paragraph" w:customStyle="1" w:styleId="Continued">
    <w:name w:val="Continued"/>
    <w:basedOn w:val="BoxContinued"/>
    <w:next w:val="BodyText"/>
    <w:rsid w:val="006D2565"/>
  </w:style>
  <w:style w:type="character" w:customStyle="1" w:styleId="DocumentInfo">
    <w:name w:val="Document Info"/>
    <w:basedOn w:val="DefaultParagraphFont"/>
    <w:semiHidden/>
    <w:rsid w:val="006D2565"/>
    <w:rPr>
      <w:rFonts w:ascii="Arial" w:hAnsi="Arial"/>
      <w:sz w:val="14"/>
    </w:rPr>
  </w:style>
  <w:style w:type="paragraph" w:customStyle="1" w:styleId="FigureTitle">
    <w:name w:val="Figure Title"/>
    <w:basedOn w:val="Caption"/>
    <w:next w:val="Subtitle"/>
    <w:rsid w:val="006D2565"/>
  </w:style>
  <w:style w:type="paragraph" w:customStyle="1" w:styleId="Finding">
    <w:name w:val="Finding"/>
    <w:basedOn w:val="BodyText"/>
    <w:rsid w:val="006D2565"/>
    <w:pPr>
      <w:keepLines/>
      <w:spacing w:after="0"/>
      <w:jc w:val="both"/>
    </w:pPr>
    <w:rPr>
      <w:rFonts w:ascii="Arial" w:eastAsia="Times New Roman" w:hAnsi="Arial" w:cs="Times New Roman"/>
      <w:sz w:val="22"/>
      <w:lang w:eastAsia="en-AU"/>
    </w:rPr>
  </w:style>
  <w:style w:type="paragraph" w:customStyle="1" w:styleId="FindingBullet">
    <w:name w:val="Finding Bullet"/>
    <w:basedOn w:val="Finding"/>
    <w:rsid w:val="006D2565"/>
    <w:pPr>
      <w:numPr>
        <w:numId w:val="10"/>
      </w:numPr>
      <w:spacing w:before="80"/>
    </w:pPr>
  </w:style>
  <w:style w:type="paragraph" w:customStyle="1" w:styleId="FindingNoTitle">
    <w:name w:val="Finding NoTitle"/>
    <w:basedOn w:val="Finding"/>
    <w:semiHidden/>
    <w:rsid w:val="006D2565"/>
    <w:pPr>
      <w:spacing w:before="240"/>
    </w:pPr>
  </w:style>
  <w:style w:type="paragraph" w:customStyle="1" w:styleId="RecTitle">
    <w:name w:val="Rec Title"/>
    <w:basedOn w:val="BodyText"/>
    <w:next w:val="Rec"/>
    <w:qFormat/>
    <w:rsid w:val="006D2565"/>
    <w:pPr>
      <w:keepNext/>
      <w:keepLines/>
      <w:spacing w:before="240" w:after="0"/>
      <w:jc w:val="both"/>
    </w:pPr>
    <w:rPr>
      <w:rFonts w:ascii="Arial" w:eastAsia="Times New Roman" w:hAnsi="Arial" w:cs="Times New Roman"/>
      <w:caps/>
      <w:sz w:val="18"/>
      <w:lang w:eastAsia="en-AU"/>
    </w:rPr>
  </w:style>
  <w:style w:type="paragraph" w:customStyle="1" w:styleId="FindingTitle">
    <w:name w:val="Finding Title"/>
    <w:basedOn w:val="RecTitle"/>
    <w:next w:val="Finding"/>
    <w:rsid w:val="006D2565"/>
  </w:style>
  <w:style w:type="paragraph" w:customStyle="1" w:styleId="InformationRequest">
    <w:name w:val="Information Request"/>
    <w:basedOn w:val="Finding"/>
    <w:next w:val="BodyText"/>
    <w:rsid w:val="006D2565"/>
    <w:rPr>
      <w:i/>
    </w:rPr>
  </w:style>
  <w:style w:type="paragraph" w:customStyle="1" w:styleId="Jurisdictioncommentsbodytext">
    <w:name w:val="Jurisdiction comments body text"/>
    <w:rsid w:val="006D2565"/>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6D2565"/>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6D2565"/>
    <w:pPr>
      <w:numPr>
        <w:numId w:val="2"/>
      </w:numPr>
      <w:spacing w:after="140" w:line="240" w:lineRule="auto"/>
      <w:jc w:val="both"/>
    </w:pPr>
    <w:rPr>
      <w:rFonts w:ascii="Arial" w:eastAsia="Times New Roman" w:hAnsi="Arial" w:cs="Times New Roman"/>
      <w:sz w:val="24"/>
      <w:szCs w:val="20"/>
    </w:rPr>
  </w:style>
  <w:style w:type="character" w:customStyle="1" w:styleId="NoteLabel">
    <w:name w:val="Note Label"/>
    <w:basedOn w:val="DefaultParagraphFont"/>
    <w:rsid w:val="006D2565"/>
    <w:rPr>
      <w:rFonts w:ascii="Arial" w:hAnsi="Arial"/>
      <w:b/>
      <w:position w:val="6"/>
      <w:sz w:val="18"/>
    </w:rPr>
  </w:style>
  <w:style w:type="paragraph" w:customStyle="1" w:styleId="PartDivider">
    <w:name w:val="Part Divider"/>
    <w:basedOn w:val="BodyText"/>
    <w:next w:val="BodyText"/>
    <w:semiHidden/>
    <w:rsid w:val="006D2565"/>
    <w:pPr>
      <w:spacing w:before="0" w:after="0" w:line="40" w:lineRule="exact"/>
      <w:jc w:val="right"/>
    </w:pPr>
    <w:rPr>
      <w:rFonts w:ascii="Times New Roman" w:eastAsia="Times New Roman" w:hAnsi="Times New Roman" w:cs="Times New Roman"/>
      <w:smallCaps/>
      <w:sz w:val="16"/>
      <w:lang w:eastAsia="en-AU"/>
    </w:rPr>
  </w:style>
  <w:style w:type="paragraph" w:customStyle="1" w:styleId="PartNumber">
    <w:name w:val="Part Number"/>
    <w:basedOn w:val="BodyText"/>
    <w:next w:val="BodyText"/>
    <w:semiHidden/>
    <w:rsid w:val="006D2565"/>
    <w:pPr>
      <w:spacing w:before="4000" w:after="0" w:line="320" w:lineRule="exact"/>
      <w:ind w:left="6634"/>
      <w:jc w:val="right"/>
    </w:pPr>
    <w:rPr>
      <w:rFonts w:ascii="Times New Roman" w:eastAsia="Times New Roman" w:hAnsi="Times New Roman" w:cs="Times New Roman"/>
      <w:smallCaps/>
      <w:spacing w:val="60"/>
      <w:sz w:val="32"/>
      <w:lang w:eastAsia="en-AU"/>
    </w:rPr>
  </w:style>
  <w:style w:type="paragraph" w:customStyle="1" w:styleId="PartTitle">
    <w:name w:val="Part Title"/>
    <w:basedOn w:val="BodyText"/>
    <w:semiHidden/>
    <w:rsid w:val="006D2565"/>
    <w:pPr>
      <w:spacing w:before="160" w:after="1360" w:line="520" w:lineRule="exact"/>
      <w:ind w:right="2381"/>
      <w:jc w:val="right"/>
    </w:pPr>
    <w:rPr>
      <w:rFonts w:ascii="Times New Roman" w:eastAsia="Times New Roman" w:hAnsi="Times New Roman" w:cs="Times New Roman"/>
      <w:smallCaps/>
      <w:sz w:val="52"/>
      <w:lang w:eastAsia="en-AU"/>
    </w:rPr>
  </w:style>
  <w:style w:type="paragraph" w:customStyle="1" w:styleId="Rec">
    <w:name w:val="Rec"/>
    <w:basedOn w:val="BodyText"/>
    <w:qFormat/>
    <w:rsid w:val="006D2565"/>
    <w:pPr>
      <w:keepLines/>
      <w:spacing w:after="0"/>
      <w:jc w:val="both"/>
    </w:pPr>
    <w:rPr>
      <w:rFonts w:ascii="Arial" w:eastAsia="Times New Roman" w:hAnsi="Arial" w:cs="Times New Roman"/>
      <w:sz w:val="22"/>
      <w:lang w:eastAsia="en-AU"/>
    </w:rPr>
  </w:style>
  <w:style w:type="paragraph" w:customStyle="1" w:styleId="RecBullet">
    <w:name w:val="Rec Bullet"/>
    <w:basedOn w:val="Rec"/>
    <w:rsid w:val="006D2565"/>
    <w:pPr>
      <w:numPr>
        <w:numId w:val="12"/>
      </w:numPr>
      <w:spacing w:before="80"/>
    </w:pPr>
  </w:style>
  <w:style w:type="paragraph" w:customStyle="1" w:styleId="RecB">
    <w:name w:val="RecB"/>
    <w:basedOn w:val="Normal"/>
    <w:semiHidden/>
    <w:rsid w:val="006D2565"/>
    <w:pPr>
      <w:keepLines/>
      <w:pBdr>
        <w:left w:val="single" w:sz="24" w:space="12" w:color="C0C0C0"/>
      </w:pBdr>
      <w:spacing w:before="180" w:after="0" w:line="320" w:lineRule="atLeast"/>
      <w:jc w:val="both"/>
    </w:pPr>
    <w:rPr>
      <w:rFonts w:ascii="Times New Roman" w:eastAsia="Times New Roman" w:hAnsi="Times New Roman" w:cs="Times New Roman"/>
      <w:b/>
      <w:i/>
      <w:sz w:val="24"/>
      <w:lang w:eastAsia="en-AU"/>
    </w:rPr>
  </w:style>
  <w:style w:type="paragraph" w:customStyle="1" w:styleId="RecBBullet">
    <w:name w:val="RecB Bullet"/>
    <w:basedOn w:val="RecB"/>
    <w:semiHidden/>
    <w:rsid w:val="006D2565"/>
    <w:pPr>
      <w:numPr>
        <w:numId w:val="6"/>
      </w:numPr>
      <w:spacing w:before="80"/>
    </w:pPr>
  </w:style>
  <w:style w:type="paragraph" w:customStyle="1" w:styleId="RecBNoTitle">
    <w:name w:val="RecB NoTitle"/>
    <w:basedOn w:val="RecB"/>
    <w:semiHidden/>
    <w:rsid w:val="006D2565"/>
    <w:pPr>
      <w:spacing w:before="240"/>
    </w:pPr>
  </w:style>
  <w:style w:type="paragraph" w:customStyle="1" w:styleId="SequenceInfo">
    <w:name w:val="Sequence Info"/>
    <w:basedOn w:val="BodyText"/>
    <w:semiHidden/>
    <w:rsid w:val="006D2565"/>
    <w:pPr>
      <w:spacing w:before="240" w:after="0" w:line="300" w:lineRule="atLeast"/>
      <w:jc w:val="both"/>
    </w:pPr>
    <w:rPr>
      <w:rFonts w:ascii="Times New Roman" w:eastAsia="Times New Roman" w:hAnsi="Times New Roman" w:cs="Times New Roman"/>
      <w:vanish/>
      <w:sz w:val="16"/>
      <w:lang w:eastAsia="en-AU"/>
    </w:rPr>
  </w:style>
  <w:style w:type="paragraph" w:customStyle="1" w:styleId="SideNote">
    <w:name w:val="Side Note"/>
    <w:basedOn w:val="BodyText"/>
    <w:next w:val="BodyText"/>
    <w:semiHidden/>
    <w:rsid w:val="006D2565"/>
    <w:pPr>
      <w:keepNext/>
      <w:keepLines/>
      <w:framePr w:w="2155" w:hSpace="227" w:vSpace="181" w:wrap="around" w:vAnchor="text" w:hAnchor="page" w:xAlign="outside" w:y="1"/>
      <w:spacing w:before="240" w:after="0" w:line="300" w:lineRule="atLeast"/>
    </w:pPr>
    <w:rPr>
      <w:rFonts w:ascii="Times New Roman" w:eastAsia="Times New Roman" w:hAnsi="Times New Roman" w:cs="Times New Roman"/>
      <w:i/>
      <w:sz w:val="24"/>
      <w:lang w:eastAsia="en-AU"/>
    </w:rPr>
  </w:style>
  <w:style w:type="paragraph" w:customStyle="1" w:styleId="SideNoteBullet">
    <w:name w:val="Side Note Bullet"/>
    <w:basedOn w:val="SideNote"/>
    <w:next w:val="BodyText"/>
    <w:semiHidden/>
    <w:rsid w:val="006D2565"/>
    <w:pPr>
      <w:framePr w:wrap="around"/>
      <w:numPr>
        <w:numId w:val="3"/>
      </w:numPr>
      <w:tabs>
        <w:tab w:val="left" w:pos="227"/>
      </w:tabs>
    </w:pPr>
  </w:style>
  <w:style w:type="paragraph" w:customStyle="1" w:styleId="SideNoteGraphic">
    <w:name w:val="Side Note Graphic"/>
    <w:basedOn w:val="SideNote"/>
    <w:next w:val="BodyText"/>
    <w:semiHidden/>
    <w:rsid w:val="006D2565"/>
    <w:pPr>
      <w:framePr w:wrap="around"/>
    </w:pPr>
  </w:style>
  <w:style w:type="paragraph" w:customStyle="1" w:styleId="TableBodyText">
    <w:name w:val="Table Body Text"/>
    <w:basedOn w:val="BodyText"/>
    <w:rsid w:val="006D2565"/>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Bullet">
    <w:name w:val="Table Bullet"/>
    <w:basedOn w:val="TableBodyText"/>
    <w:rsid w:val="006D2565"/>
    <w:pPr>
      <w:numPr>
        <w:numId w:val="4"/>
      </w:numPr>
      <w:jc w:val="left"/>
    </w:pPr>
  </w:style>
  <w:style w:type="paragraph" w:customStyle="1" w:styleId="TableColumnHeading">
    <w:name w:val="Table Column Heading"/>
    <w:basedOn w:val="TableBodyText"/>
    <w:rsid w:val="006D2565"/>
    <w:pPr>
      <w:spacing w:before="80" w:after="80"/>
    </w:pPr>
    <w:rPr>
      <w:i/>
    </w:rPr>
  </w:style>
  <w:style w:type="paragraph" w:styleId="TableofFigures">
    <w:name w:val="table of figures"/>
    <w:basedOn w:val="TOC3"/>
    <w:next w:val="BodyText"/>
    <w:semiHidden/>
    <w:rsid w:val="006D2565"/>
    <w:pPr>
      <w:tabs>
        <w:tab w:val="clear" w:pos="7938"/>
        <w:tab w:val="right" w:pos="8789"/>
      </w:tabs>
      <w:spacing w:before="60" w:after="0" w:line="320" w:lineRule="exact"/>
      <w:ind w:left="737" w:right="851" w:hanging="737"/>
    </w:pPr>
    <w:rPr>
      <w:rFonts w:ascii="Arial" w:eastAsia="Times New Roman" w:hAnsi="Arial" w:cs="Times New Roman"/>
      <w:color w:val="auto"/>
      <w:sz w:val="26"/>
      <w:szCs w:val="26"/>
    </w:rPr>
  </w:style>
  <w:style w:type="paragraph" w:customStyle="1" w:styleId="TableTitle">
    <w:name w:val="Table Title"/>
    <w:basedOn w:val="Caption"/>
    <w:next w:val="Subtitle"/>
    <w:qFormat/>
    <w:rsid w:val="006D2565"/>
  </w:style>
  <w:style w:type="paragraph" w:customStyle="1" w:styleId="TableUnitsRow">
    <w:name w:val="Table Units Row"/>
    <w:basedOn w:val="TableBodyText"/>
    <w:rsid w:val="006D2565"/>
    <w:pPr>
      <w:spacing w:before="40"/>
    </w:pPr>
  </w:style>
  <w:style w:type="paragraph" w:customStyle="1" w:styleId="RecBBullet2">
    <w:name w:val="RecB Bullet 2"/>
    <w:basedOn w:val="ListBullet2"/>
    <w:semiHidden/>
    <w:rsid w:val="006D2565"/>
    <w:pPr>
      <w:numPr>
        <w:ilvl w:val="0"/>
        <w:numId w:val="0"/>
      </w:numPr>
      <w:pBdr>
        <w:left w:val="single" w:sz="24" w:space="29" w:color="C0C0C0"/>
      </w:pBdr>
      <w:tabs>
        <w:tab w:val="num" w:pos="680"/>
      </w:tabs>
      <w:spacing w:after="0" w:line="300" w:lineRule="atLeast"/>
      <w:ind w:left="680" w:hanging="340"/>
      <w:contextualSpacing w:val="0"/>
      <w:jc w:val="both"/>
    </w:pPr>
    <w:rPr>
      <w:rFonts w:ascii="Times New Roman" w:eastAsia="Times New Roman" w:hAnsi="Times New Roman" w:cs="Times New Roman"/>
      <w:b/>
      <w:i/>
      <w:sz w:val="24"/>
      <w:lang w:eastAsia="en-AU"/>
    </w:rPr>
  </w:style>
  <w:style w:type="paragraph" w:customStyle="1" w:styleId="BoxListBullet3">
    <w:name w:val="Box List Bullet 3"/>
    <w:basedOn w:val="ListBullet3"/>
    <w:rsid w:val="006D2565"/>
    <w:pPr>
      <w:numPr>
        <w:ilvl w:val="0"/>
        <w:numId w:val="9"/>
      </w:numPr>
      <w:tabs>
        <w:tab w:val="left" w:pos="907"/>
      </w:tabs>
      <w:spacing w:before="60" w:after="0" w:line="260" w:lineRule="atLeast"/>
      <w:ind w:left="907" w:hanging="340"/>
      <w:contextualSpacing w:val="0"/>
      <w:jc w:val="both"/>
    </w:pPr>
    <w:rPr>
      <w:rFonts w:ascii="Arial" w:eastAsia="Times New Roman" w:hAnsi="Arial" w:cs="Times New Roman"/>
      <w:lang w:eastAsia="en-AU"/>
    </w:rPr>
  </w:style>
  <w:style w:type="paragraph" w:customStyle="1" w:styleId="BoxQuoteBullet">
    <w:name w:val="Box Quote Bullet"/>
    <w:basedOn w:val="BoxQuote"/>
    <w:next w:val="Box"/>
    <w:rsid w:val="006D2565"/>
    <w:pPr>
      <w:numPr>
        <w:numId w:val="7"/>
      </w:numPr>
      <w:ind w:left="568" w:hanging="284"/>
    </w:pPr>
  </w:style>
  <w:style w:type="paragraph" w:customStyle="1" w:styleId="InformationRequestBullet">
    <w:name w:val="Information Request Bullet"/>
    <w:basedOn w:val="ListBullet"/>
    <w:next w:val="BodyText"/>
    <w:rsid w:val="006D2565"/>
    <w:pPr>
      <w:numPr>
        <w:numId w:val="11"/>
      </w:numPr>
      <w:spacing w:before="80" w:after="0"/>
      <w:ind w:left="357" w:hanging="357"/>
      <w:contextualSpacing w:val="0"/>
      <w:jc w:val="both"/>
    </w:pPr>
    <w:rPr>
      <w:rFonts w:ascii="Arial" w:eastAsia="Times New Roman" w:hAnsi="Arial" w:cs="Times New Roman"/>
      <w:i/>
      <w:sz w:val="22"/>
      <w:lang w:eastAsia="en-AU"/>
    </w:rPr>
  </w:style>
  <w:style w:type="paragraph" w:customStyle="1" w:styleId="BoxSpaceBelow">
    <w:name w:val="Box Space Below"/>
    <w:basedOn w:val="Box"/>
    <w:rsid w:val="006D2565"/>
    <w:pPr>
      <w:keepNext w:val="0"/>
      <w:spacing w:before="60" w:after="60" w:line="80" w:lineRule="exact"/>
    </w:pPr>
    <w:rPr>
      <w:sz w:val="14"/>
    </w:rPr>
  </w:style>
  <w:style w:type="paragraph" w:customStyle="1" w:styleId="KeyPointsListBullet">
    <w:name w:val="Key Points List Bullet"/>
    <w:basedOn w:val="Normal"/>
    <w:qFormat/>
    <w:rsid w:val="006D2565"/>
    <w:pPr>
      <w:keepNext/>
      <w:numPr>
        <w:numId w:val="13"/>
      </w:numPr>
      <w:spacing w:before="100" w:after="0" w:line="260" w:lineRule="atLeast"/>
      <w:ind w:left="357" w:hanging="357"/>
      <w:jc w:val="both"/>
    </w:pPr>
    <w:rPr>
      <w:rFonts w:ascii="Arial" w:eastAsia="Times New Roman" w:hAnsi="Arial" w:cs="Times New Roman"/>
    </w:rPr>
  </w:style>
  <w:style w:type="paragraph" w:customStyle="1" w:styleId="KeyPointsListBullet2">
    <w:name w:val="Key Points List Bullet 2"/>
    <w:basedOn w:val="BoxListBullet2"/>
    <w:rsid w:val="006D2565"/>
    <w:pPr>
      <w:numPr>
        <w:numId w:val="14"/>
      </w:numPr>
      <w:ind w:left="568" w:hanging="284"/>
    </w:pPr>
  </w:style>
  <w:style w:type="paragraph" w:customStyle="1" w:styleId="InformationRequestTitle">
    <w:name w:val="Information Request Title"/>
    <w:basedOn w:val="FindingTitle"/>
    <w:next w:val="InformationRequest"/>
    <w:rsid w:val="006D2565"/>
  </w:style>
  <w:style w:type="paragraph" w:customStyle="1" w:styleId="Heading1nochapterno">
    <w:name w:val="Heading 1 (no chapter no.)"/>
    <w:basedOn w:val="Heading1"/>
    <w:rsid w:val="006D2565"/>
    <w:pPr>
      <w:keepNext/>
      <w:numPr>
        <w:numId w:val="0"/>
      </w:numPr>
      <w:pBdr>
        <w:top w:val="none" w:sz="0" w:space="0" w:color="auto"/>
        <w:left w:val="none" w:sz="0" w:space="0" w:color="auto"/>
        <w:bottom w:val="none" w:sz="0" w:space="0" w:color="auto"/>
        <w:right w:val="none" w:sz="0" w:space="0" w:color="auto"/>
      </w:pBdr>
      <w:shd w:val="clear" w:color="auto" w:fill="auto"/>
      <w:spacing w:before="0" w:after="1360" w:line="600" w:lineRule="exact"/>
      <w:ind w:right="0"/>
    </w:pPr>
    <w:rPr>
      <w:rFonts w:ascii="Times New Roman" w:eastAsia="Times New Roman" w:hAnsi="Times New Roman" w:cs="Times New Roman"/>
      <w:color w:val="auto"/>
      <w:sz w:val="52"/>
      <w:lang w:eastAsia="en-AU"/>
    </w:rPr>
  </w:style>
  <w:style w:type="paragraph" w:customStyle="1" w:styleId="Heading2nosectionno">
    <w:name w:val="Heading 2 (no section no.)"/>
    <w:basedOn w:val="Heading2"/>
    <w:rsid w:val="006D2565"/>
    <w:pPr>
      <w:keepLines w:val="0"/>
      <w:numPr>
        <w:ilvl w:val="0"/>
        <w:numId w:val="0"/>
      </w:numPr>
      <w:spacing w:before="600" w:after="0" w:line="400" w:lineRule="exact"/>
    </w:pPr>
    <w:rPr>
      <w:rFonts w:ascii="Arial" w:eastAsia="Times New Roman" w:hAnsi="Arial" w:cs="Times New Roman"/>
      <w:b/>
      <w:sz w:val="32"/>
      <w:szCs w:val="20"/>
      <w:lang w:eastAsia="en-AU"/>
    </w:rPr>
  </w:style>
  <w:style w:type="paragraph" w:customStyle="1" w:styleId="Figurespace">
    <w:name w:val="Figure space"/>
    <w:basedOn w:val="Box"/>
    <w:rsid w:val="006D2565"/>
    <w:pPr>
      <w:spacing w:before="0" w:line="120" w:lineRule="exact"/>
    </w:pPr>
  </w:style>
  <w:style w:type="paragraph" w:customStyle="1" w:styleId="FooterDraftReport">
    <w:name w:val="FooterDraftReport"/>
    <w:basedOn w:val="Footer"/>
    <w:link w:val="FooterDraftReportChar"/>
    <w:rsid w:val="006D2565"/>
    <w:pPr>
      <w:tabs>
        <w:tab w:val="clear" w:pos="4513"/>
        <w:tab w:val="clear" w:pos="9026"/>
      </w:tabs>
      <w:spacing w:before="40" w:line="200" w:lineRule="exact"/>
      <w:ind w:right="6"/>
      <w:contextualSpacing w:val="0"/>
    </w:pPr>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6D2565"/>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uiPriority w:val="39"/>
    <w:rsid w:val="006D2565"/>
    <w:rPr>
      <w:rFonts w:asciiTheme="majorHAnsi" w:hAnsiTheme="majorHAnsi"/>
      <w:color w:val="265A9A" w:themeColor="background2"/>
      <w:sz w:val="20"/>
      <w:szCs w:val="20"/>
    </w:rPr>
  </w:style>
  <w:style w:type="character" w:customStyle="1" w:styleId="Continuedintitle">
    <w:name w:val="Continued (in title)"/>
    <w:basedOn w:val="DefaultParagraphFont"/>
    <w:rsid w:val="006D2565"/>
    <w:rPr>
      <w:rFonts w:ascii="Arial" w:hAnsi="Arial"/>
      <w:b/>
      <w:sz w:val="18"/>
    </w:rPr>
  </w:style>
  <w:style w:type="paragraph" w:styleId="Bibliography">
    <w:name w:val="Bibliography"/>
    <w:basedOn w:val="Normal"/>
    <w:next w:val="Normal"/>
    <w:uiPriority w:val="37"/>
    <w:unhideWhenUsed/>
    <w:rsid w:val="006D2565"/>
    <w:pPr>
      <w:spacing w:before="0" w:after="240" w:line="240" w:lineRule="auto"/>
      <w:ind w:left="720" w:hanging="720"/>
    </w:pPr>
    <w:rPr>
      <w:rFonts w:ascii="Times New Roman" w:eastAsia="Times New Roman" w:hAnsi="Times New Roman" w:cs="Times New Roman"/>
      <w:sz w:val="24"/>
      <w:szCs w:val="24"/>
      <w:lang w:eastAsia="en-AU"/>
    </w:rPr>
  </w:style>
  <w:style w:type="character" w:styleId="EndnoteReference">
    <w:name w:val="endnote reference"/>
    <w:basedOn w:val="DefaultParagraphFont"/>
    <w:semiHidden/>
    <w:unhideWhenUsed/>
    <w:rsid w:val="006D2565"/>
    <w:rPr>
      <w:vertAlign w:val="superscript"/>
    </w:rPr>
  </w:style>
  <w:style w:type="table" w:styleId="GridTable1Light-Accent5">
    <w:name w:val="Grid Table 1 Light Accent 5"/>
    <w:basedOn w:val="TableNormal"/>
    <w:uiPriority w:val="46"/>
    <w:rsid w:val="006D2565"/>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E79C9C" w:themeColor="accent5" w:themeTint="66"/>
        <w:left w:val="single" w:sz="4" w:space="0" w:color="E79C9C" w:themeColor="accent5" w:themeTint="66"/>
        <w:bottom w:val="single" w:sz="4" w:space="0" w:color="E79C9C" w:themeColor="accent5" w:themeTint="66"/>
        <w:right w:val="single" w:sz="4" w:space="0" w:color="E79C9C" w:themeColor="accent5" w:themeTint="66"/>
        <w:insideH w:val="single" w:sz="4" w:space="0" w:color="E79C9C" w:themeColor="accent5" w:themeTint="66"/>
        <w:insideV w:val="single" w:sz="4" w:space="0" w:color="E79C9C" w:themeColor="accent5" w:themeTint="66"/>
      </w:tblBorders>
    </w:tblPr>
    <w:tblStylePr w:type="firstRow">
      <w:rPr>
        <w:b/>
        <w:bCs/>
      </w:rPr>
      <w:tblPr/>
      <w:tcPr>
        <w:tcBorders>
          <w:bottom w:val="single" w:sz="12" w:space="0" w:color="DB6B6B" w:themeColor="accent5" w:themeTint="99"/>
        </w:tcBorders>
      </w:tcPr>
    </w:tblStylePr>
    <w:tblStylePr w:type="lastRow">
      <w:rPr>
        <w:b/>
        <w:bCs/>
      </w:rPr>
      <w:tblPr/>
      <w:tcPr>
        <w:tcBorders>
          <w:top w:val="double" w:sz="2" w:space="0" w:color="DB6B6B" w:themeColor="accent5" w:themeTint="99"/>
        </w:tcBorders>
      </w:tcPr>
    </w:tblStylePr>
    <w:tblStylePr w:type="firstCol">
      <w:rPr>
        <w:b/>
        <w:bCs/>
      </w:rPr>
    </w:tblStylePr>
    <w:tblStylePr w:type="lastCol">
      <w:rPr>
        <w:b/>
        <w:bCs/>
      </w:rPr>
    </w:tblStylePr>
  </w:style>
  <w:style w:type="paragraph" w:customStyle="1" w:styleId="PullQuoteNoSpacing">
    <w:name w:val="Pull Quote No Spacing"/>
    <w:basedOn w:val="NoSpacing"/>
    <w:link w:val="PullQuoteNoSpacingChar"/>
    <w:uiPriority w:val="10"/>
    <w:qFormat/>
    <w:rsid w:val="005351E3"/>
    <w:pPr>
      <w:spacing w:line="160" w:lineRule="exact"/>
    </w:pPr>
  </w:style>
  <w:style w:type="character" w:customStyle="1" w:styleId="PullQuoteNoSpacingChar">
    <w:name w:val="Pull Quote No Spacing Char"/>
    <w:basedOn w:val="NoSpacingChar"/>
    <w:link w:val="PullQuoteNoSpacing"/>
    <w:uiPriority w:val="10"/>
    <w:rsid w:val="005351E3"/>
    <w:rPr>
      <w:sz w:val="20"/>
      <w:szCs w:val="20"/>
    </w:rPr>
  </w:style>
  <w:style w:type="paragraph" w:customStyle="1" w:styleId="PullQuote-Indigenous">
    <w:name w:val="Pull Quote-Indigenous"/>
    <w:basedOn w:val="PullQuote"/>
    <w:uiPriority w:val="10"/>
    <w:qFormat/>
    <w:rsid w:val="005351E3"/>
    <w:pPr>
      <w:ind w:right="680"/>
    </w:pPr>
    <w:rPr>
      <w:rFonts w:ascii="Arial" w:hAnsi="Arial" w:cs="Arial"/>
      <w:color w:val="auto"/>
      <w:spacing w:val="6"/>
      <w:sz w:val="22"/>
      <w:szCs w:val="22"/>
    </w:rPr>
  </w:style>
  <w:style w:type="paragraph" w:customStyle="1" w:styleId="CoverdisclaimerwhiteCover">
    <w:name w:val="Cover – disclaimer (white) (Cover)"/>
    <w:basedOn w:val="Normal"/>
    <w:uiPriority w:val="99"/>
    <w:rsid w:val="00B85941"/>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image" Target="media/image11.emf"/><Relationship Id="rId21" Type="http://schemas.openxmlformats.org/officeDocument/2006/relationships/image" Target="media/image4.png"/><Relationship Id="rId34" Type="http://schemas.openxmlformats.org/officeDocument/2006/relationships/image" Target="media/image6.emf"/><Relationship Id="rId42" Type="http://schemas.openxmlformats.org/officeDocument/2006/relationships/image" Target="media/image14.emf"/><Relationship Id="rId47" Type="http://schemas.openxmlformats.org/officeDocument/2006/relationships/footer" Target="footer9.xml"/><Relationship Id="rId50" Type="http://schemas.openxmlformats.org/officeDocument/2006/relationships/header" Target="header13.xml"/><Relationship Id="rId55"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8.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header" Target="header10.xml"/><Relationship Id="rId53" Type="http://schemas.openxmlformats.org/officeDocument/2006/relationships/footer" Target="footer12.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footer" Target="footer7.xml"/><Relationship Id="rId44" Type="http://schemas.openxmlformats.org/officeDocument/2006/relationships/image" Target="media/image16.emf"/><Relationship Id="rId52"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5.svg"/><Relationship Id="rId27" Type="http://schemas.openxmlformats.org/officeDocument/2006/relationships/header" Target="header6.xml"/><Relationship Id="rId30" Type="http://schemas.openxmlformats.org/officeDocument/2006/relationships/footer" Target="footer6.xml"/><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footer" Target="footer10.xml"/><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image" Target="media/image10.emf"/><Relationship Id="rId46" Type="http://schemas.openxmlformats.org/officeDocument/2006/relationships/header" Target="header11.xml"/><Relationship Id="rId20" Type="http://schemas.openxmlformats.org/officeDocument/2006/relationships/footer" Target="footer3.xml"/><Relationship Id="rId41" Type="http://schemas.openxmlformats.org/officeDocument/2006/relationships/image" Target="media/image13.emf"/><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8.emf"/><Relationship Id="rId49" Type="http://schemas.openxmlformats.org/officeDocument/2006/relationships/header" Target="header12.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chapter","templateDescription":"","enableDocumentContentUpdater":false,"version":"2.0"}]]></TemplafyTemplateConfigura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MPWT-2140667901-64356</_dlc_DocId>
    <_dlc_DocIdUrl xmlns="20393cdf-440a-4521-8f19-00ba43423d00">
      <Url>https://pcgov.sharepoint.com/sites/sceteam/_layouts/15/DocIdRedir.aspx?ID=MPWT-2140667901-64356</Url>
      <Description>MPWT-2140667901-64356</Description>
    </_dlc_DocIdUrl>
    <SharedWithUsers xmlns="20393cdf-440a-4521-8f19-00ba43423d00">
      <UserInfo>
        <DisplayName>Michelle Cross</DisplayName>
        <AccountId>14</AccountId>
        <AccountType/>
      </UserInfo>
      <UserInfo>
        <DisplayName>Catherine de Fontenay</DisplayName>
        <AccountId>1249</AccountId>
        <AccountType/>
      </UserInfo>
      <UserInfo>
        <DisplayName>Liz Callaghan</DisplayName>
        <AccountId>593</AccountId>
        <AccountType/>
      </UserInfo>
      <UserInfo>
        <DisplayName>Rosalyn Bell</DisplayName>
        <AccountId>421</AccountId>
        <AccountType/>
      </UserInfo>
      <UserInfo>
        <DisplayName>Lisa Studdert</DisplayName>
        <AccountId>523</AccountId>
        <AccountType/>
      </UserInfo>
      <UserInfo>
        <DisplayName>Kate Judd</DisplayName>
        <AccountId>1147</AccountId>
        <AccountType/>
      </UserInfo>
      <UserInfo>
        <DisplayName>Anna Heaney</DisplayName>
        <AccountId>418</AccountId>
        <AccountType/>
      </UserInfo>
      <UserInfo>
        <DisplayName>Danielle Wood</DisplayName>
        <AccountId>1060</AccountId>
        <AccountType/>
      </UserInfo>
      <UserInfo>
        <DisplayName>Carmela Chivers</DisplayName>
        <AccountId>1438</AccountId>
        <AccountType/>
      </UserInfo>
      <UserInfo>
        <DisplayName>Jeremy Kamil</DisplayName>
        <AccountId>436</AccountId>
        <AccountType/>
      </UserInfo>
      <UserInfo>
        <DisplayName>Lisa Gropp</DisplayName>
        <AccountId>917</AccountId>
        <AccountType/>
      </UserInfo>
      <UserInfo>
        <DisplayName>Anne Poelina</DisplayName>
        <AccountId>1356</AccountId>
        <AccountType/>
      </UserInfo>
      <UserInfo>
        <DisplayName>Stephen King</DisplayName>
        <AccountId>542</AccountId>
        <AccountType/>
      </UserInfo>
      <UserInfo>
        <DisplayName>Joanne Chong</DisplayName>
        <AccountId>385</AccountId>
        <AccountType/>
      </UserInfo>
      <UserInfo>
        <DisplayName>Alex Robson</DisplayName>
        <AccountId>386</AccountId>
        <AccountType/>
      </UserInfo>
      <UserInfo>
        <DisplayName>Krystian Seibert</DisplayName>
        <AccountId>914</AccountId>
        <AccountType/>
      </UserInfo>
      <UserInfo>
        <DisplayName>Natalie Siegel-Brown</DisplayName>
        <AccountId>671</AccountId>
        <AccountType/>
      </UserInfo>
      <UserInfo>
        <DisplayName>Deborah Brennan</DisplayName>
        <AccountId>916</AccountId>
        <AccountType/>
      </UserInfo>
      <UserInfo>
        <DisplayName>Martin Stokie</DisplayName>
        <AccountId>918</AccountId>
        <AccountType/>
      </UserInfo>
      <UserInfo>
        <DisplayName>Julie Abramson</DisplayName>
        <AccountId>380</AccountId>
        <AccountType/>
      </UserInfo>
    </SharedWithUsers>
    <Status xmlns="3d385984-9344-419b-a80b-49c06a2bdab8" xsi:nil="true"/>
  </documentManagement>
</p:properties>
</file>

<file path=customXml/item5.xml><?xml version="1.0" encoding="utf-8"?>
<TemplafyFormConfiguration><![CDATA[{"formFields":[],"formDataEntries":[]}]]></TemplafyFormConfiguratio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a4a458577afba0c25a4ff5c38fe6492e">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98f736565d137a523cda51a19cf086fd"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FCFD37AB-794A-4EAE-BE16-9BCCAC8DDA0B}">
  <ds:schemaRefs>
    <ds:schemaRef ds:uri="http://schemas.microsoft.com/sharepoint/events"/>
  </ds:schemaRefs>
</ds:datastoreItem>
</file>

<file path=customXml/itemProps3.xml><?xml version="1.0" encoding="utf-8"?>
<ds:datastoreItem xmlns:ds="http://schemas.openxmlformats.org/officeDocument/2006/customXml" ds:itemID="{64B36A73-8DDA-4B38-B4CA-F786EEFBB408}">
  <ds:schemaRefs>
    <ds:schemaRef ds:uri="http://schemas.microsoft.com/sharepoint/v3/contenttype/forms"/>
  </ds:schemaRefs>
</ds:datastoreItem>
</file>

<file path=customXml/itemProps4.xml><?xml version="1.0" encoding="utf-8"?>
<ds:datastoreItem xmlns:ds="http://schemas.openxmlformats.org/officeDocument/2006/customXml" ds:itemID="{319D671F-98F2-4B38-94C0-CB74B3D7FCF8}">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8463421A-8D5B-4D3F-953D-E53AC08AE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1537</TotalTime>
  <Pages>24</Pages>
  <Words>7377</Words>
  <Characters>42050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Why are investment hurdle rates so high? Risk or market power?</vt:lpstr>
    </vt:vector>
  </TitlesOfParts>
  <Company>Productivity Commission</Company>
  <LinksUpToDate>false</LinksUpToDate>
  <CharactersWithSpaces>49329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are investment hurdle rates so high? Risk or market power?</dc:title>
  <dc:subject>Staff working paper</dc:subject>
  <dc:creator>Productivity Commission</dc:creator>
  <cp:keywords/>
  <dc:description/>
  <cp:lastModifiedBy>Chris Alston</cp:lastModifiedBy>
  <cp:revision>492</cp:revision>
  <cp:lastPrinted>2024-05-30T23:02:00Z</cp:lastPrinted>
  <dcterms:created xsi:type="dcterms:W3CDTF">2024-02-12T16:08:00Z</dcterms:created>
  <dcterms:modified xsi:type="dcterms:W3CDTF">2024-06-04T02:36:00Z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id="8XiIHtgU"/&gt;&lt;style id="http://www.zotero.org/styles/Productivity-Commission"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y fmtid="{D5CDD505-2E9C-101B-9397-08002B2CF9AE}" pid="4" name="TemplafyTenantId">
    <vt:lpwstr>productivitycommission</vt:lpwstr>
  </property>
  <property fmtid="{D5CDD505-2E9C-101B-9397-08002B2CF9AE}" pid="5" name="TemplafyTemplateId">
    <vt:lpwstr>637629323564275408</vt:lpwstr>
  </property>
  <property fmtid="{D5CDD505-2E9C-101B-9397-08002B2CF9AE}" pid="6" name="TemplafyUserProfileId">
    <vt:lpwstr>637610559223843913</vt:lpwstr>
  </property>
  <property fmtid="{D5CDD505-2E9C-101B-9397-08002B2CF9AE}" pid="7" name="TemplafyFromBlank">
    <vt:bool>false</vt:bool>
  </property>
  <property fmtid="{D5CDD505-2E9C-101B-9397-08002B2CF9AE}" pid="8" name="ContentTypeId">
    <vt:lpwstr>0x0101006C0B5E815648EF46B6FA6D42F17E5E9F000C963E276195B04F83BC027CFDC94A8D</vt:lpwstr>
  </property>
  <property fmtid="{D5CDD505-2E9C-101B-9397-08002B2CF9AE}" pid="9" name="MediaServiceImageTags">
    <vt:lpwstr/>
  </property>
  <property fmtid="{D5CDD505-2E9C-101B-9397-08002B2CF9AE}" pid="10" name="RevIMBCS">
    <vt:lpwstr>1;#Unclassified|3955eeb1-2d18-4582-aeb2-00144ec3aaf5</vt:lpwstr>
  </property>
  <property fmtid="{D5CDD505-2E9C-101B-9397-08002B2CF9AE}" pid="11" name="_dlc_DocIdItemGuid">
    <vt:lpwstr>ffee3ea5-0d31-41d0-95dd-28c0cfe7ba26</vt:lpwstr>
  </property>
  <property fmtid="{D5CDD505-2E9C-101B-9397-08002B2CF9AE}" pid="12" name="ClassificationContentMarkingHeaderShapeIds">
    <vt:lpwstr>e328e2a,291d4306,149a54e0,568640f5,5b9d0e1,4111b2d1,3948919b,78ff1471,679c2df4,6424397,435a0fd2,6cc0369e,f38a446,489608a9,67c8d804</vt:lpwstr>
  </property>
  <property fmtid="{D5CDD505-2E9C-101B-9397-08002B2CF9AE}" pid="13" name="ClassificationContentMarkingHeaderFontProps">
    <vt:lpwstr>#000000,12,Calibri</vt:lpwstr>
  </property>
  <property fmtid="{D5CDD505-2E9C-101B-9397-08002B2CF9AE}" pid="14" name="ClassificationContentMarkingHeaderText">
    <vt:lpwstr> OFFICIAL</vt:lpwstr>
  </property>
  <property fmtid="{D5CDD505-2E9C-101B-9397-08002B2CF9AE}" pid="15" name="MSIP_Label_f7467c1a-e0ed-413c-a72b-aac8e8e94f41_Enabled">
    <vt:lpwstr>true</vt:lpwstr>
  </property>
  <property fmtid="{D5CDD505-2E9C-101B-9397-08002B2CF9AE}" pid="16" name="MSIP_Label_f7467c1a-e0ed-413c-a72b-aac8e8e94f41_SetDate">
    <vt:lpwstr>2024-02-29T09:29:15Z</vt:lpwstr>
  </property>
  <property fmtid="{D5CDD505-2E9C-101B-9397-08002B2CF9AE}" pid="17" name="MSIP_Label_f7467c1a-e0ed-413c-a72b-aac8e8e94f41_Method">
    <vt:lpwstr>Privileged</vt:lpwstr>
  </property>
  <property fmtid="{D5CDD505-2E9C-101B-9397-08002B2CF9AE}" pid="18" name="MSIP_Label_f7467c1a-e0ed-413c-a72b-aac8e8e94f41_Name">
    <vt:lpwstr>OFFICIAL</vt:lpwstr>
  </property>
  <property fmtid="{D5CDD505-2E9C-101B-9397-08002B2CF9AE}" pid="19" name="MSIP_Label_f7467c1a-e0ed-413c-a72b-aac8e8e94f41_SiteId">
    <vt:lpwstr>29f9330b-c0fe-4244-830e-ba9f275d6c34</vt:lpwstr>
  </property>
  <property fmtid="{D5CDD505-2E9C-101B-9397-08002B2CF9AE}" pid="20" name="MSIP_Label_f7467c1a-e0ed-413c-a72b-aac8e8e94f41_ActionId">
    <vt:lpwstr>103c090e-2618-467d-b012-8b40c67d18b7</vt:lpwstr>
  </property>
  <property fmtid="{D5CDD505-2E9C-101B-9397-08002B2CF9AE}" pid="21" name="MSIP_Label_f7467c1a-e0ed-413c-a72b-aac8e8e94f41_ContentBits">
    <vt:lpwstr>1</vt:lpwstr>
  </property>
</Properties>
</file>