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rawings/drawing1.xml" ContentType="application/vnd.openxmlformats-officedocument.drawingml.chartshapes+xml"/>
  <Override PartName="/word/drawings/drawing3.xml" ContentType="application/vnd.openxmlformats-officedocument.drawingml.chartshapes+xml"/>
  <Override PartName="/word/drawings/drawing4.xml" ContentType="application/vnd.openxmlformats-officedocument.drawingml.chartshapes+xml"/>
  <Override PartName="/word/drawings/drawing2.xml" ContentType="application/vnd.openxmlformats-officedocument.drawingml.chartshapes+xml"/>
  <Override PartName="/word/drawings/drawing5.xml" ContentType="application/vnd.openxmlformats-officedocument.drawingml.chartshapes+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charts/chart3.xml" ContentType="application/vnd.openxmlformats-officedocument.drawingml.chart+xml"/>
  <Override PartName="/word/charts/chart1.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7.xml" ContentType="application/vnd.openxmlformats-officedocument.drawingml.chart+xml"/>
  <Override PartName="/word/charts/chart6.xml" ContentType="application/vnd.openxmlformats-officedocument.drawingml.chart+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533" w:rsidRDefault="00EE2533">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EE2533">
        <w:tc>
          <w:tcPr>
            <w:tcW w:w="6634" w:type="dxa"/>
            <w:tcBorders>
              <w:top w:val="single" w:sz="6" w:space="0" w:color="auto"/>
            </w:tcBorders>
          </w:tcPr>
          <w:p w:rsidR="00EE2533" w:rsidRDefault="00EE2533">
            <w:pPr>
              <w:pStyle w:val="PartDivider"/>
            </w:pPr>
          </w:p>
        </w:tc>
        <w:tc>
          <w:tcPr>
            <w:tcW w:w="2155" w:type="dxa"/>
            <w:tcBorders>
              <w:top w:val="single" w:sz="24" w:space="0" w:color="auto"/>
            </w:tcBorders>
          </w:tcPr>
          <w:p w:rsidR="00EE2533" w:rsidRDefault="00EE2533">
            <w:pPr>
              <w:pStyle w:val="PartDivider"/>
            </w:pPr>
          </w:p>
        </w:tc>
      </w:tr>
    </w:tbl>
    <w:p w:rsidR="00EE2533" w:rsidRDefault="00EE2533">
      <w:pPr>
        <w:pStyle w:val="PartDivider"/>
      </w:pPr>
    </w:p>
    <w:p w:rsidR="00EE2533" w:rsidRDefault="00EE2533">
      <w:pPr>
        <w:pStyle w:val="PartTitle"/>
      </w:pPr>
      <w:r>
        <w:t>Overview</w:t>
      </w:r>
    </w:p>
    <w:p w:rsidR="00EE2533" w:rsidRDefault="00EE2533">
      <w:pPr>
        <w:rPr>
          <w:sz w:val="52"/>
          <w:szCs w:val="20"/>
        </w:rPr>
      </w:pPr>
      <w:r>
        <w:br w:type="page"/>
      </w:r>
    </w:p>
    <w:p w:rsidR="00EE2533" w:rsidRPr="004E4E00" w:rsidRDefault="00EE2533">
      <w:pPr>
        <w:rPr>
          <w:vanish/>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EE2533">
        <w:tc>
          <w:tcPr>
            <w:tcW w:w="8789" w:type="dxa"/>
            <w:tcBorders>
              <w:bottom w:val="nil"/>
            </w:tcBorders>
          </w:tcPr>
          <w:p w:rsidR="00EE2533" w:rsidRDefault="00EE2533">
            <w:pPr>
              <w:pStyle w:val="BoxTitle"/>
            </w:pPr>
            <w:r>
              <w:t>Key points</w:t>
            </w:r>
          </w:p>
        </w:tc>
      </w:tr>
      <w:tr w:rsidR="00EE2533">
        <w:tc>
          <w:tcPr>
            <w:tcW w:w="8789" w:type="dxa"/>
            <w:tcBorders>
              <w:top w:val="nil"/>
              <w:left w:val="single" w:sz="4" w:space="0" w:color="auto"/>
              <w:bottom w:val="nil"/>
              <w:right w:val="single" w:sz="4" w:space="0" w:color="auto"/>
            </w:tcBorders>
          </w:tcPr>
          <w:p w:rsidR="00B677D7" w:rsidRDefault="003D293A" w:rsidP="00B677D7">
            <w:pPr>
              <w:pStyle w:val="BoxListBullet"/>
            </w:pPr>
            <w:r>
              <w:t>Between 1988-89 and 2009-10</w:t>
            </w:r>
            <w:r w:rsidR="007525B8">
              <w:t>,</w:t>
            </w:r>
            <w:r w:rsidR="00B677D7">
              <w:t xml:space="preserve"> the incomes of individuals and households</w:t>
            </w:r>
            <w:r w:rsidR="0064017E">
              <w:t xml:space="preserve"> in Australia</w:t>
            </w:r>
            <w:r w:rsidR="00B677D7">
              <w:t xml:space="preserve"> have risen substantially in </w:t>
            </w:r>
            <w:r w:rsidR="00581B98">
              <w:t xml:space="preserve">real terms and in </w:t>
            </w:r>
            <w:r w:rsidR="00B677D7">
              <w:t xml:space="preserve">comparison to </w:t>
            </w:r>
            <w:r>
              <w:t xml:space="preserve">trends in </w:t>
            </w:r>
            <w:r w:rsidR="0064017E">
              <w:t>other OECD</w:t>
            </w:r>
            <w:r w:rsidR="007525B8">
              <w:t xml:space="preserve"> countries</w:t>
            </w:r>
            <w:r w:rsidR="00027E31">
              <w:t>, with particularly strong growth between 2003-04 and 2009-10</w:t>
            </w:r>
            <w:r w:rsidR="007525B8">
              <w:t>.</w:t>
            </w:r>
            <w:r w:rsidR="00B677D7">
              <w:t xml:space="preserve"> </w:t>
            </w:r>
          </w:p>
          <w:p w:rsidR="00B677D7" w:rsidRDefault="00B677D7" w:rsidP="00B677D7">
            <w:pPr>
              <w:pStyle w:val="BoxListBullet2"/>
              <w:numPr>
                <w:ilvl w:val="0"/>
                <w:numId w:val="2"/>
              </w:numPr>
            </w:pPr>
            <w:r>
              <w:t>Th</w:t>
            </w:r>
            <w:r w:rsidR="00027E31">
              <w:t>e</w:t>
            </w:r>
            <w:r>
              <w:t xml:space="preserve"> </w:t>
            </w:r>
            <w:r w:rsidR="0064017E">
              <w:t xml:space="preserve">increase </w:t>
            </w:r>
            <w:r>
              <w:t xml:space="preserve">has </w:t>
            </w:r>
            <w:r w:rsidR="00027E31">
              <w:t xml:space="preserve">mainly </w:t>
            </w:r>
            <w:r>
              <w:t xml:space="preserve">been </w:t>
            </w:r>
            <w:r w:rsidR="0064017E">
              <w:t xml:space="preserve">driven by </w:t>
            </w:r>
            <w:r w:rsidR="00DF128C">
              <w:t xml:space="preserve">growth in </w:t>
            </w:r>
            <w:r w:rsidR="0064017E">
              <w:t xml:space="preserve">labour force earnings, arising from </w:t>
            </w:r>
            <w:r w:rsidR="00027E31">
              <w:t xml:space="preserve">employment growth, more </w:t>
            </w:r>
            <w:r>
              <w:t>hours worked (by part-time workers) and increased hourly wages.</w:t>
            </w:r>
          </w:p>
          <w:p w:rsidR="00B677D7" w:rsidRDefault="002C0853" w:rsidP="00B677D7">
            <w:pPr>
              <w:pStyle w:val="BoxListBullet"/>
            </w:pPr>
            <w:r>
              <w:t xml:space="preserve">While real </w:t>
            </w:r>
            <w:r w:rsidR="00DF128C">
              <w:t xml:space="preserve">individual and household </w:t>
            </w:r>
            <w:r>
              <w:t xml:space="preserve">incomes have </w:t>
            </w:r>
            <w:r w:rsidR="00027E31">
              <w:t xml:space="preserve">both </w:t>
            </w:r>
            <w:r>
              <w:t>risen across the</w:t>
            </w:r>
            <w:r w:rsidR="00DF128C">
              <w:t>ir</w:t>
            </w:r>
            <w:r>
              <w:t xml:space="preserve"> distribution</w:t>
            </w:r>
            <w:r w:rsidR="00DF128C">
              <w:t>s</w:t>
            </w:r>
            <w:r>
              <w:t xml:space="preserve">, </w:t>
            </w:r>
            <w:r w:rsidR="00027E31">
              <w:t>increases have</w:t>
            </w:r>
            <w:r>
              <w:t xml:space="preserve"> been uneven</w:t>
            </w:r>
            <w:r w:rsidR="007525B8">
              <w:t>.</w:t>
            </w:r>
          </w:p>
          <w:p w:rsidR="002C0853" w:rsidRDefault="002C0853" w:rsidP="002C0853">
            <w:pPr>
              <w:pStyle w:val="BoxListBullet2"/>
              <w:numPr>
                <w:ilvl w:val="0"/>
                <w:numId w:val="2"/>
              </w:numPr>
            </w:pPr>
            <w:r>
              <w:t>The rate of growth has been higher at the ‘top end’ of the distribution</w:t>
            </w:r>
            <w:r w:rsidR="00027E31">
              <w:t>s</w:t>
            </w:r>
            <w:r>
              <w:t xml:space="preserve"> than the ‘bottom end’</w:t>
            </w:r>
            <w:r w:rsidR="007525B8">
              <w:t>.</w:t>
            </w:r>
          </w:p>
          <w:p w:rsidR="00B677D7" w:rsidRDefault="00B677D7" w:rsidP="00B677D7">
            <w:pPr>
              <w:pStyle w:val="BoxListBullet2"/>
              <w:numPr>
                <w:ilvl w:val="0"/>
                <w:numId w:val="2"/>
              </w:numPr>
            </w:pPr>
            <w:r>
              <w:t>Incomes for tho</w:t>
            </w:r>
            <w:bookmarkStart w:id="2" w:name="_GoBack"/>
            <w:bookmarkEnd w:id="2"/>
            <w:r>
              <w:t>se in the middle of the distribution have spread out (that is</w:t>
            </w:r>
            <w:r w:rsidR="007525B8">
              <w:t>,</w:t>
            </w:r>
            <w:r>
              <w:t xml:space="preserve"> they </w:t>
            </w:r>
            <w:r w:rsidR="00027E31">
              <w:t>have become</w:t>
            </w:r>
            <w:r>
              <w:t xml:space="preserve"> less concentrated around the average)</w:t>
            </w:r>
            <w:r w:rsidR="00D910FA">
              <w:t>.</w:t>
            </w:r>
          </w:p>
          <w:p w:rsidR="00B677D7" w:rsidRDefault="00DF128C" w:rsidP="00B677D7">
            <w:pPr>
              <w:pStyle w:val="BoxListBullet"/>
            </w:pPr>
            <w:r>
              <w:t>These</w:t>
            </w:r>
            <w:r w:rsidR="00B677D7">
              <w:t xml:space="preserve"> </w:t>
            </w:r>
            <w:r w:rsidR="007525B8">
              <w:t>changes</w:t>
            </w:r>
            <w:r w:rsidR="00B677D7">
              <w:t xml:space="preserve"> </w:t>
            </w:r>
            <w:r>
              <w:t>underlie</w:t>
            </w:r>
            <w:r w:rsidR="00B677D7">
              <w:t xml:space="preserve"> the </w:t>
            </w:r>
            <w:r w:rsidR="00027E31">
              <w:t xml:space="preserve">recently </w:t>
            </w:r>
            <w:r w:rsidR="00B677D7">
              <w:t>observed increases in summary measures of inequality (such as the Gini Coefficient) in Australia</w:t>
            </w:r>
            <w:r w:rsidR="00027E31">
              <w:t xml:space="preserve"> for </w:t>
            </w:r>
            <w:r w:rsidR="003D293A">
              <w:t>individual and household</w:t>
            </w:r>
            <w:r w:rsidR="00027E31">
              <w:t xml:space="preserve"> incomes</w:t>
            </w:r>
            <w:r w:rsidR="003D293A">
              <w:t>.</w:t>
            </w:r>
          </w:p>
          <w:p w:rsidR="00B677D7" w:rsidRDefault="00B677D7" w:rsidP="00B677D7">
            <w:pPr>
              <w:pStyle w:val="BoxListBullet2"/>
              <w:numPr>
                <w:ilvl w:val="0"/>
                <w:numId w:val="2"/>
              </w:numPr>
            </w:pPr>
            <w:r>
              <w:t xml:space="preserve">At the individual level, the key drivers are the </w:t>
            </w:r>
            <w:r w:rsidR="002C0853">
              <w:t xml:space="preserve">widening </w:t>
            </w:r>
            <w:r>
              <w:t>dispersion of hourly wages of full-time employees and (to a lesser extent) the relative</w:t>
            </w:r>
            <w:r w:rsidR="003D293A">
              <w:t>ly stronger</w:t>
            </w:r>
            <w:r>
              <w:t xml:space="preserve"> growth </w:t>
            </w:r>
            <w:r w:rsidR="003D293A">
              <w:t>in</w:t>
            </w:r>
            <w:r>
              <w:t xml:space="preserve"> part-time employment</w:t>
            </w:r>
            <w:r w:rsidR="00EC6CFA">
              <w:t>.</w:t>
            </w:r>
          </w:p>
          <w:p w:rsidR="00B677D7" w:rsidRDefault="00B677D7" w:rsidP="00B677D7">
            <w:pPr>
              <w:pStyle w:val="BoxListBullet2"/>
              <w:numPr>
                <w:ilvl w:val="0"/>
                <w:numId w:val="2"/>
              </w:numPr>
            </w:pPr>
            <w:r>
              <w:t>At the h</w:t>
            </w:r>
            <w:r w:rsidR="003D293A">
              <w:t>ousehold level, the key driver ha</w:t>
            </w:r>
            <w:r>
              <w:t xml:space="preserve">s </w:t>
            </w:r>
            <w:r w:rsidR="003D293A">
              <w:t xml:space="preserve">been </w:t>
            </w:r>
            <w:r>
              <w:t>capital income growth amongst high</w:t>
            </w:r>
            <w:r w:rsidR="007525B8">
              <w:t>er</w:t>
            </w:r>
            <w:r>
              <w:t xml:space="preserve"> </w:t>
            </w:r>
            <w:r w:rsidR="007525B8">
              <w:t>income</w:t>
            </w:r>
            <w:r>
              <w:t xml:space="preserve"> households. The impact of growing dispersion of hourly wages on the distribution of labour income </w:t>
            </w:r>
            <w:r w:rsidR="003D293A">
              <w:t>has been</w:t>
            </w:r>
            <w:r>
              <w:t xml:space="preserve"> offset by increased employment </w:t>
            </w:r>
            <w:r w:rsidR="00DF128C">
              <w:t>of household members including a</w:t>
            </w:r>
            <w:r>
              <w:t xml:space="preserve"> decline in</w:t>
            </w:r>
            <w:r w:rsidR="00D910FA">
              <w:t xml:space="preserve"> the share of</w:t>
            </w:r>
            <w:r>
              <w:t xml:space="preserve"> jobless households.</w:t>
            </w:r>
          </w:p>
          <w:p w:rsidR="00B677D7" w:rsidRDefault="0064017E" w:rsidP="00B677D7">
            <w:pPr>
              <w:pStyle w:val="BoxListBullet"/>
            </w:pPr>
            <w:r>
              <w:t xml:space="preserve">Final income </w:t>
            </w:r>
            <w:r w:rsidRPr="0064017E">
              <w:t xml:space="preserve">is </w:t>
            </w:r>
            <w:r w:rsidR="003D293A">
              <w:t xml:space="preserve">also </w:t>
            </w:r>
            <w:r w:rsidRPr="0064017E">
              <w:t>influenced by government taxes and transfers</w:t>
            </w:r>
            <w:r>
              <w:t>. These have</w:t>
            </w:r>
            <w:r w:rsidR="00B677D7">
              <w:t xml:space="preserve"> a substantial redistributive impact on the di</w:t>
            </w:r>
            <w:r>
              <w:t>stribution of household income</w:t>
            </w:r>
            <w:r w:rsidR="00DF128C">
              <w:t>, substantially reducing measured inequality</w:t>
            </w:r>
            <w:r>
              <w:t>.</w:t>
            </w:r>
          </w:p>
          <w:p w:rsidR="00EE2533" w:rsidRDefault="00B677D7" w:rsidP="00DF128C">
            <w:pPr>
              <w:pStyle w:val="BoxListBullet"/>
            </w:pPr>
            <w:r w:rsidRPr="00665A6A">
              <w:t>Although the progressive imp</w:t>
            </w:r>
            <w:r w:rsidR="00F82D9B">
              <w:t>act of the tax</w:t>
            </w:r>
            <w:r w:rsidR="00581B98">
              <w:t xml:space="preserve"> and</w:t>
            </w:r>
            <w:r w:rsidR="00F82D9B">
              <w:t xml:space="preserve"> transfer system </w:t>
            </w:r>
            <w:r w:rsidRPr="00665A6A">
              <w:t xml:space="preserve">declined slightly </w:t>
            </w:r>
            <w:r w:rsidR="00315EBC">
              <w:t>from</w:t>
            </w:r>
            <w:r w:rsidRPr="00665A6A">
              <w:t xml:space="preserve"> the early 2000s</w:t>
            </w:r>
            <w:r>
              <w:t xml:space="preserve"> (</w:t>
            </w:r>
            <w:r w:rsidRPr="00665A6A">
              <w:t xml:space="preserve">with the </w:t>
            </w:r>
            <w:r>
              <w:t>introduction of t</w:t>
            </w:r>
            <w:r w:rsidRPr="00665A6A">
              <w:t xml:space="preserve">he GST and </w:t>
            </w:r>
            <w:r w:rsidR="00315EBC">
              <w:t xml:space="preserve">a </w:t>
            </w:r>
            <w:r w:rsidRPr="00665A6A">
              <w:t>fall in the number of recipients of government benefit payments</w:t>
            </w:r>
            <w:r w:rsidR="00315EBC">
              <w:t xml:space="preserve"> associated with higher employment</w:t>
            </w:r>
            <w:r>
              <w:t>)</w:t>
            </w:r>
            <w:r w:rsidRPr="00665A6A">
              <w:t>, real growth in the value of direct and indirect transfers contributed to growth in incomes for low income households</w:t>
            </w:r>
            <w:r w:rsidR="00F82D9B">
              <w:t>.</w:t>
            </w:r>
          </w:p>
          <w:p w:rsidR="003D293A" w:rsidRDefault="001518C4" w:rsidP="007525B8">
            <w:pPr>
              <w:pStyle w:val="BoxListBullet"/>
            </w:pPr>
            <w:r w:rsidRPr="001518C4">
              <w:t xml:space="preserve">The analysis highlights the need to examine the changes in </w:t>
            </w:r>
            <w:r w:rsidR="00B841DF">
              <w:t>various income components</w:t>
            </w:r>
            <w:r w:rsidRPr="001518C4">
              <w:t xml:space="preserve"> and </w:t>
            </w:r>
            <w:r w:rsidR="00B841DF">
              <w:t xml:space="preserve">population </w:t>
            </w:r>
            <w:r w:rsidRPr="001518C4">
              <w:t xml:space="preserve">subgroups </w:t>
            </w:r>
            <w:r w:rsidR="007525B8">
              <w:t>in order to understand the</w:t>
            </w:r>
            <w:r w:rsidRPr="001518C4">
              <w:t xml:space="preserve"> changes in the distribution of income and inequality measures</w:t>
            </w:r>
            <w:r w:rsidR="00581B98">
              <w:t xml:space="preserve"> such as the Gini coefficient</w:t>
            </w:r>
            <w:r w:rsidRPr="001518C4">
              <w:t xml:space="preserve">. </w:t>
            </w:r>
          </w:p>
          <w:p w:rsidR="00C86B00" w:rsidRDefault="00C86B00" w:rsidP="00575604">
            <w:pPr>
              <w:pStyle w:val="BoxListBullet2"/>
            </w:pPr>
            <w:r>
              <w:t>Differences in individual income</w:t>
            </w:r>
            <w:r w:rsidR="00D17A8E">
              <w:t>, and therefor</w:t>
            </w:r>
            <w:r w:rsidR="00575604">
              <w:t>e</w:t>
            </w:r>
            <w:r w:rsidR="00D17A8E">
              <w:t xml:space="preserve"> household income</w:t>
            </w:r>
            <w:r>
              <w:t xml:space="preserve"> levels</w:t>
            </w:r>
            <w:r w:rsidR="00575604">
              <w:t>,</w:t>
            </w:r>
            <w:r>
              <w:t xml:space="preserve"> occur for a variety of reasons including personal choices and innate characteristics as well</w:t>
            </w:r>
            <w:r w:rsidR="00575604">
              <w:t xml:space="preserve"> as</w:t>
            </w:r>
            <w:r>
              <w:t xml:space="preserve"> </w:t>
            </w:r>
            <w:r w:rsidR="00575604">
              <w:t xml:space="preserve">opportunities and </w:t>
            </w:r>
            <w:r>
              <w:t>inheritances. These differences combine with broader economic forces and policy settings to influence the distribution of income over time.</w:t>
            </w:r>
          </w:p>
        </w:tc>
      </w:tr>
      <w:tr w:rsidR="00EE2533">
        <w:tc>
          <w:tcPr>
            <w:tcW w:w="8789" w:type="dxa"/>
            <w:tcBorders>
              <w:top w:val="nil"/>
              <w:bottom w:val="single" w:sz="4" w:space="0" w:color="auto"/>
            </w:tcBorders>
          </w:tcPr>
          <w:p w:rsidR="00EE2533" w:rsidRDefault="00EE2533">
            <w:pPr>
              <w:pStyle w:val="Box"/>
              <w:spacing w:before="0" w:line="120" w:lineRule="exact"/>
            </w:pPr>
          </w:p>
        </w:tc>
      </w:tr>
      <w:tr w:rsidR="00EE2533">
        <w:tc>
          <w:tcPr>
            <w:tcW w:w="8789" w:type="dxa"/>
            <w:tcBorders>
              <w:top w:val="nil"/>
              <w:left w:val="nil"/>
              <w:bottom w:val="nil"/>
              <w:right w:val="nil"/>
            </w:tcBorders>
          </w:tcPr>
          <w:p w:rsidR="00EE2533" w:rsidRDefault="00EE2533">
            <w:pPr>
              <w:pStyle w:val="Box"/>
              <w:keepNext w:val="0"/>
              <w:spacing w:before="60" w:after="60" w:line="80" w:lineRule="exact"/>
            </w:pPr>
          </w:p>
        </w:tc>
      </w:tr>
    </w:tbl>
    <w:p w:rsidR="00EE2533" w:rsidRDefault="00EE2533" w:rsidP="00EE2533">
      <w:pPr>
        <w:pStyle w:val="BodyText"/>
        <w:rPr>
          <w:sz w:val="52"/>
        </w:rPr>
      </w:pPr>
      <w:r>
        <w:br w:type="page"/>
      </w:r>
    </w:p>
    <w:p w:rsidR="00A33DFF" w:rsidRDefault="00EE2533" w:rsidP="0017185B">
      <w:pPr>
        <w:pStyle w:val="Heading1"/>
        <w:spacing w:after="1160"/>
      </w:pPr>
      <w:bookmarkStart w:id="3" w:name="ChapterTitle"/>
      <w:bookmarkEnd w:id="1"/>
      <w:r>
        <w:lastRenderedPageBreak/>
        <w:t>Overview</w:t>
      </w:r>
      <w:bookmarkEnd w:id="3"/>
    </w:p>
    <w:p w:rsidR="0073094A" w:rsidRDefault="00F64F10" w:rsidP="00120072">
      <w:pPr>
        <w:pStyle w:val="BodyText"/>
      </w:pPr>
      <w:bookmarkStart w:id="4" w:name="begin"/>
      <w:bookmarkEnd w:id="4"/>
      <w:r>
        <w:t>Variation in income</w:t>
      </w:r>
      <w:r w:rsidR="008716BA">
        <w:t xml:space="preserve">s is a feature of </w:t>
      </w:r>
      <w:r w:rsidR="0073094A">
        <w:t xml:space="preserve">all </w:t>
      </w:r>
      <w:r w:rsidR="008716BA">
        <w:t>economies. At any point in time, s</w:t>
      </w:r>
      <w:r w:rsidR="00425016">
        <w:t xml:space="preserve">ome </w:t>
      </w:r>
      <w:r w:rsidR="008716BA">
        <w:t xml:space="preserve">individuals and households </w:t>
      </w:r>
      <w:r w:rsidR="00425016">
        <w:t>earn relatively less, while others earn relatively more, resulting in a distribution of</w:t>
      </w:r>
      <w:r w:rsidR="00F82D9B">
        <w:t xml:space="preserve"> different</w:t>
      </w:r>
      <w:r w:rsidR="00425016">
        <w:t xml:space="preserve"> incomes.</w:t>
      </w:r>
      <w:r w:rsidR="0073094A">
        <w:t xml:space="preserve"> </w:t>
      </w:r>
      <w:r w:rsidR="00C86B00">
        <w:t>D</w:t>
      </w:r>
      <w:r w:rsidR="0073094A">
        <w:t>ifferences in individual income</w:t>
      </w:r>
      <w:r w:rsidR="00C86B00">
        <w:t>s</w:t>
      </w:r>
      <w:r w:rsidR="0073094A">
        <w:t xml:space="preserve"> occur for a variety of reasons including personal choices </w:t>
      </w:r>
      <w:r w:rsidR="0052257A">
        <w:t>and</w:t>
      </w:r>
      <w:r w:rsidR="0073094A">
        <w:t xml:space="preserve"> innate characteristics </w:t>
      </w:r>
      <w:r w:rsidR="0052257A">
        <w:t>(such as age, in</w:t>
      </w:r>
      <w:r w:rsidR="007525B8">
        <w:t>telligence and</w:t>
      </w:r>
      <w:r w:rsidR="0052257A">
        <w:t xml:space="preserve"> choice</w:t>
      </w:r>
      <w:r w:rsidR="00F86010">
        <w:t>s</w:t>
      </w:r>
      <w:r w:rsidR="0052257A">
        <w:t xml:space="preserve"> made over work life balance) as well as</w:t>
      </w:r>
      <w:r w:rsidR="0073094A">
        <w:t xml:space="preserve"> </w:t>
      </w:r>
      <w:r w:rsidR="00575604">
        <w:t xml:space="preserve">opportunities and </w:t>
      </w:r>
      <w:r w:rsidR="0073094A">
        <w:t xml:space="preserve">inheritances. These individual differences combine with broader economic forces and policy settings to </w:t>
      </w:r>
      <w:r w:rsidR="007525B8">
        <w:t>influence</w:t>
      </w:r>
      <w:r w:rsidR="00F86010">
        <w:t xml:space="preserve"> the </w:t>
      </w:r>
      <w:r w:rsidR="0073094A">
        <w:t xml:space="preserve">distribution </w:t>
      </w:r>
      <w:r w:rsidR="00F86010">
        <w:t>of income</w:t>
      </w:r>
      <w:r w:rsidR="007525B8">
        <w:t xml:space="preserve"> over time</w:t>
      </w:r>
      <w:r w:rsidR="0073094A">
        <w:t xml:space="preserve">. </w:t>
      </w:r>
    </w:p>
    <w:p w:rsidR="00347FF5" w:rsidRDefault="00E827B9" w:rsidP="00616CF4">
      <w:pPr>
        <w:pStyle w:val="BodyText"/>
      </w:pPr>
      <w:r>
        <w:t xml:space="preserve">The measurement and analysis of </w:t>
      </w:r>
      <w:r w:rsidR="008716BA">
        <w:t>the distribution of income</w:t>
      </w:r>
      <w:r w:rsidR="0073094A">
        <w:t>, including the</w:t>
      </w:r>
      <w:r w:rsidR="008716BA">
        <w:t xml:space="preserve"> </w:t>
      </w:r>
      <w:r w:rsidR="0073094A">
        <w:t xml:space="preserve">analysis </w:t>
      </w:r>
      <w:r w:rsidR="00DF128C">
        <w:t>of</w:t>
      </w:r>
      <w:r w:rsidR="008716BA">
        <w:t xml:space="preserve"> inequality </w:t>
      </w:r>
      <w:r w:rsidR="0073094A">
        <w:t>in</w:t>
      </w:r>
      <w:r w:rsidR="008716BA">
        <w:t xml:space="preserve"> incomes</w:t>
      </w:r>
      <w:r w:rsidR="007525B8">
        <w:t>,</w:t>
      </w:r>
      <w:r w:rsidR="008716BA">
        <w:t xml:space="preserve"> are </w:t>
      </w:r>
      <w:r w:rsidR="00535456">
        <w:t xml:space="preserve">the </w:t>
      </w:r>
      <w:r w:rsidR="004639A9">
        <w:t>focus</w:t>
      </w:r>
      <w:r w:rsidR="00535456">
        <w:t xml:space="preserve"> of </w:t>
      </w:r>
      <w:r w:rsidR="000409B6">
        <w:t>a well-established academic literature</w:t>
      </w:r>
      <w:r w:rsidR="00DF128C">
        <w:t>.</w:t>
      </w:r>
      <w:r w:rsidR="00F86010">
        <w:rPr>
          <w:rStyle w:val="FootnoteReference"/>
        </w:rPr>
        <w:footnoteReference w:id="1"/>
      </w:r>
      <w:r w:rsidR="000409B6">
        <w:t xml:space="preserve"> </w:t>
      </w:r>
      <w:r w:rsidR="009E3691">
        <w:t xml:space="preserve">This paper </w:t>
      </w:r>
      <w:r w:rsidR="00EF0212">
        <w:t>seek</w:t>
      </w:r>
      <w:r w:rsidR="00AE614D">
        <w:t>s</w:t>
      </w:r>
      <w:r w:rsidR="00EF0212">
        <w:t xml:space="preserve"> </w:t>
      </w:r>
      <w:r w:rsidR="007525B8">
        <w:t xml:space="preserve">to </w:t>
      </w:r>
      <w:r w:rsidR="0073094A">
        <w:t xml:space="preserve">contribute </w:t>
      </w:r>
      <w:r w:rsidR="00EF0212">
        <w:t xml:space="preserve">to </w:t>
      </w:r>
      <w:r w:rsidR="0073094A">
        <w:t>the existing analysis by examining</w:t>
      </w:r>
      <w:r>
        <w:t xml:space="preserve"> </w:t>
      </w:r>
      <w:r w:rsidR="00EF0212">
        <w:t>what has happen</w:t>
      </w:r>
      <w:r w:rsidR="00EC6CFA">
        <w:t>ed</w:t>
      </w:r>
      <w:r w:rsidR="00EF0212">
        <w:t xml:space="preserve"> to the distribution of income in Australia since the late 1980s, at </w:t>
      </w:r>
      <w:r w:rsidR="0073094A">
        <w:t xml:space="preserve">both </w:t>
      </w:r>
      <w:r w:rsidR="00EF0212">
        <w:t xml:space="preserve">the </w:t>
      </w:r>
      <w:r w:rsidR="00616CF4">
        <w:t>individual and household level.</w:t>
      </w:r>
      <w:r w:rsidR="008716BA">
        <w:t xml:space="preserve"> </w:t>
      </w:r>
      <w:r w:rsidR="0073094A">
        <w:t>Distributional changes are explored along with changes in summary measures of income inequality</w:t>
      </w:r>
      <w:r w:rsidR="00C86B00">
        <w:t>,</w:t>
      </w:r>
      <w:r w:rsidR="00581B98">
        <w:t xml:space="preserve"> such as the Gini coefficient</w:t>
      </w:r>
      <w:r w:rsidR="00C86B00">
        <w:t>,</w:t>
      </w:r>
      <w:r w:rsidR="0073094A">
        <w:t xml:space="preserve"> </w:t>
      </w:r>
      <w:r w:rsidR="00C86B00">
        <w:t>according to its</w:t>
      </w:r>
      <w:r w:rsidR="0073094A">
        <w:t xml:space="preserve"> technical meaning used with</w:t>
      </w:r>
      <w:r w:rsidR="005259C2">
        <w:t>in</w:t>
      </w:r>
      <w:r w:rsidR="0073094A">
        <w:t xml:space="preserve"> the academic literature. </w:t>
      </w:r>
    </w:p>
    <w:p w:rsidR="008716BA" w:rsidRPr="00976231" w:rsidRDefault="008716BA" w:rsidP="00616CF4">
      <w:pPr>
        <w:pStyle w:val="BodyText"/>
      </w:pPr>
      <w:r>
        <w:t>A ‘build</w:t>
      </w:r>
      <w:r w:rsidR="0073094A">
        <w:t>-</w:t>
      </w:r>
      <w:r>
        <w:t xml:space="preserve">up’ approach </w:t>
      </w:r>
      <w:r w:rsidR="00347FF5">
        <w:t xml:space="preserve">to income </w:t>
      </w:r>
      <w:r>
        <w:t xml:space="preserve">has been adopted, exploring first individual and then household income. This allows for the factors that influence individual income, such as the returns individual workers obtain from participating in the workforce, to be traced through to household income which is affected by a broader set of </w:t>
      </w:r>
      <w:r w:rsidR="007525B8">
        <w:t xml:space="preserve">demographic, </w:t>
      </w:r>
      <w:r>
        <w:t xml:space="preserve">social and government policy influences. In doing so, changes in the distribution of </w:t>
      </w:r>
      <w:r w:rsidR="00347FF5">
        <w:t xml:space="preserve">income from </w:t>
      </w:r>
      <w:r>
        <w:t xml:space="preserve">various sources and </w:t>
      </w:r>
      <w:r w:rsidR="00347FF5">
        <w:t xml:space="preserve">for </w:t>
      </w:r>
      <w:r>
        <w:t>population subgroups are explored in detail</w:t>
      </w:r>
      <w:r w:rsidR="00F86010">
        <w:t>, with a particular focus on types of employment, working hours, hourly wages, taxes and transfers and household composition</w:t>
      </w:r>
      <w:r w:rsidR="00C86B00">
        <w:t>.</w:t>
      </w:r>
      <w:r w:rsidR="00F86010">
        <w:t xml:space="preserve"> </w:t>
      </w:r>
      <w:r w:rsidR="00C86B00">
        <w:t>F</w:t>
      </w:r>
      <w:r w:rsidR="00347FF5">
        <w:t xml:space="preserve">igure 1 depicts the income sources and population groups examined. </w:t>
      </w:r>
    </w:p>
    <w:p w:rsidR="008716BA" w:rsidRDefault="00347FF5" w:rsidP="008344C3">
      <w:pPr>
        <w:pStyle w:val="BodyText"/>
      </w:pPr>
      <w:r>
        <w:t xml:space="preserve">The </w:t>
      </w:r>
      <w:r w:rsidR="007D1F30">
        <w:t>‘</w:t>
      </w:r>
      <w:r>
        <w:t>build</w:t>
      </w:r>
      <w:r w:rsidR="0073094A">
        <w:t>-</w:t>
      </w:r>
      <w:r>
        <w:t>up</w:t>
      </w:r>
      <w:r w:rsidR="007D1F30">
        <w:t>’</w:t>
      </w:r>
      <w:r>
        <w:t xml:space="preserve"> approach also helps to provide </w:t>
      </w:r>
      <w:r w:rsidR="00C86B00">
        <w:t>insights into</w:t>
      </w:r>
      <w:r>
        <w:t xml:space="preserve"> changes in summary distributional measures — such as the </w:t>
      </w:r>
      <w:r w:rsidR="007525B8">
        <w:t xml:space="preserve">widely used </w:t>
      </w:r>
      <w:r>
        <w:t xml:space="preserve">Gini coefficient. </w:t>
      </w:r>
      <w:r w:rsidR="007D1F30">
        <w:t>The approach</w:t>
      </w:r>
      <w:r>
        <w:t xml:space="preserve"> also highlights the need for ca</w:t>
      </w:r>
      <w:r w:rsidR="00E00F49">
        <w:t>re</w:t>
      </w:r>
      <w:r>
        <w:t xml:space="preserve"> when making assessments based on such summary measures alone. </w:t>
      </w:r>
    </w:p>
    <w:p w:rsidR="00347FF5" w:rsidRDefault="00347FF5" w:rsidP="008344C3">
      <w:pPr>
        <w:pStyle w:val="BodyText"/>
      </w:pPr>
      <w:r>
        <w:t>The analysis makes use of data from five Australian Bureau of Statistics’ Household Expenditure Surveys (HESs)</w:t>
      </w:r>
      <w:r w:rsidR="005259C2">
        <w:t xml:space="preserve">, </w:t>
      </w:r>
      <w:r>
        <w:t xml:space="preserve">conducted from 1988-89 to 2009-10. The </w:t>
      </w:r>
      <w:r>
        <w:lastRenderedPageBreak/>
        <w:t xml:space="preserve">resulting </w:t>
      </w:r>
      <w:r w:rsidR="00C86B00">
        <w:t>changes</w:t>
      </w:r>
      <w:r>
        <w:t xml:space="preserve"> identified, therefore, relate to this period and will be influenced by the specific characteristics of the start and end points — such as the economic</w:t>
      </w:r>
      <w:r w:rsidR="007525B8">
        <w:t>, demographic</w:t>
      </w:r>
      <w:r>
        <w:t xml:space="preserve"> and social conditions that prevailed. </w:t>
      </w:r>
      <w:r w:rsidR="00C86B00">
        <w:t>Given survey timing, only five snapshots of the distribution of income are available. However, the HES includes information on direct and indirect government transfers and taxes, making it an appropriate data source to examine various components of income in detail.</w:t>
      </w:r>
      <w:r w:rsidR="00C86B00">
        <w:rPr>
          <w:rStyle w:val="FootnoteReference"/>
        </w:rPr>
        <w:footnoteReference w:id="2"/>
      </w:r>
      <w:r w:rsidR="00C86B00">
        <w:t xml:space="preserve"> </w:t>
      </w:r>
    </w:p>
    <w:p w:rsidR="00347FF5" w:rsidRDefault="00347FF5">
      <w:pPr>
        <w:pStyle w:val="FigureTitle"/>
      </w:pPr>
      <w:r>
        <w:rPr>
          <w:b w:val="0"/>
        </w:rPr>
        <w:t xml:space="preserve">Figure </w:t>
      </w:r>
      <w:r w:rsidR="00902D2A">
        <w:rPr>
          <w:b w:val="0"/>
          <w:noProof/>
        </w:rPr>
        <w:t>1</w:t>
      </w:r>
      <w:r>
        <w:tab/>
        <w:t>The ‘build up’ approach to income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47FF5">
        <w:tc>
          <w:tcPr>
            <w:tcW w:w="8777" w:type="dxa"/>
          </w:tcPr>
          <w:p w:rsidR="00347FF5" w:rsidRDefault="00C86B00">
            <w:pPr>
              <w:pStyle w:val="Figure"/>
            </w:pPr>
            <w:r>
              <w:rPr>
                <w:noProof/>
              </w:rPr>
              <w:drawing>
                <wp:inline distT="0" distB="0" distL="0" distR="0" wp14:anchorId="5565EE6F" wp14:editId="4278F3A9">
                  <wp:extent cx="5572125" cy="2190750"/>
                  <wp:effectExtent l="0" t="0" r="9525" b="0"/>
                  <wp:docPr id="3" name="Picture 3" descr="This figure shows the various sources of income analysed in this study. Income is analysed at the individual level first, examining labour income of workers and then market income (labour plus capital and other income) of recipients. Household income is then explored, with gross (labour plus capital and other plus direct government payments), disposable (gross income less direct taxes) and final (disposable less indirect taxes plus indirect benefits) examined. " title="Figure 1 The build-up approach to inc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125" cy="2190750"/>
                          </a:xfrm>
                          <a:prstGeom prst="rect">
                            <a:avLst/>
                          </a:prstGeom>
                          <a:noFill/>
                          <a:ln>
                            <a:noFill/>
                          </a:ln>
                        </pic:spPr>
                      </pic:pic>
                    </a:graphicData>
                  </a:graphic>
                </wp:inline>
              </w:drawing>
            </w:r>
          </w:p>
        </w:tc>
      </w:tr>
    </w:tbl>
    <w:p w:rsidR="008716BA" w:rsidRDefault="005259C2" w:rsidP="007525B8">
      <w:pPr>
        <w:pStyle w:val="Heading3"/>
      </w:pPr>
      <w:r>
        <w:t>The broad</w:t>
      </w:r>
      <w:r w:rsidR="00011618">
        <w:t>er</w:t>
      </w:r>
      <w:r>
        <w:t xml:space="preserve"> context of in</w:t>
      </w:r>
      <w:r w:rsidR="00011618">
        <w:t>creasing</w:t>
      </w:r>
      <w:r>
        <w:t xml:space="preserve"> income</w:t>
      </w:r>
      <w:r w:rsidR="00011618">
        <w:t>s</w:t>
      </w:r>
      <w:r>
        <w:t xml:space="preserve"> in Australia over the past 20 years</w:t>
      </w:r>
    </w:p>
    <w:p w:rsidR="008344C3" w:rsidRDefault="00770856" w:rsidP="008344C3">
      <w:pPr>
        <w:pStyle w:val="BodyText"/>
      </w:pPr>
      <w:r>
        <w:t>The context for any analysis of</w:t>
      </w:r>
      <w:r w:rsidR="00E06944">
        <w:t xml:space="preserve"> Australia’s income </w:t>
      </w:r>
      <w:r>
        <w:t>distributio</w:t>
      </w:r>
      <w:r w:rsidR="00E06944">
        <w:t>n</w:t>
      </w:r>
      <w:r>
        <w:t xml:space="preserve"> over the last </w:t>
      </w:r>
      <w:r w:rsidR="00D910FA">
        <w:t>20 </w:t>
      </w:r>
      <w:r>
        <w:t xml:space="preserve">years is </w:t>
      </w:r>
      <w:r w:rsidR="0042203E">
        <w:t xml:space="preserve">the </w:t>
      </w:r>
      <w:r>
        <w:t>widespread increases in real incomes</w:t>
      </w:r>
      <w:r w:rsidR="0042203E">
        <w:t xml:space="preserve"> </w:t>
      </w:r>
      <w:r w:rsidR="00011618">
        <w:t>driven by</w:t>
      </w:r>
      <w:r w:rsidR="005259C2">
        <w:t xml:space="preserve"> </w:t>
      </w:r>
      <w:r w:rsidR="0042203E">
        <w:t>the growth in the Australian economy</w:t>
      </w:r>
      <w:r w:rsidR="00540D4C">
        <w:t xml:space="preserve">. </w:t>
      </w:r>
      <w:r w:rsidR="008344C3">
        <w:t>Individual labour earnings have increased by around 38 per cent</w:t>
      </w:r>
      <w:r w:rsidR="00011618">
        <w:t xml:space="preserve"> on average</w:t>
      </w:r>
      <w:r w:rsidR="005259C2">
        <w:t xml:space="preserve">, while </w:t>
      </w:r>
      <w:r w:rsidR="007525B8">
        <w:t>‘</w:t>
      </w:r>
      <w:r w:rsidR="00CA4B14">
        <w:t>equivalised</w:t>
      </w:r>
      <w:r w:rsidR="007525B8">
        <w:t>’</w:t>
      </w:r>
      <w:r w:rsidR="00CA4B14">
        <w:t xml:space="preserve"> final </w:t>
      </w:r>
      <w:r w:rsidR="008344C3">
        <w:t>household income</w:t>
      </w:r>
      <w:r>
        <w:t>s</w:t>
      </w:r>
      <w:r w:rsidR="008344C3">
        <w:t xml:space="preserve"> (</w:t>
      </w:r>
      <w:r w:rsidR="00CA4B14" w:rsidRPr="00066F1E">
        <w:t xml:space="preserve">which </w:t>
      </w:r>
      <w:r w:rsidR="005259C2">
        <w:t xml:space="preserve">additionally </w:t>
      </w:r>
      <w:r w:rsidR="007525B8">
        <w:t>includes</w:t>
      </w:r>
      <w:r w:rsidR="00CA4B14" w:rsidRPr="00066F1E">
        <w:t xml:space="preserve"> </w:t>
      </w:r>
      <w:r w:rsidR="00EE15D8">
        <w:t xml:space="preserve">direct </w:t>
      </w:r>
      <w:r w:rsidR="00CA4B14">
        <w:t>government payments</w:t>
      </w:r>
      <w:r w:rsidR="00EE15D8">
        <w:t xml:space="preserve">, the provision of government funded </w:t>
      </w:r>
      <w:r w:rsidR="00CA4B14">
        <w:t>services</w:t>
      </w:r>
      <w:r w:rsidR="00EE15D8">
        <w:t xml:space="preserve"> (indirect transfers)</w:t>
      </w:r>
      <w:r w:rsidR="00575604">
        <w:t xml:space="preserve"> and</w:t>
      </w:r>
      <w:r w:rsidR="00CA4B14">
        <w:t xml:space="preserve"> taxes</w:t>
      </w:r>
      <w:r w:rsidR="00575604">
        <w:t>,</w:t>
      </w:r>
      <w:r w:rsidR="00CA4B14">
        <w:t xml:space="preserve"> and </w:t>
      </w:r>
      <w:r w:rsidR="007525B8">
        <w:t>take</w:t>
      </w:r>
      <w:r w:rsidR="00575604">
        <w:t>s</w:t>
      </w:r>
      <w:r w:rsidR="007525B8">
        <w:t xml:space="preserve"> into account </w:t>
      </w:r>
      <w:r w:rsidR="00CA4B14">
        <w:t>household size</w:t>
      </w:r>
      <w:r w:rsidR="00E94422">
        <w:t xml:space="preserve"> and composition</w:t>
      </w:r>
      <w:r w:rsidR="008344C3">
        <w:t xml:space="preserve">) increased by </w:t>
      </w:r>
      <w:r w:rsidR="00CA4B14">
        <w:t>64</w:t>
      </w:r>
      <w:r w:rsidR="008344C3">
        <w:t> per cent</w:t>
      </w:r>
      <w:r w:rsidR="00EC6CFA">
        <w:t xml:space="preserve"> (figure 2)</w:t>
      </w:r>
      <w:r w:rsidR="008344C3">
        <w:t>.</w:t>
      </w:r>
      <w:r w:rsidR="005259C2">
        <w:rPr>
          <w:rStyle w:val="FootnoteReference"/>
        </w:rPr>
        <w:footnoteReference w:id="3"/>
      </w:r>
      <w:r w:rsidR="008344C3">
        <w:t xml:space="preserve"> </w:t>
      </w:r>
      <w:r w:rsidR="00581B98">
        <w:t>Real i</w:t>
      </w:r>
      <w:r w:rsidR="008344C3">
        <w:t>ncome growth has occurred ‘across the board’ —</w:t>
      </w:r>
      <w:r w:rsidR="00435C2D">
        <w:t xml:space="preserve"> </w:t>
      </w:r>
      <w:r w:rsidR="00011618">
        <w:t>that is, for</w:t>
      </w:r>
      <w:r w:rsidR="00C42989">
        <w:t xml:space="preserve"> the </w:t>
      </w:r>
      <w:r w:rsidR="007525B8">
        <w:t xml:space="preserve">lowest </w:t>
      </w:r>
      <w:r w:rsidR="00176E07">
        <w:t xml:space="preserve">to </w:t>
      </w:r>
      <w:r w:rsidR="007525B8">
        <w:t>highest income groups</w:t>
      </w:r>
      <w:r w:rsidR="008344C3">
        <w:t>.</w:t>
      </w:r>
    </w:p>
    <w:p w:rsidR="0052257A" w:rsidRDefault="0052257A" w:rsidP="0052257A">
      <w:pPr>
        <w:pStyle w:val="BodyText"/>
      </w:pPr>
      <w:r>
        <w:lastRenderedPageBreak/>
        <w:t xml:space="preserve">Over the last 20 years, around 75 per cent of the growth in </w:t>
      </w:r>
      <w:r w:rsidR="007525B8">
        <w:t xml:space="preserve">real </w:t>
      </w:r>
      <w:r>
        <w:t>household earnings has come from increased labour force earnings. This reflects:</w:t>
      </w:r>
    </w:p>
    <w:p w:rsidR="0052257A" w:rsidRPr="00B2368C" w:rsidRDefault="0052257A" w:rsidP="0052257A">
      <w:pPr>
        <w:pStyle w:val="ListBullet"/>
        <w:rPr>
          <w:i/>
        </w:rPr>
      </w:pPr>
      <w:r w:rsidRPr="00E771FE">
        <w:rPr>
          <w:i/>
        </w:rPr>
        <w:t xml:space="preserve">Increased </w:t>
      </w:r>
      <w:r w:rsidR="00581B98">
        <w:rPr>
          <w:i/>
        </w:rPr>
        <w:t>employment</w:t>
      </w:r>
      <w:r w:rsidR="007525B8">
        <w:rPr>
          <w:i/>
        </w:rPr>
        <w:t>—</w:t>
      </w:r>
      <w:r>
        <w:t xml:space="preserve"> </w:t>
      </w:r>
      <w:r w:rsidR="007525B8">
        <w:t>t</w:t>
      </w:r>
      <w:r>
        <w:t>he proportion of adults in paid employment per household increased from 56 per cent in 1988-89 to 60 per cent in 2009-10.</w:t>
      </w:r>
    </w:p>
    <w:p w:rsidR="0052257A" w:rsidRPr="00214109" w:rsidRDefault="0052257A" w:rsidP="0052257A">
      <w:pPr>
        <w:pStyle w:val="ListBullet"/>
        <w:rPr>
          <w:i/>
        </w:rPr>
      </w:pPr>
      <w:r>
        <w:rPr>
          <w:i/>
        </w:rPr>
        <w:t>Longer working hours amongst part-time workers</w:t>
      </w:r>
      <w:r w:rsidR="007525B8">
        <w:rPr>
          <w:i/>
        </w:rPr>
        <w:t xml:space="preserve"> —</w:t>
      </w:r>
      <w:r>
        <w:t xml:space="preserve"> </w:t>
      </w:r>
      <w:r w:rsidR="007525B8">
        <w:t>a</w:t>
      </w:r>
      <w:r>
        <w:t>verage hours worked by Australians with part-time jobs has grown by around 16 per cent, from 17.6 hours in 1998-99 to around 20.4 hours in 2009-10.</w:t>
      </w:r>
      <w:r>
        <w:rPr>
          <w:rStyle w:val="FootnoteReference"/>
        </w:rPr>
        <w:footnoteReference w:id="4"/>
      </w:r>
    </w:p>
    <w:p w:rsidR="0052257A" w:rsidRDefault="0052257A" w:rsidP="008344C3">
      <w:pPr>
        <w:pStyle w:val="ListBullet"/>
      </w:pPr>
      <w:r w:rsidRPr="0052257A">
        <w:rPr>
          <w:i/>
        </w:rPr>
        <w:t xml:space="preserve">Increased </w:t>
      </w:r>
      <w:r w:rsidR="007525B8">
        <w:rPr>
          <w:i/>
        </w:rPr>
        <w:t xml:space="preserve">real </w:t>
      </w:r>
      <w:r w:rsidRPr="0052257A">
        <w:rPr>
          <w:i/>
        </w:rPr>
        <w:t>wages</w:t>
      </w:r>
      <w:r w:rsidR="007525B8">
        <w:rPr>
          <w:i/>
        </w:rPr>
        <w:t xml:space="preserve"> —</w:t>
      </w:r>
      <w:r>
        <w:t xml:space="preserve"> </w:t>
      </w:r>
      <w:r w:rsidR="007525B8">
        <w:t>b</w:t>
      </w:r>
      <w:r>
        <w:t>etween 1998-99 and 2009-10 real hourly wages increased by 22.7 per cent for full-time workers and 8.1 per cent for part-time workers.</w:t>
      </w:r>
    </w:p>
    <w:p w:rsidR="00F86010" w:rsidRPr="00E62C8C" w:rsidRDefault="00F86010" w:rsidP="00F86010">
      <w:pPr>
        <w:pStyle w:val="BodyText"/>
        <w:rPr>
          <w:b/>
        </w:rPr>
      </w:pPr>
      <w:r>
        <w:t xml:space="preserve">That is, </w:t>
      </w:r>
      <w:r w:rsidR="00011618">
        <w:t>between 1988-89 and 2009-10</w:t>
      </w:r>
      <w:r>
        <w:t xml:space="preserve">, more Australians </w:t>
      </w:r>
      <w:r w:rsidR="00011618">
        <w:t xml:space="preserve">joined the labour force, </w:t>
      </w:r>
      <w:r>
        <w:t>got jobs, worked longer hours and were paid more per hour.</w:t>
      </w:r>
    </w:p>
    <w:p w:rsidR="00347FF5" w:rsidRDefault="00347FF5">
      <w:pPr>
        <w:pStyle w:val="FigureTitle"/>
      </w:pPr>
      <w:r>
        <w:rPr>
          <w:b w:val="0"/>
        </w:rPr>
        <w:t xml:space="preserve">Figure </w:t>
      </w:r>
      <w:r w:rsidR="00902D2A">
        <w:rPr>
          <w:b w:val="0"/>
          <w:noProof/>
        </w:rPr>
        <w:t>2</w:t>
      </w:r>
      <w:r>
        <w:tab/>
      </w:r>
      <w:r w:rsidRPr="008B4665">
        <w:t>Individual and equivalised final household incomes</w:t>
      </w:r>
      <w:r w:rsidR="00D544B2">
        <w:t>, 1988-89 to 2009-10</w:t>
      </w:r>
    </w:p>
    <w:p w:rsidR="00347FF5" w:rsidRDefault="00347FF5">
      <w:pPr>
        <w:pStyle w:val="Subtitle"/>
      </w:pPr>
      <w:r>
        <w:t>Inflation adjusted 2011-12 dollars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47FF5" w:rsidTr="00D87999">
        <w:tc>
          <w:tcPr>
            <w:tcW w:w="8777" w:type="dxa"/>
          </w:tcPr>
          <w:p w:rsidR="00347FF5" w:rsidRDefault="00D87999">
            <w:pPr>
              <w:pStyle w:val="Figure"/>
            </w:pPr>
            <w:r>
              <w:rPr>
                <w:noProof/>
              </w:rPr>
              <w:drawing>
                <wp:inline distT="0" distB="0" distL="0" distR="0" wp14:anchorId="35288458" wp14:editId="6E69F7A9">
                  <wp:extent cx="4610100" cy="2466974"/>
                  <wp:effectExtent l="0" t="0" r="0" b="0"/>
                  <wp:docPr id="13" name="Chart 13" descr="This figure shows strong growth in both individual and household income between 1988-89 and 2009-10." title="Figure 2 Individual and equivalised final household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74B07" w:rsidRDefault="007E7C5C" w:rsidP="00274B07">
      <w:pPr>
        <w:pStyle w:val="BodyText"/>
      </w:pPr>
      <w:r>
        <w:t xml:space="preserve">While these economic gains have been widespread, they have not been uniform. </w:t>
      </w:r>
      <w:r w:rsidR="00C42989">
        <w:t>G</w:t>
      </w:r>
      <w:r w:rsidR="007605AA">
        <w:t xml:space="preserve">rowth </w:t>
      </w:r>
      <w:r w:rsidR="00873786">
        <w:t xml:space="preserve">for those </w:t>
      </w:r>
      <w:r w:rsidR="007605AA">
        <w:t xml:space="preserve">in the top half of the distribution </w:t>
      </w:r>
      <w:r w:rsidR="00873786">
        <w:t xml:space="preserve">(above the median) </w:t>
      </w:r>
      <w:r w:rsidR="007605AA">
        <w:t xml:space="preserve">has been greater than </w:t>
      </w:r>
      <w:r w:rsidR="00011618">
        <w:t>for</w:t>
      </w:r>
      <w:r w:rsidR="007605AA">
        <w:t xml:space="preserve"> </w:t>
      </w:r>
      <w:r w:rsidR="00EC6CFA">
        <w:t xml:space="preserve">the </w:t>
      </w:r>
      <w:r w:rsidR="007605AA">
        <w:t>bottom half (</w:t>
      </w:r>
      <w:r>
        <w:t xml:space="preserve">in both absolute value and proportionate </w:t>
      </w:r>
      <w:r w:rsidR="00D910FA">
        <w:t>terms</w:t>
      </w:r>
      <w:r>
        <w:t>). This is true both in terms of individuals</w:t>
      </w:r>
      <w:r w:rsidR="00011618">
        <w:t>’</w:t>
      </w:r>
      <w:r>
        <w:t xml:space="preserve"> market based earnings (from the supply of labour and </w:t>
      </w:r>
      <w:r w:rsidR="00F86010">
        <w:t xml:space="preserve">returns to </w:t>
      </w:r>
      <w:r>
        <w:t>capital</w:t>
      </w:r>
      <w:r w:rsidR="00F86010">
        <w:t xml:space="preserve"> plus private transfers</w:t>
      </w:r>
      <w:r>
        <w:t xml:space="preserve">) as well as in terms of equivalised </w:t>
      </w:r>
      <w:r>
        <w:lastRenderedPageBreak/>
        <w:t>final household income.</w:t>
      </w:r>
      <w:r w:rsidR="00863DDC">
        <w:t xml:space="preserve"> The different rates of growth at the top and bottom of the income distribution, along with </w:t>
      </w:r>
      <w:r w:rsidR="00011618">
        <w:t>movements</w:t>
      </w:r>
      <w:r w:rsidR="00636650">
        <w:t xml:space="preserve"> in</w:t>
      </w:r>
      <w:r w:rsidR="00863DDC">
        <w:t xml:space="preserve"> su</w:t>
      </w:r>
      <w:r w:rsidR="00D910FA">
        <w:t xml:space="preserve">mmary measures such as the Gini </w:t>
      </w:r>
      <w:r w:rsidR="00863DDC">
        <w:t>coeffi</w:t>
      </w:r>
      <w:r w:rsidR="00D910FA">
        <w:t>ci</w:t>
      </w:r>
      <w:r w:rsidR="00863DDC">
        <w:t>ent</w:t>
      </w:r>
      <w:r w:rsidR="007525B8">
        <w:t xml:space="preserve"> (box 1</w:t>
      </w:r>
      <w:r w:rsidR="00274B07">
        <w:t>)</w:t>
      </w:r>
      <w:r w:rsidR="00863DDC">
        <w:t>,</w:t>
      </w:r>
      <w:r w:rsidR="00274B07">
        <w:t xml:space="preserve"> </w:t>
      </w:r>
      <w:r w:rsidR="00BA699B">
        <w:t>underlie the</w:t>
      </w:r>
      <w:r w:rsidR="00873786">
        <w:t xml:space="preserve"> </w:t>
      </w:r>
      <w:r w:rsidR="00BA699B">
        <w:t xml:space="preserve">observation that </w:t>
      </w:r>
      <w:r w:rsidR="00274B07">
        <w:t xml:space="preserve">income inequality </w:t>
      </w:r>
      <w:r w:rsidR="00F3369C">
        <w:t>has risen in</w:t>
      </w:r>
      <w:r w:rsidR="00274B07">
        <w:t xml:space="preserve"> Australia </w:t>
      </w:r>
      <w:r w:rsidR="00011618">
        <w:t xml:space="preserve">in recent years </w:t>
      </w:r>
      <w:r w:rsidR="00A75BE0">
        <w:t>as widely report</w:t>
      </w:r>
      <w:r w:rsidR="007D1F30">
        <w:t>ed</w:t>
      </w:r>
      <w:r w:rsidR="00A75BE0">
        <w:t xml:space="preserve"> by the </w:t>
      </w:r>
      <w:r w:rsidR="00274B07">
        <w:t xml:space="preserve">OECD </w:t>
      </w:r>
      <w:r w:rsidR="00A75BE0">
        <w:t>(</w:t>
      </w:r>
      <w:r w:rsidR="00740C09">
        <w:t>2011</w:t>
      </w:r>
      <w:r w:rsidR="00A75BE0">
        <w:t>) and researchers including</w:t>
      </w:r>
      <w:r w:rsidR="00274B07">
        <w:t xml:space="preserve"> </w:t>
      </w:r>
      <w:r w:rsidR="001E0511">
        <w:t xml:space="preserve">Leigh </w:t>
      </w:r>
      <w:r w:rsidR="00A75BE0">
        <w:t>(</w:t>
      </w:r>
      <w:r w:rsidR="001E0511" w:rsidRPr="001E0511">
        <w:t>200</w:t>
      </w:r>
      <w:r w:rsidR="001E0511">
        <w:t>5</w:t>
      </w:r>
      <w:r w:rsidR="00A75BE0">
        <w:t>)</w:t>
      </w:r>
      <w:r w:rsidR="001E0511">
        <w:t xml:space="preserve">, </w:t>
      </w:r>
      <w:r w:rsidR="00274B07">
        <w:t>Whiteford</w:t>
      </w:r>
      <w:r w:rsidR="00E045CD">
        <w:t xml:space="preserve"> </w:t>
      </w:r>
      <w:r w:rsidR="00A75BE0">
        <w:t>(</w:t>
      </w:r>
      <w:r w:rsidR="00E045CD">
        <w:t>2011</w:t>
      </w:r>
      <w:r w:rsidR="00A75BE0">
        <w:t>) and</w:t>
      </w:r>
      <w:r w:rsidR="00636650">
        <w:t xml:space="preserve"> Wilkins </w:t>
      </w:r>
      <w:r w:rsidR="00A75BE0">
        <w:t>(</w:t>
      </w:r>
      <w:r w:rsidR="00636650">
        <w:t>2013</w:t>
      </w:r>
      <w:r w:rsidR="00A75BE0">
        <w:t>)</w:t>
      </w:r>
      <w:r w:rsidR="00873786">
        <w:t xml:space="preserve"> amongst others</w:t>
      </w:r>
      <w:r w:rsidR="00274B07">
        <w:t xml:space="preserve">. </w:t>
      </w:r>
    </w:p>
    <w:p w:rsidR="00274B07" w:rsidRDefault="00274B07" w:rsidP="00274B0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3806"/>
        <w:gridCol w:w="4965"/>
      </w:tblGrid>
      <w:tr w:rsidR="00274B07">
        <w:tc>
          <w:tcPr>
            <w:tcW w:w="8771" w:type="dxa"/>
            <w:gridSpan w:val="2"/>
            <w:tcBorders>
              <w:top w:val="single" w:sz="6" w:space="0" w:color="auto"/>
              <w:bottom w:val="nil"/>
            </w:tcBorders>
          </w:tcPr>
          <w:p w:rsidR="00274B07" w:rsidRDefault="00274B07" w:rsidP="00740C09">
            <w:pPr>
              <w:pStyle w:val="BoxTitle"/>
            </w:pPr>
            <w:r>
              <w:rPr>
                <w:b w:val="0"/>
              </w:rPr>
              <w:t xml:space="preserve">Box </w:t>
            </w:r>
            <w:bookmarkStart w:id="5" w:name="OLE_LINK1"/>
            <w:r w:rsidR="00902D2A">
              <w:rPr>
                <w:b w:val="0"/>
                <w:noProof/>
              </w:rPr>
              <w:t>1</w:t>
            </w:r>
            <w:bookmarkEnd w:id="5"/>
            <w:r>
              <w:tab/>
            </w:r>
            <w:r w:rsidR="00011618">
              <w:t xml:space="preserve">What is the </w:t>
            </w:r>
            <w:r>
              <w:t xml:space="preserve">Gini coefficient </w:t>
            </w:r>
            <w:r w:rsidR="00011618">
              <w:t>?</w:t>
            </w:r>
          </w:p>
        </w:tc>
      </w:tr>
      <w:tr w:rsidR="00DF6061" w:rsidTr="00DF6061">
        <w:trPr>
          <w:cantSplit/>
          <w:trHeight w:val="832"/>
        </w:trPr>
        <w:tc>
          <w:tcPr>
            <w:tcW w:w="8771" w:type="dxa"/>
            <w:gridSpan w:val="2"/>
            <w:tcBorders>
              <w:top w:val="nil"/>
              <w:left w:val="single" w:sz="6" w:space="0" w:color="auto"/>
              <w:bottom w:val="nil"/>
              <w:right w:val="single" w:sz="6" w:space="0" w:color="auto"/>
            </w:tcBorders>
          </w:tcPr>
          <w:p w:rsidR="00DF6061" w:rsidRDefault="00DF6061" w:rsidP="007605AA">
            <w:pPr>
              <w:pStyle w:val="Box"/>
            </w:pPr>
            <w:r>
              <w:t xml:space="preserve">The Gini coefficient </w:t>
            </w:r>
            <w:r w:rsidR="007605AA">
              <w:t xml:space="preserve">can be depicted graphically using the </w:t>
            </w:r>
            <w:r>
              <w:t>Lorenz curve</w:t>
            </w:r>
            <w:r w:rsidR="007605AA">
              <w:t>,</w:t>
            </w:r>
            <w:r>
              <w:t xml:space="preserve"> which depicts the cumulative income shares agains</w:t>
            </w:r>
            <w:r w:rsidR="007605AA">
              <w:t>t cumulative population share.</w:t>
            </w:r>
            <w:r>
              <w:t xml:space="preserve"> </w:t>
            </w:r>
          </w:p>
        </w:tc>
      </w:tr>
      <w:tr w:rsidR="00DF6061" w:rsidTr="00C31107">
        <w:trPr>
          <w:cantSplit/>
          <w:trHeight w:val="2995"/>
        </w:trPr>
        <w:tc>
          <w:tcPr>
            <w:tcW w:w="3806" w:type="dxa"/>
            <w:tcBorders>
              <w:top w:val="nil"/>
              <w:left w:val="single" w:sz="4" w:space="0" w:color="auto"/>
              <w:bottom w:val="nil"/>
              <w:right w:val="nil"/>
            </w:tcBorders>
          </w:tcPr>
          <w:p w:rsidR="00DF6061" w:rsidRDefault="00DF6061" w:rsidP="00D313D4">
            <w:pPr>
              <w:pStyle w:val="Box"/>
            </w:pPr>
            <w:r>
              <w:t xml:space="preserve">The curvature of the Lorenz curve depicts the level of inequality. If all individuals (or households) had the same income (perfect equality), then the curve would lie along a 45 degree ray from the origin. The Gini coefficient is the ratio of the area enclosed by the Lorenz curve and the perfect equality line (A) to the total area below </w:t>
            </w:r>
            <w:r w:rsidR="00D313D4">
              <w:t xml:space="preserve">the perfect equality </w:t>
            </w:r>
            <w:r>
              <w:t>line (</w:t>
            </w:r>
            <w:r w:rsidR="00D313D4">
              <w:t>A+</w:t>
            </w:r>
            <w:r>
              <w:t xml:space="preserve">B). It ranges from 0 (perfect equality) to 1 (perfect inequality). </w:t>
            </w:r>
          </w:p>
        </w:tc>
        <w:tc>
          <w:tcPr>
            <w:tcW w:w="4965" w:type="dxa"/>
            <w:tcBorders>
              <w:top w:val="nil"/>
              <w:left w:val="nil"/>
              <w:bottom w:val="nil"/>
              <w:right w:val="single" w:sz="4" w:space="0" w:color="auto"/>
            </w:tcBorders>
          </w:tcPr>
          <w:p w:rsidR="00DF6061" w:rsidRDefault="00C31107" w:rsidP="00274B07">
            <w:pPr>
              <w:pStyle w:val="Box"/>
            </w:pPr>
            <w:r>
              <w:rPr>
                <w:noProof/>
              </w:rPr>
              <w:drawing>
                <wp:inline distT="0" distB="0" distL="0" distR="0" wp14:anchorId="25F81163" wp14:editId="38BFCB59">
                  <wp:extent cx="3062378" cy="2035834"/>
                  <wp:effectExtent l="0" t="0" r="5080" b="2540"/>
                  <wp:docPr id="9" name="Picture 9" descr="This figure depicts the calculation of the Gini coefficient graphically using the Lorenz curve. The Gini coefficient value is the ratio of the area under the Lorenz curve (which depicts the cumulative income shares against cumulative population share) to the area under a 45 degree ray from the origin." title="Gini coeffic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417" r="3277"/>
                          <a:stretch/>
                        </pic:blipFill>
                        <pic:spPr bwMode="auto">
                          <a:xfrm>
                            <a:off x="0" y="0"/>
                            <a:ext cx="3066163" cy="203835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74B07">
        <w:trPr>
          <w:cantSplit/>
        </w:trPr>
        <w:tc>
          <w:tcPr>
            <w:tcW w:w="8771" w:type="dxa"/>
            <w:gridSpan w:val="2"/>
            <w:tcBorders>
              <w:top w:val="nil"/>
              <w:left w:val="single" w:sz="6" w:space="0" w:color="auto"/>
              <w:bottom w:val="nil"/>
              <w:right w:val="single" w:sz="6" w:space="0" w:color="auto"/>
            </w:tcBorders>
          </w:tcPr>
          <w:p w:rsidR="00274B07" w:rsidRDefault="00274B07" w:rsidP="00EC6CFA">
            <w:pPr>
              <w:pStyle w:val="BoxSource"/>
            </w:pPr>
            <w:r>
              <w:rPr>
                <w:i/>
              </w:rPr>
              <w:t>Source</w:t>
            </w:r>
            <w:r w:rsidRPr="00167F06">
              <w:t xml:space="preserve">: </w:t>
            </w:r>
            <w:r w:rsidR="00097F80">
              <w:t>Jenkins and V</w:t>
            </w:r>
            <w:r>
              <w:t>an Kerm (200</w:t>
            </w:r>
            <w:r w:rsidR="00EC6CFA">
              <w:t>8</w:t>
            </w:r>
            <w:r>
              <w:t xml:space="preserve">). </w:t>
            </w:r>
          </w:p>
        </w:tc>
      </w:tr>
      <w:tr w:rsidR="00274B07">
        <w:trPr>
          <w:cantSplit/>
        </w:trPr>
        <w:tc>
          <w:tcPr>
            <w:tcW w:w="8771" w:type="dxa"/>
            <w:gridSpan w:val="2"/>
            <w:tcBorders>
              <w:top w:val="nil"/>
              <w:left w:val="single" w:sz="6" w:space="0" w:color="auto"/>
              <w:bottom w:val="single" w:sz="6" w:space="0" w:color="auto"/>
              <w:right w:val="single" w:sz="6" w:space="0" w:color="auto"/>
            </w:tcBorders>
          </w:tcPr>
          <w:p w:rsidR="00274B07" w:rsidRDefault="00274B07" w:rsidP="00274B07">
            <w:pPr>
              <w:pStyle w:val="Box"/>
              <w:spacing w:before="0" w:line="120" w:lineRule="exact"/>
            </w:pPr>
          </w:p>
        </w:tc>
      </w:tr>
      <w:tr w:rsidR="00274B07">
        <w:tc>
          <w:tcPr>
            <w:tcW w:w="8771" w:type="dxa"/>
            <w:gridSpan w:val="2"/>
            <w:tcBorders>
              <w:top w:val="nil"/>
              <w:left w:val="nil"/>
              <w:bottom w:val="nil"/>
              <w:right w:val="nil"/>
            </w:tcBorders>
          </w:tcPr>
          <w:p w:rsidR="00274B07" w:rsidRDefault="00274B07" w:rsidP="00274B07">
            <w:pPr>
              <w:pStyle w:val="Box"/>
              <w:keepNext w:val="0"/>
              <w:spacing w:before="60" w:after="60" w:line="80" w:lineRule="exact"/>
              <w:rPr>
                <w:b/>
                <w:color w:val="FF00FF"/>
                <w:sz w:val="14"/>
              </w:rPr>
            </w:pPr>
          </w:p>
        </w:tc>
      </w:tr>
    </w:tbl>
    <w:p w:rsidR="00A75BE0" w:rsidRDefault="00A75BE0" w:rsidP="00A75BE0">
      <w:pPr>
        <w:pStyle w:val="BodyText"/>
      </w:pPr>
      <w:r>
        <w:t xml:space="preserve">Given the complex nature of income inequality, detailed analysis of the underlying distributional change is necessary in order to understand the nature and significance of </w:t>
      </w:r>
      <w:r w:rsidR="00011618">
        <w:t>changes</w:t>
      </w:r>
      <w:r>
        <w:t xml:space="preserve"> in simple aggregate measures. </w:t>
      </w:r>
    </w:p>
    <w:p w:rsidR="005413A7" w:rsidRDefault="005413A7" w:rsidP="00A75BE0">
      <w:pPr>
        <w:pStyle w:val="Heading3"/>
      </w:pPr>
      <w:r>
        <w:t>What has happened to individual earnings?</w:t>
      </w:r>
    </w:p>
    <w:p w:rsidR="0055164B" w:rsidRDefault="005413A7" w:rsidP="00274B07">
      <w:pPr>
        <w:pStyle w:val="BodyText"/>
      </w:pPr>
      <w:r>
        <w:t>An i</w:t>
      </w:r>
      <w:r w:rsidR="00014A30">
        <w:t xml:space="preserve">ndividual’s market income is made </w:t>
      </w:r>
      <w:r w:rsidR="007B279A">
        <w:t xml:space="preserve">up </w:t>
      </w:r>
      <w:r w:rsidR="00014A30">
        <w:t>of labour earnings (from working ful</w:t>
      </w:r>
      <w:r w:rsidR="00347FF5">
        <w:t>l-time, part-time or being self-</w:t>
      </w:r>
      <w:r w:rsidR="00014A30">
        <w:t xml:space="preserve">employed) and </w:t>
      </w:r>
      <w:r w:rsidR="005456C8">
        <w:t>‘</w:t>
      </w:r>
      <w:r w:rsidR="00014A30">
        <w:t xml:space="preserve">capital </w:t>
      </w:r>
      <w:r w:rsidR="00F86010">
        <w:t>&amp; other</w:t>
      </w:r>
      <w:r w:rsidR="005456C8">
        <w:t>’</w:t>
      </w:r>
      <w:r w:rsidR="00F86010">
        <w:t xml:space="preserve"> </w:t>
      </w:r>
      <w:r w:rsidR="00014A30">
        <w:t>income (</w:t>
      </w:r>
      <w:r w:rsidR="009C2E29">
        <w:t xml:space="preserve">such as </w:t>
      </w:r>
      <w:r w:rsidR="00014A30">
        <w:t>interest from savings, dividends from shares</w:t>
      </w:r>
      <w:r w:rsidR="00F86010">
        <w:t>,</w:t>
      </w:r>
      <w:r w:rsidR="009C2E29">
        <w:t xml:space="preserve"> </w:t>
      </w:r>
      <w:r w:rsidR="00014A30">
        <w:t xml:space="preserve">rents </w:t>
      </w:r>
      <w:r w:rsidR="009C2E29">
        <w:t>from investment properties</w:t>
      </w:r>
      <w:r w:rsidR="00F86010">
        <w:t xml:space="preserve"> and private transfers</w:t>
      </w:r>
      <w:r w:rsidR="00014A30">
        <w:t xml:space="preserve">). Capital </w:t>
      </w:r>
      <w:r w:rsidR="00873786">
        <w:t xml:space="preserve">&amp; other </w:t>
      </w:r>
      <w:r w:rsidR="00014A30">
        <w:t xml:space="preserve">income is </w:t>
      </w:r>
      <w:r w:rsidR="00CE5B27">
        <w:t>concentrated</w:t>
      </w:r>
      <w:r w:rsidR="00873786">
        <w:t xml:space="preserve"> </w:t>
      </w:r>
      <w:r w:rsidR="00A75BE0">
        <w:t xml:space="preserve">in the higher income groups and </w:t>
      </w:r>
      <w:r w:rsidR="0098266E">
        <w:t xml:space="preserve">has become more so </w:t>
      </w:r>
      <w:r w:rsidR="00014A30">
        <w:t>over time</w:t>
      </w:r>
      <w:r w:rsidR="005456C8">
        <w:t>.</w:t>
      </w:r>
      <w:r w:rsidR="00A75BE0">
        <w:t xml:space="preserve"> </w:t>
      </w:r>
      <w:r w:rsidR="005456C8">
        <w:t>M</w:t>
      </w:r>
      <w:r w:rsidR="00A75BE0">
        <w:t>easured levels of inequality</w:t>
      </w:r>
      <w:r w:rsidR="00E00F49">
        <w:t xml:space="preserve"> are sensitive</w:t>
      </w:r>
      <w:r w:rsidR="005456C8">
        <w:t xml:space="preserve"> to reported investment losses</w:t>
      </w:r>
      <w:r w:rsidR="00A75BE0">
        <w:t xml:space="preserve"> </w:t>
      </w:r>
      <w:r w:rsidR="005456C8">
        <w:t xml:space="preserve">and </w:t>
      </w:r>
      <w:r w:rsidR="00A75BE0">
        <w:t xml:space="preserve">have </w:t>
      </w:r>
      <w:r w:rsidR="005456C8">
        <w:t xml:space="preserve">varied over time, but rose in aggregate </w:t>
      </w:r>
      <w:r w:rsidR="00A75BE0">
        <w:t>between 1988-89 and 2009-10</w:t>
      </w:r>
      <w:r w:rsidR="00014A30">
        <w:t xml:space="preserve">. However, it is a small proportion of overall market income (around </w:t>
      </w:r>
      <w:r w:rsidR="00873786">
        <w:t>11</w:t>
      </w:r>
      <w:r w:rsidR="00014A30">
        <w:t> per cent in 2009-10).</w:t>
      </w:r>
      <w:r w:rsidR="00BC0E03">
        <w:t xml:space="preserve"> </w:t>
      </w:r>
    </w:p>
    <w:p w:rsidR="0055164B" w:rsidRDefault="0055164B">
      <w:pPr>
        <w:pStyle w:val="FigureTitle"/>
      </w:pPr>
      <w:r>
        <w:rPr>
          <w:b w:val="0"/>
        </w:rPr>
        <w:lastRenderedPageBreak/>
        <w:t xml:space="preserve">Figure </w:t>
      </w:r>
      <w:r w:rsidR="00902D2A">
        <w:rPr>
          <w:b w:val="0"/>
          <w:noProof/>
        </w:rPr>
        <w:t>3</w:t>
      </w:r>
      <w:r>
        <w:tab/>
      </w:r>
      <w:r w:rsidR="005456C8">
        <w:t>Movements</w:t>
      </w:r>
      <w:r w:rsidR="00E1133A">
        <w:t xml:space="preserve"> in the distribution of </w:t>
      </w:r>
      <w:r w:rsidR="00616CF4">
        <w:t>individual labour</w:t>
      </w:r>
      <w:r w:rsidR="00E1133A">
        <w:t xml:space="preserve"> income</w:t>
      </w:r>
      <w:r w:rsidR="00D87999">
        <w:t>, 1988-89 to 2009-10</w:t>
      </w:r>
    </w:p>
    <w:p w:rsidR="0055164B" w:rsidRDefault="00E1133A">
      <w:pPr>
        <w:pStyle w:val="Subtitle"/>
      </w:pPr>
      <w:r>
        <w:t>Inflation adjusted 2011-12 dollars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220F2B" w:rsidTr="00006266">
        <w:tc>
          <w:tcPr>
            <w:tcW w:w="8777" w:type="dxa"/>
            <w:gridSpan w:val="2"/>
          </w:tcPr>
          <w:p w:rsidR="00220F2B" w:rsidRPr="007C061E" w:rsidRDefault="00220F2B">
            <w:pPr>
              <w:pStyle w:val="Figure"/>
              <w:rPr>
                <w:i/>
                <w:sz w:val="22"/>
                <w:szCs w:val="22"/>
                <w:vertAlign w:val="superscript"/>
              </w:rPr>
            </w:pPr>
            <w:r>
              <w:rPr>
                <w:i/>
                <w:sz w:val="22"/>
                <w:szCs w:val="22"/>
              </w:rPr>
              <w:t>Probability distribution of labour income</w:t>
            </w:r>
            <w:r w:rsidR="007C061E">
              <w:rPr>
                <w:i/>
                <w:sz w:val="22"/>
                <w:szCs w:val="22"/>
                <w:vertAlign w:val="superscript"/>
              </w:rPr>
              <w:t>a</w:t>
            </w:r>
          </w:p>
          <w:p w:rsidR="00220F2B" w:rsidRDefault="00006266">
            <w:pPr>
              <w:pStyle w:val="Figure"/>
            </w:pPr>
            <w:r>
              <w:rPr>
                <w:noProof/>
              </w:rPr>
              <w:drawing>
                <wp:inline distT="0" distB="0" distL="0" distR="0" wp14:anchorId="30E8DAA4" wp14:editId="7018A017">
                  <wp:extent cx="5405443" cy="2520000"/>
                  <wp:effectExtent l="0" t="0" r="5080" b="0"/>
                  <wp:docPr id="10" name="Chart 10" descr="Figure 3, top panel shows that the distribution of individual labour income has become flatter and shifted to the right between 1988-89 and 2009-10." title="Figure 3 Movements in the distribution of individual labour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220F2B" w:rsidTr="00D87999">
        <w:tc>
          <w:tcPr>
            <w:tcW w:w="4388" w:type="dxa"/>
          </w:tcPr>
          <w:p w:rsidR="00220F2B" w:rsidRPr="008E2425" w:rsidRDefault="00616CF4" w:rsidP="00220F2B">
            <w:pPr>
              <w:pStyle w:val="Figure"/>
              <w:rPr>
                <w:i/>
                <w:noProof/>
                <w:sz w:val="22"/>
                <w:szCs w:val="22"/>
                <w:vertAlign w:val="superscript"/>
              </w:rPr>
            </w:pPr>
            <w:r>
              <w:rPr>
                <w:i/>
                <w:noProof/>
                <w:sz w:val="22"/>
                <w:szCs w:val="22"/>
              </w:rPr>
              <w:t>Per cent change in labour income by decile</w:t>
            </w:r>
            <w:r w:rsidR="007C061E">
              <w:rPr>
                <w:i/>
                <w:sz w:val="22"/>
                <w:szCs w:val="22"/>
                <w:vertAlign w:val="superscript"/>
              </w:rPr>
              <w:t>a</w:t>
            </w:r>
          </w:p>
          <w:p w:rsidR="00220F2B" w:rsidRDefault="00D87999" w:rsidP="00220F2B">
            <w:pPr>
              <w:pStyle w:val="Figure"/>
              <w:rPr>
                <w:i/>
                <w:sz w:val="22"/>
                <w:szCs w:val="22"/>
              </w:rPr>
            </w:pPr>
            <w:r>
              <w:rPr>
                <w:noProof/>
              </w:rPr>
              <w:drawing>
                <wp:inline distT="0" distB="0" distL="0" distR="0" wp14:anchorId="7BC27C60" wp14:editId="6F2A6FF9">
                  <wp:extent cx="2724150" cy="2524125"/>
                  <wp:effectExtent l="0" t="0" r="0" b="0"/>
                  <wp:docPr id="15" name="Chart 15" descr="Figure 3, bottom left panel, shows labour income has grown for all deciles between 1988-89 and 2009-10, but at a higher rate for higher deciles than lower deciles. " title="Figure 3 Movements in the distribution of individual labour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389" w:type="dxa"/>
          </w:tcPr>
          <w:p w:rsidR="00220F2B" w:rsidRDefault="00220F2B" w:rsidP="00220F2B">
            <w:pPr>
              <w:pStyle w:val="Figure"/>
            </w:pPr>
            <w:r>
              <w:rPr>
                <w:i/>
                <w:sz w:val="22"/>
                <w:szCs w:val="22"/>
              </w:rPr>
              <w:t>Gini Coefficients</w:t>
            </w:r>
            <w:r w:rsidR="007C061E">
              <w:rPr>
                <w:i/>
                <w:sz w:val="22"/>
                <w:szCs w:val="22"/>
                <w:vertAlign w:val="superscript"/>
              </w:rPr>
              <w:t>b</w:t>
            </w:r>
          </w:p>
          <w:p w:rsidR="00220F2B" w:rsidRDefault="00D87999">
            <w:pPr>
              <w:pStyle w:val="Figure"/>
              <w:rPr>
                <w:i/>
                <w:sz w:val="22"/>
                <w:szCs w:val="22"/>
              </w:rPr>
            </w:pPr>
            <w:r w:rsidRPr="000D467E">
              <w:rPr>
                <w:noProof/>
              </w:rPr>
              <w:drawing>
                <wp:inline distT="0" distB="0" distL="0" distR="0" wp14:anchorId="4A16A276" wp14:editId="61635E35">
                  <wp:extent cx="2520000" cy="2520000"/>
                  <wp:effectExtent l="0" t="0" r="0" b="0"/>
                  <wp:docPr id="14" name="Chart 14" descr="Figure 3, bottom right panel, shows that the Gini coefficient has increased between 1988-89 and 2009-10 for individual labour, capital &amp; other and market income. " title="Figure 3 Movements in the distribution of individual labour income,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7C061E" w:rsidRPr="007C061E" w:rsidRDefault="007C061E" w:rsidP="007C061E">
      <w:pPr>
        <w:pStyle w:val="Note"/>
      </w:pPr>
      <w:r>
        <w:rPr>
          <w:rStyle w:val="NoteLabel"/>
        </w:rPr>
        <w:t>a</w:t>
      </w:r>
      <w:r>
        <w:t xml:space="preserve"> For people reporting labour incomes.</w:t>
      </w:r>
      <w:r w:rsidR="00581B98">
        <w:t xml:space="preserve"> Negative incomes are present in the data as these represent losses from an individual’s own unincorporated business</w:t>
      </w:r>
      <w:r>
        <w:t xml:space="preserve"> </w:t>
      </w:r>
      <w:r>
        <w:rPr>
          <w:rStyle w:val="NoteLabel"/>
        </w:rPr>
        <w:t>b</w:t>
      </w:r>
      <w:r>
        <w:t xml:space="preserve"> For people reporting incomes in each category.</w:t>
      </w:r>
      <w:r w:rsidR="00345421">
        <w:t xml:space="preserve"> Capital &amp; other </w:t>
      </w:r>
      <w:r w:rsidR="00E505E6">
        <w:t>income Gini coefficient</w:t>
      </w:r>
      <w:r w:rsidR="00345421">
        <w:t xml:space="preserve"> estimates exceed 1 in 2003-04 </w:t>
      </w:r>
      <w:r w:rsidR="00F86010">
        <w:t xml:space="preserve">as </w:t>
      </w:r>
      <w:r w:rsidR="00345421">
        <w:t xml:space="preserve">some individuals report negative incomes from own unincorporated businesses. </w:t>
      </w:r>
    </w:p>
    <w:p w:rsidR="00E00F49" w:rsidRDefault="00E00F49" w:rsidP="00E00F49">
      <w:pPr>
        <w:pStyle w:val="BodyText"/>
      </w:pPr>
      <w:r>
        <w:t xml:space="preserve">Labour income is the most important component of market income for most (figure 3, top panel). The distribution of labour income of workers has shifted to the right (indicating rising average incomes) and flattened (indicating greater spread of income). The ‘top’ tail of the distribution has also lengthened. These effects have led to the increase in the Gini coefficient from 0.35 in 1988-89 to 0.41 in 2009-10 </w:t>
      </w:r>
      <w:r>
        <w:lastRenderedPageBreak/>
        <w:t>— indicating rising inequality in labour incomes amongst those employed at the individual level (changes are all statistically significant at the 1 per cent level).</w:t>
      </w:r>
    </w:p>
    <w:p w:rsidR="00A75BE0" w:rsidRDefault="00A75BE0" w:rsidP="00A75BE0">
      <w:pPr>
        <w:pStyle w:val="BodyText"/>
      </w:pPr>
      <w:r>
        <w:t xml:space="preserve">Changes in full-time, part-time and self-employed subgroups, as well as increased </w:t>
      </w:r>
      <w:r w:rsidR="00581B98">
        <w:t>employment</w:t>
      </w:r>
      <w:r>
        <w:t xml:space="preserve">, also help to explain the observed changes in the distribution of individual labour incomes. The different characteristics of these workers subgroups have both level and trend effects on measured inequality. </w:t>
      </w:r>
    </w:p>
    <w:p w:rsidR="0052257A" w:rsidRDefault="0052257A" w:rsidP="0052257A">
      <w:pPr>
        <w:pStyle w:val="BodyText"/>
      </w:pPr>
      <w:r>
        <w:t xml:space="preserve">In terms of the </w:t>
      </w:r>
      <w:r w:rsidRPr="00836166">
        <w:rPr>
          <w:i/>
        </w:rPr>
        <w:t>level</w:t>
      </w:r>
      <w:r>
        <w:t xml:space="preserve"> effect, a large part of labour income inequality </w:t>
      </w:r>
      <w:r w:rsidR="00A75BE0">
        <w:t xml:space="preserve">simply </w:t>
      </w:r>
      <w:r>
        <w:t xml:space="preserve">reflects differences in the average earnings of the different types of worker. </w:t>
      </w:r>
      <w:r w:rsidR="00A75BE0">
        <w:t xml:space="preserve">Taken alone, measured inequality amongst </w:t>
      </w:r>
      <w:r>
        <w:t xml:space="preserve">full-time workers (around 62 per cent of the workforce in 2009-10) is considerably lower than for labour earnings overall (Gini coefficients of 0.31 and 0.41 respectively). </w:t>
      </w:r>
      <w:r w:rsidR="00A75BE0">
        <w:t>When</w:t>
      </w:r>
      <w:r>
        <w:t xml:space="preserve"> full-time workers </w:t>
      </w:r>
      <w:r w:rsidR="00A75BE0">
        <w:t xml:space="preserve">are combined </w:t>
      </w:r>
      <w:r>
        <w:t>with part-time workers (who have lower average incomes)</w:t>
      </w:r>
      <w:r w:rsidR="00A75BE0">
        <w:t>,</w:t>
      </w:r>
      <w:r>
        <w:t xml:space="preserve"> measured inequality</w:t>
      </w:r>
      <w:r w:rsidR="00A75BE0">
        <w:t xml:space="preserve"> increases</w:t>
      </w:r>
      <w:r>
        <w:t>.</w:t>
      </w:r>
      <w:r>
        <w:rPr>
          <w:rStyle w:val="FootnoteReference"/>
        </w:rPr>
        <w:footnoteReference w:id="5"/>
      </w:r>
      <w:r>
        <w:t xml:space="preserve"> Decomposition analysis suggests that differences in average earnings between different types of worker account for around half of labour income inequality.</w:t>
      </w:r>
      <w:r>
        <w:rPr>
          <w:rStyle w:val="FootnoteReference"/>
        </w:rPr>
        <w:footnoteReference w:id="6"/>
      </w:r>
      <w:r>
        <w:t xml:space="preserve"> </w:t>
      </w:r>
    </w:p>
    <w:p w:rsidR="0052257A" w:rsidRDefault="0052257A" w:rsidP="0052257A">
      <w:pPr>
        <w:pStyle w:val="BodyText"/>
      </w:pPr>
      <w:r>
        <w:t xml:space="preserve">The effect of pooling worker groups on aggregate distributional </w:t>
      </w:r>
      <w:r w:rsidRPr="00836166">
        <w:rPr>
          <w:i/>
        </w:rPr>
        <w:t>trends</w:t>
      </w:r>
      <w:r>
        <w:t xml:space="preserve"> </w:t>
      </w:r>
      <w:r w:rsidR="00575604">
        <w:t>depends on</w:t>
      </w:r>
      <w:r>
        <w:t xml:space="preserve"> </w:t>
      </w:r>
      <w:r w:rsidR="00575604">
        <w:t>changes in the</w:t>
      </w:r>
      <w:r>
        <w:t xml:space="preserve"> relative </w:t>
      </w:r>
      <w:r w:rsidR="009A38F1">
        <w:t xml:space="preserve">share of </w:t>
      </w:r>
      <w:r w:rsidR="00575604">
        <w:t xml:space="preserve">each in </w:t>
      </w:r>
      <w:r w:rsidR="009A38F1">
        <w:t>the total workforce</w:t>
      </w:r>
      <w:r w:rsidR="00575604">
        <w:t>. Between 1988-89 and 2009-10</w:t>
      </w:r>
      <w:r>
        <w:t xml:space="preserve">, the share of the workforce employed part-time </w:t>
      </w:r>
      <w:r w:rsidR="00575604">
        <w:t>has increased alongside increased</w:t>
      </w:r>
      <w:r>
        <w:t xml:space="preserve"> participation rates, particularly amongst women. As part-time workers earn considerably less on average than full-time and self-employed workers, this </w:t>
      </w:r>
      <w:r w:rsidR="009A38F1">
        <w:t xml:space="preserve">compositional change </w:t>
      </w:r>
      <w:r>
        <w:t xml:space="preserve">has increased </w:t>
      </w:r>
      <w:r w:rsidR="009A38F1">
        <w:t xml:space="preserve">measured </w:t>
      </w:r>
      <w:r>
        <w:t>inequality</w:t>
      </w:r>
      <w:r w:rsidR="005456C8">
        <w:t xml:space="preserve"> amongst those employed</w:t>
      </w:r>
      <w:r>
        <w:t xml:space="preserve">. </w:t>
      </w:r>
      <w:r w:rsidR="005456C8">
        <w:t xml:space="preserve">Increased </w:t>
      </w:r>
      <w:r w:rsidR="00E00F49">
        <w:t xml:space="preserve">overall </w:t>
      </w:r>
      <w:r w:rsidR="005456C8">
        <w:t>employment rates</w:t>
      </w:r>
      <w:r w:rsidR="00E00F49">
        <w:t xml:space="preserve"> that have occurred with the increased share of part-time workers in the workforce</w:t>
      </w:r>
      <w:r w:rsidR="005456C8">
        <w:t>, however, have had a different effect on measured levels of household income inequality (discussed below)</w:t>
      </w:r>
      <w:r w:rsidR="00EC6CFA">
        <w:t>.</w:t>
      </w:r>
    </w:p>
    <w:p w:rsidR="00964E7F" w:rsidRDefault="009A38F1" w:rsidP="0023176F">
      <w:pPr>
        <w:pStyle w:val="BodyText"/>
      </w:pPr>
      <w:r>
        <w:t xml:space="preserve">In addition to the changing composition of the workforce, </w:t>
      </w:r>
      <w:r w:rsidR="0072215C">
        <w:t>much</w:t>
      </w:r>
      <w:r w:rsidR="00836166">
        <w:t xml:space="preserve"> of </w:t>
      </w:r>
      <w:r w:rsidR="0072215C">
        <w:t xml:space="preserve">the measured </w:t>
      </w:r>
      <w:r w:rsidR="00F86010">
        <w:t>increase</w:t>
      </w:r>
      <w:r w:rsidR="00836166">
        <w:t xml:space="preserve"> </w:t>
      </w:r>
      <w:r w:rsidR="0072215C">
        <w:t xml:space="preserve">in </w:t>
      </w:r>
      <w:r w:rsidR="00836166">
        <w:t>income inequality for individuals ha</w:t>
      </w:r>
      <w:r w:rsidR="00D910FA">
        <w:t>s</w:t>
      </w:r>
      <w:r w:rsidR="00836166">
        <w:t xml:space="preserve"> been </w:t>
      </w:r>
      <w:r w:rsidR="00F86010">
        <w:t xml:space="preserve">due to </w:t>
      </w:r>
      <w:r w:rsidR="00836166">
        <w:t xml:space="preserve">the distributional changes that have occurred within worker </w:t>
      </w:r>
      <w:r w:rsidR="00345421">
        <w:t>sub</w:t>
      </w:r>
      <w:r w:rsidR="00836166">
        <w:t xml:space="preserve">groups </w:t>
      </w:r>
      <w:r w:rsidR="00345421">
        <w:t>—</w:t>
      </w:r>
      <w:r w:rsidR="00836166">
        <w:t xml:space="preserve"> particularly </w:t>
      </w:r>
      <w:r>
        <w:t xml:space="preserve">amongst </w:t>
      </w:r>
      <w:r w:rsidR="00836166">
        <w:t xml:space="preserve">full-time workers. </w:t>
      </w:r>
      <w:r w:rsidR="007A5C3C">
        <w:t>While</w:t>
      </w:r>
      <w:r w:rsidR="00AA78B2">
        <w:t xml:space="preserve"> </w:t>
      </w:r>
      <w:r w:rsidR="000D45F3">
        <w:t xml:space="preserve">full-time workers </w:t>
      </w:r>
      <w:r w:rsidR="00181812">
        <w:t xml:space="preserve">have the most equal distribution of income, </w:t>
      </w:r>
      <w:r w:rsidR="000D45F3">
        <w:t xml:space="preserve">they </w:t>
      </w:r>
      <w:r w:rsidR="00EB781A">
        <w:t>also exhibit the clearest upward trend in inequali</w:t>
      </w:r>
      <w:r w:rsidR="00964E7F">
        <w:t>ty over the last 20 years</w:t>
      </w:r>
      <w:r>
        <w:t>. On the other hand,</w:t>
      </w:r>
      <w:r w:rsidR="00836166">
        <w:t xml:space="preserve"> measured inequality has been relatively stable among part-time workers while the trend is unclear for the </w:t>
      </w:r>
      <w:r w:rsidR="00C42989">
        <w:t>self-employed</w:t>
      </w:r>
      <w:r w:rsidR="00964E7F">
        <w:t>.</w:t>
      </w:r>
      <w:r w:rsidR="00181812">
        <w:t xml:space="preserve"> </w:t>
      </w:r>
      <w:r w:rsidR="00836166">
        <w:t>Rising weekly income inequality among full-time worker</w:t>
      </w:r>
      <w:r w:rsidR="00D910FA">
        <w:t>s</w:t>
      </w:r>
      <w:r w:rsidR="00836166">
        <w:t xml:space="preserve"> </w:t>
      </w:r>
      <w:r>
        <w:t>has been</w:t>
      </w:r>
      <w:r w:rsidR="00836166">
        <w:t xml:space="preserve"> due to </w:t>
      </w:r>
      <w:r w:rsidR="00181812">
        <w:t xml:space="preserve">the dispersion of hourly wages </w:t>
      </w:r>
      <w:r w:rsidR="00181812">
        <w:lastRenderedPageBreak/>
        <w:t>between high and low earners</w:t>
      </w:r>
      <w:r w:rsidR="00D70FEA">
        <w:t xml:space="preserve">. </w:t>
      </w:r>
      <w:r w:rsidR="00181812">
        <w:t>H</w:t>
      </w:r>
      <w:r w:rsidR="00EB7A79">
        <w:t xml:space="preserve">ours worked </w:t>
      </w:r>
      <w:r w:rsidR="002D6CA4">
        <w:t>by full-time workers ha</w:t>
      </w:r>
      <w:r w:rsidR="00284A97">
        <w:t>ve</w:t>
      </w:r>
      <w:r w:rsidR="002D6CA4">
        <w:t xml:space="preserve"> been</w:t>
      </w:r>
      <w:r w:rsidR="00EB7A79">
        <w:t xml:space="preserve"> relatively </w:t>
      </w:r>
      <w:r w:rsidR="000D45F3">
        <w:t xml:space="preserve">stable </w:t>
      </w:r>
      <w:r w:rsidR="00EB7A79">
        <w:t xml:space="preserve">across </w:t>
      </w:r>
      <w:r w:rsidR="002D6CA4">
        <w:t>all income levels</w:t>
      </w:r>
      <w:r w:rsidR="00EB7A79">
        <w:t>.</w:t>
      </w:r>
      <w:r w:rsidR="00D21F43">
        <w:rPr>
          <w:rStyle w:val="FootnoteReference"/>
        </w:rPr>
        <w:footnoteReference w:id="7"/>
      </w:r>
    </w:p>
    <w:p w:rsidR="00184FA5" w:rsidRDefault="00D70FEA" w:rsidP="0023176F">
      <w:pPr>
        <w:pStyle w:val="BodyText"/>
      </w:pPr>
      <w:r>
        <w:t xml:space="preserve">While </w:t>
      </w:r>
      <w:r w:rsidR="005456C8">
        <w:t>changes</w:t>
      </w:r>
      <w:r>
        <w:t xml:space="preserve"> in the distribution of income can be examined in a multitude of different ways, two areas attract particular attention — the gender pay gap and incomes of the very top earners (the</w:t>
      </w:r>
      <w:r w:rsidR="00F86010">
        <w:t xml:space="preserve"> top</w:t>
      </w:r>
      <w:r>
        <w:t xml:space="preserve"> ‘1 per cent’). Both </w:t>
      </w:r>
      <w:r w:rsidR="00C266CE">
        <w:t>involve complex causes and effect</w:t>
      </w:r>
      <w:r w:rsidR="00D910FA">
        <w:t>s</w:t>
      </w:r>
      <w:r w:rsidR="009A38F1">
        <w:t xml:space="preserve"> and have attracted considerable debate</w:t>
      </w:r>
      <w:r w:rsidR="00C266CE">
        <w:t xml:space="preserve">. However, in terms of summary distributional </w:t>
      </w:r>
      <w:r w:rsidR="00345421">
        <w:t>measures</w:t>
      </w:r>
      <w:r w:rsidR="0086726A">
        <w:t xml:space="preserve"> such as the Gini coefficient</w:t>
      </w:r>
      <w:r w:rsidR="00345421">
        <w:t xml:space="preserve">, HES data suggest </w:t>
      </w:r>
      <w:r w:rsidR="005456C8">
        <w:t>that</w:t>
      </w:r>
      <w:r w:rsidR="00184FA5">
        <w:t>:</w:t>
      </w:r>
    </w:p>
    <w:p w:rsidR="00184FA5" w:rsidRDefault="00184FA5" w:rsidP="00184FA5">
      <w:pPr>
        <w:pStyle w:val="ListBullet"/>
      </w:pPr>
      <w:r>
        <w:t xml:space="preserve">the top 1 per cent have not been relatively more important in explaining movements in labour income inequality compared to other earners. Noting that while, as a group, it is more </w:t>
      </w:r>
      <w:r w:rsidRPr="00BD3FB7">
        <w:t xml:space="preserve">difficult to accurately measure the incomes of the top 1 per cent due to </w:t>
      </w:r>
      <w:r>
        <w:t xml:space="preserve">generally </w:t>
      </w:r>
      <w:r w:rsidRPr="00BD3FB7">
        <w:t>lower survey response rates</w:t>
      </w:r>
      <w:r>
        <w:t>, data from the HES suggests</w:t>
      </w:r>
      <w:r w:rsidRPr="00BD3FB7">
        <w:t xml:space="preserve"> </w:t>
      </w:r>
      <w:r>
        <w:t>the top 1 per cent of labour force earners make a modest impact on measures like the Gini coefficient across survey periods (removing this group from the income distribution lowers the Gini coefficient by 6.5 per cent). However, their contribution to the Gini has been consistent in the data from each survey — rising inequality in Australia is also driven by the 99 per cent, not just the 1 per cent.</w:t>
      </w:r>
    </w:p>
    <w:p w:rsidR="00EA74EE" w:rsidRDefault="00184FA5" w:rsidP="00A9770A">
      <w:pPr>
        <w:pStyle w:val="ListBullet"/>
      </w:pPr>
      <w:r>
        <w:t>t</w:t>
      </w:r>
      <w:r w:rsidR="00EA74EE" w:rsidRPr="00CA4B14">
        <w:t xml:space="preserve">he gender pay gap </w:t>
      </w:r>
      <w:r w:rsidR="00A246A6">
        <w:t>appears to be</w:t>
      </w:r>
      <w:r w:rsidR="00EA74EE" w:rsidRPr="00CA4B14">
        <w:t xml:space="preserve"> a relatively minor </w:t>
      </w:r>
      <w:r w:rsidR="00521F05" w:rsidRPr="00CA4B14">
        <w:t xml:space="preserve">component of measured </w:t>
      </w:r>
      <w:r w:rsidR="002F0575">
        <w:t xml:space="preserve">individual labour income </w:t>
      </w:r>
      <w:r w:rsidR="00EA74EE" w:rsidRPr="00CA4B14">
        <w:t xml:space="preserve">inequality. </w:t>
      </w:r>
      <w:r w:rsidR="00A9770A" w:rsidRPr="00CA4B14">
        <w:t>Decomposition of most indicators suggest that less than 3 per cent of measured inequality is driven by difference in average hourly rates of pay between men and women (the highest estimate was 15 per cent).</w:t>
      </w:r>
      <w:r w:rsidR="00C03E20" w:rsidRPr="00CA4B14">
        <w:t xml:space="preserve"> The overall </w:t>
      </w:r>
      <w:r w:rsidR="008F6FF6">
        <w:t>increase in</w:t>
      </w:r>
      <w:r w:rsidR="00C03E20" w:rsidRPr="00CA4B14">
        <w:t xml:space="preserve"> labour </w:t>
      </w:r>
      <w:r w:rsidR="00E60E33" w:rsidRPr="00CA4B14">
        <w:t>income</w:t>
      </w:r>
      <w:r w:rsidR="00C03E20" w:rsidRPr="00CA4B14">
        <w:t xml:space="preserve"> inequality </w:t>
      </w:r>
      <w:r w:rsidR="008F6FF6">
        <w:t xml:space="preserve">between 1988-89 and 2009-10 </w:t>
      </w:r>
      <w:r w:rsidR="00C03E20" w:rsidRPr="00CA4B14">
        <w:t xml:space="preserve">appears to have been </w:t>
      </w:r>
      <w:r w:rsidR="0072215C">
        <w:t>a result of</w:t>
      </w:r>
      <w:r w:rsidR="00C03E20" w:rsidRPr="00CA4B14">
        <w:t xml:space="preserve"> factors that affect men and women in similar ways.</w:t>
      </w:r>
    </w:p>
    <w:p w:rsidR="002D6CA4" w:rsidRDefault="002D6CA4" w:rsidP="009A38F1">
      <w:pPr>
        <w:pStyle w:val="Heading3"/>
      </w:pPr>
      <w:r>
        <w:t>What has happened to household income?</w:t>
      </w:r>
    </w:p>
    <w:p w:rsidR="00AB7488" w:rsidRDefault="00256476" w:rsidP="00A057CC">
      <w:pPr>
        <w:pStyle w:val="BodyText"/>
      </w:pPr>
      <w:r>
        <w:t>The household</w:t>
      </w:r>
      <w:r w:rsidR="009F763B">
        <w:t xml:space="preserve"> story is both more complex and</w:t>
      </w:r>
      <w:r>
        <w:t xml:space="preserve"> more important in </w:t>
      </w:r>
      <w:r w:rsidR="0086726A">
        <w:t xml:space="preserve">economic </w:t>
      </w:r>
      <w:r>
        <w:t xml:space="preserve">welfare terms. </w:t>
      </w:r>
      <w:r w:rsidR="008121F0">
        <w:t xml:space="preserve">While market income </w:t>
      </w:r>
      <w:r w:rsidR="00C61BFA">
        <w:t>(</w:t>
      </w:r>
      <w:r w:rsidR="008121F0">
        <w:t>at the individual level</w:t>
      </w:r>
      <w:r w:rsidR="00C61BFA">
        <w:t>)</w:t>
      </w:r>
      <w:r w:rsidR="008121F0">
        <w:t xml:space="preserve"> </w:t>
      </w:r>
      <w:r w:rsidR="00C61BFA">
        <w:t xml:space="preserve">describes the distribution of </w:t>
      </w:r>
      <w:r w:rsidR="00D045F9">
        <w:t>income arising</w:t>
      </w:r>
      <w:r w:rsidR="00C61BFA">
        <w:t xml:space="preserve"> from individuals</w:t>
      </w:r>
      <w:r w:rsidR="003708E5">
        <w:t>’</w:t>
      </w:r>
      <w:r w:rsidR="008121F0">
        <w:t xml:space="preserve"> interaction with </w:t>
      </w:r>
      <w:r w:rsidR="00C61BFA">
        <w:t>the economy</w:t>
      </w:r>
      <w:r w:rsidR="008121F0">
        <w:t xml:space="preserve">, ultimately </w:t>
      </w:r>
      <w:r w:rsidR="00EE15D8">
        <w:t xml:space="preserve">equivalised </w:t>
      </w:r>
      <w:r w:rsidR="0078286A">
        <w:t xml:space="preserve">final </w:t>
      </w:r>
      <w:r w:rsidR="008121F0">
        <w:t>household income</w:t>
      </w:r>
      <w:r w:rsidR="00EE15D8">
        <w:t xml:space="preserve"> has the greatest impact on an individual’s consumption and material living</w:t>
      </w:r>
      <w:r w:rsidR="009A38F1" w:rsidRPr="009A38F1">
        <w:t xml:space="preserve"> </w:t>
      </w:r>
      <w:r w:rsidR="009A38F1">
        <w:t>standards</w:t>
      </w:r>
      <w:r w:rsidR="00C61BFA">
        <w:t xml:space="preserve">. </w:t>
      </w:r>
      <w:r w:rsidR="00A057CC">
        <w:t>The Gini coefficient for e</w:t>
      </w:r>
      <w:r w:rsidR="002272FC">
        <w:t xml:space="preserve">quivalised household income </w:t>
      </w:r>
      <w:r w:rsidR="00A057CC">
        <w:t>has increased from around 0.25 in 1988-89 to around 0.27 in 2009-10, with most of this increase occurring since 2003-04</w:t>
      </w:r>
      <w:r w:rsidR="002272FC">
        <w:t>.</w:t>
      </w:r>
      <w:r w:rsidR="002272FC">
        <w:rPr>
          <w:rStyle w:val="FootnoteReference"/>
        </w:rPr>
        <w:footnoteReference w:id="8"/>
      </w:r>
    </w:p>
    <w:p w:rsidR="00336102" w:rsidRDefault="00C42989" w:rsidP="00881B5F">
      <w:pPr>
        <w:pStyle w:val="BodyText"/>
      </w:pPr>
      <w:r>
        <w:lastRenderedPageBreak/>
        <w:t xml:space="preserve">The </w:t>
      </w:r>
      <w:r w:rsidR="008F6FF6">
        <w:t>movements</w:t>
      </w:r>
      <w:r>
        <w:t xml:space="preserve"> in</w:t>
      </w:r>
      <w:r w:rsidR="00881B5F">
        <w:t xml:space="preserve"> </w:t>
      </w:r>
      <w:r w:rsidR="008F6FF6">
        <w:t xml:space="preserve">the distribution of </w:t>
      </w:r>
      <w:r w:rsidR="00881B5F">
        <w:t xml:space="preserve">final equivalised household incomes are </w:t>
      </w:r>
      <w:r w:rsidR="00754398">
        <w:t>predomina</w:t>
      </w:r>
      <w:r w:rsidR="00581B98">
        <w:t>n</w:t>
      </w:r>
      <w:r w:rsidR="00754398">
        <w:t xml:space="preserve">tly </w:t>
      </w:r>
      <w:r w:rsidR="009A38F1">
        <w:t>the result of</w:t>
      </w:r>
      <w:r w:rsidR="00881B5F">
        <w:t xml:space="preserve"> </w:t>
      </w:r>
      <w:r>
        <w:t xml:space="preserve">changes in </w:t>
      </w:r>
      <w:r w:rsidR="00881B5F">
        <w:t xml:space="preserve">gross household income (pre-tax market income and direct government transfers). </w:t>
      </w:r>
      <w:r w:rsidR="00A057CC">
        <w:t xml:space="preserve">The basic </w:t>
      </w:r>
      <w:r w:rsidR="00881B5F">
        <w:t xml:space="preserve">distributional </w:t>
      </w:r>
      <w:r w:rsidR="00A057CC">
        <w:t xml:space="preserve">shifts in </w:t>
      </w:r>
      <w:r w:rsidR="00881B5F">
        <w:t>gross household income</w:t>
      </w:r>
      <w:r w:rsidR="00A057CC">
        <w:t xml:space="preserve"> (</w:t>
      </w:r>
      <w:r w:rsidR="00347FF5">
        <w:t>figure 4</w:t>
      </w:r>
      <w:r w:rsidR="00754398">
        <w:t>, left panel</w:t>
      </w:r>
      <w:r w:rsidR="00A057CC">
        <w:t>)</w:t>
      </w:r>
      <w:r w:rsidR="00881B5F">
        <w:t xml:space="preserve"> appear similar to those based on individual income measures</w:t>
      </w:r>
      <w:r w:rsidR="00A057CC">
        <w:t>.</w:t>
      </w:r>
      <w:r w:rsidR="00881B5F">
        <w:t xml:space="preserve"> </w:t>
      </w:r>
      <w:r w:rsidR="004057DD">
        <w:t>However, a</w:t>
      </w:r>
      <w:r w:rsidR="00F75159">
        <w:t>t the household level</w:t>
      </w:r>
      <w:r w:rsidR="004E1DF2">
        <w:t xml:space="preserve">, </w:t>
      </w:r>
      <w:r w:rsidR="00C844C2">
        <w:t>this i</w:t>
      </w:r>
      <w:r w:rsidR="005001EB">
        <w:t>s no</w:t>
      </w:r>
      <w:r w:rsidR="00F75159">
        <w:t>t a story of</w:t>
      </w:r>
      <w:r w:rsidR="005001EB">
        <w:t xml:space="preserve"> higher deciles experiencing greater income growth than lower deciles (</w:t>
      </w:r>
      <w:r w:rsidR="004E1DF2">
        <w:t>as is the case in terms of individu</w:t>
      </w:r>
      <w:r w:rsidR="00E94422">
        <w:t>al market earnings). Rather a U-</w:t>
      </w:r>
      <w:r w:rsidR="004E1DF2">
        <w:t>sha</w:t>
      </w:r>
      <w:r w:rsidR="009A16E7">
        <w:t>ped growth pattern is observed</w:t>
      </w:r>
      <w:r w:rsidR="00881B5F">
        <w:t xml:space="preserve"> (</w:t>
      </w:r>
      <w:r w:rsidR="00347FF5">
        <w:t>figure 4</w:t>
      </w:r>
      <w:r w:rsidR="00754398">
        <w:t>, right panel</w:t>
      </w:r>
      <w:r w:rsidR="00881B5F">
        <w:t>). This</w:t>
      </w:r>
      <w:r w:rsidR="009A16E7">
        <w:t xml:space="preserve"> indicat</w:t>
      </w:r>
      <w:r w:rsidR="00881B5F">
        <w:t>es</w:t>
      </w:r>
      <w:r w:rsidR="009A16E7">
        <w:t xml:space="preserve"> </w:t>
      </w:r>
      <w:r w:rsidR="004E1DF2">
        <w:t>h</w:t>
      </w:r>
      <w:r w:rsidR="003F1895">
        <w:t>igh growth at the bottom</w:t>
      </w:r>
      <w:r w:rsidR="004E1DF2">
        <w:t xml:space="preserve"> of the distribution</w:t>
      </w:r>
      <w:r w:rsidR="003F1895">
        <w:t xml:space="preserve"> (tending to decrease inequality), moderate </w:t>
      </w:r>
      <w:r w:rsidR="004E1DF2">
        <w:t xml:space="preserve">growth </w:t>
      </w:r>
      <w:r w:rsidR="003F1895">
        <w:t xml:space="preserve">at the middle (with an </w:t>
      </w:r>
      <w:r w:rsidR="009A16E7">
        <w:t>ambiguous</w:t>
      </w:r>
      <w:r w:rsidR="003F1895">
        <w:t xml:space="preserve"> effect on inequality), and very high</w:t>
      </w:r>
      <w:r w:rsidR="004E1DF2">
        <w:t xml:space="preserve"> growth at the </w:t>
      </w:r>
      <w:r w:rsidR="003F1895">
        <w:t xml:space="preserve">top (tending to increase inequality). </w:t>
      </w:r>
      <w:r w:rsidR="00167F7A">
        <w:t xml:space="preserve">That is, there are </w:t>
      </w:r>
      <w:r w:rsidR="00336102">
        <w:t xml:space="preserve">both convergent and divergent </w:t>
      </w:r>
      <w:r w:rsidR="00167F7A">
        <w:t>forces affecting</w:t>
      </w:r>
      <w:r w:rsidR="00336102">
        <w:t xml:space="preserve"> household income, with the latter dominating overall.</w:t>
      </w:r>
    </w:p>
    <w:p w:rsidR="00740C09" w:rsidRPr="00487FC2" w:rsidRDefault="00740C09" w:rsidP="00740C09">
      <w:pPr>
        <w:pStyle w:val="FigureTitle"/>
        <w:rPr>
          <w:vertAlign w:val="superscript"/>
        </w:rPr>
      </w:pPr>
      <w:r>
        <w:rPr>
          <w:b w:val="0"/>
        </w:rPr>
        <w:t xml:space="preserve">Figure </w:t>
      </w:r>
      <w:r w:rsidR="00902D2A">
        <w:rPr>
          <w:b w:val="0"/>
          <w:noProof/>
        </w:rPr>
        <w:t>4</w:t>
      </w:r>
      <w:r>
        <w:tab/>
      </w:r>
      <w:r w:rsidR="00616CF4">
        <w:t xml:space="preserve">Change in </w:t>
      </w:r>
      <w:r>
        <w:t xml:space="preserve">gross household </w:t>
      </w:r>
      <w:r w:rsidR="00284A97">
        <w:t>incomes</w:t>
      </w:r>
      <w:r>
        <w:t>, 1988-89 and 2009-10</w:t>
      </w:r>
      <w:r w:rsidR="00487FC2">
        <w:rPr>
          <w:vertAlign w:val="superscript"/>
        </w:rPr>
        <w:t>a</w:t>
      </w:r>
    </w:p>
    <w:p w:rsidR="00740C09" w:rsidRPr="00740C09" w:rsidRDefault="00740C09" w:rsidP="00740C09">
      <w:pPr>
        <w:pStyle w:val="Subtitle"/>
      </w:pPr>
      <w:r>
        <w:t>Inflation adjusted 2011-12 dollars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616CF4" w:rsidTr="00F87425">
        <w:tc>
          <w:tcPr>
            <w:tcW w:w="4388" w:type="dxa"/>
          </w:tcPr>
          <w:p w:rsidR="009A4CF7" w:rsidRPr="00616CF4" w:rsidRDefault="009A4CF7" w:rsidP="009A4CF7">
            <w:pPr>
              <w:pStyle w:val="Figure"/>
              <w:rPr>
                <w:i/>
                <w:noProof/>
                <w:sz w:val="22"/>
                <w:szCs w:val="22"/>
              </w:rPr>
            </w:pPr>
            <w:r w:rsidRPr="00616CF4">
              <w:rPr>
                <w:i/>
                <w:noProof/>
                <w:sz w:val="22"/>
                <w:szCs w:val="22"/>
              </w:rPr>
              <w:t xml:space="preserve">Probability distribution </w:t>
            </w:r>
          </w:p>
          <w:p w:rsidR="00616CF4" w:rsidRDefault="00754398">
            <w:pPr>
              <w:pStyle w:val="Figure"/>
            </w:pPr>
            <w:r>
              <w:rPr>
                <w:noProof/>
              </w:rPr>
              <w:drawing>
                <wp:inline distT="0" distB="0" distL="0" distR="0" wp14:anchorId="3C221330" wp14:editId="0246DC8D">
                  <wp:extent cx="2667000" cy="2520000"/>
                  <wp:effectExtent l="0" t="0" r="0" b="0"/>
                  <wp:docPr id="2" name="Chart 2" descr="Figure 4, left panel, shows that the distribution of gross household income has become flatter and shifted to the right between 1988-89 and 2009-10. " title="Figure 4 Change in gross household incomes, 1988-89 and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4389" w:type="dxa"/>
          </w:tcPr>
          <w:p w:rsidR="009A4CF7" w:rsidRPr="008E2425" w:rsidRDefault="009A4CF7" w:rsidP="009A4CF7">
            <w:pPr>
              <w:pStyle w:val="Figure"/>
              <w:rPr>
                <w:i/>
                <w:noProof/>
                <w:sz w:val="22"/>
                <w:szCs w:val="22"/>
                <w:vertAlign w:val="superscript"/>
              </w:rPr>
            </w:pPr>
            <w:r>
              <w:rPr>
                <w:i/>
                <w:noProof/>
                <w:sz w:val="22"/>
                <w:szCs w:val="22"/>
              </w:rPr>
              <w:t>Per cent change in income by decile</w:t>
            </w:r>
          </w:p>
          <w:p w:rsidR="00616CF4" w:rsidRDefault="00754398">
            <w:pPr>
              <w:pStyle w:val="Figure"/>
            </w:pPr>
            <w:r>
              <w:rPr>
                <w:noProof/>
              </w:rPr>
              <w:drawing>
                <wp:inline distT="0" distB="0" distL="0" distR="0" wp14:anchorId="7387C4F7" wp14:editId="3A9C3D55">
                  <wp:extent cx="2781300" cy="2524125"/>
                  <wp:effectExtent l="0" t="0" r="0" b="0"/>
                  <wp:docPr id="4" name="Chart 4" descr="Figure 4, right panel, shows that gross household income has grown for all deciles between 1988-89 and 2009-10, with a U-shaped pattern of growth observed. " title="Figure 4 Change in gross household incomes, 1988-89 and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487FC2" w:rsidRDefault="00487FC2" w:rsidP="00487FC2">
      <w:pPr>
        <w:pStyle w:val="Note"/>
      </w:pPr>
      <w:r>
        <w:rPr>
          <w:rStyle w:val="NoteLabel"/>
        </w:rPr>
        <w:t>a</w:t>
      </w:r>
      <w:r>
        <w:t xml:space="preserve"> All households.</w:t>
      </w:r>
    </w:p>
    <w:p w:rsidR="003F1895" w:rsidRDefault="005001EB" w:rsidP="005001EB">
      <w:pPr>
        <w:pStyle w:val="BodyText"/>
      </w:pPr>
      <w:r>
        <w:t>The income source</w:t>
      </w:r>
      <w:r w:rsidR="00AC43FC">
        <w:t>s</w:t>
      </w:r>
      <w:r>
        <w:t xml:space="preserve"> </w:t>
      </w:r>
      <w:r w:rsidR="00754398">
        <w:t>underpinning</w:t>
      </w:r>
      <w:r w:rsidR="00A21E3C">
        <w:t xml:space="preserve"> these changes differ</w:t>
      </w:r>
      <w:r w:rsidR="00167F7A">
        <w:t xml:space="preserve"> by decile. </w:t>
      </w:r>
    </w:p>
    <w:p w:rsidR="00C844C2" w:rsidRPr="00C844C2" w:rsidRDefault="005001EB" w:rsidP="00D045F9">
      <w:pPr>
        <w:pStyle w:val="ListBullet"/>
      </w:pPr>
      <w:r>
        <w:t>A</w:t>
      </w:r>
      <w:r w:rsidR="003F1895">
        <w:t>t the bottom of the distribution, increases in government payments have been very important</w:t>
      </w:r>
      <w:r w:rsidR="00F75159">
        <w:t>. In particular</w:t>
      </w:r>
      <w:r w:rsidR="00D045F9">
        <w:t>,</w:t>
      </w:r>
      <w:r w:rsidR="00F75159">
        <w:t xml:space="preserve"> increases in government payments</w:t>
      </w:r>
      <w:r w:rsidR="009A54BB">
        <w:t xml:space="preserve"> (particularly related to the Aged Pension)</w:t>
      </w:r>
      <w:r w:rsidR="00F75159">
        <w:t xml:space="preserve"> accounted for</w:t>
      </w:r>
      <w:r w:rsidR="00D045F9">
        <w:t xml:space="preserve">, on average, </w:t>
      </w:r>
      <w:r w:rsidR="00F75159">
        <w:t>around 45 per cent</w:t>
      </w:r>
      <w:r w:rsidR="00D045F9">
        <w:t xml:space="preserve"> of </w:t>
      </w:r>
      <w:r w:rsidR="00F75159">
        <w:t xml:space="preserve">income growth in the </w:t>
      </w:r>
      <w:r w:rsidR="00DC194E">
        <w:t>1</w:t>
      </w:r>
      <w:r w:rsidR="00DC194E" w:rsidRPr="002C4027">
        <w:rPr>
          <w:vertAlign w:val="superscript"/>
        </w:rPr>
        <w:t>st</w:t>
      </w:r>
      <w:r w:rsidR="00DC194E">
        <w:t xml:space="preserve"> </w:t>
      </w:r>
      <w:r w:rsidR="00F75159">
        <w:t>decile and 57 per cent of inc</w:t>
      </w:r>
      <w:r w:rsidR="00D045F9">
        <w:t xml:space="preserve">ome growth in the </w:t>
      </w:r>
      <w:r w:rsidR="00DC194E">
        <w:t>2</w:t>
      </w:r>
      <w:r w:rsidR="00DC194E" w:rsidRPr="002C4027">
        <w:rPr>
          <w:vertAlign w:val="superscript"/>
        </w:rPr>
        <w:t>nd</w:t>
      </w:r>
      <w:r w:rsidR="00DC194E">
        <w:t xml:space="preserve"> </w:t>
      </w:r>
      <w:r w:rsidR="00D045F9">
        <w:t xml:space="preserve">decile. </w:t>
      </w:r>
      <w:r w:rsidR="00F75159">
        <w:t>The impact of government payments dimi</w:t>
      </w:r>
      <w:r w:rsidR="0078286A">
        <w:t>ni</w:t>
      </w:r>
      <w:r w:rsidR="00F75159">
        <w:t xml:space="preserve">shes for higher deciles, but still comprises </w:t>
      </w:r>
      <w:r w:rsidR="00C844C2">
        <w:t>around 4</w:t>
      </w:r>
      <w:r w:rsidR="00F75159">
        <w:t xml:space="preserve"> per cent of the income growth of the </w:t>
      </w:r>
      <w:r w:rsidR="00DC194E">
        <w:t>9</w:t>
      </w:r>
      <w:r w:rsidR="00DC194E" w:rsidRPr="002C4027">
        <w:rPr>
          <w:vertAlign w:val="superscript"/>
        </w:rPr>
        <w:t>th</w:t>
      </w:r>
      <w:r w:rsidR="00DC194E">
        <w:t xml:space="preserve"> </w:t>
      </w:r>
      <w:r w:rsidR="00AC43FC">
        <w:t>decile.</w:t>
      </w:r>
    </w:p>
    <w:p w:rsidR="00254F79" w:rsidRDefault="00F75159" w:rsidP="00D045F9">
      <w:pPr>
        <w:pStyle w:val="ListBullet"/>
      </w:pPr>
      <w:r>
        <w:t>Labour income is the biggest source of growth for most</w:t>
      </w:r>
      <w:r w:rsidR="00D045F9">
        <w:t xml:space="preserve"> households</w:t>
      </w:r>
      <w:r>
        <w:t>, but is particularly important for the 6</w:t>
      </w:r>
      <w:r w:rsidRPr="00C844C2">
        <w:rPr>
          <w:vertAlign w:val="superscript"/>
        </w:rPr>
        <w:t>th</w:t>
      </w:r>
      <w:r>
        <w:t xml:space="preserve"> to 9</w:t>
      </w:r>
      <w:r w:rsidRPr="00C844C2">
        <w:rPr>
          <w:vertAlign w:val="superscript"/>
        </w:rPr>
        <w:t>th</w:t>
      </w:r>
      <w:r>
        <w:t xml:space="preserve"> deciles (above 70 per cent).</w:t>
      </w:r>
    </w:p>
    <w:p w:rsidR="00C844C2" w:rsidRDefault="00F75159" w:rsidP="00D045F9">
      <w:pPr>
        <w:pStyle w:val="ListBullet"/>
      </w:pPr>
      <w:r>
        <w:lastRenderedPageBreak/>
        <w:t xml:space="preserve">Capital </w:t>
      </w:r>
      <w:r w:rsidR="0072215C">
        <w:t xml:space="preserve">&amp; other </w:t>
      </w:r>
      <w:r>
        <w:t>income has grown relatively</w:t>
      </w:r>
      <w:r w:rsidR="00B04797">
        <w:t xml:space="preserve"> evenly across</w:t>
      </w:r>
      <w:r w:rsidR="00D045F9">
        <w:t xml:space="preserve"> most</w:t>
      </w:r>
      <w:r w:rsidR="00B04797">
        <w:t xml:space="preserve"> deciles, </w:t>
      </w:r>
      <w:r w:rsidR="00C844C2">
        <w:t xml:space="preserve">but </w:t>
      </w:r>
      <w:r w:rsidR="00B04797">
        <w:t>has had the biggest effect on the 10</w:t>
      </w:r>
      <w:r w:rsidR="00B04797" w:rsidRPr="00B04797">
        <w:rPr>
          <w:vertAlign w:val="superscript"/>
        </w:rPr>
        <w:t>th</w:t>
      </w:r>
      <w:r w:rsidR="00C844C2">
        <w:t xml:space="preserve"> decile. This ‘top-end’ capital income growth occurred mainly between 2003-04 and 2009-10 (more than doubling in this period).</w:t>
      </w:r>
    </w:p>
    <w:p w:rsidR="00A43C41" w:rsidRDefault="00754398" w:rsidP="00A43C41">
      <w:pPr>
        <w:pStyle w:val="BodyText"/>
      </w:pPr>
      <w:r>
        <w:t>The combined result of these changes is</w:t>
      </w:r>
      <w:r w:rsidR="00F86010">
        <w:t xml:space="preserve"> </w:t>
      </w:r>
      <w:r w:rsidR="00575604">
        <w:t xml:space="preserve">that there is </w:t>
      </w:r>
      <w:r w:rsidR="00F86010">
        <w:t xml:space="preserve">no clear trend </w:t>
      </w:r>
      <w:r w:rsidR="00730AFA">
        <w:t xml:space="preserve">in </w:t>
      </w:r>
      <w:r>
        <w:t xml:space="preserve">measured </w:t>
      </w:r>
      <w:r w:rsidR="001D2825">
        <w:t xml:space="preserve">gross </w:t>
      </w:r>
      <w:r w:rsidR="00730AFA">
        <w:t xml:space="preserve">household </w:t>
      </w:r>
      <w:r w:rsidR="001D2825">
        <w:t xml:space="preserve">income </w:t>
      </w:r>
      <w:r w:rsidR="00730AFA">
        <w:t xml:space="preserve">inequality </w:t>
      </w:r>
      <w:r>
        <w:t>between 1988-89</w:t>
      </w:r>
      <w:r w:rsidR="00730AFA">
        <w:t xml:space="preserve"> </w:t>
      </w:r>
      <w:r w:rsidR="00581B98">
        <w:t>and</w:t>
      </w:r>
      <w:r w:rsidR="00730AFA">
        <w:t xml:space="preserve"> 2003-04</w:t>
      </w:r>
      <w:r w:rsidR="00F86010">
        <w:t xml:space="preserve">. </w:t>
      </w:r>
      <w:r w:rsidR="00E848EC">
        <w:t>T</w:t>
      </w:r>
      <w:r w:rsidR="00C94E8A">
        <w:t xml:space="preserve">he </w:t>
      </w:r>
      <w:r w:rsidR="001D2825">
        <w:t>G</w:t>
      </w:r>
      <w:r w:rsidR="00C94E8A">
        <w:t xml:space="preserve">ini coefficient </w:t>
      </w:r>
      <w:r>
        <w:t xml:space="preserve">only </w:t>
      </w:r>
      <w:r w:rsidR="00AA7E77">
        <w:t>increased slightly from</w:t>
      </w:r>
      <w:r w:rsidR="00C94E8A">
        <w:t xml:space="preserve"> </w:t>
      </w:r>
      <w:r w:rsidR="001D2825">
        <w:t xml:space="preserve">0.39 </w:t>
      </w:r>
      <w:r w:rsidR="00E848EC">
        <w:t>in 1988-89</w:t>
      </w:r>
      <w:r w:rsidR="00C94E8A">
        <w:t xml:space="preserve"> to </w:t>
      </w:r>
      <w:r w:rsidR="00AA7E77">
        <w:t>0.40 in 2003-04</w:t>
      </w:r>
      <w:r w:rsidR="00F86010">
        <w:t xml:space="preserve">. Since 2003-04, however, measured inequality rose — </w:t>
      </w:r>
      <w:r w:rsidR="00AA7E77">
        <w:t xml:space="preserve">to </w:t>
      </w:r>
      <w:r w:rsidR="001D2825">
        <w:t xml:space="preserve">0.43 </w:t>
      </w:r>
      <w:r w:rsidR="00AA7E77">
        <w:t xml:space="preserve">by </w:t>
      </w:r>
      <w:r w:rsidR="00E848EC">
        <w:t>2009-10</w:t>
      </w:r>
      <w:r w:rsidR="00730AFA">
        <w:t>. The top-end growth in capital</w:t>
      </w:r>
      <w:r w:rsidR="00BE0595">
        <w:t xml:space="preserve"> &amp; other</w:t>
      </w:r>
      <w:r w:rsidR="00730AFA">
        <w:t xml:space="preserve"> income is the main driver of th</w:t>
      </w:r>
      <w:r w:rsidR="00AA7E77">
        <w:t>e change between 2003-04 and 2009-10</w:t>
      </w:r>
      <w:r w:rsidR="00730AFA">
        <w:t xml:space="preserve">. </w:t>
      </w:r>
      <w:r w:rsidR="00F86010">
        <w:t>But e</w:t>
      </w:r>
      <w:r w:rsidR="001A674C">
        <w:t xml:space="preserve">ven with capital </w:t>
      </w:r>
      <w:r w:rsidR="00BE0595">
        <w:t xml:space="preserve">&amp; other </w:t>
      </w:r>
      <w:r w:rsidR="001A674C">
        <w:t xml:space="preserve">income included, </w:t>
      </w:r>
      <w:r w:rsidR="00CF31F7">
        <w:t xml:space="preserve">both </w:t>
      </w:r>
      <w:r w:rsidR="001A674C">
        <w:t xml:space="preserve">the level and the growth in household inequality is lower than that experienced by individuals — a result of the equalising </w:t>
      </w:r>
      <w:r>
        <w:t>effect</w:t>
      </w:r>
      <w:r w:rsidR="001A674C">
        <w:t xml:space="preserve"> of household members </w:t>
      </w:r>
      <w:r>
        <w:t>combining</w:t>
      </w:r>
      <w:r w:rsidR="00D045F9">
        <w:t xml:space="preserve"> income, </w:t>
      </w:r>
      <w:r w:rsidR="008F6FF6">
        <w:t xml:space="preserve">a greater proportion of household members working, </w:t>
      </w:r>
      <w:r w:rsidR="00D045F9">
        <w:t>as well as government</w:t>
      </w:r>
      <w:r w:rsidR="001A674C">
        <w:t xml:space="preserve"> payments target</w:t>
      </w:r>
      <w:r w:rsidR="00D045F9">
        <w:t>ing</w:t>
      </w:r>
      <w:r w:rsidR="001A674C">
        <w:t xml:space="preserve"> people on lower incomes (discussed further below).</w:t>
      </w:r>
      <w:r w:rsidR="00A43C41">
        <w:t xml:space="preserve"> </w:t>
      </w:r>
    </w:p>
    <w:p w:rsidR="008C6339" w:rsidRDefault="00B444A6" w:rsidP="00D045F9">
      <w:pPr>
        <w:pStyle w:val="BodyText"/>
      </w:pPr>
      <w:r>
        <w:t xml:space="preserve">In contrast to individual market income, changes in </w:t>
      </w:r>
      <w:r w:rsidR="00575604">
        <w:t xml:space="preserve">household </w:t>
      </w:r>
      <w:r>
        <w:t xml:space="preserve">labour </w:t>
      </w:r>
      <w:r w:rsidR="001A674C">
        <w:t>earnings</w:t>
      </w:r>
      <w:r>
        <w:t xml:space="preserve"> have not </w:t>
      </w:r>
      <w:r w:rsidR="00AA7E77">
        <w:t xml:space="preserve">contributed to the recent increase in </w:t>
      </w:r>
      <w:r w:rsidR="00754398">
        <w:t xml:space="preserve">measured </w:t>
      </w:r>
      <w:r w:rsidR="00AA7E77">
        <w:t xml:space="preserve">gross </w:t>
      </w:r>
      <w:r>
        <w:t xml:space="preserve">household </w:t>
      </w:r>
      <w:r w:rsidR="00AA7E77">
        <w:t xml:space="preserve">income </w:t>
      </w:r>
      <w:r>
        <w:t xml:space="preserve">inequality. </w:t>
      </w:r>
      <w:r w:rsidR="00B30317">
        <w:t>The difference arises bec</w:t>
      </w:r>
      <w:r>
        <w:t>ause</w:t>
      </w:r>
      <w:r w:rsidR="00D045F9">
        <w:t xml:space="preserve"> individual ma</w:t>
      </w:r>
      <w:r w:rsidR="00B33392">
        <w:t xml:space="preserve">rket income only includes people </w:t>
      </w:r>
      <w:r w:rsidR="00D045F9">
        <w:t xml:space="preserve">that are working (or have some capital </w:t>
      </w:r>
      <w:r w:rsidR="00F86010">
        <w:t xml:space="preserve">&amp; other </w:t>
      </w:r>
      <w:r w:rsidR="00D045F9">
        <w:t xml:space="preserve">income) and does not capture the distributional consequences of the </w:t>
      </w:r>
      <w:r w:rsidR="00754398">
        <w:t>marked</w:t>
      </w:r>
      <w:r w:rsidR="00D045F9">
        <w:t xml:space="preserve"> increase in </w:t>
      </w:r>
      <w:r w:rsidR="00581B98">
        <w:t>employment</w:t>
      </w:r>
      <w:r w:rsidR="00D045F9">
        <w:t xml:space="preserve">. </w:t>
      </w:r>
      <w:r w:rsidR="00B30317">
        <w:t xml:space="preserve">This increase has been most prevalent among </w:t>
      </w:r>
      <w:r w:rsidR="00E158D8">
        <w:t>families in the bottom half of th</w:t>
      </w:r>
      <w:r w:rsidR="00B30317">
        <w:t>e income distribution and among</w:t>
      </w:r>
      <w:r w:rsidR="00E158D8">
        <w:t xml:space="preserve"> households containing dependent</w:t>
      </w:r>
      <w:r w:rsidR="00A832A0">
        <w:t xml:space="preserve"> children —</w:t>
      </w:r>
      <w:r w:rsidR="00E00F49">
        <w:t xml:space="preserve"> </w:t>
      </w:r>
      <w:r w:rsidR="00581B98">
        <w:t>employment</w:t>
      </w:r>
      <w:r w:rsidR="00B30317">
        <w:t xml:space="preserve"> for</w:t>
      </w:r>
      <w:r w:rsidR="00A832A0">
        <w:t xml:space="preserve"> sole parent families </w:t>
      </w:r>
      <w:r w:rsidR="00B30317">
        <w:t xml:space="preserve">and couples </w:t>
      </w:r>
      <w:r w:rsidR="00A832A0">
        <w:t>increased by around 11 per cent and 6 per cent</w:t>
      </w:r>
      <w:r w:rsidR="00B30317">
        <w:t xml:space="preserve">, </w:t>
      </w:r>
      <w:r w:rsidR="001D2825">
        <w:t>respectively</w:t>
      </w:r>
      <w:r w:rsidR="00A832A0">
        <w:t xml:space="preserve">. As </w:t>
      </w:r>
      <w:r w:rsidR="009A16E7">
        <w:t>people</w:t>
      </w:r>
      <w:r w:rsidR="00A832A0">
        <w:t xml:space="preserve"> </w:t>
      </w:r>
      <w:r w:rsidR="00754398">
        <w:t xml:space="preserve">in these groups </w:t>
      </w:r>
      <w:r w:rsidR="00A832A0">
        <w:t>would have otherwise earned no labour income,</w:t>
      </w:r>
      <w:r w:rsidR="00B30317">
        <w:t xml:space="preserve"> the</w:t>
      </w:r>
      <w:r w:rsidR="00A86B4C">
        <w:t xml:space="preserve"> increase in </w:t>
      </w:r>
      <w:r w:rsidR="00581B98">
        <w:t>employment</w:t>
      </w:r>
      <w:r w:rsidR="00A832A0">
        <w:t xml:space="preserve"> exerts an equalising f</w:t>
      </w:r>
      <w:r w:rsidR="00A86B4C">
        <w:t>orce on</w:t>
      </w:r>
      <w:r w:rsidR="00A832A0">
        <w:t xml:space="preserve"> the distribution of income that </w:t>
      </w:r>
      <w:r w:rsidR="00581B98">
        <w:t>offsets</w:t>
      </w:r>
      <w:r w:rsidR="00A832A0">
        <w:t xml:space="preserve"> the dispersion of average hourly wages.</w:t>
      </w:r>
    </w:p>
    <w:p w:rsidR="004057DD" w:rsidRDefault="00754398" w:rsidP="004057DD">
      <w:pPr>
        <w:pStyle w:val="BodyText"/>
      </w:pPr>
      <w:r>
        <w:t>Demographic and s</w:t>
      </w:r>
      <w:r w:rsidR="004057DD">
        <w:t>ocial factors, such as family formation and age, have some readily observable impacts on the distribution of (gross) household income. For example:</w:t>
      </w:r>
    </w:p>
    <w:p w:rsidR="004057DD" w:rsidRDefault="004057DD" w:rsidP="004057DD">
      <w:pPr>
        <w:pStyle w:val="ListBullet"/>
      </w:pPr>
      <w:r>
        <w:t>the vast majority of households at the bottom of the distribution (the 1</w:t>
      </w:r>
      <w:r w:rsidRPr="002B0804">
        <w:rPr>
          <w:vertAlign w:val="superscript"/>
        </w:rPr>
        <w:t>st</w:t>
      </w:r>
      <w:r>
        <w:t xml:space="preserve"> and 2</w:t>
      </w:r>
      <w:r w:rsidRPr="002B0804">
        <w:rPr>
          <w:vertAlign w:val="superscript"/>
        </w:rPr>
        <w:t>nd</w:t>
      </w:r>
      <w:r>
        <w:t xml:space="preserve"> decile</w:t>
      </w:r>
      <w:r w:rsidR="00AE0B29">
        <w:t>s</w:t>
      </w:r>
      <w:r>
        <w:t>) are either lone persons or single parents. Around half of these household</w:t>
      </w:r>
      <w:r w:rsidR="00AC43FC">
        <w:t>s</w:t>
      </w:r>
      <w:r>
        <w:t xml:space="preserve"> have an average adult age over 65</w:t>
      </w:r>
      <w:r w:rsidR="009B374D">
        <w:t>. F</w:t>
      </w:r>
      <w:r>
        <w:t>ewer than 21 pe</w:t>
      </w:r>
      <w:r w:rsidR="009B374D">
        <w:t>r cent contain a</w:t>
      </w:r>
      <w:r w:rsidR="007D1F30">
        <w:t>n</w:t>
      </w:r>
      <w:r w:rsidR="009B374D">
        <w:t xml:space="preserve"> employed adult</w:t>
      </w:r>
      <w:r w:rsidR="00754398">
        <w:t>.</w:t>
      </w:r>
    </w:p>
    <w:p w:rsidR="004057DD" w:rsidRDefault="004057DD" w:rsidP="004057DD">
      <w:pPr>
        <w:pStyle w:val="ListBullet"/>
      </w:pPr>
      <w:r>
        <w:t>conversely, the top of the distribution (the 9</w:t>
      </w:r>
      <w:r w:rsidRPr="002B0804">
        <w:rPr>
          <w:vertAlign w:val="superscript"/>
        </w:rPr>
        <w:t>th</w:t>
      </w:r>
      <w:r>
        <w:t xml:space="preserve"> and 10</w:t>
      </w:r>
      <w:r w:rsidRPr="002B0804">
        <w:rPr>
          <w:vertAlign w:val="superscript"/>
        </w:rPr>
        <w:t>th</w:t>
      </w:r>
      <w:r>
        <w:t xml:space="preserve"> decile</w:t>
      </w:r>
      <w:r w:rsidR="00AE0B29">
        <w:t>s</w:t>
      </w:r>
      <w:r>
        <w:t xml:space="preserve">) is </w:t>
      </w:r>
      <w:r w:rsidR="009B374D">
        <w:t xml:space="preserve">made up </w:t>
      </w:r>
      <w:r>
        <w:t xml:space="preserve">almost entirely of working age </w:t>
      </w:r>
      <w:r w:rsidR="009B374D">
        <w:t xml:space="preserve">households, </w:t>
      </w:r>
      <w:r>
        <w:t>with 80 </w:t>
      </w:r>
      <w:r w:rsidR="00C94E8A">
        <w:t>per cent</w:t>
      </w:r>
      <w:r>
        <w:t xml:space="preserve"> of resident adults in the labour force. Almost all of these households contain couples. </w:t>
      </w:r>
    </w:p>
    <w:p w:rsidR="004057DD" w:rsidRDefault="00756B68" w:rsidP="004057DD">
      <w:pPr>
        <w:pStyle w:val="BodyText"/>
      </w:pPr>
      <w:r>
        <w:t>Family formation can</w:t>
      </w:r>
      <w:r w:rsidR="00E848EC">
        <w:t xml:space="preserve"> also</w:t>
      </w:r>
      <w:r>
        <w:t xml:space="preserve"> directly </w:t>
      </w:r>
      <w:r w:rsidR="00E94422">
        <w:t>affect</w:t>
      </w:r>
      <w:r>
        <w:t xml:space="preserve"> household inequality if </w:t>
      </w:r>
      <w:r w:rsidR="00C15C9E">
        <w:t>people with high</w:t>
      </w:r>
      <w:r>
        <w:t>er</w:t>
      </w:r>
      <w:r w:rsidR="00C15C9E">
        <w:t xml:space="preserve"> earnings </w:t>
      </w:r>
      <w:r>
        <w:t xml:space="preserve">tend to </w:t>
      </w:r>
      <w:r w:rsidR="00C15C9E">
        <w:t>partner with other peopl</w:t>
      </w:r>
      <w:r w:rsidR="00CB2B23">
        <w:t xml:space="preserve">e with high earnings. </w:t>
      </w:r>
      <w:r w:rsidR="00E94422">
        <w:t xml:space="preserve">The OECD (2011) </w:t>
      </w:r>
      <w:r w:rsidR="00E94422">
        <w:lastRenderedPageBreak/>
        <w:t>found that t</w:t>
      </w:r>
      <w:r w:rsidR="00521F05">
        <w:t xml:space="preserve">his partnering pattern </w:t>
      </w:r>
      <w:r w:rsidR="00CB2B23">
        <w:t>has</w:t>
      </w:r>
      <w:r w:rsidR="00C15C9E">
        <w:t xml:space="preserve"> been an import</w:t>
      </w:r>
      <w:r w:rsidR="00CB2B23">
        <w:t>ant</w:t>
      </w:r>
      <w:r w:rsidR="00C15C9E">
        <w:t xml:space="preserve"> </w:t>
      </w:r>
      <w:r w:rsidR="00CB2B23">
        <w:t xml:space="preserve">contributor to rising </w:t>
      </w:r>
      <w:r w:rsidR="00C15C9E">
        <w:t>inequality</w:t>
      </w:r>
      <w:r>
        <w:t xml:space="preserve"> in the 1980s and 1990s</w:t>
      </w:r>
      <w:r w:rsidR="00C15C9E">
        <w:t>, both in Australia a</w:t>
      </w:r>
      <w:r w:rsidR="00CB2B23">
        <w:t xml:space="preserve">nd internationally. </w:t>
      </w:r>
      <w:r>
        <w:t>In practice, this phenomen</w:t>
      </w:r>
      <w:r w:rsidR="00E94422">
        <w:t>on</w:t>
      </w:r>
      <w:r>
        <w:t xml:space="preserve"> is difficult to </w:t>
      </w:r>
      <w:r w:rsidR="009B374D">
        <w:t xml:space="preserve">observe, generating </w:t>
      </w:r>
      <w:r w:rsidR="00AE0B29">
        <w:t>some</w:t>
      </w:r>
      <w:r>
        <w:t xml:space="preserve"> uncertainty </w:t>
      </w:r>
      <w:r w:rsidR="009B374D">
        <w:t xml:space="preserve">as to </w:t>
      </w:r>
      <w:r>
        <w:t xml:space="preserve">its importance. </w:t>
      </w:r>
      <w:r w:rsidR="00E94422">
        <w:t>At any rate</w:t>
      </w:r>
      <w:r>
        <w:t xml:space="preserve">, </w:t>
      </w:r>
      <w:r w:rsidR="004C7748">
        <w:t xml:space="preserve">between 1998-99 and 2009-10, rates of </w:t>
      </w:r>
      <w:r w:rsidR="00CB2B23">
        <w:t>partnering</w:t>
      </w:r>
      <w:r>
        <w:t xml:space="preserve"> </w:t>
      </w:r>
      <w:r w:rsidR="004C7748">
        <w:t xml:space="preserve">between people with similar individual earnings </w:t>
      </w:r>
      <w:r>
        <w:t>appear to have stabilised, s</w:t>
      </w:r>
      <w:r w:rsidR="00521F05">
        <w:t>uggesting it</w:t>
      </w:r>
      <w:r w:rsidR="00E94422">
        <w:t>s</w:t>
      </w:r>
      <w:r w:rsidR="00521F05">
        <w:t xml:space="preserve"> </w:t>
      </w:r>
      <w:r w:rsidR="00E94422">
        <w:t>role</w:t>
      </w:r>
      <w:r w:rsidR="004C7748">
        <w:t xml:space="preserve"> in explaining distributional changes</w:t>
      </w:r>
      <w:r w:rsidR="00E94422">
        <w:t xml:space="preserve">, if any, would have diminished </w:t>
      </w:r>
      <w:r w:rsidR="00AE0B29">
        <w:t>over the last decade.</w:t>
      </w:r>
    </w:p>
    <w:p w:rsidR="004057DD" w:rsidRDefault="00756B68" w:rsidP="0023176F">
      <w:pPr>
        <w:pStyle w:val="BodyText"/>
      </w:pPr>
      <w:r>
        <w:t>At the other end of the spectrum,</w:t>
      </w:r>
      <w:r w:rsidR="00AC43FC">
        <w:t xml:space="preserve"> </w:t>
      </w:r>
      <w:r w:rsidR="001F626A">
        <w:t xml:space="preserve">the </w:t>
      </w:r>
      <w:r w:rsidR="00AC43FC">
        <w:t>proportion of households with no employed members (</w:t>
      </w:r>
      <w:r>
        <w:t>jobless household</w:t>
      </w:r>
      <w:r w:rsidR="00AC43FC">
        <w:t>s) has</w:t>
      </w:r>
      <w:r>
        <w:t xml:space="preserve"> been in decline since 1993-94. This has contributed to the </w:t>
      </w:r>
      <w:r w:rsidR="007D28AF">
        <w:t>growth in household income</w:t>
      </w:r>
      <w:r w:rsidR="00754398">
        <w:t>s</w:t>
      </w:r>
      <w:r w:rsidR="007D28AF">
        <w:t xml:space="preserve"> and exerted downward pressure on </w:t>
      </w:r>
      <w:r w:rsidR="00754398">
        <w:t xml:space="preserve">measured </w:t>
      </w:r>
      <w:r w:rsidR="007D28AF">
        <w:t xml:space="preserve">inequality. </w:t>
      </w:r>
      <w:r w:rsidR="00E94422">
        <w:t>However, d</w:t>
      </w:r>
      <w:r w:rsidR="00CB2B23">
        <w:t>uring this period</w:t>
      </w:r>
      <w:r w:rsidR="007D28AF">
        <w:t>, the average income gap between household</w:t>
      </w:r>
      <w:r w:rsidR="00AC43FC">
        <w:t>s</w:t>
      </w:r>
      <w:r w:rsidR="007D28AF">
        <w:t xml:space="preserve"> with employed m</w:t>
      </w:r>
      <w:r w:rsidR="00CB2B23">
        <w:t>embers and jobless household</w:t>
      </w:r>
      <w:r w:rsidR="00AC43FC">
        <w:t>s</w:t>
      </w:r>
      <w:r w:rsidR="00CB2B23">
        <w:t xml:space="preserve"> increased.</w:t>
      </w:r>
    </w:p>
    <w:p w:rsidR="009F51E6" w:rsidRPr="00CA4B14" w:rsidRDefault="004057DD" w:rsidP="0023176F">
      <w:pPr>
        <w:pStyle w:val="BodyText"/>
      </w:pPr>
      <w:r w:rsidRPr="00CA4B14">
        <w:t xml:space="preserve">Finally, government </w:t>
      </w:r>
      <w:r w:rsidR="001F626A" w:rsidRPr="00CA4B14">
        <w:t xml:space="preserve">tax and transfer </w:t>
      </w:r>
      <w:r w:rsidRPr="00CA4B14">
        <w:t>polic</w:t>
      </w:r>
      <w:r w:rsidR="001F626A" w:rsidRPr="00CA4B14">
        <w:t>ies</w:t>
      </w:r>
      <w:r w:rsidR="00422C74" w:rsidRPr="00CA4B14">
        <w:t xml:space="preserve"> (both direct and indirect)</w:t>
      </w:r>
      <w:r w:rsidR="009F51E6" w:rsidRPr="00CA4B14">
        <w:t xml:space="preserve"> substantially decrease</w:t>
      </w:r>
      <w:r w:rsidR="00E94422">
        <w:t>d</w:t>
      </w:r>
      <w:r w:rsidRPr="00CA4B14">
        <w:t xml:space="preserve"> </w:t>
      </w:r>
      <w:r w:rsidR="00E94422">
        <w:t xml:space="preserve">measured </w:t>
      </w:r>
      <w:r w:rsidRPr="00CA4B14">
        <w:t>income inequality</w:t>
      </w:r>
      <w:r w:rsidR="0083566F" w:rsidRPr="00CA4B14">
        <w:t xml:space="preserve"> (figure </w:t>
      </w:r>
      <w:r w:rsidR="00CA4B14" w:rsidRPr="00CA4B14">
        <w:t>4</w:t>
      </w:r>
      <w:r w:rsidR="00422C74" w:rsidRPr="00CA4B14">
        <w:t>)</w:t>
      </w:r>
      <w:r w:rsidR="009F51E6" w:rsidRPr="00CA4B14">
        <w:t>. In 2009-10, the combined effect of taxes</w:t>
      </w:r>
      <w:r w:rsidR="00422C74" w:rsidRPr="00CA4B14">
        <w:t xml:space="preserve"> and</w:t>
      </w:r>
      <w:r w:rsidR="009F51E6" w:rsidRPr="00CA4B14">
        <w:t xml:space="preserve"> transf</w:t>
      </w:r>
      <w:r w:rsidR="00581B98">
        <w:t xml:space="preserve">ers was a reduction in the Gini </w:t>
      </w:r>
      <w:r w:rsidR="009F51E6" w:rsidRPr="00CA4B14">
        <w:t>coefficient from 0.52 (</w:t>
      </w:r>
      <w:r w:rsidR="00422C74" w:rsidRPr="00CA4B14">
        <w:t xml:space="preserve">household </w:t>
      </w:r>
      <w:r w:rsidR="009F51E6" w:rsidRPr="00CA4B14">
        <w:t xml:space="preserve">market income) to </w:t>
      </w:r>
      <w:r w:rsidR="00422C74" w:rsidRPr="00CA4B14">
        <w:t>0.34 (</w:t>
      </w:r>
      <w:r w:rsidR="004551CD" w:rsidRPr="00CA4B14">
        <w:t>final income)</w:t>
      </w:r>
      <w:r w:rsidR="009A54BB">
        <w:t xml:space="preserve"> — slightly lower than in previous years</w:t>
      </w:r>
      <w:r w:rsidR="004551CD" w:rsidRPr="00CA4B14">
        <w:t xml:space="preserve">. </w:t>
      </w:r>
      <w:r w:rsidR="00422C74" w:rsidRPr="00CA4B14">
        <w:t>Taking account of household size (in particular the economies of scale in consumption when working adults cohabi</w:t>
      </w:r>
      <w:r w:rsidR="00581B98">
        <w:t xml:space="preserve">tate), further reduces the Gini </w:t>
      </w:r>
      <w:r w:rsidR="00422C74" w:rsidRPr="00CA4B14">
        <w:t>coefficient to 0.27</w:t>
      </w:r>
      <w:r w:rsidR="004551CD" w:rsidRPr="00CA4B14">
        <w:t xml:space="preserve"> (equivalised final income)</w:t>
      </w:r>
      <w:r w:rsidR="00422C74" w:rsidRPr="00CA4B14">
        <w:t>.</w:t>
      </w:r>
    </w:p>
    <w:p w:rsidR="00A43C41" w:rsidRPr="00D544B2" w:rsidRDefault="00A43C41">
      <w:pPr>
        <w:pStyle w:val="FigureTitle"/>
      </w:pPr>
      <w:r w:rsidRPr="00CA4B14">
        <w:rPr>
          <w:b w:val="0"/>
        </w:rPr>
        <w:t xml:space="preserve">Figure </w:t>
      </w:r>
      <w:r w:rsidR="00902D2A">
        <w:rPr>
          <w:b w:val="0"/>
          <w:noProof/>
        </w:rPr>
        <w:t>5</w:t>
      </w:r>
      <w:r w:rsidRPr="00CA4B14">
        <w:tab/>
      </w:r>
      <w:r w:rsidR="003E3AEC" w:rsidRPr="00CA4B14">
        <w:t xml:space="preserve">The impact of taxes, transfers and </w:t>
      </w:r>
      <w:r w:rsidR="000340AE" w:rsidRPr="00CA4B14">
        <w:t>household size</w:t>
      </w:r>
      <w:r w:rsidR="00581B98">
        <w:t xml:space="preserve"> on the Gini </w:t>
      </w:r>
      <w:r w:rsidR="003E3AEC" w:rsidRPr="00CA4B14">
        <w:t>coefficient</w:t>
      </w:r>
      <w:r w:rsidR="00487FC2" w:rsidRPr="00CA4B14">
        <w:rPr>
          <w:vertAlign w:val="superscript"/>
        </w:rPr>
        <w:t>a</w:t>
      </w:r>
      <w:r w:rsidR="00D544B2">
        <w:t>, 1988-89 to 2009-10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43C41" w:rsidRPr="00CA4B14" w:rsidTr="00006266">
        <w:tc>
          <w:tcPr>
            <w:tcW w:w="8777" w:type="dxa"/>
          </w:tcPr>
          <w:p w:rsidR="00A43C41" w:rsidRPr="00CA4B14" w:rsidRDefault="00006266">
            <w:pPr>
              <w:pStyle w:val="Figure"/>
            </w:pPr>
            <w:r>
              <w:rPr>
                <w:noProof/>
              </w:rPr>
              <w:drawing>
                <wp:inline distT="0" distB="0" distL="0" distR="0" wp14:anchorId="3EBD688A" wp14:editId="03604449">
                  <wp:extent cx="5581650" cy="2371725"/>
                  <wp:effectExtent l="0" t="0" r="0" b="0"/>
                  <wp:docPr id="1" name="Chart 1" descr="Shows that the Gini coefficient has increased for all forms of household income between 1988-89 and 2009-10. " title="Figure 5 The impact of taxes, transfers and household size on the Gini coefficient, 1988-89 to 2009-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487FC2" w:rsidRPr="00CA4B14" w:rsidRDefault="00487FC2" w:rsidP="00487FC2">
      <w:pPr>
        <w:pStyle w:val="Note"/>
      </w:pPr>
      <w:r w:rsidRPr="00CA4B14">
        <w:rPr>
          <w:rStyle w:val="NoteLabel"/>
        </w:rPr>
        <w:t>a</w:t>
      </w:r>
      <w:r w:rsidRPr="00CA4B14">
        <w:t xml:space="preserve"> All households.</w:t>
      </w:r>
    </w:p>
    <w:p w:rsidR="0075351F" w:rsidRPr="00D819F0" w:rsidRDefault="009B374D" w:rsidP="0023176F">
      <w:pPr>
        <w:pStyle w:val="BodyText"/>
      </w:pPr>
      <w:r w:rsidRPr="00CA4B14">
        <w:t xml:space="preserve">The impact </w:t>
      </w:r>
      <w:r w:rsidR="008229B1" w:rsidRPr="00CA4B14">
        <w:t xml:space="preserve">on inequality of Australia’s system of taxes and transfers varies. </w:t>
      </w:r>
      <w:r w:rsidR="00421C59" w:rsidRPr="00CA4B14">
        <w:t>Some</w:t>
      </w:r>
      <w:r w:rsidR="008229B1">
        <w:t xml:space="preserve"> parts of the system</w:t>
      </w:r>
      <w:r w:rsidR="008310B7">
        <w:t xml:space="preserve">, such as consumption taxes, make the distribution of household </w:t>
      </w:r>
      <w:r w:rsidR="008310B7">
        <w:lastRenderedPageBreak/>
        <w:t>income less equal</w:t>
      </w:r>
      <w:r w:rsidR="00421C59">
        <w:t xml:space="preserve"> (though this </w:t>
      </w:r>
      <w:r w:rsidR="00192E81">
        <w:t xml:space="preserve">effect </w:t>
      </w:r>
      <w:r w:rsidR="00421C59">
        <w:t>is relatively minor)</w:t>
      </w:r>
      <w:r w:rsidR="008310B7">
        <w:t xml:space="preserve">. </w:t>
      </w:r>
      <w:r w:rsidR="008229B1">
        <w:t xml:space="preserve">In general, </w:t>
      </w:r>
      <w:r w:rsidR="00581B98">
        <w:t xml:space="preserve">however, </w:t>
      </w:r>
      <w:r w:rsidR="008229B1">
        <w:t>the tax and transfer system reduces inequality through</w:t>
      </w:r>
      <w:r w:rsidR="00754398">
        <w:t xml:space="preserve"> a number of means.</w:t>
      </w:r>
    </w:p>
    <w:p w:rsidR="00754398" w:rsidRDefault="003C738E" w:rsidP="00754398">
      <w:pPr>
        <w:pStyle w:val="Heading4"/>
      </w:pPr>
      <w:r w:rsidRPr="008229B1">
        <w:t>Direct</w:t>
      </w:r>
      <w:r w:rsidR="00754398">
        <w:t xml:space="preserve"> transfers</w:t>
      </w:r>
    </w:p>
    <w:p w:rsidR="00754398" w:rsidRDefault="008B23B0" w:rsidP="00754398">
      <w:pPr>
        <w:pStyle w:val="BodyText"/>
      </w:pPr>
      <w:r>
        <w:t>These include g</w:t>
      </w:r>
      <w:r w:rsidR="003C738E">
        <w:t xml:space="preserve">overnment payments such as </w:t>
      </w:r>
      <w:r w:rsidR="00D25716">
        <w:t>the Age Pension, the D</w:t>
      </w:r>
      <w:r w:rsidR="003C738E">
        <w:t xml:space="preserve">isability </w:t>
      </w:r>
      <w:r w:rsidR="00D25716">
        <w:t>S</w:t>
      </w:r>
      <w:r w:rsidR="003C738E">
        <w:t xml:space="preserve">upport </w:t>
      </w:r>
      <w:r w:rsidR="00D25716">
        <w:t>P</w:t>
      </w:r>
      <w:r w:rsidR="003C738E">
        <w:t>ens</w:t>
      </w:r>
      <w:r w:rsidR="00D25716">
        <w:t>ion, unemployment benefits and Family Tax Benefits (A and B).</w:t>
      </w:r>
      <w:r w:rsidR="003C738E">
        <w:t xml:space="preserve"> </w:t>
      </w:r>
      <w:r w:rsidR="00D819F0">
        <w:t>These payments, by design, are targeted toward individuals and families on lower incomes and reduce income inequality considerably</w:t>
      </w:r>
      <w:r w:rsidR="009A2DF9">
        <w:t xml:space="preserve">. </w:t>
      </w:r>
      <w:r w:rsidR="007D09A6">
        <w:t>In 2009-10, d</w:t>
      </w:r>
      <w:r w:rsidR="009A2DF9">
        <w:t xml:space="preserve">irect transfers </w:t>
      </w:r>
      <w:r w:rsidR="008229B1">
        <w:t>account</w:t>
      </w:r>
      <w:r w:rsidR="007D09A6">
        <w:t>ed</w:t>
      </w:r>
      <w:r w:rsidR="008229B1">
        <w:t xml:space="preserve"> for </w:t>
      </w:r>
      <w:r w:rsidR="009A2DF9">
        <w:t xml:space="preserve">around </w:t>
      </w:r>
      <w:r w:rsidR="00216002">
        <w:t>half</w:t>
      </w:r>
      <w:r w:rsidR="008229B1">
        <w:t xml:space="preserve"> of the </w:t>
      </w:r>
      <w:r w:rsidR="002C4027">
        <w:t xml:space="preserve">total </w:t>
      </w:r>
      <w:r w:rsidR="008229B1">
        <w:t>fall in inequality between market and final income</w:t>
      </w:r>
      <w:r w:rsidR="00D819F0">
        <w:t xml:space="preserve">. </w:t>
      </w:r>
    </w:p>
    <w:p w:rsidR="00754398" w:rsidRDefault="003C738E" w:rsidP="00754398">
      <w:pPr>
        <w:pStyle w:val="BodyText"/>
      </w:pPr>
      <w:r>
        <w:t xml:space="preserve">As </w:t>
      </w:r>
      <w:r w:rsidR="00581B98">
        <w:t>employment</w:t>
      </w:r>
      <w:r>
        <w:t xml:space="preserve"> has increased, the </w:t>
      </w:r>
      <w:r w:rsidR="008229B1">
        <w:t>share</w:t>
      </w:r>
      <w:r>
        <w:t xml:space="preserve"> of households receiving direct payments has decreased, although </w:t>
      </w:r>
      <w:r w:rsidR="00754398">
        <w:t xml:space="preserve">for </w:t>
      </w:r>
      <w:r>
        <w:t>those that do receive payments</w:t>
      </w:r>
      <w:r w:rsidR="00754398">
        <w:t>, amounts</w:t>
      </w:r>
      <w:r>
        <w:t xml:space="preserve"> have </w:t>
      </w:r>
      <w:r w:rsidR="00754398">
        <w:t>risen</w:t>
      </w:r>
      <w:r>
        <w:t xml:space="preserve"> </w:t>
      </w:r>
      <w:r w:rsidR="00754398">
        <w:t xml:space="preserve">significantly </w:t>
      </w:r>
      <w:r>
        <w:t>in real terms (</w:t>
      </w:r>
      <w:r w:rsidR="00EC6CFA">
        <w:t xml:space="preserve">from </w:t>
      </w:r>
      <w:r>
        <w:t>$266 in 1993-94 to $346 in</w:t>
      </w:r>
      <w:r w:rsidR="00BB0EA7">
        <w:t xml:space="preserve"> </w:t>
      </w:r>
      <w:r>
        <w:t>2009-10</w:t>
      </w:r>
      <w:r w:rsidR="007D1F30">
        <w:t xml:space="preserve"> in 2011-12 prices</w:t>
      </w:r>
      <w:r>
        <w:t>).</w:t>
      </w:r>
      <w:r w:rsidR="00BB0EA7">
        <w:t xml:space="preserve"> </w:t>
      </w:r>
      <w:r w:rsidR="008229B1">
        <w:t xml:space="preserve">The relative decline </w:t>
      </w:r>
      <w:r w:rsidR="002C4027">
        <w:t>in</w:t>
      </w:r>
      <w:r w:rsidR="00AC43FC">
        <w:t xml:space="preserve"> the number of</w:t>
      </w:r>
      <w:r w:rsidR="002C4027">
        <w:t xml:space="preserve"> </w:t>
      </w:r>
      <w:r w:rsidR="008229B1">
        <w:t xml:space="preserve">transfer recipients has also reduced </w:t>
      </w:r>
      <w:r w:rsidR="00D819F0">
        <w:t xml:space="preserve">the marginal effect </w:t>
      </w:r>
      <w:r w:rsidR="008229B1">
        <w:t xml:space="preserve">of transfers on </w:t>
      </w:r>
      <w:r w:rsidR="001D2825">
        <w:t xml:space="preserve">household </w:t>
      </w:r>
      <w:r w:rsidR="00D819F0">
        <w:t>inequality</w:t>
      </w:r>
      <w:r w:rsidR="008229B1">
        <w:t xml:space="preserve"> (the percentage reduction associated with an increase in the average level of benefits has become smaller)</w:t>
      </w:r>
      <w:r w:rsidR="002C4027">
        <w:t xml:space="preserve">. </w:t>
      </w:r>
    </w:p>
    <w:p w:rsidR="003C738E" w:rsidRDefault="00754398" w:rsidP="00754398">
      <w:pPr>
        <w:pStyle w:val="BodyText"/>
      </w:pPr>
      <w:r>
        <w:t>Overall</w:t>
      </w:r>
      <w:r w:rsidR="002C4027">
        <w:t xml:space="preserve">, despite considerable growth in the value of direct transfers, the impact on inequality has also diminished. Direct transfers lowered </w:t>
      </w:r>
      <w:r w:rsidR="00276FAE">
        <w:t xml:space="preserve">inequality of equivalised market income </w:t>
      </w:r>
      <w:r w:rsidR="002C4027">
        <w:t xml:space="preserve">by </w:t>
      </w:r>
      <w:r w:rsidR="00276FAE">
        <w:t xml:space="preserve">28 per cent in 1993-94 </w:t>
      </w:r>
      <w:r w:rsidR="002C4027">
        <w:t xml:space="preserve">and </w:t>
      </w:r>
      <w:r w:rsidR="00F161FF">
        <w:t>23 per cent in 2009-10.</w:t>
      </w:r>
    </w:p>
    <w:p w:rsidR="00754398" w:rsidRDefault="00276FAE" w:rsidP="00754398">
      <w:pPr>
        <w:pStyle w:val="Heading4"/>
      </w:pPr>
      <w:r w:rsidRPr="009A2DF9">
        <w:t>Direct taxes</w:t>
      </w:r>
    </w:p>
    <w:p w:rsidR="00276FAE" w:rsidRDefault="009C37C1" w:rsidP="00754398">
      <w:pPr>
        <w:pStyle w:val="BodyText"/>
      </w:pPr>
      <w:r>
        <w:t>P</w:t>
      </w:r>
      <w:r w:rsidR="00276FAE">
        <w:t xml:space="preserve">rimarily </w:t>
      </w:r>
      <w:r w:rsidR="00192E81">
        <w:t>comprising</w:t>
      </w:r>
      <w:r w:rsidR="008B23B0">
        <w:t xml:space="preserve"> </w:t>
      </w:r>
      <w:r w:rsidR="00276FAE">
        <w:t>income tax</w:t>
      </w:r>
      <w:r>
        <w:t>,</w:t>
      </w:r>
      <w:r w:rsidR="00AC43FC">
        <w:t xml:space="preserve"> </w:t>
      </w:r>
      <w:r w:rsidR="00754398">
        <w:t>taxes</w:t>
      </w:r>
      <w:r w:rsidR="00216002">
        <w:t xml:space="preserve"> reduce</w:t>
      </w:r>
      <w:r w:rsidR="00276FAE">
        <w:t xml:space="preserve"> inequality by taxing those on h</w:t>
      </w:r>
      <w:r w:rsidR="009A2DF9">
        <w:t xml:space="preserve">igher incomes at a higher rate. </w:t>
      </w:r>
      <w:r w:rsidR="00F161FF">
        <w:t>In 2009-10, d</w:t>
      </w:r>
      <w:r w:rsidR="009A2DF9">
        <w:t>irect taxes account</w:t>
      </w:r>
      <w:r w:rsidR="00F161FF">
        <w:t>ed</w:t>
      </w:r>
      <w:r w:rsidR="009A2DF9">
        <w:t xml:space="preserve"> for around 18 per cent of the</w:t>
      </w:r>
      <w:r w:rsidR="002C4027">
        <w:t xml:space="preserve"> total</w:t>
      </w:r>
      <w:r w:rsidR="009A2DF9">
        <w:t xml:space="preserve"> </w:t>
      </w:r>
      <w:r w:rsidR="00192E81">
        <w:t>reduction</w:t>
      </w:r>
      <w:r w:rsidR="009A2DF9">
        <w:t xml:space="preserve"> in inequality between </w:t>
      </w:r>
      <w:r w:rsidR="00FB7298">
        <w:t xml:space="preserve">household </w:t>
      </w:r>
      <w:r w:rsidR="009A2DF9">
        <w:t>market and final income</w:t>
      </w:r>
      <w:r w:rsidR="00F161FF">
        <w:t>.</w:t>
      </w:r>
      <w:r w:rsidR="009A2DF9">
        <w:t xml:space="preserve"> </w:t>
      </w:r>
      <w:r w:rsidR="00276FAE">
        <w:t>Over time, the equalising effect of direct taxation has diminished</w:t>
      </w:r>
      <w:r w:rsidR="00F161FF">
        <w:t xml:space="preserve"> </w:t>
      </w:r>
      <w:r w:rsidR="00AC43FC">
        <w:t>slightly</w:t>
      </w:r>
      <w:r>
        <w:t> </w:t>
      </w:r>
      <w:r w:rsidR="00F161FF">
        <w:t>— lowering</w:t>
      </w:r>
      <w:r w:rsidR="00276FAE">
        <w:t xml:space="preserve"> inequality of equivalised market income by 9 per cent in 2009-10 compared with 10 per cent in 1993-94.</w:t>
      </w:r>
    </w:p>
    <w:p w:rsidR="00754398" w:rsidRDefault="00BB0EA7" w:rsidP="00754398">
      <w:pPr>
        <w:pStyle w:val="Heading4"/>
      </w:pPr>
      <w:r w:rsidRPr="00AC43FC">
        <w:t>Indirect transfers</w:t>
      </w:r>
    </w:p>
    <w:p w:rsidR="00763115" w:rsidRDefault="008B23B0" w:rsidP="00754398">
      <w:pPr>
        <w:pStyle w:val="BodyText"/>
      </w:pPr>
      <w:r>
        <w:t xml:space="preserve">These refer to the direct provision of </w:t>
      </w:r>
      <w:r w:rsidR="00D819F0">
        <w:t>services such as educ</w:t>
      </w:r>
      <w:r>
        <w:t xml:space="preserve">ation, </w:t>
      </w:r>
      <w:r w:rsidR="00D819F0">
        <w:t>health</w:t>
      </w:r>
      <w:r>
        <w:t>, housing and childcare assistance</w:t>
      </w:r>
      <w:r w:rsidR="00D819F0">
        <w:t xml:space="preserve"> (</w:t>
      </w:r>
      <w:r>
        <w:t>together</w:t>
      </w:r>
      <w:r w:rsidR="009C37C1">
        <w:t>,</w:t>
      </w:r>
      <w:r>
        <w:t xml:space="preserve"> education and health comprise </w:t>
      </w:r>
      <w:r w:rsidR="00D819F0">
        <w:t xml:space="preserve">83 per cent of indirect transfers). While all Australians are entitled to these services, they </w:t>
      </w:r>
      <w:r w:rsidR="00276FAE">
        <w:t xml:space="preserve">make up a greater share of final income for those on </w:t>
      </w:r>
      <w:r w:rsidR="00D819F0">
        <w:t xml:space="preserve">lower incomes, reducing </w:t>
      </w:r>
      <w:r w:rsidR="009A2DF9">
        <w:t xml:space="preserve">measured </w:t>
      </w:r>
      <w:r w:rsidR="00D819F0">
        <w:t>inequality.</w:t>
      </w:r>
      <w:r w:rsidR="009A2DF9">
        <w:t xml:space="preserve"> </w:t>
      </w:r>
      <w:r w:rsidR="00F161FF">
        <w:t>In 2009-10, i</w:t>
      </w:r>
      <w:r w:rsidR="009A2DF9">
        <w:t>ndirect transfer</w:t>
      </w:r>
      <w:r w:rsidR="00F161FF">
        <w:t>s</w:t>
      </w:r>
      <w:r w:rsidR="009A2DF9">
        <w:t xml:space="preserve"> account for around 37 per cent of the fall in inequality between market and final income.</w:t>
      </w:r>
      <w:r w:rsidR="0004024C">
        <w:t xml:space="preserve"> </w:t>
      </w:r>
      <w:r w:rsidR="00276FAE">
        <w:t>Indirect transfers have increased by a</w:t>
      </w:r>
      <w:r w:rsidR="009A2DF9">
        <w:t xml:space="preserve">round 77 per cent </w:t>
      </w:r>
      <w:r w:rsidR="00FB7298">
        <w:t xml:space="preserve">in real terms </w:t>
      </w:r>
      <w:r w:rsidR="009A2DF9">
        <w:t>since 1993-94</w:t>
      </w:r>
      <w:r w:rsidR="00276FAE">
        <w:t xml:space="preserve"> and</w:t>
      </w:r>
      <w:r w:rsidR="009A2DF9">
        <w:t>,</w:t>
      </w:r>
      <w:r w:rsidR="00276FAE">
        <w:t xml:space="preserve"> due to the relatively high share of indirect benefits in gross income for those in lower deciles, the increases</w:t>
      </w:r>
      <w:r w:rsidR="00EE2533">
        <w:t xml:space="preserve"> </w:t>
      </w:r>
      <w:r w:rsidR="00276FAE">
        <w:t xml:space="preserve">have </w:t>
      </w:r>
      <w:r w:rsidR="00276FAE">
        <w:lastRenderedPageBreak/>
        <w:t>helped to further reduce inequality</w:t>
      </w:r>
      <w:r w:rsidR="00F161FF">
        <w:t xml:space="preserve"> — reducing </w:t>
      </w:r>
      <w:r w:rsidR="00F3756B">
        <w:t xml:space="preserve">measured </w:t>
      </w:r>
      <w:r w:rsidR="00F161FF">
        <w:t xml:space="preserve">inequality of equivalised market income </w:t>
      </w:r>
      <w:r w:rsidR="00276FAE">
        <w:t>by 17 per cent in 2009-10 compared with 15 per ce</w:t>
      </w:r>
      <w:r w:rsidR="009A2DF9">
        <w:t>nt in 1993-94.</w:t>
      </w:r>
    </w:p>
    <w:p w:rsidR="00740C09" w:rsidRDefault="00AC43FC" w:rsidP="00F3756B">
      <w:pPr>
        <w:pStyle w:val="Heading3"/>
      </w:pPr>
      <w:r>
        <w:t xml:space="preserve">Are the distributional </w:t>
      </w:r>
      <w:r w:rsidR="00D17A8E">
        <w:t>movements</w:t>
      </w:r>
      <w:r>
        <w:t xml:space="preserve"> in</w:t>
      </w:r>
      <w:r w:rsidR="001B6C3B">
        <w:t xml:space="preserve"> Australia different </w:t>
      </w:r>
      <w:r w:rsidR="00192E81">
        <w:t>from</w:t>
      </w:r>
      <w:r w:rsidR="001B6C3B">
        <w:t xml:space="preserve"> other countries?</w:t>
      </w:r>
    </w:p>
    <w:p w:rsidR="00726A7A" w:rsidRDefault="008F6FF6" w:rsidP="00726A7A">
      <w:pPr>
        <w:pStyle w:val="BodyText"/>
      </w:pPr>
      <w:r>
        <w:t>Some of the observed developments</w:t>
      </w:r>
      <w:r w:rsidR="00726A7A">
        <w:t xml:space="preserve"> in Australia’s income distribution </w:t>
      </w:r>
      <w:r w:rsidR="00581B98">
        <w:t xml:space="preserve">between 1988-89 and 2009-10 </w:t>
      </w:r>
      <w:r w:rsidR="00726A7A">
        <w:t xml:space="preserve">are also </w:t>
      </w:r>
      <w:r w:rsidR="00F3756B">
        <w:t>evident</w:t>
      </w:r>
      <w:r w:rsidR="00726A7A">
        <w:t xml:space="preserve"> in other OECD countries. </w:t>
      </w:r>
      <w:r w:rsidR="00F3756B">
        <w:t>T</w:t>
      </w:r>
      <w:r w:rsidR="00726A7A">
        <w:t>he stronger growth in incomes for those (individuals and households) at the top of the distribution compared with those at the bottom has also occurred in most other OECD countries. In particular, the growing dispersion in full-time earnings, especially amongst men, is common</w:t>
      </w:r>
      <w:r w:rsidR="00AC5A38">
        <w:t>ly observed</w:t>
      </w:r>
      <w:r w:rsidR="00726A7A">
        <w:t xml:space="preserve"> </w:t>
      </w:r>
      <w:r w:rsidR="00F3756B">
        <w:t>across OECD countries</w:t>
      </w:r>
      <w:r w:rsidR="00726A7A">
        <w:t xml:space="preserve">. </w:t>
      </w:r>
    </w:p>
    <w:p w:rsidR="001E0511" w:rsidRPr="001E0511" w:rsidRDefault="00726A7A" w:rsidP="00740C09">
      <w:pPr>
        <w:pStyle w:val="BodyText"/>
      </w:pPr>
      <w:r>
        <w:t xml:space="preserve">However, </w:t>
      </w:r>
      <w:r w:rsidR="00AC5A38">
        <w:t>in contrast to other OECD countries</w:t>
      </w:r>
      <w:r>
        <w:t>, the growing dispersion in full-time earnings has not translated into a greater spread of household labour earnings in Australia. Australia’s increases in workforce participation and employment, particularly for households in lower income deciles, ha</w:t>
      </w:r>
      <w:r w:rsidR="00192E81">
        <w:t>ve more than</w:t>
      </w:r>
      <w:r>
        <w:t xml:space="preserve"> offset this </w:t>
      </w:r>
      <w:r w:rsidR="00AC5A38">
        <w:t>development</w:t>
      </w:r>
      <w:r>
        <w:t xml:space="preserve">. </w:t>
      </w:r>
      <w:r w:rsidR="00AC5A38">
        <w:t>In other words</w:t>
      </w:r>
      <w:r w:rsidR="00192E81">
        <w:t xml:space="preserve">, </w:t>
      </w:r>
      <w:r>
        <w:t>growth in labour force participation and hours for part-time workers and declining unemployment ha</w:t>
      </w:r>
      <w:r w:rsidR="00192E81">
        <w:t>ve</w:t>
      </w:r>
      <w:r>
        <w:t xml:space="preserve"> </w:t>
      </w:r>
      <w:r w:rsidR="00F3756B">
        <w:t>meant that</w:t>
      </w:r>
      <w:r>
        <w:t xml:space="preserve"> labour market earnings have had a </w:t>
      </w:r>
      <w:r w:rsidR="00581B98">
        <w:t>moderating</w:t>
      </w:r>
      <w:r w:rsidR="00192E81">
        <w:t xml:space="preserve"> impact on measured</w:t>
      </w:r>
      <w:r>
        <w:t xml:space="preserve"> household </w:t>
      </w:r>
      <w:r w:rsidR="00F86010">
        <w:t xml:space="preserve">labour </w:t>
      </w:r>
      <w:r>
        <w:t>income inequality.</w:t>
      </w:r>
      <w:r w:rsidR="00192E81">
        <w:t xml:space="preserve"> </w:t>
      </w:r>
    </w:p>
    <w:sectPr w:rsidR="001E0511" w:rsidRPr="001E0511" w:rsidSect="00EE2533">
      <w:headerReference w:type="even" r:id="rId18"/>
      <w:headerReference w:type="default" r:id="rId19"/>
      <w:footerReference w:type="even" r:id="rId20"/>
      <w:footerReference w:type="default" r:id="rId21"/>
      <w:headerReference w:type="first" r:id="rId22"/>
      <w:footerReference w:type="first" r:id="rId23"/>
      <w:pgSz w:w="11907" w:h="16840" w:code="9"/>
      <w:pgMar w:top="1984" w:right="1304" w:bottom="1417" w:left="1814" w:header="1701" w:footer="567" w:gutter="0"/>
      <w:pgNumType w:start="1" w:chapStyle="1"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735" w:rsidRDefault="00175735">
      <w:r>
        <w:separator/>
      </w:r>
    </w:p>
  </w:endnote>
  <w:endnote w:type="continuationSeparator" w:id="0">
    <w:p w:rsidR="00175735" w:rsidRDefault="00175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75735">
      <w:trPr>
        <w:trHeight w:hRule="exact" w:val="740"/>
      </w:trPr>
      <w:tc>
        <w:tcPr>
          <w:tcW w:w="510" w:type="dxa"/>
          <w:tcBorders>
            <w:top w:val="single" w:sz="6" w:space="0" w:color="auto"/>
          </w:tcBorders>
        </w:tcPr>
        <w:p w:rsidR="00175735" w:rsidRDefault="00175735" w:rsidP="0019293B">
          <w:pPr>
            <w:pStyle w:val="Footer"/>
            <w:tabs>
              <w:tab w:val="left" w:pos="0"/>
            </w:tabs>
            <w:ind w:right="0"/>
            <w:rPr>
              <w:rStyle w:val="PageNumber"/>
              <w:caps w:val="0"/>
              <w:spacing w:val="0"/>
              <w:szCs w:val="24"/>
            </w:rPr>
          </w:pPr>
          <w:r>
            <w:rPr>
              <w:rStyle w:val="PageNumber"/>
            </w:rPr>
            <w:fldChar w:fldCharType="begin"/>
          </w:r>
          <w:r>
            <w:rPr>
              <w:rStyle w:val="PageNumber"/>
            </w:rPr>
            <w:instrText xml:space="preserve">PAGE  </w:instrText>
          </w:r>
          <w:r>
            <w:rPr>
              <w:rStyle w:val="PageNumber"/>
            </w:rPr>
            <w:fldChar w:fldCharType="separate"/>
          </w:r>
          <w:r w:rsidR="00157305">
            <w:rPr>
              <w:rStyle w:val="PageNumber"/>
              <w:noProof/>
            </w:rPr>
            <w:t>2</w:t>
          </w:r>
          <w:r>
            <w:rPr>
              <w:rStyle w:val="PageNumber"/>
            </w:rPr>
            <w:fldChar w:fldCharType="end"/>
          </w:r>
        </w:p>
      </w:tc>
      <w:tc>
        <w:tcPr>
          <w:tcW w:w="1644" w:type="dxa"/>
          <w:tcBorders>
            <w:top w:val="single" w:sz="6" w:space="0" w:color="auto"/>
          </w:tcBorders>
        </w:tcPr>
        <w:p w:rsidR="00175735" w:rsidRDefault="00175735" w:rsidP="0019293B">
          <w:pPr>
            <w:pStyle w:val="Footer"/>
          </w:pPr>
          <w:fldSimple w:instr=" SUBJECT  \* MERGEFORMAT ">
            <w:r>
              <w:t>The distribution of income in Australia</w:t>
            </w:r>
          </w:fldSimple>
        </w:p>
      </w:tc>
      <w:tc>
        <w:tcPr>
          <w:tcW w:w="6634" w:type="dxa"/>
        </w:tcPr>
        <w:p w:rsidR="00175735" w:rsidRDefault="00175735" w:rsidP="0019293B">
          <w:pPr>
            <w:pStyle w:val="Footer"/>
          </w:pPr>
        </w:p>
      </w:tc>
    </w:tr>
  </w:tbl>
  <w:p w:rsidR="00175735" w:rsidRDefault="0017573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75735">
      <w:trPr>
        <w:trHeight w:hRule="exact" w:val="740"/>
      </w:trPr>
      <w:tc>
        <w:tcPr>
          <w:tcW w:w="6634" w:type="dxa"/>
        </w:tcPr>
        <w:p w:rsidR="00175735" w:rsidRDefault="00175735">
          <w:pPr>
            <w:pStyle w:val="Footer"/>
            <w:ind w:right="360" w:firstLine="360"/>
          </w:pPr>
        </w:p>
      </w:tc>
      <w:tc>
        <w:tcPr>
          <w:tcW w:w="1644" w:type="dxa"/>
          <w:tcBorders>
            <w:top w:val="single" w:sz="6" w:space="0" w:color="auto"/>
          </w:tcBorders>
        </w:tcPr>
        <w:p w:rsidR="00175735" w:rsidRDefault="00175735">
          <w:pPr>
            <w:pStyle w:val="Footer"/>
          </w:pPr>
          <w:fldSimple w:instr=" TITLE  \* MERGEFORMAT ">
            <w:r>
              <w:t>Overview</w:t>
            </w:r>
          </w:fldSimple>
        </w:p>
      </w:tc>
      <w:tc>
        <w:tcPr>
          <w:tcW w:w="510" w:type="dxa"/>
          <w:tcBorders>
            <w:top w:val="single" w:sz="6" w:space="0" w:color="auto"/>
          </w:tcBorders>
        </w:tcPr>
        <w:p w:rsidR="00175735" w:rsidRDefault="00175735">
          <w:pPr>
            <w:pStyle w:val="Footer"/>
            <w:jc w:val="right"/>
          </w:pPr>
          <w:r>
            <w:rPr>
              <w:rStyle w:val="PageNumber"/>
            </w:rPr>
            <w:fldChar w:fldCharType="begin"/>
          </w:r>
          <w:r>
            <w:rPr>
              <w:rStyle w:val="PageNumber"/>
            </w:rPr>
            <w:instrText xml:space="preserve">PAGE  </w:instrText>
          </w:r>
          <w:r>
            <w:rPr>
              <w:rStyle w:val="PageNumber"/>
            </w:rPr>
            <w:fldChar w:fldCharType="separate"/>
          </w:r>
          <w:r w:rsidR="00157305">
            <w:rPr>
              <w:rStyle w:val="PageNumber"/>
              <w:noProof/>
            </w:rPr>
            <w:t>13</w:t>
          </w:r>
          <w:r>
            <w:rPr>
              <w:rStyle w:val="PageNumber"/>
            </w:rPr>
            <w:fldChar w:fldCharType="end"/>
          </w:r>
        </w:p>
      </w:tc>
    </w:tr>
  </w:tbl>
  <w:p w:rsidR="00175735" w:rsidRDefault="0017573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735" w:rsidRDefault="001757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735" w:rsidRDefault="00175735">
      <w:r>
        <w:separator/>
      </w:r>
    </w:p>
  </w:footnote>
  <w:footnote w:type="continuationSeparator" w:id="0">
    <w:p w:rsidR="00175735" w:rsidRPr="00EC43C4" w:rsidRDefault="00175735" w:rsidP="00EC43C4">
      <w:r>
        <w:separator/>
      </w:r>
    </w:p>
  </w:footnote>
  <w:footnote w:id="1">
    <w:p w:rsidR="00175735" w:rsidRDefault="00175735" w:rsidP="00F86010">
      <w:pPr>
        <w:pStyle w:val="FootnoteText"/>
      </w:pPr>
      <w:r>
        <w:rPr>
          <w:rStyle w:val="FootnoteReference"/>
        </w:rPr>
        <w:footnoteRef/>
      </w:r>
      <w:r>
        <w:t xml:space="preserve"> </w:t>
      </w:r>
      <w:r>
        <w:tab/>
        <w:t>See Nolan, Salverda and Smeeding (2011) for a comprehensive survey of the income inequality literature.</w:t>
      </w:r>
    </w:p>
  </w:footnote>
  <w:footnote w:id="2">
    <w:p w:rsidR="00175735" w:rsidRDefault="00175735">
      <w:pPr>
        <w:pStyle w:val="FootnoteText"/>
      </w:pPr>
      <w:r>
        <w:rPr>
          <w:rStyle w:val="FootnoteReference"/>
        </w:rPr>
        <w:footnoteRef/>
      </w:r>
      <w:r>
        <w:t xml:space="preserve"> </w:t>
      </w:r>
      <w:r>
        <w:tab/>
        <w:t xml:space="preserve">All surveys suffer from misreporting and non-response bias — the HES is no different. However, with the quality assurance practices of the ABS and a large sample size, these should be minimised. It should also be noted that compulsory superannuation payments are not treated as income for workers. Instead, as per international convention, superannuation is treated as income when it is drawn down. </w:t>
      </w:r>
    </w:p>
  </w:footnote>
  <w:footnote w:id="3">
    <w:p w:rsidR="00175735" w:rsidRDefault="00175735">
      <w:pPr>
        <w:pStyle w:val="FootnoteText"/>
      </w:pPr>
      <w:r>
        <w:rPr>
          <w:rStyle w:val="FootnoteReference"/>
        </w:rPr>
        <w:footnoteRef/>
      </w:r>
      <w:r>
        <w:t xml:space="preserve"> </w:t>
      </w:r>
      <w:r>
        <w:tab/>
        <w:t xml:space="preserve">Household incomes are adjusted to reflect the requirement of larger households to have a higher level of income to achieve the same standard of living. This process, called equivalisation, adjusts household income by a factor related to the size and composition of the household. The Australian Bureau of Statistics equivalisation factor has been used in this study and is equal to the inverse of the sum of 1 times the number adults plus 0.5 times the number of children present in the household. </w:t>
      </w:r>
    </w:p>
  </w:footnote>
  <w:footnote w:id="4">
    <w:p w:rsidR="00175735" w:rsidRDefault="00175735" w:rsidP="0052257A">
      <w:pPr>
        <w:pStyle w:val="FootnoteText"/>
      </w:pPr>
      <w:r>
        <w:rPr>
          <w:rStyle w:val="FootnoteReference"/>
        </w:rPr>
        <w:footnoteRef/>
      </w:r>
      <w:r>
        <w:t xml:space="preserve"> </w:t>
      </w:r>
      <w:r>
        <w:tab/>
        <w:t>Due to data constraints, hours worked and hourly wage rate analysis is not possible for 1988-89 and 1993-94.</w:t>
      </w:r>
    </w:p>
  </w:footnote>
  <w:footnote w:id="5">
    <w:p w:rsidR="00175735" w:rsidRDefault="00175735" w:rsidP="0052257A">
      <w:pPr>
        <w:pStyle w:val="FootnoteText"/>
      </w:pPr>
      <w:r>
        <w:rPr>
          <w:rStyle w:val="FootnoteReference"/>
        </w:rPr>
        <w:footnoteRef/>
      </w:r>
      <w:r>
        <w:tab/>
        <w:t>Only the self-employed — who by far have the most unequal distribution of income — have a Gini coefficient (0.59) that exceeds that of overall labour force earnings.</w:t>
      </w:r>
    </w:p>
  </w:footnote>
  <w:footnote w:id="6">
    <w:p w:rsidR="00175735" w:rsidRDefault="00175735" w:rsidP="0052257A">
      <w:pPr>
        <w:pStyle w:val="FootnoteText"/>
      </w:pPr>
      <w:r>
        <w:rPr>
          <w:rStyle w:val="FootnoteReference"/>
        </w:rPr>
        <w:footnoteRef/>
      </w:r>
      <w:r>
        <w:t xml:space="preserve"> </w:t>
      </w:r>
      <w:r>
        <w:tab/>
        <w:t xml:space="preserve">A subgroup decomposition was used to identify how much of the income variation that occurs within a subgroup, compared to that which exists between subgroups, contributes to the overall Gini coefficient result. </w:t>
      </w:r>
    </w:p>
  </w:footnote>
  <w:footnote w:id="7">
    <w:p w:rsidR="00175735" w:rsidRDefault="00175735">
      <w:pPr>
        <w:pStyle w:val="FootnoteText"/>
      </w:pPr>
      <w:r>
        <w:rPr>
          <w:rStyle w:val="FootnoteReference"/>
        </w:rPr>
        <w:footnoteRef/>
      </w:r>
      <w:r>
        <w:tab/>
        <w:t>However, there is considerable cross sectional variation in hours worked by full-time employees, with the highest decile working around 10 hours longer per week than those in the first decile.</w:t>
      </w:r>
    </w:p>
  </w:footnote>
  <w:footnote w:id="8">
    <w:p w:rsidR="00175735" w:rsidRPr="002272FC" w:rsidRDefault="00175735">
      <w:pPr>
        <w:pStyle w:val="FootnoteText"/>
      </w:pPr>
      <w:r>
        <w:rPr>
          <w:rStyle w:val="FootnoteReference"/>
        </w:rPr>
        <w:footnoteRef/>
      </w:r>
      <w:r>
        <w:t xml:space="preserve"> These changes are statistically significant at the 1 per cent level.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75735">
      <w:tc>
        <w:tcPr>
          <w:tcW w:w="2155" w:type="dxa"/>
          <w:tcBorders>
            <w:top w:val="single" w:sz="24" w:space="0" w:color="auto"/>
          </w:tcBorders>
        </w:tcPr>
        <w:p w:rsidR="00175735" w:rsidRDefault="00175735" w:rsidP="0019293B">
          <w:pPr>
            <w:pStyle w:val="HeaderEven"/>
          </w:pPr>
        </w:p>
      </w:tc>
      <w:tc>
        <w:tcPr>
          <w:tcW w:w="6634" w:type="dxa"/>
          <w:tcBorders>
            <w:top w:val="single" w:sz="6" w:space="0" w:color="auto"/>
          </w:tcBorders>
        </w:tcPr>
        <w:p w:rsidR="00175735" w:rsidRDefault="00175735" w:rsidP="0019293B">
          <w:pPr>
            <w:pStyle w:val="HeaderEven"/>
          </w:pPr>
        </w:p>
      </w:tc>
    </w:tr>
  </w:tbl>
  <w:p w:rsidR="00175735" w:rsidRDefault="0017573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75735">
      <w:tc>
        <w:tcPr>
          <w:tcW w:w="6634" w:type="dxa"/>
          <w:tcBorders>
            <w:top w:val="single" w:sz="6" w:space="0" w:color="auto"/>
          </w:tcBorders>
        </w:tcPr>
        <w:p w:rsidR="00175735" w:rsidRDefault="00175735" w:rsidP="00E669E2">
          <w:pPr>
            <w:pStyle w:val="HeaderOdd"/>
          </w:pPr>
        </w:p>
      </w:tc>
      <w:tc>
        <w:tcPr>
          <w:tcW w:w="2155" w:type="dxa"/>
          <w:tcBorders>
            <w:top w:val="single" w:sz="24" w:space="0" w:color="auto"/>
          </w:tcBorders>
        </w:tcPr>
        <w:p w:rsidR="00175735" w:rsidRDefault="00175735" w:rsidP="00E669E2">
          <w:pPr>
            <w:pStyle w:val="HeaderOdd"/>
          </w:pPr>
        </w:p>
      </w:tc>
    </w:tr>
  </w:tbl>
  <w:p w:rsidR="00175735" w:rsidRDefault="00175735"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735" w:rsidRDefault="001757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lickAndTypeStyle w:val="BodyText"/>
  <w:evenAndOddHeaders/>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The distribution of income in Australia"/>
  </w:docVars>
  <w:rsids>
    <w:rsidRoot w:val="002D131D"/>
    <w:rsid w:val="00000ECA"/>
    <w:rsid w:val="00003489"/>
    <w:rsid w:val="00006266"/>
    <w:rsid w:val="00007EF1"/>
    <w:rsid w:val="00011618"/>
    <w:rsid w:val="00014A30"/>
    <w:rsid w:val="000227D5"/>
    <w:rsid w:val="00022A6E"/>
    <w:rsid w:val="000245AA"/>
    <w:rsid w:val="00027E31"/>
    <w:rsid w:val="000340AE"/>
    <w:rsid w:val="0003664B"/>
    <w:rsid w:val="0004024C"/>
    <w:rsid w:val="000409B6"/>
    <w:rsid w:val="0004111F"/>
    <w:rsid w:val="000565B3"/>
    <w:rsid w:val="0006258E"/>
    <w:rsid w:val="0006549D"/>
    <w:rsid w:val="00065A1A"/>
    <w:rsid w:val="0007150B"/>
    <w:rsid w:val="000737A8"/>
    <w:rsid w:val="00077F1C"/>
    <w:rsid w:val="000938F5"/>
    <w:rsid w:val="00094328"/>
    <w:rsid w:val="00096E55"/>
    <w:rsid w:val="00097F80"/>
    <w:rsid w:val="000A7847"/>
    <w:rsid w:val="000B601B"/>
    <w:rsid w:val="000C207E"/>
    <w:rsid w:val="000C7BB9"/>
    <w:rsid w:val="000D45F3"/>
    <w:rsid w:val="000F0035"/>
    <w:rsid w:val="000F420B"/>
    <w:rsid w:val="00104400"/>
    <w:rsid w:val="00110116"/>
    <w:rsid w:val="00120072"/>
    <w:rsid w:val="00126EB8"/>
    <w:rsid w:val="001274D4"/>
    <w:rsid w:val="001363AA"/>
    <w:rsid w:val="0014148A"/>
    <w:rsid w:val="001518C4"/>
    <w:rsid w:val="00155B88"/>
    <w:rsid w:val="00157305"/>
    <w:rsid w:val="00167F7A"/>
    <w:rsid w:val="0017185B"/>
    <w:rsid w:val="00175735"/>
    <w:rsid w:val="00175F86"/>
    <w:rsid w:val="00176E07"/>
    <w:rsid w:val="00181812"/>
    <w:rsid w:val="00183E82"/>
    <w:rsid w:val="00184FA5"/>
    <w:rsid w:val="0018606E"/>
    <w:rsid w:val="00187387"/>
    <w:rsid w:val="001878BB"/>
    <w:rsid w:val="00191AE0"/>
    <w:rsid w:val="0019293B"/>
    <w:rsid w:val="00192E81"/>
    <w:rsid w:val="001A63A6"/>
    <w:rsid w:val="001A674C"/>
    <w:rsid w:val="001B6C3B"/>
    <w:rsid w:val="001C0865"/>
    <w:rsid w:val="001C3ABA"/>
    <w:rsid w:val="001D2241"/>
    <w:rsid w:val="001D2825"/>
    <w:rsid w:val="001E0511"/>
    <w:rsid w:val="001E46C7"/>
    <w:rsid w:val="001E4CD6"/>
    <w:rsid w:val="001E7BE8"/>
    <w:rsid w:val="001F0248"/>
    <w:rsid w:val="001F3EB3"/>
    <w:rsid w:val="001F4F86"/>
    <w:rsid w:val="001F626A"/>
    <w:rsid w:val="00202C2C"/>
    <w:rsid w:val="00213105"/>
    <w:rsid w:val="002135AB"/>
    <w:rsid w:val="00214109"/>
    <w:rsid w:val="002144BE"/>
    <w:rsid w:val="00216002"/>
    <w:rsid w:val="002205FB"/>
    <w:rsid w:val="00220F2B"/>
    <w:rsid w:val="002272FC"/>
    <w:rsid w:val="002305D5"/>
    <w:rsid w:val="0023176F"/>
    <w:rsid w:val="0023627D"/>
    <w:rsid w:val="00240F57"/>
    <w:rsid w:val="00242279"/>
    <w:rsid w:val="00245C82"/>
    <w:rsid w:val="0024684C"/>
    <w:rsid w:val="00252351"/>
    <w:rsid w:val="00254F79"/>
    <w:rsid w:val="00256476"/>
    <w:rsid w:val="00257878"/>
    <w:rsid w:val="0027412B"/>
    <w:rsid w:val="00274B07"/>
    <w:rsid w:val="00276FAE"/>
    <w:rsid w:val="002817E2"/>
    <w:rsid w:val="00284A97"/>
    <w:rsid w:val="00291B40"/>
    <w:rsid w:val="002B0053"/>
    <w:rsid w:val="002B0804"/>
    <w:rsid w:val="002B4008"/>
    <w:rsid w:val="002B7B2E"/>
    <w:rsid w:val="002C0853"/>
    <w:rsid w:val="002C4027"/>
    <w:rsid w:val="002D0E8E"/>
    <w:rsid w:val="002D131D"/>
    <w:rsid w:val="002D2A5D"/>
    <w:rsid w:val="002D6CA4"/>
    <w:rsid w:val="002D7F2F"/>
    <w:rsid w:val="002F0575"/>
    <w:rsid w:val="00301189"/>
    <w:rsid w:val="0031225D"/>
    <w:rsid w:val="00315EBC"/>
    <w:rsid w:val="00323E09"/>
    <w:rsid w:val="003259B6"/>
    <w:rsid w:val="00333932"/>
    <w:rsid w:val="00336102"/>
    <w:rsid w:val="003446C0"/>
    <w:rsid w:val="00345421"/>
    <w:rsid w:val="00347FF5"/>
    <w:rsid w:val="003518AA"/>
    <w:rsid w:val="00352165"/>
    <w:rsid w:val="00353182"/>
    <w:rsid w:val="003565D9"/>
    <w:rsid w:val="003602E1"/>
    <w:rsid w:val="00367677"/>
    <w:rsid w:val="0037026F"/>
    <w:rsid w:val="003708E5"/>
    <w:rsid w:val="00371240"/>
    <w:rsid w:val="00374731"/>
    <w:rsid w:val="00376E59"/>
    <w:rsid w:val="00380A28"/>
    <w:rsid w:val="003870EC"/>
    <w:rsid w:val="003919F9"/>
    <w:rsid w:val="003C38B5"/>
    <w:rsid w:val="003C5D99"/>
    <w:rsid w:val="003C738E"/>
    <w:rsid w:val="003D293A"/>
    <w:rsid w:val="003E2F59"/>
    <w:rsid w:val="003E3AEC"/>
    <w:rsid w:val="003F0789"/>
    <w:rsid w:val="003F1895"/>
    <w:rsid w:val="003F76EB"/>
    <w:rsid w:val="00401882"/>
    <w:rsid w:val="0040342B"/>
    <w:rsid w:val="004057DD"/>
    <w:rsid w:val="00407E27"/>
    <w:rsid w:val="004100C8"/>
    <w:rsid w:val="00411DBD"/>
    <w:rsid w:val="00412ACE"/>
    <w:rsid w:val="00420F68"/>
    <w:rsid w:val="00421C59"/>
    <w:rsid w:val="0042203E"/>
    <w:rsid w:val="00422C74"/>
    <w:rsid w:val="00425016"/>
    <w:rsid w:val="00431249"/>
    <w:rsid w:val="00434C19"/>
    <w:rsid w:val="00435C2D"/>
    <w:rsid w:val="00450810"/>
    <w:rsid w:val="004551CD"/>
    <w:rsid w:val="00462378"/>
    <w:rsid w:val="0046345F"/>
    <w:rsid w:val="004639A9"/>
    <w:rsid w:val="00477144"/>
    <w:rsid w:val="004876AA"/>
    <w:rsid w:val="00487FC2"/>
    <w:rsid w:val="00491380"/>
    <w:rsid w:val="0049459F"/>
    <w:rsid w:val="004A12E6"/>
    <w:rsid w:val="004A38DD"/>
    <w:rsid w:val="004B34B7"/>
    <w:rsid w:val="004B43AE"/>
    <w:rsid w:val="004C0511"/>
    <w:rsid w:val="004C30ED"/>
    <w:rsid w:val="004C7748"/>
    <w:rsid w:val="004D5675"/>
    <w:rsid w:val="004E1DF2"/>
    <w:rsid w:val="004E4E00"/>
    <w:rsid w:val="004F4551"/>
    <w:rsid w:val="004F7E07"/>
    <w:rsid w:val="005001EB"/>
    <w:rsid w:val="00501240"/>
    <w:rsid w:val="005039DF"/>
    <w:rsid w:val="00506F26"/>
    <w:rsid w:val="0051247F"/>
    <w:rsid w:val="005204D7"/>
    <w:rsid w:val="00521F05"/>
    <w:rsid w:val="0052257A"/>
    <w:rsid w:val="00523639"/>
    <w:rsid w:val="00524736"/>
    <w:rsid w:val="005259C2"/>
    <w:rsid w:val="00531FE5"/>
    <w:rsid w:val="005346F8"/>
    <w:rsid w:val="00535456"/>
    <w:rsid w:val="0053707F"/>
    <w:rsid w:val="005402FA"/>
    <w:rsid w:val="00540D4C"/>
    <w:rsid w:val="005413A7"/>
    <w:rsid w:val="00543DE8"/>
    <w:rsid w:val="005456C8"/>
    <w:rsid w:val="0055164B"/>
    <w:rsid w:val="00575604"/>
    <w:rsid w:val="00576128"/>
    <w:rsid w:val="00581B98"/>
    <w:rsid w:val="00582BAF"/>
    <w:rsid w:val="00583C39"/>
    <w:rsid w:val="00587F28"/>
    <w:rsid w:val="005909CF"/>
    <w:rsid w:val="00591E71"/>
    <w:rsid w:val="00597EB5"/>
    <w:rsid w:val="005A0D41"/>
    <w:rsid w:val="005A4D6B"/>
    <w:rsid w:val="005B3345"/>
    <w:rsid w:val="005D1DC0"/>
    <w:rsid w:val="006022DA"/>
    <w:rsid w:val="00604477"/>
    <w:rsid w:val="00607BF1"/>
    <w:rsid w:val="00616CF4"/>
    <w:rsid w:val="00626302"/>
    <w:rsid w:val="00630D4D"/>
    <w:rsid w:val="00632A74"/>
    <w:rsid w:val="00636027"/>
    <w:rsid w:val="00636650"/>
    <w:rsid w:val="0064017E"/>
    <w:rsid w:val="00640432"/>
    <w:rsid w:val="00641A75"/>
    <w:rsid w:val="00642278"/>
    <w:rsid w:val="0066145D"/>
    <w:rsid w:val="00671B08"/>
    <w:rsid w:val="0068275E"/>
    <w:rsid w:val="006A3989"/>
    <w:rsid w:val="006A4655"/>
    <w:rsid w:val="006B1E72"/>
    <w:rsid w:val="006B2B3C"/>
    <w:rsid w:val="006B7F77"/>
    <w:rsid w:val="006C1D81"/>
    <w:rsid w:val="006C7038"/>
    <w:rsid w:val="006D37D1"/>
    <w:rsid w:val="006E209F"/>
    <w:rsid w:val="006E69D8"/>
    <w:rsid w:val="006E73EF"/>
    <w:rsid w:val="007132CF"/>
    <w:rsid w:val="007143FF"/>
    <w:rsid w:val="00714D4D"/>
    <w:rsid w:val="0072215C"/>
    <w:rsid w:val="00726A7A"/>
    <w:rsid w:val="0073094A"/>
    <w:rsid w:val="00730AFA"/>
    <w:rsid w:val="00740C09"/>
    <w:rsid w:val="007525B8"/>
    <w:rsid w:val="0075351F"/>
    <w:rsid w:val="00754398"/>
    <w:rsid w:val="00756B68"/>
    <w:rsid w:val="007604BB"/>
    <w:rsid w:val="007605AA"/>
    <w:rsid w:val="00761606"/>
    <w:rsid w:val="00763115"/>
    <w:rsid w:val="00770856"/>
    <w:rsid w:val="00770B7B"/>
    <w:rsid w:val="00771CF8"/>
    <w:rsid w:val="00780C93"/>
    <w:rsid w:val="007821B4"/>
    <w:rsid w:val="0078286A"/>
    <w:rsid w:val="00782FA9"/>
    <w:rsid w:val="00783CF3"/>
    <w:rsid w:val="00785232"/>
    <w:rsid w:val="007862E1"/>
    <w:rsid w:val="007A1FD1"/>
    <w:rsid w:val="007A21EB"/>
    <w:rsid w:val="007A5C3C"/>
    <w:rsid w:val="007B1A93"/>
    <w:rsid w:val="007B279A"/>
    <w:rsid w:val="007C061E"/>
    <w:rsid w:val="007C36C9"/>
    <w:rsid w:val="007C78D4"/>
    <w:rsid w:val="007D09A6"/>
    <w:rsid w:val="007D1F30"/>
    <w:rsid w:val="007D28AF"/>
    <w:rsid w:val="007D6401"/>
    <w:rsid w:val="007D6F93"/>
    <w:rsid w:val="007E01E4"/>
    <w:rsid w:val="007E3AD9"/>
    <w:rsid w:val="007E6BCC"/>
    <w:rsid w:val="007E7C5C"/>
    <w:rsid w:val="007F1462"/>
    <w:rsid w:val="007F7107"/>
    <w:rsid w:val="007F71B5"/>
    <w:rsid w:val="00800D4C"/>
    <w:rsid w:val="0081030F"/>
    <w:rsid w:val="008121F0"/>
    <w:rsid w:val="00814E41"/>
    <w:rsid w:val="008203A4"/>
    <w:rsid w:val="0082087D"/>
    <w:rsid w:val="008229B1"/>
    <w:rsid w:val="00824A49"/>
    <w:rsid w:val="008259A3"/>
    <w:rsid w:val="008310B7"/>
    <w:rsid w:val="008344C3"/>
    <w:rsid w:val="0083566F"/>
    <w:rsid w:val="00835771"/>
    <w:rsid w:val="00836166"/>
    <w:rsid w:val="00842933"/>
    <w:rsid w:val="0086082C"/>
    <w:rsid w:val="00863DDC"/>
    <w:rsid w:val="00864ADC"/>
    <w:rsid w:val="0086726A"/>
    <w:rsid w:val="008716BA"/>
    <w:rsid w:val="00873786"/>
    <w:rsid w:val="00880153"/>
    <w:rsid w:val="00880F97"/>
    <w:rsid w:val="0088133A"/>
    <w:rsid w:val="00881B5F"/>
    <w:rsid w:val="00881D84"/>
    <w:rsid w:val="0089285E"/>
    <w:rsid w:val="0089436C"/>
    <w:rsid w:val="008A630D"/>
    <w:rsid w:val="008B23B0"/>
    <w:rsid w:val="008B4665"/>
    <w:rsid w:val="008B6C42"/>
    <w:rsid w:val="008C18FB"/>
    <w:rsid w:val="008C6339"/>
    <w:rsid w:val="008D365C"/>
    <w:rsid w:val="008E2425"/>
    <w:rsid w:val="008E595D"/>
    <w:rsid w:val="008F08ED"/>
    <w:rsid w:val="008F412D"/>
    <w:rsid w:val="008F6FF6"/>
    <w:rsid w:val="009002E8"/>
    <w:rsid w:val="009003AE"/>
    <w:rsid w:val="00902D2A"/>
    <w:rsid w:val="009030BF"/>
    <w:rsid w:val="0091032F"/>
    <w:rsid w:val="00911411"/>
    <w:rsid w:val="00912779"/>
    <w:rsid w:val="00914368"/>
    <w:rsid w:val="00915AC7"/>
    <w:rsid w:val="00917BBB"/>
    <w:rsid w:val="00931076"/>
    <w:rsid w:val="009345D9"/>
    <w:rsid w:val="00934875"/>
    <w:rsid w:val="00934B15"/>
    <w:rsid w:val="00940C87"/>
    <w:rsid w:val="00942B62"/>
    <w:rsid w:val="0095323B"/>
    <w:rsid w:val="00956A0C"/>
    <w:rsid w:val="00956BD9"/>
    <w:rsid w:val="00962489"/>
    <w:rsid w:val="00964E7F"/>
    <w:rsid w:val="0096521A"/>
    <w:rsid w:val="00976231"/>
    <w:rsid w:val="0097720E"/>
    <w:rsid w:val="0098266E"/>
    <w:rsid w:val="00990C2C"/>
    <w:rsid w:val="00995D99"/>
    <w:rsid w:val="0099704F"/>
    <w:rsid w:val="009A16E7"/>
    <w:rsid w:val="009A1BAF"/>
    <w:rsid w:val="009A2CB4"/>
    <w:rsid w:val="009A2DF9"/>
    <w:rsid w:val="009A38F1"/>
    <w:rsid w:val="009A4CF7"/>
    <w:rsid w:val="009A54BB"/>
    <w:rsid w:val="009A7A68"/>
    <w:rsid w:val="009B0379"/>
    <w:rsid w:val="009B374D"/>
    <w:rsid w:val="009C2E29"/>
    <w:rsid w:val="009C37C1"/>
    <w:rsid w:val="009C42E4"/>
    <w:rsid w:val="009D29DA"/>
    <w:rsid w:val="009E1844"/>
    <w:rsid w:val="009E3691"/>
    <w:rsid w:val="009F0D1B"/>
    <w:rsid w:val="009F1BC9"/>
    <w:rsid w:val="009F51E6"/>
    <w:rsid w:val="009F696D"/>
    <w:rsid w:val="009F6BC6"/>
    <w:rsid w:val="009F763B"/>
    <w:rsid w:val="00A057CC"/>
    <w:rsid w:val="00A0609C"/>
    <w:rsid w:val="00A12FAA"/>
    <w:rsid w:val="00A17328"/>
    <w:rsid w:val="00A17D10"/>
    <w:rsid w:val="00A217F9"/>
    <w:rsid w:val="00A21E3C"/>
    <w:rsid w:val="00A23A20"/>
    <w:rsid w:val="00A246A6"/>
    <w:rsid w:val="00A268B9"/>
    <w:rsid w:val="00A2703A"/>
    <w:rsid w:val="00A33653"/>
    <w:rsid w:val="00A33DFF"/>
    <w:rsid w:val="00A35115"/>
    <w:rsid w:val="00A3692C"/>
    <w:rsid w:val="00A36D9A"/>
    <w:rsid w:val="00A43C41"/>
    <w:rsid w:val="00A554AB"/>
    <w:rsid w:val="00A57062"/>
    <w:rsid w:val="00A75BE0"/>
    <w:rsid w:val="00A805A7"/>
    <w:rsid w:val="00A832A0"/>
    <w:rsid w:val="00A86B4C"/>
    <w:rsid w:val="00A92B53"/>
    <w:rsid w:val="00A945A3"/>
    <w:rsid w:val="00A94FA6"/>
    <w:rsid w:val="00A9715B"/>
    <w:rsid w:val="00A9770A"/>
    <w:rsid w:val="00AA06EF"/>
    <w:rsid w:val="00AA49A0"/>
    <w:rsid w:val="00AA6710"/>
    <w:rsid w:val="00AA78B2"/>
    <w:rsid w:val="00AA7E77"/>
    <w:rsid w:val="00AB0681"/>
    <w:rsid w:val="00AB596F"/>
    <w:rsid w:val="00AB7488"/>
    <w:rsid w:val="00AC0781"/>
    <w:rsid w:val="00AC43FC"/>
    <w:rsid w:val="00AC5A38"/>
    <w:rsid w:val="00AD520B"/>
    <w:rsid w:val="00AE0B29"/>
    <w:rsid w:val="00AE336B"/>
    <w:rsid w:val="00AE614D"/>
    <w:rsid w:val="00AF67C6"/>
    <w:rsid w:val="00B04797"/>
    <w:rsid w:val="00B10D46"/>
    <w:rsid w:val="00B14E72"/>
    <w:rsid w:val="00B2368C"/>
    <w:rsid w:val="00B30317"/>
    <w:rsid w:val="00B33392"/>
    <w:rsid w:val="00B36522"/>
    <w:rsid w:val="00B425C3"/>
    <w:rsid w:val="00B440AD"/>
    <w:rsid w:val="00B444A6"/>
    <w:rsid w:val="00B53E7E"/>
    <w:rsid w:val="00B6342E"/>
    <w:rsid w:val="00B671DF"/>
    <w:rsid w:val="00B677D7"/>
    <w:rsid w:val="00B7113F"/>
    <w:rsid w:val="00B74AAB"/>
    <w:rsid w:val="00B82C3C"/>
    <w:rsid w:val="00B841DF"/>
    <w:rsid w:val="00B92FB2"/>
    <w:rsid w:val="00B9613A"/>
    <w:rsid w:val="00BA699B"/>
    <w:rsid w:val="00BA73B6"/>
    <w:rsid w:val="00BA7E27"/>
    <w:rsid w:val="00BB0850"/>
    <w:rsid w:val="00BB0EA7"/>
    <w:rsid w:val="00BB2603"/>
    <w:rsid w:val="00BB4FCD"/>
    <w:rsid w:val="00BC04E9"/>
    <w:rsid w:val="00BC0E03"/>
    <w:rsid w:val="00BD13EA"/>
    <w:rsid w:val="00BD58C0"/>
    <w:rsid w:val="00BD71DA"/>
    <w:rsid w:val="00BE00D4"/>
    <w:rsid w:val="00BE0595"/>
    <w:rsid w:val="00BE3808"/>
    <w:rsid w:val="00C03E20"/>
    <w:rsid w:val="00C062E9"/>
    <w:rsid w:val="00C07B64"/>
    <w:rsid w:val="00C13721"/>
    <w:rsid w:val="00C14138"/>
    <w:rsid w:val="00C14FE4"/>
    <w:rsid w:val="00C15C9E"/>
    <w:rsid w:val="00C266CE"/>
    <w:rsid w:val="00C3066D"/>
    <w:rsid w:val="00C31107"/>
    <w:rsid w:val="00C4073D"/>
    <w:rsid w:val="00C42989"/>
    <w:rsid w:val="00C475FF"/>
    <w:rsid w:val="00C52416"/>
    <w:rsid w:val="00C543F4"/>
    <w:rsid w:val="00C55DA2"/>
    <w:rsid w:val="00C61BFA"/>
    <w:rsid w:val="00C6291C"/>
    <w:rsid w:val="00C631A8"/>
    <w:rsid w:val="00C633CB"/>
    <w:rsid w:val="00C736B7"/>
    <w:rsid w:val="00C756E1"/>
    <w:rsid w:val="00C81D4A"/>
    <w:rsid w:val="00C844C2"/>
    <w:rsid w:val="00C86B00"/>
    <w:rsid w:val="00C8762C"/>
    <w:rsid w:val="00C94E8A"/>
    <w:rsid w:val="00C96D4B"/>
    <w:rsid w:val="00CA00F9"/>
    <w:rsid w:val="00CA2961"/>
    <w:rsid w:val="00CA4B14"/>
    <w:rsid w:val="00CB2B23"/>
    <w:rsid w:val="00CB50D7"/>
    <w:rsid w:val="00CB65AE"/>
    <w:rsid w:val="00CB7177"/>
    <w:rsid w:val="00CC05A1"/>
    <w:rsid w:val="00CC1998"/>
    <w:rsid w:val="00CC4946"/>
    <w:rsid w:val="00CD3E60"/>
    <w:rsid w:val="00CE5B27"/>
    <w:rsid w:val="00CF31F7"/>
    <w:rsid w:val="00CF59D8"/>
    <w:rsid w:val="00D045F9"/>
    <w:rsid w:val="00D17098"/>
    <w:rsid w:val="00D17A8E"/>
    <w:rsid w:val="00D21F43"/>
    <w:rsid w:val="00D25716"/>
    <w:rsid w:val="00D270A4"/>
    <w:rsid w:val="00D3091C"/>
    <w:rsid w:val="00D313D4"/>
    <w:rsid w:val="00D31FE9"/>
    <w:rsid w:val="00D34E1B"/>
    <w:rsid w:val="00D376BA"/>
    <w:rsid w:val="00D45634"/>
    <w:rsid w:val="00D544B2"/>
    <w:rsid w:val="00D5568A"/>
    <w:rsid w:val="00D56510"/>
    <w:rsid w:val="00D61C71"/>
    <w:rsid w:val="00D63D73"/>
    <w:rsid w:val="00D63FB4"/>
    <w:rsid w:val="00D64452"/>
    <w:rsid w:val="00D66E1E"/>
    <w:rsid w:val="00D70FEA"/>
    <w:rsid w:val="00D75722"/>
    <w:rsid w:val="00D758EE"/>
    <w:rsid w:val="00D80CF5"/>
    <w:rsid w:val="00D819F0"/>
    <w:rsid w:val="00D87999"/>
    <w:rsid w:val="00D910FA"/>
    <w:rsid w:val="00DA5BBA"/>
    <w:rsid w:val="00DB26D2"/>
    <w:rsid w:val="00DB2C42"/>
    <w:rsid w:val="00DB67C9"/>
    <w:rsid w:val="00DC0C95"/>
    <w:rsid w:val="00DC194E"/>
    <w:rsid w:val="00DC5C84"/>
    <w:rsid w:val="00DD6580"/>
    <w:rsid w:val="00DE0CB8"/>
    <w:rsid w:val="00DF128C"/>
    <w:rsid w:val="00DF490C"/>
    <w:rsid w:val="00DF4EC0"/>
    <w:rsid w:val="00DF6061"/>
    <w:rsid w:val="00E00F49"/>
    <w:rsid w:val="00E045CD"/>
    <w:rsid w:val="00E05CA6"/>
    <w:rsid w:val="00E06737"/>
    <w:rsid w:val="00E06944"/>
    <w:rsid w:val="00E1133A"/>
    <w:rsid w:val="00E158D8"/>
    <w:rsid w:val="00E15C1F"/>
    <w:rsid w:val="00E17C72"/>
    <w:rsid w:val="00E21FC6"/>
    <w:rsid w:val="00E431A9"/>
    <w:rsid w:val="00E50073"/>
    <w:rsid w:val="00E505E6"/>
    <w:rsid w:val="00E60E33"/>
    <w:rsid w:val="00E62C8C"/>
    <w:rsid w:val="00E669E2"/>
    <w:rsid w:val="00E66ED0"/>
    <w:rsid w:val="00E6734B"/>
    <w:rsid w:val="00E76135"/>
    <w:rsid w:val="00E771FE"/>
    <w:rsid w:val="00E8179C"/>
    <w:rsid w:val="00E827B9"/>
    <w:rsid w:val="00E82F4F"/>
    <w:rsid w:val="00E848EC"/>
    <w:rsid w:val="00E94422"/>
    <w:rsid w:val="00EA0BED"/>
    <w:rsid w:val="00EA1EE7"/>
    <w:rsid w:val="00EA74EE"/>
    <w:rsid w:val="00EB781A"/>
    <w:rsid w:val="00EB7A79"/>
    <w:rsid w:val="00EC2844"/>
    <w:rsid w:val="00EC43C4"/>
    <w:rsid w:val="00EC5500"/>
    <w:rsid w:val="00EC6CFA"/>
    <w:rsid w:val="00EE15D8"/>
    <w:rsid w:val="00EE1D3E"/>
    <w:rsid w:val="00EE2533"/>
    <w:rsid w:val="00EF0212"/>
    <w:rsid w:val="00EF6C6C"/>
    <w:rsid w:val="00F056FC"/>
    <w:rsid w:val="00F0586B"/>
    <w:rsid w:val="00F10476"/>
    <w:rsid w:val="00F135D8"/>
    <w:rsid w:val="00F161FF"/>
    <w:rsid w:val="00F16DBF"/>
    <w:rsid w:val="00F20B11"/>
    <w:rsid w:val="00F23DF0"/>
    <w:rsid w:val="00F31299"/>
    <w:rsid w:val="00F3369C"/>
    <w:rsid w:val="00F3534A"/>
    <w:rsid w:val="00F3756B"/>
    <w:rsid w:val="00F4015E"/>
    <w:rsid w:val="00F471F3"/>
    <w:rsid w:val="00F51609"/>
    <w:rsid w:val="00F55544"/>
    <w:rsid w:val="00F64F10"/>
    <w:rsid w:val="00F70995"/>
    <w:rsid w:val="00F75159"/>
    <w:rsid w:val="00F81006"/>
    <w:rsid w:val="00F82D9B"/>
    <w:rsid w:val="00F85325"/>
    <w:rsid w:val="00F86010"/>
    <w:rsid w:val="00F87425"/>
    <w:rsid w:val="00F90C31"/>
    <w:rsid w:val="00FB527D"/>
    <w:rsid w:val="00FB7298"/>
    <w:rsid w:val="00FC6206"/>
    <w:rsid w:val="00FD22B1"/>
    <w:rsid w:val="00FE1795"/>
    <w:rsid w:val="00FE539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CommentTextChar">
    <w:name w:val="Comment Text Char"/>
    <w:basedOn w:val="DefaultParagraphFont"/>
    <w:link w:val="CommentText"/>
    <w:semiHidden/>
    <w:rsid w:val="00276FAE"/>
    <w:rPr>
      <w:szCs w:val="24"/>
    </w:rPr>
  </w:style>
  <w:style w:type="paragraph" w:styleId="CommentSubject">
    <w:name w:val="annotation subject"/>
    <w:basedOn w:val="CommentText"/>
    <w:next w:val="CommentText"/>
    <w:link w:val="CommentSubjectChar"/>
    <w:rsid w:val="001D2825"/>
    <w:pPr>
      <w:spacing w:before="0" w:line="240" w:lineRule="auto"/>
      <w:ind w:left="0" w:firstLine="0"/>
    </w:pPr>
    <w:rPr>
      <w:b/>
      <w:bCs/>
      <w:szCs w:val="20"/>
    </w:rPr>
  </w:style>
  <w:style w:type="character" w:customStyle="1" w:styleId="CommentSubjectChar">
    <w:name w:val="Comment Subject Char"/>
    <w:basedOn w:val="CommentTextChar"/>
    <w:link w:val="CommentSubject"/>
    <w:rsid w:val="001D2825"/>
    <w:rPr>
      <w:b/>
      <w:bCs/>
      <w:szCs w:val="24"/>
    </w:rPr>
  </w:style>
  <w:style w:type="character" w:customStyle="1" w:styleId="BodyTextChar">
    <w:name w:val="Body Text Char"/>
    <w:basedOn w:val="DefaultParagraphFont"/>
    <w:link w:val="BodyText"/>
    <w:rsid w:val="00181812"/>
    <w:rPr>
      <w:sz w:val="26"/>
    </w:rPr>
  </w:style>
  <w:style w:type="paragraph" w:customStyle="1" w:styleId="BoxSpace">
    <w:name w:val="Box Space"/>
    <w:basedOn w:val="BodyText"/>
    <w:rsid w:val="00181812"/>
    <w:pPr>
      <w:keepNext/>
      <w:spacing w:before="360" w:line="80" w:lineRule="exact"/>
      <w:jc w:val="left"/>
    </w:pPr>
  </w:style>
  <w:style w:type="table" w:styleId="TableGrid">
    <w:name w:val="Table Grid"/>
    <w:basedOn w:val="TableNormal"/>
    <w:rsid w:val="00740C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626302"/>
    <w:rPr>
      <w:rFonts w:ascii="Arial" w:hAnsi="Arial"/>
      <w:b/>
      <w:sz w:val="26"/>
    </w:rPr>
  </w:style>
  <w:style w:type="character" w:styleId="Hyperlink">
    <w:name w:val="Hyperlink"/>
    <w:basedOn w:val="DefaultParagraphFont"/>
    <w:rsid w:val="001E05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CommentTextChar">
    <w:name w:val="Comment Text Char"/>
    <w:basedOn w:val="DefaultParagraphFont"/>
    <w:link w:val="CommentText"/>
    <w:semiHidden/>
    <w:rsid w:val="00276FAE"/>
    <w:rPr>
      <w:szCs w:val="24"/>
    </w:rPr>
  </w:style>
  <w:style w:type="paragraph" w:styleId="CommentSubject">
    <w:name w:val="annotation subject"/>
    <w:basedOn w:val="CommentText"/>
    <w:next w:val="CommentText"/>
    <w:link w:val="CommentSubjectChar"/>
    <w:rsid w:val="001D2825"/>
    <w:pPr>
      <w:spacing w:before="0" w:line="240" w:lineRule="auto"/>
      <w:ind w:left="0" w:firstLine="0"/>
    </w:pPr>
    <w:rPr>
      <w:b/>
      <w:bCs/>
      <w:szCs w:val="20"/>
    </w:rPr>
  </w:style>
  <w:style w:type="character" w:customStyle="1" w:styleId="CommentSubjectChar">
    <w:name w:val="Comment Subject Char"/>
    <w:basedOn w:val="CommentTextChar"/>
    <w:link w:val="CommentSubject"/>
    <w:rsid w:val="001D2825"/>
    <w:rPr>
      <w:b/>
      <w:bCs/>
      <w:szCs w:val="24"/>
    </w:rPr>
  </w:style>
  <w:style w:type="character" w:customStyle="1" w:styleId="BodyTextChar">
    <w:name w:val="Body Text Char"/>
    <w:basedOn w:val="DefaultParagraphFont"/>
    <w:link w:val="BodyText"/>
    <w:rsid w:val="00181812"/>
    <w:rPr>
      <w:sz w:val="26"/>
    </w:rPr>
  </w:style>
  <w:style w:type="paragraph" w:customStyle="1" w:styleId="BoxSpace">
    <w:name w:val="Box Space"/>
    <w:basedOn w:val="BodyText"/>
    <w:rsid w:val="00181812"/>
    <w:pPr>
      <w:keepNext/>
      <w:spacing w:before="360" w:line="80" w:lineRule="exact"/>
      <w:jc w:val="left"/>
    </w:pPr>
  </w:style>
  <w:style w:type="table" w:styleId="TableGrid">
    <w:name w:val="Table Grid"/>
    <w:basedOn w:val="TableNormal"/>
    <w:rsid w:val="00740C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626302"/>
    <w:rPr>
      <w:rFonts w:ascii="Arial" w:hAnsi="Arial"/>
      <w:b/>
      <w:sz w:val="26"/>
    </w:rPr>
  </w:style>
  <w:style w:type="character" w:styleId="Hyperlink">
    <w:name w:val="Hyperlink"/>
    <w:basedOn w:val="DefaultParagraphFont"/>
    <w:rsid w:val="001E05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footer" Target="footer3.xml"/><Relationship Id="rId10" Type="http://schemas.openxmlformats.org/officeDocument/2006/relationships/chart" Target="charts/chart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4.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Sheet1!$A$6</c:f>
              <c:strCache>
                <c:ptCount val="1"/>
                <c:pt idx="0">
                  <c:v>Individual Labour income</c:v>
                </c:pt>
              </c:strCache>
            </c:strRef>
          </c:tx>
          <c:spPr>
            <a:ln>
              <a:solidFill>
                <a:schemeClr val="accent1">
                  <a:lumMod val="75000"/>
                </a:schemeClr>
              </a:solidFill>
            </a:ln>
          </c:spPr>
          <c:marker>
            <c:symbol val="none"/>
          </c:marker>
          <c:cat>
            <c:strRef>
              <c:f>Sheet1!$B$5:$F$5</c:f>
              <c:strCache>
                <c:ptCount val="5"/>
                <c:pt idx="0">
                  <c:v>1988-89</c:v>
                </c:pt>
                <c:pt idx="1">
                  <c:v>1993-94</c:v>
                </c:pt>
                <c:pt idx="2">
                  <c:v>1998-99</c:v>
                </c:pt>
                <c:pt idx="3">
                  <c:v>2003-04</c:v>
                </c:pt>
                <c:pt idx="4">
                  <c:v>2009-10</c:v>
                </c:pt>
              </c:strCache>
            </c:strRef>
          </c:cat>
          <c:val>
            <c:numRef>
              <c:f>Sheet1!$B$6:$F$6</c:f>
              <c:numCache>
                <c:formatCode>General</c:formatCode>
                <c:ptCount val="5"/>
                <c:pt idx="0">
                  <c:v>794.99075000000005</c:v>
                </c:pt>
                <c:pt idx="1">
                  <c:v>782.89850000000001</c:v>
                </c:pt>
                <c:pt idx="2">
                  <c:v>873.37786000000006</c:v>
                </c:pt>
                <c:pt idx="3">
                  <c:v>929.55425000000002</c:v>
                </c:pt>
                <c:pt idx="4">
                  <c:v>1094.7028</c:v>
                </c:pt>
              </c:numCache>
            </c:numRef>
          </c:val>
          <c:smooth val="0"/>
        </c:ser>
        <c:ser>
          <c:idx val="1"/>
          <c:order val="1"/>
          <c:tx>
            <c:strRef>
              <c:f>Sheet1!$A$7</c:f>
              <c:strCache>
                <c:ptCount val="1"/>
                <c:pt idx="0">
                  <c:v>Equivalised final household income</c:v>
                </c:pt>
              </c:strCache>
            </c:strRef>
          </c:tx>
          <c:spPr>
            <a:ln cmpd="tri">
              <a:solidFill>
                <a:srgbClr val="C00000"/>
              </a:solidFill>
            </a:ln>
          </c:spPr>
          <c:marker>
            <c:symbol val="none"/>
          </c:marker>
          <c:cat>
            <c:strRef>
              <c:f>Sheet1!$B$5:$F$5</c:f>
              <c:strCache>
                <c:ptCount val="5"/>
                <c:pt idx="0">
                  <c:v>1988-89</c:v>
                </c:pt>
                <c:pt idx="1">
                  <c:v>1993-94</c:v>
                </c:pt>
                <c:pt idx="2">
                  <c:v>1998-99</c:v>
                </c:pt>
                <c:pt idx="3">
                  <c:v>2003-04</c:v>
                </c:pt>
                <c:pt idx="4">
                  <c:v>2009-10</c:v>
                </c:pt>
              </c:strCache>
            </c:strRef>
          </c:cat>
          <c:val>
            <c:numRef>
              <c:f>Sheet1!$B$7:$F$7</c:f>
              <c:numCache>
                <c:formatCode>General</c:formatCode>
                <c:ptCount val="5"/>
                <c:pt idx="0">
                  <c:v>598.64829999999995</c:v>
                </c:pt>
                <c:pt idx="1">
                  <c:v>624.82349999999997</c:v>
                </c:pt>
                <c:pt idx="2">
                  <c:v>696.45169999999996</c:v>
                </c:pt>
                <c:pt idx="3">
                  <c:v>736.90279999999996</c:v>
                </c:pt>
                <c:pt idx="4">
                  <c:v>979.58510000000001</c:v>
                </c:pt>
              </c:numCache>
            </c:numRef>
          </c:val>
          <c:smooth val="0"/>
        </c:ser>
        <c:dLbls>
          <c:showLegendKey val="0"/>
          <c:showVal val="0"/>
          <c:showCatName val="0"/>
          <c:showSerName val="0"/>
          <c:showPercent val="0"/>
          <c:showBubbleSize val="0"/>
        </c:dLbls>
        <c:marker val="1"/>
        <c:smooth val="0"/>
        <c:axId val="46858240"/>
        <c:axId val="46859776"/>
      </c:lineChart>
      <c:catAx>
        <c:axId val="46858240"/>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46859776"/>
        <c:crosses val="autoZero"/>
        <c:auto val="1"/>
        <c:lblAlgn val="ctr"/>
        <c:lblOffset val="100"/>
        <c:noMultiLvlLbl val="0"/>
      </c:catAx>
      <c:valAx>
        <c:axId val="46859776"/>
        <c:scaling>
          <c:orientation val="minMax"/>
        </c:scaling>
        <c:delete val="0"/>
        <c:axPos val="l"/>
        <c:majorGridlines/>
        <c:numFmt formatCode="General" sourceLinked="0"/>
        <c:majorTickMark val="out"/>
        <c:minorTickMark val="none"/>
        <c:tickLblPos val="nextTo"/>
        <c:txPr>
          <a:bodyPr/>
          <a:lstStyle/>
          <a:p>
            <a:pPr>
              <a:defRPr>
                <a:latin typeface="Arial" pitchFamily="34" charset="0"/>
                <a:cs typeface="Arial" pitchFamily="34" charset="0"/>
              </a:defRPr>
            </a:pPr>
            <a:endParaRPr lang="en-US"/>
          </a:p>
        </c:txPr>
        <c:crossAx val="46858240"/>
        <c:crosses val="autoZero"/>
        <c:crossBetween val="between"/>
        <c:majorUnit val="400"/>
      </c:valAx>
      <c:spPr>
        <a:ln>
          <a:noFill/>
        </a:ln>
      </c:spPr>
    </c:plotArea>
    <c:plotVisOnly val="1"/>
    <c:dispBlanksAs val="gap"/>
    <c:showDLblsOverMax val="0"/>
  </c:chart>
  <c:spPr>
    <a:ln>
      <a:no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190185185185185"/>
          <c:y val="3.4996130624555422E-2"/>
          <c:w val="0.7919612962962963"/>
          <c:h val="0.7739059523809525"/>
        </c:manualLayout>
      </c:layout>
      <c:scatterChart>
        <c:scatterStyle val="smoothMarker"/>
        <c:varyColors val="0"/>
        <c:ser>
          <c:idx val="0"/>
          <c:order val="0"/>
          <c:tx>
            <c:v>1988</c:v>
          </c:tx>
          <c:spPr>
            <a:ln>
              <a:solidFill>
                <a:schemeClr val="accent1">
                  <a:lumMod val="75000"/>
                </a:schemeClr>
              </a:solidFill>
              <a:prstDash val="dash"/>
            </a:ln>
          </c:spPr>
          <c:marker>
            <c:symbol val="none"/>
          </c:marker>
          <c:xVal>
            <c:numRef>
              <c:f>'Q:\Trends income distribution\Personal\Clinton\graphs\Stata graphs\PDF data\[PDFLa.xlsx]Sheet1'!$A$15:$A$63</c:f>
              <c:numCache>
                <c:formatCode>General</c:formatCode>
                <c:ptCount val="49"/>
                <c:pt idx="0">
                  <c:v>-920.57733299999995</c:v>
                </c:pt>
                <c:pt idx="1">
                  <c:v>-838.12365999999997</c:v>
                </c:pt>
                <c:pt idx="2">
                  <c:v>-755.66998699999999</c:v>
                </c:pt>
                <c:pt idx="3">
                  <c:v>-673.21631400000001</c:v>
                </c:pt>
                <c:pt idx="4">
                  <c:v>-590.76264100000003</c:v>
                </c:pt>
                <c:pt idx="5">
                  <c:v>-508.308967</c:v>
                </c:pt>
                <c:pt idx="6">
                  <c:v>-425.85529400000001</c:v>
                </c:pt>
                <c:pt idx="7">
                  <c:v>-343.40162099999998</c:v>
                </c:pt>
                <c:pt idx="8">
                  <c:v>-260.947948</c:v>
                </c:pt>
                <c:pt idx="9">
                  <c:v>-178.49427499999999</c:v>
                </c:pt>
                <c:pt idx="10">
                  <c:v>-96.040602000000007</c:v>
                </c:pt>
                <c:pt idx="11">
                  <c:v>-13.586929</c:v>
                </c:pt>
                <c:pt idx="12">
                  <c:v>68.866743999999997</c:v>
                </c:pt>
                <c:pt idx="13">
                  <c:v>151.32041699999999</c:v>
                </c:pt>
                <c:pt idx="14">
                  <c:v>233.77409</c:v>
                </c:pt>
                <c:pt idx="15">
                  <c:v>316.22776299999998</c:v>
                </c:pt>
                <c:pt idx="16">
                  <c:v>398.68143600000002</c:v>
                </c:pt>
                <c:pt idx="17">
                  <c:v>481.135109</c:v>
                </c:pt>
                <c:pt idx="18">
                  <c:v>563.58878200000004</c:v>
                </c:pt>
                <c:pt idx="19">
                  <c:v>646.04245600000002</c:v>
                </c:pt>
                <c:pt idx="20">
                  <c:v>728.496129</c:v>
                </c:pt>
                <c:pt idx="21">
                  <c:v>810.94980199999998</c:v>
                </c:pt>
                <c:pt idx="22">
                  <c:v>893.40347499999996</c:v>
                </c:pt>
                <c:pt idx="23">
                  <c:v>975.85714800000005</c:v>
                </c:pt>
                <c:pt idx="24">
                  <c:v>1058.310821</c:v>
                </c:pt>
                <c:pt idx="25">
                  <c:v>1140.764494</c:v>
                </c:pt>
                <c:pt idx="26">
                  <c:v>1223.218167</c:v>
                </c:pt>
                <c:pt idx="27">
                  <c:v>1305.67184</c:v>
                </c:pt>
                <c:pt idx="28">
                  <c:v>1388.125513</c:v>
                </c:pt>
                <c:pt idx="29">
                  <c:v>1470.5791859999999</c:v>
                </c:pt>
                <c:pt idx="30">
                  <c:v>1553.0328589999999</c:v>
                </c:pt>
                <c:pt idx="31">
                  <c:v>1635.4865319999999</c:v>
                </c:pt>
                <c:pt idx="32">
                  <c:v>1717.9402050000001</c:v>
                </c:pt>
                <c:pt idx="33">
                  <c:v>1800.393879</c:v>
                </c:pt>
                <c:pt idx="34">
                  <c:v>1882.847552</c:v>
                </c:pt>
                <c:pt idx="35">
                  <c:v>1965.3012249999999</c:v>
                </c:pt>
                <c:pt idx="36">
                  <c:v>2047.7548979999999</c:v>
                </c:pt>
                <c:pt idx="37">
                  <c:v>2130.2085710000001</c:v>
                </c:pt>
                <c:pt idx="38">
                  <c:v>2212.6622440000001</c:v>
                </c:pt>
                <c:pt idx="39">
                  <c:v>2295.1159170000001</c:v>
                </c:pt>
                <c:pt idx="40">
                  <c:v>2377.5695900000001</c:v>
                </c:pt>
                <c:pt idx="41">
                  <c:v>2460.023263</c:v>
                </c:pt>
                <c:pt idx="42">
                  <c:v>2542.476936</c:v>
                </c:pt>
                <c:pt idx="43">
                  <c:v>2624.930609</c:v>
                </c:pt>
                <c:pt idx="44">
                  <c:v>2707.384282</c:v>
                </c:pt>
                <c:pt idx="45">
                  <c:v>2789.837955</c:v>
                </c:pt>
                <c:pt idx="46">
                  <c:v>2872.2916279999999</c:v>
                </c:pt>
                <c:pt idx="47">
                  <c:v>2954.7453019999998</c:v>
                </c:pt>
                <c:pt idx="48">
                  <c:v>3037.1989749999998</c:v>
                </c:pt>
              </c:numCache>
            </c:numRef>
          </c:xVal>
          <c:yVal>
            <c:numRef>
              <c:f>'Q:\Trends income distribution\Personal\Clinton\graphs\Stata graphs\PDF data\[PDFLa.xlsx]Sheet1'!$D$15:$D$63</c:f>
              <c:numCache>
                <c:formatCode>General</c:formatCode>
                <c:ptCount val="49"/>
                <c:pt idx="0">
                  <c:v>8.2453672999999972E-5</c:v>
                </c:pt>
                <c:pt idx="1">
                  <c:v>0</c:v>
                </c:pt>
                <c:pt idx="2">
                  <c:v>8.2453672999999972E-5</c:v>
                </c:pt>
                <c:pt idx="3">
                  <c:v>8.2453672999999972E-5</c:v>
                </c:pt>
                <c:pt idx="4">
                  <c:v>4.1226836499999993E-4</c:v>
                </c:pt>
                <c:pt idx="5">
                  <c:v>5.7717571099999984E-4</c:v>
                </c:pt>
                <c:pt idx="6">
                  <c:v>2.4736101899999996E-4</c:v>
                </c:pt>
                <c:pt idx="7">
                  <c:v>1.6490734599999994E-4</c:v>
                </c:pt>
                <c:pt idx="8">
                  <c:v>4.9472203799999991E-4</c:v>
                </c:pt>
                <c:pt idx="9">
                  <c:v>1.0718977489999996E-3</c:v>
                </c:pt>
                <c:pt idx="10">
                  <c:v>2.5560638629999995E-3</c:v>
                </c:pt>
                <c:pt idx="11">
                  <c:v>1.5501290523999995E-2</c:v>
                </c:pt>
                <c:pt idx="12">
                  <c:v>3.3970913275999992E-2</c:v>
                </c:pt>
                <c:pt idx="13">
                  <c:v>4.0649660788999988E-2</c:v>
                </c:pt>
                <c:pt idx="14">
                  <c:v>4.312327097899999E-2</c:v>
                </c:pt>
                <c:pt idx="15">
                  <c:v>4.7245954628999991E-2</c:v>
                </c:pt>
                <c:pt idx="16">
                  <c:v>5.2522989700999986E-2</c:v>
                </c:pt>
                <c:pt idx="17">
                  <c:v>5.7387756407999986E-2</c:v>
                </c:pt>
                <c:pt idx="18">
                  <c:v>7.1157519798999994E-2</c:v>
                </c:pt>
                <c:pt idx="19">
                  <c:v>8.7483347052999982E-2</c:v>
                </c:pt>
                <c:pt idx="20">
                  <c:v>8.8390337455999987E-2</c:v>
                </c:pt>
                <c:pt idx="21">
                  <c:v>7.9980062809999988E-2</c:v>
                </c:pt>
                <c:pt idx="22">
                  <c:v>6.7282197167999977E-2</c:v>
                </c:pt>
                <c:pt idx="23">
                  <c:v>5.5821136620999988E-2</c:v>
                </c:pt>
                <c:pt idx="24">
                  <c:v>4.9059935434999993E-2</c:v>
                </c:pt>
                <c:pt idx="25">
                  <c:v>4.3617993016999985E-2</c:v>
                </c:pt>
                <c:pt idx="26">
                  <c:v>3.4630542659999992E-2</c:v>
                </c:pt>
                <c:pt idx="27">
                  <c:v>2.8776331876999996E-2</c:v>
                </c:pt>
                <c:pt idx="28">
                  <c:v>2.1767769671999997E-2</c:v>
                </c:pt>
                <c:pt idx="29">
                  <c:v>1.4841661139999997E-2</c:v>
                </c:pt>
                <c:pt idx="30">
                  <c:v>1.0966338508999997E-2</c:v>
                </c:pt>
                <c:pt idx="31">
                  <c:v>8.5751819919999972E-3</c:v>
                </c:pt>
                <c:pt idx="32">
                  <c:v>7.7506452619999977E-3</c:v>
                </c:pt>
                <c:pt idx="33">
                  <c:v>7.0910158779999982E-3</c:v>
                </c:pt>
                <c:pt idx="34">
                  <c:v>5.8542107829999994E-3</c:v>
                </c:pt>
                <c:pt idx="35">
                  <c:v>3.7104152849999992E-3</c:v>
                </c:pt>
                <c:pt idx="36">
                  <c:v>2.5560638629999995E-3</c:v>
                </c:pt>
                <c:pt idx="37">
                  <c:v>2.2262491709999993E-3</c:v>
                </c:pt>
                <c:pt idx="38">
                  <c:v>2.6385175359999991E-3</c:v>
                </c:pt>
                <c:pt idx="39">
                  <c:v>2.3911565169999994E-3</c:v>
                </c:pt>
                <c:pt idx="40">
                  <c:v>1.6490734599999997E-3</c:v>
                </c:pt>
                <c:pt idx="41">
                  <c:v>1.1543514219999997E-3</c:v>
                </c:pt>
                <c:pt idx="42">
                  <c:v>1.2368050949999997E-3</c:v>
                </c:pt>
                <c:pt idx="43">
                  <c:v>1.1543514219999997E-3</c:v>
                </c:pt>
                <c:pt idx="44">
                  <c:v>8.2453672999999986E-4</c:v>
                </c:pt>
                <c:pt idx="45">
                  <c:v>6.5962938399999978E-4</c:v>
                </c:pt>
                <c:pt idx="46">
                  <c:v>5.7717571099999984E-4</c:v>
                </c:pt>
                <c:pt idx="47">
                  <c:v>4.1226836499999993E-4</c:v>
                </c:pt>
                <c:pt idx="48">
                  <c:v>8.2453672999999972E-5</c:v>
                </c:pt>
              </c:numCache>
            </c:numRef>
          </c:yVal>
          <c:smooth val="1"/>
        </c:ser>
        <c:ser>
          <c:idx val="4"/>
          <c:order val="1"/>
          <c:tx>
            <c:v>2009</c:v>
          </c:tx>
          <c:spPr>
            <a:ln w="31750">
              <a:solidFill>
                <a:srgbClr val="C00000"/>
              </a:solidFill>
              <a:prstDash val="solid"/>
            </a:ln>
          </c:spPr>
          <c:marker>
            <c:symbol val="none"/>
          </c:marker>
          <c:xVal>
            <c:numRef>
              <c:f>'Q:\Trends income distribution\Personal\Clinton\graphs\Stata graphs\PDF data\[PDFLa.xlsx]Sheet1'!$Q$15:$Q$63</c:f>
              <c:numCache>
                <c:formatCode>General</c:formatCode>
                <c:ptCount val="49"/>
                <c:pt idx="0">
                  <c:v>-481.79025799999999</c:v>
                </c:pt>
                <c:pt idx="1">
                  <c:v>-408.23551500000002</c:v>
                </c:pt>
                <c:pt idx="2">
                  <c:v>-334.68077199999999</c:v>
                </c:pt>
                <c:pt idx="3">
                  <c:v>-261.12603000000001</c:v>
                </c:pt>
                <c:pt idx="4">
                  <c:v>-187.57128700000001</c:v>
                </c:pt>
                <c:pt idx="5">
                  <c:v>-114.016544</c:v>
                </c:pt>
                <c:pt idx="6">
                  <c:v>-40.461801000000001</c:v>
                </c:pt>
                <c:pt idx="7">
                  <c:v>33.092942000000001</c:v>
                </c:pt>
                <c:pt idx="8">
                  <c:v>106.647685</c:v>
                </c:pt>
                <c:pt idx="9">
                  <c:v>180.202428</c:v>
                </c:pt>
                <c:pt idx="10">
                  <c:v>253.757171</c:v>
                </c:pt>
                <c:pt idx="11">
                  <c:v>327.311914</c:v>
                </c:pt>
                <c:pt idx="12">
                  <c:v>400.86665699999998</c:v>
                </c:pt>
                <c:pt idx="13">
                  <c:v>474.42140000000001</c:v>
                </c:pt>
                <c:pt idx="14">
                  <c:v>547.97614299999998</c:v>
                </c:pt>
                <c:pt idx="15">
                  <c:v>621.53088600000001</c:v>
                </c:pt>
                <c:pt idx="16">
                  <c:v>695.08562900000004</c:v>
                </c:pt>
                <c:pt idx="17">
                  <c:v>768.64037199999996</c:v>
                </c:pt>
                <c:pt idx="18">
                  <c:v>842.19511399999999</c:v>
                </c:pt>
                <c:pt idx="19">
                  <c:v>915.74985700000002</c:v>
                </c:pt>
                <c:pt idx="20">
                  <c:v>989.30460000000005</c:v>
                </c:pt>
                <c:pt idx="21">
                  <c:v>1062.8593430000001</c:v>
                </c:pt>
                <c:pt idx="22">
                  <c:v>1136.414086</c:v>
                </c:pt>
                <c:pt idx="23">
                  <c:v>1209.9688289999999</c:v>
                </c:pt>
                <c:pt idx="24">
                  <c:v>1283.5235720000001</c:v>
                </c:pt>
                <c:pt idx="25">
                  <c:v>1357.078315</c:v>
                </c:pt>
                <c:pt idx="26">
                  <c:v>1430.6330579999999</c:v>
                </c:pt>
                <c:pt idx="27">
                  <c:v>1504.187801</c:v>
                </c:pt>
                <c:pt idx="28">
                  <c:v>1577.742544</c:v>
                </c:pt>
                <c:pt idx="29">
                  <c:v>1651.2972870000001</c:v>
                </c:pt>
                <c:pt idx="30">
                  <c:v>1724.85203</c:v>
                </c:pt>
                <c:pt idx="31">
                  <c:v>1798.4067729999999</c:v>
                </c:pt>
                <c:pt idx="32">
                  <c:v>1871.961515</c:v>
                </c:pt>
                <c:pt idx="33">
                  <c:v>1945.5162580000001</c:v>
                </c:pt>
                <c:pt idx="34">
                  <c:v>2019.071001</c:v>
                </c:pt>
                <c:pt idx="35">
                  <c:v>2092.6257439999999</c:v>
                </c:pt>
                <c:pt idx="36">
                  <c:v>2166.1804870000001</c:v>
                </c:pt>
                <c:pt idx="37">
                  <c:v>2239.7352299999998</c:v>
                </c:pt>
                <c:pt idx="38">
                  <c:v>2313.2899729999999</c:v>
                </c:pt>
                <c:pt idx="39">
                  <c:v>2386.8447160000001</c:v>
                </c:pt>
                <c:pt idx="40">
                  <c:v>2460.3994590000002</c:v>
                </c:pt>
                <c:pt idx="41">
                  <c:v>2533.9542019999999</c:v>
                </c:pt>
                <c:pt idx="42">
                  <c:v>2607.508945</c:v>
                </c:pt>
                <c:pt idx="43">
                  <c:v>2681.0636880000002</c:v>
                </c:pt>
                <c:pt idx="44">
                  <c:v>2754.6184309999999</c:v>
                </c:pt>
                <c:pt idx="45">
                  <c:v>2828.173174</c:v>
                </c:pt>
                <c:pt idx="46">
                  <c:v>2901.7279159999998</c:v>
                </c:pt>
                <c:pt idx="47">
                  <c:v>2975.282659</c:v>
                </c:pt>
                <c:pt idx="48">
                  <c:v>3048.8374020000001</c:v>
                </c:pt>
              </c:numCache>
            </c:numRef>
          </c:xVal>
          <c:yVal>
            <c:numRef>
              <c:f>'Q:\Trends income distribution\Personal\Clinton\graphs\Stata graphs\PDF data\[PDFLa.xlsx]Sheet1'!$T$15:$T$63</c:f>
              <c:numCache>
                <c:formatCode>General</c:formatCode>
                <c:ptCount val="49"/>
                <c:pt idx="0">
                  <c:v>1.4710948599999993E-4</c:v>
                </c:pt>
                <c:pt idx="1">
                  <c:v>3.6777371499999991E-4</c:v>
                </c:pt>
                <c:pt idx="2">
                  <c:v>5.1488320099999979E-4</c:v>
                </c:pt>
                <c:pt idx="3">
                  <c:v>6.6199268699999978E-4</c:v>
                </c:pt>
                <c:pt idx="4">
                  <c:v>8.826569159999997E-4</c:v>
                </c:pt>
                <c:pt idx="5">
                  <c:v>1.3239853739999996E-3</c:v>
                </c:pt>
                <c:pt idx="6">
                  <c:v>7.7232480149999972E-3</c:v>
                </c:pt>
                <c:pt idx="7">
                  <c:v>2.5302831591999992E-2</c:v>
                </c:pt>
                <c:pt idx="8">
                  <c:v>3.6483152527999989E-2</c:v>
                </c:pt>
                <c:pt idx="9">
                  <c:v>3.5379831382999986E-2</c:v>
                </c:pt>
                <c:pt idx="10">
                  <c:v>3.309963434999999E-2</c:v>
                </c:pt>
                <c:pt idx="11">
                  <c:v>3.3393853321999983E-2</c:v>
                </c:pt>
                <c:pt idx="12">
                  <c:v>3.7512918929999986E-2</c:v>
                </c:pt>
                <c:pt idx="13">
                  <c:v>4.0087334934999989E-2</c:v>
                </c:pt>
                <c:pt idx="14">
                  <c:v>4.1190656079999985E-2</c:v>
                </c:pt>
                <c:pt idx="15">
                  <c:v>4.8693239865999986E-2</c:v>
                </c:pt>
                <c:pt idx="16">
                  <c:v>5.4283400333999983E-2</c:v>
                </c:pt>
                <c:pt idx="17">
                  <c:v>5.6563597366999986E-2</c:v>
                </c:pt>
                <c:pt idx="18">
                  <c:v>5.7299144796999976E-2</c:v>
                </c:pt>
                <c:pt idx="19">
                  <c:v>5.2665195987999978E-2</c:v>
                </c:pt>
                <c:pt idx="20">
                  <c:v>4.685437129099998E-2</c:v>
                </c:pt>
                <c:pt idx="21">
                  <c:v>4.0528663392999979E-2</c:v>
                </c:pt>
                <c:pt idx="22">
                  <c:v>3.6483152527999989E-2</c:v>
                </c:pt>
                <c:pt idx="23">
                  <c:v>3.5379831382999986E-2</c:v>
                </c:pt>
                <c:pt idx="24">
                  <c:v>3.251119640599999E-2</c:v>
                </c:pt>
                <c:pt idx="25">
                  <c:v>2.6700371708999991E-2</c:v>
                </c:pt>
                <c:pt idx="26">
                  <c:v>2.2949079815999991E-2</c:v>
                </c:pt>
                <c:pt idx="27">
                  <c:v>2.2875525072999992E-2</c:v>
                </c:pt>
                <c:pt idx="28">
                  <c:v>2.3243298787999991E-2</c:v>
                </c:pt>
                <c:pt idx="29">
                  <c:v>2.1330875469999993E-2</c:v>
                </c:pt>
                <c:pt idx="30">
                  <c:v>1.7506028833999994E-2</c:v>
                </c:pt>
                <c:pt idx="31">
                  <c:v>1.4416729627999994E-2</c:v>
                </c:pt>
                <c:pt idx="32">
                  <c:v>1.3166298996999995E-2</c:v>
                </c:pt>
                <c:pt idx="33">
                  <c:v>1.1400985164999995E-2</c:v>
                </c:pt>
                <c:pt idx="34">
                  <c:v>1.0224109276999996E-2</c:v>
                </c:pt>
                <c:pt idx="35">
                  <c:v>9.8563355619999959E-3</c:v>
                </c:pt>
                <c:pt idx="36">
                  <c:v>7.8703575009999964E-3</c:v>
                </c:pt>
                <c:pt idx="37">
                  <c:v>5.9579341829999978E-3</c:v>
                </c:pt>
                <c:pt idx="38">
                  <c:v>5.5901604679999984E-3</c:v>
                </c:pt>
                <c:pt idx="39">
                  <c:v>6.3992626409999981E-3</c:v>
                </c:pt>
                <c:pt idx="40">
                  <c:v>6.178598411999997E-3</c:v>
                </c:pt>
                <c:pt idx="41">
                  <c:v>4.4868393229999986E-3</c:v>
                </c:pt>
                <c:pt idx="42">
                  <c:v>3.7512918929999985E-3</c:v>
                </c:pt>
                <c:pt idx="43">
                  <c:v>3.2364086919999986E-3</c:v>
                </c:pt>
                <c:pt idx="44">
                  <c:v>2.7215254909999987E-3</c:v>
                </c:pt>
                <c:pt idx="45">
                  <c:v>2.7215254909999987E-3</c:v>
                </c:pt>
                <c:pt idx="46">
                  <c:v>2.2801970329999993E-3</c:v>
                </c:pt>
                <c:pt idx="47">
                  <c:v>1.1768758879999995E-3</c:v>
                </c:pt>
                <c:pt idx="48">
                  <c:v>3.6777371499999991E-4</c:v>
                </c:pt>
              </c:numCache>
            </c:numRef>
          </c:yVal>
          <c:smooth val="1"/>
        </c:ser>
        <c:dLbls>
          <c:showLegendKey val="0"/>
          <c:showVal val="0"/>
          <c:showCatName val="0"/>
          <c:showSerName val="0"/>
          <c:showPercent val="0"/>
          <c:showBubbleSize val="0"/>
        </c:dLbls>
        <c:axId val="44998016"/>
        <c:axId val="46896640"/>
      </c:scatterChart>
      <c:valAx>
        <c:axId val="44998016"/>
        <c:scaling>
          <c:orientation val="minMax"/>
          <c:max val="3000"/>
          <c:min val="-500"/>
        </c:scaling>
        <c:delete val="0"/>
        <c:axPos val="b"/>
        <c:title>
          <c:tx>
            <c:rich>
              <a:bodyPr/>
              <a:lstStyle/>
              <a:p>
                <a:pPr>
                  <a:defRPr b="0"/>
                </a:pPr>
                <a:r>
                  <a:rPr lang="en-US" b="0"/>
                  <a:t>$ (2011-2012) per week</a:t>
                </a:r>
              </a:p>
            </c:rich>
          </c:tx>
          <c:overlay val="0"/>
        </c:title>
        <c:numFmt formatCode="#,##0" sourceLinked="0"/>
        <c:majorTickMark val="out"/>
        <c:minorTickMark val="none"/>
        <c:tickLblPos val="nextTo"/>
        <c:crossAx val="46896640"/>
        <c:crosses val="autoZero"/>
        <c:crossBetween val="midCat"/>
      </c:valAx>
      <c:valAx>
        <c:axId val="46896640"/>
        <c:scaling>
          <c:orientation val="minMax"/>
          <c:max val="0.1"/>
        </c:scaling>
        <c:delete val="0"/>
        <c:axPos val="l"/>
        <c:majorGridlines/>
        <c:title>
          <c:tx>
            <c:rich>
              <a:bodyPr rot="-5400000" vert="horz"/>
              <a:lstStyle/>
              <a:p>
                <a:pPr>
                  <a:defRPr b="0"/>
                </a:pPr>
                <a:r>
                  <a:rPr lang="en-US" b="0"/>
                  <a:t>Proportion</a:t>
                </a:r>
              </a:p>
            </c:rich>
          </c:tx>
          <c:overlay val="0"/>
        </c:title>
        <c:numFmt formatCode="0.00" sourceLinked="0"/>
        <c:majorTickMark val="out"/>
        <c:minorTickMark val="none"/>
        <c:tickLblPos val="low"/>
        <c:crossAx val="44998016"/>
        <c:crosses val="autoZero"/>
        <c:crossBetween val="midCat"/>
        <c:majorUnit val="2.0000000000000004E-2"/>
      </c:valAx>
      <c:spPr>
        <a:solidFill>
          <a:schemeClr val="bg1"/>
        </a:solidFill>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216984126984127"/>
          <c:y val="4.9581538156787001E-2"/>
          <c:w val="0.81239365079365078"/>
          <c:h val="0.77246134799187838"/>
        </c:manualLayout>
      </c:layout>
      <c:barChart>
        <c:barDir val="col"/>
        <c:grouping val="clustered"/>
        <c:varyColors val="0"/>
        <c:ser>
          <c:idx val="0"/>
          <c:order val="0"/>
          <c:spPr>
            <a:solidFill>
              <a:srgbClr val="4F81BD">
                <a:lumMod val="75000"/>
              </a:srgbClr>
            </a:solidFill>
            <a:ln>
              <a:solidFill>
                <a:srgbClr val="4F81BD">
                  <a:lumMod val="75000"/>
                </a:srgbClr>
              </a:solidFill>
            </a:ln>
          </c:spPr>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spPr>
              <a:solidFill>
                <a:srgbClr val="C00000"/>
              </a:solidFill>
              <a:ln>
                <a:solidFill>
                  <a:srgbClr val="C00000"/>
                </a:solidFill>
              </a:ln>
            </c:spPr>
          </c:dPt>
          <c:cat>
            <c:strRef>
              <c:f>Sheet1!$AJ$69:$AJ$79</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(Sheet1!$AP$6:$AP$15,Sheet1!$AP$17)</c:f>
              <c:numCache>
                <c:formatCode>#,##0.0</c:formatCode>
                <c:ptCount val="11"/>
                <c:pt idx="0">
                  <c:v>33.204591797259027</c:v>
                </c:pt>
                <c:pt idx="1">
                  <c:v>9.1257277023718384</c:v>
                </c:pt>
                <c:pt idx="2">
                  <c:v>14.651176477383867</c:v>
                </c:pt>
                <c:pt idx="3">
                  <c:v>16.526014095772979</c:v>
                </c:pt>
                <c:pt idx="4">
                  <c:v>20.517715455311016</c:v>
                </c:pt>
                <c:pt idx="5">
                  <c:v>24.018785702595697</c:v>
                </c:pt>
                <c:pt idx="6">
                  <c:v>29.866284093457768</c:v>
                </c:pt>
                <c:pt idx="7">
                  <c:v>35.42953027802735</c:v>
                </c:pt>
                <c:pt idx="8">
                  <c:v>43.909418674515734</c:v>
                </c:pt>
                <c:pt idx="9">
                  <c:v>66.675679039878844</c:v>
                </c:pt>
                <c:pt idx="10">
                  <c:v>37.700067579402649</c:v>
                </c:pt>
              </c:numCache>
            </c:numRef>
          </c:val>
        </c:ser>
        <c:dLbls>
          <c:showLegendKey val="0"/>
          <c:showVal val="0"/>
          <c:showCatName val="0"/>
          <c:showSerName val="0"/>
          <c:showPercent val="0"/>
          <c:showBubbleSize val="0"/>
        </c:dLbls>
        <c:gapWidth val="71"/>
        <c:axId val="46914944"/>
        <c:axId val="46990848"/>
      </c:barChart>
      <c:catAx>
        <c:axId val="46914944"/>
        <c:scaling>
          <c:orientation val="minMax"/>
        </c:scaling>
        <c:delete val="0"/>
        <c:axPos val="b"/>
        <c:title>
          <c:tx>
            <c:rich>
              <a:bodyPr/>
              <a:lstStyle/>
              <a:p>
                <a:pPr>
                  <a:defRPr sz="1000" b="0"/>
                </a:pPr>
                <a:r>
                  <a:rPr lang="en-US" sz="1000" b="0"/>
                  <a:t>Decile</a:t>
                </a:r>
              </a:p>
            </c:rich>
          </c:tx>
          <c:overlay val="0"/>
        </c:title>
        <c:majorTickMark val="out"/>
        <c:minorTickMark val="none"/>
        <c:tickLblPos val="nextTo"/>
        <c:txPr>
          <a:bodyPr/>
          <a:lstStyle/>
          <a:p>
            <a:pPr>
              <a:defRPr sz="1000">
                <a:latin typeface="Arial" pitchFamily="34" charset="0"/>
                <a:cs typeface="Arial" pitchFamily="34" charset="0"/>
              </a:defRPr>
            </a:pPr>
            <a:endParaRPr lang="en-US"/>
          </a:p>
        </c:txPr>
        <c:crossAx val="46990848"/>
        <c:crosses val="autoZero"/>
        <c:auto val="1"/>
        <c:lblAlgn val="ctr"/>
        <c:lblOffset val="100"/>
        <c:noMultiLvlLbl val="0"/>
      </c:catAx>
      <c:valAx>
        <c:axId val="46990848"/>
        <c:scaling>
          <c:orientation val="minMax"/>
        </c:scaling>
        <c:delete val="0"/>
        <c:axPos val="l"/>
        <c:majorGridlines/>
        <c:numFmt formatCode="#,##0" sourceLinked="0"/>
        <c:majorTickMark val="out"/>
        <c:minorTickMark val="none"/>
        <c:tickLblPos val="nextTo"/>
        <c:spPr>
          <a:ln>
            <a:solidFill>
              <a:schemeClr val="tx1"/>
            </a:solidFill>
          </a:ln>
        </c:spPr>
        <c:txPr>
          <a:bodyPr/>
          <a:lstStyle/>
          <a:p>
            <a:pPr>
              <a:defRPr sz="1000">
                <a:latin typeface="Arial" pitchFamily="34" charset="0"/>
                <a:cs typeface="Arial" pitchFamily="34" charset="0"/>
              </a:defRPr>
            </a:pPr>
            <a:endParaRPr lang="en-US"/>
          </a:p>
        </c:txPr>
        <c:crossAx val="46914944"/>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6808180227471564E-2"/>
          <c:y val="5.0925925925925923E-2"/>
          <c:w val="0.86741272965879268"/>
          <c:h val="0.83309419655876349"/>
        </c:manualLayout>
      </c:layout>
      <c:lineChart>
        <c:grouping val="standard"/>
        <c:varyColors val="0"/>
        <c:ser>
          <c:idx val="0"/>
          <c:order val="0"/>
          <c:tx>
            <c:strRef>
              <c:f>'Trends in components of mkt inc'!$B$56</c:f>
              <c:strCache>
                <c:ptCount val="1"/>
                <c:pt idx="0">
                  <c:v>Labour income</c:v>
                </c:pt>
              </c:strCache>
            </c:strRef>
          </c:tx>
          <c:spPr>
            <a:ln>
              <a:solidFill>
                <a:schemeClr val="accent1">
                  <a:lumMod val="75000"/>
                </a:schemeClr>
              </a:solidFill>
            </a:ln>
          </c:spPr>
          <c:marker>
            <c:symbol val="none"/>
          </c:marker>
          <c:cat>
            <c:strRef>
              <c:f>'Trends in components of mkt inc'!$A$57:$A$61</c:f>
              <c:strCache>
                <c:ptCount val="5"/>
                <c:pt idx="0">
                  <c:v>1988-89</c:v>
                </c:pt>
                <c:pt idx="1">
                  <c:v>1993-94</c:v>
                </c:pt>
                <c:pt idx="2">
                  <c:v>1998-99</c:v>
                </c:pt>
                <c:pt idx="3">
                  <c:v>2003-04</c:v>
                </c:pt>
                <c:pt idx="4">
                  <c:v>2009-10</c:v>
                </c:pt>
              </c:strCache>
            </c:strRef>
          </c:cat>
          <c:val>
            <c:numRef>
              <c:f>'Trends in components of mkt inc'!$B$57:$B$61</c:f>
              <c:numCache>
                <c:formatCode>0.000</c:formatCode>
                <c:ptCount val="5"/>
                <c:pt idx="0">
                  <c:v>0.34894872999999998</c:v>
                </c:pt>
                <c:pt idx="1">
                  <c:v>0.38677613999999999</c:v>
                </c:pt>
                <c:pt idx="2">
                  <c:v>0.39499918000000001</c:v>
                </c:pt>
                <c:pt idx="3">
                  <c:v>0.39027494000000001</c:v>
                </c:pt>
                <c:pt idx="4">
                  <c:v>0.41283802000000003</c:v>
                </c:pt>
              </c:numCache>
            </c:numRef>
          </c:val>
          <c:smooth val="0"/>
        </c:ser>
        <c:ser>
          <c:idx val="1"/>
          <c:order val="1"/>
          <c:tx>
            <c:strRef>
              <c:f>'Trends in components of mkt inc'!$C$56</c:f>
              <c:strCache>
                <c:ptCount val="1"/>
                <c:pt idx="0">
                  <c:v>Capital income</c:v>
                </c:pt>
              </c:strCache>
            </c:strRef>
          </c:tx>
          <c:spPr>
            <a:ln>
              <a:solidFill>
                <a:schemeClr val="accent3"/>
              </a:solidFill>
            </a:ln>
          </c:spPr>
          <c:marker>
            <c:symbol val="none"/>
          </c:marker>
          <c:cat>
            <c:strRef>
              <c:f>'Trends in components of mkt inc'!$A$57:$A$61</c:f>
              <c:strCache>
                <c:ptCount val="5"/>
                <c:pt idx="0">
                  <c:v>1988-89</c:v>
                </c:pt>
                <c:pt idx="1">
                  <c:v>1993-94</c:v>
                </c:pt>
                <c:pt idx="2">
                  <c:v>1998-99</c:v>
                </c:pt>
                <c:pt idx="3">
                  <c:v>2003-04</c:v>
                </c:pt>
                <c:pt idx="4">
                  <c:v>2009-10</c:v>
                </c:pt>
              </c:strCache>
            </c:strRef>
          </c:cat>
          <c:val>
            <c:numRef>
              <c:f>'Trends in components of mkt inc'!$C$57:$C$61</c:f>
              <c:numCache>
                <c:formatCode>0.000</c:formatCode>
                <c:ptCount val="5"/>
                <c:pt idx="0">
                  <c:v>0.82377062000000001</c:v>
                </c:pt>
                <c:pt idx="1">
                  <c:v>0.92375275999999995</c:v>
                </c:pt>
                <c:pt idx="2">
                  <c:v>0.91359931999999999</c:v>
                </c:pt>
                <c:pt idx="3">
                  <c:v>1.2173438999999999</c:v>
                </c:pt>
                <c:pt idx="4">
                  <c:v>0.95594272000000002</c:v>
                </c:pt>
              </c:numCache>
            </c:numRef>
          </c:val>
          <c:smooth val="0"/>
        </c:ser>
        <c:ser>
          <c:idx val="2"/>
          <c:order val="2"/>
          <c:tx>
            <c:strRef>
              <c:f>'Trends in components of mkt inc'!$D$56</c:f>
              <c:strCache>
                <c:ptCount val="1"/>
                <c:pt idx="0">
                  <c:v>Market income</c:v>
                </c:pt>
              </c:strCache>
            </c:strRef>
          </c:tx>
          <c:spPr>
            <a:ln>
              <a:solidFill>
                <a:srgbClr val="C00000"/>
              </a:solidFill>
            </a:ln>
          </c:spPr>
          <c:marker>
            <c:symbol val="none"/>
          </c:marker>
          <c:cat>
            <c:strRef>
              <c:f>'Trends in components of mkt inc'!$A$57:$A$61</c:f>
              <c:strCache>
                <c:ptCount val="5"/>
                <c:pt idx="0">
                  <c:v>1988-89</c:v>
                </c:pt>
                <c:pt idx="1">
                  <c:v>1993-94</c:v>
                </c:pt>
                <c:pt idx="2">
                  <c:v>1998-99</c:v>
                </c:pt>
                <c:pt idx="3">
                  <c:v>2003-04</c:v>
                </c:pt>
                <c:pt idx="4">
                  <c:v>2009-10</c:v>
                </c:pt>
              </c:strCache>
            </c:strRef>
          </c:cat>
          <c:val>
            <c:numRef>
              <c:f>'Trends in components of mkt inc'!$D$57:$D$61</c:f>
              <c:numCache>
                <c:formatCode>0.000</c:formatCode>
                <c:ptCount val="5"/>
                <c:pt idx="0">
                  <c:v>0.47326427999999998</c:v>
                </c:pt>
                <c:pt idx="1">
                  <c:v>0.52941205999999996</c:v>
                </c:pt>
                <c:pt idx="2">
                  <c:v>0.48771118000000002</c:v>
                </c:pt>
                <c:pt idx="3">
                  <c:v>0.49450927</c:v>
                </c:pt>
                <c:pt idx="4">
                  <c:v>0.51609490000000002</c:v>
                </c:pt>
              </c:numCache>
            </c:numRef>
          </c:val>
          <c:smooth val="0"/>
        </c:ser>
        <c:dLbls>
          <c:showLegendKey val="0"/>
          <c:showVal val="0"/>
          <c:showCatName val="0"/>
          <c:showSerName val="0"/>
          <c:showPercent val="0"/>
          <c:showBubbleSize val="0"/>
        </c:dLbls>
        <c:marker val="1"/>
        <c:smooth val="0"/>
        <c:axId val="47012480"/>
        <c:axId val="47026560"/>
      </c:lineChart>
      <c:catAx>
        <c:axId val="47012480"/>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47026560"/>
        <c:crosses val="autoZero"/>
        <c:auto val="1"/>
        <c:lblAlgn val="ctr"/>
        <c:lblOffset val="100"/>
        <c:noMultiLvlLbl val="0"/>
      </c:catAx>
      <c:valAx>
        <c:axId val="47026560"/>
        <c:scaling>
          <c:orientation val="minMax"/>
        </c:scaling>
        <c:delete val="0"/>
        <c:axPos val="l"/>
        <c:majorGridlines/>
        <c:numFmt formatCode="0.0" sourceLinked="0"/>
        <c:majorTickMark val="out"/>
        <c:minorTickMark val="none"/>
        <c:tickLblPos val="nextTo"/>
        <c:txPr>
          <a:bodyPr/>
          <a:lstStyle/>
          <a:p>
            <a:pPr>
              <a:defRPr sz="900">
                <a:latin typeface="Arial" pitchFamily="34" charset="0"/>
                <a:cs typeface="Arial" pitchFamily="34" charset="0"/>
              </a:defRPr>
            </a:pPr>
            <a:endParaRPr lang="en-US"/>
          </a:p>
        </c:txPr>
        <c:crossAx val="47012480"/>
        <c:crosses val="autoZero"/>
        <c:crossBetween val="between"/>
      </c:valAx>
    </c:plotArea>
    <c:plotVisOnly val="1"/>
    <c:dispBlanksAs val="gap"/>
    <c:showDLblsOverMax val="0"/>
  </c:chart>
  <c:spPr>
    <a:ln>
      <a:noFill/>
    </a:ln>
  </c:sp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734642857142856"/>
          <c:y val="5.5436507936507937E-2"/>
          <c:w val="0.71566865079365083"/>
          <c:h val="0.7603793650793651"/>
        </c:manualLayout>
      </c:layout>
      <c:scatterChart>
        <c:scatterStyle val="smoothMarker"/>
        <c:varyColors val="0"/>
        <c:ser>
          <c:idx val="0"/>
          <c:order val="0"/>
          <c:tx>
            <c:v>1988-89</c:v>
          </c:tx>
          <c:spPr>
            <a:ln>
              <a:solidFill>
                <a:schemeClr val="accent1">
                  <a:lumMod val="75000"/>
                </a:schemeClr>
              </a:solidFill>
              <a:prstDash val="dash"/>
            </a:ln>
          </c:spPr>
          <c:marker>
            <c:symbol val="none"/>
          </c:marker>
          <c:xVal>
            <c:numRef>
              <c:f>'Q:\Trends income distribution\Personal\Jared\[PDF HH All.xlsx]Data'!$A$2:$A$51</c:f>
              <c:numCache>
                <c:formatCode>General</c:formatCode>
                <c:ptCount val="50"/>
                <c:pt idx="0">
                  <c:v>-48.058999999999997</c:v>
                </c:pt>
                <c:pt idx="1">
                  <c:v>55.785285999999999</c:v>
                </c:pt>
                <c:pt idx="2">
                  <c:v>159.62957299999999</c:v>
                </c:pt>
                <c:pt idx="3">
                  <c:v>263.473859</c:v>
                </c:pt>
                <c:pt idx="4">
                  <c:v>367.31814600000001</c:v>
                </c:pt>
                <c:pt idx="5">
                  <c:v>471.16243200000002</c:v>
                </c:pt>
                <c:pt idx="6">
                  <c:v>575.00671899999998</c:v>
                </c:pt>
                <c:pt idx="7">
                  <c:v>678.85100499999999</c:v>
                </c:pt>
                <c:pt idx="8">
                  <c:v>782.695291</c:v>
                </c:pt>
                <c:pt idx="9">
                  <c:v>886.53957800000001</c:v>
                </c:pt>
                <c:pt idx="10">
                  <c:v>990.38386400000002</c:v>
                </c:pt>
                <c:pt idx="11">
                  <c:v>1094.228151</c:v>
                </c:pt>
                <c:pt idx="12">
                  <c:v>1198.072437</c:v>
                </c:pt>
                <c:pt idx="13">
                  <c:v>1301.9167239999999</c:v>
                </c:pt>
                <c:pt idx="14">
                  <c:v>1405.7610099999999</c:v>
                </c:pt>
                <c:pt idx="15">
                  <c:v>1509.605296</c:v>
                </c:pt>
                <c:pt idx="16">
                  <c:v>1613.4495830000001</c:v>
                </c:pt>
                <c:pt idx="17">
                  <c:v>1717.2938690000001</c:v>
                </c:pt>
                <c:pt idx="18">
                  <c:v>1821.138156</c:v>
                </c:pt>
                <c:pt idx="19">
                  <c:v>1924.982442</c:v>
                </c:pt>
                <c:pt idx="20">
                  <c:v>2028.8267289999999</c:v>
                </c:pt>
                <c:pt idx="21">
                  <c:v>2132.6710149999999</c:v>
                </c:pt>
                <c:pt idx="22">
                  <c:v>2236.5153009999999</c:v>
                </c:pt>
                <c:pt idx="23">
                  <c:v>2340.3595879999998</c:v>
                </c:pt>
                <c:pt idx="24">
                  <c:v>2444.2038739999998</c:v>
                </c:pt>
                <c:pt idx="25">
                  <c:v>2548.0481610000002</c:v>
                </c:pt>
                <c:pt idx="26">
                  <c:v>2651.8924470000002</c:v>
                </c:pt>
                <c:pt idx="27">
                  <c:v>2755.7367340000001</c:v>
                </c:pt>
                <c:pt idx="28">
                  <c:v>2859.5810200000001</c:v>
                </c:pt>
                <c:pt idx="29">
                  <c:v>2963.425307</c:v>
                </c:pt>
                <c:pt idx="30">
                  <c:v>3067.269593</c:v>
                </c:pt>
                <c:pt idx="31">
                  <c:v>3171.113879</c:v>
                </c:pt>
                <c:pt idx="32">
                  <c:v>3274.9581659999999</c:v>
                </c:pt>
                <c:pt idx="33">
                  <c:v>3378.8024519999999</c:v>
                </c:pt>
                <c:pt idx="34">
                  <c:v>3482.6467389999998</c:v>
                </c:pt>
                <c:pt idx="35">
                  <c:v>3586.4910249999998</c:v>
                </c:pt>
                <c:pt idx="36">
                  <c:v>3690.3353120000002</c:v>
                </c:pt>
                <c:pt idx="37">
                  <c:v>3794.1795980000002</c:v>
                </c:pt>
                <c:pt idx="38">
                  <c:v>3898.0238840000002</c:v>
                </c:pt>
                <c:pt idx="39">
                  <c:v>4001.8681710000001</c:v>
                </c:pt>
                <c:pt idx="40">
                  <c:v>4105.7124569999996</c:v>
                </c:pt>
                <c:pt idx="41">
                  <c:v>4209.5567440000004</c:v>
                </c:pt>
                <c:pt idx="42">
                  <c:v>4313.40103</c:v>
                </c:pt>
                <c:pt idx="43">
                  <c:v>4417.2453169999999</c:v>
                </c:pt>
                <c:pt idx="44">
                  <c:v>4521.0896030000004</c:v>
                </c:pt>
                <c:pt idx="45">
                  <c:v>4624.9338889999999</c:v>
                </c:pt>
                <c:pt idx="46">
                  <c:v>4728.7781759999998</c:v>
                </c:pt>
                <c:pt idx="47">
                  <c:v>4832.6224620000003</c:v>
                </c:pt>
                <c:pt idx="48">
                  <c:v>4936.4667490000002</c:v>
                </c:pt>
                <c:pt idx="49">
                  <c:v>5040.3110349999997</c:v>
                </c:pt>
              </c:numCache>
            </c:numRef>
          </c:xVal>
          <c:yVal>
            <c:numRef>
              <c:f>'Q:\Trends income distribution\Personal\Jared\[PDF HH All.xlsx]Data'!$CD$2:$CD$51</c:f>
              <c:numCache>
                <c:formatCode>General</c:formatCode>
                <c:ptCount val="50"/>
                <c:pt idx="0">
                  <c:v>2.9076400079999999E-3</c:v>
                </c:pt>
                <c:pt idx="1">
                  <c:v>7.4767886639999998E-3</c:v>
                </c:pt>
                <c:pt idx="2">
                  <c:v>2.7103358646000004E-2</c:v>
                </c:pt>
                <c:pt idx="3">
                  <c:v>7.0198738011999995E-2</c:v>
                </c:pt>
                <c:pt idx="4">
                  <c:v>6.7187253042000003E-2</c:v>
                </c:pt>
                <c:pt idx="5">
                  <c:v>7.3002533760999966E-2</c:v>
                </c:pt>
                <c:pt idx="6">
                  <c:v>5.161061014200001E-2</c:v>
                </c:pt>
                <c:pt idx="7">
                  <c:v>4.8079904418000002E-2</c:v>
                </c:pt>
                <c:pt idx="8">
                  <c:v>5.1610610639000007E-2</c:v>
                </c:pt>
                <c:pt idx="9">
                  <c:v>5.1091388712000009E-2</c:v>
                </c:pt>
                <c:pt idx="10">
                  <c:v>4.9222192038000004E-2</c:v>
                </c:pt>
                <c:pt idx="11">
                  <c:v>4.8702970134000004E-2</c:v>
                </c:pt>
                <c:pt idx="12">
                  <c:v>4.5379953418999953E-2</c:v>
                </c:pt>
                <c:pt idx="13">
                  <c:v>4.1953091544000003E-2</c:v>
                </c:pt>
                <c:pt idx="14">
                  <c:v>4.0914648684E-2</c:v>
                </c:pt>
                <c:pt idx="15">
                  <c:v>3.6657033311000044E-2</c:v>
                </c:pt>
                <c:pt idx="16">
                  <c:v>3.3022482948000004E-2</c:v>
                </c:pt>
                <c:pt idx="17">
                  <c:v>3.2607106117999968E-2</c:v>
                </c:pt>
                <c:pt idx="18">
                  <c:v>3.0530220084000002E-2</c:v>
                </c:pt>
                <c:pt idx="19">
                  <c:v>2.7103358906999973E-2</c:v>
                </c:pt>
                <c:pt idx="20">
                  <c:v>2.4403407210000002E-2</c:v>
                </c:pt>
                <c:pt idx="21">
                  <c:v>2.0249635770000003E-2</c:v>
                </c:pt>
                <c:pt idx="22">
                  <c:v>1.734199592899998E-2</c:v>
                </c:pt>
                <c:pt idx="23">
                  <c:v>1.4330511468000001E-2</c:v>
                </c:pt>
                <c:pt idx="24">
                  <c:v>1.1526715857000039E-2</c:v>
                </c:pt>
                <c:pt idx="25">
                  <c:v>1.0903650030000002E-2</c:v>
                </c:pt>
                <c:pt idx="26">
                  <c:v>1.0280584412999989E-2</c:v>
                </c:pt>
                <c:pt idx="27">
                  <c:v>6.9575671620000007E-3</c:v>
                </c:pt>
                <c:pt idx="28">
                  <c:v>7.1652558029999926E-3</c:v>
                </c:pt>
                <c:pt idx="29">
                  <c:v>7.3729443060000016E-3</c:v>
                </c:pt>
                <c:pt idx="30">
                  <c:v>5.1922143000000011E-3</c:v>
                </c:pt>
                <c:pt idx="31">
                  <c:v>4.7768372019999948E-3</c:v>
                </c:pt>
                <c:pt idx="32">
                  <c:v>3.2191728660000006E-3</c:v>
                </c:pt>
                <c:pt idx="33">
                  <c:v>2.5961071749999974E-3</c:v>
                </c:pt>
                <c:pt idx="34">
                  <c:v>2.3884185780000001E-3</c:v>
                </c:pt>
                <c:pt idx="35">
                  <c:v>1.9730414530000069E-3</c:v>
                </c:pt>
                <c:pt idx="36">
                  <c:v>2.0768857200000003E-3</c:v>
                </c:pt>
                <c:pt idx="37">
                  <c:v>1.5576642900000002E-3</c:v>
                </c:pt>
                <c:pt idx="38">
                  <c:v>1.2461314439999988E-3</c:v>
                </c:pt>
                <c:pt idx="39">
                  <c:v>1.2461314319999947E-3</c:v>
                </c:pt>
                <c:pt idx="40">
                  <c:v>6.2306572200000482E-4</c:v>
                </c:pt>
                <c:pt idx="41">
                  <c:v>6.2306571599999737E-4</c:v>
                </c:pt>
                <c:pt idx="42">
                  <c:v>9.3459858299999911E-4</c:v>
                </c:pt>
                <c:pt idx="43">
                  <c:v>1.2461314320000056E-3</c:v>
                </c:pt>
                <c:pt idx="44">
                  <c:v>9.34598573999996E-4</c:v>
                </c:pt>
                <c:pt idx="45">
                  <c:v>5.192214349999995E-4</c:v>
                </c:pt>
                <c:pt idx="46">
                  <c:v>7.2691000200000324E-4</c:v>
                </c:pt>
                <c:pt idx="47">
                  <c:v>3.115328609999997E-4</c:v>
                </c:pt>
                <c:pt idx="48">
                  <c:v>5.1922142999999779E-4</c:v>
                </c:pt>
                <c:pt idx="49">
                  <c:v>2.076885719999991E-4</c:v>
                </c:pt>
              </c:numCache>
            </c:numRef>
          </c:yVal>
          <c:smooth val="1"/>
        </c:ser>
        <c:ser>
          <c:idx val="4"/>
          <c:order val="1"/>
          <c:tx>
            <c:v>2009-10</c:v>
          </c:tx>
          <c:spPr>
            <a:ln>
              <a:solidFill>
                <a:srgbClr val="C00000"/>
              </a:solidFill>
            </a:ln>
          </c:spPr>
          <c:marker>
            <c:symbol val="none"/>
          </c:marker>
          <c:xVal>
            <c:numRef>
              <c:f>'Q:\Trends income distribution\Personal\Jared\[PDF HH All.xlsx]Data'!$E$2:$E$51</c:f>
              <c:numCache>
                <c:formatCode>General</c:formatCode>
                <c:ptCount val="50"/>
                <c:pt idx="0">
                  <c:v>-48.945</c:v>
                </c:pt>
                <c:pt idx="1">
                  <c:v>54.84281</c:v>
                </c:pt>
                <c:pt idx="2">
                  <c:v>158.63062099999999</c:v>
                </c:pt>
                <c:pt idx="3">
                  <c:v>262.418431</c:v>
                </c:pt>
                <c:pt idx="4">
                  <c:v>366.20624199999997</c:v>
                </c:pt>
                <c:pt idx="5">
                  <c:v>469.99405200000001</c:v>
                </c:pt>
                <c:pt idx="6">
                  <c:v>573.78186300000004</c:v>
                </c:pt>
                <c:pt idx="7">
                  <c:v>677.56967399999996</c:v>
                </c:pt>
                <c:pt idx="8">
                  <c:v>781.357484</c:v>
                </c:pt>
                <c:pt idx="9">
                  <c:v>885.14529500000003</c:v>
                </c:pt>
                <c:pt idx="10">
                  <c:v>988.93310499999995</c:v>
                </c:pt>
                <c:pt idx="11">
                  <c:v>1092.720916</c:v>
                </c:pt>
                <c:pt idx="12">
                  <c:v>1196.508726</c:v>
                </c:pt>
                <c:pt idx="13">
                  <c:v>1300.2965369999999</c:v>
                </c:pt>
                <c:pt idx="14">
                  <c:v>1404.084347</c:v>
                </c:pt>
                <c:pt idx="15">
                  <c:v>1507.8721579999999</c:v>
                </c:pt>
                <c:pt idx="16">
                  <c:v>1611.6599679999999</c:v>
                </c:pt>
                <c:pt idx="17">
                  <c:v>1715.4477790000001</c:v>
                </c:pt>
                <c:pt idx="18">
                  <c:v>1819.2355889999999</c:v>
                </c:pt>
                <c:pt idx="19">
                  <c:v>1923.0234</c:v>
                </c:pt>
                <c:pt idx="20">
                  <c:v>2026.8112100000001</c:v>
                </c:pt>
                <c:pt idx="21">
                  <c:v>2130.599021</c:v>
                </c:pt>
                <c:pt idx="22">
                  <c:v>2234.3868309999998</c:v>
                </c:pt>
                <c:pt idx="23">
                  <c:v>2338.1746419999999</c:v>
                </c:pt>
                <c:pt idx="24">
                  <c:v>2441.9624520000002</c:v>
                </c:pt>
                <c:pt idx="25">
                  <c:v>2545.7502629999999</c:v>
                </c:pt>
                <c:pt idx="26">
                  <c:v>2649.5380730000002</c:v>
                </c:pt>
                <c:pt idx="27">
                  <c:v>2753.3258839999999</c:v>
                </c:pt>
                <c:pt idx="28">
                  <c:v>2857.1136940000001</c:v>
                </c:pt>
                <c:pt idx="29">
                  <c:v>2960.9015049999998</c:v>
                </c:pt>
                <c:pt idx="30">
                  <c:v>3064.6893150000001</c:v>
                </c:pt>
                <c:pt idx="31">
                  <c:v>3168.4771260000002</c:v>
                </c:pt>
                <c:pt idx="32">
                  <c:v>3272.264936</c:v>
                </c:pt>
                <c:pt idx="33">
                  <c:v>3376.0527470000002</c:v>
                </c:pt>
                <c:pt idx="34">
                  <c:v>3479.840557</c:v>
                </c:pt>
                <c:pt idx="35">
                  <c:v>3583.6283680000001</c:v>
                </c:pt>
                <c:pt idx="36">
                  <c:v>3687.4161779999999</c:v>
                </c:pt>
                <c:pt idx="37">
                  <c:v>3791.2039890000001</c:v>
                </c:pt>
                <c:pt idx="38">
                  <c:v>3894.9917989999999</c:v>
                </c:pt>
                <c:pt idx="39">
                  <c:v>3998.77961</c:v>
                </c:pt>
                <c:pt idx="40">
                  <c:v>4102.5674200000003</c:v>
                </c:pt>
                <c:pt idx="41">
                  <c:v>4206.3552309999995</c:v>
                </c:pt>
                <c:pt idx="42">
                  <c:v>4310.1430410000003</c:v>
                </c:pt>
                <c:pt idx="43">
                  <c:v>4413.9308520000004</c:v>
                </c:pt>
                <c:pt idx="44">
                  <c:v>4517.7186620000002</c:v>
                </c:pt>
                <c:pt idx="45">
                  <c:v>4621.5064730000004</c:v>
                </c:pt>
                <c:pt idx="46">
                  <c:v>4725.2942830000002</c:v>
                </c:pt>
                <c:pt idx="47">
                  <c:v>4829.0820940000003</c:v>
                </c:pt>
                <c:pt idx="48">
                  <c:v>4932.8699040000001</c:v>
                </c:pt>
                <c:pt idx="49">
                  <c:v>5036.6577150000003</c:v>
                </c:pt>
              </c:numCache>
            </c:numRef>
          </c:xVal>
          <c:yVal>
            <c:numRef>
              <c:f>'Q:\Trends income distribution\Personal\Jared\[PDF HH All.xlsx]Data'!$CH$2:$CH$51</c:f>
              <c:numCache>
                <c:formatCode>General</c:formatCode>
                <c:ptCount val="50"/>
                <c:pt idx="0">
                  <c:v>2.4909074400000001E-3</c:v>
                </c:pt>
                <c:pt idx="1">
                  <c:v>7.0575711479999997E-3</c:v>
                </c:pt>
                <c:pt idx="2">
                  <c:v>8.5106004200000002E-3</c:v>
                </c:pt>
                <c:pt idx="3">
                  <c:v>2.9475738323999995E-2</c:v>
                </c:pt>
                <c:pt idx="4">
                  <c:v>6.2065110380000024E-2</c:v>
                </c:pt>
                <c:pt idx="5">
                  <c:v>4.4628758730000016E-2</c:v>
                </c:pt>
                <c:pt idx="6">
                  <c:v>5.9262840080999954E-2</c:v>
                </c:pt>
                <c:pt idx="7">
                  <c:v>5.3450722150000025E-2</c:v>
                </c:pt>
                <c:pt idx="8">
                  <c:v>4.7949968682000015E-2</c:v>
                </c:pt>
                <c:pt idx="9">
                  <c:v>4.2760577719999963E-2</c:v>
                </c:pt>
                <c:pt idx="10">
                  <c:v>3.7674975393000014E-2</c:v>
                </c:pt>
                <c:pt idx="11">
                  <c:v>3.4561340730000015E-2</c:v>
                </c:pt>
                <c:pt idx="12">
                  <c:v>3.6844672904999973E-2</c:v>
                </c:pt>
                <c:pt idx="13">
                  <c:v>3.5080279780000008E-2</c:v>
                </c:pt>
                <c:pt idx="14">
                  <c:v>3.3834826385999973E-2</c:v>
                </c:pt>
                <c:pt idx="15">
                  <c:v>3.1136343000000007E-2</c:v>
                </c:pt>
                <c:pt idx="16">
                  <c:v>3.4561341063000052E-2</c:v>
                </c:pt>
                <c:pt idx="17">
                  <c:v>3.0824979569999945E-2</c:v>
                </c:pt>
                <c:pt idx="18">
                  <c:v>3.0202253001000046E-2</c:v>
                </c:pt>
                <c:pt idx="19">
                  <c:v>2.8437859940000008E-2</c:v>
                </c:pt>
                <c:pt idx="20">
                  <c:v>2.5220438072999979E-2</c:v>
                </c:pt>
                <c:pt idx="21">
                  <c:v>2.200301571999996E-2</c:v>
                </c:pt>
                <c:pt idx="22">
                  <c:v>2.106892563300003E-2</c:v>
                </c:pt>
                <c:pt idx="23">
                  <c:v>2.2521954770000057E-2</c:v>
                </c:pt>
                <c:pt idx="24">
                  <c:v>2.065377438899994E-2</c:v>
                </c:pt>
                <c:pt idx="25">
                  <c:v>1.7955291130000047E-2</c:v>
                </c:pt>
                <c:pt idx="26">
                  <c:v>1.7436352247999946E-2</c:v>
                </c:pt>
                <c:pt idx="27">
                  <c:v>1.5049232450000038E-2</c:v>
                </c:pt>
                <c:pt idx="28">
                  <c:v>1.3388627618999959E-2</c:v>
                </c:pt>
                <c:pt idx="29">
                  <c:v>1.2143173770000031E-2</c:v>
                </c:pt>
                <c:pt idx="30">
                  <c:v>1.2454537320000018E-2</c:v>
                </c:pt>
                <c:pt idx="31">
                  <c:v>1.2662112819999976E-2</c:v>
                </c:pt>
                <c:pt idx="32">
                  <c:v>1.1001507966000015E-2</c:v>
                </c:pt>
                <c:pt idx="33">
                  <c:v>1.0274993189999981E-2</c:v>
                </c:pt>
                <c:pt idx="34">
                  <c:v>7.9916614470000123E-3</c:v>
                </c:pt>
                <c:pt idx="35">
                  <c:v>7.1613588899999865E-3</c:v>
                </c:pt>
                <c:pt idx="36">
                  <c:v>7.7840858250000106E-3</c:v>
                </c:pt>
                <c:pt idx="37">
                  <c:v>6.849995459999988E-3</c:v>
                </c:pt>
                <c:pt idx="38">
                  <c:v>6.5386320930000096E-3</c:v>
                </c:pt>
                <c:pt idx="39">
                  <c:v>6.0196929800000153E-3</c:v>
                </c:pt>
                <c:pt idx="40">
                  <c:v>5.915905226999957E-3</c:v>
                </c:pt>
                <c:pt idx="41">
                  <c:v>6.0196929800000413E-3</c:v>
                </c:pt>
                <c:pt idx="42">
                  <c:v>4.1515124400000065E-3</c:v>
                </c:pt>
                <c:pt idx="43">
                  <c:v>4.1515123999999928E-3</c:v>
                </c:pt>
                <c:pt idx="44">
                  <c:v>3.8401490070000053E-3</c:v>
                </c:pt>
                <c:pt idx="45">
                  <c:v>3.5287855399999935E-3</c:v>
                </c:pt>
                <c:pt idx="46">
                  <c:v>2.3871196530000035E-3</c:v>
                </c:pt>
                <c:pt idx="47">
                  <c:v>2.4909074399999953E-3</c:v>
                </c:pt>
                <c:pt idx="48">
                  <c:v>2.0757562200000032E-3</c:v>
                </c:pt>
                <c:pt idx="49">
                  <c:v>5.1893905500000081E-4</c:v>
                </c:pt>
              </c:numCache>
            </c:numRef>
          </c:yVal>
          <c:smooth val="1"/>
        </c:ser>
        <c:dLbls>
          <c:showLegendKey val="0"/>
          <c:showVal val="0"/>
          <c:showCatName val="0"/>
          <c:showSerName val="0"/>
          <c:showPercent val="0"/>
          <c:showBubbleSize val="0"/>
        </c:dLbls>
        <c:axId val="47049344"/>
        <c:axId val="47076096"/>
      </c:scatterChart>
      <c:valAx>
        <c:axId val="47049344"/>
        <c:scaling>
          <c:orientation val="minMax"/>
          <c:max val="5000"/>
          <c:min val="0"/>
        </c:scaling>
        <c:delete val="0"/>
        <c:axPos val="b"/>
        <c:title>
          <c:tx>
            <c:rich>
              <a:bodyPr/>
              <a:lstStyle/>
              <a:p>
                <a:pPr>
                  <a:defRPr b="0">
                    <a:latin typeface="Arial" pitchFamily="34" charset="0"/>
                    <a:cs typeface="Arial" pitchFamily="34" charset="0"/>
                  </a:defRPr>
                </a:pPr>
                <a:r>
                  <a:rPr lang="en-US" b="0">
                    <a:latin typeface="Arial" pitchFamily="34" charset="0"/>
                    <a:cs typeface="Arial" pitchFamily="34" charset="0"/>
                  </a:rPr>
                  <a:t>$(2011-12) per week</a:t>
                </a:r>
              </a:p>
            </c:rich>
          </c:tx>
          <c:layout>
            <c:manualLayout>
              <c:xMode val="edge"/>
              <c:yMode val="edge"/>
              <c:x val="0.29246190476190476"/>
              <c:y val="0.90138968253968255"/>
            </c:manualLayout>
          </c:layout>
          <c:overlay val="0"/>
        </c:title>
        <c:numFmt formatCode="#,##0" sourceLinked="0"/>
        <c:majorTickMark val="out"/>
        <c:minorTickMark val="none"/>
        <c:tickLblPos val="nextTo"/>
        <c:txPr>
          <a:bodyPr/>
          <a:lstStyle/>
          <a:p>
            <a:pPr>
              <a:defRPr sz="1000">
                <a:latin typeface="Arial" pitchFamily="34" charset="0"/>
                <a:cs typeface="Arial" pitchFamily="34" charset="0"/>
              </a:defRPr>
            </a:pPr>
            <a:endParaRPr lang="en-US"/>
          </a:p>
        </c:txPr>
        <c:crossAx val="47076096"/>
        <c:crosses val="autoZero"/>
        <c:crossBetween val="midCat"/>
        <c:majorUnit val="1000"/>
      </c:valAx>
      <c:valAx>
        <c:axId val="47076096"/>
        <c:scaling>
          <c:orientation val="minMax"/>
          <c:max val="8.0000000000000016E-2"/>
        </c:scaling>
        <c:delete val="0"/>
        <c:axPos val="l"/>
        <c:majorGridlines/>
        <c:title>
          <c:tx>
            <c:rich>
              <a:bodyPr rot="-5400000" vert="horz"/>
              <a:lstStyle/>
              <a:p>
                <a:pPr>
                  <a:defRPr b="0">
                    <a:latin typeface="Arial" pitchFamily="34" charset="0"/>
                    <a:cs typeface="Arial" pitchFamily="34" charset="0"/>
                  </a:defRPr>
                </a:pPr>
                <a:r>
                  <a:rPr lang="en-US" b="0">
                    <a:latin typeface="Arial" pitchFamily="34" charset="0"/>
                    <a:cs typeface="Arial" pitchFamily="34" charset="0"/>
                  </a:rPr>
                  <a:t>Proportion of households</a:t>
                </a:r>
              </a:p>
            </c:rich>
          </c:tx>
          <c:overlay val="0"/>
        </c:title>
        <c:numFmt formatCode="0.00" sourceLinked="0"/>
        <c:majorTickMark val="out"/>
        <c:minorTickMark val="none"/>
        <c:tickLblPos val="nextTo"/>
        <c:txPr>
          <a:bodyPr/>
          <a:lstStyle/>
          <a:p>
            <a:pPr>
              <a:defRPr sz="1000">
                <a:latin typeface="Arial" pitchFamily="34" charset="0"/>
                <a:cs typeface="Arial" pitchFamily="34" charset="0"/>
              </a:defRPr>
            </a:pPr>
            <a:endParaRPr lang="en-US"/>
          </a:p>
        </c:txPr>
        <c:crossAx val="47049344"/>
        <c:crosses val="autoZero"/>
        <c:crossBetween val="midCat"/>
        <c:majorUnit val="2.0000000000000004E-2"/>
      </c:valAx>
    </c:plotArea>
    <c:plotVisOnly val="1"/>
    <c:dispBlanksAs val="gap"/>
    <c:showDLblsOverMax val="0"/>
  </c:chart>
  <c:spPr>
    <a:ln>
      <a:noFill/>
    </a:ln>
  </c:sp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701428571428572E-2"/>
          <c:y val="5.5436507936507937E-2"/>
          <c:w val="0.87552936507936507"/>
          <c:h val="0.74960039682539681"/>
        </c:manualLayout>
      </c:layout>
      <c:barChart>
        <c:barDir val="col"/>
        <c:grouping val="clustered"/>
        <c:varyColors val="0"/>
        <c:ser>
          <c:idx val="0"/>
          <c:order val="0"/>
          <c:tx>
            <c:strRef>
              <c:f>'Q:\Trends income distribution\Personal\Clinton\graphs\Stata graphs\Jared\[Deciles and ginis.xlsx]Sheet2'!$G$2</c:f>
              <c:strCache>
                <c:ptCount val="1"/>
                <c:pt idx="0">
                  <c:v>From 1988-89 to 2009-10</c:v>
                </c:pt>
              </c:strCache>
            </c:strRef>
          </c:tx>
          <c:spPr>
            <a:solidFill>
              <a:schemeClr val="accent1">
                <a:lumMod val="75000"/>
              </a:schemeClr>
            </a:solidFill>
            <a:ln>
              <a:solidFill>
                <a:schemeClr val="accent1">
                  <a:lumMod val="75000"/>
                </a:schemeClr>
              </a:solidFill>
            </a:ln>
          </c:spPr>
          <c:invertIfNegative val="0"/>
          <c:dPt>
            <c:idx val="10"/>
            <c:invertIfNegative val="0"/>
            <c:bubble3D val="0"/>
            <c:spPr>
              <a:solidFill>
                <a:srgbClr val="C00000"/>
              </a:solidFill>
              <a:ln>
                <a:solidFill>
                  <a:srgbClr val="C00000"/>
                </a:solidFill>
              </a:ln>
            </c:spPr>
          </c:dPt>
          <c:cat>
            <c:strRef>
              <c:f>'Q:\Trends income distribution\Personal\Clinton\graphs\Stata graphs\Jared\[Deciles and ginis.xlsx]Sheet2'!$F$3:$F$13</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'Q:\Trends income distribution\Personal\Clinton\graphs\Stata graphs\Jared\[Deciles and ginis.xlsx]Sheet2'!$G$3:$G$13</c:f>
              <c:numCache>
                <c:formatCode>General</c:formatCode>
                <c:ptCount val="11"/>
                <c:pt idx="0">
                  <c:v>45.555458539114291</c:v>
                </c:pt>
                <c:pt idx="1">
                  <c:v>33.947378863190856</c:v>
                </c:pt>
                <c:pt idx="2">
                  <c:v>33.686668529426868</c:v>
                </c:pt>
                <c:pt idx="3">
                  <c:v>28.323121845279818</c:v>
                </c:pt>
                <c:pt idx="4">
                  <c:v>31.773101151316318</c:v>
                </c:pt>
                <c:pt idx="5">
                  <c:v>34.558296121263623</c:v>
                </c:pt>
                <c:pt idx="6">
                  <c:v>36.06448311888029</c:v>
                </c:pt>
                <c:pt idx="7">
                  <c:v>39.612674077487647</c:v>
                </c:pt>
                <c:pt idx="8">
                  <c:v>46.18215560687009</c:v>
                </c:pt>
                <c:pt idx="9">
                  <c:v>61.319879467263704</c:v>
                </c:pt>
                <c:pt idx="10">
                  <c:v>43.991298740865865</c:v>
                </c:pt>
              </c:numCache>
            </c:numRef>
          </c:val>
        </c:ser>
        <c:dLbls>
          <c:showLegendKey val="0"/>
          <c:showVal val="0"/>
          <c:showCatName val="0"/>
          <c:showSerName val="0"/>
          <c:showPercent val="0"/>
          <c:showBubbleSize val="0"/>
        </c:dLbls>
        <c:gapWidth val="70"/>
        <c:axId val="47098496"/>
        <c:axId val="47104768"/>
      </c:barChart>
      <c:catAx>
        <c:axId val="47098496"/>
        <c:scaling>
          <c:orientation val="minMax"/>
        </c:scaling>
        <c:delete val="0"/>
        <c:axPos val="b"/>
        <c:title>
          <c:tx>
            <c:rich>
              <a:bodyPr/>
              <a:lstStyle/>
              <a:p>
                <a:pPr>
                  <a:defRPr sz="1000" b="0">
                    <a:latin typeface="Arial" pitchFamily="34" charset="0"/>
                    <a:cs typeface="Arial" pitchFamily="34" charset="0"/>
                  </a:defRPr>
                </a:pPr>
                <a:r>
                  <a:rPr lang="en-US" sz="1000" b="0">
                    <a:latin typeface="Arial" pitchFamily="34" charset="0"/>
                    <a:cs typeface="Arial" pitchFamily="34" charset="0"/>
                  </a:rPr>
                  <a:t>Deciles</a:t>
                </a:r>
              </a:p>
            </c:rich>
          </c:tx>
          <c:overlay val="0"/>
        </c:title>
        <c:majorTickMark val="out"/>
        <c:minorTickMark val="none"/>
        <c:tickLblPos val="nextTo"/>
        <c:txPr>
          <a:bodyPr/>
          <a:lstStyle/>
          <a:p>
            <a:pPr>
              <a:defRPr sz="1000">
                <a:latin typeface="Arial" pitchFamily="34" charset="0"/>
                <a:cs typeface="Arial" pitchFamily="34" charset="0"/>
              </a:defRPr>
            </a:pPr>
            <a:endParaRPr lang="en-US"/>
          </a:p>
        </c:txPr>
        <c:crossAx val="47104768"/>
        <c:crosses val="autoZero"/>
        <c:auto val="1"/>
        <c:lblAlgn val="ctr"/>
        <c:lblOffset val="100"/>
        <c:noMultiLvlLbl val="0"/>
      </c:catAx>
      <c:valAx>
        <c:axId val="47104768"/>
        <c:scaling>
          <c:orientation val="minMax"/>
          <c:max val="80"/>
        </c:scaling>
        <c:delete val="0"/>
        <c:axPos val="l"/>
        <c:majorGridlines/>
        <c:numFmt formatCode="#,##0" sourceLinked="0"/>
        <c:majorTickMark val="out"/>
        <c:minorTickMark val="none"/>
        <c:tickLblPos val="nextTo"/>
        <c:txPr>
          <a:bodyPr/>
          <a:lstStyle/>
          <a:p>
            <a:pPr>
              <a:defRPr sz="1000">
                <a:latin typeface="Arial" pitchFamily="34" charset="0"/>
                <a:cs typeface="Arial" pitchFamily="34" charset="0"/>
              </a:defRPr>
            </a:pPr>
            <a:endParaRPr lang="en-US"/>
          </a:p>
        </c:txPr>
        <c:crossAx val="47098496"/>
        <c:crosses val="autoZero"/>
        <c:crossBetween val="between"/>
        <c:majorUnit val="20"/>
      </c:valAx>
      <c:spPr>
        <a:ln>
          <a:noFill/>
        </a:ln>
      </c:spPr>
    </c:plotArea>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159240740740741E-2"/>
          <c:y val="5.5953174603174602E-2"/>
          <c:w val="0.7231773386817214"/>
          <c:h val="0.81779444444444449"/>
        </c:manualLayout>
      </c:layout>
      <c:lineChart>
        <c:grouping val="standard"/>
        <c:varyColors val="0"/>
        <c:ser>
          <c:idx val="0"/>
          <c:order val="0"/>
          <c:tx>
            <c:strRef>
              <c:f>Sheet1!$D$25</c:f>
              <c:strCache>
                <c:ptCount val="1"/>
                <c:pt idx="0">
                  <c:v>Market income</c:v>
                </c:pt>
              </c:strCache>
            </c:strRef>
          </c:tx>
          <c:spPr>
            <a:ln>
              <a:solidFill>
                <a:schemeClr val="accent1">
                  <a:lumMod val="75000"/>
                </a:schemeClr>
              </a:solidFill>
            </a:ln>
          </c:spPr>
          <c:marker>
            <c:symbol val="none"/>
          </c:marker>
          <c:cat>
            <c:strRef>
              <c:f>Sheet1!$C$26:$C$31</c:f>
              <c:strCache>
                <c:ptCount val="5"/>
                <c:pt idx="0">
                  <c:v>1988-89</c:v>
                </c:pt>
                <c:pt idx="1">
                  <c:v>1993-94</c:v>
                </c:pt>
                <c:pt idx="2">
                  <c:v>1998-99</c:v>
                </c:pt>
                <c:pt idx="3">
                  <c:v>2003-04</c:v>
                </c:pt>
                <c:pt idx="4">
                  <c:v>2009-10</c:v>
                </c:pt>
              </c:strCache>
            </c:strRef>
          </c:cat>
          <c:val>
            <c:numRef>
              <c:f>Sheet1!$D$26:$D$31</c:f>
              <c:numCache>
                <c:formatCode>General</c:formatCode>
                <c:ptCount val="6"/>
                <c:pt idx="0">
                  <c:v>0.48504953000000001</c:v>
                </c:pt>
                <c:pt idx="1">
                  <c:v>0.53312665999999997</c:v>
                </c:pt>
                <c:pt idx="2">
                  <c:v>0.52844795</c:v>
                </c:pt>
                <c:pt idx="3">
                  <c:v>0.50839349</c:v>
                </c:pt>
                <c:pt idx="4">
                  <c:v>0.52210599999999996</c:v>
                </c:pt>
              </c:numCache>
            </c:numRef>
          </c:val>
          <c:smooth val="0"/>
        </c:ser>
        <c:ser>
          <c:idx val="1"/>
          <c:order val="1"/>
          <c:tx>
            <c:strRef>
              <c:f>Sheet1!$E$25</c:f>
              <c:strCache>
                <c:ptCount val="1"/>
                <c:pt idx="0">
                  <c:v>Gross income</c:v>
                </c:pt>
              </c:strCache>
            </c:strRef>
          </c:tx>
          <c:marker>
            <c:symbol val="none"/>
          </c:marker>
          <c:cat>
            <c:strRef>
              <c:f>Sheet1!$C$26:$C$31</c:f>
              <c:strCache>
                <c:ptCount val="5"/>
                <c:pt idx="0">
                  <c:v>1988-89</c:v>
                </c:pt>
                <c:pt idx="1">
                  <c:v>1993-94</c:v>
                </c:pt>
                <c:pt idx="2">
                  <c:v>1998-99</c:v>
                </c:pt>
                <c:pt idx="3">
                  <c:v>2003-04</c:v>
                </c:pt>
                <c:pt idx="4">
                  <c:v>2009-10</c:v>
                </c:pt>
              </c:strCache>
            </c:strRef>
          </c:cat>
          <c:val>
            <c:numRef>
              <c:f>Sheet1!$E$26:$E$31</c:f>
              <c:numCache>
                <c:formatCode>General</c:formatCode>
                <c:ptCount val="6"/>
                <c:pt idx="0">
                  <c:v>0.39317126000000002</c:v>
                </c:pt>
                <c:pt idx="1">
                  <c:v>0.41068167999999999</c:v>
                </c:pt>
                <c:pt idx="2">
                  <c:v>0.41526349000000001</c:v>
                </c:pt>
                <c:pt idx="3">
                  <c:v>0.40153619000000002</c:v>
                </c:pt>
                <c:pt idx="4">
                  <c:v>0.42631124999999997</c:v>
                </c:pt>
              </c:numCache>
            </c:numRef>
          </c:val>
          <c:smooth val="0"/>
        </c:ser>
        <c:ser>
          <c:idx val="2"/>
          <c:order val="2"/>
          <c:tx>
            <c:strRef>
              <c:f>Sheet1!$F$25</c:f>
              <c:strCache>
                <c:ptCount val="1"/>
                <c:pt idx="0">
                  <c:v>Disposable income</c:v>
                </c:pt>
              </c:strCache>
            </c:strRef>
          </c:tx>
          <c:marker>
            <c:symbol val="none"/>
          </c:marker>
          <c:cat>
            <c:strRef>
              <c:f>Sheet1!$C$26:$C$31</c:f>
              <c:strCache>
                <c:ptCount val="5"/>
                <c:pt idx="0">
                  <c:v>1988-89</c:v>
                </c:pt>
                <c:pt idx="1">
                  <c:v>1993-94</c:v>
                </c:pt>
                <c:pt idx="2">
                  <c:v>1998-99</c:v>
                </c:pt>
                <c:pt idx="3">
                  <c:v>2003-04</c:v>
                </c:pt>
                <c:pt idx="4">
                  <c:v>2009-10</c:v>
                </c:pt>
              </c:strCache>
            </c:strRef>
          </c:cat>
          <c:val>
            <c:numRef>
              <c:f>Sheet1!$F$26:$F$31</c:f>
              <c:numCache>
                <c:formatCode>General</c:formatCode>
                <c:ptCount val="6"/>
                <c:pt idx="0">
                  <c:v>0.35044332</c:v>
                </c:pt>
                <c:pt idx="1">
                  <c:v>0.36501070000000002</c:v>
                </c:pt>
                <c:pt idx="2">
                  <c:v>0.36863073000000002</c:v>
                </c:pt>
                <c:pt idx="3">
                  <c:v>0.35846717</c:v>
                </c:pt>
                <c:pt idx="4">
                  <c:v>0.38915040000000001</c:v>
                </c:pt>
              </c:numCache>
            </c:numRef>
          </c:val>
          <c:smooth val="0"/>
        </c:ser>
        <c:ser>
          <c:idx val="3"/>
          <c:order val="3"/>
          <c:tx>
            <c:strRef>
              <c:f>Sheet1!$G$25</c:f>
              <c:strCache>
                <c:ptCount val="1"/>
                <c:pt idx="0">
                  <c:v>Final income</c:v>
                </c:pt>
              </c:strCache>
            </c:strRef>
          </c:tx>
          <c:marker>
            <c:symbol val="none"/>
          </c:marker>
          <c:cat>
            <c:strRef>
              <c:f>Sheet1!$C$26:$C$31</c:f>
              <c:strCache>
                <c:ptCount val="5"/>
                <c:pt idx="0">
                  <c:v>1988-89</c:v>
                </c:pt>
                <c:pt idx="1">
                  <c:v>1993-94</c:v>
                </c:pt>
                <c:pt idx="2">
                  <c:v>1998-99</c:v>
                </c:pt>
                <c:pt idx="3">
                  <c:v>2003-04</c:v>
                </c:pt>
                <c:pt idx="4">
                  <c:v>2009-10</c:v>
                </c:pt>
              </c:strCache>
            </c:strRef>
          </c:cat>
          <c:val>
            <c:numRef>
              <c:f>Sheet1!$G$26:$G$31</c:f>
              <c:numCache>
                <c:formatCode>General</c:formatCode>
                <c:ptCount val="6"/>
                <c:pt idx="0">
                  <c:v>0.31630912</c:v>
                </c:pt>
                <c:pt idx="1">
                  <c:v>0.32411130999999999</c:v>
                </c:pt>
                <c:pt idx="2">
                  <c:v>0.32557244000000002</c:v>
                </c:pt>
                <c:pt idx="3">
                  <c:v>0.32384175999999998</c:v>
                </c:pt>
                <c:pt idx="4">
                  <c:v>0.34080709999999997</c:v>
                </c:pt>
              </c:numCache>
            </c:numRef>
          </c:val>
          <c:smooth val="0"/>
        </c:ser>
        <c:ser>
          <c:idx val="4"/>
          <c:order val="4"/>
          <c:tx>
            <c:strRef>
              <c:f>Sheet1!$H$25</c:f>
              <c:strCache>
                <c:ptCount val="1"/>
                <c:pt idx="0">
                  <c:v>Equivalised final income</c:v>
                </c:pt>
              </c:strCache>
            </c:strRef>
          </c:tx>
          <c:marker>
            <c:symbol val="none"/>
          </c:marker>
          <c:cat>
            <c:strRef>
              <c:f>Sheet1!$C$26:$C$31</c:f>
              <c:strCache>
                <c:ptCount val="5"/>
                <c:pt idx="0">
                  <c:v>1988-89</c:v>
                </c:pt>
                <c:pt idx="1">
                  <c:v>1993-94</c:v>
                </c:pt>
                <c:pt idx="2">
                  <c:v>1998-99</c:v>
                </c:pt>
                <c:pt idx="3">
                  <c:v>2003-04</c:v>
                </c:pt>
                <c:pt idx="4">
                  <c:v>2009-10</c:v>
                </c:pt>
              </c:strCache>
            </c:strRef>
          </c:cat>
          <c:val>
            <c:numRef>
              <c:f>Sheet1!$H$26:$H$31</c:f>
              <c:numCache>
                <c:formatCode>0.000</c:formatCode>
                <c:ptCount val="6"/>
                <c:pt idx="0">
                  <c:v>0.24769021999999999</c:v>
                </c:pt>
                <c:pt idx="1">
                  <c:v>0.25842530000000002</c:v>
                </c:pt>
                <c:pt idx="2">
                  <c:v>0.25150671000000002</c:v>
                </c:pt>
                <c:pt idx="3">
                  <c:v>0.24071311000000001</c:v>
                </c:pt>
                <c:pt idx="4">
                  <c:v>0.27025116999999999</c:v>
                </c:pt>
              </c:numCache>
            </c:numRef>
          </c:val>
          <c:smooth val="0"/>
        </c:ser>
        <c:dLbls>
          <c:showLegendKey val="0"/>
          <c:showVal val="0"/>
          <c:showCatName val="0"/>
          <c:showSerName val="0"/>
          <c:showPercent val="0"/>
          <c:showBubbleSize val="0"/>
        </c:dLbls>
        <c:marker val="1"/>
        <c:smooth val="0"/>
        <c:axId val="182406528"/>
        <c:axId val="182416512"/>
      </c:lineChart>
      <c:catAx>
        <c:axId val="182406528"/>
        <c:scaling>
          <c:orientation val="minMax"/>
        </c:scaling>
        <c:delete val="0"/>
        <c:axPos val="b"/>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182416512"/>
        <c:crosses val="autoZero"/>
        <c:auto val="1"/>
        <c:lblAlgn val="ctr"/>
        <c:lblOffset val="100"/>
        <c:noMultiLvlLbl val="0"/>
      </c:catAx>
      <c:valAx>
        <c:axId val="182416512"/>
        <c:scaling>
          <c:orientation val="minMax"/>
        </c:scaling>
        <c:delete val="0"/>
        <c:axPos val="l"/>
        <c:majorGridlines/>
        <c:numFmt formatCode="General" sourceLinked="1"/>
        <c:majorTickMark val="out"/>
        <c:minorTickMark val="none"/>
        <c:tickLblPos val="nextTo"/>
        <c:txPr>
          <a:bodyPr/>
          <a:lstStyle/>
          <a:p>
            <a:pPr>
              <a:defRPr>
                <a:latin typeface="Arial" pitchFamily="34" charset="0"/>
                <a:cs typeface="Arial" pitchFamily="34" charset="0"/>
              </a:defRPr>
            </a:pPr>
            <a:endParaRPr lang="en-US"/>
          </a:p>
        </c:txPr>
        <c:crossAx val="182406528"/>
        <c:crossesAt val="1"/>
        <c:crossBetween val="between"/>
      </c:valAx>
    </c:plotArea>
    <c:plotVisOnly val="1"/>
    <c:dispBlanksAs val="gap"/>
    <c:showDLblsOverMax val="0"/>
  </c:chart>
  <c:spPr>
    <a:ln>
      <a:noFill/>
    </a:ln>
  </c:spPr>
  <c:txPr>
    <a:bodyPr/>
    <a:lstStyle/>
    <a:p>
      <a:pPr>
        <a:defRPr sz="1000"/>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0.60168</cdr:x>
      <cdr:y>0.4487</cdr:y>
    </cdr:from>
    <cdr:to>
      <cdr:x>0.90722</cdr:x>
      <cdr:y>0.63619</cdr:y>
    </cdr:to>
    <cdr:sp macro="" textlink="">
      <cdr:nvSpPr>
        <cdr:cNvPr id="5" name="TextBox 1"/>
        <cdr:cNvSpPr txBox="1"/>
      </cdr:nvSpPr>
      <cdr:spPr>
        <a:xfrm xmlns:a="http://schemas.openxmlformats.org/drawingml/2006/main">
          <a:off x="2773810" y="1106919"/>
          <a:ext cx="1408570" cy="462557"/>
        </a:xfrm>
        <a:prstGeom xmlns:a="http://schemas.openxmlformats.org/drawingml/2006/main" prst="rect">
          <a:avLst/>
        </a:prstGeom>
        <a:solidFill xmlns:a="http://schemas.openxmlformats.org/drawingml/2006/main">
          <a:schemeClr val="bg1">
            <a:alpha val="49000"/>
          </a:schemeClr>
        </a:solidFill>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latin typeface="Arial" pitchFamily="34" charset="0"/>
              <a:cs typeface="Arial" pitchFamily="34" charset="0"/>
            </a:rPr>
            <a:t>Equivalised final household </a:t>
          </a:r>
          <a:r>
            <a:rPr lang="en-AU" sz="1000" baseline="0">
              <a:latin typeface="Arial" pitchFamily="34" charset="0"/>
              <a:cs typeface="Arial" pitchFamily="34" charset="0"/>
            </a:rPr>
            <a:t>income</a:t>
          </a:r>
          <a:endParaRPr lang="en-AU" sz="1000">
            <a:latin typeface="Arial" pitchFamily="34" charset="0"/>
            <a:cs typeface="Arial" pitchFamily="34" charset="0"/>
          </a:endParaRPr>
        </a:p>
      </cdr:txBody>
    </cdr:sp>
  </cdr:relSizeAnchor>
  <cdr:relSizeAnchor xmlns:cdr="http://schemas.openxmlformats.org/drawingml/2006/chartDrawing">
    <cdr:from>
      <cdr:x>0.23287</cdr:x>
      <cdr:y>0.13665</cdr:y>
    </cdr:from>
    <cdr:to>
      <cdr:x>0.57246</cdr:x>
      <cdr:y>0.31342</cdr:y>
    </cdr:to>
    <cdr:sp macro="" textlink="">
      <cdr:nvSpPr>
        <cdr:cNvPr id="2" name="TextBox 1"/>
        <cdr:cNvSpPr txBox="1"/>
      </cdr:nvSpPr>
      <cdr:spPr>
        <a:xfrm xmlns:a="http://schemas.openxmlformats.org/drawingml/2006/main">
          <a:off x="1073573" y="337122"/>
          <a:ext cx="1565544" cy="4360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a:latin typeface="Arial" pitchFamily="34" charset="0"/>
              <a:cs typeface="Arial" pitchFamily="34" charset="0"/>
            </a:rPr>
            <a:t>Individual</a:t>
          </a:r>
          <a:r>
            <a:rPr lang="en-AU" sz="1000" baseline="0">
              <a:latin typeface="Arial" pitchFamily="34" charset="0"/>
              <a:cs typeface="Arial" pitchFamily="34" charset="0"/>
            </a:rPr>
            <a:t> labour income</a:t>
          </a:r>
          <a:endParaRPr lang="en-AU" sz="1000">
            <a:latin typeface="Arial" pitchFamily="34" charset="0"/>
            <a:cs typeface="Arial" pitchFamily="34" charset="0"/>
          </a:endParaRPr>
        </a:p>
      </cdr:txBody>
    </cdr:sp>
  </cdr:relSizeAnchor>
  <cdr:relSizeAnchor xmlns:cdr="http://schemas.openxmlformats.org/drawingml/2006/chartDrawing">
    <cdr:from>
      <cdr:x>0.41593</cdr:x>
      <cdr:y>0.22074</cdr:y>
    </cdr:from>
    <cdr:to>
      <cdr:x>0.52204</cdr:x>
      <cdr:y>0.28356</cdr:y>
    </cdr:to>
    <cdr:cxnSp macro="">
      <cdr:nvCxnSpPr>
        <cdr:cNvPr id="4" name="Straight Connector 3"/>
        <cdr:cNvCxnSpPr/>
      </cdr:nvCxnSpPr>
      <cdr:spPr>
        <a:xfrm xmlns:a="http://schemas.openxmlformats.org/drawingml/2006/main">
          <a:off x="1917488" y="544552"/>
          <a:ext cx="489177" cy="154976"/>
        </a:xfrm>
        <a:prstGeom xmlns:a="http://schemas.openxmlformats.org/drawingml/2006/main" prst="line">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0.64184</cdr:x>
      <cdr:y>0.38734</cdr:y>
    </cdr:from>
    <cdr:to>
      <cdr:x>0.71839</cdr:x>
      <cdr:y>0.47174</cdr:y>
    </cdr:to>
    <cdr:cxnSp macro="">
      <cdr:nvCxnSpPr>
        <cdr:cNvPr id="7" name="Straight Connector 6"/>
        <cdr:cNvCxnSpPr/>
      </cdr:nvCxnSpPr>
      <cdr:spPr>
        <a:xfrm xmlns:a="http://schemas.openxmlformats.org/drawingml/2006/main" flipH="1" flipV="1">
          <a:off x="2958941" y="955548"/>
          <a:ext cx="352903" cy="208212"/>
        </a:xfrm>
        <a:prstGeom xmlns:a="http://schemas.openxmlformats.org/drawingml/2006/main" prst="line">
          <a:avLst/>
        </a:prstGeom>
        <a:ln xmlns:a="http://schemas.openxmlformats.org/drawingml/2006/main">
          <a:solidFill>
            <a:sysClr val="windowText" lastClr="000000"/>
          </a:solidFill>
          <a:headEnd type="none"/>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0.66409</cdr:x>
      <cdr:y>0.57916</cdr:y>
    </cdr:from>
    <cdr:to>
      <cdr:x>0.75594</cdr:x>
      <cdr:y>0.64526</cdr:y>
    </cdr:to>
    <cdr:sp macro="" textlink="">
      <cdr:nvSpPr>
        <cdr:cNvPr id="4" name="TextBox 3"/>
        <cdr:cNvSpPr txBox="1"/>
      </cdr:nvSpPr>
      <cdr:spPr>
        <a:xfrm xmlns:a="http://schemas.openxmlformats.org/drawingml/2006/main">
          <a:off x="3589711" y="1459476"/>
          <a:ext cx="496489" cy="166577"/>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none" rtlCol="0"/>
        <a:lstStyle xmlns:a="http://schemas.openxmlformats.org/drawingml/2006/main"/>
        <a:p xmlns:a="http://schemas.openxmlformats.org/drawingml/2006/main">
          <a:r>
            <a:rPr lang="en-AU" sz="900">
              <a:latin typeface="Arial" pitchFamily="34" charset="0"/>
              <a:cs typeface="Arial" pitchFamily="34" charset="0"/>
            </a:rPr>
            <a:t>2009-10</a:t>
          </a:r>
        </a:p>
      </cdr:txBody>
    </cdr:sp>
  </cdr:relSizeAnchor>
  <cdr:relSizeAnchor xmlns:cdr="http://schemas.openxmlformats.org/drawingml/2006/chartDrawing">
    <cdr:from>
      <cdr:x>0.6089</cdr:x>
      <cdr:y>0.62592</cdr:y>
    </cdr:from>
    <cdr:to>
      <cdr:x>0.67288</cdr:x>
      <cdr:y>0.62636</cdr:y>
    </cdr:to>
    <cdr:cxnSp macro="">
      <cdr:nvCxnSpPr>
        <cdr:cNvPr id="6" name="Straight Connector 5"/>
        <cdr:cNvCxnSpPr/>
      </cdr:nvCxnSpPr>
      <cdr:spPr>
        <a:xfrm xmlns:a="http://schemas.openxmlformats.org/drawingml/2006/main" flipH="1" flipV="1">
          <a:off x="3291368" y="1577319"/>
          <a:ext cx="345822" cy="1109"/>
        </a:xfrm>
        <a:prstGeom xmlns:a="http://schemas.openxmlformats.org/drawingml/2006/main" prst="line">
          <a:avLst/>
        </a:prstGeom>
        <a:ln xmlns:a="http://schemas.openxmlformats.org/drawingml/2006/main">
          <a:solidFill>
            <a:schemeClr val="tx1"/>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0.24008</cdr:x>
      <cdr:y>0.12033</cdr:y>
    </cdr:from>
    <cdr:to>
      <cdr:x>0.32079</cdr:x>
      <cdr:y>0.17549</cdr:y>
    </cdr:to>
    <cdr:sp macro="" textlink="">
      <cdr:nvSpPr>
        <cdr:cNvPr id="8" name="TextBox 1"/>
        <cdr:cNvSpPr txBox="1"/>
      </cdr:nvSpPr>
      <cdr:spPr>
        <a:xfrm xmlns:a="http://schemas.openxmlformats.org/drawingml/2006/main">
          <a:off x="1297667" y="303193"/>
          <a:ext cx="436248" cy="138986"/>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1988-89</a:t>
          </a:r>
        </a:p>
      </cdr:txBody>
    </cdr:sp>
  </cdr:relSizeAnchor>
  <cdr:relSizeAnchor xmlns:cdr="http://schemas.openxmlformats.org/drawingml/2006/chartDrawing">
    <cdr:from>
      <cdr:x>0.34059</cdr:x>
      <cdr:y>0.15929</cdr:y>
    </cdr:from>
    <cdr:to>
      <cdr:x>0.38099</cdr:x>
      <cdr:y>0.15983</cdr:y>
    </cdr:to>
    <cdr:cxnSp macro="">
      <cdr:nvCxnSpPr>
        <cdr:cNvPr id="9" name="Straight Connector 8"/>
        <cdr:cNvCxnSpPr/>
      </cdr:nvCxnSpPr>
      <cdr:spPr>
        <a:xfrm xmlns:a="http://schemas.openxmlformats.org/drawingml/2006/main">
          <a:off x="1841047" y="401410"/>
          <a:ext cx="218376" cy="1365"/>
        </a:xfrm>
        <a:prstGeom xmlns:a="http://schemas.openxmlformats.org/drawingml/2006/main" prst="line">
          <a:avLst/>
        </a:prstGeom>
        <a:ln xmlns:a="http://schemas.openxmlformats.org/drawingml/2006/main">
          <a:solidFill>
            <a:sysClr val="windowText" lastClr="000000"/>
          </a:solidFill>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0.48507</cdr:x>
      <cdr:y>0.43216</cdr:y>
    </cdr:from>
    <cdr:to>
      <cdr:x>0.85927</cdr:x>
      <cdr:y>0.49263</cdr:y>
    </cdr:to>
    <cdr:sp macro="" textlink="">
      <cdr:nvSpPr>
        <cdr:cNvPr id="2" name="TextBox 1"/>
        <cdr:cNvSpPr txBox="1"/>
      </cdr:nvSpPr>
      <cdr:spPr>
        <a:xfrm xmlns:a="http://schemas.openxmlformats.org/drawingml/2006/main">
          <a:off x="1222375" y="1089032"/>
          <a:ext cx="942984" cy="152385"/>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Market </a:t>
          </a:r>
          <a:r>
            <a:rPr lang="en-AU" sz="900" baseline="0">
              <a:latin typeface="Arial" pitchFamily="34" charset="0"/>
              <a:cs typeface="Arial" pitchFamily="34" charset="0"/>
            </a:rPr>
            <a:t>income</a:t>
          </a:r>
          <a:endParaRPr lang="en-AU" sz="900">
            <a:latin typeface="Arial" pitchFamily="34" charset="0"/>
            <a:cs typeface="Arial" pitchFamily="34" charset="0"/>
          </a:endParaRPr>
        </a:p>
      </cdr:txBody>
    </cdr:sp>
  </cdr:relSizeAnchor>
  <cdr:relSizeAnchor xmlns:cdr="http://schemas.openxmlformats.org/drawingml/2006/chartDrawing">
    <cdr:from>
      <cdr:x>0.51531</cdr:x>
      <cdr:y>0.69295</cdr:y>
    </cdr:from>
    <cdr:to>
      <cdr:x>0.8895</cdr:x>
      <cdr:y>0.75343</cdr:y>
    </cdr:to>
    <cdr:sp macro="" textlink="">
      <cdr:nvSpPr>
        <cdr:cNvPr id="3" name="TextBox 1"/>
        <cdr:cNvSpPr txBox="1"/>
      </cdr:nvSpPr>
      <cdr:spPr>
        <a:xfrm xmlns:a="http://schemas.openxmlformats.org/drawingml/2006/main">
          <a:off x="1298581" y="1746245"/>
          <a:ext cx="942958" cy="152409"/>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Labour income</a:t>
          </a:r>
        </a:p>
      </cdr:txBody>
    </cdr:sp>
  </cdr:relSizeAnchor>
  <cdr:relSizeAnchor xmlns:cdr="http://schemas.openxmlformats.org/drawingml/2006/chartDrawing">
    <cdr:from>
      <cdr:x>0.26206</cdr:x>
      <cdr:y>0.08442</cdr:y>
    </cdr:from>
    <cdr:to>
      <cdr:x>0.70304</cdr:x>
      <cdr:y>0.15497</cdr:y>
    </cdr:to>
    <cdr:sp macro="" textlink="">
      <cdr:nvSpPr>
        <cdr:cNvPr id="4" name="TextBox 1"/>
        <cdr:cNvSpPr txBox="1"/>
      </cdr:nvSpPr>
      <cdr:spPr>
        <a:xfrm xmlns:a="http://schemas.openxmlformats.org/drawingml/2006/main">
          <a:off x="660394" y="212737"/>
          <a:ext cx="1111255" cy="177788"/>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Capital</a:t>
          </a:r>
          <a:r>
            <a:rPr lang="en-AU" sz="900" baseline="0">
              <a:latin typeface="Arial" pitchFamily="34" charset="0"/>
              <a:cs typeface="Arial" pitchFamily="34" charset="0"/>
            </a:rPr>
            <a:t> &amp; other</a:t>
          </a:r>
          <a:r>
            <a:rPr lang="en-AU" sz="900">
              <a:latin typeface="Arial" pitchFamily="34" charset="0"/>
              <a:cs typeface="Arial" pitchFamily="34" charset="0"/>
            </a:rPr>
            <a:t> income</a:t>
          </a:r>
        </a:p>
      </cdr:txBody>
    </cdr:sp>
  </cdr:relSizeAnchor>
  <cdr:relSizeAnchor xmlns:cdr="http://schemas.openxmlformats.org/drawingml/2006/chartDrawing">
    <cdr:from>
      <cdr:x>0.54909</cdr:x>
      <cdr:y>0.1641</cdr:y>
    </cdr:from>
    <cdr:to>
      <cdr:x>0.64691</cdr:x>
      <cdr:y>0.23668</cdr:y>
    </cdr:to>
    <cdr:cxnSp macro="">
      <cdr:nvCxnSpPr>
        <cdr:cNvPr id="6" name="Straight Connector 5"/>
        <cdr:cNvCxnSpPr/>
      </cdr:nvCxnSpPr>
      <cdr:spPr>
        <a:xfrm xmlns:a="http://schemas.openxmlformats.org/drawingml/2006/main">
          <a:off x="1383527" y="413468"/>
          <a:ext cx="246491" cy="18288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0.65639</cdr:x>
      <cdr:y>0.50525</cdr:y>
    </cdr:from>
    <cdr:to>
      <cdr:x>0.69425</cdr:x>
      <cdr:y>0.5838</cdr:y>
    </cdr:to>
    <cdr:cxnSp macro="">
      <cdr:nvCxnSpPr>
        <cdr:cNvPr id="7" name="Straight Connector 6"/>
        <cdr:cNvCxnSpPr/>
      </cdr:nvCxnSpPr>
      <cdr:spPr>
        <a:xfrm xmlns:a="http://schemas.openxmlformats.org/drawingml/2006/main">
          <a:off x="1653897" y="1273075"/>
          <a:ext cx="95391" cy="197916"/>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0.67722</cdr:x>
      <cdr:y>0.64946</cdr:y>
    </cdr:from>
    <cdr:to>
      <cdr:x>0.7062</cdr:x>
      <cdr:y>0.70868</cdr:y>
    </cdr:to>
    <cdr:cxnSp macro="">
      <cdr:nvCxnSpPr>
        <cdr:cNvPr id="8" name="Straight Connector 7"/>
        <cdr:cNvCxnSpPr/>
      </cdr:nvCxnSpPr>
      <cdr:spPr>
        <a:xfrm xmlns:a="http://schemas.openxmlformats.org/drawingml/2006/main">
          <a:off x="1706367" y="1636439"/>
          <a:ext cx="73020" cy="149215"/>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4.xml><?xml version="1.0" encoding="utf-8"?>
<c:userShapes xmlns:c="http://schemas.openxmlformats.org/drawingml/2006/chart">
  <cdr:relSizeAnchor xmlns:cdr="http://schemas.openxmlformats.org/drawingml/2006/chartDrawing">
    <cdr:from>
      <cdr:x>0.44149</cdr:x>
      <cdr:y>0.33984</cdr:y>
    </cdr:from>
    <cdr:to>
      <cdr:x>0.6889</cdr:x>
      <cdr:y>0.43042</cdr:y>
    </cdr:to>
    <cdr:sp macro="" textlink="">
      <cdr:nvSpPr>
        <cdr:cNvPr id="4" name="TextBox 14"/>
        <cdr:cNvSpPr txBox="1"/>
      </cdr:nvSpPr>
      <cdr:spPr>
        <a:xfrm xmlns:a="http://schemas.openxmlformats.org/drawingml/2006/main">
          <a:off x="1177447" y="856404"/>
          <a:ext cx="659842" cy="228262"/>
        </a:xfrm>
        <a:prstGeom xmlns:a="http://schemas.openxmlformats.org/drawingml/2006/main" prst="rect">
          <a:avLst/>
        </a:prstGeom>
        <a:solidFill xmlns:a="http://schemas.openxmlformats.org/drawingml/2006/main">
          <a:schemeClr val="bg1"/>
        </a:solidFill>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1988-89</a:t>
          </a:r>
        </a:p>
      </cdr:txBody>
    </cdr:sp>
  </cdr:relSizeAnchor>
  <cdr:relSizeAnchor xmlns:cdr="http://schemas.openxmlformats.org/drawingml/2006/chartDrawing">
    <cdr:from>
      <cdr:x>0.6847</cdr:x>
      <cdr:y>0.61144</cdr:y>
    </cdr:from>
    <cdr:to>
      <cdr:x>0.94662</cdr:x>
      <cdr:y>0.70209</cdr:y>
    </cdr:to>
    <cdr:sp macro="" textlink="">
      <cdr:nvSpPr>
        <cdr:cNvPr id="5" name="TextBox 13"/>
        <cdr:cNvSpPr txBox="1"/>
      </cdr:nvSpPr>
      <cdr:spPr>
        <a:xfrm xmlns:a="http://schemas.openxmlformats.org/drawingml/2006/main">
          <a:off x="1826095" y="1540829"/>
          <a:ext cx="698541" cy="228438"/>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AU" sz="900">
              <a:latin typeface="Arial" pitchFamily="34" charset="0"/>
              <a:cs typeface="Arial" pitchFamily="34" charset="0"/>
            </a:rPr>
            <a:t>2009-10</a:t>
          </a:r>
        </a:p>
      </cdr:txBody>
    </cdr:sp>
  </cdr:relSizeAnchor>
  <cdr:relSizeAnchor xmlns:cdr="http://schemas.openxmlformats.org/drawingml/2006/chartDrawing">
    <cdr:from>
      <cdr:x>0.58661</cdr:x>
      <cdr:y>0.66146</cdr:y>
    </cdr:from>
    <cdr:to>
      <cdr:x>0.70714</cdr:x>
      <cdr:y>0.66146</cdr:y>
    </cdr:to>
    <cdr:cxnSp macro="">
      <cdr:nvCxnSpPr>
        <cdr:cNvPr id="7" name="Straight Connector 6"/>
        <cdr:cNvCxnSpPr/>
      </cdr:nvCxnSpPr>
      <cdr:spPr>
        <a:xfrm xmlns:a="http://schemas.openxmlformats.org/drawingml/2006/main" flipH="1">
          <a:off x="1564483" y="1666875"/>
          <a:ext cx="321468" cy="1"/>
        </a:xfrm>
        <a:prstGeom xmlns:a="http://schemas.openxmlformats.org/drawingml/2006/main" prst="line">
          <a:avLst/>
        </a:prstGeom>
        <a:ln xmlns:a="http://schemas.openxmlformats.org/drawingml/2006/main">
          <a:solidFill>
            <a:sysClr val="windowText" lastClr="0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0.37172</cdr:x>
      <cdr:y>0.38506</cdr:y>
    </cdr:from>
    <cdr:to>
      <cdr:x>0.47277</cdr:x>
      <cdr:y>0.38554</cdr:y>
    </cdr:to>
    <cdr:cxnSp macro="">
      <cdr:nvCxnSpPr>
        <cdr:cNvPr id="8" name="Straight Connector 7"/>
        <cdr:cNvCxnSpPr/>
      </cdr:nvCxnSpPr>
      <cdr:spPr>
        <a:xfrm xmlns:a="http://schemas.openxmlformats.org/drawingml/2006/main" flipH="1">
          <a:off x="991367" y="970359"/>
          <a:ext cx="269506" cy="1199"/>
        </a:xfrm>
        <a:prstGeom xmlns:a="http://schemas.openxmlformats.org/drawingml/2006/main" prst="line">
          <a:avLst/>
        </a:prstGeom>
        <a:ln xmlns:a="http://schemas.openxmlformats.org/drawingml/2006/main">
          <a:solidFill>
            <a:sysClr val="windowText" lastClr="0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5.xml><?xml version="1.0" encoding="utf-8"?>
<c:userShapes xmlns:c="http://schemas.openxmlformats.org/drawingml/2006/chart">
  <cdr:relSizeAnchor xmlns:cdr="http://schemas.openxmlformats.org/drawingml/2006/chartDrawing">
    <cdr:from>
      <cdr:x>0.65145</cdr:x>
      <cdr:y>0.0848</cdr:y>
    </cdr:from>
    <cdr:to>
      <cdr:x>0.88604</cdr:x>
      <cdr:y>0.17552</cdr:y>
    </cdr:to>
    <cdr:sp macro="" textlink="">
      <cdr:nvSpPr>
        <cdr:cNvPr id="2" name="TextBox 1"/>
        <cdr:cNvSpPr txBox="1"/>
      </cdr:nvSpPr>
      <cdr:spPr>
        <a:xfrm xmlns:a="http://schemas.openxmlformats.org/drawingml/2006/main">
          <a:off x="3617526" y="201132"/>
          <a:ext cx="1302695" cy="215163"/>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none" lIns="36000" rtlCol="0"/>
        <a:lstStyle xmlns:a="http://schemas.openxmlformats.org/drawingml/2006/main"/>
        <a:p xmlns:a="http://schemas.openxmlformats.org/drawingml/2006/main">
          <a:r>
            <a:rPr lang="en-AU" sz="900">
              <a:latin typeface="Arial" pitchFamily="34" charset="0"/>
              <a:cs typeface="Arial" pitchFamily="34" charset="0"/>
            </a:rPr>
            <a:t>Market income</a:t>
          </a:r>
        </a:p>
      </cdr:txBody>
    </cdr:sp>
  </cdr:relSizeAnchor>
  <cdr:relSizeAnchor xmlns:cdr="http://schemas.openxmlformats.org/drawingml/2006/chartDrawing">
    <cdr:from>
      <cdr:x>0.65027</cdr:x>
      <cdr:y>0.17363</cdr:y>
    </cdr:from>
    <cdr:to>
      <cdr:x>0.94072</cdr:x>
      <cdr:y>0.26812</cdr:y>
    </cdr:to>
    <cdr:sp macro="" textlink="">
      <cdr:nvSpPr>
        <cdr:cNvPr id="3" name="TextBox 1"/>
        <cdr:cNvSpPr txBox="1"/>
      </cdr:nvSpPr>
      <cdr:spPr>
        <a:xfrm xmlns:a="http://schemas.openxmlformats.org/drawingml/2006/main">
          <a:off x="3610973" y="411812"/>
          <a:ext cx="1612890" cy="224104"/>
        </a:xfrm>
        <a:prstGeom xmlns:a="http://schemas.openxmlformats.org/drawingml/2006/main" prst="rect">
          <a:avLst/>
        </a:prstGeom>
        <a:solidFill xmlns:a="http://schemas.openxmlformats.org/drawingml/2006/main">
          <a:schemeClr val="bg1"/>
        </a:solidFill>
      </cdr:spPr>
      <cdr:txBody>
        <a:bodyPr xmlns:a="http://schemas.openxmlformats.org/drawingml/2006/main" wrap="none" lIns="3600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Gross</a:t>
          </a:r>
          <a:r>
            <a:rPr lang="en-AU" sz="900" baseline="0">
              <a:latin typeface="Arial" pitchFamily="34" charset="0"/>
              <a:cs typeface="Arial" pitchFamily="34" charset="0"/>
            </a:rPr>
            <a:t> i</a:t>
          </a:r>
          <a:r>
            <a:rPr lang="en-AU" sz="900">
              <a:latin typeface="Arial" pitchFamily="34" charset="0"/>
              <a:cs typeface="Arial" pitchFamily="34" charset="0"/>
            </a:rPr>
            <a:t>ncome (includes transfers)</a:t>
          </a:r>
        </a:p>
      </cdr:txBody>
    </cdr:sp>
  </cdr:relSizeAnchor>
  <cdr:relSizeAnchor xmlns:cdr="http://schemas.openxmlformats.org/drawingml/2006/chartDrawing">
    <cdr:from>
      <cdr:x>0.65015</cdr:x>
      <cdr:y>0.25993</cdr:y>
    </cdr:from>
    <cdr:to>
      <cdr:x>0.93808</cdr:x>
      <cdr:y>0.40041</cdr:y>
    </cdr:to>
    <cdr:sp macro="" textlink="">
      <cdr:nvSpPr>
        <cdr:cNvPr id="4" name="TextBox 1"/>
        <cdr:cNvSpPr txBox="1"/>
      </cdr:nvSpPr>
      <cdr:spPr>
        <a:xfrm xmlns:a="http://schemas.openxmlformats.org/drawingml/2006/main">
          <a:off x="3610307" y="616492"/>
          <a:ext cx="1598896" cy="333180"/>
        </a:xfrm>
        <a:prstGeom xmlns:a="http://schemas.openxmlformats.org/drawingml/2006/main" prst="rect">
          <a:avLst/>
        </a:prstGeom>
        <a:solidFill xmlns:a="http://schemas.openxmlformats.org/drawingml/2006/main">
          <a:schemeClr val="bg1"/>
        </a:solidFill>
      </cdr:spPr>
      <cdr:txBody>
        <a:bodyPr xmlns:a="http://schemas.openxmlformats.org/drawingml/2006/main" wrap="none" lIns="3600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baseline="0">
              <a:latin typeface="Arial" pitchFamily="34" charset="0"/>
              <a:cs typeface="Arial" pitchFamily="34" charset="0"/>
            </a:rPr>
            <a:t>Disposable i</a:t>
          </a:r>
          <a:r>
            <a:rPr lang="en-AU" sz="900">
              <a:latin typeface="Arial" pitchFamily="34" charset="0"/>
              <a:cs typeface="Arial" pitchFamily="34" charset="0"/>
            </a:rPr>
            <a:t>ncome (Includes </a:t>
          </a:r>
          <a:r>
            <a:rPr lang="en-AU" sz="900" baseline="0">
              <a:latin typeface="Arial" pitchFamily="34" charset="0"/>
              <a:cs typeface="Arial" pitchFamily="34" charset="0"/>
            </a:rPr>
            <a:t> direct </a:t>
          </a:r>
        </a:p>
        <a:p xmlns:a="http://schemas.openxmlformats.org/drawingml/2006/main">
          <a:r>
            <a:rPr lang="en-AU" sz="900">
              <a:latin typeface="Arial" pitchFamily="34" charset="0"/>
              <a:cs typeface="Arial" pitchFamily="34" charset="0"/>
            </a:rPr>
            <a:t>transfers and tax)</a:t>
          </a:r>
        </a:p>
      </cdr:txBody>
    </cdr:sp>
  </cdr:relSizeAnchor>
  <cdr:relSizeAnchor xmlns:cdr="http://schemas.openxmlformats.org/drawingml/2006/chartDrawing">
    <cdr:from>
      <cdr:x>0.64926</cdr:x>
      <cdr:y>0.38656</cdr:y>
    </cdr:from>
    <cdr:to>
      <cdr:x>0.92397</cdr:x>
      <cdr:y>0.54216</cdr:y>
    </cdr:to>
    <cdr:sp macro="" textlink="">
      <cdr:nvSpPr>
        <cdr:cNvPr id="5" name="TextBox 1"/>
        <cdr:cNvSpPr txBox="1"/>
      </cdr:nvSpPr>
      <cdr:spPr>
        <a:xfrm xmlns:a="http://schemas.openxmlformats.org/drawingml/2006/main">
          <a:off x="3605364" y="916823"/>
          <a:ext cx="1525486" cy="369041"/>
        </a:xfrm>
        <a:prstGeom xmlns:a="http://schemas.openxmlformats.org/drawingml/2006/main" prst="rect">
          <a:avLst/>
        </a:prstGeom>
        <a:solidFill xmlns:a="http://schemas.openxmlformats.org/drawingml/2006/main">
          <a:schemeClr val="bg1"/>
        </a:solidFill>
      </cdr:spPr>
      <cdr:txBody>
        <a:bodyPr xmlns:a="http://schemas.openxmlformats.org/drawingml/2006/main" wrap="none" lIns="3600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baseline="0">
              <a:latin typeface="Arial" pitchFamily="34" charset="0"/>
              <a:cs typeface="Arial" pitchFamily="34" charset="0"/>
            </a:rPr>
            <a:t>Final i</a:t>
          </a:r>
          <a:r>
            <a:rPr lang="en-AU" sz="900">
              <a:latin typeface="Arial" pitchFamily="34" charset="0"/>
              <a:cs typeface="Arial" pitchFamily="34" charset="0"/>
            </a:rPr>
            <a:t>ncome (includes  direct</a:t>
          </a:r>
          <a:r>
            <a:rPr lang="en-AU" sz="900" baseline="0">
              <a:latin typeface="Arial" pitchFamily="34" charset="0"/>
              <a:cs typeface="Arial" pitchFamily="34" charset="0"/>
            </a:rPr>
            <a:t> and</a:t>
          </a:r>
        </a:p>
        <a:p xmlns:a="http://schemas.openxmlformats.org/drawingml/2006/main">
          <a:r>
            <a:rPr lang="en-AU" sz="900" baseline="0">
              <a:latin typeface="Arial" pitchFamily="34" charset="0"/>
              <a:cs typeface="Arial" pitchFamily="34" charset="0"/>
            </a:rPr>
            <a:t>indirect transfers and taxes)</a:t>
          </a:r>
          <a:r>
            <a:rPr lang="en-AU" sz="900">
              <a:latin typeface="Arial" pitchFamily="34" charset="0"/>
              <a:cs typeface="Arial" pitchFamily="34" charset="0"/>
            </a:rPr>
            <a:t> </a:t>
          </a:r>
        </a:p>
      </cdr:txBody>
    </cdr:sp>
  </cdr:relSizeAnchor>
  <cdr:relSizeAnchor xmlns:cdr="http://schemas.openxmlformats.org/drawingml/2006/chartDrawing">
    <cdr:from>
      <cdr:x>0.65014</cdr:x>
      <cdr:y>0.52263</cdr:y>
    </cdr:from>
    <cdr:to>
      <cdr:x>0.94337</cdr:x>
      <cdr:y>0.6461</cdr:y>
    </cdr:to>
    <cdr:sp macro="" textlink="">
      <cdr:nvSpPr>
        <cdr:cNvPr id="6" name="TextBox 1"/>
        <cdr:cNvSpPr txBox="1"/>
      </cdr:nvSpPr>
      <cdr:spPr>
        <a:xfrm xmlns:a="http://schemas.openxmlformats.org/drawingml/2006/main">
          <a:off x="3610251" y="1239544"/>
          <a:ext cx="1628328" cy="292837"/>
        </a:xfrm>
        <a:prstGeom xmlns:a="http://schemas.openxmlformats.org/drawingml/2006/main" prst="rect">
          <a:avLst/>
        </a:prstGeom>
        <a:solidFill xmlns:a="http://schemas.openxmlformats.org/drawingml/2006/main">
          <a:schemeClr val="bg1"/>
        </a:solidFill>
      </cdr:spPr>
      <cdr:txBody>
        <a:bodyPr xmlns:a="http://schemas.openxmlformats.org/drawingml/2006/main" wrap="none" lIns="3600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baseline="0">
              <a:latin typeface="Arial" pitchFamily="34" charset="0"/>
              <a:cs typeface="Arial" pitchFamily="34" charset="0"/>
            </a:rPr>
            <a:t>Equivalised final i</a:t>
          </a:r>
          <a:r>
            <a:rPr lang="en-AU" sz="900">
              <a:latin typeface="Arial" pitchFamily="34" charset="0"/>
              <a:cs typeface="Arial" pitchFamily="34" charset="0"/>
            </a:rPr>
            <a:t>ncome (final </a:t>
          </a:r>
        </a:p>
        <a:p xmlns:a="http://schemas.openxmlformats.org/drawingml/2006/main">
          <a:r>
            <a:rPr lang="en-AU" sz="900">
              <a:latin typeface="Arial" pitchFamily="34" charset="0"/>
              <a:cs typeface="Arial" pitchFamily="34" charset="0"/>
            </a:rPr>
            <a:t>income adjusted</a:t>
          </a:r>
          <a:r>
            <a:rPr lang="en-AU" sz="900" baseline="0">
              <a:latin typeface="Arial" pitchFamily="34" charset="0"/>
              <a:cs typeface="Arial" pitchFamily="34" charset="0"/>
            </a:rPr>
            <a:t> for household size)</a:t>
          </a:r>
          <a:endParaRPr lang="en-AU" sz="900">
            <a:latin typeface="Arial" pitchFamily="34" charset="0"/>
            <a:cs typeface="Arial" pitchFamily="34" charset="0"/>
          </a:endParaRPr>
        </a:p>
      </cdr:txBody>
    </cdr:sp>
  </cdr:relSizeAnchor>
  <cdr:relSizeAnchor xmlns:cdr="http://schemas.openxmlformats.org/drawingml/2006/chartDrawing">
    <cdr:from>
      <cdr:x>0.61705</cdr:x>
      <cdr:y>0.11882</cdr:y>
    </cdr:from>
    <cdr:to>
      <cdr:x>0.6488</cdr:x>
      <cdr:y>0.15284</cdr:y>
    </cdr:to>
    <cdr:cxnSp macro="">
      <cdr:nvCxnSpPr>
        <cdr:cNvPr id="8" name="Straight Connector 7"/>
        <cdr:cNvCxnSpPr/>
      </cdr:nvCxnSpPr>
      <cdr:spPr>
        <a:xfrm xmlns:a="http://schemas.openxmlformats.org/drawingml/2006/main" flipH="1">
          <a:off x="3426500" y="281818"/>
          <a:ext cx="176310" cy="80686"/>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0.61705</cdr:x>
      <cdr:y>0.23789</cdr:y>
    </cdr:from>
    <cdr:to>
      <cdr:x>0.64792</cdr:x>
      <cdr:y>0.27001</cdr:y>
    </cdr:to>
    <cdr:cxnSp macro="">
      <cdr:nvCxnSpPr>
        <cdr:cNvPr id="9" name="Straight Connector 8"/>
        <cdr:cNvCxnSpPr/>
      </cdr:nvCxnSpPr>
      <cdr:spPr>
        <a:xfrm xmlns:a="http://schemas.openxmlformats.org/drawingml/2006/main" flipH="1">
          <a:off x="3426500" y="564219"/>
          <a:ext cx="171423" cy="7618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0.61881</cdr:x>
      <cdr:y>0.33238</cdr:y>
    </cdr:from>
    <cdr:to>
      <cdr:x>0.6488</cdr:x>
      <cdr:y>0.34183</cdr:y>
    </cdr:to>
    <cdr:cxnSp macro="">
      <cdr:nvCxnSpPr>
        <cdr:cNvPr id="10" name="Straight Connector 9"/>
        <cdr:cNvCxnSpPr/>
      </cdr:nvCxnSpPr>
      <cdr:spPr>
        <a:xfrm xmlns:a="http://schemas.openxmlformats.org/drawingml/2006/main" flipH="1">
          <a:off x="3436273" y="788323"/>
          <a:ext cx="166537" cy="22413"/>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0.66234</cdr:x>
      <cdr:y>0.18332</cdr:y>
    </cdr:from>
    <cdr:to>
      <cdr:x>0.69674</cdr:x>
      <cdr:y>0.21356</cdr:y>
    </cdr:to>
    <cdr:sp macro="" textlink="">
      <cdr:nvSpPr>
        <cdr:cNvPr id="24" name="TextBox 23"/>
        <cdr:cNvSpPr txBox="1"/>
      </cdr:nvSpPr>
      <cdr:spPr>
        <a:xfrm xmlns:a="http://schemas.openxmlformats.org/drawingml/2006/main">
          <a:off x="3576638" y="461963"/>
          <a:ext cx="185737" cy="762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100"/>
        </a:p>
      </cdr:txBody>
    </cdr:sp>
  </cdr:relSizeAnchor>
  <cdr:relSizeAnchor xmlns:cdr="http://schemas.openxmlformats.org/drawingml/2006/chartDrawing">
    <cdr:from>
      <cdr:x>0.62058</cdr:x>
      <cdr:y>0.41742</cdr:y>
    </cdr:from>
    <cdr:to>
      <cdr:x>0.64762</cdr:x>
      <cdr:y>0.44892</cdr:y>
    </cdr:to>
    <cdr:cxnSp macro="">
      <cdr:nvCxnSpPr>
        <cdr:cNvPr id="29" name="Straight Connector 28"/>
        <cdr:cNvCxnSpPr/>
      </cdr:nvCxnSpPr>
      <cdr:spPr>
        <a:xfrm xmlns:a="http://schemas.openxmlformats.org/drawingml/2006/main" flipH="1" flipV="1">
          <a:off x="3446103" y="990015"/>
          <a:ext cx="150154" cy="74709"/>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0.61705</cdr:x>
      <cdr:y>0.52326</cdr:y>
    </cdr:from>
    <cdr:to>
      <cdr:x>0.64762</cdr:x>
      <cdr:y>0.58499</cdr:y>
    </cdr:to>
    <cdr:cxnSp macro="">
      <cdr:nvCxnSpPr>
        <cdr:cNvPr id="31" name="Straight Connector 30"/>
        <cdr:cNvCxnSpPr/>
      </cdr:nvCxnSpPr>
      <cdr:spPr>
        <a:xfrm xmlns:a="http://schemas.openxmlformats.org/drawingml/2006/main" flipH="1" flipV="1">
          <a:off x="3426500" y="1241038"/>
          <a:ext cx="169757" cy="146407"/>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19712-7C42-43E0-86FE-3BE34DBD6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14</Pages>
  <Words>3727</Words>
  <Characters>21247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Overview</vt:lpstr>
    </vt:vector>
  </TitlesOfParts>
  <Company>Productivity Commission</Company>
  <LinksUpToDate>false</LinksUpToDate>
  <CharactersWithSpaces>24925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The distribution of income in Australia</dc:subject>
  <dc:creator>Productivity Commission</dc:creator>
  <dc:description>1.</dc:description>
  <cp:lastModifiedBy>Louise Jordan</cp:lastModifiedBy>
  <cp:revision>4</cp:revision>
  <cp:lastPrinted>2013-03-20T22:11:00Z</cp:lastPrinted>
  <dcterms:created xsi:type="dcterms:W3CDTF">2013-03-20T21:47:00Z</dcterms:created>
  <dcterms:modified xsi:type="dcterms:W3CDTF">2013-03-20T22:33:00Z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-314073726</vt:i4>
  </property>
  <property fmtid="{D5CDD505-2E9C-101B-9397-08002B2CF9AE}" pid="3" name="_NewReviewCycle">
    <vt:lpwstr/>
  </property>
  <property fmtid="{D5CDD505-2E9C-101B-9397-08002B2CF9AE}" pid="4" name="_EmailSubject">
    <vt:lpwstr>web files - income distribution - SWP</vt:lpwstr>
  </property>
  <property fmtid="{D5CDD505-2E9C-101B-9397-08002B2CF9AE}" pid="5" name="_AuthorEmail">
    <vt:lpwstr>maps@pc.gov.au</vt:lpwstr>
  </property>
  <property fmtid="{D5CDD505-2E9C-101B-9397-08002B2CF9AE}" pid="6" name="_AuthorEmailDisplayName">
    <vt:lpwstr>MAPS</vt:lpwstr>
  </property>
</Properties>
</file>