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rawings/drawing2.xml" ContentType="application/vnd.openxmlformats-officedocument.drawingml.chartshapes+xml"/>
  <Override PartName="/word/drawings/drawing7.xml" ContentType="application/vnd.openxmlformats-officedocument.drawingml.chartshapes+xml"/>
  <Override PartName="/word/drawings/drawing6.xml" ContentType="application/vnd.openxmlformats-officedocument.drawingml.chartshapes+xml"/>
  <Override PartName="/word/drawings/drawing8.xml" ContentType="application/vnd.openxmlformats-officedocument.drawingml.chartshapes+xml"/>
  <Override PartName="/word/drawings/drawing4.xml" ContentType="application/vnd.openxmlformats-officedocument.drawingml.chartshapes+xml"/>
  <Override PartName="/word/drawings/drawing5.xml" ContentType="application/vnd.openxmlformats-officedocument.drawingml.chartshapes+xml"/>
  <Override PartName="/word/drawings/drawing10.xml" ContentType="application/vnd.openxmlformats-officedocument.drawingml.chartshapes+xml"/>
  <Override PartName="/word/drawings/drawing3.xml" ContentType="application/vnd.openxmlformats-officedocument.drawingml.chartshapes+xml"/>
  <Override PartName="/word/drawings/drawing13.xml" ContentType="application/vnd.openxmlformats-officedocument.drawingml.chartshapes+xml"/>
  <Override PartName="/word/drawings/drawing12.xml" ContentType="application/vnd.openxmlformats-officedocument.drawingml.chartshapes+xml"/>
  <Override PartName="/word/drawings/drawing11.xml" ContentType="application/vnd.openxmlformats-officedocument.drawingml.chartshapes+xml"/>
  <Override PartName="/word/drawings/drawing9.xml" ContentType="application/vnd.openxmlformats-officedocument.drawingml.chartshapes+xml"/>
  <Override PartName="/word/document.xml" ContentType="application/vnd.openxmlformats-officedocument.wordprocessingml.document.main+xml"/>
  <Override PartName="/word/drawings/drawing1.xml" ContentType="application/vnd.openxmlformats-officedocument.drawingml.chartshap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charts/chart38.xml" ContentType="application/vnd.openxmlformats-officedocument.drawingml.chart+xml"/>
  <Override PartName="/word/theme/theme1.xml" ContentType="application/vnd.openxmlformats-officedocument.theme+xml"/>
  <Override PartName="/word/charts/chart39.xml" ContentType="application/vnd.openxmlformats-officedocument.drawingml.chart+xml"/>
  <Override PartName="/word/charts/chart4.xml" ContentType="application/vnd.openxmlformats-officedocument.drawingml.chart+xml"/>
  <Override PartName="/word/charts/chart11.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18.xml" ContentType="application/vnd.openxmlformats-officedocument.drawingml.chart+xml"/>
  <Override PartName="/word/charts/chart17.xml" ContentType="application/vnd.openxmlformats-officedocument.drawingml.chart+xml"/>
  <Override PartName="/word/theme/themeOverride4.xml" ContentType="application/vnd.openxmlformats-officedocument.themeOverride+xml"/>
  <Override PartName="/word/charts/chart12.xml" ContentType="application/vnd.openxmlformats-officedocument.drawingml.chart+xml"/>
  <Override PartName="/word/charts/chart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xml" ContentType="application/vnd.openxmlformats-officedocument.drawingml.chart+xml"/>
  <Override PartName="/word/charts/chart1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6.xml" ContentType="application/vnd.openxmlformats-officedocument.drawingml.chart+xml"/>
  <Override PartName="/word/theme/themeOverride3.xml" ContentType="application/vnd.openxmlformats-officedocument.themeOverride+xml"/>
  <Override PartName="/word/charts/chart34.xml" ContentType="application/vnd.openxmlformats-officedocument.drawingml.chart+xml"/>
  <Override PartName="/word/charts/chart5.xml" ContentType="application/vnd.openxmlformats-officedocument.drawingml.chart+xml"/>
  <Override PartName="/word/charts/chart35.xml" ContentType="application/vnd.openxmlformats-officedocument.drawingml.chart+xml"/>
  <Override PartName="/word/theme/themeOverride2.xml" ContentType="application/vnd.openxmlformats-officedocument.themeOverride+xml"/>
  <Override PartName="/word/charts/chart36.xml" ContentType="application/vnd.openxmlformats-officedocument.drawingml.chart+xml"/>
  <Override PartName="/word/charts/chart37.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3.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theme/themeOverride1.xml" ContentType="application/vnd.openxmlformats-officedocument.themeOverride+xml"/>
  <Override PartName="/word/charts/chart10.xml" ContentType="application/vnd.openxmlformats-officedocument.drawingml.chart+xml"/>
  <Override PartName="/word/charts/chart9.xml" ContentType="application/vnd.openxmlformats-officedocument.drawingml.chart+xml"/>
  <Override PartName="/word/charts/chart33.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57B0A" w:rsidP="00A57B0A">
      <w:pPr>
        <w:pStyle w:val="Heading1"/>
        <w:spacing w:before="0" w:after="1040"/>
      </w:pPr>
      <w:bookmarkStart w:id="0" w:name="ChapterNumber"/>
      <w:r>
        <w:t>2</w:t>
      </w:r>
      <w:bookmarkEnd w:id="0"/>
      <w:r>
        <w:tab/>
      </w:r>
      <w:bookmarkStart w:id="1" w:name="ChapterTitle"/>
      <w:r>
        <w:t>Individual income</w:t>
      </w:r>
      <w:bookmarkEnd w:id="1"/>
    </w:p>
    <w:p w:rsidR="00BA4405" w:rsidRDefault="00BA4405" w:rsidP="003F5059">
      <w:pPr>
        <w:pStyle w:val="BoxSpace"/>
        <w:spacing w:before="120"/>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A4405">
        <w:tc>
          <w:tcPr>
            <w:tcW w:w="8771" w:type="dxa"/>
            <w:tcBorders>
              <w:top w:val="single" w:sz="6" w:space="0" w:color="auto"/>
              <w:bottom w:val="nil"/>
            </w:tcBorders>
          </w:tcPr>
          <w:p w:rsidR="00BA4405" w:rsidRDefault="00BA4405">
            <w:pPr>
              <w:pStyle w:val="BoxTitle"/>
            </w:pPr>
            <w:r>
              <w:t>Key points</w:t>
            </w:r>
          </w:p>
        </w:tc>
      </w:tr>
      <w:tr w:rsidR="00BA4405">
        <w:trPr>
          <w:cantSplit/>
        </w:trPr>
        <w:tc>
          <w:tcPr>
            <w:tcW w:w="8771" w:type="dxa"/>
            <w:tcBorders>
              <w:top w:val="nil"/>
              <w:left w:val="single" w:sz="6" w:space="0" w:color="auto"/>
              <w:bottom w:val="nil"/>
              <w:right w:val="single" w:sz="6" w:space="0" w:color="auto"/>
            </w:tcBorders>
          </w:tcPr>
          <w:p w:rsidR="009D055D" w:rsidRDefault="001E593E" w:rsidP="001E593E">
            <w:pPr>
              <w:pStyle w:val="BoxListBullet"/>
            </w:pPr>
            <w:r>
              <w:t>A</w:t>
            </w:r>
            <w:r w:rsidR="00223582">
              <w:t xml:space="preserve">verage real labour incomes </w:t>
            </w:r>
            <w:r w:rsidR="009D055D">
              <w:t>have</w:t>
            </w:r>
            <w:r>
              <w:t xml:space="preserve"> grown substantially — from around $800 per week in 1988-89, </w:t>
            </w:r>
            <w:r w:rsidR="009D055D">
              <w:t xml:space="preserve">to around $1100 </w:t>
            </w:r>
            <w:r w:rsidR="00233F46">
              <w:t>per week in 2009</w:t>
            </w:r>
            <w:r w:rsidR="00A6723C">
              <w:t>-10</w:t>
            </w:r>
            <w:r w:rsidR="00AF7B3E">
              <w:t xml:space="preserve"> in 2011-12 dollar terms</w:t>
            </w:r>
            <w:r w:rsidR="00233F46">
              <w:t xml:space="preserve"> </w:t>
            </w:r>
            <w:r>
              <w:t xml:space="preserve">(a </w:t>
            </w:r>
            <w:r w:rsidR="003E0A4C">
              <w:t>38 </w:t>
            </w:r>
            <w:r w:rsidR="009D055D">
              <w:t>per cent</w:t>
            </w:r>
            <w:r>
              <w:t xml:space="preserve"> increase</w:t>
            </w:r>
            <w:r w:rsidR="009D055D">
              <w:t>)</w:t>
            </w:r>
            <w:r>
              <w:t>.</w:t>
            </w:r>
          </w:p>
          <w:p w:rsidR="008138DB" w:rsidRDefault="005166FA" w:rsidP="00BA4405">
            <w:pPr>
              <w:pStyle w:val="BoxListBullet"/>
            </w:pPr>
            <w:r>
              <w:t>While t</w:t>
            </w:r>
            <w:r w:rsidR="003523C8">
              <w:t>hese economic gains have</w:t>
            </w:r>
            <w:r w:rsidR="001E593E">
              <w:t xml:space="preserve"> accrued to both</w:t>
            </w:r>
            <w:r>
              <w:t xml:space="preserve"> high and </w:t>
            </w:r>
            <w:r w:rsidR="001E593E">
              <w:t xml:space="preserve">low income </w:t>
            </w:r>
            <w:r w:rsidR="00492FBB">
              <w:t>groups</w:t>
            </w:r>
            <w:r w:rsidR="007C102C">
              <w:t>:</w:t>
            </w:r>
          </w:p>
          <w:p w:rsidR="008138DB" w:rsidRDefault="007C102C" w:rsidP="008138DB">
            <w:pPr>
              <w:pStyle w:val="BoxListBullet2"/>
            </w:pPr>
            <w:r>
              <w:t>i</w:t>
            </w:r>
            <w:r w:rsidR="00A3390D">
              <w:t xml:space="preserve">ncome has grown faster among </w:t>
            </w:r>
            <w:r w:rsidR="003523C8">
              <w:t>h</w:t>
            </w:r>
            <w:r w:rsidR="008138DB">
              <w:t>igh earners</w:t>
            </w:r>
            <w:r w:rsidR="00A3390D">
              <w:t xml:space="preserve"> (as a group)</w:t>
            </w:r>
            <w:r w:rsidR="008138DB">
              <w:t xml:space="preserve"> </w:t>
            </w:r>
            <w:r w:rsidR="00A3390D">
              <w:t xml:space="preserve">than low earners </w:t>
            </w:r>
          </w:p>
          <w:p w:rsidR="00BD2A5F" w:rsidRDefault="003523C8" w:rsidP="00BD2A5F">
            <w:pPr>
              <w:pStyle w:val="BoxListBullet2"/>
            </w:pPr>
            <w:r>
              <w:t>t</w:t>
            </w:r>
            <w:r w:rsidR="00BD2A5F">
              <w:t>he distribution</w:t>
            </w:r>
            <w:r>
              <w:t xml:space="preserve"> of income</w:t>
            </w:r>
            <w:r w:rsidR="00BD2A5F">
              <w:t xml:space="preserve"> has shifted to the right (</w:t>
            </w:r>
            <w:r w:rsidR="005166FA">
              <w:t xml:space="preserve">a </w:t>
            </w:r>
            <w:r w:rsidR="00BD2A5F">
              <w:t xml:space="preserve">decline in the relative population of people on </w:t>
            </w:r>
            <w:r>
              <w:t xml:space="preserve">very </w:t>
            </w:r>
            <w:r w:rsidR="00BD2A5F">
              <w:t xml:space="preserve">low incomes) and </w:t>
            </w:r>
            <w:r w:rsidR="003E0A4C">
              <w:t xml:space="preserve">has </w:t>
            </w:r>
            <w:r w:rsidR="00492FBB">
              <w:t>become</w:t>
            </w:r>
            <w:r w:rsidR="00BD2A5F">
              <w:t xml:space="preserve"> flatter (greater diversity in earnings)</w:t>
            </w:r>
          </w:p>
          <w:p w:rsidR="005F55FE" w:rsidRDefault="00003349" w:rsidP="005F55FE">
            <w:pPr>
              <w:pStyle w:val="BoxListBullet2"/>
            </w:pPr>
            <w:r>
              <w:t xml:space="preserve">these changes </w:t>
            </w:r>
            <w:r w:rsidR="00365932">
              <w:t>have</w:t>
            </w:r>
            <w:r w:rsidR="00492FBB">
              <w:t xml:space="preserve"> been associated with</w:t>
            </w:r>
            <w:r w:rsidR="00365932">
              <w:t xml:space="preserve"> increases </w:t>
            </w:r>
            <w:r>
              <w:t>in measures of</w:t>
            </w:r>
            <w:r w:rsidR="00884C7C">
              <w:t xml:space="preserve"> labour</w:t>
            </w:r>
            <w:r>
              <w:t xml:space="preserve"> income</w:t>
            </w:r>
            <w:r w:rsidR="003523C8">
              <w:t xml:space="preserve"> inequality, </w:t>
            </w:r>
            <w:r w:rsidR="00BD2A5F">
              <w:t xml:space="preserve">such as the </w:t>
            </w:r>
            <w:proofErr w:type="spellStart"/>
            <w:r w:rsidR="003F5059">
              <w:t>G</w:t>
            </w:r>
            <w:r w:rsidR="00BD2A5F">
              <w:t>ini</w:t>
            </w:r>
            <w:proofErr w:type="spellEnd"/>
            <w:r w:rsidR="003F5059">
              <w:t xml:space="preserve"> </w:t>
            </w:r>
            <w:r>
              <w:t>coefficient (</w:t>
            </w:r>
            <w:r w:rsidR="00BD2A5F">
              <w:t>which has increase</w:t>
            </w:r>
            <w:r w:rsidR="008138DB">
              <w:t>d from 0.35 in 1988</w:t>
            </w:r>
            <w:r w:rsidR="00A6723C">
              <w:t>-89</w:t>
            </w:r>
            <w:r w:rsidR="008138DB">
              <w:t xml:space="preserve"> to 0.41 in 2009</w:t>
            </w:r>
            <w:r w:rsidR="00A6723C">
              <w:t>-10</w:t>
            </w:r>
            <w:r w:rsidR="00884C7C">
              <w:t xml:space="preserve"> among employed people</w:t>
            </w:r>
            <w:r>
              <w:t>)</w:t>
            </w:r>
            <w:r w:rsidR="005E1FDC">
              <w:t>.</w:t>
            </w:r>
          </w:p>
          <w:p w:rsidR="009656E9" w:rsidRDefault="00003349">
            <w:pPr>
              <w:pStyle w:val="BoxListBullet"/>
            </w:pPr>
            <w:r>
              <w:t>In part,</w:t>
            </w:r>
            <w:r w:rsidR="001F75E8">
              <w:t xml:space="preserve"> labour</w:t>
            </w:r>
            <w:r>
              <w:t xml:space="preserve"> income inequality reflects differences between </w:t>
            </w:r>
            <w:r w:rsidR="009656E9">
              <w:t xml:space="preserve">the average earnings of </w:t>
            </w:r>
            <w:r>
              <w:t>full-time, part-time and self-employed workers.</w:t>
            </w:r>
            <w:r w:rsidR="005959C7">
              <w:t xml:space="preserve"> </w:t>
            </w:r>
            <w:r w:rsidR="009656E9">
              <w:t xml:space="preserve">These </w:t>
            </w:r>
            <w:r>
              <w:t>accounted for around half of measured inequality in</w:t>
            </w:r>
            <w:r w:rsidR="009656E9">
              <w:t xml:space="preserve"> labour income in</w:t>
            </w:r>
            <w:r>
              <w:t xml:space="preserve"> 2009-10.</w:t>
            </w:r>
            <w:r w:rsidR="005959C7">
              <w:t xml:space="preserve"> </w:t>
            </w:r>
            <w:r>
              <w:t xml:space="preserve">The remainder is </w:t>
            </w:r>
            <w:r w:rsidR="009C7421">
              <w:t>due t</w:t>
            </w:r>
            <w:r w:rsidR="00492FBB">
              <w:t>o income differences that occur</w:t>
            </w:r>
            <w:r w:rsidR="009C7421">
              <w:t xml:space="preserve"> between people within each of these groups. </w:t>
            </w:r>
          </w:p>
          <w:p w:rsidR="008138DB" w:rsidRDefault="009C7421" w:rsidP="00B72C24">
            <w:pPr>
              <w:pStyle w:val="BoxListBullet2"/>
            </w:pPr>
            <w:r>
              <w:t>Income i</w:t>
            </w:r>
            <w:r w:rsidR="008138DB">
              <w:t>nequality is lowest</w:t>
            </w:r>
            <w:r w:rsidR="003523C8">
              <w:t xml:space="preserve"> among</w:t>
            </w:r>
            <w:r w:rsidR="008138DB">
              <w:t xml:space="preserve"> full-time workers</w:t>
            </w:r>
            <w:r w:rsidR="009656E9">
              <w:t xml:space="preserve"> and</w:t>
            </w:r>
            <w:r w:rsidR="008138DB">
              <w:t xml:space="preserve"> hig</w:t>
            </w:r>
            <w:r w:rsidR="00BC6F2F">
              <w:t>hest amongst the self</w:t>
            </w:r>
            <w:r w:rsidR="002A3120">
              <w:t>-</w:t>
            </w:r>
            <w:r w:rsidR="00BC6F2F">
              <w:t>employed.</w:t>
            </w:r>
          </w:p>
          <w:p w:rsidR="005F55FE" w:rsidRDefault="003E0A4C" w:rsidP="00B72C24">
            <w:pPr>
              <w:pStyle w:val="BoxListBullet2"/>
            </w:pPr>
            <w:r>
              <w:t>Between 1988-89 and 2009-10, i</w:t>
            </w:r>
            <w:r w:rsidR="00365932">
              <w:t xml:space="preserve">ndicators of </w:t>
            </w:r>
            <w:r w:rsidR="001F75E8">
              <w:t xml:space="preserve">labour </w:t>
            </w:r>
            <w:r w:rsidR="00365932">
              <w:t>income i</w:t>
            </w:r>
            <w:r w:rsidR="008138DB">
              <w:t xml:space="preserve">nequality </w:t>
            </w:r>
            <w:r>
              <w:t>rose</w:t>
            </w:r>
            <w:r w:rsidR="008138DB">
              <w:t xml:space="preserve"> steadily amongst full-time workers, </w:t>
            </w:r>
            <w:r>
              <w:t xml:space="preserve">were </w:t>
            </w:r>
            <w:r w:rsidR="008138DB">
              <w:t xml:space="preserve">stable amongst part-time workers and </w:t>
            </w:r>
            <w:r>
              <w:t xml:space="preserve">were </w:t>
            </w:r>
            <w:r w:rsidR="008138DB">
              <w:t>vo</w:t>
            </w:r>
            <w:r w:rsidR="009C7421">
              <w:t>latile among the self</w:t>
            </w:r>
            <w:r w:rsidR="002A3120">
              <w:t>-</w:t>
            </w:r>
            <w:r w:rsidR="009C7421">
              <w:t>employed.</w:t>
            </w:r>
          </w:p>
          <w:p w:rsidR="009C7421" w:rsidRDefault="005166FA" w:rsidP="008138DB">
            <w:pPr>
              <w:pStyle w:val="BoxListBullet"/>
            </w:pPr>
            <w:r>
              <w:t>E</w:t>
            </w:r>
            <w:r w:rsidR="00B91FBF">
              <w:t>mployee</w:t>
            </w:r>
            <w:r w:rsidR="002D4697">
              <w:t xml:space="preserve"> </w:t>
            </w:r>
            <w:r w:rsidR="003E0A4C">
              <w:t xml:space="preserve">earnings </w:t>
            </w:r>
            <w:r w:rsidR="00541EC0">
              <w:t>are</w:t>
            </w:r>
            <w:r w:rsidR="002D4697">
              <w:t xml:space="preserve"> d</w:t>
            </w:r>
            <w:r>
              <w:t>etermined</w:t>
            </w:r>
            <w:r w:rsidR="002D4697">
              <w:t xml:space="preserve"> by h</w:t>
            </w:r>
            <w:r w:rsidR="009C7421">
              <w:t>o</w:t>
            </w:r>
            <w:r w:rsidR="002D4697">
              <w:t>urs worked and hourly wages</w:t>
            </w:r>
            <w:r w:rsidR="009656E9">
              <w:t>.</w:t>
            </w:r>
          </w:p>
          <w:p w:rsidR="00642266" w:rsidRDefault="009C7421" w:rsidP="00642266">
            <w:pPr>
              <w:pStyle w:val="BoxListBullet2"/>
            </w:pPr>
            <w:r>
              <w:t xml:space="preserve">For full-time workers, </w:t>
            </w:r>
            <w:r w:rsidR="003E0A4C">
              <w:t xml:space="preserve">real </w:t>
            </w:r>
            <w:r>
              <w:t>hourly wages have grown by around 23 per cent</w:t>
            </w:r>
            <w:r w:rsidR="00B91FBF">
              <w:t xml:space="preserve"> since 1998-99</w:t>
            </w:r>
            <w:r w:rsidR="00492FBB">
              <w:t xml:space="preserve"> while hours worked have</w:t>
            </w:r>
            <w:r>
              <w:t xml:space="preserve"> changed little. </w:t>
            </w:r>
            <w:r w:rsidR="005E1FDC">
              <w:t>H</w:t>
            </w:r>
            <w:r w:rsidR="00642266">
              <w:t>ourly wages ha</w:t>
            </w:r>
            <w:r w:rsidR="005E1FDC">
              <w:t>ve grown faster</w:t>
            </w:r>
            <w:r w:rsidR="00642266">
              <w:t xml:space="preserve"> </w:t>
            </w:r>
            <w:r w:rsidR="002D4697">
              <w:t>for high income earners than</w:t>
            </w:r>
            <w:r w:rsidR="005E1FDC">
              <w:t xml:space="preserve"> for</w:t>
            </w:r>
            <w:r w:rsidR="002D4697">
              <w:t xml:space="preserve"> low income earners.</w:t>
            </w:r>
          </w:p>
          <w:p w:rsidR="005F55FE" w:rsidRDefault="009C7421" w:rsidP="005F55FE">
            <w:pPr>
              <w:pStyle w:val="BoxListBullet2"/>
            </w:pPr>
            <w:r>
              <w:t>For part-time workers</w:t>
            </w:r>
            <w:r w:rsidR="00492FBB">
              <w:t>,</w:t>
            </w:r>
            <w:r>
              <w:t xml:space="preserve"> both hourly wages and working hours have increased (around 8 per cent and 16 per cent</w:t>
            </w:r>
            <w:r w:rsidR="009656E9">
              <w:t>,</w:t>
            </w:r>
            <w:r>
              <w:t xml:space="preserve"> respectively), </w:t>
            </w:r>
            <w:r w:rsidR="003E0A4C">
              <w:t>raising</w:t>
            </w:r>
            <w:r>
              <w:t xml:space="preserve"> weekly earnings.</w:t>
            </w:r>
          </w:p>
          <w:p w:rsidR="00BA4405" w:rsidRDefault="00D67FDD" w:rsidP="00BA4405">
            <w:pPr>
              <w:pStyle w:val="BoxListBullet"/>
            </w:pPr>
            <w:r>
              <w:t xml:space="preserve">Capital </w:t>
            </w:r>
            <w:r w:rsidR="003E0A4C">
              <w:t xml:space="preserve">&amp; other </w:t>
            </w:r>
            <w:r>
              <w:t>income is</w:t>
            </w:r>
            <w:r w:rsidR="0034791A">
              <w:t xml:space="preserve"> highly </w:t>
            </w:r>
            <w:r w:rsidR="008138DB">
              <w:t>concentrated</w:t>
            </w:r>
            <w:r>
              <w:t xml:space="preserve"> and has</w:t>
            </w:r>
            <w:r w:rsidR="0034791A">
              <w:t xml:space="preserve"> become more</w:t>
            </w:r>
            <w:r w:rsidR="00BC6F2F">
              <w:t xml:space="preserve"> so</w:t>
            </w:r>
            <w:r w:rsidR="0034791A">
              <w:t xml:space="preserve"> over time.</w:t>
            </w:r>
            <w:r w:rsidR="004949D0">
              <w:t xml:space="preserve"> However, </w:t>
            </w:r>
            <w:r w:rsidR="003E0A4C">
              <w:t>it</w:t>
            </w:r>
            <w:r w:rsidR="004949D0">
              <w:t xml:space="preserve"> is a small proportion of</w:t>
            </w:r>
            <w:r w:rsidR="008138DB">
              <w:t xml:space="preserve"> </w:t>
            </w:r>
            <w:r w:rsidR="004949D0">
              <w:t xml:space="preserve">market income (around </w:t>
            </w:r>
            <w:r w:rsidR="003E0A4C">
              <w:t>11</w:t>
            </w:r>
            <w:r w:rsidR="004949D0">
              <w:t> per cent in 2009</w:t>
            </w:r>
            <w:r w:rsidR="00A6723C">
              <w:t>-10</w:t>
            </w:r>
            <w:r w:rsidR="004949D0">
              <w:t>)</w:t>
            </w:r>
          </w:p>
          <w:p w:rsidR="00642266" w:rsidRDefault="003E0A4C" w:rsidP="00BA4405">
            <w:pPr>
              <w:pStyle w:val="BoxListBullet"/>
            </w:pPr>
            <w:r>
              <w:t>T</w:t>
            </w:r>
            <w:r w:rsidR="00642266">
              <w:t>he growth in the dispersion of hourly wages for full-time workers is the key driver of overall increases in measured inequality</w:t>
            </w:r>
            <w:r w:rsidR="00B91FBF">
              <w:t xml:space="preserve"> </w:t>
            </w:r>
            <w:r w:rsidR="00642266">
              <w:t xml:space="preserve">for both labour and market income. </w:t>
            </w:r>
          </w:p>
          <w:p w:rsidR="00642266" w:rsidRDefault="00642266" w:rsidP="00642266">
            <w:pPr>
              <w:pStyle w:val="BoxListBullet2"/>
            </w:pPr>
            <w:r>
              <w:t>The growth in the relative proportion of people employed part-time has played a</w:t>
            </w:r>
            <w:r w:rsidR="003759D6">
              <w:t xml:space="preserve"> lesser</w:t>
            </w:r>
            <w:r>
              <w:t xml:space="preserve"> role.</w:t>
            </w:r>
          </w:p>
          <w:p w:rsidR="000754B2" w:rsidRDefault="00541EC0" w:rsidP="00541EC0">
            <w:pPr>
              <w:pStyle w:val="BoxListBullet"/>
            </w:pPr>
            <w:proofErr w:type="spellStart"/>
            <w:r>
              <w:t>HES</w:t>
            </w:r>
            <w:proofErr w:type="spellEnd"/>
            <w:r>
              <w:t xml:space="preserve"> data suggest</w:t>
            </w:r>
            <w:r w:rsidR="00BC6F2F">
              <w:t xml:space="preserve">, </w:t>
            </w:r>
            <w:r>
              <w:t xml:space="preserve">that </w:t>
            </w:r>
            <w:r w:rsidR="00BC6F2F">
              <w:t xml:space="preserve">neither </w:t>
            </w:r>
            <w:r w:rsidR="003759D6">
              <w:t xml:space="preserve">recent </w:t>
            </w:r>
            <w:r w:rsidR="003E0A4C">
              <w:t xml:space="preserve">trends specific to the </w:t>
            </w:r>
            <w:r w:rsidR="009253A1">
              <w:t xml:space="preserve">top </w:t>
            </w:r>
            <w:r w:rsidR="00BB234E">
              <w:t>1</w:t>
            </w:r>
            <w:r w:rsidR="00BC6F2F">
              <w:t> per cent</w:t>
            </w:r>
            <w:r w:rsidR="003E0A4C">
              <w:t xml:space="preserve"> of income earners</w:t>
            </w:r>
            <w:r w:rsidR="00BC6F2F">
              <w:t>, nor the gender</w:t>
            </w:r>
            <w:r w:rsidR="009253A1">
              <w:t>-</w:t>
            </w:r>
            <w:r w:rsidR="00BC6F2F">
              <w:t xml:space="preserve">pay gap, </w:t>
            </w:r>
            <w:r w:rsidR="003759D6">
              <w:t>explain</w:t>
            </w:r>
            <w:r w:rsidR="00D67FDD">
              <w:t xml:space="preserve"> </w:t>
            </w:r>
            <w:r w:rsidR="00BD3FB7">
              <w:t xml:space="preserve">the </w:t>
            </w:r>
            <w:r w:rsidR="00D67FDD">
              <w:t>broader trends</w:t>
            </w:r>
            <w:r w:rsidR="00BC6F2F">
              <w:t xml:space="preserve"> in </w:t>
            </w:r>
            <w:r w:rsidR="003759D6">
              <w:t xml:space="preserve">measured </w:t>
            </w:r>
            <w:r>
              <w:t xml:space="preserve">individual </w:t>
            </w:r>
            <w:r w:rsidR="00BC6F2F">
              <w:t>income inequality.</w:t>
            </w:r>
          </w:p>
        </w:tc>
      </w:tr>
      <w:tr w:rsidR="00BA4405">
        <w:trPr>
          <w:cantSplit/>
        </w:trPr>
        <w:tc>
          <w:tcPr>
            <w:tcW w:w="8771" w:type="dxa"/>
            <w:tcBorders>
              <w:top w:val="nil"/>
              <w:left w:val="single" w:sz="6" w:space="0" w:color="auto"/>
              <w:bottom w:val="single" w:sz="6" w:space="0" w:color="auto"/>
              <w:right w:val="single" w:sz="6" w:space="0" w:color="auto"/>
            </w:tcBorders>
          </w:tcPr>
          <w:p w:rsidR="00BA4405" w:rsidRDefault="00BA4405">
            <w:pPr>
              <w:pStyle w:val="Box"/>
              <w:spacing w:before="0" w:line="120" w:lineRule="exact"/>
            </w:pPr>
          </w:p>
        </w:tc>
      </w:tr>
      <w:tr w:rsidR="00BA4405" w:rsidRPr="000863A5">
        <w:tc>
          <w:tcPr>
            <w:tcW w:w="8771" w:type="dxa"/>
            <w:tcBorders>
              <w:top w:val="nil"/>
              <w:left w:val="nil"/>
              <w:bottom w:val="nil"/>
              <w:right w:val="nil"/>
            </w:tcBorders>
          </w:tcPr>
          <w:p w:rsidR="00BA4405" w:rsidRPr="000863A5" w:rsidRDefault="00BA4405" w:rsidP="008B3432">
            <w:pPr>
              <w:pStyle w:val="Box"/>
              <w:keepNext w:val="0"/>
              <w:spacing w:before="60" w:after="60" w:line="80" w:lineRule="exact"/>
              <w:rPr>
                <w:b/>
                <w:sz w:val="14"/>
              </w:rPr>
            </w:pPr>
          </w:p>
        </w:tc>
      </w:tr>
    </w:tbl>
    <w:p w:rsidR="00F0495B" w:rsidRDefault="008B3432" w:rsidP="00F0495B">
      <w:pPr>
        <w:pStyle w:val="BodyText"/>
      </w:pPr>
      <w:r>
        <w:lastRenderedPageBreak/>
        <w:t>For most people</w:t>
      </w:r>
      <w:r w:rsidR="00C72C52">
        <w:t xml:space="preserve"> of working age</w:t>
      </w:r>
      <w:r>
        <w:t xml:space="preserve">, the money earned from </w:t>
      </w:r>
      <w:r w:rsidR="006D6480">
        <w:t xml:space="preserve">paid </w:t>
      </w:r>
      <w:r>
        <w:t>employment (or self-employment) comprises the</w:t>
      </w:r>
      <w:r w:rsidR="00984A21">
        <w:t>ir</w:t>
      </w:r>
      <w:r>
        <w:t xml:space="preserve"> most important source of income. </w:t>
      </w:r>
      <w:r w:rsidR="004F03CE">
        <w:t xml:space="preserve">This is known as their labour earnings. </w:t>
      </w:r>
      <w:r w:rsidR="00B10EB4">
        <w:t xml:space="preserve">It should be noted that current weekly incomes for some individuals who are self-employed (that is, they run their own unincorporated business) are negative. These result from individuals reporting a loss from their business. Income for this group will also include returns to capital invested in the business. Despite this, as no ‘imputed wage’ is available for unincorporated business owners, income from an own unincorporated business represents the best proxy for wages for the self-employed and has been used in this study. </w:t>
      </w:r>
      <w:r w:rsidR="00D67FDD">
        <w:t>Capital</w:t>
      </w:r>
      <w:r w:rsidR="008138DB">
        <w:t xml:space="preserve"> </w:t>
      </w:r>
      <w:r w:rsidR="00702AE7">
        <w:t xml:space="preserve">&amp; other </w:t>
      </w:r>
      <w:r>
        <w:t>income (such as rents or returns from investment</w:t>
      </w:r>
      <w:r w:rsidR="00702AE7">
        <w:t xml:space="preserve"> and private transfers</w:t>
      </w:r>
      <w:r>
        <w:t xml:space="preserve">) </w:t>
      </w:r>
      <w:r w:rsidR="008138DB">
        <w:t xml:space="preserve">also represent an important source of income for </w:t>
      </w:r>
      <w:r w:rsidR="00176CF5">
        <w:t>some</w:t>
      </w:r>
      <w:r w:rsidR="008138DB">
        <w:t xml:space="preserve"> people.</w:t>
      </w:r>
      <w:r>
        <w:t xml:space="preserve"> </w:t>
      </w:r>
      <w:r w:rsidR="00A548B0">
        <w:t xml:space="preserve">Together, these income sources comprise </w:t>
      </w:r>
      <w:r w:rsidR="00492FBB">
        <w:t xml:space="preserve">an </w:t>
      </w:r>
      <w:r w:rsidR="00A548B0">
        <w:t>individual</w:t>
      </w:r>
      <w:r w:rsidR="008138DB">
        <w:t>’</w:t>
      </w:r>
      <w:r w:rsidR="00A548B0">
        <w:t>s overall</w:t>
      </w:r>
      <w:r w:rsidR="00C72C52">
        <w:t xml:space="preserve"> market income</w:t>
      </w:r>
      <w:r w:rsidR="004219AA">
        <w:t xml:space="preserve"> (figure</w:t>
      </w:r>
      <w:r w:rsidR="002D01A4">
        <w:t> </w:t>
      </w:r>
      <w:r w:rsidR="004219AA">
        <w:t xml:space="preserve">2.1), </w:t>
      </w:r>
      <w:r w:rsidR="00702AE7">
        <w:t xml:space="preserve">which is a </w:t>
      </w:r>
      <w:r w:rsidR="00A548B0">
        <w:t>determinant of where they sit in the overall distribution of income</w:t>
      </w:r>
      <w:r w:rsidR="00F95C11">
        <w:t xml:space="preserve"> (additional determinants such as taxes, transfers and household formation are discussed in chapter 3)</w:t>
      </w:r>
      <w:r w:rsidR="00A548B0">
        <w:t>.</w:t>
      </w:r>
      <w:r w:rsidR="00140A8B">
        <w:t xml:space="preserve"> This chapter identif</w:t>
      </w:r>
      <w:r w:rsidR="002D01A4">
        <w:t>ies</w:t>
      </w:r>
      <w:r w:rsidR="00140A8B">
        <w:t xml:space="preserve"> how engagement with </w:t>
      </w:r>
      <w:r w:rsidR="00F0495B">
        <w:t xml:space="preserve">labour and capital </w:t>
      </w:r>
      <w:r w:rsidR="00140A8B">
        <w:t>market</w:t>
      </w:r>
      <w:r w:rsidR="00F0495B">
        <w:t>s has shaped</w:t>
      </w:r>
      <w:r w:rsidR="00BB234E">
        <w:t xml:space="preserve"> Australian</w:t>
      </w:r>
      <w:r w:rsidR="00F0495B">
        <w:t xml:space="preserve"> marke</w:t>
      </w:r>
      <w:r w:rsidR="00176CF5">
        <w:t>t income over the last 20 years </w:t>
      </w:r>
      <w:r w:rsidR="00F0495B">
        <w:t>—</w:t>
      </w:r>
      <w:r w:rsidR="00176CF5">
        <w:t xml:space="preserve"> how the distribution of market income has </w:t>
      </w:r>
      <w:r w:rsidR="00F0495B">
        <w:t xml:space="preserve">changed and </w:t>
      </w:r>
      <w:r w:rsidR="008138DB">
        <w:t>how developments among</w:t>
      </w:r>
      <w:r w:rsidR="00F0495B">
        <w:t xml:space="preserve"> sub</w:t>
      </w:r>
      <w:r w:rsidR="00145392">
        <w:t>-</w:t>
      </w:r>
      <w:r w:rsidR="00F0495B">
        <w:t xml:space="preserve">groups </w:t>
      </w:r>
      <w:r w:rsidR="008138DB">
        <w:t xml:space="preserve">have </w:t>
      </w:r>
      <w:r w:rsidR="00F0495B">
        <w:t>driv</w:t>
      </w:r>
      <w:r w:rsidR="008138DB">
        <w:t>en</w:t>
      </w:r>
      <w:r w:rsidR="00F0495B">
        <w:t xml:space="preserve"> broader trends.</w:t>
      </w:r>
    </w:p>
    <w:p w:rsidR="004219AA" w:rsidRDefault="004219AA">
      <w:pPr>
        <w:pStyle w:val="FigureTitle"/>
      </w:pPr>
      <w:r>
        <w:rPr>
          <w:b w:val="0"/>
        </w:rPr>
        <w:t xml:space="preserve">Figure </w:t>
      </w:r>
      <w:r w:rsidR="00A57B0A">
        <w:rPr>
          <w:b w:val="0"/>
        </w:rPr>
        <w:t>2.</w:t>
      </w:r>
      <w:r w:rsidR="006D43C2">
        <w:rPr>
          <w:b w:val="0"/>
          <w:noProof/>
        </w:rPr>
        <w:t>1</w:t>
      </w:r>
      <w:r>
        <w:tab/>
        <w:t>Sources of individual market income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219AA">
        <w:tc>
          <w:tcPr>
            <w:tcW w:w="8777" w:type="dxa"/>
          </w:tcPr>
          <w:p w:rsidR="004219AA" w:rsidRPr="00D75A5E" w:rsidRDefault="00B10EB4">
            <w:pPr>
              <w:pStyle w:val="Figure"/>
              <w:rPr>
                <w:sz w:val="4"/>
                <w:szCs w:val="4"/>
              </w:rPr>
            </w:pPr>
            <w:r>
              <w:rPr>
                <w:noProof/>
                <w:sz w:val="4"/>
                <w:szCs w:val="4"/>
              </w:rPr>
              <w:drawing>
                <wp:inline distT="0" distB="0" distL="0" distR="0" wp14:anchorId="297166D3" wp14:editId="7E82734F">
                  <wp:extent cx="5574030" cy="2011680"/>
                  <wp:effectExtent l="0" t="0" r="7620" b="7620"/>
                  <wp:docPr id="27" name="Picture 27" descr="Depicts individual market income is made up of labour income and capital and other income. " title="Figure 2.1 Sources of individual market inc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4030" cy="2011680"/>
                          </a:xfrm>
                          <a:prstGeom prst="rect">
                            <a:avLst/>
                          </a:prstGeom>
                          <a:noFill/>
                          <a:ln>
                            <a:noFill/>
                          </a:ln>
                        </pic:spPr>
                      </pic:pic>
                    </a:graphicData>
                  </a:graphic>
                </wp:inline>
              </w:drawing>
            </w:r>
          </w:p>
        </w:tc>
      </w:tr>
    </w:tbl>
    <w:p w:rsidR="001448FF" w:rsidRDefault="00D36EEC" w:rsidP="00120072">
      <w:pPr>
        <w:pStyle w:val="BodyText"/>
      </w:pPr>
      <w:r>
        <w:t>This chapter</w:t>
      </w:r>
      <w:r w:rsidR="00F0495B">
        <w:t xml:space="preserve"> does not attempt to identify</w:t>
      </w:r>
      <w:r w:rsidR="00B72C24">
        <w:t xml:space="preserve"> </w:t>
      </w:r>
      <w:r w:rsidR="00F0495B">
        <w:t xml:space="preserve">causal factors </w:t>
      </w:r>
      <w:r w:rsidR="00F95C11">
        <w:t xml:space="preserve">or estimate their contribution </w:t>
      </w:r>
      <w:r w:rsidR="00F0495B">
        <w:t xml:space="preserve">to observed </w:t>
      </w:r>
      <w:r w:rsidR="00F95C11">
        <w:t xml:space="preserve">distributional </w:t>
      </w:r>
      <w:r w:rsidR="00F0495B">
        <w:t>changes.</w:t>
      </w:r>
      <w:r w:rsidR="00176CF5">
        <w:rPr>
          <w:rStyle w:val="FootnoteReference"/>
        </w:rPr>
        <w:footnoteReference w:id="1"/>
      </w:r>
      <w:r w:rsidR="00F0495B">
        <w:t xml:space="preserve"> </w:t>
      </w:r>
      <w:r w:rsidR="008138DB">
        <w:t xml:space="preserve">Rather, the focus is on providing a richer description of the </w:t>
      </w:r>
      <w:r w:rsidR="00F95C11">
        <w:t xml:space="preserve">distribution of income generally and, in particular, the distributional changes that have </w:t>
      </w:r>
      <w:r w:rsidR="00B10EB4">
        <w:t>affected</w:t>
      </w:r>
      <w:r w:rsidR="00F95C11">
        <w:t xml:space="preserve"> summary measures of </w:t>
      </w:r>
      <w:r w:rsidR="008138DB">
        <w:t xml:space="preserve">inequality. </w:t>
      </w:r>
      <w:r w:rsidR="000754B2">
        <w:t>The chapter proceeds as follows</w:t>
      </w:r>
      <w:r w:rsidR="00F02DF5">
        <w:t>.</w:t>
      </w:r>
    </w:p>
    <w:p w:rsidR="0093309E" w:rsidRDefault="00702AE7" w:rsidP="000754B2">
      <w:pPr>
        <w:pStyle w:val="ListBullet"/>
      </w:pPr>
      <w:r>
        <w:lastRenderedPageBreak/>
        <w:t>Changes</w:t>
      </w:r>
      <w:r w:rsidR="0093309E">
        <w:t xml:space="preserve"> in </w:t>
      </w:r>
      <w:r w:rsidR="008138DB">
        <w:t xml:space="preserve">labour force </w:t>
      </w:r>
      <w:r w:rsidR="0093309E">
        <w:t xml:space="preserve">income are </w:t>
      </w:r>
      <w:r w:rsidR="008138DB">
        <w:t>presented</w:t>
      </w:r>
      <w:r w:rsidR="00A3390D">
        <w:t xml:space="preserve"> for those </w:t>
      </w:r>
      <w:r w:rsidR="00102C18">
        <w:t>in</w:t>
      </w:r>
      <w:r w:rsidR="00A3390D">
        <w:t xml:space="preserve"> paid employment</w:t>
      </w:r>
      <w:r w:rsidR="00102C18">
        <w:t>.</w:t>
      </w:r>
      <w:r w:rsidR="00A3390D">
        <w:t xml:space="preserve"> </w:t>
      </w:r>
      <w:r w:rsidR="00102C18">
        <w:t>P</w:t>
      </w:r>
      <w:r w:rsidR="008138DB">
        <w:t xml:space="preserve">articular attention </w:t>
      </w:r>
      <w:r w:rsidR="00102C18">
        <w:t xml:space="preserve">is paid </w:t>
      </w:r>
      <w:r w:rsidR="008138DB">
        <w:t xml:space="preserve">to the contribution of </w:t>
      </w:r>
      <w:r w:rsidR="00D67FDD">
        <w:t>employment status</w:t>
      </w:r>
      <w:r w:rsidR="00027B75">
        <w:t>, hours worked and hourly wage</w:t>
      </w:r>
      <w:r w:rsidR="006D6480">
        <w:t xml:space="preserve"> rates</w:t>
      </w:r>
      <w:r w:rsidR="00F02DF5">
        <w:t xml:space="preserve"> (section 2.1).</w:t>
      </w:r>
    </w:p>
    <w:p w:rsidR="008138DB" w:rsidRDefault="00F02DF5" w:rsidP="000754B2">
      <w:pPr>
        <w:pStyle w:val="ListBullet"/>
      </w:pPr>
      <w:r>
        <w:t>C</w:t>
      </w:r>
      <w:r w:rsidR="00550C0B">
        <w:t>apital income is</w:t>
      </w:r>
      <w:r w:rsidR="008138DB">
        <w:t xml:space="preserve"> examined in </w:t>
      </w:r>
      <w:r w:rsidR="00492FBB">
        <w:t xml:space="preserve">terms of how its relative size </w:t>
      </w:r>
      <w:r w:rsidR="008138DB">
        <w:t>and dispersion has</w:t>
      </w:r>
      <w:r w:rsidR="003F5059">
        <w:t xml:space="preserve"> changed over the last 20 years</w:t>
      </w:r>
      <w:r>
        <w:t xml:space="preserve"> (section 2.2).</w:t>
      </w:r>
    </w:p>
    <w:p w:rsidR="008138DB" w:rsidRDefault="00F02DF5" w:rsidP="000754B2">
      <w:pPr>
        <w:pStyle w:val="ListBullet"/>
      </w:pPr>
      <w:r>
        <w:t>T</w:t>
      </w:r>
      <w:r w:rsidR="004A68FD">
        <w:t>he distributional ramification</w:t>
      </w:r>
      <w:r w:rsidR="00492FBB">
        <w:t>s</w:t>
      </w:r>
      <w:r w:rsidR="004A68FD">
        <w:t xml:space="preserve"> of </w:t>
      </w:r>
      <w:r w:rsidR="00B03157">
        <w:t xml:space="preserve">very high income earners and the gender pay gap </w:t>
      </w:r>
      <w:r w:rsidR="00550C0B">
        <w:t xml:space="preserve">are </w:t>
      </w:r>
      <w:r w:rsidR="006D6480">
        <w:t xml:space="preserve">also </w:t>
      </w:r>
      <w:r w:rsidR="00550C0B">
        <w:t>considered</w:t>
      </w:r>
      <w:r>
        <w:t xml:space="preserve"> (section 2.3)</w:t>
      </w:r>
      <w:r w:rsidR="003F5059">
        <w:t>.</w:t>
      </w:r>
    </w:p>
    <w:p w:rsidR="006054AB" w:rsidRDefault="00A57B0A" w:rsidP="00763416">
      <w:pPr>
        <w:pStyle w:val="Heading2"/>
      </w:pPr>
      <w:r>
        <w:t>2.</w:t>
      </w:r>
      <w:r w:rsidR="006D43C2">
        <w:rPr>
          <w:noProof/>
        </w:rPr>
        <w:t>1</w:t>
      </w:r>
      <w:r w:rsidR="00763416">
        <w:tab/>
      </w:r>
      <w:r w:rsidR="00641C44">
        <w:t>Trends in labour income</w:t>
      </w:r>
    </w:p>
    <w:p w:rsidR="00D00DB5" w:rsidRDefault="0080595B" w:rsidP="00D00DB5">
      <w:pPr>
        <w:pStyle w:val="Heading3"/>
      </w:pPr>
      <w:r>
        <w:t>L</w:t>
      </w:r>
      <w:r w:rsidR="00370249">
        <w:t>abour income has grown</w:t>
      </w:r>
    </w:p>
    <w:p w:rsidR="00370249" w:rsidRDefault="00641C44" w:rsidP="00F90AF7">
      <w:pPr>
        <w:pStyle w:val="BodyText"/>
      </w:pPr>
      <w:r>
        <w:t xml:space="preserve">Over the last 20 years, </w:t>
      </w:r>
      <w:r w:rsidR="00A3390D">
        <w:t xml:space="preserve">average </w:t>
      </w:r>
      <w:r w:rsidR="006533CA">
        <w:t xml:space="preserve">real labour incomes have increased </w:t>
      </w:r>
      <w:r w:rsidR="00370249">
        <w:t>substantially in Australia for full-time, part-time</w:t>
      </w:r>
      <w:r w:rsidR="005E1FDC">
        <w:t>,</w:t>
      </w:r>
      <w:r w:rsidR="00370249">
        <w:t xml:space="preserve"> and self</w:t>
      </w:r>
      <w:r w:rsidR="002A3120">
        <w:t>-</w:t>
      </w:r>
      <w:r w:rsidR="00370249">
        <w:t>employed workers (</w:t>
      </w:r>
      <w:r w:rsidR="00B10EB4">
        <w:t xml:space="preserve">by </w:t>
      </w:r>
      <w:r w:rsidR="00370249">
        <w:t xml:space="preserve">50 per cent, </w:t>
      </w:r>
      <w:r w:rsidR="00A3390D">
        <w:t xml:space="preserve">47 per cent  and 53 per cent </w:t>
      </w:r>
      <w:r w:rsidR="00F90AF7">
        <w:t>respectively).</w:t>
      </w:r>
      <w:r w:rsidR="00102C18">
        <w:rPr>
          <w:rStyle w:val="FootnoteReference"/>
        </w:rPr>
        <w:footnoteReference w:id="2"/>
      </w:r>
      <w:r w:rsidR="00F90AF7">
        <w:t xml:space="preserve"> Overall, average labour income has </w:t>
      </w:r>
      <w:r w:rsidR="00B40850">
        <w:t xml:space="preserve">increased </w:t>
      </w:r>
      <w:r w:rsidR="00F90AF7">
        <w:t xml:space="preserve">from around $800 per week in 1988-89 to $1100 per week in 2009-10, </w:t>
      </w:r>
      <w:r w:rsidR="00517068">
        <w:t>that is</w:t>
      </w:r>
      <w:r w:rsidR="00F90AF7">
        <w:t xml:space="preserve"> </w:t>
      </w:r>
      <w:r w:rsidR="00A3390D">
        <w:t>38</w:t>
      </w:r>
      <w:r w:rsidR="00F90AF7">
        <w:t xml:space="preserve"> per cent </w:t>
      </w:r>
      <w:r w:rsidR="008138DB">
        <w:t>(figure </w:t>
      </w:r>
      <w:r w:rsidR="00C55751">
        <w:t>2.</w:t>
      </w:r>
      <w:r w:rsidR="00927E07">
        <w:t>2</w:t>
      </w:r>
      <w:r w:rsidR="008138DB">
        <w:t>).</w:t>
      </w:r>
      <w:r w:rsidR="00BB0831">
        <w:rPr>
          <w:rStyle w:val="FootnoteReference"/>
        </w:rPr>
        <w:footnoteReference w:id="3"/>
      </w:r>
    </w:p>
    <w:p w:rsidR="00D43CE0" w:rsidRDefault="00D43CE0" w:rsidP="00641C44">
      <w:pPr>
        <w:pStyle w:val="BodyText"/>
      </w:pPr>
      <w:r>
        <w:t xml:space="preserve">The </w:t>
      </w:r>
      <w:r w:rsidR="00B10EB4">
        <w:t xml:space="preserve">time </w:t>
      </w:r>
      <w:r>
        <w:t xml:space="preserve">path of income growth has varied by </w:t>
      </w:r>
      <w:r w:rsidR="00A41243">
        <w:t xml:space="preserve">worker category. </w:t>
      </w:r>
      <w:r w:rsidR="00510090">
        <w:t>Full-time workers have experienced real income growth between each of the periods examined</w:t>
      </w:r>
      <w:r w:rsidR="00E56450">
        <w:t xml:space="preserve">, </w:t>
      </w:r>
      <w:r w:rsidR="00B10EB4">
        <w:t xml:space="preserve">with growth being </w:t>
      </w:r>
      <w:r w:rsidR="00A41243">
        <w:t xml:space="preserve">particularly strong since 2003-04. </w:t>
      </w:r>
      <w:r w:rsidR="00B10EB4">
        <w:t>Both p</w:t>
      </w:r>
      <w:r w:rsidR="002A3120">
        <w:t>art-time workers and the self-</w:t>
      </w:r>
      <w:r w:rsidR="00510090">
        <w:t xml:space="preserve">employed, </w:t>
      </w:r>
      <w:r w:rsidR="00233F46">
        <w:t xml:space="preserve">however, </w:t>
      </w:r>
      <w:r w:rsidR="00510090">
        <w:t xml:space="preserve"> experienced a decline in average earnings betw</w:t>
      </w:r>
      <w:r w:rsidR="008138DB">
        <w:t>een 1988</w:t>
      </w:r>
      <w:r>
        <w:t>-89</w:t>
      </w:r>
      <w:r w:rsidR="008138DB">
        <w:t xml:space="preserve"> and 1993</w:t>
      </w:r>
      <w:r>
        <w:t>-94</w:t>
      </w:r>
      <w:r w:rsidR="008138DB">
        <w:t xml:space="preserve">, but </w:t>
      </w:r>
      <w:r w:rsidR="00B10EB4">
        <w:t xml:space="preserve">an increase </w:t>
      </w:r>
      <w:r w:rsidR="00510090">
        <w:t xml:space="preserve">in each </w:t>
      </w:r>
      <w:r w:rsidR="00702AE7">
        <w:t xml:space="preserve">subsequent </w:t>
      </w:r>
      <w:r w:rsidR="00510090">
        <w:t xml:space="preserve">period. </w:t>
      </w:r>
      <w:r>
        <w:t xml:space="preserve">The difference may </w:t>
      </w:r>
      <w:r w:rsidR="00517068">
        <w:t xml:space="preserve">reflect how changes in general economic conditions affected </w:t>
      </w:r>
      <w:r w:rsidR="00AF7B3E">
        <w:t xml:space="preserve">different </w:t>
      </w:r>
      <w:r>
        <w:t xml:space="preserve">worker types (the 1993-94 </w:t>
      </w:r>
      <w:proofErr w:type="spellStart"/>
      <w:r>
        <w:t>HES</w:t>
      </w:r>
      <w:proofErr w:type="spellEnd"/>
      <w:r>
        <w:t xml:space="preserve"> was conducted in the aftermath of </w:t>
      </w:r>
      <w:r w:rsidR="00B10EB4">
        <w:t xml:space="preserve">a </w:t>
      </w:r>
      <w:r>
        <w:t>recession in Australia).</w:t>
      </w:r>
      <w:r>
        <w:rPr>
          <w:rStyle w:val="FootnoteReference"/>
        </w:rPr>
        <w:footnoteReference w:id="4"/>
      </w:r>
    </w:p>
    <w:p w:rsidR="007E5378" w:rsidRDefault="00327AC4" w:rsidP="00641C44">
      <w:pPr>
        <w:pStyle w:val="BodyText"/>
      </w:pPr>
      <w:r>
        <w:t>The growth in the</w:t>
      </w:r>
      <w:r w:rsidR="00233F46">
        <w:t xml:space="preserve"> incomes </w:t>
      </w:r>
      <w:r w:rsidR="00145392">
        <w:t>each of the worker sub-groups</w:t>
      </w:r>
      <w:r w:rsidR="00233F46">
        <w:t xml:space="preserve"> </w:t>
      </w:r>
      <w:r w:rsidR="00145392">
        <w:t>(</w:t>
      </w:r>
      <w:r w:rsidR="00233F46">
        <w:t>full-time, part-time and self-employed</w:t>
      </w:r>
      <w:r w:rsidR="00145392">
        <w:t>)</w:t>
      </w:r>
      <w:r w:rsidR="00233F46">
        <w:t xml:space="preserve"> </w:t>
      </w:r>
      <w:r>
        <w:t>exceed</w:t>
      </w:r>
      <w:r w:rsidR="00517068">
        <w:t>ed</w:t>
      </w:r>
      <w:r>
        <w:t xml:space="preserve"> that </w:t>
      </w:r>
      <w:r w:rsidR="00145392">
        <w:t xml:space="preserve">seen in for all workers </w:t>
      </w:r>
      <w:r>
        <w:t xml:space="preserve">due </w:t>
      </w:r>
      <w:r w:rsidR="00145392">
        <w:t xml:space="preserve">to differences in the </w:t>
      </w:r>
      <w:r w:rsidR="00145392">
        <w:lastRenderedPageBreak/>
        <w:t>relative growth in the size of each</w:t>
      </w:r>
      <w:r w:rsidR="00E56450">
        <w:t xml:space="preserve"> populations </w:t>
      </w:r>
      <w:r w:rsidR="00145392">
        <w:t>sub-</w:t>
      </w:r>
      <w:r w:rsidR="004377AD">
        <w:t>groups</w:t>
      </w:r>
      <w:r>
        <w:t>.</w:t>
      </w:r>
      <w:r w:rsidR="00233F46">
        <w:t xml:space="preserve"> </w:t>
      </w:r>
      <w:r w:rsidR="004377AD">
        <w:t>T</w:t>
      </w:r>
      <w:r w:rsidR="007E5378">
        <w:t>he</w:t>
      </w:r>
      <w:r w:rsidR="004377AD">
        <w:t xml:space="preserve"> </w:t>
      </w:r>
      <w:r w:rsidR="00517068">
        <w:t xml:space="preserve">number </w:t>
      </w:r>
      <w:r w:rsidR="007E5378">
        <w:t xml:space="preserve">of </w:t>
      </w:r>
      <w:r w:rsidR="008138DB">
        <w:t>part-</w:t>
      </w:r>
      <w:r w:rsidR="00777F55">
        <w:t xml:space="preserve">time workers </w:t>
      </w:r>
      <w:r w:rsidR="007E5378">
        <w:t>(</w:t>
      </w:r>
      <w:r w:rsidR="00145392">
        <w:t>who as a group have</w:t>
      </w:r>
      <w:r w:rsidR="007E5378">
        <w:t xml:space="preserve"> </w:t>
      </w:r>
      <w:r w:rsidR="00777F55">
        <w:t>the lowest average income</w:t>
      </w:r>
      <w:r w:rsidR="004C6F92">
        <w:t xml:space="preserve">) has </w:t>
      </w:r>
      <w:r w:rsidR="00517068">
        <w:t xml:space="preserve">increased </w:t>
      </w:r>
      <w:r w:rsidR="00145392">
        <w:t>at a faster rate</w:t>
      </w:r>
      <w:r w:rsidR="004377AD">
        <w:t xml:space="preserve"> (</w:t>
      </w:r>
      <w:r w:rsidR="00145392">
        <w:t xml:space="preserve">by </w:t>
      </w:r>
      <w:r w:rsidR="004377AD">
        <w:t>136 per cent</w:t>
      </w:r>
      <w:r w:rsidR="00B10EB4">
        <w:t>, from 1.3 million to 3.1 million workers</w:t>
      </w:r>
      <w:r w:rsidR="004377AD">
        <w:t xml:space="preserve">) </w:t>
      </w:r>
      <w:r w:rsidR="004C6F92">
        <w:t>th</w:t>
      </w:r>
      <w:r w:rsidR="008138DB">
        <w:t>an full-</w:t>
      </w:r>
      <w:r w:rsidR="004C6F92">
        <w:t>time workers</w:t>
      </w:r>
      <w:r w:rsidR="004377AD">
        <w:t xml:space="preserve"> (</w:t>
      </w:r>
      <w:r w:rsidR="00145392">
        <w:t xml:space="preserve">up </w:t>
      </w:r>
      <w:r w:rsidR="00332579">
        <w:t>43 per cent</w:t>
      </w:r>
      <w:r w:rsidR="00B10EB4">
        <w:t xml:space="preserve">, from </w:t>
      </w:r>
      <w:r w:rsidR="00E205C9">
        <w:t>4.6 million to 6.6 million workers</w:t>
      </w:r>
      <w:r w:rsidR="00332579">
        <w:t>)</w:t>
      </w:r>
      <w:r w:rsidR="004C6F92">
        <w:t>.</w:t>
      </w:r>
      <w:r w:rsidR="007E5378">
        <w:t xml:space="preserve"> </w:t>
      </w:r>
      <w:r w:rsidR="00777F55">
        <w:t>T</w:t>
      </w:r>
      <w:r w:rsidR="00A42529">
        <w:t>he</w:t>
      </w:r>
      <w:r w:rsidR="007E5378">
        <w:t xml:space="preserve"> i</w:t>
      </w:r>
      <w:r w:rsidR="00777F55">
        <w:t>ncreas</w:t>
      </w:r>
      <w:r w:rsidR="00332579">
        <w:t>e in population share</w:t>
      </w:r>
      <w:r w:rsidR="00777F55">
        <w:t xml:space="preserve"> of this ‘low income’ group</w:t>
      </w:r>
      <w:r w:rsidR="007E5378">
        <w:t xml:space="preserve"> </w:t>
      </w:r>
      <w:r w:rsidR="00145392">
        <w:t xml:space="preserve">in total workers </w:t>
      </w:r>
      <w:r w:rsidR="00517068">
        <w:t xml:space="preserve">moderated </w:t>
      </w:r>
      <w:r w:rsidR="007E5378">
        <w:t xml:space="preserve">the growth of </w:t>
      </w:r>
      <w:r w:rsidR="00517068">
        <w:t>labour income</w:t>
      </w:r>
      <w:r w:rsidR="00145392">
        <w:t xml:space="preserve"> when all employees are considered</w:t>
      </w:r>
      <w:r w:rsidR="007E5378">
        <w:t>.</w:t>
      </w:r>
    </w:p>
    <w:p w:rsidR="00094A03" w:rsidRPr="00094A03" w:rsidRDefault="00094A03" w:rsidP="00641C44">
      <w:pPr>
        <w:pStyle w:val="BodyText"/>
        <w:rPr>
          <w:b/>
        </w:rPr>
      </w:pPr>
      <w:r>
        <w:t>Despite the growth in</w:t>
      </w:r>
      <w:r w:rsidR="002A3120">
        <w:t xml:space="preserve"> their average income, the </w:t>
      </w:r>
      <w:r w:rsidR="00517068">
        <w:t xml:space="preserve">number of </w:t>
      </w:r>
      <w:r w:rsidR="002A3120">
        <w:t>self-</w:t>
      </w:r>
      <w:r>
        <w:t xml:space="preserve">employed (with no other job) declined in relative </w:t>
      </w:r>
      <w:r w:rsidR="001F7093">
        <w:t>terms</w:t>
      </w:r>
      <w:r w:rsidR="00E205C9">
        <w:t xml:space="preserve"> </w:t>
      </w:r>
      <w:r w:rsidR="00517068">
        <w:t xml:space="preserve">although the </w:t>
      </w:r>
      <w:r>
        <w:t xml:space="preserve">absolute numbers </w:t>
      </w:r>
      <w:r w:rsidR="00E205C9">
        <w:t xml:space="preserve">remain relatively stable </w:t>
      </w:r>
      <w:r>
        <w:t>over</w:t>
      </w:r>
      <w:r w:rsidR="00332579">
        <w:t xml:space="preserve"> the period</w:t>
      </w:r>
      <w:r w:rsidR="00E205C9">
        <w:t xml:space="preserve"> (from 880 000 in 1988-89 to 886 000 in 2009-10)</w:t>
      </w:r>
      <w:r>
        <w:t xml:space="preserve">. </w:t>
      </w:r>
    </w:p>
    <w:p w:rsidR="009441C5" w:rsidRDefault="009441C5" w:rsidP="009441C5">
      <w:pPr>
        <w:pStyle w:val="FigureTitle"/>
      </w:pPr>
      <w:r>
        <w:rPr>
          <w:b w:val="0"/>
        </w:rPr>
        <w:t xml:space="preserve">Figure </w:t>
      </w:r>
      <w:r w:rsidR="00A57B0A">
        <w:rPr>
          <w:b w:val="0"/>
        </w:rPr>
        <w:t>2.</w:t>
      </w:r>
      <w:r w:rsidR="006D43C2">
        <w:rPr>
          <w:b w:val="0"/>
          <w:noProof/>
        </w:rPr>
        <w:t>2</w:t>
      </w:r>
      <w:r>
        <w:tab/>
        <w:t xml:space="preserve">Change in average </w:t>
      </w:r>
      <w:r w:rsidR="002B7C18">
        <w:t xml:space="preserve">weekly </w:t>
      </w:r>
      <w:r>
        <w:t>income and relative size of employment types</w:t>
      </w:r>
      <w:r w:rsidR="00882995">
        <w:t>, 1988-89 to 2009-10</w:t>
      </w:r>
    </w:p>
    <w:p w:rsidR="009441C5" w:rsidRDefault="009441C5" w:rsidP="009441C5">
      <w:pPr>
        <w:pStyle w:val="Subtitle"/>
      </w:pPr>
      <w:r>
        <w:t>Real 2011-12 dollars (left side graph) and percentage (right side graph)</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695"/>
        <w:gridCol w:w="4082"/>
      </w:tblGrid>
      <w:tr w:rsidR="009441C5" w:rsidTr="00CC25DF">
        <w:trPr>
          <w:trHeight w:val="2325"/>
        </w:trPr>
        <w:tc>
          <w:tcPr>
            <w:tcW w:w="4695" w:type="dxa"/>
          </w:tcPr>
          <w:p w:rsidR="00882995" w:rsidRDefault="009F2438" w:rsidP="00882995">
            <w:pPr>
              <w:pStyle w:val="TableColumnHeading"/>
              <w:spacing w:after="0"/>
              <w:jc w:val="center"/>
              <w:rPr>
                <w:noProof/>
              </w:rPr>
            </w:pPr>
            <w:r>
              <w:rPr>
                <w:noProof/>
              </w:rPr>
              <w:t>Absolute change in average income</w:t>
            </w:r>
          </w:p>
          <w:p w:rsidR="009441C5" w:rsidRDefault="005B2A83" w:rsidP="00882995">
            <w:pPr>
              <w:pStyle w:val="TableColumnHeading"/>
              <w:spacing w:after="0"/>
              <w:jc w:val="center"/>
              <w:rPr>
                <w:noProof/>
              </w:rPr>
            </w:pPr>
            <w:r>
              <w:rPr>
                <w:noProof/>
              </w:rPr>
              <mc:AlternateContent>
                <mc:Choice Requires="wpg">
                  <w:drawing>
                    <wp:inline distT="0" distB="0" distL="0" distR="0" wp14:anchorId="6D8E90F0" wp14:editId="115B2EF7">
                      <wp:extent cx="3236181" cy="2519680"/>
                      <wp:effectExtent l="0" t="0" r="2540" b="0"/>
                      <wp:docPr id="72" name="Group 34" descr="Figure 2.2, left panel, depicts the absolute change in average incomes between 1988-89 and 2009-10. More details can be found within the text immediately before this image." title="Figure 2.2 Change in average weekly income and relative size of employment types, 1988-89 to 2009-10"/>
                      <wp:cNvGraphicFramePr/>
                      <a:graphic xmlns:a="http://schemas.openxmlformats.org/drawingml/2006/main">
                        <a:graphicData uri="http://schemas.microsoft.com/office/word/2010/wordprocessingGroup">
                          <wpg:wgp>
                            <wpg:cNvGrpSpPr/>
                            <wpg:grpSpPr>
                              <a:xfrm>
                                <a:off x="0" y="0"/>
                                <a:ext cx="3236181" cy="2519680"/>
                                <a:chOff x="-1" y="0"/>
                                <a:chExt cx="3236182" cy="2520000"/>
                              </a:xfrm>
                            </wpg:grpSpPr>
                            <wpg:graphicFrame>
                              <wpg:cNvPr id="73" name="Chart 73"/>
                              <wpg:cNvFrPr/>
                              <wpg:xfrm>
                                <a:off x="-1" y="0"/>
                                <a:ext cx="3236182" cy="2520000"/>
                              </wpg:xfrm>
                              <a:graphic>
                                <a:graphicData uri="http://schemas.openxmlformats.org/drawingml/2006/chart">
                                  <c:chart xmlns:c="http://schemas.openxmlformats.org/drawingml/2006/chart" xmlns:r="http://schemas.openxmlformats.org/officeDocument/2006/relationships" r:id="rId10"/>
                                </a:graphicData>
                              </a:graphic>
                            </wpg:graphicFrame>
                            <wps:wsp>
                              <wps:cNvPr id="75" name="TextBox 1"/>
                              <wps:cNvSpPr txBox="1"/>
                              <wps:spPr>
                                <a:xfrm>
                                  <a:off x="2057260" y="504825"/>
                                  <a:ext cx="1123005" cy="371475"/>
                                </a:xfrm>
                                <a:prstGeom prst="rect">
                                  <a:avLst/>
                                </a:prstGeom>
                                <a:solidFill>
                                  <a:schemeClr val="bg1">
                                    <a:alpha val="0"/>
                                  </a:schemeClr>
                                </a:solidFill>
                              </wps:spPr>
                              <wps:txbx>
                                <w:txbxContent>
                                  <w:p w:rsidR="00F804F8" w:rsidRDefault="00F804F8" w:rsidP="005B2A83">
                                    <w:pPr>
                                      <w:pStyle w:val="NormalWeb"/>
                                      <w:spacing w:before="0" w:beforeAutospacing="0" w:after="0" w:afterAutospacing="0"/>
                                    </w:pPr>
                                    <w:r>
                                      <w:rPr>
                                        <w:rFonts w:ascii="Arial" w:hAnsi="Arial" w:cs="Arial"/>
                                        <w:sz w:val="16"/>
                                        <w:szCs w:val="16"/>
                                      </w:rPr>
                                      <w:t>All labour income</w:t>
                                    </w:r>
                                  </w:p>
                                  <w:p w:rsidR="00F804F8" w:rsidRDefault="00F804F8" w:rsidP="005B2A83">
                                    <w:pPr>
                                      <w:pStyle w:val="NormalWeb"/>
                                      <w:spacing w:before="0" w:beforeAutospacing="0" w:after="0" w:afterAutospacing="0"/>
                                    </w:pPr>
                                    <w:r>
                                      <w:rPr>
                                        <w:rFonts w:ascii="Arial" w:hAnsi="Arial" w:cs="Arial"/>
                                        <w:sz w:val="16"/>
                                        <w:szCs w:val="16"/>
                                      </w:rPr>
                                      <w:t>38% growth</w:t>
                                    </w:r>
                                  </w:p>
                                </w:txbxContent>
                              </wps:txbx>
                              <wps:bodyPr wrap="square" rtlCol="0"/>
                            </wps:wsp>
                            <wps:wsp>
                              <wps:cNvPr id="76" name="TextBox 1"/>
                              <wps:cNvSpPr txBox="1"/>
                              <wps:spPr>
                                <a:xfrm>
                                  <a:off x="2057405" y="862393"/>
                                  <a:ext cx="1000125" cy="356807"/>
                                </a:xfrm>
                                <a:prstGeom prst="rect">
                                  <a:avLst/>
                                </a:prstGeom>
                                <a:solidFill>
                                  <a:schemeClr val="bg1">
                                    <a:alpha val="0"/>
                                  </a:schemeClr>
                                </a:solidFill>
                              </wps:spPr>
                              <wps:txbx>
                                <w:txbxContent>
                                  <w:p w:rsidR="00F804F8" w:rsidRDefault="00F804F8" w:rsidP="005B2A83">
                                    <w:pPr>
                                      <w:pStyle w:val="NormalWeb"/>
                                      <w:spacing w:before="0" w:beforeAutospacing="0" w:after="0" w:afterAutospacing="0"/>
                                    </w:pPr>
                                    <w:r>
                                      <w:rPr>
                                        <w:rFonts w:ascii="Arial" w:hAnsi="Arial" w:cs="Arial"/>
                                        <w:sz w:val="16"/>
                                        <w:szCs w:val="16"/>
                                      </w:rPr>
                                      <w:t>Business income</w:t>
                                    </w:r>
                                  </w:p>
                                  <w:p w:rsidR="00F804F8" w:rsidRDefault="00F804F8" w:rsidP="005B2A83">
                                    <w:pPr>
                                      <w:pStyle w:val="NormalWeb"/>
                                      <w:spacing w:before="0" w:beforeAutospacing="0" w:after="0" w:afterAutospacing="0"/>
                                    </w:pPr>
                                    <w:r>
                                      <w:rPr>
                                        <w:rFonts w:ascii="Arial" w:hAnsi="Arial" w:cs="Arial"/>
                                        <w:sz w:val="16"/>
                                        <w:szCs w:val="16"/>
                                      </w:rPr>
                                      <w:t>53% growth</w:t>
                                    </w:r>
                                  </w:p>
                                </w:txbxContent>
                              </wps:txbx>
                              <wps:bodyPr wrap="square" rtlCol="0"/>
                            </wps:wsp>
                            <wps:wsp>
                              <wps:cNvPr id="77" name="Rectangle 77"/>
                              <wps:cNvSpPr/>
                              <wps:spPr>
                                <a:xfrm>
                                  <a:off x="2133613" y="76201"/>
                                  <a:ext cx="540000" cy="4571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804F8" w:rsidRDefault="00F804F8" w:rsidP="005B2A83"/>
                                </w:txbxContent>
                              </wps:txbx>
                              <wps:bodyPr rtlCol="0" anchor="t"/>
                            </wps:wsp>
                            <wps:wsp>
                              <wps:cNvPr id="78" name="Straight Connector 78"/>
                              <wps:cNvCnPr/>
                              <wps:spPr>
                                <a:xfrm>
                                  <a:off x="2133601" y="657225"/>
                                  <a:ext cx="468000"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79" name="Rectangle 79"/>
                              <wps:cNvSpPr/>
                              <wps:spPr>
                                <a:xfrm>
                                  <a:off x="2124074" y="1400174"/>
                                  <a:ext cx="1019177" cy="66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804F8" w:rsidRDefault="00F804F8" w:rsidP="005B2A83"/>
                                </w:txbxContent>
                              </wps:txbx>
                              <wps:bodyPr rtlCol="0" anchor="t"/>
                            </wps:wsp>
                            <wps:wsp>
                              <wps:cNvPr id="80" name="TextBox 1"/>
                              <wps:cNvSpPr txBox="1"/>
                              <wps:spPr>
                                <a:xfrm>
                                  <a:off x="2057121" y="1219200"/>
                                  <a:ext cx="1018826" cy="364594"/>
                                </a:xfrm>
                                <a:prstGeom prst="rect">
                                  <a:avLst/>
                                </a:prstGeom>
                                <a:noFill/>
                              </wps:spPr>
                              <wps:txbx>
                                <w:txbxContent>
                                  <w:p w:rsidR="00F804F8" w:rsidRDefault="00F804F8" w:rsidP="005B2A83">
                                    <w:pPr>
                                      <w:pStyle w:val="NormalWeb"/>
                                      <w:spacing w:before="0" w:beforeAutospacing="0" w:after="0" w:afterAutospacing="0"/>
                                    </w:pPr>
                                    <w:r>
                                      <w:rPr>
                                        <w:rFonts w:ascii="Arial" w:hAnsi="Arial" w:cs="Arial"/>
                                        <w:sz w:val="16"/>
                                        <w:szCs w:val="16"/>
                                      </w:rPr>
                                      <w:t>Part time workers</w:t>
                                    </w:r>
                                  </w:p>
                                  <w:p w:rsidR="00F804F8" w:rsidRDefault="00F804F8" w:rsidP="005B2A83">
                                    <w:pPr>
                                      <w:pStyle w:val="NormalWeb"/>
                                      <w:spacing w:before="0" w:beforeAutospacing="0" w:after="0" w:afterAutospacing="0"/>
                                    </w:pPr>
                                    <w:r>
                                      <w:rPr>
                                        <w:rFonts w:ascii="Arial" w:hAnsi="Arial" w:cs="Arial"/>
                                        <w:sz w:val="16"/>
                                        <w:szCs w:val="16"/>
                                      </w:rPr>
                                      <w:t>47% growth</w:t>
                                    </w:r>
                                  </w:p>
                                </w:txbxContent>
                              </wps:txbx>
                              <wps:bodyPr wrap="square" rtlCol="0"/>
                            </wps:wsp>
                            <wps:wsp>
                              <wps:cNvPr id="74" name="TextBox 1"/>
                              <wps:cNvSpPr txBox="1"/>
                              <wps:spPr>
                                <a:xfrm>
                                  <a:off x="2057401" y="76201"/>
                                  <a:ext cx="1009650" cy="323850"/>
                                </a:xfrm>
                                <a:prstGeom prst="rect">
                                  <a:avLst/>
                                </a:prstGeom>
                                <a:solidFill>
                                  <a:schemeClr val="bg1">
                                    <a:alpha val="0"/>
                                  </a:schemeClr>
                                </a:solidFill>
                              </wps:spPr>
                              <wps:txbx>
                                <w:txbxContent>
                                  <w:p w:rsidR="00F804F8" w:rsidRDefault="00F804F8" w:rsidP="005B2A83">
                                    <w:pPr>
                                      <w:pStyle w:val="NormalWeb"/>
                                      <w:spacing w:before="0" w:beforeAutospacing="0" w:after="0" w:afterAutospacing="0"/>
                                    </w:pPr>
                                    <w:r>
                                      <w:rPr>
                                        <w:rFonts w:ascii="Arial" w:hAnsi="Arial" w:cs="Arial"/>
                                        <w:sz w:val="16"/>
                                        <w:szCs w:val="16"/>
                                      </w:rPr>
                                      <w:t>Full time workers</w:t>
                                    </w:r>
                                  </w:p>
                                  <w:p w:rsidR="00F804F8" w:rsidRDefault="00F804F8" w:rsidP="005B2A83">
                                    <w:pPr>
                                      <w:pStyle w:val="NormalWeb"/>
                                      <w:spacing w:before="0" w:beforeAutospacing="0" w:after="0" w:afterAutospacing="0"/>
                                    </w:pPr>
                                    <w:r>
                                      <w:rPr>
                                        <w:rFonts w:ascii="Arial" w:hAnsi="Arial" w:cs="Arial"/>
                                        <w:sz w:val="16"/>
                                        <w:szCs w:val="16"/>
                                      </w:rPr>
                                      <w:t>50% growth</w:t>
                                    </w:r>
                                  </w:p>
                                </w:txbxContent>
                              </wps:txbx>
                              <wps:bodyPr wrap="square" rtlCol="0"/>
                            </wps:wsp>
                          </wpg:wgp>
                        </a:graphicData>
                      </a:graphic>
                    </wp:inline>
                  </w:drawing>
                </mc:Choice>
                <mc:Fallback>
                  <w:pict>
                    <v:group id="Group 34" o:spid="_x0000_s1026" alt="Title: Figure 2.2 Change in average weekly income and relative size of employment types, 1988-89 to 2009-10 - Description: Figure 2.2, left panel, depicts the absolute change in average incomes between 1988-89 and 2009-10. More details can be found within the text immediately before this image." style="width:254.8pt;height:198.4pt;mso-position-horizontal-relative:char;mso-position-vertical-relative:line" coordorigin="" coordsize="32361,25200"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73" o:spid="_x0000_s1027" type="#_x0000_t75" style="position:absolute;width:32369;height:2517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">
                        <v:imagedata r:id="rId11" o:title=""/>
                        <o:lock v:ext="edit" aspectratio="f"/>
                      </v:shape>
                      <v:shapetype id="_x0000_t202" coordsize="21600,21600" o:spt="202" path="m,l,21600r21600,l21600,xe">
                        <v:stroke joinstyle="miter"/>
                        <v:path gradientshapeok="t" o:connecttype="rect"/>
                      </v:shapetype>
                      <v:shape id="TextBox 1" o:spid="_x0000_s1028" type="#_x0000_t202" style="position:absolute;left:20572;top:5048;width:11230;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nWMIA&#10;AADbAAAADwAAAGRycy9kb3ducmV2LnhtbESP3WqDQBCF7wt5h2UKvWvWpPlprBuRQiAXJRLTBxjc&#10;iYrurLhbtW/fLRR6eTg/HydJZ9OJkQbXWFawWkYgiEurG64UfN5Oz68gnEfW2FkmBd/kID0uHhKM&#10;tZ34SmPhKxFG2MWooPa+j6V0ZU0G3dL2xMG728GgD3KopB5wCuOmk+so2kmDDQdCjT2911S2xZcJ&#10;3A3eVs1lOoytO2H24fMXNrlST49z9gbC0+z/w3/ts1aw38Lvl/AD5P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dYwgAAANsAAAAPAAAAAAAAAAAAAAAAAJgCAABkcnMvZG93&#10;bnJldi54bWxQSwUGAAAAAAQABAD1AAAAhwMAAAAA&#10;" fillcolor="white [3212]" stroked="f">
                        <v:fill opacity="0"/>
                        <v:textbox>
                          <w:txbxContent>
                            <w:p w:rsidR="00F804F8" w:rsidRDefault="00F804F8" w:rsidP="005B2A83">
                              <w:pPr>
                                <w:pStyle w:val="NormalWeb"/>
                                <w:spacing w:before="0" w:beforeAutospacing="0" w:after="0" w:afterAutospacing="0"/>
                              </w:pPr>
                              <w:r>
                                <w:rPr>
                                  <w:rFonts w:ascii="Arial" w:hAnsi="Arial" w:cs="Arial"/>
                                  <w:sz w:val="16"/>
                                  <w:szCs w:val="16"/>
                                </w:rPr>
                                <w:t>All labour income</w:t>
                              </w:r>
                            </w:p>
                            <w:p w:rsidR="00F804F8" w:rsidRDefault="00F804F8" w:rsidP="005B2A83">
                              <w:pPr>
                                <w:pStyle w:val="NormalWeb"/>
                                <w:spacing w:before="0" w:beforeAutospacing="0" w:after="0" w:afterAutospacing="0"/>
                              </w:pPr>
                              <w:r>
                                <w:rPr>
                                  <w:rFonts w:ascii="Arial" w:hAnsi="Arial" w:cs="Arial"/>
                                  <w:sz w:val="16"/>
                                  <w:szCs w:val="16"/>
                                </w:rPr>
                                <w:t>38% growth</w:t>
                              </w:r>
                            </w:p>
                          </w:txbxContent>
                        </v:textbox>
                      </v:shape>
                      <v:shape id="TextBox 1" o:spid="_x0000_s1029" type="#_x0000_t202" style="position:absolute;left:20574;top:8623;width:10001;height:3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l5L8EA&#10;AADbAAAADwAAAGRycy9kb3ducmV2LnhtbESP3YrCMBCF7xd8hzCCd2tad/GnmoosCF4sitUHGJqx&#10;LTaT0sS2vr1ZWPDycH4+zmY7mFp01LrKsoJ4GoEgzq2uuFBwvew/lyCcR9ZYWyYFT3KwTUcfG0y0&#10;7flMXeYLEUbYJaig9L5JpHR5SQbd1DbEwbvZ1qAPsi2kbrEP46aWsyiaS4MVB0KJDf2UlN+zhwnc&#10;b7zE1bFfdXe3x92vP32xOSk1GQ+7NQhPg3+H/9sHrWAxh78v4QfI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peS/BAAAA2wAAAA8AAAAAAAAAAAAAAAAAmAIAAGRycy9kb3du&#10;cmV2LnhtbFBLBQYAAAAABAAEAPUAAACGAwAAAAA=&#10;" fillcolor="white [3212]" stroked="f">
                        <v:fill opacity="0"/>
                        <v:textbox>
                          <w:txbxContent>
                            <w:p w:rsidR="00F804F8" w:rsidRDefault="00F804F8" w:rsidP="005B2A83">
                              <w:pPr>
                                <w:pStyle w:val="NormalWeb"/>
                                <w:spacing w:before="0" w:beforeAutospacing="0" w:after="0" w:afterAutospacing="0"/>
                              </w:pPr>
                              <w:r>
                                <w:rPr>
                                  <w:rFonts w:ascii="Arial" w:hAnsi="Arial" w:cs="Arial"/>
                                  <w:sz w:val="16"/>
                                  <w:szCs w:val="16"/>
                                </w:rPr>
                                <w:t>Business income</w:t>
                              </w:r>
                            </w:p>
                            <w:p w:rsidR="00F804F8" w:rsidRDefault="00F804F8" w:rsidP="005B2A83">
                              <w:pPr>
                                <w:pStyle w:val="NormalWeb"/>
                                <w:spacing w:before="0" w:beforeAutospacing="0" w:after="0" w:afterAutospacing="0"/>
                              </w:pPr>
                              <w:r>
                                <w:rPr>
                                  <w:rFonts w:ascii="Arial" w:hAnsi="Arial" w:cs="Arial"/>
                                  <w:sz w:val="16"/>
                                  <w:szCs w:val="16"/>
                                </w:rPr>
                                <w:t>53% growth</w:t>
                              </w:r>
                            </w:p>
                          </w:txbxContent>
                        </v:textbox>
                      </v:shape>
                      <v:rect id="Rectangle 77" o:spid="_x0000_s1030" style="position:absolute;left:21336;top:762;width:5400;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R3LMYA&#10;AADbAAAADwAAAGRycy9kb3ducmV2LnhtbESPzW7CMBCE75X6DtYi9VYceoASMAhatSqHVgr/xyVe&#10;kpR4HcWGhLevKyFxHM3MN5rxtDWluFDtCssKet0IBHFqdcGZgvXq4/kVhPPIGkvLpOBKDqaTx4cx&#10;xto2nNBl6TMRIOxiVJB7X8VSujQng65rK+LgHW1t0AdZZ1LX2AS4KeVLFPWlwYLDQo4VveWUnpZn&#10;o6DdN5vv+enw/ruQOtnNf7abZPip1FOnnY1AeGr9PXxrf2kFgwH8fwk/QE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dR3LMYAAADbAAAADwAAAAAAAAAAAAAAAACYAgAAZHJz&#10;L2Rvd25yZXYueG1sUEsFBgAAAAAEAAQA9QAAAIsDAAAAAA==&#10;" fillcolor="white [3212]" strokecolor="white [3212]" strokeweight="2pt">
                        <v:textbox>
                          <w:txbxContent>
                            <w:p w:rsidR="00F804F8" w:rsidRDefault="00F804F8" w:rsidP="005B2A83"/>
                          </w:txbxContent>
                        </v:textbox>
                      </v:rect>
                      <v:line id="Straight Connector 78" o:spid="_x0000_s1031" style="position:absolute;visibility:visible;mso-wrap-style:square" from="21336,6572" to="26016,6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VMoMAAAADbAAAADwAAAGRycy9kb3ducmV2LnhtbERPzYrCMBC+C/sOYRa82VQR3e0aRURR&#10;BAW7+wBDM9sWm0lpUo1vbw6Cx4/vf7EKphE36lxtWcE4SUEQF1bXXCr4+92NvkA4j6yxsUwKHuRg&#10;tfwYLDDT9s4XuuW+FDGEXYYKKu/bTEpXVGTQJbYljty/7Qz6CLtS6g7vMdw0cpKmM2mw5thQYUub&#10;iopr3hsF/eQYpudxKNItzb/Dtc/3p02t1PAzrH9AeAr+LX65D1rBPI6NX+IPkMs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T1TKDAAAAA2wAAAA8AAAAAAAAAAAAAAAAA&#10;oQIAAGRycy9kb3ducmV2LnhtbFBLBQYAAAAABAAEAPkAAACOAwAAAAA=&#10;" strokecolor="white [3212]" strokeweight="1.5pt"/>
                      <v:rect id="Rectangle 79" o:spid="_x0000_s1032" style="position:absolute;left:21240;top:14001;width:10192;height: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dGxccA&#10;AADbAAAADwAAAGRycy9kb3ducmV2LnhtbESPS2/CMBCE70j9D9ZW4gZOe+CRYlBpBYIDSOHR9riN&#10;t0lKvI5iQ8K/x0iVehzNzDeayaw1pbhQ7QrLCp76EQji1OqCMwWH/aI3AuE8ssbSMim4koPZ9KEz&#10;wVjbhhO67HwmAoRdjApy76tYSpfmZND1bUUcvB9bG/RB1pnUNTYBbkr5HEUDabDgsJBjRW85pafd&#10;2Shov5rjZn76fv9dS518zrcfx2S8VKr72L6+gPDU+v/wX3ulFQzHcP8SfoCc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sHRsXHAAAA2wAAAA8AAAAAAAAAAAAAAAAAmAIAAGRy&#10;cy9kb3ducmV2LnhtbFBLBQYAAAAABAAEAPUAAACMAwAAAAA=&#10;" fillcolor="white [3212]" strokecolor="white [3212]" strokeweight="2pt">
                        <v:textbox>
                          <w:txbxContent>
                            <w:p w:rsidR="00F804F8" w:rsidRDefault="00F804F8" w:rsidP="005B2A83"/>
                          </w:txbxContent>
                        </v:textbox>
                      </v:rect>
                      <v:shape id="TextBox 1" o:spid="_x0000_s1033" type="#_x0000_t202" style="position:absolute;left:20571;top:12192;width:10188;height:3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rsidR="00F804F8" w:rsidRDefault="00F804F8" w:rsidP="005B2A83">
                              <w:pPr>
                                <w:pStyle w:val="NormalWeb"/>
                                <w:spacing w:before="0" w:beforeAutospacing="0" w:after="0" w:afterAutospacing="0"/>
                              </w:pPr>
                              <w:r>
                                <w:rPr>
                                  <w:rFonts w:ascii="Arial" w:hAnsi="Arial" w:cs="Arial"/>
                                  <w:sz w:val="16"/>
                                  <w:szCs w:val="16"/>
                                </w:rPr>
                                <w:t>Part time workers</w:t>
                              </w:r>
                            </w:p>
                            <w:p w:rsidR="00F804F8" w:rsidRDefault="00F804F8" w:rsidP="005B2A83">
                              <w:pPr>
                                <w:pStyle w:val="NormalWeb"/>
                                <w:spacing w:before="0" w:beforeAutospacing="0" w:after="0" w:afterAutospacing="0"/>
                              </w:pPr>
                              <w:r>
                                <w:rPr>
                                  <w:rFonts w:ascii="Arial" w:hAnsi="Arial" w:cs="Arial"/>
                                  <w:sz w:val="16"/>
                                  <w:szCs w:val="16"/>
                                </w:rPr>
                                <w:t>47% growth</w:t>
                              </w:r>
                            </w:p>
                          </w:txbxContent>
                        </v:textbox>
                      </v:shape>
                      <v:shape id="TextBox 1" o:spid="_x0000_s1034" type="#_x0000_t202" style="position:absolute;left:20574;top:762;width:10096;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dCw8EA&#10;AADbAAAADwAAAGRycy9kb3ducmV2LnhtbESP3YrCMBCF7xd8hzCCd2taV/yppiILghfLitUHGJqx&#10;LTaT0sS2vr1ZWPDycH4+znY3mFp01LrKsoJ4GoEgzq2uuFBwvRw+VyCcR9ZYWyYFT3KwS0cfW0y0&#10;7flMXeYLEUbYJaig9L5JpHR5SQbd1DbEwbvZ1qAPsi2kbrEP46aWsyhaSIMVB0KJDX2XlN+zhwnc&#10;OV7i6rdfd3d3wP2PP32xOSk1GQ/7DQhPg3+H/9tHrWA5h78v4QfI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3QsPBAAAA2wAAAA8AAAAAAAAAAAAAAAAAmAIAAGRycy9kb3du&#10;cmV2LnhtbFBLBQYAAAAABAAEAPUAAACGAwAAAAA=&#10;" fillcolor="white [3212]" stroked="f">
                        <v:fill opacity="0"/>
                        <v:textbox>
                          <w:txbxContent>
                            <w:p w:rsidR="00F804F8" w:rsidRDefault="00F804F8" w:rsidP="005B2A83">
                              <w:pPr>
                                <w:pStyle w:val="NormalWeb"/>
                                <w:spacing w:before="0" w:beforeAutospacing="0" w:after="0" w:afterAutospacing="0"/>
                              </w:pPr>
                              <w:r>
                                <w:rPr>
                                  <w:rFonts w:ascii="Arial" w:hAnsi="Arial" w:cs="Arial"/>
                                  <w:sz w:val="16"/>
                                  <w:szCs w:val="16"/>
                                </w:rPr>
                                <w:t>Full time workers</w:t>
                              </w:r>
                            </w:p>
                            <w:p w:rsidR="00F804F8" w:rsidRDefault="00F804F8" w:rsidP="005B2A83">
                              <w:pPr>
                                <w:pStyle w:val="NormalWeb"/>
                                <w:spacing w:before="0" w:beforeAutospacing="0" w:after="0" w:afterAutospacing="0"/>
                              </w:pPr>
                              <w:r>
                                <w:rPr>
                                  <w:rFonts w:ascii="Arial" w:hAnsi="Arial" w:cs="Arial"/>
                                  <w:sz w:val="16"/>
                                  <w:szCs w:val="16"/>
                                </w:rPr>
                                <w:t>50% growth</w:t>
                              </w:r>
                            </w:p>
                          </w:txbxContent>
                        </v:textbox>
                      </v:shape>
                      <w10:anchorlock/>
                    </v:group>
                  </w:pict>
                </mc:Fallback>
              </mc:AlternateContent>
            </w:r>
          </w:p>
        </w:tc>
        <w:tc>
          <w:tcPr>
            <w:tcW w:w="4082" w:type="dxa"/>
          </w:tcPr>
          <w:p w:rsidR="009441C5" w:rsidRDefault="009441C5" w:rsidP="009441C5">
            <w:pPr>
              <w:pStyle w:val="TableColumnHeading"/>
              <w:jc w:val="center"/>
              <w:rPr>
                <w:noProof/>
              </w:rPr>
            </w:pPr>
            <w:r>
              <w:rPr>
                <w:noProof/>
              </w:rPr>
              <w:t>Relative change in population size</w:t>
            </w:r>
            <w:r>
              <w:rPr>
                <w:noProof/>
              </w:rPr>
              <w:br/>
            </w:r>
            <w:r w:rsidR="00CC25DF">
              <w:rPr>
                <w:noProof/>
              </w:rPr>
              <w:drawing>
                <wp:inline distT="0" distB="0" distL="0" distR="0" wp14:anchorId="7225833B" wp14:editId="242875E8">
                  <wp:extent cx="2655735" cy="2560320"/>
                  <wp:effectExtent l="0" t="0" r="0" b="0"/>
                  <wp:docPr id="26" name="Chart 26" descr="Figure 2.2, right panel, depicts the relative change in worker sub-group population size between 1988-89 and 2009-10. More details can be found within the text immediately before this image." title="Figure 2.2 Change in average weekly income and relative size of employment types,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777F55" w:rsidRDefault="00102C18" w:rsidP="00102C18">
      <w:pPr>
        <w:pStyle w:val="Note"/>
      </w:pPr>
      <w:r>
        <w:t xml:space="preserve"> </w:t>
      </w:r>
      <w:r w:rsidR="00777F55">
        <w:rPr>
          <w:i/>
        </w:rPr>
        <w:t>Data source</w:t>
      </w:r>
      <w:r w:rsidR="00777F55" w:rsidRPr="00167F06">
        <w:t xml:space="preserve">: </w:t>
      </w:r>
      <w:r w:rsidR="00D75A5E">
        <w:t xml:space="preserve">Author estimates based on ABS (Household Expenditure Survey, cat. no. 6503.0, </w:t>
      </w:r>
      <w:proofErr w:type="spellStart"/>
      <w:r w:rsidR="00D75A5E">
        <w:t>confidentialised</w:t>
      </w:r>
      <w:proofErr w:type="spellEnd"/>
      <w:r w:rsidR="00D75A5E">
        <w:t xml:space="preserve"> unit record files)</w:t>
      </w:r>
      <w:r>
        <w:t>.</w:t>
      </w:r>
    </w:p>
    <w:p w:rsidR="007E5378" w:rsidRDefault="00102C18" w:rsidP="007E5378">
      <w:pPr>
        <w:pStyle w:val="Heading3"/>
      </w:pPr>
      <w:r>
        <w:t>Labour i</w:t>
      </w:r>
      <w:r w:rsidR="007E5378">
        <w:t>ncome has grown across the distribution, but more at the top than the bottom</w:t>
      </w:r>
    </w:p>
    <w:p w:rsidR="0068042A" w:rsidRDefault="00C816D8" w:rsidP="00641C44">
      <w:pPr>
        <w:pStyle w:val="BodyText"/>
      </w:pPr>
      <w:r>
        <w:t>Overall</w:t>
      </w:r>
      <w:r w:rsidR="00517068">
        <w:t>,</w:t>
      </w:r>
      <w:r>
        <w:t xml:space="preserve"> changes in average income can be unpacked by partitioning the income distribution into </w:t>
      </w:r>
      <w:proofErr w:type="spellStart"/>
      <w:r>
        <w:t>deciles</w:t>
      </w:r>
      <w:proofErr w:type="spellEnd"/>
      <w:r>
        <w:t xml:space="preserve"> and comparing how they have changed over time</w:t>
      </w:r>
      <w:r w:rsidR="00492FBB">
        <w:t xml:space="preserve"> (figure 2.3</w:t>
      </w:r>
      <w:r w:rsidR="00517068">
        <w:t>, top panels</w:t>
      </w:r>
      <w:r w:rsidR="00492FBB">
        <w:t>)</w:t>
      </w:r>
      <w:r>
        <w:t xml:space="preserve">. </w:t>
      </w:r>
      <w:r w:rsidR="00A42529">
        <w:t xml:space="preserve">This shows that </w:t>
      </w:r>
      <w:r>
        <w:t xml:space="preserve">higher income groups have experienced higher average income growth </w:t>
      </w:r>
      <w:r w:rsidR="00E205C9">
        <w:t xml:space="preserve">than </w:t>
      </w:r>
      <w:r>
        <w:t xml:space="preserve">all cases except for the bottom </w:t>
      </w:r>
      <w:proofErr w:type="spellStart"/>
      <w:r>
        <w:t>decile</w:t>
      </w:r>
      <w:proofErr w:type="spellEnd"/>
      <w:r w:rsidR="00A42529">
        <w:t xml:space="preserve">. </w:t>
      </w:r>
    </w:p>
    <w:p w:rsidR="0068042A" w:rsidRDefault="0068042A" w:rsidP="0068042A">
      <w:pPr>
        <w:pStyle w:val="FigureTitle"/>
      </w:pPr>
      <w:r>
        <w:rPr>
          <w:b w:val="0"/>
        </w:rPr>
        <w:lastRenderedPageBreak/>
        <w:t xml:space="preserve">Figure </w:t>
      </w:r>
      <w:r w:rsidR="00A57B0A">
        <w:rPr>
          <w:b w:val="0"/>
        </w:rPr>
        <w:t>2.</w:t>
      </w:r>
      <w:r w:rsidR="006D43C2">
        <w:rPr>
          <w:b w:val="0"/>
          <w:noProof/>
        </w:rPr>
        <w:t>3</w:t>
      </w:r>
      <w:r>
        <w:tab/>
      </w:r>
      <w:r w:rsidR="002B7C18">
        <w:t xml:space="preserve">Average weekly </w:t>
      </w:r>
      <w:r>
        <w:t>labour earnings by</w:t>
      </w:r>
      <w:r w:rsidR="00102C18">
        <w:t xml:space="preserve"> labour</w:t>
      </w:r>
      <w:r>
        <w:t xml:space="preserve"> </w:t>
      </w:r>
      <w:r w:rsidR="002B7C18">
        <w:t xml:space="preserve">income </w:t>
      </w:r>
      <w:proofErr w:type="spellStart"/>
      <w:r>
        <w:t>decile</w:t>
      </w:r>
      <w:proofErr w:type="spellEnd"/>
      <w:r w:rsidR="002B7C18">
        <w:t xml:space="preserve"> and </w:t>
      </w:r>
      <w:proofErr w:type="spellStart"/>
      <w:r w:rsidR="002B7C18">
        <w:t>decile</w:t>
      </w:r>
      <w:proofErr w:type="spellEnd"/>
      <w:r w:rsidR="002B7C18">
        <w:t xml:space="preserve"> composition by worker type</w:t>
      </w:r>
    </w:p>
    <w:p w:rsidR="0068042A" w:rsidRDefault="0068042A" w:rsidP="0068042A">
      <w:pPr>
        <w:pStyle w:val="Subtitle"/>
      </w:pPr>
      <w:r>
        <w:t>Real 2011-12 dollars (</w:t>
      </w:r>
      <w:r w:rsidR="002B7C18">
        <w:t>top left</w:t>
      </w:r>
      <w:r>
        <w:t xml:space="preserve">) and percentage </w:t>
      </w:r>
      <w:r w:rsidR="00517068">
        <w:t xml:space="preserve">change </w:t>
      </w:r>
      <w:r>
        <w:t>(</w:t>
      </w:r>
      <w:r w:rsidR="002B7C18">
        <w:t>top right and bottom</w:t>
      </w:r>
      <w:r>
        <w: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3B67CC" w:rsidTr="00B56C42">
        <w:tc>
          <w:tcPr>
            <w:tcW w:w="4388" w:type="dxa"/>
          </w:tcPr>
          <w:p w:rsidR="003B67CC" w:rsidRPr="008B704C" w:rsidRDefault="003B67CC" w:rsidP="003B67CC">
            <w:pPr>
              <w:pStyle w:val="Figure"/>
              <w:rPr>
                <w:b/>
                <w:noProof/>
              </w:rPr>
            </w:pPr>
            <w:r>
              <w:rPr>
                <w:rFonts w:ascii="Arial" w:hAnsi="Arial"/>
                <w:i/>
                <w:noProof/>
                <w:sz w:val="20"/>
              </w:rPr>
              <w:t>Dollars per week</w:t>
            </w:r>
            <w:r w:rsidR="00DD6E13">
              <w:rPr>
                <w:rFonts w:ascii="Arial" w:hAnsi="Arial"/>
                <w:i/>
                <w:noProof/>
                <w:sz w:val="20"/>
              </w:rPr>
              <w:t>, 1988-89 to 2009-10</w:t>
            </w:r>
            <w:r w:rsidR="007C0AD3">
              <w:rPr>
                <w:noProof/>
              </w:rPr>
              <w:t xml:space="preserve"> </w:t>
            </w:r>
            <w:r w:rsidR="007C0AD3">
              <w:rPr>
                <w:noProof/>
              </w:rPr>
              <w:drawing>
                <wp:inline distT="0" distB="0" distL="0" distR="0" wp14:anchorId="3F400858" wp14:editId="168CE140">
                  <wp:extent cx="2584174" cy="2520564"/>
                  <wp:effectExtent l="0" t="0" r="6985" b="0"/>
                  <wp:docPr id="83" name="Chart 83" descr="Figure 2.3, top left panel, shows absolute dollar earnings for all labour income deciles have grown between 1988-89 and 2009-10. Most rapid growth occurred between 2003-04 and 2009-10. " title="Figure 2.3 Average weekly labour earnings by labour income decile and decile composition by worker typ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389" w:type="dxa"/>
          </w:tcPr>
          <w:p w:rsidR="00533C7A" w:rsidRPr="007C0AD3" w:rsidRDefault="003B67CC" w:rsidP="003B67CC">
            <w:pPr>
              <w:pStyle w:val="Figure"/>
              <w:rPr>
                <w:rFonts w:ascii="Arial" w:hAnsi="Arial"/>
                <w:i/>
                <w:noProof/>
                <w:sz w:val="20"/>
              </w:rPr>
            </w:pPr>
            <w:r>
              <w:rPr>
                <w:rFonts w:ascii="Arial" w:hAnsi="Arial"/>
                <w:i/>
                <w:noProof/>
                <w:sz w:val="20"/>
              </w:rPr>
              <w:t>Percentage change</w:t>
            </w:r>
            <w:r w:rsidR="00E205C9">
              <w:rPr>
                <w:rFonts w:ascii="Arial" w:hAnsi="Arial"/>
                <w:i/>
                <w:noProof/>
                <w:sz w:val="20"/>
              </w:rPr>
              <w:t xml:space="preserve"> from</w:t>
            </w:r>
            <w:r>
              <w:rPr>
                <w:rFonts w:ascii="Arial" w:hAnsi="Arial"/>
                <w:i/>
                <w:noProof/>
                <w:sz w:val="20"/>
              </w:rPr>
              <w:t xml:space="preserve"> 1988</w:t>
            </w:r>
            <w:r w:rsidR="003F5059">
              <w:rPr>
                <w:rFonts w:ascii="Arial" w:hAnsi="Arial"/>
                <w:i/>
                <w:noProof/>
                <w:sz w:val="20"/>
              </w:rPr>
              <w:t>-89</w:t>
            </w:r>
            <w:r w:rsidR="00492FBB">
              <w:rPr>
                <w:rFonts w:ascii="Arial" w:hAnsi="Arial"/>
                <w:i/>
                <w:noProof/>
                <w:sz w:val="20"/>
              </w:rPr>
              <w:t xml:space="preserve"> to </w:t>
            </w:r>
            <w:r>
              <w:rPr>
                <w:rFonts w:ascii="Arial" w:hAnsi="Arial"/>
                <w:i/>
                <w:noProof/>
                <w:sz w:val="20"/>
              </w:rPr>
              <w:t>200</w:t>
            </w:r>
            <w:r w:rsidR="00B56C42">
              <w:rPr>
                <w:rFonts w:ascii="Arial" w:hAnsi="Arial"/>
                <w:i/>
                <w:noProof/>
                <w:sz w:val="20"/>
              </w:rPr>
              <w:t>9-10</w:t>
            </w:r>
            <w:r w:rsidR="007C0AD3">
              <w:rPr>
                <w:noProof/>
              </w:rPr>
              <w:t xml:space="preserve"> </w:t>
            </w:r>
            <w:r w:rsidR="00B56C42">
              <w:rPr>
                <w:noProof/>
              </w:rPr>
              <w:drawing>
                <wp:inline distT="0" distB="0" distL="0" distR="0" wp14:anchorId="35AA2074" wp14:editId="5AABD190">
                  <wp:extent cx="2520000" cy="2520000"/>
                  <wp:effectExtent l="0" t="0" r="0" b="0"/>
                  <wp:docPr id="3" name="Chart 3" descr="Figure 2.3, top right panel, shows labour income has grown for all deciles between 1988-89 and 2009-10, but at a higher rate for higher deciles than lower deciles. " title="Figure 2.3 Average weekly labour earnings by labour income decile and decile composition by worker typ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533C7A" w:rsidTr="00C736B5">
        <w:tc>
          <w:tcPr>
            <w:tcW w:w="8777" w:type="dxa"/>
            <w:gridSpan w:val="2"/>
          </w:tcPr>
          <w:p w:rsidR="00533C7A" w:rsidRDefault="00100FC4" w:rsidP="003B67CC">
            <w:pPr>
              <w:pStyle w:val="Figure"/>
              <w:rPr>
                <w:noProof/>
              </w:rPr>
            </w:pPr>
            <w:r>
              <w:rPr>
                <w:rFonts w:ascii="Arial" w:hAnsi="Arial"/>
                <w:i/>
                <w:noProof/>
                <w:sz w:val="20"/>
              </w:rPr>
              <w:t>Composit</w:t>
            </w:r>
            <w:r w:rsidR="00DD6E13">
              <w:rPr>
                <w:rFonts w:ascii="Arial" w:hAnsi="Arial"/>
                <w:i/>
                <w:noProof/>
                <w:sz w:val="20"/>
              </w:rPr>
              <w:t>ion of labour earnings deciles,</w:t>
            </w:r>
            <w:r>
              <w:rPr>
                <w:rFonts w:ascii="Arial" w:hAnsi="Arial"/>
                <w:i/>
                <w:noProof/>
                <w:sz w:val="20"/>
              </w:rPr>
              <w:t xml:space="preserve"> 2009-10</w:t>
            </w:r>
          </w:p>
          <w:p w:rsidR="00100FC4" w:rsidRDefault="00C736B5" w:rsidP="003B67CC">
            <w:pPr>
              <w:pStyle w:val="Figure"/>
              <w:rPr>
                <w:rFonts w:ascii="Arial" w:hAnsi="Arial"/>
                <w:i/>
                <w:noProof/>
                <w:sz w:val="20"/>
              </w:rPr>
            </w:pPr>
            <w:r>
              <w:rPr>
                <w:noProof/>
              </w:rPr>
              <w:drawing>
                <wp:inline distT="0" distB="0" distL="0" distR="0" wp14:anchorId="0C936FD6" wp14:editId="0F361526">
                  <wp:extent cx="5400000" cy="2160000"/>
                  <wp:effectExtent l="0" t="0" r="0" b="0"/>
                  <wp:docPr id="24" name="Chart 24" descr="Figure 2.3, bottom panel, shows the sub-group composition withing labour earnings deciles in 2009-10. Higher deciles are dominated by full-time workers, lower deciles by part-time workers." title="Figure 2.3 Average weekly labour earnings by labour income decile and decile composition by worker type"/>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68042A" w:rsidRDefault="0068042A" w:rsidP="0068042A">
      <w:pPr>
        <w:pStyle w:val="Source"/>
      </w:pPr>
      <w:r>
        <w:rPr>
          <w:i/>
        </w:rPr>
        <w:t>Data source</w:t>
      </w:r>
      <w:r w:rsidRPr="00167F06">
        <w:t xml:space="preserve">: </w:t>
      </w:r>
      <w:r w:rsidR="00D75A5E">
        <w:t xml:space="preserve">Author estimates based on ABS (Household Expenditure Survey, cat. no. 6503.0, </w:t>
      </w:r>
      <w:proofErr w:type="spellStart"/>
      <w:r w:rsidR="00D75A5E">
        <w:t>confidentialised</w:t>
      </w:r>
      <w:proofErr w:type="spellEnd"/>
      <w:r w:rsidR="00D75A5E">
        <w:t xml:space="preserve"> unit record files)</w:t>
      </w:r>
      <w:r w:rsidR="00BD3FB7">
        <w:t>.</w:t>
      </w:r>
    </w:p>
    <w:p w:rsidR="00A42529" w:rsidRDefault="0043740E" w:rsidP="00641C44">
      <w:pPr>
        <w:pStyle w:val="BodyText"/>
      </w:pPr>
      <w:r>
        <w:t xml:space="preserve">Examining the income </w:t>
      </w:r>
      <w:proofErr w:type="spellStart"/>
      <w:r>
        <w:t>deciles</w:t>
      </w:r>
      <w:proofErr w:type="spellEnd"/>
      <w:r>
        <w:t xml:space="preserve"> of sub-groups</w:t>
      </w:r>
      <w:r w:rsidR="00233EF5">
        <w:t>,</w:t>
      </w:r>
      <w:r>
        <w:rPr>
          <w:rStyle w:val="FootnoteReference"/>
        </w:rPr>
        <w:footnoteReference w:id="5"/>
      </w:r>
      <w:r>
        <w:t xml:space="preserve"> t</w:t>
      </w:r>
      <w:r w:rsidR="00A42529">
        <w:t>h</w:t>
      </w:r>
      <w:r>
        <w:t xml:space="preserve">e </w:t>
      </w:r>
      <w:r w:rsidR="00492FBB">
        <w:t xml:space="preserve">broad </w:t>
      </w:r>
      <w:r w:rsidR="00AD3376">
        <w:t>pattern</w:t>
      </w:r>
      <w:r w:rsidR="00492FBB">
        <w:t>s in figure 2.3 are</w:t>
      </w:r>
      <w:r w:rsidR="00AD3376">
        <w:t xml:space="preserve"> mirrored in the increased </w:t>
      </w:r>
      <w:r w:rsidR="00A42529">
        <w:t>dispersion of earnings amongst full-time workers</w:t>
      </w:r>
      <w:r w:rsidR="00492FBB">
        <w:t xml:space="preserve"> and the </w:t>
      </w:r>
      <w:r w:rsidR="008138DB">
        <w:t>self</w:t>
      </w:r>
      <w:r w:rsidR="002A3120">
        <w:t>-</w:t>
      </w:r>
      <w:r w:rsidR="008138DB">
        <w:t>employed (figure </w:t>
      </w:r>
      <w:r w:rsidR="00C55751">
        <w:t>2.</w:t>
      </w:r>
      <w:r w:rsidR="00233EF5">
        <w:t>4</w:t>
      </w:r>
      <w:r w:rsidR="00C55751">
        <w:t>)</w:t>
      </w:r>
      <w:r w:rsidR="00492FBB">
        <w:t>.</w:t>
      </w:r>
      <w:r w:rsidR="00A42529">
        <w:t xml:space="preserve"> In contrast, </w:t>
      </w:r>
      <w:r w:rsidR="00AD3376">
        <w:t>average income growth has been</w:t>
      </w:r>
      <w:r w:rsidR="00A42529">
        <w:t xml:space="preserve"> </w:t>
      </w:r>
      <w:r w:rsidR="00AD3376">
        <w:t>more evenly spread among part-time workers, with strong</w:t>
      </w:r>
      <w:r w:rsidR="00702CE3">
        <w:t>er</w:t>
      </w:r>
      <w:r w:rsidR="00AD3376">
        <w:t xml:space="preserve"> growth in the bottom three </w:t>
      </w:r>
      <w:proofErr w:type="spellStart"/>
      <w:r w:rsidR="00AD3376">
        <w:t>deciles</w:t>
      </w:r>
      <w:proofErr w:type="spellEnd"/>
      <w:r w:rsidR="00AD3376">
        <w:t xml:space="preserve">. The bottom three </w:t>
      </w:r>
      <w:proofErr w:type="spellStart"/>
      <w:r w:rsidR="00AD3376">
        <w:t>deciles</w:t>
      </w:r>
      <w:proofErr w:type="spellEnd"/>
      <w:r w:rsidR="00AD3376">
        <w:t xml:space="preserve"> of part-time workers dominate the bottom </w:t>
      </w:r>
      <w:proofErr w:type="spellStart"/>
      <w:r w:rsidR="00AD3376">
        <w:t>decile</w:t>
      </w:r>
      <w:proofErr w:type="spellEnd"/>
      <w:r w:rsidR="00AD3376">
        <w:t xml:space="preserve"> of overall labour earnings</w:t>
      </w:r>
      <w:r w:rsidR="00233EF5">
        <w:t xml:space="preserve">. </w:t>
      </w:r>
      <w:r w:rsidR="00100FC4">
        <w:t>High income</w:t>
      </w:r>
      <w:r w:rsidR="00AD3376">
        <w:t xml:space="preserve"> </w:t>
      </w:r>
      <w:r w:rsidR="00100FC4">
        <w:t xml:space="preserve">growth amongst this </w:t>
      </w:r>
      <w:r w:rsidR="00E205C9">
        <w:t xml:space="preserve">latter </w:t>
      </w:r>
      <w:r w:rsidR="00100FC4">
        <w:t xml:space="preserve">group drives the spike in income growth observed in </w:t>
      </w:r>
      <w:r w:rsidR="00AD3376">
        <w:t xml:space="preserve">the first </w:t>
      </w:r>
      <w:proofErr w:type="spellStart"/>
      <w:r w:rsidR="00AD3376">
        <w:t>decile</w:t>
      </w:r>
      <w:proofErr w:type="spellEnd"/>
      <w:r w:rsidR="00AD3376">
        <w:t xml:space="preserve"> of </w:t>
      </w:r>
      <w:r w:rsidR="00094A03">
        <w:t xml:space="preserve">overall </w:t>
      </w:r>
      <w:r w:rsidR="00AD3376">
        <w:t>labour income</w:t>
      </w:r>
      <w:r w:rsidR="00233EF5">
        <w:t xml:space="preserve"> (figure </w:t>
      </w:r>
      <w:r w:rsidR="00233EF5">
        <w:lastRenderedPageBreak/>
        <w:t>2.3, top right panel)</w:t>
      </w:r>
      <w:r w:rsidR="00AD3376">
        <w:t>.</w:t>
      </w:r>
      <w:r w:rsidR="00E56450">
        <w:t xml:space="preserve"> The roles of hours worked and hourly wages in driving these trends in weekly income </w:t>
      </w:r>
      <w:r w:rsidR="00E205C9">
        <w:t xml:space="preserve">are </w:t>
      </w:r>
      <w:r w:rsidR="00E56450">
        <w:t>discussed later in this chapter.</w:t>
      </w:r>
    </w:p>
    <w:p w:rsidR="00AD3376" w:rsidRDefault="00AD3376" w:rsidP="00641C44">
      <w:pPr>
        <w:pStyle w:val="BodyText"/>
      </w:pPr>
      <w:r>
        <w:t>The earnings p</w:t>
      </w:r>
      <w:r w:rsidR="000754B2">
        <w:t>rofile of the s</w:t>
      </w:r>
      <w:r w:rsidR="002A3120">
        <w:t>elf-</w:t>
      </w:r>
      <w:r>
        <w:t xml:space="preserve">employed is the most complex and contains </w:t>
      </w:r>
      <w:r w:rsidR="009945D3">
        <w:t xml:space="preserve">a </w:t>
      </w:r>
      <w:r>
        <w:t xml:space="preserve">number of distinguishing </w:t>
      </w:r>
      <w:r w:rsidR="009945D3">
        <w:t>features.</w:t>
      </w:r>
    </w:p>
    <w:p w:rsidR="009945D3" w:rsidRDefault="00E96BAA" w:rsidP="004E4F38">
      <w:pPr>
        <w:pStyle w:val="ListBullet"/>
      </w:pPr>
      <w:r w:rsidRPr="0011515A">
        <w:rPr>
          <w:i/>
        </w:rPr>
        <w:t xml:space="preserve">Many self-employed are also salaried employees. </w:t>
      </w:r>
      <w:r>
        <w:t>In 2009</w:t>
      </w:r>
      <w:r w:rsidR="003F5059">
        <w:t>-10</w:t>
      </w:r>
      <w:r>
        <w:t>, around 19 p</w:t>
      </w:r>
      <w:r w:rsidR="002A3120">
        <w:t>er cent of people who were self-</w:t>
      </w:r>
      <w:r>
        <w:t xml:space="preserve">employed and </w:t>
      </w:r>
      <w:r w:rsidR="00E03FA6">
        <w:t>earned</w:t>
      </w:r>
      <w:r>
        <w:t xml:space="preserve"> income from their business had either a par</w:t>
      </w:r>
      <w:r w:rsidR="0086330E">
        <w:t>t-time (7.4 per cent) or a full-</w:t>
      </w:r>
      <w:r>
        <w:t>time (11.5 per cent) job. In part, this explains the greater level of dispersion in business income (discussed below), as these people are effectivel</w:t>
      </w:r>
      <w:r w:rsidR="00492FBB">
        <w:t>y splitting their labour effort</w:t>
      </w:r>
      <w:r>
        <w:t xml:space="preserve"> their reported business income is lower than their actual labour income.</w:t>
      </w:r>
      <w:r w:rsidR="0011515A">
        <w:t xml:space="preserve"> Self-employed workers who rely totally on their business for their labour income earn significantly more business income than ‘mixed</w:t>
      </w:r>
      <w:r w:rsidR="00BF5DB7">
        <w:noBreakHyphen/>
      </w:r>
      <w:r w:rsidR="0011515A">
        <w:t xml:space="preserve">workers’ and have experienced greater income growth in the last 20 years (figure </w:t>
      </w:r>
      <w:r w:rsidR="00C55751">
        <w:t>2.</w:t>
      </w:r>
      <w:r w:rsidR="00492FBB">
        <w:t>4</w:t>
      </w:r>
      <w:r w:rsidR="00AF7B3E">
        <w:t>,</w:t>
      </w:r>
      <w:r w:rsidR="00AF7B3E" w:rsidRPr="00AF7B3E">
        <w:t xml:space="preserve"> </w:t>
      </w:r>
      <w:r w:rsidR="00AF7B3E">
        <w:t>bottom right panel</w:t>
      </w:r>
      <w:r w:rsidR="0011515A">
        <w:t xml:space="preserve">). The same effect is also present in the </w:t>
      </w:r>
      <w:r w:rsidR="00C55751">
        <w:t>reported</w:t>
      </w:r>
      <w:r w:rsidR="0011515A">
        <w:t xml:space="preserve"> incom</w:t>
      </w:r>
      <w:r w:rsidR="0086330E">
        <w:t>e of full-</w:t>
      </w:r>
      <w:r w:rsidR="00C55751">
        <w:t>time and part</w:t>
      </w:r>
      <w:r w:rsidR="0086330E">
        <w:t>-time</w:t>
      </w:r>
      <w:r w:rsidR="00C55751">
        <w:t xml:space="preserve"> workers (those who also have a small business earn less on average).</w:t>
      </w:r>
      <w:r w:rsidR="0011515A">
        <w:t xml:space="preserve"> However</w:t>
      </w:r>
      <w:r w:rsidR="00DA008D">
        <w:t>,</w:t>
      </w:r>
      <w:r w:rsidR="0011515A">
        <w:t xml:space="preserve"> as </w:t>
      </w:r>
      <w:r w:rsidR="003455C0">
        <w:t>mixed</w:t>
      </w:r>
      <w:r w:rsidR="00BF5DB7">
        <w:noBreakHyphen/>
        <w:t>income</w:t>
      </w:r>
      <w:r w:rsidR="003455C0">
        <w:t xml:space="preserve"> workers are a much smaller proportion </w:t>
      </w:r>
      <w:r w:rsidR="004E4F38">
        <w:t>of full-time and part-time workers</w:t>
      </w:r>
      <w:r w:rsidR="00492FBB">
        <w:t>,</w:t>
      </w:r>
      <w:r w:rsidR="004E4F38">
        <w:t xml:space="preserve"> </w:t>
      </w:r>
      <w:r w:rsidR="0011515A">
        <w:t>the</w:t>
      </w:r>
      <w:r w:rsidR="004E4F38">
        <w:t>ir</w:t>
      </w:r>
      <w:r w:rsidR="0011515A">
        <w:t xml:space="preserve"> presence has little effect on </w:t>
      </w:r>
      <w:r w:rsidR="00E205C9">
        <w:t xml:space="preserve">the </w:t>
      </w:r>
      <w:r w:rsidR="0011515A">
        <w:t>observed averages</w:t>
      </w:r>
      <w:r w:rsidR="004E4F38">
        <w:t xml:space="preserve"> of these groups</w:t>
      </w:r>
      <w:r w:rsidR="0011515A">
        <w:t xml:space="preserve">. </w:t>
      </w:r>
    </w:p>
    <w:p w:rsidR="0004706C" w:rsidRDefault="0011515A" w:rsidP="00AC4C43">
      <w:pPr>
        <w:pStyle w:val="ListBullet"/>
      </w:pPr>
      <w:r>
        <w:rPr>
          <w:i/>
        </w:rPr>
        <w:t xml:space="preserve">There are always some businesses losing </w:t>
      </w:r>
      <w:r w:rsidRPr="0011515A">
        <w:rPr>
          <w:i/>
        </w:rPr>
        <w:t>money</w:t>
      </w:r>
      <w:r>
        <w:t xml:space="preserve">. </w:t>
      </w:r>
      <w:r w:rsidR="009945D3" w:rsidRPr="0011515A">
        <w:t>The</w:t>
      </w:r>
      <w:r w:rsidR="009945D3">
        <w:t xml:space="preserve"> first </w:t>
      </w:r>
      <w:proofErr w:type="spellStart"/>
      <w:r w:rsidR="009945D3">
        <w:t>decile</w:t>
      </w:r>
      <w:proofErr w:type="spellEnd"/>
      <w:r w:rsidR="00492FBB">
        <w:t xml:space="preserve"> of the </w:t>
      </w:r>
      <w:r w:rsidR="00BD3FB7">
        <w:t>self-employed</w:t>
      </w:r>
      <w:r w:rsidR="00492FBB">
        <w:t xml:space="preserve"> has</w:t>
      </w:r>
      <w:r w:rsidR="009945D3">
        <w:t xml:space="preserve"> reported substantial negative earnings over the last 20 years (</w:t>
      </w:r>
      <w:r w:rsidR="00DA008D">
        <w:t xml:space="preserve">for </w:t>
      </w:r>
      <w:r w:rsidR="009945D3">
        <w:t>those with no other salaried job</w:t>
      </w:r>
      <w:r w:rsidR="00DA008D">
        <w:t xml:space="preserve">, average weekly losses </w:t>
      </w:r>
      <w:r w:rsidR="00BF5DB7">
        <w:t>changed</w:t>
      </w:r>
      <w:r w:rsidR="00DA008D">
        <w:t xml:space="preserve"> from almost </w:t>
      </w:r>
      <w:r w:rsidR="009945D3">
        <w:t xml:space="preserve">$200 per </w:t>
      </w:r>
      <w:r w:rsidR="00AF7B3E">
        <w:t xml:space="preserve">week </w:t>
      </w:r>
      <w:r w:rsidR="009945D3">
        <w:t>in 1988</w:t>
      </w:r>
      <w:r w:rsidR="003F5059">
        <w:t>-89</w:t>
      </w:r>
      <w:r w:rsidR="00DA008D">
        <w:t xml:space="preserve"> to around </w:t>
      </w:r>
      <w:r w:rsidR="009945D3">
        <w:t xml:space="preserve">$123 </w:t>
      </w:r>
      <w:r w:rsidR="0004706C">
        <w:t>in 2009</w:t>
      </w:r>
      <w:r w:rsidR="003F5059">
        <w:t>-10</w:t>
      </w:r>
      <w:r w:rsidR="0004706C">
        <w:t xml:space="preserve">). </w:t>
      </w:r>
      <w:r w:rsidR="00AC4C43">
        <w:t xml:space="preserve">As the </w:t>
      </w:r>
      <w:proofErr w:type="spellStart"/>
      <w:r w:rsidR="00AC4C43">
        <w:t>HES</w:t>
      </w:r>
      <w:proofErr w:type="spellEnd"/>
      <w:r w:rsidR="00AC4C43">
        <w:t xml:space="preserve"> draws a random sample in each period, this is not suggestive of a </w:t>
      </w:r>
      <w:r w:rsidR="0004706C">
        <w:t xml:space="preserve">stable cohort of loss making businesses. </w:t>
      </w:r>
      <w:r w:rsidR="00AC4C43">
        <w:t>By necessity, the loss making group is likely to largely reflect businesses undergoing some type of transition. For example</w:t>
      </w:r>
      <w:r w:rsidR="00E205C9">
        <w:t>, businesses</w:t>
      </w:r>
      <w:r w:rsidR="00F42F46">
        <w:t xml:space="preserve"> making a loss during a start-</w:t>
      </w:r>
      <w:r w:rsidR="0004706C">
        <w:t xml:space="preserve">up </w:t>
      </w:r>
      <w:r w:rsidR="008138DB">
        <w:t>or expansionary phase;</w:t>
      </w:r>
      <w:r w:rsidR="0004706C">
        <w:t xml:space="preserve"> going through a temporary ‘bad spell’</w:t>
      </w:r>
      <w:r w:rsidR="008138DB">
        <w:t>;</w:t>
      </w:r>
      <w:r w:rsidR="0004706C">
        <w:t xml:space="preserve"> or on a path to bankruptcy and di</w:t>
      </w:r>
      <w:r w:rsidR="00AC4C43">
        <w:t>ssolution.</w:t>
      </w:r>
      <w:r w:rsidR="00E205C9">
        <w:t xml:space="preserve"> These factors will also influence returns to those in the second and third </w:t>
      </w:r>
      <w:proofErr w:type="spellStart"/>
      <w:r w:rsidR="00E205C9">
        <w:t>deciles</w:t>
      </w:r>
      <w:proofErr w:type="spellEnd"/>
      <w:r w:rsidR="00E205C9">
        <w:t>.</w:t>
      </w:r>
    </w:p>
    <w:p w:rsidR="00F42F46" w:rsidRDefault="00F42F46" w:rsidP="009945D3">
      <w:pPr>
        <w:pStyle w:val="ListBullet"/>
      </w:pPr>
      <w:r>
        <w:rPr>
          <w:i/>
        </w:rPr>
        <w:t xml:space="preserve">Business is risky but the potential rewards are larger. </w:t>
      </w:r>
      <w:r w:rsidR="002A3120">
        <w:t>Self-</w:t>
      </w:r>
      <w:r>
        <w:t xml:space="preserve">employed workers have the most volatile income series through time, as well as </w:t>
      </w:r>
      <w:r w:rsidR="009945D3">
        <w:t>the largest ‘gap’ between</w:t>
      </w:r>
      <w:r>
        <w:t xml:space="preserve"> high and low</w:t>
      </w:r>
      <w:r w:rsidR="009945D3">
        <w:t xml:space="preserve"> </w:t>
      </w:r>
      <w:proofErr w:type="spellStart"/>
      <w:r w:rsidR="009945D3">
        <w:t>deciles</w:t>
      </w:r>
      <w:proofErr w:type="spellEnd"/>
      <w:r w:rsidR="009945D3">
        <w:t>, in both absolute and relative terms. For example</w:t>
      </w:r>
      <w:r w:rsidR="00AC4C43">
        <w:t>,</w:t>
      </w:r>
      <w:r w:rsidR="009945D3">
        <w:t xml:space="preserve"> the 10</w:t>
      </w:r>
      <w:r w:rsidR="009945D3" w:rsidRPr="0004706C">
        <w:rPr>
          <w:vertAlign w:val="superscript"/>
        </w:rPr>
        <w:t>th</w:t>
      </w:r>
      <w:r w:rsidR="0086330E">
        <w:t xml:space="preserve"> decile of full-</w:t>
      </w:r>
      <w:r w:rsidR="009945D3">
        <w:t xml:space="preserve">time workers earns </w:t>
      </w:r>
      <w:r w:rsidR="008138DB">
        <w:t>around three and a half</w:t>
      </w:r>
      <w:r w:rsidR="009945D3">
        <w:t xml:space="preserve"> times as much as the </w:t>
      </w:r>
      <w:r w:rsidR="008138DB">
        <w:t>2</w:t>
      </w:r>
      <w:r w:rsidR="008138DB" w:rsidRPr="008138DB">
        <w:rPr>
          <w:vertAlign w:val="superscript"/>
        </w:rPr>
        <w:t>nd</w:t>
      </w:r>
      <w:r w:rsidR="008138DB">
        <w:rPr>
          <w:vertAlign w:val="superscript"/>
        </w:rPr>
        <w:t> </w:t>
      </w:r>
      <w:r w:rsidR="008138DB">
        <w:t>decile</w:t>
      </w:r>
      <w:r w:rsidR="009945D3">
        <w:t xml:space="preserve">. For the self-employed (with no other salaried job) the ratio is </w:t>
      </w:r>
      <w:r w:rsidR="008138DB">
        <w:t xml:space="preserve">around </w:t>
      </w:r>
      <w:r w:rsidR="009945D3">
        <w:t>46</w:t>
      </w:r>
      <w:r w:rsidR="00C55751">
        <w:t xml:space="preserve"> times</w:t>
      </w:r>
      <w:r w:rsidR="009945D3">
        <w:t>.</w:t>
      </w:r>
      <w:r w:rsidR="008138DB">
        <w:rPr>
          <w:rStyle w:val="FootnoteReference"/>
        </w:rPr>
        <w:footnoteReference w:id="6"/>
      </w:r>
      <w:r w:rsidR="009945D3">
        <w:t xml:space="preserve"> </w:t>
      </w:r>
      <w:r>
        <w:t>Indeed</w:t>
      </w:r>
      <w:r w:rsidR="00AC4C43">
        <w:t>,</w:t>
      </w:r>
      <w:r>
        <w:t xml:space="preserve"> the top </w:t>
      </w:r>
      <w:proofErr w:type="spellStart"/>
      <w:r>
        <w:t>decile</w:t>
      </w:r>
      <w:proofErr w:type="spellEnd"/>
      <w:r>
        <w:t xml:space="preserve"> of </w:t>
      </w:r>
      <w:r w:rsidR="00BD3FB7">
        <w:t>self-employed</w:t>
      </w:r>
      <w:r>
        <w:t xml:space="preserve"> experienced greater growth over the period than any type of worker, and in 2009</w:t>
      </w:r>
      <w:r w:rsidR="003F5059">
        <w:t>-10</w:t>
      </w:r>
      <w:r>
        <w:t xml:space="preserve"> earned more than any other type of worker.</w:t>
      </w:r>
    </w:p>
    <w:p w:rsidR="003B67CC" w:rsidRDefault="003B67CC">
      <w:pPr>
        <w:rPr>
          <w:szCs w:val="20"/>
        </w:rPr>
      </w:pPr>
      <w:r>
        <w:br w:type="page"/>
      </w:r>
    </w:p>
    <w:p w:rsidR="003B67CC" w:rsidRDefault="003B67CC">
      <w:pPr>
        <w:pStyle w:val="FigureTitle"/>
      </w:pPr>
      <w:r>
        <w:rPr>
          <w:b w:val="0"/>
        </w:rPr>
        <w:lastRenderedPageBreak/>
        <w:t xml:space="preserve">Figure </w:t>
      </w:r>
      <w:r w:rsidR="00A57B0A">
        <w:rPr>
          <w:b w:val="0"/>
        </w:rPr>
        <w:t>2.</w:t>
      </w:r>
      <w:r w:rsidR="006D43C2">
        <w:rPr>
          <w:b w:val="0"/>
          <w:noProof/>
        </w:rPr>
        <w:t>4</w:t>
      </w:r>
      <w:r>
        <w:tab/>
        <w:t>Change in average</w:t>
      </w:r>
      <w:r w:rsidR="00AA6F25">
        <w:t xml:space="preserve"> weekly </w:t>
      </w:r>
      <w:r w:rsidR="00102C18">
        <w:t>earnings</w:t>
      </w:r>
      <w:r>
        <w:t xml:space="preserve"> by worker type and </w:t>
      </w:r>
      <w:proofErr w:type="spellStart"/>
      <w:r>
        <w:t>decile</w:t>
      </w:r>
      <w:proofErr w:type="spellEnd"/>
    </w:p>
    <w:p w:rsidR="003B67CC" w:rsidRDefault="003B67CC" w:rsidP="003B67CC">
      <w:pPr>
        <w:pStyle w:val="Subtitle"/>
      </w:pPr>
      <w:r>
        <w:t>Real 20</w:t>
      </w:r>
      <w:r w:rsidR="00AA6F25">
        <w:t>11-12 dollars (left side</w:t>
      </w:r>
      <w:r>
        <w:t xml:space="preserve">) and percentage </w:t>
      </w:r>
      <w:r w:rsidR="00BF5DB7">
        <w:t xml:space="preserve">change </w:t>
      </w:r>
      <w:r>
        <w:t>(right side)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3B67CC" w:rsidTr="00E22BF4">
        <w:trPr>
          <w:trHeight w:val="163"/>
        </w:trPr>
        <w:tc>
          <w:tcPr>
            <w:tcW w:w="4388" w:type="dxa"/>
          </w:tcPr>
          <w:p w:rsidR="003B67CC" w:rsidRDefault="008B4DF3">
            <w:pPr>
              <w:pStyle w:val="Figure"/>
            </w:pPr>
            <w:r>
              <w:rPr>
                <w:noProof/>
              </w:rPr>
              <w:drawing>
                <wp:inline distT="0" distB="0" distL="0" distR="0" wp14:anchorId="28D61352" wp14:editId="37AFF354">
                  <wp:extent cx="2600076" cy="2425148"/>
                  <wp:effectExtent l="0" t="0" r="0" b="0"/>
                  <wp:docPr id="1" name="Chart 1" descr="Top left panel depicts full-time worker income. Real incomes for all deciles have increased between 1988-89 and 2009-10. " title="Figure 2.4 Change in average weekly earnings by worker type and decile"/>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389" w:type="dxa"/>
          </w:tcPr>
          <w:p w:rsidR="003B67CC" w:rsidRDefault="00E22BF4">
            <w:pPr>
              <w:pStyle w:val="Figure"/>
            </w:pPr>
            <w:r>
              <w:rPr>
                <w:noProof/>
              </w:rPr>
              <w:drawing>
                <wp:inline distT="0" distB="0" distL="0" distR="0" wp14:anchorId="74169C61" wp14:editId="227A1E4A">
                  <wp:extent cx="2520564" cy="2425148"/>
                  <wp:effectExtent l="0" t="0" r="0" b="0"/>
                  <wp:docPr id="91" name="Chart 91" descr="Top right panel depicts the percentage change in full-time worker income between 1988-89 and 2009-10. Growth has been stronger in higher deciles than lower deciles. " title="Figure 2.4 Change in average weekly earnings by worker type and decile"/>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3B67CC" w:rsidTr="00E22BF4">
        <w:trPr>
          <w:trHeight w:val="163"/>
        </w:trPr>
        <w:tc>
          <w:tcPr>
            <w:tcW w:w="4388" w:type="dxa"/>
          </w:tcPr>
          <w:p w:rsidR="003B67CC" w:rsidRDefault="008B4DF3">
            <w:pPr>
              <w:pStyle w:val="Figure"/>
            </w:pPr>
            <w:r>
              <w:rPr>
                <w:noProof/>
              </w:rPr>
              <w:drawing>
                <wp:inline distT="0" distB="0" distL="0" distR="0" wp14:anchorId="41E8C9AF" wp14:editId="1A8E1F62">
                  <wp:extent cx="2600076" cy="2417197"/>
                  <wp:effectExtent l="0" t="0" r="0" b="2540"/>
                  <wp:docPr id="87" name="Chart 87" descr="Middle left panel depicts part-time worker income. Real incomes for all deciles have increased between 1988-89 and 2009-10. " title="Figure 2.4 Change in average weekly earnings by worker type and decile"/>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4389" w:type="dxa"/>
          </w:tcPr>
          <w:p w:rsidR="003B67CC" w:rsidRDefault="00E22BF4">
            <w:pPr>
              <w:pStyle w:val="Figure"/>
            </w:pPr>
            <w:r>
              <w:rPr>
                <w:noProof/>
              </w:rPr>
              <w:drawing>
                <wp:inline distT="0" distB="0" distL="0" distR="0" wp14:anchorId="5956C027" wp14:editId="701671EE">
                  <wp:extent cx="2520564" cy="2417197"/>
                  <wp:effectExtent l="0" t="0" r="0" b="2540"/>
                  <wp:docPr id="92" name="Chart 92" descr="Middle right panel depicts the percentage change in part-time worker income between 1988-89 and 2009-10. Growth has been stronger in lower deciles than higher deciles. " title="Figure 2.4 Change in average weekly earnings by worker type and decile"/>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3B67CC" w:rsidTr="00E22BF4">
        <w:trPr>
          <w:trHeight w:val="163"/>
        </w:trPr>
        <w:tc>
          <w:tcPr>
            <w:tcW w:w="4388" w:type="dxa"/>
          </w:tcPr>
          <w:p w:rsidR="003B67CC" w:rsidRDefault="00E22BF4">
            <w:pPr>
              <w:pStyle w:val="Figure"/>
            </w:pPr>
            <w:r>
              <w:rPr>
                <w:noProof/>
              </w:rPr>
              <w:drawing>
                <wp:inline distT="0" distB="0" distL="0" distR="0" wp14:anchorId="281DA888" wp14:editId="14D720A2">
                  <wp:extent cx="2623931" cy="2441050"/>
                  <wp:effectExtent l="0" t="0" r="5080" b="0"/>
                  <wp:docPr id="90" name="Chart 90" descr="Bottom left panel depicts self-employed worker income. Real incomes for all deciles have increased between 1988-89 and 2009-10. Increases have been most significant for those in the 10th decile between 2003-04 and 2009-10." title="Figure 2.4 Change in average weekly earnings by worker type and decile"/>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4389" w:type="dxa"/>
          </w:tcPr>
          <w:p w:rsidR="003B67CC" w:rsidRDefault="00E22BF4">
            <w:pPr>
              <w:pStyle w:val="Figure"/>
            </w:pPr>
            <w:r>
              <w:rPr>
                <w:noProof/>
              </w:rPr>
              <w:drawing>
                <wp:inline distT="0" distB="0" distL="0" distR="0" wp14:anchorId="1C0B954F" wp14:editId="036BC2DB">
                  <wp:extent cx="2520564" cy="2441050"/>
                  <wp:effectExtent l="0" t="0" r="0" b="0"/>
                  <wp:docPr id="93" name="Chart 93" descr="Top right panel depicts the percentage change in self-employed income between 1988-89 and 2009-10. Growth has been stronger in higher deciles than lower deciles. " title="Figure 2.4 Change in average weekly earnings by worker type and decile"/>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3B67CC" w:rsidRDefault="003B67CC" w:rsidP="00B36176">
      <w:pPr>
        <w:pStyle w:val="Source"/>
        <w:spacing w:before="0"/>
      </w:pPr>
      <w:r>
        <w:rPr>
          <w:i/>
        </w:rPr>
        <w:t>Data source</w:t>
      </w:r>
      <w:r w:rsidRPr="00167F06">
        <w:t xml:space="preserve">: </w:t>
      </w:r>
      <w:r w:rsidR="00D75A5E">
        <w:t xml:space="preserve">Author estimates based on ABS (Household Expenditure Survey, cat. no. 6503.0, </w:t>
      </w:r>
      <w:proofErr w:type="spellStart"/>
      <w:r w:rsidR="00D75A5E">
        <w:t>confidentialised</w:t>
      </w:r>
      <w:proofErr w:type="spellEnd"/>
      <w:r w:rsidR="00D75A5E">
        <w:t xml:space="preserve"> unit record files)</w:t>
      </w:r>
      <w:r w:rsidR="00BD3FB7">
        <w:t>.</w:t>
      </w:r>
    </w:p>
    <w:p w:rsidR="00D1228E" w:rsidRDefault="00373364" w:rsidP="00373364">
      <w:pPr>
        <w:pStyle w:val="Heading3"/>
      </w:pPr>
      <w:r>
        <w:lastRenderedPageBreak/>
        <w:t xml:space="preserve">The distribution of labour </w:t>
      </w:r>
      <w:r w:rsidR="00102C18">
        <w:t>income</w:t>
      </w:r>
      <w:r>
        <w:t xml:space="preserve"> is shifting to the right and becoming flatter</w:t>
      </w:r>
    </w:p>
    <w:p w:rsidR="00954C5F" w:rsidRPr="00D040F3" w:rsidRDefault="00E72450" w:rsidP="00E72450">
      <w:pPr>
        <w:pStyle w:val="BodyText"/>
      </w:pPr>
      <w:r>
        <w:t xml:space="preserve">While </w:t>
      </w:r>
      <w:proofErr w:type="spellStart"/>
      <w:r>
        <w:t>decile</w:t>
      </w:r>
      <w:proofErr w:type="spellEnd"/>
      <w:r>
        <w:t xml:space="preserve"> analysis provides insight into distribution changes (in terms of partitioned income groups), it is useful to consider the distribution of income as a whole in order to garner a more complete understanding of how it moves over time. This is commonly done through the estimation of Probability Density Functions</w:t>
      </w:r>
      <w:r w:rsidR="002D0518">
        <w:t xml:space="preserve"> (chapter 1)</w:t>
      </w:r>
      <w:r>
        <w:t xml:space="preserve">, which </w:t>
      </w:r>
      <w:r w:rsidR="00CB39FD">
        <w:t xml:space="preserve">are </w:t>
      </w:r>
      <w:r>
        <w:t xml:space="preserve">particularly useful in describing where populations tend </w:t>
      </w:r>
      <w:r w:rsidR="00D040F3">
        <w:t xml:space="preserve">to be </w:t>
      </w:r>
      <w:r w:rsidR="00D040F3">
        <w:rPr>
          <w:i/>
        </w:rPr>
        <w:t>located</w:t>
      </w:r>
      <w:r w:rsidR="00D040F3">
        <w:t xml:space="preserve"> in terms of their real labour earnings, and </w:t>
      </w:r>
      <w:r w:rsidR="008138DB">
        <w:t>how the</w:t>
      </w:r>
      <w:r w:rsidR="00D040F3">
        <w:t>s</w:t>
      </w:r>
      <w:r w:rsidR="008138DB">
        <w:t>e</w:t>
      </w:r>
      <w:r w:rsidR="00D040F3">
        <w:t xml:space="preserve"> loc</w:t>
      </w:r>
      <w:r w:rsidR="001435FE">
        <w:t xml:space="preserve">i </w:t>
      </w:r>
      <w:r w:rsidR="008138DB">
        <w:t>shift over time</w:t>
      </w:r>
      <w:r w:rsidR="00D040F3">
        <w:t>.</w:t>
      </w:r>
    </w:p>
    <w:p w:rsidR="00954C5F" w:rsidRDefault="00954C5F" w:rsidP="005A0D07">
      <w:pPr>
        <w:pStyle w:val="BodyText"/>
      </w:pPr>
      <w:r>
        <w:t>For all periods, except 1988</w:t>
      </w:r>
      <w:r w:rsidR="003F5059">
        <w:t>-89</w:t>
      </w:r>
      <w:r>
        <w:t xml:space="preserve">, the distribution of labour earnings is double peaked. This is due to the underlying size and shape of </w:t>
      </w:r>
      <w:r w:rsidR="00DF1ECE">
        <w:t>the distributions of full-</w:t>
      </w:r>
      <w:r w:rsidR="00A40EEA">
        <w:t>time</w:t>
      </w:r>
      <w:r w:rsidR="00DF1ECE">
        <w:t>, part-</w:t>
      </w:r>
      <w:r w:rsidR="003D12FB">
        <w:t>time, and self-</w:t>
      </w:r>
      <w:r w:rsidR="00A40EEA">
        <w:t xml:space="preserve">employed workers (that combine to form labour earnings). The lower portion </w:t>
      </w:r>
      <w:r w:rsidR="00E205C9">
        <w:t xml:space="preserve">(below the median) </w:t>
      </w:r>
      <w:r w:rsidR="00A40EEA">
        <w:t>of the distribution of labour earnings is dominated by part</w:t>
      </w:r>
      <w:r w:rsidR="0086330E">
        <w:t>-</w:t>
      </w:r>
      <w:r w:rsidR="00A40EEA">
        <w:t>time workers and the self-employed, forming the first peak</w:t>
      </w:r>
      <w:r w:rsidR="006F100D">
        <w:t xml:space="preserve"> (figure </w:t>
      </w:r>
      <w:r w:rsidR="00DF1ECE">
        <w:t>2.</w:t>
      </w:r>
      <w:r w:rsidR="006D6480">
        <w:t>5</w:t>
      </w:r>
      <w:r w:rsidR="00DF1ECE">
        <w:t>, bottom right panel</w:t>
      </w:r>
      <w:r w:rsidR="006F100D">
        <w:t>)</w:t>
      </w:r>
      <w:r w:rsidR="00A40EEA">
        <w:t>. The upper portion (roughly the full-time minimum wage</w:t>
      </w:r>
      <w:r w:rsidR="00A200DE">
        <w:t xml:space="preserve"> upwards</w:t>
      </w:r>
      <w:r w:rsidR="00A40EEA">
        <w:t>) is dominated by full-time workers.</w:t>
      </w:r>
    </w:p>
    <w:p w:rsidR="008138DB" w:rsidRDefault="006F100D" w:rsidP="008138DB">
      <w:pPr>
        <w:pStyle w:val="BodyText"/>
      </w:pPr>
      <w:r>
        <w:t>Over time</w:t>
      </w:r>
      <w:r w:rsidR="00A200DE">
        <w:t>,</w:t>
      </w:r>
      <w:r>
        <w:t xml:space="preserve"> the distribution of labour earnings has flattened and shifted to the right. </w:t>
      </w:r>
    </w:p>
    <w:p w:rsidR="00E26698" w:rsidRDefault="00437BAD" w:rsidP="008138DB">
      <w:pPr>
        <w:pStyle w:val="ListBullet"/>
      </w:pPr>
      <w:r w:rsidRPr="008138DB">
        <w:rPr>
          <w:i/>
        </w:rPr>
        <w:t>The rightward shift in</w:t>
      </w:r>
      <w:r w:rsidR="008138DB">
        <w:rPr>
          <w:i/>
        </w:rPr>
        <w:t xml:space="preserve"> the distribution indicates </w:t>
      </w:r>
      <w:r w:rsidR="00E205C9">
        <w:rPr>
          <w:i/>
        </w:rPr>
        <w:t xml:space="preserve">that </w:t>
      </w:r>
      <w:r w:rsidR="008138DB">
        <w:rPr>
          <w:i/>
        </w:rPr>
        <w:t xml:space="preserve">the proportion of </w:t>
      </w:r>
      <w:r w:rsidR="00D040F3" w:rsidRPr="008138DB">
        <w:rPr>
          <w:i/>
        </w:rPr>
        <w:t>Australians on ‘lower’ real labour incomes</w:t>
      </w:r>
      <w:r w:rsidR="008138DB">
        <w:rPr>
          <w:i/>
        </w:rPr>
        <w:t xml:space="preserve"> (in absolute terms)</w:t>
      </w:r>
      <w:r w:rsidR="00D040F3" w:rsidRPr="008138DB">
        <w:rPr>
          <w:i/>
        </w:rPr>
        <w:t xml:space="preserve"> has declined and the </w:t>
      </w:r>
      <w:r w:rsidR="008138DB">
        <w:rPr>
          <w:i/>
        </w:rPr>
        <w:t xml:space="preserve">proportion of </w:t>
      </w:r>
      <w:r w:rsidR="00D040F3" w:rsidRPr="008138DB">
        <w:rPr>
          <w:i/>
        </w:rPr>
        <w:t xml:space="preserve">Australians on </w:t>
      </w:r>
      <w:r w:rsidR="009D055D" w:rsidRPr="008138DB">
        <w:rPr>
          <w:i/>
        </w:rPr>
        <w:t>‘</w:t>
      </w:r>
      <w:r w:rsidR="00D040F3" w:rsidRPr="008138DB">
        <w:rPr>
          <w:i/>
        </w:rPr>
        <w:t>higher</w:t>
      </w:r>
      <w:r w:rsidR="009D055D" w:rsidRPr="008138DB">
        <w:rPr>
          <w:i/>
        </w:rPr>
        <w:t>’</w:t>
      </w:r>
      <w:r w:rsidR="00D040F3" w:rsidRPr="008138DB">
        <w:rPr>
          <w:i/>
        </w:rPr>
        <w:t xml:space="preserve"> real labour incomes has increased</w:t>
      </w:r>
      <w:r w:rsidR="00D040F3" w:rsidRPr="00E26698">
        <w:t xml:space="preserve">. </w:t>
      </w:r>
      <w:r w:rsidR="00D040F3">
        <w:t xml:space="preserve">The </w:t>
      </w:r>
      <w:r w:rsidR="00E205C9">
        <w:t>lower tail</w:t>
      </w:r>
      <w:r w:rsidR="00D040F3">
        <w:t xml:space="preserve"> of the labour income</w:t>
      </w:r>
      <w:r w:rsidR="00E26698">
        <w:t xml:space="preserve"> distribution has fallen for all values below $1200 per week since 1988</w:t>
      </w:r>
      <w:r w:rsidR="003F5059">
        <w:t>-89</w:t>
      </w:r>
      <w:r w:rsidR="00E26698">
        <w:t xml:space="preserve"> (meaning the </w:t>
      </w:r>
      <w:r w:rsidR="00DF1ECE">
        <w:t>relative</w:t>
      </w:r>
      <w:r w:rsidR="005E1FDC">
        <w:t xml:space="preserve"> share of the</w:t>
      </w:r>
      <w:r w:rsidR="00DF1ECE">
        <w:t xml:space="preserve"> </w:t>
      </w:r>
      <w:r w:rsidR="00E26698">
        <w:t xml:space="preserve">population in this range has declined), while the distribution has risen beyond this (meaning the </w:t>
      </w:r>
      <w:r w:rsidR="0083712E">
        <w:t>relative population</w:t>
      </w:r>
      <w:r w:rsidR="00E26698">
        <w:t xml:space="preserve"> earning more than $1200 has grown). Put differently, if you were </w:t>
      </w:r>
      <w:r w:rsidR="00E03FA6">
        <w:t>randomly</w:t>
      </w:r>
      <w:r w:rsidR="00E26698">
        <w:t xml:space="preserve"> </w:t>
      </w:r>
      <w:r w:rsidR="00E205C9">
        <w:t xml:space="preserve">to </w:t>
      </w:r>
      <w:r w:rsidR="00E26698">
        <w:t>meet an individual in 1988</w:t>
      </w:r>
      <w:r w:rsidR="003F5059">
        <w:t>-89</w:t>
      </w:r>
      <w:r w:rsidR="00E26698">
        <w:t>, then another in 2009</w:t>
      </w:r>
      <w:r w:rsidR="003F5059">
        <w:t>-10</w:t>
      </w:r>
      <w:r w:rsidR="00E26698">
        <w:t xml:space="preserve">, the </w:t>
      </w:r>
      <w:r w:rsidR="00DF1ECE">
        <w:t xml:space="preserve">probability </w:t>
      </w:r>
      <w:r w:rsidR="00E26698">
        <w:t xml:space="preserve">of </w:t>
      </w:r>
      <w:r w:rsidR="00056E04">
        <w:t>the second person earning</w:t>
      </w:r>
      <w:r w:rsidR="008138DB">
        <w:t xml:space="preserve"> less </w:t>
      </w:r>
      <w:r w:rsidR="00E26698">
        <w:t>than $1200</w:t>
      </w:r>
      <w:r w:rsidR="008138DB">
        <w:t xml:space="preserve"> per week</w:t>
      </w:r>
      <w:r w:rsidR="00E26698">
        <w:t xml:space="preserve"> would be lower</w:t>
      </w:r>
      <w:r w:rsidR="00DF1ECE">
        <w:t xml:space="preserve"> (and </w:t>
      </w:r>
      <w:r w:rsidR="00E205C9">
        <w:t xml:space="preserve">the </w:t>
      </w:r>
      <w:r w:rsidR="00DF1ECE">
        <w:t>probability of them earning more higher</w:t>
      </w:r>
      <w:r w:rsidR="00E26698">
        <w:t>)</w:t>
      </w:r>
      <w:r w:rsidR="00DF1ECE">
        <w:t>.</w:t>
      </w:r>
      <w:r w:rsidR="00E26698">
        <w:t xml:space="preserve"> </w:t>
      </w:r>
    </w:p>
    <w:p w:rsidR="0068042A" w:rsidRPr="005A0D07" w:rsidRDefault="00E26698" w:rsidP="0068042A">
      <w:pPr>
        <w:pStyle w:val="ListBullet"/>
      </w:pPr>
      <w:r>
        <w:rPr>
          <w:i/>
        </w:rPr>
        <w:t xml:space="preserve">The flattening of the distribution indicates a greater spread of labour </w:t>
      </w:r>
      <w:r w:rsidRPr="00E26698">
        <w:rPr>
          <w:i/>
        </w:rPr>
        <w:t>earnings</w:t>
      </w:r>
      <w:r>
        <w:t>. The higher, thinner, peak observed in 1988</w:t>
      </w:r>
      <w:r w:rsidR="003F5059">
        <w:t>-89</w:t>
      </w:r>
      <w:r>
        <w:t xml:space="preserve"> indicates </w:t>
      </w:r>
      <w:r w:rsidR="00437BAD">
        <w:t>a greater</w:t>
      </w:r>
      <w:r w:rsidR="0068042A">
        <w:t xml:space="preserve"> </w:t>
      </w:r>
      <w:r w:rsidR="00E03FA6">
        <w:t>concentration</w:t>
      </w:r>
      <w:r w:rsidR="0068042A">
        <w:t xml:space="preserve"> of labour earnings</w:t>
      </w:r>
      <w:r w:rsidR="00437BAD">
        <w:t xml:space="preserve"> – that is, there </w:t>
      </w:r>
      <w:r w:rsidR="0068042A">
        <w:t xml:space="preserve">were </w:t>
      </w:r>
      <w:r w:rsidR="00437BAD">
        <w:t>more people with similar labour earnings in 1988</w:t>
      </w:r>
      <w:r w:rsidR="00056E04">
        <w:t>-89</w:t>
      </w:r>
      <w:r w:rsidR="00437BAD">
        <w:t xml:space="preserve"> than there were in 2009</w:t>
      </w:r>
      <w:r w:rsidR="003F5059">
        <w:t>-10</w:t>
      </w:r>
      <w:r w:rsidR="00437BAD">
        <w:t xml:space="preserve">. </w:t>
      </w:r>
      <w:r w:rsidR="00A200DE">
        <w:t xml:space="preserve">The spreading out of income is also evident in changes in the </w:t>
      </w:r>
      <w:r w:rsidR="00DF1ECE">
        <w:t>most frequently observed income</w:t>
      </w:r>
      <w:r w:rsidR="00A200DE">
        <w:t xml:space="preserve"> level</w:t>
      </w:r>
      <w:r w:rsidR="00DF1ECE">
        <w:t xml:space="preserve"> (</w:t>
      </w:r>
      <w:r w:rsidR="00437BAD">
        <w:t>the modal</w:t>
      </w:r>
      <w:r w:rsidR="00DF1ECE">
        <w:t xml:space="preserve"> income).</w:t>
      </w:r>
      <w:r w:rsidR="00437BAD">
        <w:t xml:space="preserve"> In 1988</w:t>
      </w:r>
      <w:r w:rsidR="003F5059">
        <w:t>-89</w:t>
      </w:r>
      <w:r w:rsidR="00437BAD">
        <w:t>, around 9 per cent of people earned around $72</w:t>
      </w:r>
      <w:r w:rsidR="002C77D3">
        <w:t>8</w:t>
      </w:r>
      <w:r w:rsidR="00437BAD">
        <w:t xml:space="preserve"> (the most frequently observed value). In 2009</w:t>
      </w:r>
      <w:r w:rsidR="003F5059">
        <w:t>-10</w:t>
      </w:r>
      <w:r w:rsidR="00437BAD">
        <w:t xml:space="preserve">, the most frequently observed value of labour earnings </w:t>
      </w:r>
      <w:r w:rsidR="008A6E75">
        <w:t>had increased to</w:t>
      </w:r>
      <w:r w:rsidR="002B173A">
        <w:t xml:space="preserve"> $</w:t>
      </w:r>
      <w:r w:rsidR="002C77D3">
        <w:t>842</w:t>
      </w:r>
      <w:r w:rsidR="00437BAD">
        <w:t xml:space="preserve"> – </w:t>
      </w:r>
      <w:r w:rsidR="00DF1ECE">
        <w:t xml:space="preserve">but only </w:t>
      </w:r>
      <w:r w:rsidR="002B173A">
        <w:t>6</w:t>
      </w:r>
      <w:r w:rsidR="00437BAD">
        <w:t> per cent of the population</w:t>
      </w:r>
      <w:r w:rsidR="00DF1ECE">
        <w:t xml:space="preserve"> </w:t>
      </w:r>
      <w:r w:rsidR="00FD1B3E">
        <w:t>earned this amount</w:t>
      </w:r>
      <w:r w:rsidR="00437BAD">
        <w:t xml:space="preserve">. Put differently, </w:t>
      </w:r>
      <w:r w:rsidR="00EF6E6C">
        <w:t>100 random</w:t>
      </w:r>
      <w:r w:rsidR="002D0518">
        <w:t>ly met</w:t>
      </w:r>
      <w:r w:rsidR="00EF6E6C">
        <w:t xml:space="preserve"> people in 2009</w:t>
      </w:r>
      <w:r w:rsidR="00AF7B3E">
        <w:t>-10</w:t>
      </w:r>
      <w:r w:rsidR="00EF6E6C">
        <w:t xml:space="preserve"> would tend to yield a greater variety of incomes</w:t>
      </w:r>
      <w:r w:rsidR="00884C7C">
        <w:t xml:space="preserve"> than</w:t>
      </w:r>
      <w:r w:rsidR="00EF6E6C">
        <w:t xml:space="preserve"> 100 random</w:t>
      </w:r>
      <w:r w:rsidR="002D0518">
        <w:t>ly met</w:t>
      </w:r>
      <w:r w:rsidR="00EF6E6C">
        <w:t xml:space="preserve"> people in 1988</w:t>
      </w:r>
      <w:r w:rsidR="00AF7B3E">
        <w:noBreakHyphen/>
        <w:t>89</w:t>
      </w:r>
      <w:r w:rsidR="00EF6E6C">
        <w:t>.</w:t>
      </w:r>
      <w:r w:rsidR="007D312B" w:rsidRPr="005A0D07">
        <w:t xml:space="preserve"> </w:t>
      </w:r>
    </w:p>
    <w:p w:rsidR="00B034DD" w:rsidRDefault="00B034DD" w:rsidP="00056E04">
      <w:pPr>
        <w:pStyle w:val="FigureTitle"/>
      </w:pPr>
      <w:r>
        <w:rPr>
          <w:b w:val="0"/>
        </w:rPr>
        <w:lastRenderedPageBreak/>
        <w:t xml:space="preserve">Figure </w:t>
      </w:r>
      <w:r w:rsidR="00A57B0A">
        <w:rPr>
          <w:b w:val="0"/>
        </w:rPr>
        <w:t>2.</w:t>
      </w:r>
      <w:r w:rsidR="006D43C2">
        <w:rPr>
          <w:b w:val="0"/>
          <w:noProof/>
        </w:rPr>
        <w:t>5</w:t>
      </w:r>
      <w:r>
        <w:tab/>
      </w:r>
      <w:r w:rsidR="00C95C23">
        <w:t>Change in the</w:t>
      </w:r>
      <w:r>
        <w:t xml:space="preserve"> distribution of</w:t>
      </w:r>
      <w:r w:rsidR="00102C18">
        <w:t xml:space="preserve"> labour</w:t>
      </w:r>
      <w:r>
        <w:t xml:space="preserve"> income</w:t>
      </w:r>
      <w:r w:rsidR="00C95C23">
        <w:t>,</w:t>
      </w:r>
      <w:r>
        <w:t xml:space="preserve"> </w:t>
      </w:r>
      <w:r w:rsidR="00954C5F">
        <w:t>1988</w:t>
      </w:r>
      <w:r w:rsidR="003F5059">
        <w:t>-89</w:t>
      </w:r>
      <w:r w:rsidR="00340E39">
        <w:t xml:space="preserve"> to </w:t>
      </w:r>
      <w:r w:rsidR="00954C5F">
        <w:t>2009</w:t>
      </w:r>
      <w:r w:rsidR="003F5059">
        <w:t>-10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3B67CC" w:rsidTr="00E205C9">
        <w:trPr>
          <w:trHeight w:val="3052"/>
        </w:trPr>
        <w:tc>
          <w:tcPr>
            <w:tcW w:w="8777" w:type="dxa"/>
            <w:gridSpan w:val="2"/>
          </w:tcPr>
          <w:p w:rsidR="003B67CC" w:rsidRDefault="00E205C9" w:rsidP="003B67CC">
            <w:pPr>
              <w:pStyle w:val="Figure"/>
              <w:rPr>
                <w:noProof/>
              </w:rPr>
            </w:pPr>
            <w:r w:rsidRPr="00E205C9">
              <w:rPr>
                <w:noProof/>
              </w:rPr>
              <w:drawing>
                <wp:inline distT="0" distB="0" distL="0" distR="0" wp14:anchorId="581F0627" wp14:editId="393BE1A8">
                  <wp:extent cx="5623471" cy="2880000"/>
                  <wp:effectExtent l="0" t="0" r="0" b="0"/>
                  <wp:docPr id="32" name="Chart 32" descr="Figure 2.5, top panel shows that the distribution of individual labour income has become flatter and shifted to the right between 1988-89 and 2009-10." title="Figure 2.5 Change in the distribution of labour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3B67CC" w:rsidTr="00E205C9">
        <w:trPr>
          <w:trHeight w:val="3052"/>
        </w:trPr>
        <w:tc>
          <w:tcPr>
            <w:tcW w:w="4388" w:type="dxa"/>
          </w:tcPr>
          <w:p w:rsidR="003B67CC" w:rsidRDefault="003B67CC" w:rsidP="00B034DD">
            <w:pPr>
              <w:pStyle w:val="Figure"/>
              <w:rPr>
                <w:noProof/>
              </w:rPr>
            </w:pPr>
            <w:r w:rsidRPr="003B67CC">
              <w:rPr>
                <w:rFonts w:ascii="Arial" w:hAnsi="Arial"/>
                <w:i/>
                <w:noProof/>
                <w:sz w:val="20"/>
              </w:rPr>
              <w:t>2009</w:t>
            </w:r>
            <w:r w:rsidR="007E3002">
              <w:rPr>
                <w:rFonts w:ascii="Arial" w:hAnsi="Arial"/>
                <w:i/>
                <w:noProof/>
                <w:sz w:val="20"/>
              </w:rPr>
              <w:t>-10</w:t>
            </w:r>
            <w:r w:rsidRPr="003B67CC">
              <w:rPr>
                <w:rFonts w:ascii="Arial" w:hAnsi="Arial"/>
                <w:i/>
                <w:noProof/>
                <w:sz w:val="20"/>
              </w:rPr>
              <w:t xml:space="preserve"> </w:t>
            </w:r>
            <w:r w:rsidR="00E134FC">
              <w:rPr>
                <w:rFonts w:ascii="Arial" w:hAnsi="Arial"/>
                <w:i/>
                <w:noProof/>
                <w:sz w:val="20"/>
              </w:rPr>
              <w:t xml:space="preserve">distribution of </w:t>
            </w:r>
            <w:r w:rsidRPr="003B67CC">
              <w:rPr>
                <w:rFonts w:ascii="Arial" w:hAnsi="Arial"/>
                <w:i/>
                <w:noProof/>
                <w:sz w:val="20"/>
              </w:rPr>
              <w:t xml:space="preserve">labour </w:t>
            </w:r>
            <w:r w:rsidR="00E134FC">
              <w:rPr>
                <w:rFonts w:ascii="Arial" w:hAnsi="Arial"/>
                <w:i/>
                <w:noProof/>
                <w:sz w:val="20"/>
              </w:rPr>
              <w:t>income</w:t>
            </w:r>
          </w:p>
          <w:p w:rsidR="003B67CC" w:rsidRDefault="00E205C9" w:rsidP="00B034DD">
            <w:pPr>
              <w:pStyle w:val="Figure"/>
              <w:rPr>
                <w:noProof/>
              </w:rPr>
            </w:pPr>
            <w:r w:rsidRPr="00E205C9">
              <w:rPr>
                <w:noProof/>
              </w:rPr>
              <w:drawing>
                <wp:inline distT="0" distB="0" distL="0" distR="0" wp14:anchorId="494CBB8E" wp14:editId="1FC4020B">
                  <wp:extent cx="2524396" cy="2511208"/>
                  <wp:effectExtent l="0" t="0" r="0" b="3810"/>
                  <wp:docPr id="31" name="Chart 31" descr="Bottom left panel depicts the distribution of labour income in 2009-10." title="Figure 2.5 Change in the distribution of labour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4389" w:type="dxa"/>
          </w:tcPr>
          <w:p w:rsidR="003B67CC" w:rsidRDefault="003B67CC" w:rsidP="00B034DD">
            <w:pPr>
              <w:pStyle w:val="Figure"/>
              <w:rPr>
                <w:noProof/>
              </w:rPr>
            </w:pPr>
            <w:r w:rsidRPr="003B67CC">
              <w:rPr>
                <w:rFonts w:ascii="Arial" w:hAnsi="Arial"/>
                <w:i/>
                <w:noProof/>
                <w:sz w:val="20"/>
              </w:rPr>
              <w:t>2009</w:t>
            </w:r>
            <w:r w:rsidR="007E3002">
              <w:rPr>
                <w:rFonts w:ascii="Arial" w:hAnsi="Arial"/>
                <w:i/>
                <w:noProof/>
                <w:sz w:val="20"/>
              </w:rPr>
              <w:t>-10</w:t>
            </w:r>
            <w:r w:rsidR="00E134FC">
              <w:rPr>
                <w:rFonts w:ascii="Arial" w:hAnsi="Arial"/>
                <w:i/>
                <w:noProof/>
                <w:sz w:val="20"/>
              </w:rPr>
              <w:t xml:space="preserve"> compon</w:t>
            </w:r>
            <w:r w:rsidRPr="003B67CC">
              <w:rPr>
                <w:rFonts w:ascii="Arial" w:hAnsi="Arial"/>
                <w:i/>
                <w:noProof/>
                <w:sz w:val="20"/>
              </w:rPr>
              <w:t xml:space="preserve">ents of labour </w:t>
            </w:r>
            <w:r w:rsidR="00E134FC">
              <w:rPr>
                <w:rFonts w:ascii="Arial" w:hAnsi="Arial"/>
                <w:i/>
                <w:noProof/>
                <w:sz w:val="20"/>
              </w:rPr>
              <w:t>income</w:t>
            </w:r>
          </w:p>
          <w:p w:rsidR="003B67CC" w:rsidRDefault="009064CE" w:rsidP="00B034DD">
            <w:pPr>
              <w:pStyle w:val="Figure"/>
              <w:rPr>
                <w:noProof/>
              </w:rPr>
            </w:pPr>
            <w:r>
              <w:rPr>
                <w:noProof/>
              </w:rPr>
              <w:drawing>
                <wp:inline distT="0" distB="0" distL="0" distR="0" wp14:anchorId="3D8F101A" wp14:editId="34698073">
                  <wp:extent cx="2520000" cy="2520000"/>
                  <wp:effectExtent l="0" t="0" r="0" b="0"/>
                  <wp:docPr id="98" name="Chart 98" descr="Bottom right panel depicts the distributions of full-time, part0time and self-employed workers. More detail is provided in text preceeding figure. " title="Figure 2.5 Change in the distribution of labour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68042A" w:rsidRPr="00EB3154" w:rsidRDefault="00B034DD" w:rsidP="00EB3154">
      <w:pPr>
        <w:pStyle w:val="Source"/>
        <w:rPr>
          <w:b/>
        </w:rPr>
      </w:pPr>
      <w:r>
        <w:rPr>
          <w:i/>
        </w:rPr>
        <w:t>Data source</w:t>
      </w:r>
      <w:r w:rsidRPr="00167F06">
        <w:t xml:space="preserve">: </w:t>
      </w:r>
      <w:r w:rsidR="00D75A5E">
        <w:t xml:space="preserve">Author estimates based on ABS (Household Expenditure Survey, cat. no. 6503.0, </w:t>
      </w:r>
      <w:proofErr w:type="spellStart"/>
      <w:r w:rsidR="00D75A5E">
        <w:t>confidentialised</w:t>
      </w:r>
      <w:proofErr w:type="spellEnd"/>
      <w:r w:rsidR="00D75A5E">
        <w:t xml:space="preserve"> unit record files)</w:t>
      </w:r>
      <w:r w:rsidR="00BD3FB7">
        <w:t>.</w:t>
      </w:r>
    </w:p>
    <w:p w:rsidR="0068042A" w:rsidRDefault="00A11F3F" w:rsidP="008B2A35">
      <w:pPr>
        <w:pStyle w:val="BodyText"/>
      </w:pPr>
      <w:r>
        <w:t xml:space="preserve">Compared to overall labour earnings, the income distribution </w:t>
      </w:r>
      <w:r w:rsidR="0009053E">
        <w:t xml:space="preserve">for </w:t>
      </w:r>
      <w:r>
        <w:t>full-</w:t>
      </w:r>
      <w:r w:rsidR="009D7290">
        <w:t>time workers is thinner</w:t>
      </w:r>
      <w:r w:rsidR="000754B2">
        <w:t>,</w:t>
      </w:r>
      <w:r w:rsidR="009D7290">
        <w:t xml:space="preserve"> </w:t>
      </w:r>
      <w:r w:rsidR="001574AA">
        <w:t xml:space="preserve">single peaked and </w:t>
      </w:r>
      <w:r w:rsidR="009D7290">
        <w:t>closer to a ‘normal distribution</w:t>
      </w:r>
      <w:r w:rsidR="00AF7B3E">
        <w:t>’.</w:t>
      </w:r>
      <w:r w:rsidR="009D7290">
        <w:rPr>
          <w:rStyle w:val="FootnoteReference"/>
        </w:rPr>
        <w:footnoteReference w:id="7"/>
      </w:r>
      <w:r>
        <w:t xml:space="preserve"> Nevertheless</w:t>
      </w:r>
      <w:r w:rsidR="000754B2">
        <w:t>,</w:t>
      </w:r>
      <w:r w:rsidR="009D7290">
        <w:t xml:space="preserve"> it exhibits the same basic pattern as overall labour earnings (</w:t>
      </w:r>
      <w:r w:rsidR="008138DB">
        <w:t xml:space="preserve">that is, </w:t>
      </w:r>
      <w:r w:rsidR="009D7290">
        <w:t xml:space="preserve">a relative decline in the population of low income earners, an increase in the population of high income earners and a flattening of the distribution). Changes </w:t>
      </w:r>
      <w:r w:rsidR="001574AA">
        <w:t xml:space="preserve">in </w:t>
      </w:r>
      <w:r w:rsidR="008B2A35">
        <w:t xml:space="preserve">the upper half of the labour earnings distribution are almost entirely </w:t>
      </w:r>
      <w:r w:rsidR="00BF5DB7">
        <w:t>due to</w:t>
      </w:r>
      <w:r w:rsidR="008B2A35">
        <w:t xml:space="preserve"> changes in </w:t>
      </w:r>
      <w:r w:rsidR="0009053E">
        <w:t xml:space="preserve">the earnings of </w:t>
      </w:r>
      <w:r w:rsidR="008B2A35">
        <w:lastRenderedPageBreak/>
        <w:t xml:space="preserve">full-time workers, who form the majority of this group </w:t>
      </w:r>
      <w:r w:rsidR="009D7290">
        <w:t>(figure </w:t>
      </w:r>
      <w:r w:rsidR="001574AA">
        <w:t>2.5</w:t>
      </w:r>
      <w:r w:rsidR="00AF7B3E">
        <w:t>,</w:t>
      </w:r>
      <w:r w:rsidR="00AF7B3E" w:rsidRPr="00AF7B3E">
        <w:t xml:space="preserve"> </w:t>
      </w:r>
      <w:r w:rsidR="00AF7B3E">
        <w:t>bottom right panel</w:t>
      </w:r>
      <w:r w:rsidR="00096644">
        <w:t>)</w:t>
      </w:r>
      <w:r w:rsidR="00056E04">
        <w:t>.</w:t>
      </w:r>
    </w:p>
    <w:p w:rsidR="008138DB" w:rsidRDefault="00A11F3F" w:rsidP="008B2A35">
      <w:pPr>
        <w:pStyle w:val="BodyText"/>
      </w:pPr>
      <w:r>
        <w:t>The income distribution for p</w:t>
      </w:r>
      <w:r w:rsidR="00187956">
        <w:t>art-time workers also show</w:t>
      </w:r>
      <w:r>
        <w:t>s</w:t>
      </w:r>
      <w:r w:rsidR="00187956">
        <w:t xml:space="preserve"> a clear pattern of</w:t>
      </w:r>
      <w:r w:rsidR="008138DB">
        <w:t xml:space="preserve"> a</w:t>
      </w:r>
      <w:r w:rsidR="00187956">
        <w:t xml:space="preserve"> </w:t>
      </w:r>
      <w:r w:rsidR="008138DB">
        <w:t xml:space="preserve">declining </w:t>
      </w:r>
      <w:r>
        <w:t>proportion</w:t>
      </w:r>
      <w:r w:rsidR="00187956">
        <w:t xml:space="preserve"> of those on lower incomes (in this case b</w:t>
      </w:r>
      <w:r w:rsidR="008138DB">
        <w:t xml:space="preserve">elow $500 per week) and </w:t>
      </w:r>
      <w:r w:rsidR="005E1FDC">
        <w:t xml:space="preserve">an </w:t>
      </w:r>
      <w:r w:rsidR="008138DB">
        <w:t>increasing</w:t>
      </w:r>
      <w:r w:rsidR="00187956">
        <w:t xml:space="preserve"> </w:t>
      </w:r>
      <w:r>
        <w:t>proportion</w:t>
      </w:r>
      <w:r w:rsidR="00187956">
        <w:t xml:space="preserve"> </w:t>
      </w:r>
      <w:r w:rsidR="00096644">
        <w:t>of workers earning</w:t>
      </w:r>
      <w:r w:rsidR="00187956">
        <w:t xml:space="preserve"> higher wages. The absolute number of part-time workers has increased </w:t>
      </w:r>
      <w:r w:rsidR="008138DB">
        <w:t>at all income level</w:t>
      </w:r>
      <w:r w:rsidR="00F96725">
        <w:t>s</w:t>
      </w:r>
      <w:r w:rsidR="00187956">
        <w:t xml:space="preserve">, however </w:t>
      </w:r>
      <w:r w:rsidR="00323F40">
        <w:t>growth has been higher amongst those e</w:t>
      </w:r>
      <w:r w:rsidR="00AF7B3E">
        <w:t>arning more than $500 per week —</w:t>
      </w:r>
      <w:r w:rsidR="00323F40">
        <w:t xml:space="preserve"> meaning they now account for a relatively higher proportion of the total. </w:t>
      </w:r>
      <w:r w:rsidR="008138DB">
        <w:t>In the absence of this growth in part-time workers (</w:t>
      </w:r>
      <w:r w:rsidR="001574AA">
        <w:t xml:space="preserve">earning lower average wages than </w:t>
      </w:r>
      <w:r w:rsidR="008138DB">
        <w:t>full-time workers)</w:t>
      </w:r>
      <w:r w:rsidR="00BF5DB7">
        <w:t>,</w:t>
      </w:r>
      <w:r w:rsidR="008138DB">
        <w:t xml:space="preserve"> the rightward shift of overall labour earnings would have been even more pronounced (figure </w:t>
      </w:r>
      <w:r w:rsidR="00D32590">
        <w:t>2.5</w:t>
      </w:r>
      <w:r w:rsidR="00AF7B3E">
        <w:t>,</w:t>
      </w:r>
      <w:r w:rsidR="00AF7B3E" w:rsidRPr="00AF7B3E">
        <w:t xml:space="preserve"> </w:t>
      </w:r>
      <w:r w:rsidR="00AF7B3E">
        <w:t>top panel</w:t>
      </w:r>
      <w:r w:rsidR="008138DB">
        <w:t>)</w:t>
      </w:r>
      <w:r w:rsidR="00056E04">
        <w:t>.</w:t>
      </w:r>
    </w:p>
    <w:p w:rsidR="0068042A" w:rsidRDefault="00323F40" w:rsidP="00F04CC0">
      <w:pPr>
        <w:pStyle w:val="BodyText"/>
      </w:pPr>
      <w:r>
        <w:t>Changes in the distribution of earnings of the self-employed</w:t>
      </w:r>
      <w:r w:rsidR="00D1501C">
        <w:t xml:space="preserve"> have several features that</w:t>
      </w:r>
      <w:r>
        <w:t xml:space="preserve"> are not easily interpreted. </w:t>
      </w:r>
      <w:r w:rsidR="001574AA">
        <w:t>First</w:t>
      </w:r>
      <w:r w:rsidR="00F04CC0">
        <w:t>, the distribution tends to ‘bounce’ from period to period</w:t>
      </w:r>
      <w:r w:rsidR="00D1501C">
        <w:t xml:space="preserve"> (as opposed to the smoother transitions observed in employee earnings)</w:t>
      </w:r>
      <w:r w:rsidR="00F04CC0">
        <w:t>, suggestive of either more distributive volatility</w:t>
      </w:r>
      <w:r w:rsidR="00BF5DB7">
        <w:t>,</w:t>
      </w:r>
      <w:r w:rsidR="00F04CC0">
        <w:t xml:space="preserve"> more meas</w:t>
      </w:r>
      <w:r w:rsidR="001574AA">
        <w:t>urement error or both</w:t>
      </w:r>
      <w:r w:rsidR="001F7093">
        <w:t xml:space="preserve"> —</w:t>
      </w:r>
      <w:r w:rsidR="00AF7B3E">
        <w:t xml:space="preserve"> </w:t>
      </w:r>
      <w:r w:rsidR="0009053E">
        <w:t>in particular, self-employed earnings are more likely to be influenced by changes in survey income concepts over time — see chapter</w:t>
      </w:r>
      <w:r w:rsidR="00BF5DB7">
        <w:t> </w:t>
      </w:r>
      <w:r w:rsidR="0009053E">
        <w:t>1 and appendix</w:t>
      </w:r>
      <w:r w:rsidR="00BF5DB7">
        <w:t> </w:t>
      </w:r>
      <w:r w:rsidR="001F7093">
        <w:t>B</w:t>
      </w:r>
      <w:r w:rsidR="001574AA">
        <w:t>. Second</w:t>
      </w:r>
      <w:r w:rsidR="00F04CC0">
        <w:t>, t</w:t>
      </w:r>
      <w:r>
        <w:t xml:space="preserve">he earnings profile has grown flatter </w:t>
      </w:r>
      <w:r w:rsidR="00D1501C">
        <w:t xml:space="preserve">over the whole period </w:t>
      </w:r>
      <w:r>
        <w:t>(suggesting more varied earnings), but</w:t>
      </w:r>
      <w:r w:rsidR="00F04CC0">
        <w:t xml:space="preserve">, unlike employee earnings, this has also been accompanied by growth in the proportion of those in </w:t>
      </w:r>
      <w:r w:rsidR="000754B2">
        <w:t>the lowest income ranges (in this</w:t>
      </w:r>
      <w:r>
        <w:t xml:space="preserve"> case between losses of $500 per week and earnings of </w:t>
      </w:r>
      <w:r w:rsidR="009D055D">
        <w:t>$76 dollars per week)</w:t>
      </w:r>
      <w:r w:rsidR="00F04CC0">
        <w:t xml:space="preserve">. The proportion of high income earners (above $900 per week) has also </w:t>
      </w:r>
      <w:r w:rsidR="00BF5DB7">
        <w:t>increased</w:t>
      </w:r>
      <w:r w:rsidR="00F04CC0">
        <w:t xml:space="preserve">. </w:t>
      </w:r>
      <w:r w:rsidR="001574AA">
        <w:t>Third</w:t>
      </w:r>
      <w:r w:rsidR="00D1501C">
        <w:t>, t</w:t>
      </w:r>
      <w:r w:rsidR="009D055D">
        <w:t>he distribution of income from self-employment also appears double peaked</w:t>
      </w:r>
      <w:r w:rsidR="000754B2">
        <w:t xml:space="preserve"> in 2009</w:t>
      </w:r>
      <w:r w:rsidR="003F5059">
        <w:t>-10</w:t>
      </w:r>
      <w:r w:rsidR="009D055D">
        <w:t xml:space="preserve"> — though it is not clear why.</w:t>
      </w:r>
      <w:r w:rsidR="00CE3B22">
        <w:t xml:space="preserve"> These features may reflect behavioural characteristic</w:t>
      </w:r>
      <w:r w:rsidR="005E1FDC">
        <w:t>s</w:t>
      </w:r>
      <w:r w:rsidR="00CE3B22">
        <w:t xml:space="preserve"> of the self-employed, difficulties in measuring their earnings</w:t>
      </w:r>
      <w:r w:rsidR="005E1FDC">
        <w:t>, and/</w:t>
      </w:r>
      <w:r w:rsidR="00CE3B22">
        <w:t xml:space="preserve">or variability due to the relatively small sample of this population. </w:t>
      </w:r>
    </w:p>
    <w:p w:rsidR="00BD3FB7" w:rsidRDefault="00BD3FB7">
      <w:pPr>
        <w:rPr>
          <w:szCs w:val="20"/>
        </w:rPr>
      </w:pPr>
      <w:r>
        <w:br w:type="page"/>
      </w:r>
    </w:p>
    <w:p w:rsidR="00742C24" w:rsidRDefault="00742C24" w:rsidP="00742C24">
      <w:pPr>
        <w:pStyle w:val="FigureTitle"/>
      </w:pPr>
      <w:r>
        <w:rPr>
          <w:b w:val="0"/>
        </w:rPr>
        <w:lastRenderedPageBreak/>
        <w:t xml:space="preserve">Figure </w:t>
      </w:r>
      <w:r w:rsidR="00A57B0A">
        <w:rPr>
          <w:b w:val="0"/>
        </w:rPr>
        <w:t>2.</w:t>
      </w:r>
      <w:r w:rsidR="006D43C2">
        <w:rPr>
          <w:b w:val="0"/>
          <w:noProof/>
        </w:rPr>
        <w:t>6</w:t>
      </w:r>
      <w:r>
        <w:tab/>
        <w:t>Change in the distribution of income by worker type</w:t>
      </w:r>
      <w:r w:rsidR="00C95C23">
        <w:t>, 1988-89 to 2009-10</w:t>
      </w:r>
    </w:p>
    <w:p w:rsidR="004D2F49" w:rsidRPr="004D2F49" w:rsidRDefault="004D2F49" w:rsidP="004D2F49">
      <w:pPr>
        <w:pStyle w:val="Subtitle"/>
      </w:pPr>
      <w:r>
        <w:t xml:space="preserve">Proportion of </w:t>
      </w:r>
      <w:r w:rsidR="00BA0D27">
        <w:t>workers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742C24" w:rsidTr="0009053E">
        <w:trPr>
          <w:trHeight w:val="245"/>
        </w:trPr>
        <w:tc>
          <w:tcPr>
            <w:tcW w:w="4388" w:type="dxa"/>
          </w:tcPr>
          <w:p w:rsidR="00742C24" w:rsidRPr="00742C24" w:rsidRDefault="00742C24">
            <w:pPr>
              <w:pStyle w:val="Figure"/>
              <w:rPr>
                <w:rFonts w:ascii="Arial" w:hAnsi="Arial"/>
                <w:i/>
                <w:noProof/>
                <w:sz w:val="20"/>
              </w:rPr>
            </w:pPr>
            <w:r w:rsidRPr="00742C24">
              <w:rPr>
                <w:rFonts w:ascii="Arial" w:hAnsi="Arial"/>
                <w:i/>
                <w:noProof/>
                <w:sz w:val="20"/>
              </w:rPr>
              <w:t>Full-time workers</w:t>
            </w:r>
          </w:p>
          <w:p w:rsidR="00742C24" w:rsidRDefault="002C729B">
            <w:pPr>
              <w:pStyle w:val="Figure"/>
            </w:pPr>
            <w:r>
              <w:rPr>
                <w:noProof/>
              </w:rPr>
              <w:drawing>
                <wp:inline distT="0" distB="0" distL="0" distR="0" wp14:anchorId="4E718ECC" wp14:editId="75800BD6">
                  <wp:extent cx="2806810" cy="2592125"/>
                  <wp:effectExtent l="0" t="0" r="0" b="0"/>
                  <wp:docPr id="2" name="Chart 2" descr="Top left panel depicts the distribution of full-time earnings which has become flatter and shifted to the right. " title="Figure 2.6 Change in the distribution of income by worker typ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4389" w:type="dxa"/>
          </w:tcPr>
          <w:p w:rsidR="00742C24" w:rsidRPr="00742C24" w:rsidRDefault="00742C24">
            <w:pPr>
              <w:pStyle w:val="Figure"/>
              <w:rPr>
                <w:rFonts w:ascii="Arial" w:hAnsi="Arial"/>
                <w:i/>
                <w:noProof/>
                <w:sz w:val="20"/>
              </w:rPr>
            </w:pPr>
            <w:r w:rsidRPr="00742C24">
              <w:rPr>
                <w:rFonts w:ascii="Arial" w:hAnsi="Arial"/>
                <w:i/>
                <w:noProof/>
                <w:sz w:val="20"/>
              </w:rPr>
              <w:t>Part-time workers</w:t>
            </w:r>
          </w:p>
          <w:p w:rsidR="00742C24" w:rsidRDefault="0009053E">
            <w:pPr>
              <w:pStyle w:val="Figure"/>
            </w:pPr>
            <w:r w:rsidRPr="0009053E">
              <w:rPr>
                <w:noProof/>
              </w:rPr>
              <w:drawing>
                <wp:inline distT="0" distB="0" distL="0" distR="0" wp14:anchorId="4C5307E1" wp14:editId="2862153C">
                  <wp:extent cx="2520000" cy="2520000"/>
                  <wp:effectExtent l="0" t="0" r="0" b="0"/>
                  <wp:docPr id="33" name="Chart 33" descr="Top right panel depicts the distribution of part-time earnings which has become flatter and shifted to the right." title="Figure 2.6 Change in the distribution of income by worker typ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742C24" w:rsidTr="00FD1134">
        <w:trPr>
          <w:trHeight w:val="244"/>
        </w:trPr>
        <w:tc>
          <w:tcPr>
            <w:tcW w:w="8777" w:type="dxa"/>
            <w:gridSpan w:val="2"/>
          </w:tcPr>
          <w:p w:rsidR="00742C24" w:rsidRPr="00742C24" w:rsidRDefault="00742C24">
            <w:pPr>
              <w:pStyle w:val="Figure"/>
              <w:rPr>
                <w:rFonts w:ascii="Arial" w:hAnsi="Arial"/>
                <w:i/>
                <w:noProof/>
                <w:sz w:val="20"/>
              </w:rPr>
            </w:pPr>
            <w:r w:rsidRPr="00742C24">
              <w:rPr>
                <w:rFonts w:ascii="Arial" w:hAnsi="Arial"/>
                <w:i/>
                <w:noProof/>
                <w:sz w:val="20"/>
              </w:rPr>
              <w:t>Self-employed workers</w:t>
            </w:r>
          </w:p>
          <w:p w:rsidR="00742C24" w:rsidRDefault="00FD1134" w:rsidP="00742C24">
            <w:pPr>
              <w:pStyle w:val="Figure"/>
            </w:pPr>
            <w:r>
              <w:rPr>
                <w:noProof/>
              </w:rPr>
              <w:drawing>
                <wp:inline distT="0" distB="0" distL="0" distR="0" wp14:anchorId="55D5781C" wp14:editId="796DB7CA">
                  <wp:extent cx="5398935" cy="3236181"/>
                  <wp:effectExtent l="0" t="0" r="0" b="2540"/>
                  <wp:docPr id="25" name="Chart 25" descr="Bottom panel depicts the distribution of self-employed earnings which has become flatter and shifted to the right. Changes are more variable than for other sub-groups over time." title="Figure 2.6 Change in the distribution of income by worker typ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bl>
    <w:p w:rsidR="00742C24" w:rsidRDefault="00742C24">
      <w:pPr>
        <w:pStyle w:val="Source"/>
      </w:pPr>
      <w:r>
        <w:rPr>
          <w:i/>
        </w:rPr>
        <w:t>Data source</w:t>
      </w:r>
      <w:r w:rsidRPr="00167F06">
        <w:t xml:space="preserve">: </w:t>
      </w:r>
      <w:r w:rsidR="00D75A5E">
        <w:t xml:space="preserve">Author estimates based on ABS (Household Expenditure Survey, cat. no. 6503.0, </w:t>
      </w:r>
      <w:proofErr w:type="spellStart"/>
      <w:r w:rsidR="00D75A5E">
        <w:t>confidentialised</w:t>
      </w:r>
      <w:proofErr w:type="spellEnd"/>
      <w:r w:rsidR="00D75A5E">
        <w:t xml:space="preserve"> unit record files)</w:t>
      </w:r>
      <w:r w:rsidR="00BD3FB7">
        <w:t>.</w:t>
      </w:r>
    </w:p>
    <w:p w:rsidR="009D055D" w:rsidRDefault="005E06C8" w:rsidP="001E644E">
      <w:pPr>
        <w:pStyle w:val="Heading3"/>
      </w:pPr>
      <w:r>
        <w:lastRenderedPageBreak/>
        <w:t>How have distributional changes affected measured inequality?</w:t>
      </w:r>
    </w:p>
    <w:p w:rsidR="008478A8" w:rsidRDefault="000649D4" w:rsidP="001E644E">
      <w:pPr>
        <w:pStyle w:val="BodyText"/>
      </w:pPr>
      <w:proofErr w:type="spellStart"/>
      <w:r>
        <w:t>Gini</w:t>
      </w:r>
      <w:proofErr w:type="spellEnd"/>
      <w:r>
        <w:t xml:space="preserve"> coefficients (</w:t>
      </w:r>
      <w:r w:rsidR="003F5059">
        <w:t>appendix</w:t>
      </w:r>
      <w:r w:rsidR="00F43A7C">
        <w:t> </w:t>
      </w:r>
      <w:r w:rsidR="003F5059">
        <w:t>A</w:t>
      </w:r>
      <w:r>
        <w:t xml:space="preserve">) are </w:t>
      </w:r>
      <w:r w:rsidR="00D1501C">
        <w:t xml:space="preserve">the most common summary </w:t>
      </w:r>
      <w:r w:rsidR="0009053E">
        <w:t xml:space="preserve">statistic </w:t>
      </w:r>
      <w:r w:rsidR="00D1501C">
        <w:t xml:space="preserve">of inequality. </w:t>
      </w:r>
      <w:r w:rsidR="008478A8">
        <w:t>Full</w:t>
      </w:r>
      <w:r w:rsidR="008138DB">
        <w:t>-time worker</w:t>
      </w:r>
      <w:r w:rsidR="008478A8">
        <w:t xml:space="preserve">s — the largest group — have the most equal distribution of income with a </w:t>
      </w:r>
      <w:proofErr w:type="spellStart"/>
      <w:r w:rsidR="009A6CAA">
        <w:t>G</w:t>
      </w:r>
      <w:r w:rsidR="008478A8">
        <w:t>ini</w:t>
      </w:r>
      <w:proofErr w:type="spellEnd"/>
      <w:r w:rsidR="008478A8">
        <w:t xml:space="preserve"> coefficient of 0.31 in 2009-10</w:t>
      </w:r>
      <w:r w:rsidR="008138DB">
        <w:t xml:space="preserve"> (figure </w:t>
      </w:r>
      <w:r w:rsidR="00CC35E2">
        <w:t>2.7</w:t>
      </w:r>
      <w:r w:rsidR="00AF7B3E">
        <w:t>,</w:t>
      </w:r>
      <w:r w:rsidR="00AF7B3E" w:rsidRPr="00AF7B3E">
        <w:t xml:space="preserve"> </w:t>
      </w:r>
      <w:r w:rsidR="00AF7B3E">
        <w:t>top panel</w:t>
      </w:r>
      <w:r w:rsidR="00471944">
        <w:t>)</w:t>
      </w:r>
      <w:r w:rsidR="008478A8">
        <w:t>. This is followed by part-t</w:t>
      </w:r>
      <w:r w:rsidR="002A3120">
        <w:t>ime workers (0.40)</w:t>
      </w:r>
      <w:r w:rsidR="005E1FDC">
        <w:t xml:space="preserve">, while </w:t>
      </w:r>
      <w:r w:rsidR="002A3120">
        <w:t>the self-</w:t>
      </w:r>
      <w:r w:rsidR="008478A8">
        <w:t>employed</w:t>
      </w:r>
      <w:r w:rsidR="008138DB">
        <w:t xml:space="preserve"> (0.59)</w:t>
      </w:r>
      <w:r w:rsidR="009A6CAA">
        <w:t xml:space="preserve"> have a </w:t>
      </w:r>
      <w:proofErr w:type="spellStart"/>
      <w:r w:rsidR="009A6CAA">
        <w:t>G</w:t>
      </w:r>
      <w:r w:rsidR="008478A8">
        <w:t>ini</w:t>
      </w:r>
      <w:proofErr w:type="spellEnd"/>
      <w:r w:rsidR="008478A8">
        <w:t xml:space="preserve"> </w:t>
      </w:r>
      <w:r w:rsidR="005E06C8">
        <w:t>coefficient</w:t>
      </w:r>
      <w:r w:rsidR="008478A8">
        <w:t xml:space="preserve"> almost twice </w:t>
      </w:r>
      <w:r w:rsidR="008138DB">
        <w:t>as high</w:t>
      </w:r>
      <w:r w:rsidR="001574AA">
        <w:t xml:space="preserve"> as full-time workers. The </w:t>
      </w:r>
      <w:proofErr w:type="spellStart"/>
      <w:r w:rsidR="001574AA">
        <w:t>G</w:t>
      </w:r>
      <w:r w:rsidR="008478A8">
        <w:t>ini</w:t>
      </w:r>
      <w:proofErr w:type="spellEnd"/>
      <w:r w:rsidR="008478A8">
        <w:t xml:space="preserve"> co</w:t>
      </w:r>
      <w:r w:rsidR="008138DB">
        <w:t>efficient for labour income</w:t>
      </w:r>
      <w:r w:rsidR="00B62044">
        <w:t xml:space="preserve"> </w:t>
      </w:r>
      <w:r w:rsidR="008138DB">
        <w:t>is effectively a</w:t>
      </w:r>
      <w:r w:rsidR="008478A8">
        <w:t xml:space="preserve"> weighted average of the </w:t>
      </w:r>
      <w:r w:rsidR="00AF7B3E">
        <w:t>results for each sub-group</w:t>
      </w:r>
      <w:r w:rsidR="001574AA">
        <w:t xml:space="preserve"> (</w:t>
      </w:r>
      <w:r w:rsidR="008478A8">
        <w:t>influence</w:t>
      </w:r>
      <w:r w:rsidR="009A6CAA">
        <w:t>d</w:t>
      </w:r>
      <w:r w:rsidR="008478A8">
        <w:t xml:space="preserve"> by </w:t>
      </w:r>
      <w:r w:rsidR="009A6CAA">
        <w:t xml:space="preserve">the differences in average sub-group income, the </w:t>
      </w:r>
      <w:r w:rsidR="008478A8">
        <w:t>dispersion of income</w:t>
      </w:r>
      <w:r w:rsidR="009A6CAA">
        <w:t xml:space="preserve"> within sub-groups,</w:t>
      </w:r>
      <w:r w:rsidR="001574AA">
        <w:t xml:space="preserve"> as well as their relative size).</w:t>
      </w:r>
    </w:p>
    <w:p w:rsidR="008478A8" w:rsidRDefault="00F43A7C" w:rsidP="001E644E">
      <w:pPr>
        <w:pStyle w:val="BodyText"/>
      </w:pPr>
      <w:r>
        <w:t>This measure of i</w:t>
      </w:r>
      <w:r w:rsidR="005A2D35">
        <w:t xml:space="preserve">ncome </w:t>
      </w:r>
      <w:r w:rsidR="001574AA">
        <w:t xml:space="preserve">inequality </w:t>
      </w:r>
      <w:r w:rsidR="00FC1CFB">
        <w:t>h</w:t>
      </w:r>
      <w:r w:rsidR="008138DB">
        <w:t>as trended upwards since 1988</w:t>
      </w:r>
      <w:r w:rsidR="0046323E">
        <w:t>-89</w:t>
      </w:r>
      <w:r w:rsidR="008478A8">
        <w:t xml:space="preserve"> for all </w:t>
      </w:r>
      <w:r w:rsidR="005A2D35">
        <w:t xml:space="preserve">types of workers </w:t>
      </w:r>
      <w:r w:rsidR="00FC1CFB">
        <w:t xml:space="preserve">except part-time workers, </w:t>
      </w:r>
      <w:r>
        <w:t xml:space="preserve">for </w:t>
      </w:r>
      <w:r w:rsidR="00FC1CFB">
        <w:t xml:space="preserve">which </w:t>
      </w:r>
      <w:r>
        <w:t xml:space="preserve">the </w:t>
      </w:r>
      <w:proofErr w:type="spellStart"/>
      <w:r>
        <w:t>Gini</w:t>
      </w:r>
      <w:proofErr w:type="spellEnd"/>
      <w:r>
        <w:t xml:space="preserve"> </w:t>
      </w:r>
      <w:r w:rsidR="00AF7B3E">
        <w:t xml:space="preserve">coefficient </w:t>
      </w:r>
      <w:r w:rsidR="00FC1CFB">
        <w:t>has remained relatively stable (and indeed exhibits a slight downward trend since 1993</w:t>
      </w:r>
      <w:r w:rsidR="0046323E">
        <w:t>-94</w:t>
      </w:r>
      <w:r w:rsidR="00FC1CFB">
        <w:t xml:space="preserve">). </w:t>
      </w:r>
      <w:r>
        <w:t>Nevertheless, p</w:t>
      </w:r>
      <w:r w:rsidR="00FC1CFB">
        <w:t>art</w:t>
      </w:r>
      <w:r>
        <w:noBreakHyphen/>
      </w:r>
      <w:r w:rsidR="00FC1CFB">
        <w:t xml:space="preserve">time workers have influenced the upward trend in </w:t>
      </w:r>
      <w:r w:rsidR="0046323E">
        <w:t>inequality of</w:t>
      </w:r>
      <w:r w:rsidR="005A2D35">
        <w:t xml:space="preserve"> </w:t>
      </w:r>
      <w:r w:rsidR="00FC1CFB">
        <w:t xml:space="preserve">labour earnings, due to their increasing </w:t>
      </w:r>
      <w:r w:rsidR="0046323E">
        <w:t>share</w:t>
      </w:r>
      <w:r w:rsidR="00FC1CFB">
        <w:t xml:space="preserve"> of the </w:t>
      </w:r>
      <w:r w:rsidR="009A6CAA">
        <w:t>workforce</w:t>
      </w:r>
      <w:r w:rsidR="00FC1CFB">
        <w:t xml:space="preserve"> </w:t>
      </w:r>
      <w:r w:rsidR="0046323E">
        <w:t xml:space="preserve">(discussed below). </w:t>
      </w:r>
      <w:r w:rsidR="00B62044">
        <w:t>Over</w:t>
      </w:r>
      <w:r>
        <w:t xml:space="preserve"> the period covered</w:t>
      </w:r>
      <w:r w:rsidR="00B62044">
        <w:t xml:space="preserve"> labour earnings inequality has increased</w:t>
      </w:r>
      <w:r w:rsidR="00056E04">
        <w:t xml:space="preserve">, with the </w:t>
      </w:r>
      <w:proofErr w:type="spellStart"/>
      <w:r w:rsidR="00B62044">
        <w:t>Gini</w:t>
      </w:r>
      <w:proofErr w:type="spellEnd"/>
      <w:r w:rsidR="00056E04">
        <w:t xml:space="preserve">-coefficient rising from </w:t>
      </w:r>
      <w:r w:rsidR="00B62044">
        <w:t>around 0.35 in 1988-89 to around 0.41 in 2009-10 (an increase of around 18 per cent).</w:t>
      </w:r>
    </w:p>
    <w:p w:rsidR="0046323E" w:rsidRDefault="00471944" w:rsidP="001E644E">
      <w:pPr>
        <w:pStyle w:val="BodyText"/>
      </w:pPr>
      <w:r>
        <w:t>While starting from a more equal</w:t>
      </w:r>
      <w:r w:rsidR="001574AA">
        <w:t xml:space="preserve"> distribution of income</w:t>
      </w:r>
      <w:r>
        <w:t xml:space="preserve">, full-time workers have exhibited the greatest growth in </w:t>
      </w:r>
      <w:r w:rsidR="00F43A7C">
        <w:t xml:space="preserve">measured </w:t>
      </w:r>
      <w:r>
        <w:t>in</w:t>
      </w:r>
      <w:r w:rsidR="008138DB">
        <w:t>equality since 1988</w:t>
      </w:r>
      <w:r>
        <w:t>, as well as the most consistent trend. In contrast, the self-employed displayed the most varied trajectory</w:t>
      </w:r>
      <w:r w:rsidR="0046323E">
        <w:t>.</w:t>
      </w:r>
      <w:r>
        <w:t xml:space="preserve"> </w:t>
      </w:r>
      <w:r w:rsidR="0009053E">
        <w:t>I</w:t>
      </w:r>
      <w:r>
        <w:t xml:space="preserve">ncreases </w:t>
      </w:r>
      <w:r w:rsidR="0046323E">
        <w:t>(</w:t>
      </w:r>
      <w:r>
        <w:t>decreases</w:t>
      </w:r>
      <w:r w:rsidR="0046323E">
        <w:t xml:space="preserve">) in </w:t>
      </w:r>
      <w:r w:rsidR="00F43A7C">
        <w:t xml:space="preserve">measured </w:t>
      </w:r>
      <w:r w:rsidR="0046323E">
        <w:t>inequality among self-employed</w:t>
      </w:r>
      <w:r>
        <w:t xml:space="preserve"> </w:t>
      </w:r>
      <w:r w:rsidR="0046323E">
        <w:t>people appear to coincide with period</w:t>
      </w:r>
      <w:r w:rsidR="00E97D8C">
        <w:t>s of</w:t>
      </w:r>
      <w:r w:rsidR="0046323E">
        <w:t xml:space="preserve"> growth (decline) </w:t>
      </w:r>
      <w:r w:rsidR="007E3002">
        <w:t xml:space="preserve">in </w:t>
      </w:r>
      <w:r w:rsidR="0046323E">
        <w:t>the ag</w:t>
      </w:r>
      <w:r w:rsidR="00056E04">
        <w:t>gregate number of self-employed.</w:t>
      </w:r>
    </w:p>
    <w:p w:rsidR="008478A8" w:rsidRPr="0074110A" w:rsidRDefault="00F43A7C" w:rsidP="00B51B4D">
      <w:pPr>
        <w:pStyle w:val="BodyText"/>
      </w:pPr>
      <w:r>
        <w:t>Other</w:t>
      </w:r>
      <w:r w:rsidR="00B51B4D">
        <w:t xml:space="preserve"> </w:t>
      </w:r>
      <w:r w:rsidR="00DD0D82">
        <w:t>summary mea</w:t>
      </w:r>
      <w:r w:rsidR="003F5059">
        <w:t>sure</w:t>
      </w:r>
      <w:r w:rsidR="00AF7B3E">
        <w:t>s</w:t>
      </w:r>
      <w:r w:rsidR="003F5059">
        <w:t xml:space="preserve"> of inequality (</w:t>
      </w:r>
      <w:r w:rsidR="00082D4B">
        <w:t>a</w:t>
      </w:r>
      <w:r w:rsidR="00DD0D82">
        <w:t xml:space="preserve">ppendix </w:t>
      </w:r>
      <w:r w:rsidR="003F5059">
        <w:t>A</w:t>
      </w:r>
      <w:r w:rsidR="00DD0D82">
        <w:t>)</w:t>
      </w:r>
      <w:r w:rsidR="00CC5AD0">
        <w:t xml:space="preserve">, including the ratio of the </w:t>
      </w:r>
      <w:r w:rsidR="00F875B6">
        <w:t xml:space="preserve">income of top of the </w:t>
      </w:r>
      <w:r w:rsidR="00CC5AD0">
        <w:t>90</w:t>
      </w:r>
      <w:r w:rsidR="00F875B6" w:rsidRPr="00F875B6">
        <w:rPr>
          <w:vertAlign w:val="superscript"/>
        </w:rPr>
        <w:t>th</w:t>
      </w:r>
      <w:r w:rsidR="00F875B6">
        <w:t xml:space="preserve"> percentile to the top of the 10</w:t>
      </w:r>
      <w:r w:rsidR="00F875B6" w:rsidRPr="00F875B6">
        <w:rPr>
          <w:vertAlign w:val="superscript"/>
        </w:rPr>
        <w:t>th</w:t>
      </w:r>
      <w:r w:rsidR="00F875B6">
        <w:t xml:space="preserve"> percentile</w:t>
      </w:r>
      <w:r w:rsidR="001F7093">
        <w:t>(P90/P10)</w:t>
      </w:r>
      <w:r>
        <w:t xml:space="preserve">, </w:t>
      </w:r>
      <w:r w:rsidR="00CC5AD0">
        <w:t>the</w:t>
      </w:r>
      <w:r w:rsidR="0096435C">
        <w:t xml:space="preserve"> </w:t>
      </w:r>
      <w:r w:rsidR="0096435C" w:rsidRPr="0096435C">
        <w:t>mean logarithmic deviation</w:t>
      </w:r>
      <w:r w:rsidR="0096435C">
        <w:t xml:space="preserve"> and the </w:t>
      </w:r>
      <w:proofErr w:type="spellStart"/>
      <w:r w:rsidR="0096435C">
        <w:t>Theil</w:t>
      </w:r>
      <w:proofErr w:type="spellEnd"/>
      <w:r w:rsidR="0096435C">
        <w:t xml:space="preserve"> index</w:t>
      </w:r>
      <w:r>
        <w:t xml:space="preserve"> </w:t>
      </w:r>
      <w:r w:rsidR="001F7093">
        <w:t xml:space="preserve">also indicate </w:t>
      </w:r>
      <w:r w:rsidR="0009053E">
        <w:t xml:space="preserve">measured </w:t>
      </w:r>
      <w:r w:rsidR="008138DB">
        <w:t>inequality in Australia</w:t>
      </w:r>
      <w:r w:rsidR="00A035D8">
        <w:t xml:space="preserve"> </w:t>
      </w:r>
      <w:r w:rsidR="001F7093">
        <w:t xml:space="preserve">has increased </w:t>
      </w:r>
      <w:r w:rsidR="00A035D8">
        <w:t>between 1988-89 and 2009-10</w:t>
      </w:r>
      <w:r w:rsidR="008138DB">
        <w:t xml:space="preserve"> (figure </w:t>
      </w:r>
      <w:r w:rsidR="00CC35E2">
        <w:t>2.7</w:t>
      </w:r>
      <w:r w:rsidR="00AF7B3E">
        <w:t>,</w:t>
      </w:r>
      <w:r w:rsidR="00AF7B3E" w:rsidRPr="00AF7B3E">
        <w:t xml:space="preserve"> </w:t>
      </w:r>
      <w:r w:rsidR="00AF7B3E">
        <w:t>bottom panel</w:t>
      </w:r>
      <w:r w:rsidR="00F34860">
        <w:t>).</w:t>
      </w:r>
      <w:r w:rsidR="001F7093">
        <w:t xml:space="preserve"> However, patterns in each measure within this period vary — in particular the </w:t>
      </w:r>
      <w:proofErr w:type="spellStart"/>
      <w:r w:rsidR="001F7093">
        <w:t>P90</w:t>
      </w:r>
      <w:proofErr w:type="spellEnd"/>
      <w:r w:rsidR="001F7093">
        <w:t>/</w:t>
      </w:r>
      <w:proofErr w:type="spellStart"/>
      <w:r w:rsidR="001F7093">
        <w:t>P10</w:t>
      </w:r>
      <w:proofErr w:type="spellEnd"/>
      <w:r w:rsidR="001F7093">
        <w:t xml:space="preserve"> </w:t>
      </w:r>
      <w:r w:rsidR="00A20F66">
        <w:t xml:space="preserve">and </w:t>
      </w:r>
      <w:proofErr w:type="spellStart"/>
      <w:r w:rsidR="00A20F66">
        <w:t>P75</w:t>
      </w:r>
      <w:proofErr w:type="spellEnd"/>
      <w:r w:rsidR="00A20F66">
        <w:t>/</w:t>
      </w:r>
      <w:proofErr w:type="spellStart"/>
      <w:r w:rsidR="00A20F66">
        <w:t>P25</w:t>
      </w:r>
      <w:proofErr w:type="spellEnd"/>
      <w:r w:rsidR="00A20F66">
        <w:t xml:space="preserve"> measures </w:t>
      </w:r>
      <w:r w:rsidR="001F7093">
        <w:t xml:space="preserve">which initially rose but remained stable between 2003-04 and 2009-10. </w:t>
      </w:r>
    </w:p>
    <w:p w:rsidR="00BB3A44" w:rsidRDefault="00BB3A44" w:rsidP="00742C24">
      <w:pPr>
        <w:pStyle w:val="FigureTitle"/>
      </w:pPr>
      <w:r>
        <w:rPr>
          <w:b w:val="0"/>
        </w:rPr>
        <w:lastRenderedPageBreak/>
        <w:t xml:space="preserve">Figure </w:t>
      </w:r>
      <w:r w:rsidR="00A57B0A">
        <w:rPr>
          <w:b w:val="0"/>
        </w:rPr>
        <w:t>2.</w:t>
      </w:r>
      <w:r w:rsidR="006D43C2">
        <w:rPr>
          <w:b w:val="0"/>
          <w:noProof/>
        </w:rPr>
        <w:t>7</w:t>
      </w:r>
      <w:r>
        <w:tab/>
      </w:r>
      <w:r w:rsidR="00A035D8">
        <w:t xml:space="preserve">Changes </w:t>
      </w:r>
      <w:r w:rsidR="00F34860">
        <w:t>in</w:t>
      </w:r>
      <w:r w:rsidR="00E97D8C">
        <w:t xml:space="preserve"> labour</w:t>
      </w:r>
      <w:r w:rsidR="00F34860">
        <w:t xml:space="preserve"> income</w:t>
      </w:r>
      <w:r w:rsidR="00475A40">
        <w:t xml:space="preserve"> </w:t>
      </w:r>
      <w:r w:rsidR="00F34860">
        <w:t>inequality</w:t>
      </w:r>
      <w:r w:rsidR="002F61DE">
        <w:t>, 1988-89 to 2009-10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BB3A44" w:rsidTr="00817D21">
        <w:tc>
          <w:tcPr>
            <w:tcW w:w="8777" w:type="dxa"/>
          </w:tcPr>
          <w:p w:rsidR="00F34860" w:rsidRDefault="00F34860">
            <w:pPr>
              <w:pStyle w:val="Figure"/>
            </w:pPr>
            <w:r w:rsidRPr="00742C24">
              <w:rPr>
                <w:rFonts w:ascii="Arial" w:hAnsi="Arial"/>
                <w:i/>
                <w:noProof/>
                <w:sz w:val="20"/>
              </w:rPr>
              <w:t>Gini coefficient by type of worker</w:t>
            </w:r>
            <w:r w:rsidR="00726AF0">
              <w:rPr>
                <w:rFonts w:ascii="Arial" w:hAnsi="Arial"/>
                <w:i/>
                <w:noProof/>
                <w:sz w:val="20"/>
                <w:vertAlign w:val="superscript"/>
              </w:rPr>
              <w:t>a</w:t>
            </w:r>
            <w:r w:rsidR="00817D21">
              <w:rPr>
                <w:rFonts w:ascii="Arial" w:hAnsi="Arial"/>
                <w:i/>
                <w:noProof/>
                <w:sz w:val="20"/>
              </w:rPr>
              <w:br/>
            </w:r>
            <w:r w:rsidR="00817D21">
              <w:rPr>
                <w:noProof/>
              </w:rPr>
              <w:drawing>
                <wp:inline distT="0" distB="0" distL="0" distR="0" wp14:anchorId="0130B6A0" wp14:editId="44DABD5D">
                  <wp:extent cx="5400000" cy="2880000"/>
                  <wp:effectExtent l="0" t="0" r="0" b="0"/>
                  <wp:docPr id="7" name="Chart 7" descr="Top panel depicts the Gini coefficient which has increased between 1988-89 and 2009-10." title="Figure 2.7 Changes in labour income inequality,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BB3A44" w:rsidRDefault="00F34860" w:rsidP="00817D21">
            <w:pPr>
              <w:pStyle w:val="Figure"/>
            </w:pPr>
            <w:r w:rsidRPr="00742C24">
              <w:rPr>
                <w:rFonts w:ascii="Arial" w:hAnsi="Arial"/>
                <w:i/>
                <w:noProof/>
                <w:sz w:val="20"/>
              </w:rPr>
              <w:t xml:space="preserve">Alternative measures of </w:t>
            </w:r>
            <w:r w:rsidR="00742C24">
              <w:rPr>
                <w:rFonts w:ascii="Arial" w:hAnsi="Arial"/>
                <w:i/>
                <w:noProof/>
                <w:sz w:val="20"/>
              </w:rPr>
              <w:t xml:space="preserve">labour </w:t>
            </w:r>
            <w:r w:rsidRPr="00742C24">
              <w:rPr>
                <w:rFonts w:ascii="Arial" w:hAnsi="Arial"/>
                <w:i/>
                <w:noProof/>
                <w:sz w:val="20"/>
              </w:rPr>
              <w:t>inequality</w:t>
            </w:r>
            <w:r w:rsidR="00943ADF">
              <w:rPr>
                <w:rFonts w:ascii="Arial" w:hAnsi="Arial"/>
                <w:i/>
                <w:noProof/>
                <w:sz w:val="20"/>
                <w:vertAlign w:val="superscript"/>
              </w:rPr>
              <w:t>b</w:t>
            </w:r>
            <w:r w:rsidR="00817D21">
              <w:rPr>
                <w:rFonts w:ascii="Arial" w:hAnsi="Arial"/>
                <w:i/>
                <w:noProof/>
                <w:sz w:val="20"/>
              </w:rPr>
              <w:br/>
            </w:r>
            <w:r w:rsidR="00817D21">
              <w:rPr>
                <w:noProof/>
              </w:rPr>
              <w:drawing>
                <wp:inline distT="0" distB="0" distL="0" distR="0" wp14:anchorId="169F7D31" wp14:editId="7F928F06">
                  <wp:extent cx="5400000" cy="2880000"/>
                  <wp:effectExtent l="0" t="0" r="0" b="0"/>
                  <wp:docPr id="9" name="Chart 9" descr="Bottom panel depicts the P90/P10, P75/P25, GE(0) and GE(1) which have increased between 1988-89 and 2009-10. " title="Figure 2.7 Changes in labour income inequality,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bl>
    <w:p w:rsidR="00BB3A44" w:rsidRDefault="00726AF0">
      <w:pPr>
        <w:pStyle w:val="Note"/>
      </w:pPr>
      <w:proofErr w:type="spellStart"/>
      <w:r>
        <w:rPr>
          <w:rStyle w:val="NoteLabel"/>
        </w:rPr>
        <w:t>a</w:t>
      </w:r>
      <w:proofErr w:type="spellEnd"/>
      <w:r>
        <w:t xml:space="preserve"> Increases in </w:t>
      </w:r>
      <w:proofErr w:type="spellStart"/>
      <w:r>
        <w:t>Gini</w:t>
      </w:r>
      <w:proofErr w:type="spellEnd"/>
      <w:r>
        <w:t xml:space="preserve"> coefficient over the whole period are statistically significant for all groups at the 1 per cent level. </w:t>
      </w:r>
      <w:r>
        <w:rPr>
          <w:rStyle w:val="NoteLabel"/>
        </w:rPr>
        <w:t>b</w:t>
      </w:r>
      <w:r w:rsidR="00BB3A44">
        <w:t xml:space="preserve"> </w:t>
      </w:r>
      <w:r w:rsidR="00D75A5E">
        <w:t xml:space="preserve">GE(0) refers to the </w:t>
      </w:r>
      <w:r w:rsidR="00D75A5E" w:rsidRPr="0096435C">
        <w:t>mean logarithmic deviation</w:t>
      </w:r>
      <w:r w:rsidR="00D75A5E">
        <w:t xml:space="preserve"> and the GE(1) refers to the </w:t>
      </w:r>
      <w:proofErr w:type="spellStart"/>
      <w:r w:rsidR="00D75A5E">
        <w:t>Theil</w:t>
      </w:r>
      <w:proofErr w:type="spellEnd"/>
      <w:r w:rsidR="00D75A5E">
        <w:t xml:space="preserve"> index</w:t>
      </w:r>
      <w:r w:rsidR="00BD3FB7">
        <w:t>.</w:t>
      </w:r>
    </w:p>
    <w:p w:rsidR="00BB3A44" w:rsidRPr="0074110A" w:rsidRDefault="00BB3A44">
      <w:pPr>
        <w:pStyle w:val="Source"/>
        <w:rPr>
          <w:b/>
        </w:rPr>
      </w:pPr>
      <w:r>
        <w:rPr>
          <w:i/>
        </w:rPr>
        <w:t>Data source</w:t>
      </w:r>
      <w:r w:rsidRPr="00167F06">
        <w:t>:</w:t>
      </w:r>
      <w:r w:rsidR="00D75A5E">
        <w:t xml:space="preserve"> Author estimates based on ABS (Household Expenditure Survey, cat. no. 6503.0, </w:t>
      </w:r>
      <w:proofErr w:type="spellStart"/>
      <w:r w:rsidR="00D75A5E">
        <w:t>confidentialised</w:t>
      </w:r>
      <w:proofErr w:type="spellEnd"/>
      <w:r w:rsidR="00D75A5E">
        <w:t xml:space="preserve"> unit record files)</w:t>
      </w:r>
      <w:r w:rsidR="00BD3FB7">
        <w:t>.</w:t>
      </w:r>
      <w:r w:rsidR="00B92A29">
        <w:t xml:space="preserve"> </w:t>
      </w:r>
    </w:p>
    <w:p w:rsidR="00F34860" w:rsidRDefault="009169F3" w:rsidP="008138DB">
      <w:pPr>
        <w:pStyle w:val="Heading3"/>
      </w:pPr>
      <w:r>
        <w:t xml:space="preserve">Are the important differences </w:t>
      </w:r>
      <w:r w:rsidR="00742C24">
        <w:t>‘</w:t>
      </w:r>
      <w:r>
        <w:t>w</w:t>
      </w:r>
      <w:r w:rsidR="00F34860">
        <w:t>ithin</w:t>
      </w:r>
      <w:r w:rsidR="00742C24">
        <w:t>’</w:t>
      </w:r>
      <w:r w:rsidR="00F34860">
        <w:t xml:space="preserve"> or </w:t>
      </w:r>
      <w:r w:rsidR="00742C24">
        <w:t>‘</w:t>
      </w:r>
      <w:r w:rsidR="00F34860">
        <w:t>between</w:t>
      </w:r>
      <w:r w:rsidR="00742C24">
        <w:t>’</w:t>
      </w:r>
      <w:r>
        <w:t xml:space="preserve"> worker types</w:t>
      </w:r>
      <w:r w:rsidR="00F34860">
        <w:t>?</w:t>
      </w:r>
    </w:p>
    <w:p w:rsidR="008138DB" w:rsidRDefault="00F34860" w:rsidP="00F34860">
      <w:pPr>
        <w:pStyle w:val="BodyText"/>
      </w:pPr>
      <w:r>
        <w:t xml:space="preserve">Interpreting </w:t>
      </w:r>
      <w:r w:rsidR="00A035D8">
        <w:t xml:space="preserve">changes </w:t>
      </w:r>
      <w:r>
        <w:t>i</w:t>
      </w:r>
      <w:r w:rsidR="00E97D8C">
        <w:t xml:space="preserve">n summary measures such as the </w:t>
      </w:r>
      <w:proofErr w:type="spellStart"/>
      <w:r w:rsidR="00E97D8C">
        <w:t>G</w:t>
      </w:r>
      <w:r>
        <w:t>ini</w:t>
      </w:r>
      <w:proofErr w:type="spellEnd"/>
      <w:r w:rsidR="00A035D8">
        <w:t xml:space="preserve"> </w:t>
      </w:r>
      <w:r>
        <w:t xml:space="preserve">coefficient is made more difficult due to the presence of different groups, </w:t>
      </w:r>
      <w:r w:rsidR="00D35B35">
        <w:t xml:space="preserve">each </w:t>
      </w:r>
      <w:r>
        <w:t xml:space="preserve">with different earning </w:t>
      </w:r>
      <w:r>
        <w:lastRenderedPageBreak/>
        <w:t>profiles.</w:t>
      </w:r>
      <w:r w:rsidR="00EE44F1">
        <w:t xml:space="preserve"> </w:t>
      </w:r>
      <w:r w:rsidR="00AF617B">
        <w:t>Overall</w:t>
      </w:r>
      <w:r w:rsidR="00110595">
        <w:t>,</w:t>
      </w:r>
      <w:r w:rsidR="00AF617B">
        <w:t xml:space="preserve"> </w:t>
      </w:r>
      <w:r w:rsidR="00110595">
        <w:t xml:space="preserve">changes </w:t>
      </w:r>
      <w:r w:rsidR="00AF617B">
        <w:t xml:space="preserve">in the </w:t>
      </w:r>
      <w:proofErr w:type="spellStart"/>
      <w:r w:rsidR="00AF617B">
        <w:t>G</w:t>
      </w:r>
      <w:r w:rsidR="008138DB">
        <w:t>ini</w:t>
      </w:r>
      <w:proofErr w:type="spellEnd"/>
      <w:r w:rsidR="008138DB">
        <w:t xml:space="preserve"> </w:t>
      </w:r>
      <w:r w:rsidR="00AF7B3E">
        <w:t xml:space="preserve">coefficient </w:t>
      </w:r>
      <w:r w:rsidR="00D06780">
        <w:t>are</w:t>
      </w:r>
      <w:r w:rsidR="008138DB">
        <w:t xml:space="preserve"> affected by </w:t>
      </w:r>
      <w:r w:rsidR="00110595">
        <w:t xml:space="preserve">varying </w:t>
      </w:r>
      <w:r w:rsidR="008138DB">
        <w:t>relativities</w:t>
      </w:r>
      <w:r w:rsidR="008138DB" w:rsidRPr="008138DB">
        <w:rPr>
          <w:i/>
        </w:rPr>
        <w:t xml:space="preserve"> between</w:t>
      </w:r>
      <w:r w:rsidR="008138DB">
        <w:t xml:space="preserve"> groups (for example, the </w:t>
      </w:r>
      <w:r w:rsidR="00CB0CD5">
        <w:t xml:space="preserve">higher </w:t>
      </w:r>
      <w:r w:rsidR="008138DB">
        <w:t>average income</w:t>
      </w:r>
      <w:r w:rsidR="00CB0CD5">
        <w:t xml:space="preserve"> growth</w:t>
      </w:r>
      <w:r w:rsidR="008138DB">
        <w:t xml:space="preserve"> of self-employed workers </w:t>
      </w:r>
      <w:r w:rsidR="00CB0CD5">
        <w:t>compared to part-time workers exerts</w:t>
      </w:r>
      <w:r w:rsidR="008138DB">
        <w:t xml:space="preserve"> an upward pressure on inequality)</w:t>
      </w:r>
      <w:r w:rsidR="00D06780">
        <w:t xml:space="preserve">. </w:t>
      </w:r>
      <w:r w:rsidR="00110595">
        <w:t xml:space="preserve">Overall changes </w:t>
      </w:r>
      <w:r w:rsidR="0055620E">
        <w:t>are influenced by</w:t>
      </w:r>
      <w:r w:rsidR="008138DB">
        <w:t xml:space="preserve"> the level of income dispersion </w:t>
      </w:r>
      <w:r w:rsidR="008138DB" w:rsidRPr="008138DB">
        <w:rPr>
          <w:i/>
        </w:rPr>
        <w:t>within</w:t>
      </w:r>
      <w:r w:rsidR="008138DB">
        <w:t xml:space="preserve"> each group (for example, inequality increased markedly amongst self-employed workers, exerting upward pressure on inequality</w:t>
      </w:r>
      <w:r w:rsidR="00AF617B">
        <w:t>)</w:t>
      </w:r>
      <w:r w:rsidR="008138DB">
        <w:t>. These effects are commonly referred to as the impact of ‘between’ variation and ‘within’ variation.</w:t>
      </w:r>
    </w:p>
    <w:p w:rsidR="00D35B35" w:rsidRPr="008138DB" w:rsidRDefault="005B0A64" w:rsidP="00F34860">
      <w:pPr>
        <w:pStyle w:val="BodyText"/>
        <w:rPr>
          <w:i/>
        </w:rPr>
      </w:pPr>
      <w:r w:rsidRPr="008138DB">
        <w:rPr>
          <w:i/>
        </w:rPr>
        <w:t>So which effect has been most important?</w:t>
      </w:r>
    </w:p>
    <w:p w:rsidR="005B0A64" w:rsidRDefault="001270D8" w:rsidP="00F34860">
      <w:pPr>
        <w:pStyle w:val="BodyText"/>
      </w:pPr>
      <w:r>
        <w:t>A co</w:t>
      </w:r>
      <w:r w:rsidR="00AF617B">
        <w:t xml:space="preserve">mmonly </w:t>
      </w:r>
      <w:r w:rsidR="00A035D8">
        <w:t xml:space="preserve">cited </w:t>
      </w:r>
      <w:r w:rsidR="00AF617B">
        <w:t xml:space="preserve">drawback of the </w:t>
      </w:r>
      <w:proofErr w:type="spellStart"/>
      <w:r w:rsidR="00AF617B">
        <w:t>G</w:t>
      </w:r>
      <w:r>
        <w:t>ini</w:t>
      </w:r>
      <w:proofErr w:type="spellEnd"/>
      <w:r w:rsidR="00A035D8">
        <w:t xml:space="preserve"> </w:t>
      </w:r>
      <w:r>
        <w:t xml:space="preserve">coefficient </w:t>
      </w:r>
      <w:r w:rsidR="0055620E">
        <w:t xml:space="preserve">is </w:t>
      </w:r>
      <w:r w:rsidR="00BD3AB1">
        <w:t xml:space="preserve">that it </w:t>
      </w:r>
      <w:r w:rsidR="00D06780">
        <w:t xml:space="preserve">usually </w:t>
      </w:r>
      <w:r w:rsidR="00BD3AB1">
        <w:t xml:space="preserve">cannot be fully </w:t>
      </w:r>
      <w:r w:rsidR="009169F3">
        <w:t>decomposed</w:t>
      </w:r>
      <w:r w:rsidR="00D06780">
        <w:t xml:space="preserve"> (box</w:t>
      </w:r>
      <w:r w:rsidR="00110595">
        <w:t> </w:t>
      </w:r>
      <w:r w:rsidR="00D06780">
        <w:t>2.</w:t>
      </w:r>
      <w:r w:rsidR="006D6480">
        <w:t>1</w:t>
      </w:r>
      <w:r w:rsidR="00D06780">
        <w:t>).</w:t>
      </w:r>
      <w:r>
        <w:t xml:space="preserve"> </w:t>
      </w:r>
      <w:r w:rsidR="005E1FDC">
        <w:t>While t</w:t>
      </w:r>
      <w:r>
        <w:t xml:space="preserve">he contribution of </w:t>
      </w:r>
      <w:r>
        <w:rPr>
          <w:i/>
        </w:rPr>
        <w:t>within</w:t>
      </w:r>
      <w:r>
        <w:t xml:space="preserve"> and </w:t>
      </w:r>
      <w:r>
        <w:rPr>
          <w:i/>
        </w:rPr>
        <w:t>between</w:t>
      </w:r>
      <w:r>
        <w:t xml:space="preserve"> variability can be estima</w:t>
      </w:r>
      <w:r w:rsidR="008138DB">
        <w:t>ted</w:t>
      </w:r>
      <w:r w:rsidR="005E1FDC">
        <w:t>,</w:t>
      </w:r>
      <w:r w:rsidR="008138DB">
        <w:t xml:space="preserve"> a residual term</w:t>
      </w:r>
      <w:r>
        <w:t xml:space="preserve"> (</w:t>
      </w:r>
      <w:r w:rsidR="008138DB">
        <w:t>usually)</w:t>
      </w:r>
      <w:r>
        <w:rPr>
          <w:b/>
        </w:rPr>
        <w:t xml:space="preserve"> </w:t>
      </w:r>
      <w:r>
        <w:t xml:space="preserve">remains, which contains both </w:t>
      </w:r>
      <w:r w:rsidRPr="009169F3">
        <w:rPr>
          <w:i/>
        </w:rPr>
        <w:t xml:space="preserve">within </w:t>
      </w:r>
      <w:r>
        <w:t xml:space="preserve">and </w:t>
      </w:r>
      <w:r w:rsidRPr="009169F3">
        <w:rPr>
          <w:i/>
        </w:rPr>
        <w:t>between</w:t>
      </w:r>
      <w:r>
        <w:t xml:space="preserve"> effects </w:t>
      </w:r>
      <w:r w:rsidR="00D06780">
        <w:t xml:space="preserve">and has no clear interpretation. </w:t>
      </w:r>
      <w:r w:rsidR="005D3674">
        <w:t xml:space="preserve">This means that total contribution of </w:t>
      </w:r>
      <w:r w:rsidR="005D3674" w:rsidRPr="005D3674">
        <w:rPr>
          <w:i/>
        </w:rPr>
        <w:t>within</w:t>
      </w:r>
      <w:r w:rsidR="005D3674">
        <w:t xml:space="preserve"> and </w:t>
      </w:r>
      <w:r w:rsidR="005D3674">
        <w:rPr>
          <w:i/>
        </w:rPr>
        <w:t xml:space="preserve">between </w:t>
      </w:r>
      <w:r w:rsidR="00596C5E">
        <w:t xml:space="preserve">variability to the </w:t>
      </w:r>
      <w:proofErr w:type="spellStart"/>
      <w:r w:rsidR="00596C5E">
        <w:t>G</w:t>
      </w:r>
      <w:r w:rsidR="005D3674">
        <w:t>ini</w:t>
      </w:r>
      <w:proofErr w:type="spellEnd"/>
      <w:r w:rsidR="005D3674">
        <w:t xml:space="preserve"> </w:t>
      </w:r>
      <w:r w:rsidR="00AF7B3E">
        <w:t xml:space="preserve">coefficient </w:t>
      </w:r>
      <w:r w:rsidR="005D3674">
        <w:t xml:space="preserve">cannot be exactly </w:t>
      </w:r>
      <w:r w:rsidR="00AF617B">
        <w:t>calculated</w:t>
      </w:r>
      <w:r w:rsidR="005D3674">
        <w:t xml:space="preserve">. </w:t>
      </w:r>
      <w:r w:rsidRPr="005D3674">
        <w:t>The</w:t>
      </w:r>
      <w:r>
        <w:t xml:space="preserve"> greater the contribution of this ‘overlapping’ residual, the less informative the decomposition.</w:t>
      </w:r>
    </w:p>
    <w:p w:rsidR="00BD3FB7" w:rsidRDefault="00BD3FB7" w:rsidP="00BD3FB7">
      <w:pPr>
        <w:pStyle w:val="BodyText"/>
      </w:pPr>
      <w:r>
        <w:t>The</w:t>
      </w:r>
      <w:r w:rsidRPr="009169F3">
        <w:t xml:space="preserve"> decomposition</w:t>
      </w:r>
      <w:r>
        <w:t xml:space="preserve"> analysis suggests that differences in the average incomes between worker types, and differences in individual incomes within each type, are roughly equal contributors to labour income inequality in Australia (figure 2.8).</w:t>
      </w:r>
    </w:p>
    <w:p w:rsidR="00BD3FB7" w:rsidRDefault="00BD3FB7" w:rsidP="00BD3FB7">
      <w:pPr>
        <w:pStyle w:val="BodyText"/>
      </w:pPr>
      <w:r>
        <w:t>The unexplained ‘overlapping’ residual is typically around 10 per cent. While relatively small, this residual obscures trends in the relative importance of the two types of variation. Nevertheless, the decomposition is suggestive of two features</w:t>
      </w:r>
      <w:r w:rsidR="00110595">
        <w:t>.</w:t>
      </w:r>
      <w:r>
        <w:t xml:space="preserve"> </w:t>
      </w:r>
    </w:p>
    <w:p w:rsidR="00BD3FB7" w:rsidRDefault="00BD3FB7" w:rsidP="00BD3FB7">
      <w:pPr>
        <w:pStyle w:val="ListBullet"/>
      </w:pPr>
      <w:r>
        <w:t>Since 1993-94, the differences in the average incomes o</w:t>
      </w:r>
      <w:r w:rsidR="002A3120">
        <w:t>f full-time, part-time and self-</w:t>
      </w:r>
      <w:r>
        <w:t>employed</w:t>
      </w:r>
      <w:r w:rsidR="00A035D8">
        <w:t xml:space="preserve"> </w:t>
      </w:r>
      <w:r>
        <w:t xml:space="preserve">workers have been more important in determining overall inequality than the variation </w:t>
      </w:r>
      <w:r w:rsidR="00260A1F">
        <w:t>in</w:t>
      </w:r>
      <w:r>
        <w:t xml:space="preserve"> income of workers within each of these categories. </w:t>
      </w:r>
    </w:p>
    <w:p w:rsidR="00BD3FB7" w:rsidRPr="00527BB3" w:rsidRDefault="00BD3FB7">
      <w:pPr>
        <w:pStyle w:val="ListBullet"/>
      </w:pPr>
      <w:r w:rsidRPr="00527BB3">
        <w:t>However</w:t>
      </w:r>
      <w:r w:rsidR="00110595" w:rsidRPr="00527BB3">
        <w:t>,</w:t>
      </w:r>
      <w:r w:rsidRPr="00527BB3">
        <w:t xml:space="preserve"> the </w:t>
      </w:r>
      <w:r w:rsidR="00260A1F" w:rsidRPr="00B72C24">
        <w:t xml:space="preserve">difference in the contribution of ‘between’ and ‘within’ variability to the </w:t>
      </w:r>
      <w:proofErr w:type="spellStart"/>
      <w:r w:rsidR="00260A1F" w:rsidRPr="00B72C24">
        <w:t>Gini</w:t>
      </w:r>
      <w:proofErr w:type="spellEnd"/>
      <w:r w:rsidR="00260A1F" w:rsidRPr="00B72C24">
        <w:t xml:space="preserve"> coefficient</w:t>
      </w:r>
      <w:r w:rsidRPr="00527BB3">
        <w:t xml:space="preserve"> is small (at most 9 per cent in 1998-99) and has been declining over time. That is, variation </w:t>
      </w:r>
      <w:r w:rsidR="00260A1F" w:rsidRPr="00B72C24">
        <w:t>in</w:t>
      </w:r>
      <w:r w:rsidRPr="00527BB3">
        <w:t xml:space="preserve"> income of individuals within each group </w:t>
      </w:r>
      <w:r w:rsidR="00260A1F" w:rsidRPr="00B72C24">
        <w:t xml:space="preserve">has </w:t>
      </w:r>
      <w:r w:rsidRPr="00527BB3">
        <w:t>grow</w:t>
      </w:r>
      <w:r w:rsidR="00260A1F" w:rsidRPr="00B72C24">
        <w:t>n</w:t>
      </w:r>
      <w:r w:rsidRPr="00527BB3">
        <w:t xml:space="preserve"> in relative importance, while variation in average income between each group </w:t>
      </w:r>
      <w:r w:rsidR="00527BB3" w:rsidRPr="00B72C24">
        <w:t>has</w:t>
      </w:r>
      <w:r w:rsidR="00527BB3" w:rsidRPr="00527BB3">
        <w:t xml:space="preserve"> </w:t>
      </w:r>
      <w:r w:rsidRPr="00527BB3">
        <w:t>declin</w:t>
      </w:r>
      <w:r w:rsidR="00527BB3" w:rsidRPr="00B72C24">
        <w:t>ed</w:t>
      </w:r>
      <w:r w:rsidRPr="00527BB3">
        <w:t xml:space="preserve"> in relative importance.</w:t>
      </w:r>
    </w:p>
    <w:p w:rsidR="00BD3FB7" w:rsidRDefault="00BD3FB7" w:rsidP="00F34860">
      <w:pPr>
        <w:pStyle w:val="BodyText"/>
      </w:pPr>
    </w:p>
    <w:p w:rsidR="005B0A64" w:rsidRDefault="005B0A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B0A64">
        <w:tc>
          <w:tcPr>
            <w:tcW w:w="8771" w:type="dxa"/>
            <w:tcBorders>
              <w:top w:val="single" w:sz="6" w:space="0" w:color="auto"/>
              <w:bottom w:val="nil"/>
            </w:tcBorders>
          </w:tcPr>
          <w:p w:rsidR="005B0A64" w:rsidRDefault="005B0A64" w:rsidP="00B764E1">
            <w:pPr>
              <w:pStyle w:val="BoxTitle"/>
            </w:pPr>
            <w:r>
              <w:rPr>
                <w:b w:val="0"/>
              </w:rPr>
              <w:t xml:space="preserve">Box </w:t>
            </w:r>
            <w:r w:rsidR="00A57B0A">
              <w:rPr>
                <w:b w:val="0"/>
              </w:rPr>
              <w:t>2.</w:t>
            </w:r>
            <w:r w:rsidR="006D43C2">
              <w:rPr>
                <w:b w:val="0"/>
                <w:noProof/>
              </w:rPr>
              <w:t>1</w:t>
            </w:r>
            <w:r>
              <w:tab/>
              <w:t xml:space="preserve">Decomposition of </w:t>
            </w:r>
            <w:r w:rsidR="00B764E1">
              <w:t xml:space="preserve">the </w:t>
            </w:r>
            <w:proofErr w:type="spellStart"/>
            <w:r w:rsidR="00B764E1">
              <w:t>Gini</w:t>
            </w:r>
            <w:proofErr w:type="spellEnd"/>
            <w:r w:rsidR="00B764E1">
              <w:t xml:space="preserve"> coefficient</w:t>
            </w:r>
          </w:p>
        </w:tc>
      </w:tr>
      <w:tr w:rsidR="005B0A64">
        <w:trPr>
          <w:cantSplit/>
        </w:trPr>
        <w:tc>
          <w:tcPr>
            <w:tcW w:w="8771" w:type="dxa"/>
            <w:tcBorders>
              <w:top w:val="nil"/>
              <w:left w:val="single" w:sz="6" w:space="0" w:color="auto"/>
              <w:bottom w:val="nil"/>
              <w:right w:val="single" w:sz="6" w:space="0" w:color="auto"/>
            </w:tcBorders>
          </w:tcPr>
          <w:p w:rsidR="008138DB" w:rsidRDefault="00B764E1">
            <w:pPr>
              <w:pStyle w:val="Box"/>
            </w:pPr>
            <w:r>
              <w:t xml:space="preserve">The most general decomposition of any inequality index </w:t>
            </w:r>
            <w:r>
              <w:rPr>
                <w:i/>
              </w:rPr>
              <w:t>I</w:t>
            </w:r>
            <w:r>
              <w:t xml:space="preserve"> generates a </w:t>
            </w:r>
            <w:r>
              <w:rPr>
                <w:i/>
              </w:rPr>
              <w:t>within</w:t>
            </w:r>
            <w:r>
              <w:t xml:space="preserve"> element and a </w:t>
            </w:r>
            <w:r>
              <w:rPr>
                <w:i/>
              </w:rPr>
              <w:t xml:space="preserve">between </w:t>
            </w:r>
            <w:r w:rsidRPr="00B72C24">
              <w:t>element</w:t>
            </w:r>
            <w:r>
              <w:t xml:space="preserve">. </w:t>
            </w:r>
          </w:p>
          <w:p w:rsidR="00B764E1" w:rsidRDefault="00B764E1" w:rsidP="00AF7B3E">
            <w:pPr>
              <w:pStyle w:val="Box"/>
              <w:jc w:val="center"/>
              <w:rPr>
                <w:i/>
              </w:rPr>
            </w:pPr>
            <w:r>
              <w:rPr>
                <w:i/>
              </w:rPr>
              <w:t>I=</w:t>
            </w:r>
            <w:proofErr w:type="spellStart"/>
            <w:r>
              <w:rPr>
                <w:i/>
              </w:rPr>
              <w:t>I</w:t>
            </w:r>
            <w:r>
              <w:rPr>
                <w:i/>
                <w:vertAlign w:val="subscript"/>
              </w:rPr>
              <w:t>within</w:t>
            </w:r>
            <w:proofErr w:type="spellEnd"/>
            <w:r>
              <w:rPr>
                <w:i/>
              </w:rPr>
              <w:t xml:space="preserve"> + </w:t>
            </w:r>
            <w:proofErr w:type="spellStart"/>
            <w:r>
              <w:rPr>
                <w:i/>
              </w:rPr>
              <w:t>I</w:t>
            </w:r>
            <w:r>
              <w:rPr>
                <w:i/>
                <w:vertAlign w:val="subscript"/>
              </w:rPr>
              <w:t>between</w:t>
            </w:r>
            <w:proofErr w:type="spellEnd"/>
          </w:p>
          <w:p w:rsidR="00B764E1" w:rsidRDefault="00B764E1" w:rsidP="00B764E1">
            <w:pPr>
              <w:pStyle w:val="Box"/>
            </w:pPr>
            <w:r>
              <w:t xml:space="preserve">The within element describes </w:t>
            </w:r>
            <w:r w:rsidR="00AF617B">
              <w:t>how the variation</w:t>
            </w:r>
            <w:r>
              <w:t xml:space="preserve"> that occurs among members of a specified group</w:t>
            </w:r>
            <w:r w:rsidR="00AF617B">
              <w:t xml:space="preserve"> contributes to inequality</w:t>
            </w:r>
            <w:r>
              <w:t xml:space="preserve">. The between element describes </w:t>
            </w:r>
            <w:r w:rsidR="00AF617B">
              <w:t xml:space="preserve">how </w:t>
            </w:r>
            <w:r>
              <w:t>the different average incomes</w:t>
            </w:r>
            <w:r w:rsidR="00AF617B">
              <w:t xml:space="preserve"> of specified groups contributes to inequality.</w:t>
            </w:r>
          </w:p>
          <w:p w:rsidR="00B764E1" w:rsidRDefault="00B764E1" w:rsidP="00B764E1">
            <w:pPr>
              <w:pStyle w:val="Box"/>
            </w:pPr>
            <w:r>
              <w:t xml:space="preserve">In the simple case comparing two groups </w:t>
            </w:r>
            <w:r>
              <w:rPr>
                <w:i/>
              </w:rPr>
              <w:t xml:space="preserve">A and B, </w:t>
            </w:r>
            <w:r>
              <w:t xml:space="preserve">it can be shown </w:t>
            </w:r>
            <w:r w:rsidR="00596C5E">
              <w:t xml:space="preserve">that the within element of the </w:t>
            </w:r>
            <w:proofErr w:type="spellStart"/>
            <w:r w:rsidR="00596C5E">
              <w:t>G</w:t>
            </w:r>
            <w:r>
              <w:t>ini</w:t>
            </w:r>
            <w:proofErr w:type="spellEnd"/>
            <w:r>
              <w:t xml:space="preserve"> can be calculated as follows:</w:t>
            </w:r>
          </w:p>
          <w:p w:rsidR="00B764E1" w:rsidRDefault="00654C51" w:rsidP="00B764E1">
            <w:pPr>
              <w:pStyle w:val="Box"/>
            </w:pPr>
            <m:oMathPara>
              <m:oMath>
                <m:sSub>
                  <m:sSubPr>
                    <m:ctrlPr>
                      <w:rPr>
                        <w:rFonts w:ascii="Cambria Math" w:hAnsi="Cambria Math"/>
                        <w:i/>
                      </w:rPr>
                    </m:ctrlPr>
                  </m:sSubPr>
                  <m:e>
                    <m:r>
                      <w:rPr>
                        <w:rFonts w:ascii="Cambria Math" w:hAnsi="Cambria Math"/>
                      </w:rPr>
                      <m:t>Gini</m:t>
                    </m:r>
                  </m:e>
                  <m:sub>
                    <m:r>
                      <w:rPr>
                        <w:rFonts w:ascii="Cambria Math" w:hAnsi="Cambria Math"/>
                      </w:rPr>
                      <m:t>Within</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A</m:t>
                            </m:r>
                          </m:sub>
                        </m:sSub>
                      </m:num>
                      <m:den>
                        <m:r>
                          <w:rPr>
                            <w:rFonts w:ascii="Cambria Math" w:hAnsi="Cambria Math"/>
                          </w:rPr>
                          <m:t>n</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A</m:t>
                            </m:r>
                          </m:sub>
                        </m:sSub>
                      </m:num>
                      <m:den>
                        <m:r>
                          <w:rPr>
                            <w:rFonts w:ascii="Cambria Math" w:hAnsi="Cambria Math"/>
                          </w:rPr>
                          <m:t>Y</m:t>
                        </m:r>
                      </m:den>
                    </m:f>
                  </m:e>
                </m:d>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A</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m:t>
                            </m:r>
                          </m:sub>
                        </m:sSub>
                      </m:num>
                      <m:den>
                        <m:r>
                          <w:rPr>
                            <w:rFonts w:ascii="Cambria Math" w:hAnsi="Cambria Math"/>
                          </w:rPr>
                          <m:t>n</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B</m:t>
                            </m:r>
                          </m:sub>
                        </m:sSub>
                      </m:num>
                      <m:den>
                        <m:r>
                          <w:rPr>
                            <w:rFonts w:ascii="Cambria Math" w:hAnsi="Cambria Math"/>
                          </w:rPr>
                          <m:t>Y</m:t>
                        </m:r>
                      </m:den>
                    </m:f>
                  </m:e>
                </m:d>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B</m:t>
                    </m:r>
                  </m:sub>
                </m:sSub>
              </m:oMath>
            </m:oMathPara>
          </w:p>
          <w:p w:rsidR="00B764E1" w:rsidRDefault="00601949" w:rsidP="00B764E1">
            <w:pPr>
              <w:pStyle w:val="Box"/>
            </w:pPr>
            <w:r>
              <w:t>w</w:t>
            </w:r>
            <w:r w:rsidR="00B764E1">
              <w:t xml:space="preserve">here </w:t>
            </w:r>
            <m:oMath>
              <m:sSub>
                <m:sSubPr>
                  <m:ctrlPr>
                    <w:rPr>
                      <w:rFonts w:ascii="Cambria Math" w:hAnsi="Cambria Math"/>
                      <w:i/>
                    </w:rPr>
                  </m:ctrlPr>
                </m:sSubPr>
                <m:e>
                  <m:r>
                    <w:rPr>
                      <w:rFonts w:ascii="Cambria Math" w:hAnsi="Cambria Math"/>
                    </w:rPr>
                    <m:t>G</m:t>
                  </m:r>
                </m:e>
                <m:sub>
                  <m:r>
                    <w:rPr>
                      <w:rFonts w:ascii="Cambria Math" w:hAnsi="Cambria Math"/>
                    </w:rPr>
                    <m:t>A</m:t>
                  </m:r>
                </m:sub>
              </m:sSub>
            </m:oMath>
            <w:r w:rsidR="00B764E1">
              <w:t xml:space="preserve"> and </w:t>
            </w:r>
            <m:oMath>
              <m:sSub>
                <m:sSubPr>
                  <m:ctrlPr>
                    <w:rPr>
                      <w:rFonts w:ascii="Cambria Math" w:hAnsi="Cambria Math"/>
                      <w:i/>
                    </w:rPr>
                  </m:ctrlPr>
                </m:sSubPr>
                <m:e>
                  <m:r>
                    <w:rPr>
                      <w:rFonts w:ascii="Cambria Math" w:hAnsi="Cambria Math"/>
                    </w:rPr>
                    <m:t>G</m:t>
                  </m:r>
                </m:e>
                <m:sub>
                  <m:r>
                    <w:rPr>
                      <w:rFonts w:ascii="Cambria Math" w:hAnsi="Cambria Math"/>
                    </w:rPr>
                    <m:t>B</m:t>
                  </m:r>
                </m:sub>
              </m:sSub>
            </m:oMath>
            <w:r w:rsidR="00B764E1">
              <w:t xml:space="preserve"> are the Gini coefficient</w:t>
            </w:r>
            <w:r w:rsidR="009E1FB7">
              <w:t>s</w:t>
            </w:r>
            <w:r w:rsidR="00B764E1">
              <w:t xml:space="preserve"> for each group, </w:t>
            </w:r>
            <m:oMath>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A</m:t>
                      </m:r>
                    </m:sub>
                  </m:sSub>
                </m:num>
                <m:den>
                  <m:r>
                    <w:rPr>
                      <w:rFonts w:ascii="Cambria Math" w:hAnsi="Cambria Math"/>
                    </w:rPr>
                    <m:t>n</m:t>
                  </m:r>
                </m:den>
              </m:f>
            </m:oMath>
            <w:r w:rsidR="00B764E1">
              <w:t xml:space="preserve"> and </w:t>
            </w:r>
            <m:oMath>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B</m:t>
                      </m:r>
                    </m:sub>
                  </m:sSub>
                </m:num>
                <m:den>
                  <m:r>
                    <w:rPr>
                      <w:rFonts w:ascii="Cambria Math" w:hAnsi="Cambria Math"/>
                    </w:rPr>
                    <m:t>n</m:t>
                  </m:r>
                </m:den>
              </m:f>
            </m:oMath>
            <w:r w:rsidR="00B764E1">
              <w:t xml:space="preserve"> are the population shares for each group and </w:t>
            </w:r>
            <m:oMath>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A</m:t>
                      </m:r>
                    </m:sub>
                  </m:sSub>
                </m:num>
                <m:den>
                  <m:r>
                    <w:rPr>
                      <w:rFonts w:ascii="Cambria Math" w:hAnsi="Cambria Math"/>
                    </w:rPr>
                    <m:t>Y</m:t>
                  </m:r>
                </m:den>
              </m:f>
            </m:oMath>
            <w:r w:rsidR="00B764E1">
              <w:t xml:space="preserve"> and </w:t>
            </w:r>
            <m:oMath>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B</m:t>
                      </m:r>
                    </m:sub>
                  </m:sSub>
                </m:num>
                <m:den>
                  <m:r>
                    <w:rPr>
                      <w:rFonts w:ascii="Cambria Math" w:hAnsi="Cambria Math"/>
                    </w:rPr>
                    <m:t>Y</m:t>
                  </m:r>
                </m:den>
              </m:f>
            </m:oMath>
            <w:r w:rsidR="00B764E1">
              <w:t xml:space="preserve"> are the income shares for each group.</w:t>
            </w:r>
          </w:p>
          <w:p w:rsidR="00B764E1" w:rsidRDefault="00B764E1" w:rsidP="00B764E1">
            <w:pPr>
              <w:pStyle w:val="Box"/>
            </w:pPr>
            <w:r>
              <w:t xml:space="preserve">The between element of the </w:t>
            </w:r>
            <w:proofErr w:type="spellStart"/>
            <w:r w:rsidR="00596C5E">
              <w:t>Gini</w:t>
            </w:r>
            <w:proofErr w:type="spellEnd"/>
            <w:r>
              <w:t xml:space="preserve"> </w:t>
            </w:r>
            <w:r w:rsidR="00AF7B3E">
              <w:t xml:space="preserve">coefficient </w:t>
            </w:r>
            <w:r>
              <w:t>can be calculated as follows</w:t>
            </w:r>
          </w:p>
          <w:p w:rsidR="00B764E1" w:rsidRDefault="00654C51" w:rsidP="00B764E1">
            <w:pPr>
              <w:pStyle w:val="Box"/>
            </w:pPr>
            <m:oMathPara>
              <m:oMath>
                <m:sSub>
                  <m:sSubPr>
                    <m:ctrlPr>
                      <w:rPr>
                        <w:rFonts w:ascii="Cambria Math" w:hAnsi="Cambria Math"/>
                        <w:i/>
                      </w:rPr>
                    </m:ctrlPr>
                  </m:sSubPr>
                  <m:e>
                    <m:r>
                      <w:rPr>
                        <w:rFonts w:ascii="Cambria Math" w:hAnsi="Cambria Math"/>
                      </w:rPr>
                      <m:t>Gini</m:t>
                    </m:r>
                  </m:e>
                  <m:sub>
                    <m:r>
                      <w:rPr>
                        <w:rFonts w:ascii="Cambria Math" w:hAnsi="Cambria Math"/>
                      </w:rPr>
                      <m:t>Between</m:t>
                    </m:r>
                  </m:sub>
                </m:sSub>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Y</m:t>
                    </m:r>
                  </m:den>
                </m:f>
                <m:r>
                  <w:rPr>
                    <w:rFonts w:ascii="Cambria Math" w:hAnsi="Cambria Math"/>
                  </w:rPr>
                  <m:t>×Cov(</m:t>
                </m:r>
                <m:acc>
                  <m:accPr>
                    <m:chr m:val="̅"/>
                    <m:ctrlPr>
                      <w:rPr>
                        <w:rFonts w:ascii="Cambria Math" w:hAnsi="Cambria Math"/>
                        <w:i/>
                      </w:rPr>
                    </m:ctrlPr>
                  </m:accPr>
                  <m:e>
                    <m:r>
                      <w:rPr>
                        <w:rFonts w:ascii="Cambria Math" w:hAnsi="Cambria Math"/>
                      </w:rPr>
                      <m:t>Y</m:t>
                    </m:r>
                  </m:e>
                </m:acc>
                <m:r>
                  <w:rPr>
                    <w:rFonts w:ascii="Cambria Math" w:hAnsi="Cambria Math"/>
                  </w:rPr>
                  <m:t>,F</m:t>
                </m:r>
                <m:d>
                  <m:dPr>
                    <m:ctrlPr>
                      <w:rPr>
                        <w:rFonts w:ascii="Cambria Math" w:hAnsi="Cambria Math"/>
                        <w:i/>
                      </w:rPr>
                    </m:ctrlPr>
                  </m:dPr>
                  <m:e>
                    <m:acc>
                      <m:accPr>
                        <m:chr m:val="̅"/>
                        <m:ctrlPr>
                          <w:rPr>
                            <w:rFonts w:ascii="Cambria Math" w:hAnsi="Cambria Math"/>
                            <w:i/>
                          </w:rPr>
                        </m:ctrlPr>
                      </m:accPr>
                      <m:e>
                        <m:r>
                          <w:rPr>
                            <w:rFonts w:ascii="Cambria Math" w:hAnsi="Cambria Math"/>
                          </w:rPr>
                          <m:t>Y</m:t>
                        </m:r>
                      </m:e>
                    </m:acc>
                  </m:e>
                </m:d>
                <m:r>
                  <w:rPr>
                    <w:rFonts w:ascii="Cambria Math" w:hAnsi="Cambria Math"/>
                  </w:rPr>
                  <m:t>)</m:t>
                </m:r>
              </m:oMath>
            </m:oMathPara>
          </w:p>
          <w:p w:rsidR="00B764E1" w:rsidRDefault="00601949" w:rsidP="00B764E1">
            <w:pPr>
              <w:pStyle w:val="Box"/>
            </w:pPr>
            <w:r>
              <w:t>w</w:t>
            </w:r>
            <w:r w:rsidR="00B764E1">
              <w:t xml:space="preserve">here </w:t>
            </w:r>
            <m:oMath>
              <m:acc>
                <m:accPr>
                  <m:chr m:val="̅"/>
                  <m:ctrlPr>
                    <w:rPr>
                      <w:rFonts w:ascii="Cambria Math" w:hAnsi="Cambria Math"/>
                      <w:i/>
                    </w:rPr>
                  </m:ctrlPr>
                </m:accPr>
                <m:e>
                  <m:r>
                    <w:rPr>
                      <w:rFonts w:ascii="Cambria Math" w:hAnsi="Cambria Math"/>
                    </w:rPr>
                    <m:t>Y</m:t>
                  </m:r>
                </m:e>
              </m:acc>
            </m:oMath>
            <w:r w:rsidR="00B764E1">
              <w:t xml:space="preserve"> is the distribution of income obtained by replacing actual incomes with sub</w:t>
            </w:r>
            <w:r w:rsidR="00145392">
              <w:t>-</w:t>
            </w:r>
            <w:r w:rsidR="00B764E1">
              <w:t>groups means.</w:t>
            </w:r>
            <w:r w:rsidR="00A035D8">
              <w:t xml:space="preserve"> In this case, as the within group incomes are all equal (to the sub</w:t>
            </w:r>
            <w:r w:rsidR="00145392">
              <w:t>-</w:t>
            </w:r>
            <w:r w:rsidR="00A035D8">
              <w:t xml:space="preserve">group mean), the covariance term represents the dispersion of income attributable to differences between the </w:t>
            </w:r>
            <w:r w:rsidR="00F67C08">
              <w:t xml:space="preserve">mean income of the </w:t>
            </w:r>
            <w:r w:rsidR="00A035D8">
              <w:t>sub</w:t>
            </w:r>
            <w:r w:rsidR="00145392">
              <w:t>-</w:t>
            </w:r>
            <w:r w:rsidR="00A035D8">
              <w:t>groups</w:t>
            </w:r>
            <w:r w:rsidR="00F67C08">
              <w:t xml:space="preserve">. </w:t>
            </w:r>
          </w:p>
          <w:p w:rsidR="00B764E1" w:rsidRPr="00B764E1" w:rsidRDefault="00B764E1" w:rsidP="009E1FB7">
            <w:pPr>
              <w:pStyle w:val="Box"/>
              <w:rPr>
                <w:b/>
              </w:rPr>
            </w:pPr>
            <w:r>
              <w:t>In the (unusual) case where ranking by sub</w:t>
            </w:r>
            <w:r w:rsidR="00145392">
              <w:t>-</w:t>
            </w:r>
            <w:r>
              <w:t>group incomes from poorest to richest</w:t>
            </w:r>
            <w:r w:rsidR="00601949">
              <w:t xml:space="preserve"> do</w:t>
            </w:r>
            <w:r w:rsidR="009E1FB7">
              <w:t>es not involve any</w:t>
            </w:r>
            <w:r w:rsidR="00601949">
              <w:t xml:space="preserve"> overlap, then the </w:t>
            </w:r>
            <w:proofErr w:type="spellStart"/>
            <w:r w:rsidR="00601949">
              <w:t>Gini</w:t>
            </w:r>
            <w:proofErr w:type="spellEnd"/>
            <w:r w:rsidR="00601949">
              <w:t xml:space="preserve"> c</w:t>
            </w:r>
            <w:r>
              <w:t xml:space="preserve">oefficient is perfectly decomposable as </w:t>
            </w:r>
            <w:r w:rsidR="00601949">
              <w:t xml:space="preserve">described </w:t>
            </w:r>
            <w:r>
              <w:t>above. However, in general, a residual exists that is essentially a mixed term, representing both</w:t>
            </w:r>
            <w:r w:rsidR="00601949">
              <w:t xml:space="preserve"> within and between (that is, the sum of the within component and the between component</w:t>
            </w:r>
            <w:r w:rsidR="009E1FB7">
              <w:t xml:space="preserve"> is less than total inequality).</w:t>
            </w:r>
          </w:p>
        </w:tc>
      </w:tr>
      <w:tr w:rsidR="005B0A64">
        <w:trPr>
          <w:cantSplit/>
        </w:trPr>
        <w:tc>
          <w:tcPr>
            <w:tcW w:w="8771" w:type="dxa"/>
            <w:tcBorders>
              <w:top w:val="nil"/>
              <w:left w:val="single" w:sz="6" w:space="0" w:color="auto"/>
              <w:bottom w:val="nil"/>
              <w:right w:val="single" w:sz="6" w:space="0" w:color="auto"/>
            </w:tcBorders>
          </w:tcPr>
          <w:p w:rsidR="00B764E1" w:rsidRPr="00B764E1" w:rsidRDefault="002D0518" w:rsidP="00BD3FB7">
            <w:pPr>
              <w:pStyle w:val="BoxSource"/>
            </w:pPr>
            <w:r>
              <w:rPr>
                <w:i/>
              </w:rPr>
              <w:t>Sources</w:t>
            </w:r>
            <w:r w:rsidR="005B0A64" w:rsidRPr="00167F06">
              <w:t>:</w:t>
            </w:r>
            <w:r w:rsidR="005B0A64">
              <w:t xml:space="preserve"> </w:t>
            </w:r>
            <w:proofErr w:type="spellStart"/>
            <w:r w:rsidR="00F67C08">
              <w:t>Rao</w:t>
            </w:r>
            <w:proofErr w:type="spellEnd"/>
            <w:r w:rsidR="00F67C08">
              <w:t xml:space="preserve"> (1969);</w:t>
            </w:r>
            <w:r w:rsidR="005B0A64" w:rsidRPr="00167F06">
              <w:t xml:space="preserve"> </w:t>
            </w:r>
            <w:r w:rsidR="00F377C6">
              <w:t>Bourgui</w:t>
            </w:r>
            <w:r w:rsidR="005B0A64">
              <w:t>gnon</w:t>
            </w:r>
            <w:r>
              <w:t xml:space="preserve"> (</w:t>
            </w:r>
            <w:r w:rsidR="005B0A64">
              <w:t>1979</w:t>
            </w:r>
            <w:r>
              <w:t>) and</w:t>
            </w:r>
            <w:r w:rsidR="00B764E1">
              <w:t xml:space="preserve"> </w:t>
            </w:r>
            <w:proofErr w:type="spellStart"/>
            <w:r w:rsidR="00B764E1">
              <w:t>Bellu</w:t>
            </w:r>
            <w:proofErr w:type="spellEnd"/>
            <w:r w:rsidR="00B764E1">
              <w:t xml:space="preserve"> and </w:t>
            </w:r>
            <w:proofErr w:type="spellStart"/>
            <w:r w:rsidR="00B764E1">
              <w:t>Liberati</w:t>
            </w:r>
            <w:proofErr w:type="spellEnd"/>
            <w:r w:rsidR="00B764E1">
              <w:t xml:space="preserve"> </w:t>
            </w:r>
            <w:r>
              <w:t>(</w:t>
            </w:r>
            <w:r w:rsidR="00B764E1">
              <w:t>2006</w:t>
            </w:r>
            <w:r>
              <w:t>)</w:t>
            </w:r>
            <w:r w:rsidR="00F67C08">
              <w:t>.</w:t>
            </w:r>
            <w:r w:rsidR="00B764E1">
              <w:t xml:space="preserve"> </w:t>
            </w:r>
          </w:p>
        </w:tc>
      </w:tr>
      <w:tr w:rsidR="005B0A64">
        <w:trPr>
          <w:cantSplit/>
        </w:trPr>
        <w:tc>
          <w:tcPr>
            <w:tcW w:w="8771" w:type="dxa"/>
            <w:tcBorders>
              <w:top w:val="nil"/>
              <w:left w:val="single" w:sz="6" w:space="0" w:color="auto"/>
              <w:bottom w:val="single" w:sz="6" w:space="0" w:color="auto"/>
              <w:right w:val="single" w:sz="6" w:space="0" w:color="auto"/>
            </w:tcBorders>
          </w:tcPr>
          <w:p w:rsidR="005B0A64" w:rsidRDefault="005B0A64">
            <w:pPr>
              <w:pStyle w:val="Box"/>
              <w:spacing w:before="0" w:line="120" w:lineRule="exact"/>
            </w:pPr>
          </w:p>
        </w:tc>
      </w:tr>
      <w:tr w:rsidR="005B0A64" w:rsidRPr="000863A5">
        <w:tc>
          <w:tcPr>
            <w:tcW w:w="8771" w:type="dxa"/>
            <w:tcBorders>
              <w:top w:val="nil"/>
              <w:left w:val="nil"/>
              <w:bottom w:val="nil"/>
              <w:right w:val="nil"/>
            </w:tcBorders>
          </w:tcPr>
          <w:p w:rsidR="005B0A64" w:rsidRPr="000863A5" w:rsidRDefault="005B0A64" w:rsidP="005B0A64">
            <w:pPr>
              <w:pStyle w:val="Box"/>
              <w:keepNext w:val="0"/>
              <w:spacing w:before="60" w:after="60" w:line="80" w:lineRule="exact"/>
              <w:rPr>
                <w:b/>
                <w:sz w:val="14"/>
              </w:rPr>
            </w:pPr>
          </w:p>
        </w:tc>
      </w:tr>
    </w:tbl>
    <w:p w:rsidR="00A00129" w:rsidRDefault="00065403" w:rsidP="00065403">
      <w:pPr>
        <w:pStyle w:val="BodyText"/>
      </w:pPr>
      <w:r>
        <w:t>The following</w:t>
      </w:r>
      <w:r w:rsidR="00A00129">
        <w:t xml:space="preserve"> two </w:t>
      </w:r>
      <w:r>
        <w:t xml:space="preserve">sections </w:t>
      </w:r>
      <w:r w:rsidR="00A00129">
        <w:t xml:space="preserve">examine in more detail how </w:t>
      </w:r>
      <w:r w:rsidR="00713DBF">
        <w:t>changes</w:t>
      </w:r>
      <w:r w:rsidR="00A00129">
        <w:t xml:space="preserve"> in the distribution of incomes have been influenced by underlying changes to worker groups in terms of their relative size, hours worked</w:t>
      </w:r>
      <w:r w:rsidR="005E1FDC">
        <w:t>,</w:t>
      </w:r>
      <w:r w:rsidR="00A00129">
        <w:t xml:space="preserve"> and hourly wages.</w:t>
      </w:r>
    </w:p>
    <w:p w:rsidR="00EB7713" w:rsidRPr="00EB7713" w:rsidRDefault="00FA2131" w:rsidP="006D43C2">
      <w:pPr>
        <w:pStyle w:val="FigureTitle"/>
      </w:pPr>
      <w:r>
        <w:rPr>
          <w:b w:val="0"/>
        </w:rPr>
        <w:lastRenderedPageBreak/>
        <w:t xml:space="preserve">Figure </w:t>
      </w:r>
      <w:r w:rsidR="00A57B0A">
        <w:rPr>
          <w:b w:val="0"/>
        </w:rPr>
        <w:t>2.</w:t>
      </w:r>
      <w:r w:rsidR="006D43C2">
        <w:rPr>
          <w:b w:val="0"/>
          <w:noProof/>
        </w:rPr>
        <w:t>8</w:t>
      </w:r>
      <w:r>
        <w:tab/>
      </w:r>
      <w:r w:rsidR="002F61DE">
        <w:t>C</w:t>
      </w:r>
      <w:r w:rsidR="009169F3">
        <w:t xml:space="preserve">ontribution of ‘within’ and ‘between’ variation of worker type to the </w:t>
      </w:r>
      <w:proofErr w:type="spellStart"/>
      <w:r w:rsidR="00596C5E">
        <w:t>Gini</w:t>
      </w:r>
      <w:proofErr w:type="spellEnd"/>
      <w:r w:rsidR="009169F3">
        <w:t xml:space="preserve"> coefficient</w:t>
      </w:r>
      <w:r w:rsidR="002F61DE">
        <w:t>, 1988-89 to 2009-10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A2131" w:rsidTr="002F61DE">
        <w:tc>
          <w:tcPr>
            <w:tcW w:w="8777" w:type="dxa"/>
          </w:tcPr>
          <w:p w:rsidR="00FA2131" w:rsidRPr="00BF59B7" w:rsidRDefault="00FA2131">
            <w:pPr>
              <w:pStyle w:val="Figure"/>
              <w:rPr>
                <w:rFonts w:ascii="Arial" w:hAnsi="Arial"/>
                <w:i/>
                <w:noProof/>
                <w:sz w:val="20"/>
              </w:rPr>
            </w:pPr>
            <w:r w:rsidRPr="00BF59B7">
              <w:rPr>
                <w:rFonts w:ascii="Arial" w:hAnsi="Arial"/>
                <w:i/>
                <w:noProof/>
                <w:sz w:val="20"/>
              </w:rPr>
              <w:t xml:space="preserve">Absolute contribution to </w:t>
            </w:r>
            <w:r w:rsidR="00AF7B3E">
              <w:rPr>
                <w:rFonts w:ascii="Arial" w:hAnsi="Arial"/>
                <w:i/>
                <w:noProof/>
                <w:sz w:val="20"/>
              </w:rPr>
              <w:t xml:space="preserve">the </w:t>
            </w:r>
            <w:r w:rsidR="00596C5E">
              <w:rPr>
                <w:rFonts w:ascii="Arial" w:hAnsi="Arial"/>
                <w:i/>
                <w:noProof/>
                <w:sz w:val="20"/>
              </w:rPr>
              <w:t>Gini</w:t>
            </w:r>
            <w:r w:rsidR="00AF7B3E">
              <w:rPr>
                <w:rFonts w:ascii="Arial" w:hAnsi="Arial"/>
                <w:i/>
                <w:noProof/>
                <w:sz w:val="20"/>
              </w:rPr>
              <w:t xml:space="preserve"> coefficient</w:t>
            </w:r>
          </w:p>
          <w:p w:rsidR="00FA2131" w:rsidRDefault="002F61DE">
            <w:pPr>
              <w:pStyle w:val="Figure"/>
            </w:pPr>
            <w:r>
              <w:rPr>
                <w:noProof/>
              </w:rPr>
              <w:drawing>
                <wp:inline distT="0" distB="0" distL="0" distR="0" wp14:anchorId="59753301" wp14:editId="0032A255">
                  <wp:extent cx="4572000" cy="2743200"/>
                  <wp:effectExtent l="0" t="0" r="0" b="0"/>
                  <wp:docPr id="14" name="Chart 14" descr="Top panel depicts the absolute contribution of between, within and 'overlap' to the Gini coeffiicient. More details can be found within the text immediately before this image." title="Figure 2.8 Contribution of ‘within’ and ‘between’ variation of worker type to the Gini coefficient,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FA2131" w:rsidRPr="00BF59B7" w:rsidRDefault="00FA2131">
            <w:pPr>
              <w:pStyle w:val="Figure"/>
              <w:rPr>
                <w:rFonts w:ascii="Arial" w:hAnsi="Arial"/>
                <w:i/>
                <w:noProof/>
                <w:sz w:val="20"/>
              </w:rPr>
            </w:pPr>
            <w:r w:rsidRPr="00BF59B7">
              <w:rPr>
                <w:rFonts w:ascii="Arial" w:hAnsi="Arial"/>
                <w:i/>
                <w:noProof/>
                <w:sz w:val="20"/>
              </w:rPr>
              <w:t xml:space="preserve">Percentage contribution to </w:t>
            </w:r>
            <w:r w:rsidR="00AF7B3E">
              <w:rPr>
                <w:rFonts w:ascii="Arial" w:hAnsi="Arial"/>
                <w:i/>
                <w:noProof/>
                <w:sz w:val="20"/>
              </w:rPr>
              <w:t xml:space="preserve">the </w:t>
            </w:r>
            <w:r w:rsidR="00596C5E">
              <w:rPr>
                <w:rFonts w:ascii="Arial" w:hAnsi="Arial"/>
                <w:i/>
                <w:noProof/>
                <w:sz w:val="20"/>
              </w:rPr>
              <w:t>Gini</w:t>
            </w:r>
            <w:r w:rsidR="00AF7B3E">
              <w:rPr>
                <w:rFonts w:ascii="Arial" w:hAnsi="Arial"/>
                <w:i/>
                <w:noProof/>
                <w:sz w:val="20"/>
              </w:rPr>
              <w:t xml:space="preserve"> coefficient</w:t>
            </w:r>
          </w:p>
          <w:p w:rsidR="00FA2131" w:rsidRDefault="002F61DE">
            <w:pPr>
              <w:pStyle w:val="Figure"/>
            </w:pPr>
            <w:r>
              <w:rPr>
                <w:noProof/>
              </w:rPr>
              <w:drawing>
                <wp:inline distT="0" distB="0" distL="0" distR="0" wp14:anchorId="318A38BF" wp14:editId="1EAFD520">
                  <wp:extent cx="4572000" cy="2743200"/>
                  <wp:effectExtent l="0" t="0" r="0" b="0"/>
                  <wp:docPr id="15" name="Chart 15" descr="Bottom panel depicts the percentage contribution of between, within and 'overlap' to the Gini coefficient. More details can be found within the text immediately before this image." title="Figure 2.8 Contribution of ‘within’ and ‘between’ variation of worker type to the Gini coefficient,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bl>
    <w:p w:rsidR="00FA2131" w:rsidRPr="00BF59B7" w:rsidRDefault="00FA2131">
      <w:pPr>
        <w:pStyle w:val="Source"/>
      </w:pPr>
      <w:r>
        <w:rPr>
          <w:i/>
        </w:rPr>
        <w:t>Data source</w:t>
      </w:r>
      <w:r w:rsidRPr="00167F06">
        <w:t xml:space="preserve">: </w:t>
      </w:r>
      <w:r w:rsidR="00D75A5E">
        <w:t xml:space="preserve">Author estimates based on ABS (Household Expenditure Survey, cat. no. 6503.0, </w:t>
      </w:r>
      <w:proofErr w:type="spellStart"/>
      <w:r w:rsidR="00D75A5E">
        <w:t>confidentialised</w:t>
      </w:r>
      <w:proofErr w:type="spellEnd"/>
      <w:r w:rsidR="00D75A5E">
        <w:t xml:space="preserve"> unit record files)</w:t>
      </w:r>
      <w:r w:rsidR="00BD3FB7">
        <w:t>.</w:t>
      </w:r>
    </w:p>
    <w:p w:rsidR="00742C24" w:rsidRDefault="00742C24" w:rsidP="00742C24">
      <w:pPr>
        <w:pStyle w:val="Heading3"/>
      </w:pPr>
      <w:r>
        <w:t xml:space="preserve">What </w:t>
      </w:r>
      <w:r w:rsidR="00F67C08">
        <w:t>e</w:t>
      </w:r>
      <w:r>
        <w:t>ffect has the growt</w:t>
      </w:r>
      <w:r w:rsidR="00F1075C">
        <w:t xml:space="preserve">h of part-time work had on the </w:t>
      </w:r>
      <w:proofErr w:type="spellStart"/>
      <w:r w:rsidR="00F1075C">
        <w:t>G</w:t>
      </w:r>
      <w:r>
        <w:t>ini</w:t>
      </w:r>
      <w:proofErr w:type="spellEnd"/>
      <w:r>
        <w:t xml:space="preserve"> coefficient?</w:t>
      </w:r>
    </w:p>
    <w:p w:rsidR="00742C24" w:rsidRDefault="009E5630" w:rsidP="00742C24">
      <w:pPr>
        <w:pStyle w:val="BodyText"/>
      </w:pPr>
      <w:r>
        <w:t>T</w:t>
      </w:r>
      <w:r w:rsidR="00742C24">
        <w:t>he increasing share of part-time workers is a key compositional shift in the labour force</w:t>
      </w:r>
      <w:r>
        <w:t xml:space="preserve"> in Australia</w:t>
      </w:r>
      <w:r w:rsidR="00742C24">
        <w:t xml:space="preserve"> over the last 20 ye</w:t>
      </w:r>
      <w:r w:rsidR="0038218C">
        <w:t>ars</w:t>
      </w:r>
      <w:r>
        <w:t xml:space="preserve"> (figure 2.1)</w:t>
      </w:r>
      <w:r w:rsidR="0038218C">
        <w:t>. As identified in the prece</w:t>
      </w:r>
      <w:r w:rsidR="00742C24">
        <w:t xml:space="preserve">ding section, differences between groups are an important factor in determining the </w:t>
      </w:r>
      <w:r w:rsidR="00EB7713">
        <w:lastRenderedPageBreak/>
        <w:t>measure</w:t>
      </w:r>
      <w:r w:rsidR="00742C24">
        <w:t xml:space="preserve"> of overall inequality. </w:t>
      </w:r>
      <w:r>
        <w:t>As such,</w:t>
      </w:r>
      <w:r w:rsidR="00742C24">
        <w:t xml:space="preserve"> the rising share of part-time workers (who are </w:t>
      </w:r>
      <w:r>
        <w:t xml:space="preserve">relatively </w:t>
      </w:r>
      <w:r w:rsidR="00742C24">
        <w:t xml:space="preserve">low paid compared to full-time workers) should increase </w:t>
      </w:r>
      <w:r w:rsidR="005E1FDC">
        <w:t xml:space="preserve">individual </w:t>
      </w:r>
      <w:r>
        <w:t xml:space="preserve">income </w:t>
      </w:r>
      <w:r w:rsidR="00742C24">
        <w:t>inequality. But how</w:t>
      </w:r>
      <w:r>
        <w:t xml:space="preserve"> important has this effect been in practice?</w:t>
      </w:r>
    </w:p>
    <w:p w:rsidR="00742C24" w:rsidRDefault="00742C24" w:rsidP="00742C24">
      <w:pPr>
        <w:pStyle w:val="BodyText"/>
      </w:pPr>
      <w:r>
        <w:t>Shift-share analysis can give some indication of the magnitude of the impact of the growth of part-time workers on</w:t>
      </w:r>
      <w:r w:rsidR="00B43E87">
        <w:t xml:space="preserve"> </w:t>
      </w:r>
      <w:r w:rsidR="00B43E87" w:rsidRPr="00616168">
        <w:t>labour</w:t>
      </w:r>
      <w:r w:rsidR="00B43E87">
        <w:t xml:space="preserve"> income</w:t>
      </w:r>
      <w:r>
        <w:t xml:space="preserve"> inequality (bo</w:t>
      </w:r>
      <w:r w:rsidR="00065403">
        <w:t>x 2.</w:t>
      </w:r>
      <w:r w:rsidR="009E5630">
        <w:t>2</w:t>
      </w:r>
      <w:r>
        <w:t>). This involves recalcu</w:t>
      </w:r>
      <w:r w:rsidR="00266594">
        <w:t xml:space="preserve">lating the </w:t>
      </w:r>
      <w:proofErr w:type="spellStart"/>
      <w:r w:rsidR="00266594">
        <w:t>Gini</w:t>
      </w:r>
      <w:proofErr w:type="spellEnd"/>
      <w:r w:rsidR="00266594">
        <w:t xml:space="preserve"> </w:t>
      </w:r>
      <w:r>
        <w:t xml:space="preserve">coefficient based on </w:t>
      </w:r>
      <w:r w:rsidR="00F67C08">
        <w:t xml:space="preserve">an </w:t>
      </w:r>
      <w:r>
        <w:t>hypothetical scenario where the relati</w:t>
      </w:r>
      <w:r w:rsidR="0086330E">
        <w:t>ve shares of full-time and part-</w:t>
      </w:r>
      <w:r>
        <w:t xml:space="preserve">time work are held constant at 1988-89 levels. The difference between the hypothetical </w:t>
      </w:r>
      <w:proofErr w:type="spellStart"/>
      <w:r>
        <w:t>Gini</w:t>
      </w:r>
      <w:proofErr w:type="spellEnd"/>
      <w:r>
        <w:t xml:space="preserve"> </w:t>
      </w:r>
      <w:r w:rsidR="00AF7B3E">
        <w:t xml:space="preserve">coefficient </w:t>
      </w:r>
      <w:r>
        <w:t xml:space="preserve">and the </w:t>
      </w:r>
      <w:proofErr w:type="spellStart"/>
      <w:r w:rsidR="007A52B7">
        <w:t>Gini</w:t>
      </w:r>
      <w:proofErr w:type="spellEnd"/>
      <w:r w:rsidR="007A52B7">
        <w:t xml:space="preserve"> </w:t>
      </w:r>
      <w:r w:rsidR="00AF7B3E">
        <w:t xml:space="preserve">coefficient </w:t>
      </w:r>
      <w:r w:rsidR="007A52B7">
        <w:t>calculated from the actual data</w:t>
      </w:r>
      <w:r>
        <w:t xml:space="preserve"> approximates the effect of changes in share of part-time employees.</w:t>
      </w:r>
    </w:p>
    <w:p w:rsidR="00742C24" w:rsidRDefault="00742C2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42C24">
        <w:tc>
          <w:tcPr>
            <w:tcW w:w="8771" w:type="dxa"/>
            <w:tcBorders>
              <w:top w:val="single" w:sz="6" w:space="0" w:color="auto"/>
              <w:bottom w:val="nil"/>
            </w:tcBorders>
          </w:tcPr>
          <w:p w:rsidR="00742C24" w:rsidRDefault="00742C24" w:rsidP="00065403">
            <w:pPr>
              <w:pStyle w:val="BoxTitle"/>
            </w:pPr>
            <w:r>
              <w:rPr>
                <w:b w:val="0"/>
              </w:rPr>
              <w:t xml:space="preserve">Box </w:t>
            </w:r>
            <w:r w:rsidR="00A57B0A">
              <w:rPr>
                <w:b w:val="0"/>
              </w:rPr>
              <w:t>2.</w:t>
            </w:r>
            <w:r w:rsidR="006D43C2">
              <w:rPr>
                <w:b w:val="0"/>
                <w:noProof/>
              </w:rPr>
              <w:t>2</w:t>
            </w:r>
            <w:r>
              <w:tab/>
            </w:r>
            <w:r w:rsidR="00065403">
              <w:t xml:space="preserve">Shift-share analysis of the </w:t>
            </w:r>
            <w:proofErr w:type="spellStart"/>
            <w:r w:rsidR="00065403">
              <w:t>Gini</w:t>
            </w:r>
            <w:proofErr w:type="spellEnd"/>
            <w:r w:rsidR="00F67C08">
              <w:t xml:space="preserve"> </w:t>
            </w:r>
            <w:r w:rsidR="00065403">
              <w:t>coefficient</w:t>
            </w:r>
          </w:p>
        </w:tc>
      </w:tr>
      <w:tr w:rsidR="00742C24">
        <w:trPr>
          <w:cantSplit/>
        </w:trPr>
        <w:tc>
          <w:tcPr>
            <w:tcW w:w="8771" w:type="dxa"/>
            <w:tcBorders>
              <w:top w:val="nil"/>
              <w:left w:val="single" w:sz="6" w:space="0" w:color="auto"/>
              <w:bottom w:val="nil"/>
              <w:right w:val="single" w:sz="6" w:space="0" w:color="auto"/>
            </w:tcBorders>
          </w:tcPr>
          <w:p w:rsidR="00742C24" w:rsidRDefault="00742C24" w:rsidP="00742C24">
            <w:pPr>
              <w:pStyle w:val="Box"/>
            </w:pPr>
            <w:r>
              <w:t xml:space="preserve">It is possible to separately highlight the influence on the </w:t>
            </w:r>
            <w:proofErr w:type="spellStart"/>
            <w:r>
              <w:t>Gini</w:t>
            </w:r>
            <w:proofErr w:type="spellEnd"/>
            <w:r>
              <w:t xml:space="preserve"> coefficient of the change in shares of part- and full-time employees in the workforce and the changes in their incomes (that is, changes in the way part- and full-time employees are paid). </w:t>
            </w:r>
          </w:p>
          <w:p w:rsidR="00742C24" w:rsidRDefault="00742C24">
            <w:pPr>
              <w:pStyle w:val="Box"/>
            </w:pPr>
            <w:r>
              <w:t xml:space="preserve">Probability density functions can be decomposed into non-overlapping sub-groups (Jenkins and Van </w:t>
            </w:r>
            <w:proofErr w:type="spellStart"/>
            <w:r>
              <w:t>Kerm</w:t>
            </w:r>
            <w:proofErr w:type="spellEnd"/>
            <w:r>
              <w:t xml:space="preserve"> 2004). In essence, the population probability density function is just the weighted (by population share) sum of the density functions of each non-overlapping sub-group. Thus, if the population can be divided into sub-groups, and the population shares</w:t>
            </w:r>
            <w:r w:rsidR="00AF7C20">
              <w:t xml:space="preserve"> are</w:t>
            </w:r>
            <w:r>
              <w:t xml:space="preserve"> known, </w:t>
            </w:r>
            <w:r w:rsidR="00AF7C20">
              <w:t xml:space="preserve">a </w:t>
            </w:r>
            <w:r>
              <w:t>counterfactual dis</w:t>
            </w:r>
            <w:r w:rsidR="00AF7C20">
              <w:t>tribution can be calculated</w:t>
            </w:r>
            <w:r w:rsidR="00A13A3E">
              <w:t xml:space="preserve"> that holds</w:t>
            </w:r>
            <w:r w:rsidR="00AF7C20">
              <w:t xml:space="preserve"> population shares constant</w:t>
            </w:r>
            <w:r w:rsidR="00A13A3E">
              <w:t xml:space="preserve"> (but allows other distributional changes to occur as observed in the data)</w:t>
            </w:r>
            <w:r w:rsidR="00AF7C20">
              <w:t xml:space="preserve">. The </w:t>
            </w:r>
            <w:r w:rsidR="00A13A3E">
              <w:t xml:space="preserve">difference between the </w:t>
            </w:r>
            <w:proofErr w:type="spellStart"/>
            <w:r w:rsidR="00AF7C20">
              <w:t>Gini</w:t>
            </w:r>
            <w:proofErr w:type="spellEnd"/>
            <w:r w:rsidR="00AF7C20">
              <w:t xml:space="preserve"> coefficient yielded by the counterfactual distribution</w:t>
            </w:r>
            <w:r w:rsidR="00A13A3E">
              <w:t xml:space="preserve"> and </w:t>
            </w:r>
            <w:proofErr w:type="spellStart"/>
            <w:r w:rsidR="00A13A3E">
              <w:t>Gini</w:t>
            </w:r>
            <w:proofErr w:type="spellEnd"/>
            <w:r w:rsidR="00A13A3E">
              <w:t xml:space="preserve"> coefficient yielded from the actual data approximates the effect of the changing population share on measured inequality. </w:t>
            </w:r>
          </w:p>
        </w:tc>
      </w:tr>
      <w:tr w:rsidR="00742C24">
        <w:trPr>
          <w:cantSplit/>
        </w:trPr>
        <w:tc>
          <w:tcPr>
            <w:tcW w:w="8771" w:type="dxa"/>
            <w:tcBorders>
              <w:top w:val="nil"/>
              <w:left w:val="single" w:sz="6" w:space="0" w:color="auto"/>
              <w:bottom w:val="nil"/>
              <w:right w:val="single" w:sz="6" w:space="0" w:color="auto"/>
            </w:tcBorders>
          </w:tcPr>
          <w:p w:rsidR="00742C24" w:rsidRDefault="00742C24" w:rsidP="00BD3FB7">
            <w:pPr>
              <w:pStyle w:val="Source"/>
            </w:pPr>
            <w:r w:rsidRPr="00742C24">
              <w:rPr>
                <w:i/>
              </w:rPr>
              <w:t>Source:</w:t>
            </w:r>
            <w:r w:rsidRPr="00167F06">
              <w:t xml:space="preserve"> </w:t>
            </w:r>
            <w:r w:rsidRPr="00742C24">
              <w:t>Jenkins</w:t>
            </w:r>
            <w:r w:rsidR="00BD3FB7">
              <w:t xml:space="preserve"> </w:t>
            </w:r>
            <w:r w:rsidRPr="00742C24">
              <w:t xml:space="preserve">and Van </w:t>
            </w:r>
            <w:proofErr w:type="spellStart"/>
            <w:r w:rsidRPr="00742C24">
              <w:t>Kerm</w:t>
            </w:r>
            <w:proofErr w:type="spellEnd"/>
            <w:r w:rsidR="00BD3FB7">
              <w:t xml:space="preserve"> (</w:t>
            </w:r>
            <w:r w:rsidRPr="00742C24">
              <w:t>2004</w:t>
            </w:r>
            <w:r w:rsidR="00BD3FB7">
              <w:t>)</w:t>
            </w:r>
            <w:r w:rsidRPr="00742C24">
              <w:t>.</w:t>
            </w:r>
          </w:p>
        </w:tc>
      </w:tr>
      <w:tr w:rsidR="00742C24">
        <w:trPr>
          <w:cantSplit/>
        </w:trPr>
        <w:tc>
          <w:tcPr>
            <w:tcW w:w="8771" w:type="dxa"/>
            <w:tcBorders>
              <w:top w:val="nil"/>
              <w:left w:val="single" w:sz="6" w:space="0" w:color="auto"/>
              <w:bottom w:val="single" w:sz="6" w:space="0" w:color="auto"/>
              <w:right w:val="single" w:sz="6" w:space="0" w:color="auto"/>
            </w:tcBorders>
          </w:tcPr>
          <w:p w:rsidR="00742C24" w:rsidRDefault="00742C24">
            <w:pPr>
              <w:pStyle w:val="Box"/>
              <w:spacing w:before="0" w:line="120" w:lineRule="exact"/>
            </w:pPr>
          </w:p>
        </w:tc>
      </w:tr>
      <w:tr w:rsidR="00742C24" w:rsidRPr="000863A5">
        <w:tc>
          <w:tcPr>
            <w:tcW w:w="8771" w:type="dxa"/>
            <w:tcBorders>
              <w:top w:val="nil"/>
              <w:left w:val="nil"/>
              <w:bottom w:val="nil"/>
              <w:right w:val="nil"/>
            </w:tcBorders>
          </w:tcPr>
          <w:p w:rsidR="00742C24" w:rsidRPr="00626D32" w:rsidRDefault="00742C24" w:rsidP="003F5059">
            <w:pPr>
              <w:pStyle w:val="BoxSpaceBelow"/>
            </w:pPr>
          </w:p>
        </w:tc>
      </w:tr>
    </w:tbl>
    <w:p w:rsidR="00742C24" w:rsidRDefault="00E44900" w:rsidP="00742C24">
      <w:pPr>
        <w:pStyle w:val="BodyText"/>
      </w:pPr>
      <w:r>
        <w:t>As employees comprise 90 per cent of the workforce and drive overall distributional trends</w:t>
      </w:r>
      <w:r w:rsidR="00A44456">
        <w:rPr>
          <w:rStyle w:val="FootnoteReference"/>
        </w:rPr>
        <w:footnoteReference w:id="8"/>
      </w:r>
      <w:r>
        <w:t>, t</w:t>
      </w:r>
      <w:r w:rsidR="00742C24">
        <w:t xml:space="preserve">his exercise was conducted for employee earnings only </w:t>
      </w:r>
      <w:r>
        <w:t>(</w:t>
      </w:r>
      <w:r w:rsidR="00742C24">
        <w:t>excluding the self-employed</w:t>
      </w:r>
      <w:r>
        <w:t>). This</w:t>
      </w:r>
      <w:r w:rsidR="00EA21B2">
        <w:t xml:space="preserve"> approach</w:t>
      </w:r>
      <w:r>
        <w:t xml:space="preserve"> </w:t>
      </w:r>
      <w:r w:rsidR="00742C24">
        <w:t>facil</w:t>
      </w:r>
      <w:r w:rsidR="0038218C">
        <w:t>it</w:t>
      </w:r>
      <w:r w:rsidR="00742C24">
        <w:t xml:space="preserve">ates </w:t>
      </w:r>
      <w:r w:rsidR="00EA21B2">
        <w:t>the estimation of</w:t>
      </w:r>
      <w:r w:rsidR="00742C24">
        <w:t xml:space="preserve"> the specific </w:t>
      </w:r>
      <w:r w:rsidR="00B43E87">
        <w:t xml:space="preserve">effect </w:t>
      </w:r>
      <w:r w:rsidR="00742C24">
        <w:t xml:space="preserve">of changes in part-time work, rather than joint changes in the share of all three work types. </w:t>
      </w:r>
      <w:r>
        <w:t xml:space="preserve">The </w:t>
      </w:r>
      <w:proofErr w:type="spellStart"/>
      <w:r>
        <w:t>Gini</w:t>
      </w:r>
      <w:proofErr w:type="spellEnd"/>
      <w:r>
        <w:t xml:space="preserve"> coefficient for employee earnings</w:t>
      </w:r>
      <w:r w:rsidR="00742C24">
        <w:t xml:space="preserve"> increas</w:t>
      </w:r>
      <w:r>
        <w:t>ed</w:t>
      </w:r>
      <w:r w:rsidR="00742C24">
        <w:t xml:space="preserve"> from 0.313 in 1988-89 to 0.388 in 2009-10.</w:t>
      </w:r>
      <w:r w:rsidR="00A44456">
        <w:rPr>
          <w:rStyle w:val="FootnoteReference"/>
        </w:rPr>
        <w:footnoteReference w:id="9"/>
      </w:r>
    </w:p>
    <w:p w:rsidR="00742C24" w:rsidRPr="00742C24" w:rsidRDefault="00742C24" w:rsidP="00742C24">
      <w:pPr>
        <w:pStyle w:val="BodyText"/>
      </w:pPr>
      <w:r>
        <w:t>If the share of part- and full-time workers had remained at 1988-89 levels, but all other distributiona</w:t>
      </w:r>
      <w:r w:rsidR="00A13A3E">
        <w:t>l changes had still taken place</w:t>
      </w:r>
      <w:r>
        <w:t xml:space="preserve">, then the </w:t>
      </w:r>
      <w:proofErr w:type="spellStart"/>
      <w:r>
        <w:t>Gini</w:t>
      </w:r>
      <w:proofErr w:type="spellEnd"/>
      <w:r>
        <w:t xml:space="preserve"> coefficient for employee earnings would have been 0.367 in 2009-10. This suggests around </w:t>
      </w:r>
      <w:r w:rsidR="00B43E87">
        <w:t xml:space="preserve">one </w:t>
      </w:r>
      <w:r w:rsidR="00B43E87">
        <w:lastRenderedPageBreak/>
        <w:t>quarter</w:t>
      </w:r>
      <w:r>
        <w:t xml:space="preserve"> of the </w:t>
      </w:r>
      <w:r>
        <w:rPr>
          <w:i/>
        </w:rPr>
        <w:t>increase</w:t>
      </w:r>
      <w:r>
        <w:t xml:space="preserve"> in the </w:t>
      </w:r>
      <w:proofErr w:type="spellStart"/>
      <w:r>
        <w:t>Gini</w:t>
      </w:r>
      <w:proofErr w:type="spellEnd"/>
      <w:r>
        <w:t xml:space="preserve">-coefficient over the period was </w:t>
      </w:r>
      <w:r w:rsidR="00B43E87">
        <w:t>because of</w:t>
      </w:r>
      <w:r>
        <w:t xml:space="preserve"> the rising share of part-time workers.</w:t>
      </w:r>
    </w:p>
    <w:p w:rsidR="00AF63E7" w:rsidRDefault="00742C24" w:rsidP="00742C24">
      <w:pPr>
        <w:pStyle w:val="BodyText"/>
      </w:pPr>
      <w:r>
        <w:t xml:space="preserve">The remainder of the increase in inequality </w:t>
      </w:r>
      <w:r w:rsidR="00B43E87">
        <w:t>reflects the</w:t>
      </w:r>
      <w:r>
        <w:t xml:space="preserve"> increasing dispersion of income between high and low income earners, primarily those working full-time (as pointed </w:t>
      </w:r>
      <w:r w:rsidR="00266594">
        <w:t xml:space="preserve">out </w:t>
      </w:r>
      <w:r>
        <w:t>in figure 2.</w:t>
      </w:r>
      <w:r w:rsidR="00266594">
        <w:t>7</w:t>
      </w:r>
      <w:r w:rsidR="005E1FDC">
        <w:t>,</w:t>
      </w:r>
      <w:r>
        <w:t xml:space="preserve"> inequality has been relatively stable among people working part-time). The following section examines th</w:t>
      </w:r>
      <w:r w:rsidR="00AF63E7">
        <w:t>is in more detail.</w:t>
      </w:r>
    </w:p>
    <w:p w:rsidR="001E644E" w:rsidRDefault="00F67C08" w:rsidP="005B4D88">
      <w:pPr>
        <w:pStyle w:val="Heading3"/>
      </w:pPr>
      <w:r>
        <w:t xml:space="preserve">Have changes </w:t>
      </w:r>
      <w:r w:rsidR="008138DB">
        <w:t xml:space="preserve">in </w:t>
      </w:r>
      <w:r w:rsidR="000C634A">
        <w:t xml:space="preserve">labour income </w:t>
      </w:r>
      <w:r w:rsidR="008138DB">
        <w:t xml:space="preserve">inequality </w:t>
      </w:r>
      <w:r>
        <w:t xml:space="preserve">measures for full- and part-time workers been </w:t>
      </w:r>
      <w:r w:rsidR="008138DB">
        <w:t>driven by h</w:t>
      </w:r>
      <w:r w:rsidR="005B4D88">
        <w:t xml:space="preserve">ours worked or </w:t>
      </w:r>
      <w:r w:rsidR="008138DB">
        <w:t xml:space="preserve">hourly </w:t>
      </w:r>
      <w:r w:rsidR="005B4D88">
        <w:t>wages?</w:t>
      </w:r>
    </w:p>
    <w:p w:rsidR="001E644E" w:rsidRDefault="00F9646A" w:rsidP="00120072">
      <w:pPr>
        <w:pStyle w:val="BodyText"/>
      </w:pPr>
      <w:r>
        <w:t xml:space="preserve">Among </w:t>
      </w:r>
      <w:r w:rsidR="008B3D90">
        <w:t>part-time and full-time workers</w:t>
      </w:r>
      <w:r>
        <w:t xml:space="preserve">, changes </w:t>
      </w:r>
      <w:r w:rsidR="005B4D88">
        <w:t xml:space="preserve">in </w:t>
      </w:r>
      <w:r w:rsidR="00AF63E7">
        <w:t xml:space="preserve">income </w:t>
      </w:r>
      <w:r w:rsidR="005B4D88">
        <w:t>inequality</w:t>
      </w:r>
      <w:r>
        <w:t xml:space="preserve"> reflect changes in two underlying</w:t>
      </w:r>
      <w:r w:rsidR="005B4D88">
        <w:t xml:space="preserve"> </w:t>
      </w:r>
      <w:r>
        <w:t>determinants</w:t>
      </w:r>
      <w:r w:rsidR="00E62996">
        <w:t> — </w:t>
      </w:r>
      <w:r w:rsidR="005B4D88">
        <w:t>wages and hours worked.</w:t>
      </w:r>
    </w:p>
    <w:p w:rsidR="00F9646A" w:rsidRDefault="00F9646A" w:rsidP="00120072">
      <w:pPr>
        <w:pStyle w:val="BodyText"/>
      </w:pPr>
      <w:r>
        <w:t>Prior to 1998</w:t>
      </w:r>
      <w:r w:rsidR="00F1075C">
        <w:t>-99</w:t>
      </w:r>
      <w:r>
        <w:t xml:space="preserve">, the </w:t>
      </w:r>
      <w:proofErr w:type="spellStart"/>
      <w:r>
        <w:t>HES</w:t>
      </w:r>
      <w:proofErr w:type="spellEnd"/>
      <w:r>
        <w:t xml:space="preserve"> provide</w:t>
      </w:r>
      <w:r w:rsidR="00E62996">
        <w:t>d</w:t>
      </w:r>
      <w:r>
        <w:t xml:space="preserve"> limited data on hours worked, which also limits </w:t>
      </w:r>
      <w:r w:rsidR="00AF7B3E">
        <w:t xml:space="preserve">the </w:t>
      </w:r>
      <w:r>
        <w:t>analysis of hour</w:t>
      </w:r>
      <w:r w:rsidR="009E11D6">
        <w:t>ly</w:t>
      </w:r>
      <w:r>
        <w:t xml:space="preserve"> wages (which are imputed based on hours worked)</w:t>
      </w:r>
      <w:r w:rsidR="009E11D6">
        <w:t>. For this reason, this section considers the period from 1998</w:t>
      </w:r>
      <w:r w:rsidR="00F1075C">
        <w:t>-99</w:t>
      </w:r>
      <w:r w:rsidR="009E11D6">
        <w:t xml:space="preserve"> to 2009</w:t>
      </w:r>
      <w:r w:rsidR="00F1075C">
        <w:t>-10</w:t>
      </w:r>
      <w:r w:rsidR="009E11D6">
        <w:t>.</w:t>
      </w:r>
      <w:r w:rsidR="008B3D90">
        <w:t xml:space="preserve"> For the analysis, income </w:t>
      </w:r>
      <w:proofErr w:type="spellStart"/>
      <w:r w:rsidR="008B3D90">
        <w:t>deciles</w:t>
      </w:r>
      <w:proofErr w:type="spellEnd"/>
      <w:r w:rsidR="008B3D90">
        <w:t xml:space="preserve"> were calculated </w:t>
      </w:r>
      <w:r w:rsidR="00B43E87">
        <w:t xml:space="preserve">separately </w:t>
      </w:r>
      <w:r w:rsidR="008B3D90">
        <w:t>for full-time and part-time workers, based on weekly income.</w:t>
      </w:r>
    </w:p>
    <w:p w:rsidR="00292941" w:rsidRDefault="00292941" w:rsidP="00292941">
      <w:pPr>
        <w:pStyle w:val="Heading4"/>
      </w:pPr>
      <w:r>
        <w:t>Hours worked</w:t>
      </w:r>
    </w:p>
    <w:p w:rsidR="000754B2" w:rsidRDefault="000754B2" w:rsidP="000754B2">
      <w:pPr>
        <w:pStyle w:val="BodyText"/>
      </w:pPr>
      <w:r>
        <w:t xml:space="preserve">Unsurprisingly, </w:t>
      </w:r>
      <w:r w:rsidR="00073E47">
        <w:t xml:space="preserve">higher </w:t>
      </w:r>
      <w:r w:rsidR="00AF63E7">
        <w:t>working hours are ass</w:t>
      </w:r>
      <w:r w:rsidR="00E62996">
        <w:t xml:space="preserve">ociated with </w:t>
      </w:r>
      <w:r w:rsidR="00073E47">
        <w:t>high</w:t>
      </w:r>
      <w:r w:rsidR="00A20F66">
        <w:t>er</w:t>
      </w:r>
      <w:r w:rsidR="00073E47">
        <w:t xml:space="preserve"> </w:t>
      </w:r>
      <w:r w:rsidR="00E62996">
        <w:t xml:space="preserve">income </w:t>
      </w:r>
      <w:r w:rsidR="00AF63E7">
        <w:t>for both full-time and part-time workers</w:t>
      </w:r>
      <w:r w:rsidR="005C4636">
        <w:t xml:space="preserve"> (figure 2.</w:t>
      </w:r>
      <w:r w:rsidR="00CC35E2">
        <w:t>9</w:t>
      </w:r>
      <w:r w:rsidR="005C4636">
        <w:t>)</w:t>
      </w:r>
      <w:r>
        <w:t xml:space="preserve">. </w:t>
      </w:r>
      <w:r w:rsidR="00AF63E7">
        <w:t xml:space="preserve">For example, </w:t>
      </w:r>
      <w:r w:rsidR="00CE42E0">
        <w:t xml:space="preserve">in 2009-10 </w:t>
      </w:r>
      <w:r w:rsidR="00AF63E7">
        <w:t>f</w:t>
      </w:r>
      <w:r>
        <w:t>ull-time workers in the 10</w:t>
      </w:r>
      <w:r w:rsidRPr="00E90BF5">
        <w:rPr>
          <w:vertAlign w:val="superscript"/>
        </w:rPr>
        <w:t>th</w:t>
      </w:r>
      <w:r>
        <w:t xml:space="preserve"> decile worked around 10 extra hours per week on average than those in the 1</w:t>
      </w:r>
      <w:r w:rsidRPr="00E90BF5">
        <w:rPr>
          <w:vertAlign w:val="superscript"/>
        </w:rPr>
        <w:t>st</w:t>
      </w:r>
      <w:r>
        <w:t xml:space="preserve"> decile, while for part-time workers the difference is around 22 hours.</w:t>
      </w:r>
    </w:p>
    <w:p w:rsidR="000754B2" w:rsidRDefault="006D6480" w:rsidP="000754B2">
      <w:pPr>
        <w:pStyle w:val="BodyText"/>
      </w:pPr>
      <w:r>
        <w:t>Average w</w:t>
      </w:r>
      <w:r w:rsidR="000754B2">
        <w:t xml:space="preserve">orking hours have </w:t>
      </w:r>
      <w:r w:rsidR="008B3D90">
        <w:t>been relatively stable for full-</w:t>
      </w:r>
      <w:r w:rsidR="000754B2">
        <w:t>time workers</w:t>
      </w:r>
      <w:r w:rsidR="005D64D9">
        <w:t xml:space="preserve">, who worked around 45 hours </w:t>
      </w:r>
      <w:r>
        <w:t xml:space="preserve">per week </w:t>
      </w:r>
      <w:r w:rsidR="005D64D9">
        <w:t>in 2009-10</w:t>
      </w:r>
      <w:r w:rsidR="000754B2">
        <w:t xml:space="preserve">. </w:t>
      </w:r>
      <w:r w:rsidR="00011F31">
        <w:t xml:space="preserve">For part-time workers, </w:t>
      </w:r>
      <w:r>
        <w:t xml:space="preserve">average </w:t>
      </w:r>
      <w:r w:rsidR="000754B2">
        <w:t>hours have increased</w:t>
      </w:r>
      <w:r w:rsidR="003778D1">
        <w:t xml:space="preserve"> substantially</w:t>
      </w:r>
      <w:r w:rsidR="000754B2">
        <w:t xml:space="preserve"> in all </w:t>
      </w:r>
      <w:proofErr w:type="spellStart"/>
      <w:r w:rsidR="000754B2">
        <w:t>deciles</w:t>
      </w:r>
      <w:proofErr w:type="spellEnd"/>
      <w:r w:rsidR="000754B2">
        <w:t xml:space="preserve"> (except the 1</w:t>
      </w:r>
      <w:r w:rsidR="000754B2" w:rsidRPr="00B75ADB">
        <w:rPr>
          <w:vertAlign w:val="superscript"/>
        </w:rPr>
        <w:t>st</w:t>
      </w:r>
      <w:r w:rsidR="008B3D90">
        <w:t>)</w:t>
      </w:r>
      <w:r w:rsidR="00011F31">
        <w:t>,</w:t>
      </w:r>
      <w:r w:rsidR="000754B2">
        <w:t xml:space="preserve"> with particularly strong growth </w:t>
      </w:r>
      <w:r w:rsidR="003778D1">
        <w:t xml:space="preserve">from the </w:t>
      </w:r>
      <w:r w:rsidR="000754B2">
        <w:t>3</w:t>
      </w:r>
      <w:r w:rsidR="000754B2" w:rsidRPr="00B75ADB">
        <w:rPr>
          <w:vertAlign w:val="superscript"/>
        </w:rPr>
        <w:t>rd</w:t>
      </w:r>
      <w:r w:rsidR="000754B2">
        <w:t xml:space="preserve"> </w:t>
      </w:r>
      <w:r w:rsidR="003778D1">
        <w:t xml:space="preserve">to the </w:t>
      </w:r>
      <w:r w:rsidR="000754B2">
        <w:t>5</w:t>
      </w:r>
      <w:r w:rsidR="000754B2" w:rsidRPr="00B75ADB">
        <w:rPr>
          <w:vertAlign w:val="superscript"/>
        </w:rPr>
        <w:t>th</w:t>
      </w:r>
      <w:r w:rsidR="000754B2">
        <w:t xml:space="preserve"> decile.</w:t>
      </w:r>
      <w:r w:rsidR="002B4940">
        <w:t xml:space="preserve"> Overall, average hours worked for part-time workers increased from 17.6 in 1998-99 to 20.4</w:t>
      </w:r>
      <w:r w:rsidR="00022944">
        <w:rPr>
          <w:rStyle w:val="FootnoteReference"/>
        </w:rPr>
        <w:footnoteReference w:id="10"/>
      </w:r>
      <w:r w:rsidR="002B4940">
        <w:t xml:space="preserve"> </w:t>
      </w:r>
      <w:r>
        <w:t xml:space="preserve">per week </w:t>
      </w:r>
      <w:r w:rsidR="002B4940">
        <w:t>in 2009-10 (an increase of around 16 per cent)</w:t>
      </w:r>
      <w:r w:rsidR="00057B9C">
        <w:t>.</w:t>
      </w:r>
    </w:p>
    <w:p w:rsidR="00475A40" w:rsidRPr="00B75ADB" w:rsidRDefault="00475A40">
      <w:pPr>
        <w:pStyle w:val="FigureTitle"/>
        <w:rPr>
          <w:vertAlign w:val="superscript"/>
        </w:rPr>
      </w:pPr>
      <w:r>
        <w:rPr>
          <w:b w:val="0"/>
        </w:rPr>
        <w:lastRenderedPageBreak/>
        <w:t xml:space="preserve">Figure </w:t>
      </w:r>
      <w:r w:rsidR="00A57B0A">
        <w:rPr>
          <w:b w:val="0"/>
        </w:rPr>
        <w:t>2.</w:t>
      </w:r>
      <w:r w:rsidR="006D43C2">
        <w:rPr>
          <w:b w:val="0"/>
          <w:noProof/>
        </w:rPr>
        <w:t>9</w:t>
      </w:r>
      <w:r>
        <w:tab/>
      </w:r>
      <w:r w:rsidR="00E90BF5">
        <w:t xml:space="preserve">Hours worked by </w:t>
      </w:r>
      <w:proofErr w:type="spellStart"/>
      <w:r w:rsidR="00E90BF5">
        <w:t>decile</w:t>
      </w:r>
      <w:proofErr w:type="spellEnd"/>
      <w:r w:rsidR="00E90BF5">
        <w:t xml:space="preserve"> and worker type</w:t>
      </w:r>
      <w:r w:rsidR="00AC69F6">
        <w:t>,</w:t>
      </w:r>
      <w:r w:rsidR="00B75ADB">
        <w:t xml:space="preserve"> 1998</w:t>
      </w:r>
      <w:r w:rsidR="00F1075C">
        <w:t>-99</w:t>
      </w:r>
      <w:r w:rsidR="003F0D53">
        <w:t xml:space="preserve"> to </w:t>
      </w:r>
      <w:r w:rsidR="00B75ADB">
        <w:t>2009</w:t>
      </w:r>
      <w:r w:rsidR="00F1075C">
        <w:t>-10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75A40" w:rsidTr="003F0D53">
        <w:tc>
          <w:tcPr>
            <w:tcW w:w="8777" w:type="dxa"/>
          </w:tcPr>
          <w:p w:rsidR="004B56CE" w:rsidRPr="00BF59B7" w:rsidRDefault="004B56CE">
            <w:pPr>
              <w:pStyle w:val="Figure"/>
              <w:rPr>
                <w:rFonts w:ascii="Arial" w:hAnsi="Arial"/>
                <w:i/>
                <w:noProof/>
                <w:sz w:val="20"/>
              </w:rPr>
            </w:pPr>
            <w:r w:rsidRPr="00BF59B7">
              <w:rPr>
                <w:rFonts w:ascii="Arial" w:hAnsi="Arial"/>
                <w:i/>
                <w:noProof/>
                <w:sz w:val="20"/>
              </w:rPr>
              <w:t>Full</w:t>
            </w:r>
            <w:r w:rsidR="0086330E">
              <w:rPr>
                <w:rFonts w:ascii="Arial" w:hAnsi="Arial"/>
                <w:i/>
                <w:noProof/>
                <w:sz w:val="20"/>
              </w:rPr>
              <w:t>-</w:t>
            </w:r>
            <w:r w:rsidRPr="00BF59B7">
              <w:rPr>
                <w:rFonts w:ascii="Arial" w:hAnsi="Arial"/>
                <w:i/>
                <w:noProof/>
                <w:sz w:val="20"/>
              </w:rPr>
              <w:t>time workers</w:t>
            </w:r>
          </w:p>
          <w:p w:rsidR="00475A40" w:rsidRDefault="003F0D53">
            <w:pPr>
              <w:pStyle w:val="Figure"/>
            </w:pPr>
            <w:r>
              <w:rPr>
                <w:noProof/>
              </w:rPr>
              <w:drawing>
                <wp:inline distT="0" distB="0" distL="0" distR="0" wp14:anchorId="2FE9F55F" wp14:editId="3D7708F7">
                  <wp:extent cx="4320000" cy="1800000"/>
                  <wp:effectExtent l="0" t="0" r="4445" b="0"/>
                  <wp:docPr id="16" name="Chart 16" descr="Top panel depicts average hours worked by full-time workers across income deciles. Average hours worked remained relatively stable for all deciles between 1998-99 and 2009-10." title="Figure 2.9 Hours worked by decile and worker type, 1998-9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4B56CE" w:rsidRPr="00BF59B7" w:rsidRDefault="0086330E" w:rsidP="003F0D53">
            <w:pPr>
              <w:pStyle w:val="Figure"/>
              <w:spacing w:before="240"/>
              <w:rPr>
                <w:rFonts w:ascii="Arial" w:hAnsi="Arial"/>
                <w:i/>
                <w:noProof/>
                <w:sz w:val="20"/>
              </w:rPr>
            </w:pPr>
            <w:r>
              <w:rPr>
                <w:rFonts w:ascii="Arial" w:hAnsi="Arial"/>
                <w:i/>
                <w:noProof/>
                <w:sz w:val="20"/>
              </w:rPr>
              <w:t>Part-</w:t>
            </w:r>
            <w:r w:rsidR="004B56CE" w:rsidRPr="00BF59B7">
              <w:rPr>
                <w:rFonts w:ascii="Arial" w:hAnsi="Arial"/>
                <w:i/>
                <w:noProof/>
                <w:sz w:val="20"/>
              </w:rPr>
              <w:t>time workers</w:t>
            </w:r>
          </w:p>
          <w:p w:rsidR="004B56CE" w:rsidRDefault="003F0D53">
            <w:pPr>
              <w:pStyle w:val="Figure"/>
            </w:pPr>
            <w:r>
              <w:rPr>
                <w:noProof/>
              </w:rPr>
              <w:drawing>
                <wp:inline distT="0" distB="0" distL="0" distR="0" wp14:anchorId="1A9FC233" wp14:editId="7DE9E987">
                  <wp:extent cx="4320000" cy="1800000"/>
                  <wp:effectExtent l="0" t="0" r="4445" b="0"/>
                  <wp:docPr id="17" name="Chart 17" descr="Middle panel depicts average hours worked by part-time workers across income deciles. All deciles but the first increased average hours worker between 1998-99 and 2009-10. " title="Figure 2.9 Hours worked by decile and worker type, 1998-9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4B56CE" w:rsidRPr="00BF59B7" w:rsidRDefault="00E90BF5" w:rsidP="003F0D53">
            <w:pPr>
              <w:pStyle w:val="Figure"/>
              <w:spacing w:before="240"/>
              <w:rPr>
                <w:rFonts w:ascii="Arial" w:hAnsi="Arial"/>
                <w:i/>
                <w:noProof/>
                <w:sz w:val="20"/>
              </w:rPr>
            </w:pPr>
            <w:r w:rsidRPr="00BF59B7">
              <w:rPr>
                <w:rFonts w:ascii="Arial" w:hAnsi="Arial"/>
                <w:i/>
                <w:noProof/>
                <w:sz w:val="20"/>
              </w:rPr>
              <w:t>P</w:t>
            </w:r>
            <w:r w:rsidR="00DD6E13">
              <w:rPr>
                <w:rFonts w:ascii="Arial" w:hAnsi="Arial"/>
                <w:i/>
                <w:noProof/>
                <w:sz w:val="20"/>
              </w:rPr>
              <w:t>ercentage change in hours worked</w:t>
            </w:r>
          </w:p>
          <w:p w:rsidR="00475A40" w:rsidRDefault="003F0D53">
            <w:pPr>
              <w:pStyle w:val="Figure"/>
            </w:pPr>
            <w:r>
              <w:rPr>
                <w:noProof/>
              </w:rPr>
              <w:drawing>
                <wp:inline distT="0" distB="0" distL="0" distR="0" wp14:anchorId="11B0D96E" wp14:editId="48920E54">
                  <wp:extent cx="4320000" cy="2160000"/>
                  <wp:effectExtent l="0" t="0" r="4445" b="0"/>
                  <wp:docPr id="18" name="Chart 18" descr="Bottom panel depicts the percentage change in hours of full-time and part-time workers by decile. Part-time worker hours increased for all but the first decile. Increases in full-time hours were small. " title="Figure 2.9 Hours worked by decile and worker type, 1998-9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bl>
    <w:p w:rsidR="00475A40" w:rsidRDefault="00475A40">
      <w:pPr>
        <w:pStyle w:val="Source"/>
      </w:pPr>
      <w:r>
        <w:rPr>
          <w:i/>
        </w:rPr>
        <w:t>Data source</w:t>
      </w:r>
      <w:r w:rsidRPr="00167F06">
        <w:t xml:space="preserve">: </w:t>
      </w:r>
      <w:r w:rsidR="00D75A5E">
        <w:t xml:space="preserve">Author estimates based on ABS (Household Expenditure Survey, cat. no. 6503.0, </w:t>
      </w:r>
      <w:proofErr w:type="spellStart"/>
      <w:r w:rsidR="00D75A5E">
        <w:t>confidentialised</w:t>
      </w:r>
      <w:proofErr w:type="spellEnd"/>
      <w:r w:rsidR="00D75A5E">
        <w:t xml:space="preserve"> unit record files)</w:t>
      </w:r>
      <w:r w:rsidR="00BD3FB7">
        <w:t>.</w:t>
      </w:r>
    </w:p>
    <w:p w:rsidR="00565CE0" w:rsidRDefault="00292941" w:rsidP="00292941">
      <w:pPr>
        <w:pStyle w:val="Heading4"/>
      </w:pPr>
      <w:r>
        <w:lastRenderedPageBreak/>
        <w:t>Wages</w:t>
      </w:r>
    </w:p>
    <w:p w:rsidR="00DC5139" w:rsidRDefault="00DC5139" w:rsidP="00120072">
      <w:pPr>
        <w:pStyle w:val="BodyText"/>
      </w:pPr>
      <w:r>
        <w:t>A</w:t>
      </w:r>
      <w:r w:rsidR="00292941">
        <w:t xml:space="preserve">verage hourly wages </w:t>
      </w:r>
      <w:r>
        <w:t xml:space="preserve">are not gathered in the </w:t>
      </w:r>
      <w:proofErr w:type="spellStart"/>
      <w:r>
        <w:t>HES</w:t>
      </w:r>
      <w:proofErr w:type="spellEnd"/>
      <w:r>
        <w:t xml:space="preserve">. The estimates presented here are based on </w:t>
      </w:r>
      <w:r w:rsidR="008138DB">
        <w:t>respondents</w:t>
      </w:r>
      <w:r w:rsidR="00E62996">
        <w:t>’</w:t>
      </w:r>
      <w:r>
        <w:t xml:space="preserve"> reported hours usually worked </w:t>
      </w:r>
      <w:r w:rsidR="00E62996">
        <w:t>(</w:t>
      </w:r>
      <w:r>
        <w:t>per week</w:t>
      </w:r>
      <w:r w:rsidR="00E62996">
        <w:t>)</w:t>
      </w:r>
      <w:r>
        <w:t xml:space="preserve"> and weekly income. This introduces </w:t>
      </w:r>
      <w:r w:rsidR="003B0095">
        <w:t>two</w:t>
      </w:r>
      <w:r>
        <w:t xml:space="preserve"> potential sources of error:</w:t>
      </w:r>
    </w:p>
    <w:p w:rsidR="00802316" w:rsidRDefault="003B0095" w:rsidP="00DC5139">
      <w:pPr>
        <w:pStyle w:val="ListBullet"/>
      </w:pPr>
      <w:r>
        <w:t>i</w:t>
      </w:r>
      <w:r w:rsidR="00802316">
        <w:t xml:space="preserve">ndividual sampling error in hours worked and weekly income will be </w:t>
      </w:r>
      <w:r>
        <w:t xml:space="preserve">compounded </w:t>
      </w:r>
      <w:r w:rsidR="00802316">
        <w:t>when these variables are combined to form hourly wage</w:t>
      </w:r>
      <w:r>
        <w:t>, increasing the uncertainty of the estimate</w:t>
      </w:r>
    </w:p>
    <w:p w:rsidR="00802316" w:rsidRDefault="003B0095" w:rsidP="00DC5139">
      <w:pPr>
        <w:pStyle w:val="ListBullet"/>
      </w:pPr>
      <w:r>
        <w:t>m</w:t>
      </w:r>
      <w:r w:rsidR="00DC5139">
        <w:t>idpoints are used for categorical hours worked data</w:t>
      </w:r>
      <w:r w:rsidR="00802316">
        <w:t xml:space="preserve">, reducing the precision of the average hourly estimate for each </w:t>
      </w:r>
      <w:proofErr w:type="spellStart"/>
      <w:r w:rsidR="00802316">
        <w:t>decile</w:t>
      </w:r>
      <w:proofErr w:type="spellEnd"/>
      <w:r w:rsidR="00802316">
        <w:t>.</w:t>
      </w:r>
    </w:p>
    <w:p w:rsidR="00BF59B7" w:rsidRDefault="003B0095" w:rsidP="00802316">
      <w:pPr>
        <w:pStyle w:val="BodyText"/>
        <w:rPr>
          <w:b/>
        </w:rPr>
      </w:pPr>
      <w:r>
        <w:t xml:space="preserve">Estimates based on the </w:t>
      </w:r>
      <w:proofErr w:type="spellStart"/>
      <w:r>
        <w:t>HES</w:t>
      </w:r>
      <w:proofErr w:type="spellEnd"/>
      <w:r>
        <w:t xml:space="preserve"> suggest that i</w:t>
      </w:r>
      <w:r w:rsidR="00802316">
        <w:t>n 2009</w:t>
      </w:r>
      <w:r w:rsidR="009F6766">
        <w:t>-10</w:t>
      </w:r>
      <w:r w:rsidR="00802316">
        <w:t xml:space="preserve">, the average </w:t>
      </w:r>
      <w:r>
        <w:t xml:space="preserve">real </w:t>
      </w:r>
      <w:r w:rsidR="00802316">
        <w:t>hourly wage for a full-time worker was $31.10, and for a pa</w:t>
      </w:r>
      <w:r w:rsidR="008138DB">
        <w:t>rt-time worker it was $28.10.</w:t>
      </w:r>
      <w:r w:rsidR="00082469">
        <w:rPr>
          <w:rStyle w:val="FootnoteReference"/>
        </w:rPr>
        <w:footnoteReference w:id="11"/>
      </w:r>
    </w:p>
    <w:p w:rsidR="00292941" w:rsidRDefault="00292941" w:rsidP="00802316">
      <w:pPr>
        <w:pStyle w:val="BodyText"/>
      </w:pPr>
      <w:r>
        <w:t xml:space="preserve">Like hours worked, hourly wages tend to be higher among higher </w:t>
      </w:r>
      <w:r w:rsidR="00D339D8">
        <w:t xml:space="preserve">(weekly) </w:t>
      </w:r>
      <w:r>
        <w:t xml:space="preserve">income </w:t>
      </w:r>
      <w:proofErr w:type="spellStart"/>
      <w:r>
        <w:t>deciles</w:t>
      </w:r>
      <w:proofErr w:type="spellEnd"/>
      <w:r w:rsidR="003B0095">
        <w:t xml:space="preserve"> (figure 2.10</w:t>
      </w:r>
      <w:r w:rsidR="009F6766">
        <w:t>)</w:t>
      </w:r>
      <w:r>
        <w:t xml:space="preserve">. </w:t>
      </w:r>
      <w:r w:rsidR="008138DB">
        <w:t>I</w:t>
      </w:r>
      <w:r w:rsidR="00E3727D">
        <w:t>n 2009-10, the average hourly</w:t>
      </w:r>
      <w:r w:rsidR="008138DB">
        <w:t xml:space="preserve"> wage of $12.20 </w:t>
      </w:r>
      <w:r w:rsidR="0086330E">
        <w:t xml:space="preserve">for the lowest </w:t>
      </w:r>
      <w:proofErr w:type="spellStart"/>
      <w:r w:rsidR="0086330E">
        <w:t>deciles</w:t>
      </w:r>
      <w:proofErr w:type="spellEnd"/>
      <w:r w:rsidR="0086330E">
        <w:t xml:space="preserve"> of full-</w:t>
      </w:r>
      <w:r w:rsidR="00E3727D">
        <w:t>time workers was considerably lower than the national minimum wage of $15.96. There are several possible causes</w:t>
      </w:r>
      <w:r w:rsidR="00A118FA">
        <w:t>.</w:t>
      </w:r>
    </w:p>
    <w:p w:rsidR="00E3727D" w:rsidRDefault="00E3727D" w:rsidP="00E3727D">
      <w:pPr>
        <w:pStyle w:val="ListBullet"/>
      </w:pPr>
      <w:r>
        <w:t xml:space="preserve">Employees younger than </w:t>
      </w:r>
      <w:r w:rsidR="00F67C08">
        <w:t xml:space="preserve">20 years of age </w:t>
      </w:r>
      <w:r>
        <w:t>can be paid less than the minimum wage. The lowest a junior employee can be paid is $5.87 per hour for someone less than 16 years of age.</w:t>
      </w:r>
    </w:p>
    <w:p w:rsidR="00E3727D" w:rsidRDefault="00F05CEE" w:rsidP="00E3727D">
      <w:pPr>
        <w:pStyle w:val="ListBullet"/>
      </w:pPr>
      <w:r>
        <w:t xml:space="preserve">Trainees and </w:t>
      </w:r>
      <w:r w:rsidR="00E62996">
        <w:t>a</w:t>
      </w:r>
      <w:r w:rsidR="008138DB">
        <w:t>pprentices</w:t>
      </w:r>
      <w:r w:rsidR="00E3727D">
        <w:t xml:space="preserve"> can be paid less than the minimum wage. </w:t>
      </w:r>
      <w:r>
        <w:t xml:space="preserve">For example, the minimum rate for a first year </w:t>
      </w:r>
      <w:r w:rsidR="008138DB">
        <w:t>apprentice</w:t>
      </w:r>
      <w:r>
        <w:t xml:space="preserve"> is </w:t>
      </w:r>
      <w:r w:rsidR="00D346AA">
        <w:t xml:space="preserve">currently </w:t>
      </w:r>
      <w:r>
        <w:t>$10.22 per hour.</w:t>
      </w:r>
    </w:p>
    <w:p w:rsidR="00F05CEE" w:rsidRDefault="00F05CEE" w:rsidP="00E3727D">
      <w:pPr>
        <w:pStyle w:val="ListBullet"/>
      </w:pPr>
      <w:r>
        <w:t>Employees with a disability that affects their productive capacity can also be paid below the minimum wage (following an individual assessment and subject to meeting the impair</w:t>
      </w:r>
      <w:r w:rsidR="00BF59B7">
        <w:t>ment</w:t>
      </w:r>
      <w:r>
        <w:t xml:space="preserve"> criteria for receipt of the Disability Support Pension)</w:t>
      </w:r>
      <w:r w:rsidR="008138DB">
        <w:t>.</w:t>
      </w:r>
    </w:p>
    <w:p w:rsidR="00F05CEE" w:rsidRDefault="00F05CEE" w:rsidP="00E3727D">
      <w:pPr>
        <w:pStyle w:val="ListBullet"/>
      </w:pPr>
      <w:r>
        <w:t>Some</w:t>
      </w:r>
      <w:r w:rsidR="008138DB">
        <w:t xml:space="preserve"> full-time employees may work</w:t>
      </w:r>
      <w:r>
        <w:t xml:space="preserve"> unpaid overtime, or </w:t>
      </w:r>
      <w:r w:rsidR="00BF59B7">
        <w:t>work</w:t>
      </w:r>
      <w:r>
        <w:t xml:space="preserve"> long hours under contract.</w:t>
      </w:r>
    </w:p>
    <w:p w:rsidR="00F05CEE" w:rsidRDefault="008138DB" w:rsidP="00E3727D">
      <w:pPr>
        <w:pStyle w:val="ListBullet"/>
      </w:pPr>
      <w:r>
        <w:t>Some w</w:t>
      </w:r>
      <w:r w:rsidR="00F05CEE">
        <w:t xml:space="preserve">orkers </w:t>
      </w:r>
      <w:r>
        <w:t>may overstate</w:t>
      </w:r>
      <w:r w:rsidR="00F05CEE">
        <w:t xml:space="preserve"> the</w:t>
      </w:r>
      <w:r w:rsidR="00BF59B7">
        <w:t>ir working hours, or understate</w:t>
      </w:r>
      <w:r w:rsidR="00F05CEE">
        <w:t xml:space="preserve"> their wages</w:t>
      </w:r>
      <w:r w:rsidR="003B0095">
        <w:t xml:space="preserve"> (or both)</w:t>
      </w:r>
      <w:r>
        <w:t>.</w:t>
      </w:r>
    </w:p>
    <w:p w:rsidR="00802316" w:rsidRDefault="00F052A9" w:rsidP="00292941">
      <w:pPr>
        <w:pStyle w:val="BodyText"/>
      </w:pPr>
      <w:r>
        <w:t xml:space="preserve">Another </w:t>
      </w:r>
      <w:r w:rsidR="00A118FA">
        <w:t xml:space="preserve">notable </w:t>
      </w:r>
      <w:r>
        <w:t>feature is</w:t>
      </w:r>
      <w:r w:rsidR="00BF59B7">
        <w:t xml:space="preserve"> that, in 2009-10,</w:t>
      </w:r>
      <w:r>
        <w:t xml:space="preserve"> u</w:t>
      </w:r>
      <w:r w:rsidR="00802316">
        <w:t>p to the 4</w:t>
      </w:r>
      <w:r w:rsidR="00802316" w:rsidRPr="00802316">
        <w:rPr>
          <w:vertAlign w:val="superscript"/>
        </w:rPr>
        <w:t>th</w:t>
      </w:r>
      <w:r w:rsidR="00802316">
        <w:t xml:space="preserve"> decile, hourly wage rates are similar between part-time and full-time workers (indeed part-time workers in the first </w:t>
      </w:r>
      <w:proofErr w:type="spellStart"/>
      <w:r w:rsidR="00802316">
        <w:t>deciles</w:t>
      </w:r>
      <w:proofErr w:type="spellEnd"/>
      <w:r w:rsidR="00802316">
        <w:t xml:space="preserve"> earn more per hour than their full-time counterparts).</w:t>
      </w:r>
      <w:r>
        <w:t xml:space="preserve"> Hourly wages diverge between full-time </w:t>
      </w:r>
      <w:r w:rsidR="008138DB">
        <w:t xml:space="preserve">and part-time </w:t>
      </w:r>
      <w:r>
        <w:t>worker</w:t>
      </w:r>
      <w:r w:rsidR="008138DB">
        <w:t>s</w:t>
      </w:r>
      <w:r>
        <w:t xml:space="preserve"> beyond the </w:t>
      </w:r>
      <w:r w:rsidR="00BF59B7">
        <w:t>4</w:t>
      </w:r>
      <w:r w:rsidR="00BF59B7" w:rsidRPr="00BF59B7">
        <w:rPr>
          <w:vertAlign w:val="superscript"/>
        </w:rPr>
        <w:t>th</w:t>
      </w:r>
      <w:r w:rsidR="00BF59B7">
        <w:t xml:space="preserve"> </w:t>
      </w:r>
      <w:r>
        <w:t>decile (though the gap never exceeds $10 an hour).</w:t>
      </w:r>
      <w:r w:rsidR="00E62996">
        <w:t xml:space="preserve"> This </w:t>
      </w:r>
      <w:r w:rsidR="00A118FA">
        <w:t xml:space="preserve">aligns with the finding </w:t>
      </w:r>
      <w:r w:rsidR="00E62996">
        <w:t xml:space="preserve">that the </w:t>
      </w:r>
      <w:r w:rsidR="00D339D8">
        <w:t xml:space="preserve">hourly </w:t>
      </w:r>
      <w:r w:rsidR="00E62996">
        <w:t xml:space="preserve">wage </w:t>
      </w:r>
      <w:r w:rsidR="00BF59B7">
        <w:t xml:space="preserve">gap between full-time and part-time workers </w:t>
      </w:r>
      <w:r w:rsidR="00A118FA">
        <w:t>occurs because of</w:t>
      </w:r>
      <w:r w:rsidR="00BF59B7">
        <w:t xml:space="preserve"> </w:t>
      </w:r>
      <w:r w:rsidR="00D346AA">
        <w:t xml:space="preserve">differences in the </w:t>
      </w:r>
      <w:r w:rsidR="00D346AA">
        <w:lastRenderedPageBreak/>
        <w:t xml:space="preserve">income of workers in </w:t>
      </w:r>
      <w:r w:rsidR="00BF59B7">
        <w:t>the top half of the income distribution, not the bottom</w:t>
      </w:r>
      <w:r w:rsidR="00A118FA">
        <w:t xml:space="preserve"> (</w:t>
      </w:r>
      <w:proofErr w:type="spellStart"/>
      <w:r w:rsidR="00A118FA">
        <w:t>Abhayaratna</w:t>
      </w:r>
      <w:proofErr w:type="spellEnd"/>
      <w:r w:rsidR="00AF7B3E">
        <w:t xml:space="preserve"> et al.</w:t>
      </w:r>
      <w:r w:rsidR="00A118FA">
        <w:t xml:space="preserve"> 2008)</w:t>
      </w:r>
      <w:r w:rsidR="00BF59B7">
        <w:t>.</w:t>
      </w:r>
    </w:p>
    <w:p w:rsidR="007F14CC" w:rsidRDefault="007F14CC" w:rsidP="000B51EC">
      <w:pPr>
        <w:pStyle w:val="FigureTitle"/>
      </w:pPr>
      <w:r>
        <w:rPr>
          <w:b w:val="0"/>
        </w:rPr>
        <w:t xml:space="preserve">Figure </w:t>
      </w:r>
      <w:r w:rsidR="00A57B0A">
        <w:rPr>
          <w:b w:val="0"/>
        </w:rPr>
        <w:t>2.</w:t>
      </w:r>
      <w:r w:rsidR="006D43C2">
        <w:rPr>
          <w:b w:val="0"/>
          <w:noProof/>
        </w:rPr>
        <w:t>10</w:t>
      </w:r>
      <w:r>
        <w:tab/>
      </w:r>
      <w:r w:rsidR="009F6766">
        <w:t xml:space="preserve">Hourly </w:t>
      </w:r>
      <w:r w:rsidR="0038668B">
        <w:t xml:space="preserve">real </w:t>
      </w:r>
      <w:r w:rsidR="009F6766">
        <w:t>wage</w:t>
      </w:r>
      <w:r w:rsidR="00B56366">
        <w:t xml:space="preserve"> by </w:t>
      </w:r>
      <w:proofErr w:type="spellStart"/>
      <w:r w:rsidR="00B56366">
        <w:t>decile</w:t>
      </w:r>
      <w:proofErr w:type="spellEnd"/>
      <w:r w:rsidR="00B56366">
        <w:t xml:space="preserve"> and worker type, 1998</w:t>
      </w:r>
      <w:r w:rsidR="00886038">
        <w:t>-99</w:t>
      </w:r>
      <w:r w:rsidR="00B56366">
        <w:t xml:space="preserve"> to </w:t>
      </w:r>
      <w:r w:rsidR="009F6766">
        <w:t>2009</w:t>
      </w:r>
      <w:r w:rsidR="00886038">
        <w:t>-10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F14CC" w:rsidTr="00EB49C2">
        <w:tc>
          <w:tcPr>
            <w:tcW w:w="8777" w:type="dxa"/>
          </w:tcPr>
          <w:p w:rsidR="007F14CC" w:rsidRPr="009F6766" w:rsidRDefault="007F14CC" w:rsidP="00233F46">
            <w:pPr>
              <w:pStyle w:val="Figure"/>
              <w:rPr>
                <w:rFonts w:ascii="Arial" w:hAnsi="Arial"/>
                <w:i/>
                <w:noProof/>
                <w:sz w:val="20"/>
              </w:rPr>
            </w:pPr>
            <w:r w:rsidRPr="009F6766">
              <w:rPr>
                <w:rFonts w:ascii="Arial" w:hAnsi="Arial"/>
                <w:i/>
                <w:noProof/>
                <w:sz w:val="20"/>
              </w:rPr>
              <w:t>Full</w:t>
            </w:r>
            <w:r w:rsidR="00EB49C2">
              <w:rPr>
                <w:rFonts w:ascii="Arial" w:hAnsi="Arial"/>
                <w:i/>
                <w:noProof/>
                <w:sz w:val="20"/>
              </w:rPr>
              <w:t>-</w:t>
            </w:r>
            <w:r w:rsidRPr="009F6766">
              <w:rPr>
                <w:rFonts w:ascii="Arial" w:hAnsi="Arial"/>
                <w:i/>
                <w:noProof/>
                <w:sz w:val="20"/>
              </w:rPr>
              <w:t>time workers</w:t>
            </w:r>
          </w:p>
          <w:p w:rsidR="007F14CC" w:rsidRDefault="00D27B18" w:rsidP="00233F46">
            <w:pPr>
              <w:pStyle w:val="Figure"/>
            </w:pPr>
            <w:r>
              <w:rPr>
                <w:noProof/>
              </w:rPr>
              <w:drawing>
                <wp:inline distT="0" distB="0" distL="0" distR="0" wp14:anchorId="263C7D4A" wp14:editId="799F5260">
                  <wp:extent cx="4320000" cy="1800000"/>
                  <wp:effectExtent l="0" t="0" r="4445" b="0"/>
                  <wp:docPr id="19" name="Chart 19" descr="Top panel depicts real wage growth for full-time workers across all deciles. Largest increase in the 10th decile. " title="Figure 2.10 Hourly real wage by decile and worker type, 1998-9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7F14CC" w:rsidRPr="009F6766" w:rsidRDefault="007F14CC" w:rsidP="00233F46">
            <w:pPr>
              <w:pStyle w:val="Figure"/>
              <w:rPr>
                <w:rFonts w:ascii="Arial" w:hAnsi="Arial"/>
                <w:i/>
                <w:noProof/>
                <w:sz w:val="20"/>
              </w:rPr>
            </w:pPr>
            <w:r w:rsidRPr="009F6766">
              <w:rPr>
                <w:rFonts w:ascii="Arial" w:hAnsi="Arial"/>
                <w:i/>
                <w:noProof/>
                <w:sz w:val="20"/>
              </w:rPr>
              <w:t>Part-time workers</w:t>
            </w:r>
          </w:p>
          <w:p w:rsidR="007F14CC" w:rsidRDefault="00266659" w:rsidP="00233F46">
            <w:pPr>
              <w:pStyle w:val="Figure"/>
            </w:pPr>
            <w:r>
              <w:rPr>
                <w:noProof/>
              </w:rPr>
              <w:drawing>
                <wp:inline distT="0" distB="0" distL="0" distR="0" wp14:anchorId="70282C8D" wp14:editId="50420AD8">
                  <wp:extent cx="4320000" cy="1800000"/>
                  <wp:effectExtent l="0" t="0" r="4445" b="0"/>
                  <wp:docPr id="20" name="Chart 20" descr="Middle panel depicts real wage growth for part-time workers across all deciles. Largest increase in the 1st decile, with falls seen in the 5th and 8th deciles." title="Figure 2.10 Hourly real wage by decile and worker type, 1998-9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7F14CC" w:rsidRPr="009F6766" w:rsidRDefault="007F14CC" w:rsidP="00233F46">
            <w:pPr>
              <w:pStyle w:val="Figure"/>
              <w:rPr>
                <w:rFonts w:ascii="Arial" w:hAnsi="Arial"/>
                <w:i/>
                <w:noProof/>
                <w:sz w:val="20"/>
              </w:rPr>
            </w:pPr>
            <w:r w:rsidRPr="009F6766">
              <w:rPr>
                <w:rFonts w:ascii="Arial" w:hAnsi="Arial"/>
                <w:i/>
                <w:noProof/>
                <w:sz w:val="20"/>
              </w:rPr>
              <w:t>Percentage change in hourly wages 1998</w:t>
            </w:r>
            <w:r w:rsidR="00886038">
              <w:rPr>
                <w:rFonts w:ascii="Arial" w:hAnsi="Arial"/>
                <w:i/>
                <w:noProof/>
                <w:sz w:val="20"/>
              </w:rPr>
              <w:t xml:space="preserve">-99 to </w:t>
            </w:r>
            <w:r w:rsidRPr="009F6766">
              <w:rPr>
                <w:rFonts w:ascii="Arial" w:hAnsi="Arial"/>
                <w:i/>
                <w:noProof/>
                <w:sz w:val="20"/>
              </w:rPr>
              <w:t>2009</w:t>
            </w:r>
            <w:r w:rsidR="00886038">
              <w:rPr>
                <w:rFonts w:ascii="Arial" w:hAnsi="Arial"/>
                <w:i/>
                <w:noProof/>
                <w:sz w:val="20"/>
              </w:rPr>
              <w:t>-10</w:t>
            </w:r>
          </w:p>
          <w:p w:rsidR="007F14CC" w:rsidRDefault="007F14CC" w:rsidP="00233F46">
            <w:pPr>
              <w:pStyle w:val="Figure"/>
            </w:pPr>
            <w:r>
              <w:rPr>
                <w:noProof/>
              </w:rPr>
              <w:t xml:space="preserve"> </w:t>
            </w:r>
            <w:r w:rsidR="00EB49C2">
              <w:rPr>
                <w:noProof/>
              </w:rPr>
              <w:t xml:space="preserve"> </w:t>
            </w:r>
            <w:r w:rsidR="00EB49C2" w:rsidRPr="00EB49C2">
              <w:rPr>
                <w:noProof/>
              </w:rPr>
              <w:drawing>
                <wp:inline distT="0" distB="0" distL="0" distR="0" wp14:anchorId="10A6D06C" wp14:editId="6A966B71">
                  <wp:extent cx="4320000" cy="1800000"/>
                  <wp:effectExtent l="0" t="0" r="4445" b="0"/>
                  <wp:docPr id="34" name="Chart 34" descr="Bottom panel depicts real wage growth in percentage terms for full-time and part-time workers across all deciles." title="Figure 2.10 Hourly real wage by decile and worker type, 1998-9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tc>
      </w:tr>
    </w:tbl>
    <w:p w:rsidR="007F14CC" w:rsidRDefault="007F14CC" w:rsidP="008C4BC3">
      <w:pPr>
        <w:pStyle w:val="Source"/>
      </w:pPr>
      <w:r>
        <w:rPr>
          <w:i/>
        </w:rPr>
        <w:t>Data source</w:t>
      </w:r>
      <w:r w:rsidRPr="00167F06">
        <w:t xml:space="preserve">: </w:t>
      </w:r>
      <w:r w:rsidR="00D75A5E">
        <w:t xml:space="preserve">Author estimates based on ABS (Household Expenditure Survey, cat. no. 6503.0, </w:t>
      </w:r>
      <w:proofErr w:type="spellStart"/>
      <w:r w:rsidR="00D75A5E">
        <w:t>confidentialised</w:t>
      </w:r>
      <w:proofErr w:type="spellEnd"/>
      <w:r w:rsidR="00D75A5E">
        <w:t xml:space="preserve"> unit record files)</w:t>
      </w:r>
      <w:r w:rsidR="00BD3FB7">
        <w:t>.</w:t>
      </w:r>
    </w:p>
    <w:p w:rsidR="00DC6726" w:rsidRDefault="00DC6726" w:rsidP="00DC6726">
      <w:pPr>
        <w:pStyle w:val="BodyText"/>
      </w:pPr>
      <w:r>
        <w:t xml:space="preserve">In contrast with trends in hours worked, growth in hourly wages has been much stronger </w:t>
      </w:r>
      <w:r w:rsidR="005E1FDC">
        <w:t xml:space="preserve">for </w:t>
      </w:r>
      <w:r>
        <w:t>full-time workers than part-time workers since 1998-99 (2</w:t>
      </w:r>
      <w:r w:rsidR="00A118FA">
        <w:t>3</w:t>
      </w:r>
      <w:r>
        <w:t xml:space="preserve"> per cent and 8 per cent respectively). Hourly wage growth amongst full-time workers has </w:t>
      </w:r>
      <w:r>
        <w:lastRenderedPageBreak/>
        <w:t xml:space="preserve">been concentrated at the top end, with only the top four </w:t>
      </w:r>
      <w:proofErr w:type="spellStart"/>
      <w:r>
        <w:t>deciles</w:t>
      </w:r>
      <w:proofErr w:type="spellEnd"/>
      <w:r>
        <w:t xml:space="preserve"> exceeding overall average growth.</w:t>
      </w:r>
    </w:p>
    <w:p w:rsidR="00DC6726" w:rsidRDefault="00DC6726" w:rsidP="00DC6726">
      <w:pPr>
        <w:pStyle w:val="BodyText"/>
      </w:pPr>
      <w:r>
        <w:t>For part-time workers the trend is less clear (for example</w:t>
      </w:r>
      <w:r w:rsidR="00A118FA">
        <w:t>,</w:t>
      </w:r>
      <w:r>
        <w:t xml:space="preserve"> there is strong growth in the 1</w:t>
      </w:r>
      <w:r w:rsidRPr="00273B42">
        <w:rPr>
          <w:vertAlign w:val="superscript"/>
        </w:rPr>
        <w:t>st</w:t>
      </w:r>
      <w:r>
        <w:t xml:space="preserve"> and the 7</w:t>
      </w:r>
      <w:r w:rsidRPr="004722D6">
        <w:rPr>
          <w:vertAlign w:val="superscript"/>
        </w:rPr>
        <w:t>th</w:t>
      </w:r>
      <w:r>
        <w:t xml:space="preserve"> decile and negative growth in 5</w:t>
      </w:r>
      <w:r w:rsidRPr="00273B42">
        <w:rPr>
          <w:vertAlign w:val="superscript"/>
        </w:rPr>
        <w:t>th</w:t>
      </w:r>
      <w:r>
        <w:t xml:space="preserve"> and 8</w:t>
      </w:r>
      <w:r w:rsidRPr="00273B42">
        <w:rPr>
          <w:vertAlign w:val="superscript"/>
        </w:rPr>
        <w:t>th</w:t>
      </w:r>
      <w:r>
        <w:t xml:space="preserve">). Nevertheless, hourly wages have tended to grow at a faster rate in bottom </w:t>
      </w:r>
      <w:proofErr w:type="spellStart"/>
      <w:r>
        <w:t>deciles</w:t>
      </w:r>
      <w:proofErr w:type="spellEnd"/>
      <w:r>
        <w:t xml:space="preserve"> than the top.</w:t>
      </w:r>
    </w:p>
    <w:p w:rsidR="007F14CC" w:rsidRDefault="007F14CC" w:rsidP="007F14CC">
      <w:pPr>
        <w:pStyle w:val="Heading4"/>
      </w:pPr>
      <w:r>
        <w:t>What do changes</w:t>
      </w:r>
      <w:r w:rsidR="00273B42">
        <w:t xml:space="preserve"> in</w:t>
      </w:r>
      <w:r>
        <w:t xml:space="preserve"> hours and wages mean?</w:t>
      </w:r>
    </w:p>
    <w:p w:rsidR="007F14CC" w:rsidRDefault="007F14CC" w:rsidP="007F14CC">
      <w:pPr>
        <w:pStyle w:val="BodyText"/>
      </w:pPr>
      <w:r>
        <w:t>Given relatively stable working hours</w:t>
      </w:r>
      <w:r w:rsidR="008C4BC3">
        <w:t xml:space="preserve"> among full-time workers over the</w:t>
      </w:r>
      <w:r>
        <w:t xml:space="preserve"> last 10 years (1 per cent growth overall), the growth in average incomes appears to be driven by </w:t>
      </w:r>
      <w:r w:rsidR="00770BA4">
        <w:t>substantial increases in average hourly wages (around 2</w:t>
      </w:r>
      <w:r w:rsidR="00A118FA">
        <w:t>3</w:t>
      </w:r>
      <w:r w:rsidR="00770BA4">
        <w:t xml:space="preserve"> per cent). </w:t>
      </w:r>
      <w:r>
        <w:t>For part-time workers</w:t>
      </w:r>
      <w:r w:rsidR="004722D6">
        <w:t>,</w:t>
      </w:r>
      <w:r>
        <w:t xml:space="preserve"> rising average wages and worki</w:t>
      </w:r>
      <w:r w:rsidR="008C4BC3">
        <w:t xml:space="preserve">ng hours have both contributed </w:t>
      </w:r>
      <w:r>
        <w:t>(8 per cent increase in hourly wages and 1</w:t>
      </w:r>
      <w:r w:rsidR="00A118FA">
        <w:t>6</w:t>
      </w:r>
      <w:r>
        <w:t> </w:t>
      </w:r>
      <w:r w:rsidR="008138DB">
        <w:t>per cent</w:t>
      </w:r>
      <w:r>
        <w:t xml:space="preserve"> increase in working hours).</w:t>
      </w:r>
    </w:p>
    <w:p w:rsidR="008C4BC3" w:rsidRDefault="008C4BC3" w:rsidP="008C4BC3">
      <w:pPr>
        <w:pStyle w:val="BodyText"/>
      </w:pPr>
      <w:r>
        <w:t>As with changes in average income, o</w:t>
      </w:r>
      <w:r w:rsidR="007F14CC">
        <w:t>bserved increases in</w:t>
      </w:r>
      <w:r w:rsidR="00A118FA">
        <w:t xml:space="preserve"> measured</w:t>
      </w:r>
      <w:r w:rsidR="007F14CC">
        <w:t xml:space="preserve"> </w:t>
      </w:r>
      <w:r w:rsidR="00F67C08">
        <w:t xml:space="preserve">labour </w:t>
      </w:r>
      <w:r w:rsidR="007F14CC">
        <w:t xml:space="preserve">income inequality for full-time workers were </w:t>
      </w:r>
      <w:r>
        <w:t>caused</w:t>
      </w:r>
      <w:r w:rsidR="007F14CC">
        <w:t xml:space="preserve"> mainly by increased dispersion in hourly wages</w:t>
      </w:r>
      <w:r>
        <w:t>, not working hours</w:t>
      </w:r>
      <w:r w:rsidR="007F14CC">
        <w:t>.</w:t>
      </w:r>
      <w:r>
        <w:t xml:space="preserve"> Trends in the hourly wage rates and working hours of part-time workers do not appear to </w:t>
      </w:r>
      <w:r w:rsidR="004722D6">
        <w:t xml:space="preserve">have </w:t>
      </w:r>
      <w:r>
        <w:t>resulted in greater inequality amongst this group</w:t>
      </w:r>
      <w:r w:rsidR="00273B42">
        <w:t xml:space="preserve"> of workers</w:t>
      </w:r>
      <w:r>
        <w:t>. This suggests that trends in the hourly wages of full</w:t>
      </w:r>
      <w:r w:rsidR="00BA3949">
        <w:t>-</w:t>
      </w:r>
      <w:r>
        <w:t xml:space="preserve">time workers are the main </w:t>
      </w:r>
      <w:r w:rsidR="00A118FA">
        <w:t>source of the rise in</w:t>
      </w:r>
      <w:r>
        <w:t xml:space="preserve"> the ‘within’ groups aspect of inequality, and the major </w:t>
      </w:r>
      <w:r w:rsidR="0014243C">
        <w:t>contributor to</w:t>
      </w:r>
      <w:r>
        <w:t xml:space="preserve"> the </w:t>
      </w:r>
      <w:r w:rsidR="00A118FA">
        <w:t>increase in measured</w:t>
      </w:r>
      <w:r>
        <w:t xml:space="preserve"> inequality in labour </w:t>
      </w:r>
      <w:r w:rsidR="00BA3949">
        <w:t xml:space="preserve">income for all workers </w:t>
      </w:r>
      <w:r>
        <w:t>more generally.</w:t>
      </w:r>
    </w:p>
    <w:p w:rsidR="00D35EE3" w:rsidRDefault="00A57B0A" w:rsidP="00CF692C">
      <w:pPr>
        <w:pStyle w:val="Heading2"/>
      </w:pPr>
      <w:r>
        <w:t>2.</w:t>
      </w:r>
      <w:r w:rsidR="006D43C2">
        <w:rPr>
          <w:noProof/>
        </w:rPr>
        <w:t>2</w:t>
      </w:r>
      <w:r w:rsidR="00CF692C">
        <w:tab/>
      </w:r>
      <w:r w:rsidR="00347EEF">
        <w:t>The impact of c</w:t>
      </w:r>
      <w:r w:rsidR="000B51EC">
        <w:t>apital</w:t>
      </w:r>
      <w:r w:rsidR="0093328E">
        <w:t xml:space="preserve"> &amp; other</w:t>
      </w:r>
      <w:r w:rsidR="00BE2923">
        <w:t xml:space="preserve"> income</w:t>
      </w:r>
    </w:p>
    <w:p w:rsidR="00055CFB" w:rsidRDefault="00C61283" w:rsidP="00292941">
      <w:pPr>
        <w:pStyle w:val="BodyText"/>
      </w:pPr>
      <w:r>
        <w:t xml:space="preserve">Many Australians have additional sources of private income </w:t>
      </w:r>
      <w:r w:rsidR="00CF692C">
        <w:t>beyond</w:t>
      </w:r>
      <w:r w:rsidR="003B7C0F">
        <w:t xml:space="preserve"> the direct</w:t>
      </w:r>
      <w:r>
        <w:t xml:space="preserve"> remuneration they receive in exchange for their labour. They earn </w:t>
      </w:r>
      <w:r w:rsidR="00273B42">
        <w:t>income</w:t>
      </w:r>
      <w:r>
        <w:t xml:space="preserve"> </w:t>
      </w:r>
      <w:r w:rsidR="003B7C0F">
        <w:t>from funds held in</w:t>
      </w:r>
      <w:r w:rsidR="00D431FA">
        <w:t xml:space="preserve"> interest bearing deposits and securities </w:t>
      </w:r>
      <w:r>
        <w:t>as well as return</w:t>
      </w:r>
      <w:r w:rsidR="003B7C0F">
        <w:t>s</w:t>
      </w:r>
      <w:r>
        <w:t xml:space="preserve"> on </w:t>
      </w:r>
      <w:r w:rsidR="00D431FA">
        <w:t xml:space="preserve">other </w:t>
      </w:r>
      <w:r>
        <w:t xml:space="preserve">investments (such as </w:t>
      </w:r>
      <w:r w:rsidR="003B7C0F">
        <w:t>equities</w:t>
      </w:r>
      <w:r>
        <w:t xml:space="preserve">, property </w:t>
      </w:r>
      <w:r w:rsidR="008138DB">
        <w:t>etc.</w:t>
      </w:r>
      <w:r>
        <w:t>).</w:t>
      </w:r>
      <w:r w:rsidR="00D462B9">
        <w:t xml:space="preserve"> In 2009</w:t>
      </w:r>
      <w:r w:rsidR="000B51EC">
        <w:t>-10</w:t>
      </w:r>
      <w:r w:rsidR="00D462B9">
        <w:t xml:space="preserve">, around </w:t>
      </w:r>
      <w:r w:rsidR="0093328E">
        <w:t>51</w:t>
      </w:r>
      <w:r w:rsidR="00CF692C">
        <w:t> per cent</w:t>
      </w:r>
      <w:r w:rsidR="000B51EC">
        <w:t xml:space="preserve"> of respondents to the </w:t>
      </w:r>
      <w:proofErr w:type="spellStart"/>
      <w:r w:rsidR="000B51EC">
        <w:t>HES</w:t>
      </w:r>
      <w:proofErr w:type="spellEnd"/>
      <w:r w:rsidR="00B361F6">
        <w:t xml:space="preserve"> reported receiving some</w:t>
      </w:r>
      <w:r w:rsidR="00D462B9">
        <w:t xml:space="preserve"> type of </w:t>
      </w:r>
      <w:r w:rsidR="000B51EC">
        <w:t>capital</w:t>
      </w:r>
      <w:r w:rsidR="003B7C0F">
        <w:t xml:space="preserve"> income</w:t>
      </w:r>
      <w:r w:rsidR="00B361F6">
        <w:t>.</w:t>
      </w:r>
      <w:r w:rsidR="00B3625C">
        <w:rPr>
          <w:rStyle w:val="FootnoteReference"/>
        </w:rPr>
        <w:footnoteReference w:id="12"/>
      </w:r>
      <w:r w:rsidR="00B361F6">
        <w:t xml:space="preserve"> </w:t>
      </w:r>
    </w:p>
    <w:p w:rsidR="00B02D09" w:rsidRDefault="000B51EC" w:rsidP="00292941">
      <w:pPr>
        <w:pStyle w:val="BodyText"/>
      </w:pPr>
      <w:r>
        <w:t>Outside of inheritance, a</w:t>
      </w:r>
      <w:r w:rsidR="00055CFB">
        <w:t xml:space="preserve">ccumulation of </w:t>
      </w:r>
      <w:r>
        <w:t>capital tends to</w:t>
      </w:r>
      <w:r w:rsidR="00055CFB">
        <w:t xml:space="preserve"> </w:t>
      </w:r>
      <w:r>
        <w:t>occur</w:t>
      </w:r>
      <w:r w:rsidR="00CF692C">
        <w:t xml:space="preserve"> </w:t>
      </w:r>
      <w:r w:rsidR="00D462B9">
        <w:t xml:space="preserve">gradually over </w:t>
      </w:r>
      <w:r w:rsidR="00793632">
        <w:t xml:space="preserve">an </w:t>
      </w:r>
      <w:r w:rsidR="000B388A">
        <w:t xml:space="preserve">individual’s </w:t>
      </w:r>
      <w:r w:rsidR="00793632">
        <w:t>life</w:t>
      </w:r>
      <w:r w:rsidR="00D462B9">
        <w:t>,</w:t>
      </w:r>
      <w:r w:rsidR="00184350">
        <w:t xml:space="preserve"> and </w:t>
      </w:r>
      <w:r>
        <w:t>capital income</w:t>
      </w:r>
      <w:r w:rsidR="00184350">
        <w:t xml:space="preserve"> continue</w:t>
      </w:r>
      <w:r>
        <w:t>s</w:t>
      </w:r>
      <w:r w:rsidR="00184350">
        <w:t xml:space="preserve"> </w:t>
      </w:r>
      <w:r w:rsidR="00793632">
        <w:t xml:space="preserve">to be received </w:t>
      </w:r>
      <w:r w:rsidR="00184350">
        <w:t>after</w:t>
      </w:r>
      <w:r w:rsidR="00D431FA">
        <w:t xml:space="preserve"> people retire and leave paid employment.</w:t>
      </w:r>
      <w:r w:rsidR="00055CFB">
        <w:t xml:space="preserve"> For these reasons</w:t>
      </w:r>
      <w:r w:rsidR="00184350">
        <w:t>,</w:t>
      </w:r>
      <w:r w:rsidR="00D462B9">
        <w:t xml:space="preserve"> the population of</w:t>
      </w:r>
      <w:r w:rsidR="00CF692C">
        <w:t xml:space="preserve"> people who receive </w:t>
      </w:r>
      <w:r>
        <w:t>capital</w:t>
      </w:r>
      <w:r w:rsidR="00CF692C">
        <w:t xml:space="preserve"> income</w:t>
      </w:r>
      <w:r w:rsidR="00D462B9">
        <w:t xml:space="preserve"> </w:t>
      </w:r>
      <w:r w:rsidR="00CF692C">
        <w:t>i</w:t>
      </w:r>
      <w:r w:rsidR="00D462B9">
        <w:t>s different</w:t>
      </w:r>
      <w:r w:rsidR="00793632">
        <w:t xml:space="preserve"> from</w:t>
      </w:r>
      <w:r w:rsidR="00D462B9">
        <w:t xml:space="preserve"> those </w:t>
      </w:r>
      <w:r w:rsidR="00184350">
        <w:t xml:space="preserve">considered earlier in terms of their labour </w:t>
      </w:r>
      <w:r w:rsidR="00184350">
        <w:lastRenderedPageBreak/>
        <w:t xml:space="preserve">force </w:t>
      </w:r>
      <w:r w:rsidR="00CF692C">
        <w:t>income</w:t>
      </w:r>
      <w:r w:rsidR="00184350">
        <w:t xml:space="preserve"> —</w:t>
      </w:r>
      <w:r w:rsidR="0093328E">
        <w:t xml:space="preserve"> </w:t>
      </w:r>
      <w:r w:rsidR="00184350">
        <w:t xml:space="preserve">only </w:t>
      </w:r>
      <w:r w:rsidR="00C060F3">
        <w:t>around 3</w:t>
      </w:r>
      <w:r w:rsidR="0093328E">
        <w:t>8</w:t>
      </w:r>
      <w:r w:rsidR="00C060F3">
        <w:t> per cent of respondents reported receiving both types of income</w:t>
      </w:r>
      <w:r w:rsidR="00D431FA">
        <w:t xml:space="preserve"> (figure 2.11)</w:t>
      </w:r>
      <w:r w:rsidR="00C060F3">
        <w:t xml:space="preserve">. The bottom two </w:t>
      </w:r>
      <w:proofErr w:type="spellStart"/>
      <w:r w:rsidR="00C060F3">
        <w:t>deciles</w:t>
      </w:r>
      <w:proofErr w:type="spellEnd"/>
      <w:r w:rsidR="00C060F3">
        <w:t xml:space="preserve"> of market income are mainly comprised of people receiving capital income only. Beyond the fo</w:t>
      </w:r>
      <w:r w:rsidR="0093328E">
        <w:t>u</w:t>
      </w:r>
      <w:r w:rsidR="00C060F3">
        <w:t xml:space="preserve">rth </w:t>
      </w:r>
      <w:proofErr w:type="spellStart"/>
      <w:r w:rsidR="00C060F3">
        <w:t>decile</w:t>
      </w:r>
      <w:proofErr w:type="spellEnd"/>
      <w:r w:rsidR="00C060F3">
        <w:t xml:space="preserve">, almost everyone is employed (or self-employed) and the proportion of those also receiving some capital income increases by </w:t>
      </w:r>
      <w:proofErr w:type="spellStart"/>
      <w:r w:rsidR="00C060F3">
        <w:t>decile</w:t>
      </w:r>
      <w:proofErr w:type="spellEnd"/>
      <w:r w:rsidR="00C060F3">
        <w:t xml:space="preserve"> (reaching around </w:t>
      </w:r>
      <w:r w:rsidR="00B02D09">
        <w:t>64 per cent for the 10</w:t>
      </w:r>
      <w:r w:rsidR="00B02D09" w:rsidRPr="00B02D09">
        <w:rPr>
          <w:vertAlign w:val="superscript"/>
        </w:rPr>
        <w:t>th</w:t>
      </w:r>
      <w:r w:rsidR="00B02D09">
        <w:t xml:space="preserve"> decile).</w:t>
      </w:r>
    </w:p>
    <w:p w:rsidR="00B02D09" w:rsidRDefault="00B02D09" w:rsidP="00F35C43">
      <w:pPr>
        <w:pStyle w:val="FigureTitle"/>
      </w:pPr>
      <w:r>
        <w:rPr>
          <w:b w:val="0"/>
        </w:rPr>
        <w:t xml:space="preserve">Figure </w:t>
      </w:r>
      <w:r w:rsidR="00A57B0A">
        <w:rPr>
          <w:b w:val="0"/>
        </w:rPr>
        <w:t>2.</w:t>
      </w:r>
      <w:r w:rsidR="006D43C2">
        <w:rPr>
          <w:b w:val="0"/>
          <w:noProof/>
        </w:rPr>
        <w:t>11</w:t>
      </w:r>
      <w:r w:rsidR="00DD6E13">
        <w:tab/>
        <w:t>C</w:t>
      </w:r>
      <w:r>
        <w:t>omposition of market income</w:t>
      </w:r>
      <w:r w:rsidR="00DD6E13">
        <w:t>,</w:t>
      </w:r>
      <w:r w:rsidR="002663E9">
        <w:t xml:space="preserve"> 2009-10</w:t>
      </w:r>
    </w:p>
    <w:p w:rsidR="008963E4" w:rsidRPr="008963E4" w:rsidRDefault="008963E4" w:rsidP="008963E4">
      <w:pPr>
        <w:pStyle w:val="Subtitle"/>
      </w:pPr>
      <w:r w:rsidRPr="008963E4">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B02D09" w:rsidTr="0093328E">
        <w:tc>
          <w:tcPr>
            <w:tcW w:w="8777" w:type="dxa"/>
          </w:tcPr>
          <w:p w:rsidR="00B02D09" w:rsidRDefault="00B56366">
            <w:pPr>
              <w:pStyle w:val="Figure"/>
            </w:pPr>
            <w:r>
              <w:rPr>
                <w:noProof/>
              </w:rPr>
              <w:drawing>
                <wp:inline distT="0" distB="0" distL="0" distR="0" wp14:anchorId="27A4AE56" wp14:editId="73C0DC60">
                  <wp:extent cx="3133726" cy="2520000"/>
                  <wp:effectExtent l="0" t="0" r="0" b="0"/>
                  <wp:docPr id="22" name="Chart 22" descr="Left panel depicts earnings by income type across the deciles. 1st decile has highest share of those only earning capital and other income. 10th decile has highest share of those earning both labour and capital and other income. Middle deciles have highest share of labour only income earners. " title="Figure 2.11 Composition of market income,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sidR="00B02D09">
              <w:rPr>
                <w:noProof/>
              </w:rPr>
              <w:t xml:space="preserve"> </w:t>
            </w:r>
            <w:r w:rsidR="0093328E" w:rsidRPr="0093328E">
              <w:rPr>
                <w:noProof/>
              </w:rPr>
              <w:drawing>
                <wp:inline distT="0" distB="0" distL="0" distR="0" wp14:anchorId="48D3457C" wp14:editId="6C1D9490">
                  <wp:extent cx="2100900" cy="2520000"/>
                  <wp:effectExtent l="0" t="0" r="0" b="0"/>
                  <wp:docPr id="6" name="Chart 6" descr="Right panel depicts the marke up of individual market income - 38% earn both labour and capital and other income, 38% earn only labour income and 24% earn only capital and other income. " title="Figure 2.11 Composition of market income,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c>
      </w:tr>
    </w:tbl>
    <w:p w:rsidR="00B02D09" w:rsidRDefault="00B02D09">
      <w:pPr>
        <w:pStyle w:val="Source"/>
      </w:pPr>
      <w:r>
        <w:rPr>
          <w:i/>
        </w:rPr>
        <w:t>Data source</w:t>
      </w:r>
      <w:r w:rsidRPr="00167F06">
        <w:t xml:space="preserve">: </w:t>
      </w:r>
      <w:r w:rsidR="00D75A5E">
        <w:t xml:space="preserve">Author estimates based on ABS (Household Expenditure Survey, cat. no. 6503.0, </w:t>
      </w:r>
      <w:proofErr w:type="spellStart"/>
      <w:r w:rsidR="00D75A5E">
        <w:t>confidentialised</w:t>
      </w:r>
      <w:proofErr w:type="spellEnd"/>
      <w:r w:rsidR="00D75A5E">
        <w:t xml:space="preserve"> unit record files)</w:t>
      </w:r>
      <w:r w:rsidR="00BD3FB7">
        <w:t>.</w:t>
      </w:r>
    </w:p>
    <w:p w:rsidR="00CA3D64" w:rsidRDefault="00875C7F" w:rsidP="00292941">
      <w:pPr>
        <w:pStyle w:val="BodyText"/>
      </w:pPr>
      <w:r>
        <w:t xml:space="preserve">Average </w:t>
      </w:r>
      <w:r w:rsidR="000B51EC">
        <w:t>capital</w:t>
      </w:r>
      <w:r>
        <w:t xml:space="preserve"> incomes have </w:t>
      </w:r>
      <w:r w:rsidR="003039F4">
        <w:t>varied around an upward trend</w:t>
      </w:r>
      <w:r>
        <w:t xml:space="preserve"> over the last 20 years</w:t>
      </w:r>
      <w:r w:rsidR="0090391D">
        <w:t xml:space="preserve"> in the </w:t>
      </w:r>
      <w:proofErr w:type="spellStart"/>
      <w:r w:rsidR="0090391D">
        <w:t>HES</w:t>
      </w:r>
      <w:proofErr w:type="spellEnd"/>
      <w:r w:rsidR="0090391D">
        <w:t xml:space="preserve"> data</w:t>
      </w:r>
      <w:r>
        <w:t xml:space="preserve">. It is not clear whether this </w:t>
      </w:r>
      <w:r w:rsidR="00CA3D64">
        <w:t xml:space="preserve">is </w:t>
      </w:r>
      <w:r>
        <w:t xml:space="preserve">an inherent feature of this type of income (for example, due to business or asset price cycles) or whether it reflects difficulties in accurate measurement. Nevertheless, </w:t>
      </w:r>
      <w:r w:rsidR="000B51EC">
        <w:t>capital</w:t>
      </w:r>
      <w:r w:rsidR="007D00A8">
        <w:t xml:space="preserve"> &amp; other</w:t>
      </w:r>
      <w:r>
        <w:t xml:space="preserve"> income a</w:t>
      </w:r>
      <w:bookmarkStart w:id="3" w:name="_GoBack"/>
      <w:bookmarkEnd w:id="3"/>
      <w:r>
        <w:t>ppears to have trended upwards (figure</w:t>
      </w:r>
      <w:r w:rsidR="00CF692C">
        <w:t> </w:t>
      </w:r>
      <w:r w:rsidR="00E02B5D">
        <w:t>2.12</w:t>
      </w:r>
      <w:r>
        <w:t xml:space="preserve">), with its overall growth </w:t>
      </w:r>
      <w:r w:rsidR="00F35C43">
        <w:t>(</w:t>
      </w:r>
      <w:r w:rsidR="007D00A8">
        <w:t>7</w:t>
      </w:r>
      <w:r>
        <w:t>6 per cent since 1988</w:t>
      </w:r>
      <w:r w:rsidR="007D00A8">
        <w:t>-89</w:t>
      </w:r>
      <w:r w:rsidR="00F35C43">
        <w:t>)</w:t>
      </w:r>
      <w:r>
        <w:t xml:space="preserve"> exceeding the growth of labour income (the majority of the growth in </w:t>
      </w:r>
      <w:r w:rsidR="000B51EC">
        <w:t>capital</w:t>
      </w:r>
      <w:r>
        <w:t xml:space="preserve"> income occurred between 2003</w:t>
      </w:r>
      <w:r w:rsidR="00F1075C">
        <w:t>-04</w:t>
      </w:r>
      <w:r>
        <w:t xml:space="preserve"> and 2009</w:t>
      </w:r>
      <w:r w:rsidR="00F1075C">
        <w:t>-10</w:t>
      </w:r>
      <w:r>
        <w:t xml:space="preserve">). </w:t>
      </w:r>
    </w:p>
    <w:p w:rsidR="00D668E5" w:rsidRDefault="00875C7F" w:rsidP="00CA3D64">
      <w:pPr>
        <w:pStyle w:val="BodyText"/>
      </w:pPr>
      <w:r>
        <w:t>This growth comes off a substantially smaller base. In 2009</w:t>
      </w:r>
      <w:r w:rsidR="007D00A8">
        <w:t>-10</w:t>
      </w:r>
      <w:r w:rsidR="00CF692C">
        <w:t xml:space="preserve">, the average </w:t>
      </w:r>
      <w:r w:rsidR="000B51EC">
        <w:t xml:space="preserve">capital </w:t>
      </w:r>
      <w:r>
        <w:t xml:space="preserve">income was </w:t>
      </w:r>
      <w:r w:rsidR="00CA3D64">
        <w:t>around</w:t>
      </w:r>
      <w:r>
        <w:t xml:space="preserve"> $1</w:t>
      </w:r>
      <w:r w:rsidR="007D00A8">
        <w:t>65</w:t>
      </w:r>
      <w:r>
        <w:t xml:space="preserve"> per week, compared with </w:t>
      </w:r>
      <w:r w:rsidR="00CF692C">
        <w:t>an average of around $1100 for</w:t>
      </w:r>
      <w:r w:rsidR="00CA3D64">
        <w:t xml:space="preserve"> labour income. </w:t>
      </w:r>
      <w:r w:rsidR="008138DB">
        <w:t>Similarly</w:t>
      </w:r>
      <w:r w:rsidR="00CA3D64">
        <w:t xml:space="preserve">, the total amount of </w:t>
      </w:r>
      <w:r w:rsidR="000B51EC">
        <w:t>capital</w:t>
      </w:r>
      <w:r w:rsidR="007D00A8">
        <w:t xml:space="preserve"> &amp; other</w:t>
      </w:r>
      <w:r w:rsidR="00CF692C">
        <w:t xml:space="preserve"> income </w:t>
      </w:r>
      <w:r w:rsidR="008138DB">
        <w:t>earned</w:t>
      </w:r>
      <w:r w:rsidR="00CA3D64">
        <w:t xml:space="preserve"> is relatively small compared </w:t>
      </w:r>
      <w:r w:rsidR="00CF692C">
        <w:t xml:space="preserve">with </w:t>
      </w:r>
      <w:r w:rsidR="00CA3D64">
        <w:t xml:space="preserve">that </w:t>
      </w:r>
      <w:r w:rsidR="008138DB">
        <w:t>earned</w:t>
      </w:r>
      <w:r w:rsidR="00CA3D64">
        <w:t xml:space="preserve"> from participation in the labour market. In 2009</w:t>
      </w:r>
      <w:r w:rsidR="00F1075C">
        <w:t>-10</w:t>
      </w:r>
      <w:r w:rsidR="00CA3D64">
        <w:t xml:space="preserve">, </w:t>
      </w:r>
      <w:r w:rsidR="000B51EC">
        <w:t>capital</w:t>
      </w:r>
      <w:r w:rsidR="00CA3D64">
        <w:t xml:space="preserve"> </w:t>
      </w:r>
      <w:r w:rsidR="007D00A8">
        <w:t xml:space="preserve">&amp; other </w:t>
      </w:r>
      <w:r w:rsidR="00CA3D64">
        <w:t>income represent</w:t>
      </w:r>
      <w:r w:rsidR="00F35C43">
        <w:t>ed</w:t>
      </w:r>
      <w:r w:rsidR="00CA3D64">
        <w:t xml:space="preserve"> around</w:t>
      </w:r>
      <w:r w:rsidR="00D668E5">
        <w:t xml:space="preserve"> </w:t>
      </w:r>
      <w:r w:rsidR="007D00A8">
        <w:t>11</w:t>
      </w:r>
      <w:r w:rsidR="00D668E5">
        <w:t> per cent of total market income</w:t>
      </w:r>
      <w:r w:rsidR="00CA3D64">
        <w:t>.</w:t>
      </w:r>
      <w:r w:rsidR="00D668E5">
        <w:t xml:space="preserve"> This has trended upwards since 1993</w:t>
      </w:r>
      <w:r w:rsidR="000B51EC">
        <w:t>-94</w:t>
      </w:r>
      <w:r w:rsidR="007D00A8">
        <w:t>.</w:t>
      </w:r>
      <w:r w:rsidR="000B51EC">
        <w:t xml:space="preserve"> (</w:t>
      </w:r>
      <w:r w:rsidR="007D00A8">
        <w:t xml:space="preserve">The share of capital &amp; other income fell between 1988-89 and 1993-94 </w:t>
      </w:r>
      <w:r w:rsidR="000B51EC">
        <w:t xml:space="preserve">possibly reflecting </w:t>
      </w:r>
      <w:r w:rsidR="007D00A8">
        <w:t>the impact of</w:t>
      </w:r>
      <w:r w:rsidR="000B51EC">
        <w:t xml:space="preserve"> the </w:t>
      </w:r>
      <w:r w:rsidR="003039F4">
        <w:t>economic downturn</w:t>
      </w:r>
      <w:r w:rsidR="007D00A8">
        <w:t>.</w:t>
      </w:r>
      <w:r w:rsidR="000B51EC">
        <w:t>)</w:t>
      </w:r>
    </w:p>
    <w:p w:rsidR="000B51EC" w:rsidRDefault="000B51EC" w:rsidP="00CA3D64">
      <w:pPr>
        <w:pStyle w:val="BodyText"/>
      </w:pPr>
      <w:r>
        <w:lastRenderedPageBreak/>
        <w:t>Capital</w:t>
      </w:r>
      <w:r w:rsidR="00CA3D64">
        <w:t xml:space="preserve"> </w:t>
      </w:r>
      <w:r w:rsidR="007D00A8">
        <w:t xml:space="preserve">&amp; other </w:t>
      </w:r>
      <w:r w:rsidR="00CA3D64">
        <w:t xml:space="preserve">income is highly unequally distributed, and has become more unequal over time. For most people who receive </w:t>
      </w:r>
      <w:r w:rsidR="00CA3D64">
        <w:rPr>
          <w:i/>
        </w:rPr>
        <w:t>any</w:t>
      </w:r>
      <w:r w:rsidR="00CA3D64">
        <w:t xml:space="preserve"> </w:t>
      </w:r>
      <w:r>
        <w:t>capital</w:t>
      </w:r>
      <w:r w:rsidR="00CA3D64">
        <w:t xml:space="preserve"> income, the amount is very small — </w:t>
      </w:r>
      <w:r w:rsidR="007D00A8">
        <w:t>6</w:t>
      </w:r>
      <w:r w:rsidR="00D668E5">
        <w:t>0 per c</w:t>
      </w:r>
      <w:r w:rsidR="00D31058">
        <w:t>ent earn</w:t>
      </w:r>
      <w:r w:rsidR="007D00A8">
        <w:t>ed</w:t>
      </w:r>
      <w:r w:rsidR="00D31058">
        <w:t xml:space="preserve"> less than $35 per week</w:t>
      </w:r>
      <w:r w:rsidR="007D00A8">
        <w:t xml:space="preserve"> in 2009-10</w:t>
      </w:r>
      <w:r w:rsidR="00D31058">
        <w:t xml:space="preserve">. </w:t>
      </w:r>
      <w:r w:rsidR="00134A96">
        <w:t>Unlike labour income, t</w:t>
      </w:r>
      <w:r w:rsidR="00D31058">
        <w:t xml:space="preserve">he growth in </w:t>
      </w:r>
      <w:r>
        <w:t>capital</w:t>
      </w:r>
      <w:r w:rsidR="00D31058">
        <w:t xml:space="preserve"> income </w:t>
      </w:r>
      <w:r w:rsidR="00CA3D64">
        <w:t>has been</w:t>
      </w:r>
      <w:r w:rsidR="00D31058">
        <w:t xml:space="preserve"> </w:t>
      </w:r>
      <w:r w:rsidR="008138DB">
        <w:t>concentrated</w:t>
      </w:r>
      <w:r w:rsidR="00134A96">
        <w:t xml:space="preserve"> in the upper portion of the distribution. While the </w:t>
      </w:r>
      <w:r>
        <w:t>capital</w:t>
      </w:r>
      <w:r w:rsidR="008D540B">
        <w:t xml:space="preserve"> income of </w:t>
      </w:r>
      <w:r w:rsidR="007D00A8">
        <w:t>6</w:t>
      </w:r>
      <w:r w:rsidR="008D540B">
        <w:t>0</w:t>
      </w:r>
      <w:r w:rsidR="008D540B" w:rsidRPr="008D540B">
        <w:rPr>
          <w:vertAlign w:val="superscript"/>
        </w:rPr>
        <w:t>th</w:t>
      </w:r>
      <w:r w:rsidR="008D540B">
        <w:t xml:space="preserve"> percentile </w:t>
      </w:r>
      <w:r>
        <w:t xml:space="preserve">and below </w:t>
      </w:r>
      <w:r w:rsidR="008D540B">
        <w:t xml:space="preserve">has changed </w:t>
      </w:r>
      <w:r w:rsidR="007D00A8">
        <w:t xml:space="preserve">little </w:t>
      </w:r>
      <w:r w:rsidR="008D540B">
        <w:t>in real terms o</w:t>
      </w:r>
      <w:r>
        <w:t>ver</w:t>
      </w:r>
      <w:r w:rsidR="008D540B">
        <w:t xml:space="preserve"> the last 20 years, the 90</w:t>
      </w:r>
      <w:r w:rsidR="008D540B" w:rsidRPr="008D540B">
        <w:rPr>
          <w:vertAlign w:val="superscript"/>
        </w:rPr>
        <w:t>th</w:t>
      </w:r>
      <w:r w:rsidR="008D540B">
        <w:t>, 95</w:t>
      </w:r>
      <w:r w:rsidR="008D540B" w:rsidRPr="008D540B">
        <w:rPr>
          <w:vertAlign w:val="superscript"/>
        </w:rPr>
        <w:t>th</w:t>
      </w:r>
      <w:r w:rsidR="008D540B">
        <w:t xml:space="preserve"> and 99</w:t>
      </w:r>
      <w:r w:rsidR="008D540B" w:rsidRPr="008D540B">
        <w:rPr>
          <w:vertAlign w:val="superscript"/>
        </w:rPr>
        <w:t>th</w:t>
      </w:r>
      <w:r w:rsidR="008D540B">
        <w:t xml:space="preserve"> percentiles have increased by </w:t>
      </w:r>
      <w:r w:rsidR="007D00A8">
        <w:t>86</w:t>
      </w:r>
      <w:r w:rsidR="008D540B">
        <w:t xml:space="preserve"> per cent, </w:t>
      </w:r>
      <w:r w:rsidR="007D00A8">
        <w:t>73</w:t>
      </w:r>
      <w:r w:rsidR="008D540B">
        <w:t> per cent and 1</w:t>
      </w:r>
      <w:r w:rsidR="007D00A8">
        <w:t>09</w:t>
      </w:r>
      <w:r w:rsidR="008D540B">
        <w:t> per cent respectively.</w:t>
      </w:r>
    </w:p>
    <w:p w:rsidR="000B51EC" w:rsidRDefault="000B51EC" w:rsidP="000B51EC">
      <w:pPr>
        <w:pStyle w:val="FigureTitle"/>
      </w:pPr>
      <w:r>
        <w:rPr>
          <w:b w:val="0"/>
        </w:rPr>
        <w:t xml:space="preserve">Figure </w:t>
      </w:r>
      <w:r w:rsidR="00A57B0A">
        <w:rPr>
          <w:b w:val="0"/>
        </w:rPr>
        <w:t>2.</w:t>
      </w:r>
      <w:r w:rsidR="006D43C2">
        <w:rPr>
          <w:b w:val="0"/>
          <w:noProof/>
        </w:rPr>
        <w:t>12</w:t>
      </w:r>
      <w:r>
        <w:tab/>
        <w:t xml:space="preserve">Trends in </w:t>
      </w:r>
      <w:r w:rsidR="007631AD">
        <w:t xml:space="preserve">components of </w:t>
      </w:r>
      <w:r>
        <w:t>market income</w:t>
      </w:r>
      <w:r w:rsidR="00557718">
        <w:t>, 1988-89 to 2009-10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0B51EC" w:rsidTr="000D467E">
        <w:trPr>
          <w:trHeight w:val="245"/>
        </w:trPr>
        <w:tc>
          <w:tcPr>
            <w:tcW w:w="4388" w:type="dxa"/>
          </w:tcPr>
          <w:p w:rsidR="000B51EC" w:rsidRPr="000B51EC" w:rsidRDefault="000B51EC" w:rsidP="000B51EC">
            <w:pPr>
              <w:pStyle w:val="Figure"/>
              <w:rPr>
                <w:rFonts w:ascii="Arial" w:hAnsi="Arial"/>
                <w:i/>
                <w:noProof/>
                <w:sz w:val="20"/>
              </w:rPr>
            </w:pPr>
            <w:r w:rsidRPr="000B51EC">
              <w:rPr>
                <w:rFonts w:ascii="Arial" w:hAnsi="Arial"/>
                <w:i/>
                <w:noProof/>
                <w:sz w:val="20"/>
              </w:rPr>
              <w:t>Average income</w:t>
            </w:r>
          </w:p>
          <w:p w:rsidR="000B51EC" w:rsidRDefault="007D00A8">
            <w:pPr>
              <w:pStyle w:val="Figure"/>
            </w:pPr>
            <w:r w:rsidRPr="007D00A8">
              <w:rPr>
                <w:noProof/>
              </w:rPr>
              <w:drawing>
                <wp:inline distT="0" distB="0" distL="0" distR="0" wp14:anchorId="45D95571" wp14:editId="3DAFB6EE">
                  <wp:extent cx="2590800" cy="2520000"/>
                  <wp:effectExtent l="0" t="0" r="0" b="0"/>
                  <wp:docPr id="8" name="Chart 8" descr="Top left panel depicts average labour, capital and other and market incomes. All increased between 1988-89 and 2009-10. " title="Figure 2.12 Trends in components of market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c>
        <w:tc>
          <w:tcPr>
            <w:tcW w:w="4389" w:type="dxa"/>
          </w:tcPr>
          <w:p w:rsidR="000B51EC" w:rsidRPr="000B51EC" w:rsidRDefault="000B51EC">
            <w:pPr>
              <w:pStyle w:val="Figure"/>
              <w:rPr>
                <w:rFonts w:ascii="Arial" w:hAnsi="Arial"/>
                <w:i/>
                <w:noProof/>
                <w:sz w:val="20"/>
              </w:rPr>
            </w:pPr>
            <w:r w:rsidRPr="000B51EC">
              <w:rPr>
                <w:rFonts w:ascii="Arial" w:hAnsi="Arial"/>
                <w:i/>
                <w:noProof/>
                <w:sz w:val="20"/>
              </w:rPr>
              <w:t xml:space="preserve">Capital </w:t>
            </w:r>
            <w:r w:rsidR="000D467E">
              <w:rPr>
                <w:rFonts w:ascii="Arial" w:hAnsi="Arial"/>
                <w:i/>
                <w:noProof/>
                <w:sz w:val="20"/>
              </w:rPr>
              <w:t xml:space="preserve">&amp; other </w:t>
            </w:r>
            <w:r w:rsidRPr="000B51EC">
              <w:rPr>
                <w:rFonts w:ascii="Arial" w:hAnsi="Arial"/>
                <w:i/>
                <w:noProof/>
                <w:sz w:val="20"/>
              </w:rPr>
              <w:t>share of market income</w:t>
            </w:r>
          </w:p>
          <w:p w:rsidR="000B51EC" w:rsidRDefault="000D467E">
            <w:pPr>
              <w:pStyle w:val="Figure"/>
            </w:pPr>
            <w:r w:rsidRPr="000D467E">
              <w:rPr>
                <w:noProof/>
              </w:rPr>
              <w:drawing>
                <wp:inline distT="0" distB="0" distL="0" distR="0" wp14:anchorId="19098B00" wp14:editId="1E263DDE">
                  <wp:extent cx="2520000" cy="2520000"/>
                  <wp:effectExtent l="0" t="0" r="0" b="0"/>
                  <wp:docPr id="10" name="Chart 10" descr="Top right panel depicts capital and other income share of market income. Share fell after 1988-89 but grew between 2009-10 to above 1988-89 levels. " title="Figure 2.12 Trends in components of market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r>
      <w:tr w:rsidR="000B51EC" w:rsidTr="000D467E">
        <w:trPr>
          <w:trHeight w:val="244"/>
        </w:trPr>
        <w:tc>
          <w:tcPr>
            <w:tcW w:w="4388" w:type="dxa"/>
          </w:tcPr>
          <w:p w:rsidR="000B51EC" w:rsidRPr="00806FE6" w:rsidRDefault="000B51EC">
            <w:pPr>
              <w:pStyle w:val="Figure"/>
              <w:rPr>
                <w:rFonts w:ascii="Arial" w:hAnsi="Arial"/>
                <w:i/>
                <w:noProof/>
                <w:sz w:val="20"/>
                <w:vertAlign w:val="superscript"/>
              </w:rPr>
            </w:pPr>
            <w:r w:rsidRPr="000B51EC">
              <w:rPr>
                <w:rFonts w:ascii="Arial" w:hAnsi="Arial"/>
                <w:i/>
                <w:noProof/>
                <w:sz w:val="20"/>
              </w:rPr>
              <w:t>Gini coefficient by income type</w:t>
            </w:r>
            <w:r w:rsidR="00806FE6">
              <w:rPr>
                <w:rFonts w:ascii="Arial" w:hAnsi="Arial"/>
                <w:i/>
                <w:noProof/>
                <w:sz w:val="20"/>
                <w:vertAlign w:val="superscript"/>
              </w:rPr>
              <w:t>a</w:t>
            </w:r>
          </w:p>
          <w:p w:rsidR="000B51EC" w:rsidRDefault="000D467E">
            <w:pPr>
              <w:pStyle w:val="Figure"/>
            </w:pPr>
            <w:r w:rsidRPr="000D467E">
              <w:rPr>
                <w:noProof/>
              </w:rPr>
              <w:drawing>
                <wp:inline distT="0" distB="0" distL="0" distR="0" wp14:anchorId="3C203056" wp14:editId="39EB200B">
                  <wp:extent cx="2520000" cy="2520000"/>
                  <wp:effectExtent l="0" t="0" r="0" b="0"/>
                  <wp:docPr id="4" name="Chart 4" descr="Bottom left panel depicts that the Gini coefficient has increased between 1988-89 and 2009-10 for individual labour, capital &amp; other and market income. " title="Figure 2.12 Trends in components of market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c>
          <w:tcPr>
            <w:tcW w:w="4389" w:type="dxa"/>
          </w:tcPr>
          <w:p w:rsidR="000B51EC" w:rsidRPr="000B51EC" w:rsidRDefault="000B51EC" w:rsidP="000B51EC">
            <w:pPr>
              <w:pStyle w:val="Figure"/>
              <w:rPr>
                <w:rFonts w:ascii="Arial" w:hAnsi="Arial"/>
                <w:i/>
                <w:noProof/>
                <w:sz w:val="20"/>
              </w:rPr>
            </w:pPr>
            <w:r w:rsidRPr="000B51EC">
              <w:rPr>
                <w:rFonts w:ascii="Arial" w:hAnsi="Arial"/>
                <w:i/>
                <w:noProof/>
                <w:sz w:val="20"/>
              </w:rPr>
              <w:t xml:space="preserve">Capital </w:t>
            </w:r>
            <w:r w:rsidR="000D467E">
              <w:rPr>
                <w:rFonts w:ascii="Arial" w:hAnsi="Arial"/>
                <w:i/>
                <w:noProof/>
                <w:sz w:val="20"/>
              </w:rPr>
              <w:t xml:space="preserve">&amp; other </w:t>
            </w:r>
            <w:r w:rsidRPr="000B51EC">
              <w:rPr>
                <w:rFonts w:ascii="Arial" w:hAnsi="Arial"/>
                <w:i/>
                <w:noProof/>
                <w:sz w:val="20"/>
              </w:rPr>
              <w:t>income by percentile</w:t>
            </w:r>
          </w:p>
          <w:p w:rsidR="000B51EC" w:rsidRDefault="000D467E">
            <w:pPr>
              <w:pStyle w:val="Figure"/>
            </w:pPr>
            <w:r w:rsidRPr="000D467E">
              <w:rPr>
                <w:noProof/>
              </w:rPr>
              <w:drawing>
                <wp:inline distT="0" distB="0" distL="0" distR="0" wp14:anchorId="0C3926CF" wp14:editId="07927A64">
                  <wp:extent cx="2790908" cy="2520563"/>
                  <wp:effectExtent l="0" t="0" r="0" b="0"/>
                  <wp:docPr id="23" name="Chart 23" descr="Bottom right panel shows capital and other income growth for the 60th, 90th, 95th and 99th percentiles. No growth in the 60th percentile, strong growth in higher percentiles with the greatest growth seen in the 99th percentile. " title="Figure 2.12 Trends in components of market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r>
    </w:tbl>
    <w:p w:rsidR="000B51EC" w:rsidRDefault="000B51EC">
      <w:pPr>
        <w:pStyle w:val="Note"/>
      </w:pPr>
      <w:proofErr w:type="spellStart"/>
      <w:r>
        <w:rPr>
          <w:rStyle w:val="NoteLabel"/>
        </w:rPr>
        <w:t>a</w:t>
      </w:r>
      <w:proofErr w:type="spellEnd"/>
      <w:r>
        <w:t xml:space="preserve"> </w:t>
      </w:r>
      <w:r w:rsidR="00806FE6">
        <w:t xml:space="preserve">The </w:t>
      </w:r>
      <w:proofErr w:type="spellStart"/>
      <w:r w:rsidR="00806FE6">
        <w:t>Gini</w:t>
      </w:r>
      <w:proofErr w:type="spellEnd"/>
      <w:r w:rsidR="00806FE6">
        <w:t xml:space="preserve"> coefficient for capital </w:t>
      </w:r>
      <w:r w:rsidR="000D467E">
        <w:t xml:space="preserve">&amp; other </w:t>
      </w:r>
      <w:r w:rsidR="00806FE6">
        <w:t>income exceeds 1</w:t>
      </w:r>
      <w:r w:rsidR="00B94F95">
        <w:t xml:space="preserve"> </w:t>
      </w:r>
      <w:r w:rsidR="000D467E">
        <w:t>in 2003-04</w:t>
      </w:r>
      <w:r w:rsidR="00B94F95">
        <w:t xml:space="preserve"> due to the presence of large negative incomes. </w:t>
      </w:r>
    </w:p>
    <w:p w:rsidR="000B51EC" w:rsidRDefault="000B51EC">
      <w:pPr>
        <w:pStyle w:val="Source"/>
      </w:pPr>
      <w:r>
        <w:rPr>
          <w:i/>
        </w:rPr>
        <w:t>Data source</w:t>
      </w:r>
      <w:r w:rsidRPr="00167F06">
        <w:t xml:space="preserve">: </w:t>
      </w:r>
      <w:r w:rsidR="00D75A5E">
        <w:t xml:space="preserve">Author estimates based on ABS (Household Expenditure Survey, cat. no. 6503.0, </w:t>
      </w:r>
      <w:proofErr w:type="spellStart"/>
      <w:r w:rsidR="00D75A5E">
        <w:t>confidentialised</w:t>
      </w:r>
      <w:proofErr w:type="spellEnd"/>
      <w:r w:rsidR="00D75A5E">
        <w:t xml:space="preserve"> unit record files)</w:t>
      </w:r>
      <w:r w:rsidR="00BD3FB7">
        <w:t>.</w:t>
      </w:r>
    </w:p>
    <w:p w:rsidR="00BE2923" w:rsidRDefault="00A57B0A" w:rsidP="000B51EC">
      <w:pPr>
        <w:pStyle w:val="Heading2"/>
      </w:pPr>
      <w:r>
        <w:lastRenderedPageBreak/>
        <w:t>2.</w:t>
      </w:r>
      <w:r w:rsidR="006D43C2">
        <w:rPr>
          <w:noProof/>
        </w:rPr>
        <w:t>3</w:t>
      </w:r>
      <w:r w:rsidR="000B51EC">
        <w:tab/>
      </w:r>
      <w:r w:rsidR="00B957D5">
        <w:t>Earnings of m</w:t>
      </w:r>
      <w:r w:rsidR="00732297">
        <w:t xml:space="preserve">en, women and the </w:t>
      </w:r>
      <w:r w:rsidR="00B957D5">
        <w:t xml:space="preserve">top </w:t>
      </w:r>
      <w:r w:rsidR="00732297">
        <w:t>‘1 per cent’</w:t>
      </w:r>
    </w:p>
    <w:p w:rsidR="007F14CC" w:rsidRDefault="007F14CC" w:rsidP="007F14CC">
      <w:pPr>
        <w:pStyle w:val="BodyText"/>
      </w:pPr>
      <w:r>
        <w:t xml:space="preserve">Trends in the distribution of income can be examined in a multitude of different dimensions. However, two areas attract particular attention: </w:t>
      </w:r>
    </w:p>
    <w:p w:rsidR="009703FE" w:rsidRDefault="005E1FDC" w:rsidP="007F14CC">
      <w:pPr>
        <w:pStyle w:val="ListBullet"/>
      </w:pPr>
      <w:r>
        <w:t>p</w:t>
      </w:r>
      <w:r w:rsidR="00732297">
        <w:t>ay differences</w:t>
      </w:r>
      <w:r w:rsidR="009703FE">
        <w:t xml:space="preserve"> between men and women</w:t>
      </w:r>
    </w:p>
    <w:p w:rsidR="009703FE" w:rsidRDefault="005E1FDC" w:rsidP="009703FE">
      <w:pPr>
        <w:pStyle w:val="ListBullet"/>
      </w:pPr>
      <w:r>
        <w:t>t</w:t>
      </w:r>
      <w:r w:rsidR="003F1B79">
        <w:t>he incomes of the</w:t>
      </w:r>
      <w:r w:rsidR="009703FE">
        <w:t xml:space="preserve"> very top </w:t>
      </w:r>
      <w:r w:rsidR="003F1B79">
        <w:t>earners (the ‘1 per cent)</w:t>
      </w:r>
      <w:r w:rsidR="00F35C43">
        <w:t>.</w:t>
      </w:r>
    </w:p>
    <w:p w:rsidR="007F14CC" w:rsidRDefault="007F14CC" w:rsidP="007F14CC">
      <w:pPr>
        <w:pStyle w:val="BodyText"/>
      </w:pPr>
      <w:r>
        <w:t>The complexity of both issues gives rise to diverse presentations of evidence and (often hotly) contested interpretations. The vast majority of this debate is beyond the scope of this paper. Here a comparatively limited approach is adopted – focussing on the extent to which</w:t>
      </w:r>
      <w:r w:rsidR="003F1B79">
        <w:t xml:space="preserve"> income differences observed between these groups impact on summary measures of inequality</w:t>
      </w:r>
      <w:r>
        <w:t xml:space="preserve">. </w:t>
      </w:r>
    </w:p>
    <w:p w:rsidR="007F14CC" w:rsidRPr="009703FE" w:rsidRDefault="007F14CC" w:rsidP="00B72C24">
      <w:pPr>
        <w:pStyle w:val="Heading3"/>
      </w:pPr>
      <w:r>
        <w:t xml:space="preserve">The impact of the </w:t>
      </w:r>
      <w:r w:rsidR="00FC7D1B">
        <w:t xml:space="preserve">gender pay </w:t>
      </w:r>
      <w:r>
        <w:t>gap on inequality</w:t>
      </w:r>
    </w:p>
    <w:p w:rsidR="00BE2923" w:rsidRDefault="007F14CC" w:rsidP="00292941">
      <w:pPr>
        <w:pStyle w:val="BodyText"/>
      </w:pPr>
      <w:r>
        <w:t>Disparity between average male and female earnings is a persistent feature of the Australian labour market.</w:t>
      </w:r>
      <w:r w:rsidR="00225BD6">
        <w:t xml:space="preserve"> In May 2012, women’s ordina</w:t>
      </w:r>
      <w:r w:rsidR="00407D6A">
        <w:t>ry full-time earnings were 1</w:t>
      </w:r>
      <w:r w:rsidR="00C4635F">
        <w:t>8</w:t>
      </w:r>
      <w:r w:rsidR="00407D6A">
        <w:t> per cent</w:t>
      </w:r>
      <w:r w:rsidR="00225BD6">
        <w:t xml:space="preserve"> lower </w:t>
      </w:r>
      <w:r w:rsidR="004160C5">
        <w:t xml:space="preserve">than </w:t>
      </w:r>
      <w:r w:rsidR="00225BD6">
        <w:t xml:space="preserve">men’s. This </w:t>
      </w:r>
      <w:r w:rsidR="00317037">
        <w:t>difference</w:t>
      </w:r>
      <w:r w:rsidR="00225BD6">
        <w:t xml:space="preserve"> has</w:t>
      </w:r>
      <w:r w:rsidR="00FC7D1B">
        <w:t xml:space="preserve"> been</w:t>
      </w:r>
      <w:r w:rsidR="00225BD6">
        <w:t xml:space="preserve"> relatively stable over the last 20 years, and has </w:t>
      </w:r>
      <w:r w:rsidR="00C4635F">
        <w:t>trended</w:t>
      </w:r>
      <w:r w:rsidR="00225BD6">
        <w:t xml:space="preserve"> gradual</w:t>
      </w:r>
      <w:r w:rsidR="0092597A">
        <w:t>ly</w:t>
      </w:r>
      <w:r w:rsidR="00225BD6">
        <w:t xml:space="preserve"> upward over the last 10</w:t>
      </w:r>
      <w:r w:rsidR="00BE0F49">
        <w:t xml:space="preserve"> </w:t>
      </w:r>
      <w:r w:rsidR="0092597A">
        <w:t xml:space="preserve">years </w:t>
      </w:r>
      <w:r w:rsidR="00BE0F49">
        <w:t xml:space="preserve">(ABS </w:t>
      </w:r>
      <w:proofErr w:type="spellStart"/>
      <w:r w:rsidR="00131D94">
        <w:t>2012b</w:t>
      </w:r>
      <w:proofErr w:type="spellEnd"/>
      <w:r w:rsidR="00BE0F49">
        <w:t>)</w:t>
      </w:r>
      <w:r w:rsidR="00225BD6">
        <w:t>.</w:t>
      </w:r>
      <w:r w:rsidR="00BE0F49">
        <w:t xml:space="preserve"> Non-managerial adult hourly wages in 2012 were almost 11 per cent lower for women working full-time than men (ABS </w:t>
      </w:r>
      <w:proofErr w:type="spellStart"/>
      <w:r w:rsidR="00131D94">
        <w:t>2012c</w:t>
      </w:r>
      <w:proofErr w:type="spellEnd"/>
      <w:r w:rsidR="00BE0F49">
        <w:t>).</w:t>
      </w:r>
    </w:p>
    <w:p w:rsidR="007F14CC" w:rsidRDefault="00BE0F49" w:rsidP="009703FE">
      <w:pPr>
        <w:pStyle w:val="BodyText"/>
      </w:pPr>
      <w:r>
        <w:t>T</w:t>
      </w:r>
      <w:r w:rsidR="00FC7D1B">
        <w:t>his</w:t>
      </w:r>
      <w:r>
        <w:t xml:space="preserve"> raises the question as to how much the gender </w:t>
      </w:r>
      <w:r w:rsidR="009253A1">
        <w:t>pay gap</w:t>
      </w:r>
      <w:r>
        <w:t xml:space="preserve"> impact</w:t>
      </w:r>
      <w:r w:rsidR="000B51EC">
        <w:t>s</w:t>
      </w:r>
      <w:r>
        <w:t xml:space="preserve"> on overall inequality, and</w:t>
      </w:r>
      <w:r w:rsidR="000B51EC">
        <w:t xml:space="preserve"> if it has </w:t>
      </w:r>
      <w:r>
        <w:t>contributed to observed trends in</w:t>
      </w:r>
      <w:r w:rsidR="007B78CC">
        <w:t xml:space="preserve"> </w:t>
      </w:r>
      <w:r w:rsidR="00CF28D8">
        <w:t xml:space="preserve">measured </w:t>
      </w:r>
      <w:r w:rsidR="007B78CC">
        <w:t xml:space="preserve">income </w:t>
      </w:r>
      <w:r w:rsidR="00407D6A">
        <w:t>inequality.</w:t>
      </w:r>
    </w:p>
    <w:p w:rsidR="00CF692C" w:rsidRDefault="009253A1" w:rsidP="009703FE">
      <w:pPr>
        <w:pStyle w:val="BodyText"/>
      </w:pPr>
      <w:r>
        <w:t>The contribution of the gender pay gap to</w:t>
      </w:r>
      <w:r w:rsidR="007B78CC">
        <w:t xml:space="preserve"> measures of</w:t>
      </w:r>
      <w:r>
        <w:t xml:space="preserve"> inequality can be examined through the decomposition techniques discussed above (box</w:t>
      </w:r>
      <w:r w:rsidR="000B51EC">
        <w:t> 2.2</w:t>
      </w:r>
      <w:r>
        <w:t xml:space="preserve">). </w:t>
      </w:r>
      <w:r w:rsidR="00CF692C">
        <w:t>In this case, the greater the contribution of variation ‘between’ groups (</w:t>
      </w:r>
      <w:r w:rsidR="00F21C27">
        <w:t xml:space="preserve">that is, </w:t>
      </w:r>
      <w:r w:rsidR="00CF692C">
        <w:t xml:space="preserve">the average difference in men’s and women’s wages) to the </w:t>
      </w:r>
      <w:proofErr w:type="spellStart"/>
      <w:r w:rsidR="004160C5">
        <w:t>G</w:t>
      </w:r>
      <w:r w:rsidR="00CF692C">
        <w:t>ini</w:t>
      </w:r>
      <w:proofErr w:type="spellEnd"/>
      <w:r w:rsidR="00CF692C">
        <w:t xml:space="preserve"> coefficient, the greater the effect of the gender pay gap on overall </w:t>
      </w:r>
      <w:r w:rsidR="007B78CC">
        <w:t xml:space="preserve">income </w:t>
      </w:r>
      <w:r w:rsidR="00CF692C">
        <w:t>inequality.</w:t>
      </w:r>
    </w:p>
    <w:p w:rsidR="002A577D" w:rsidRPr="00072CBD" w:rsidRDefault="002A577D" w:rsidP="002A577D">
      <w:pPr>
        <w:pStyle w:val="BodyText"/>
      </w:pPr>
      <w:r w:rsidRPr="00BD3FB7">
        <w:t>In terms of weekly income, d</w:t>
      </w:r>
      <w:r w:rsidR="00CF692C" w:rsidRPr="00BD3FB7">
        <w:t>ecomposition analysis</w:t>
      </w:r>
      <w:r w:rsidR="000B51EC" w:rsidRPr="00BD3FB7">
        <w:t xml:space="preserve"> </w:t>
      </w:r>
      <w:r w:rsidR="009253A1" w:rsidRPr="00BD3FB7">
        <w:t xml:space="preserve">suggests </w:t>
      </w:r>
      <w:r w:rsidRPr="00BD3FB7">
        <w:t>a</w:t>
      </w:r>
      <w:r w:rsidR="000B51EC" w:rsidRPr="00BD3FB7">
        <w:t>round 25 per cent</w:t>
      </w:r>
      <w:r w:rsidR="007B78CC" w:rsidRPr="00BD3FB7">
        <w:t xml:space="preserve"> of the </w:t>
      </w:r>
      <w:proofErr w:type="spellStart"/>
      <w:r w:rsidR="007B78CC" w:rsidRPr="00BD3FB7">
        <w:t>G</w:t>
      </w:r>
      <w:r w:rsidR="00CF692C" w:rsidRPr="00BD3FB7">
        <w:t>ini</w:t>
      </w:r>
      <w:proofErr w:type="spellEnd"/>
      <w:r w:rsidR="00CF692C" w:rsidRPr="00BD3FB7">
        <w:t xml:space="preserve"> coefficient can be attributed t</w:t>
      </w:r>
      <w:r w:rsidRPr="00BD3FB7">
        <w:t>o differences in men and women’s average earnings</w:t>
      </w:r>
      <w:r w:rsidR="00CF692C" w:rsidRPr="00BD3FB7">
        <w:t xml:space="preserve"> in 2009</w:t>
      </w:r>
      <w:r w:rsidR="00C4635F">
        <w:t xml:space="preserve"> (figure 2.13)</w:t>
      </w:r>
      <w:r w:rsidR="00CF692C" w:rsidRPr="00BD3FB7">
        <w:t>.</w:t>
      </w:r>
      <w:r w:rsidR="00A83D3D" w:rsidRPr="00BD3FB7">
        <w:t xml:space="preserve"> </w:t>
      </w:r>
      <w:r w:rsidRPr="00BD3FB7">
        <w:t xml:space="preserve">However, this result is </w:t>
      </w:r>
      <w:r w:rsidR="00072CBD" w:rsidRPr="00BD3FB7">
        <w:t>influenced</w:t>
      </w:r>
      <w:r w:rsidRPr="00BD3FB7">
        <w:t xml:space="preserve"> by</w:t>
      </w:r>
      <w:r w:rsidR="00072CBD" w:rsidRPr="00BD3FB7">
        <w:t xml:space="preserve"> the</w:t>
      </w:r>
      <w:r w:rsidRPr="00BD3FB7">
        <w:t xml:space="preserve"> difference in average working hours, as a considerably higher proportion of women work part-time compared to men. </w:t>
      </w:r>
      <w:r w:rsidR="00072CBD" w:rsidRPr="00BD3FB7">
        <w:t xml:space="preserve">For this reason, the impact of the gender pay gap on measures of inequality is more appropriately examined using </w:t>
      </w:r>
      <w:r w:rsidR="00072CBD" w:rsidRPr="00BD3FB7">
        <w:rPr>
          <w:i/>
        </w:rPr>
        <w:t xml:space="preserve">hourly </w:t>
      </w:r>
      <w:r w:rsidR="00072CBD" w:rsidRPr="00BD3FB7">
        <w:t>wages.</w:t>
      </w:r>
    </w:p>
    <w:p w:rsidR="001C4E03" w:rsidRDefault="001C4E03" w:rsidP="001C4E03">
      <w:pPr>
        <w:pStyle w:val="BodyText"/>
      </w:pPr>
    </w:p>
    <w:p w:rsidR="00BE0F49" w:rsidRDefault="00BE0F49" w:rsidP="00D75A5E">
      <w:pPr>
        <w:pStyle w:val="FigureTitle"/>
      </w:pPr>
      <w:r>
        <w:rPr>
          <w:b w:val="0"/>
        </w:rPr>
        <w:lastRenderedPageBreak/>
        <w:t xml:space="preserve">Figure </w:t>
      </w:r>
      <w:r w:rsidR="00A57B0A">
        <w:rPr>
          <w:b w:val="0"/>
        </w:rPr>
        <w:t>2.</w:t>
      </w:r>
      <w:r w:rsidR="006D43C2">
        <w:rPr>
          <w:b w:val="0"/>
          <w:noProof/>
        </w:rPr>
        <w:t>13</w:t>
      </w:r>
      <w:r>
        <w:tab/>
      </w:r>
      <w:r w:rsidR="00CF692C">
        <w:t>Decomposition of weekly income and wage by gender</w:t>
      </w:r>
    </w:p>
    <w:p w:rsidR="008963E4" w:rsidRPr="008963E4" w:rsidRDefault="008963E4" w:rsidP="008963E4">
      <w:pPr>
        <w:pStyle w:val="Subtitle"/>
      </w:pPr>
      <w:r w:rsidRPr="008963E4">
        <w:t>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E0F49">
        <w:tc>
          <w:tcPr>
            <w:tcW w:w="8777"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81"/>
              <w:gridCol w:w="4381"/>
            </w:tblGrid>
            <w:tr w:rsidR="00BE0F49" w:rsidTr="00B72C24">
              <w:tc>
                <w:tcPr>
                  <w:tcW w:w="4381" w:type="dxa"/>
                </w:tcPr>
                <w:p w:rsidR="00BE0F49" w:rsidRPr="00B72C24" w:rsidRDefault="00BE0F49">
                  <w:pPr>
                    <w:pStyle w:val="Figure"/>
                    <w:rPr>
                      <w:rFonts w:ascii="Arial" w:hAnsi="Arial" w:cs="Arial"/>
                      <w:b/>
                      <w:sz w:val="20"/>
                    </w:rPr>
                  </w:pPr>
                  <w:r w:rsidRPr="00B72C24">
                    <w:rPr>
                      <w:rFonts w:ascii="Arial" w:hAnsi="Arial" w:cs="Arial"/>
                      <w:b/>
                      <w:sz w:val="20"/>
                    </w:rPr>
                    <w:t xml:space="preserve">Percentage </w:t>
                  </w:r>
                  <w:r w:rsidR="00CF692C" w:rsidRPr="00B72C24">
                    <w:rPr>
                      <w:rFonts w:ascii="Arial" w:hAnsi="Arial" w:cs="Arial"/>
                      <w:b/>
                      <w:sz w:val="20"/>
                    </w:rPr>
                    <w:t xml:space="preserve">of </w:t>
                  </w:r>
                  <w:proofErr w:type="spellStart"/>
                  <w:r w:rsidR="00596C5E" w:rsidRPr="00B72C24">
                    <w:rPr>
                      <w:rFonts w:ascii="Arial" w:hAnsi="Arial" w:cs="Arial"/>
                      <w:b/>
                      <w:sz w:val="20"/>
                    </w:rPr>
                    <w:t>Gini</w:t>
                  </w:r>
                  <w:proofErr w:type="spellEnd"/>
                  <w:r w:rsidR="00CF692C" w:rsidRPr="00B72C24">
                    <w:rPr>
                      <w:rFonts w:ascii="Arial" w:hAnsi="Arial" w:cs="Arial"/>
                      <w:b/>
                      <w:sz w:val="20"/>
                    </w:rPr>
                    <w:t xml:space="preserve"> attributable to between and within variation</w:t>
                  </w:r>
                </w:p>
              </w:tc>
              <w:tc>
                <w:tcPr>
                  <w:tcW w:w="4381" w:type="dxa"/>
                </w:tcPr>
                <w:p w:rsidR="00BE0F49" w:rsidRPr="00B72C24" w:rsidRDefault="00D17052" w:rsidP="00CF28D8">
                  <w:pPr>
                    <w:pStyle w:val="Figure"/>
                    <w:rPr>
                      <w:rFonts w:ascii="Arial" w:hAnsi="Arial" w:cs="Arial"/>
                      <w:sz w:val="20"/>
                    </w:rPr>
                  </w:pPr>
                  <w:r>
                    <w:rPr>
                      <w:rFonts w:ascii="Arial" w:hAnsi="Arial" w:cs="Arial"/>
                      <w:sz w:val="20"/>
                    </w:rPr>
                    <w:t xml:space="preserve"> </w:t>
                  </w:r>
                  <w:r w:rsidR="00BE0F49" w:rsidRPr="00B72C24">
                    <w:rPr>
                      <w:rFonts w:ascii="Arial" w:hAnsi="Arial" w:cs="Arial"/>
                      <w:sz w:val="20"/>
                    </w:rPr>
                    <w:t>‘</w:t>
                  </w:r>
                  <w:r w:rsidR="00BE0F49" w:rsidRPr="00B72C24">
                    <w:rPr>
                      <w:rFonts w:ascii="Arial" w:hAnsi="Arial" w:cs="Arial"/>
                      <w:b/>
                      <w:sz w:val="20"/>
                    </w:rPr>
                    <w:t xml:space="preserve">Between’ variation as a </w:t>
                  </w:r>
                  <w:r w:rsidR="008138DB" w:rsidRPr="00B72C24">
                    <w:rPr>
                      <w:rFonts w:ascii="Arial" w:hAnsi="Arial" w:cs="Arial"/>
                      <w:b/>
                      <w:sz w:val="20"/>
                    </w:rPr>
                    <w:t>percent</w:t>
                  </w:r>
                  <w:r w:rsidR="00CF28D8">
                    <w:rPr>
                      <w:rFonts w:ascii="Arial" w:hAnsi="Arial" w:cs="Arial"/>
                      <w:b/>
                      <w:sz w:val="20"/>
                    </w:rPr>
                    <w:t>age</w:t>
                  </w:r>
                  <w:r w:rsidR="00BE0F49" w:rsidRPr="00B72C24">
                    <w:rPr>
                      <w:rFonts w:ascii="Arial" w:hAnsi="Arial" w:cs="Arial"/>
                      <w:b/>
                      <w:sz w:val="20"/>
                    </w:rPr>
                    <w:t xml:space="preserve"> of various Generalized Entropy indices</w:t>
                  </w:r>
                </w:p>
              </w:tc>
            </w:tr>
            <w:tr w:rsidR="00BE0F49" w:rsidTr="00B72C24">
              <w:tc>
                <w:tcPr>
                  <w:tcW w:w="8762" w:type="dxa"/>
                  <w:gridSpan w:val="2"/>
                </w:tcPr>
                <w:p w:rsidR="00BE0F49" w:rsidRDefault="00BE0F49">
                  <w:pPr>
                    <w:pStyle w:val="Figure"/>
                  </w:pPr>
                  <w:r w:rsidRPr="000B51EC">
                    <w:rPr>
                      <w:rFonts w:ascii="Arial" w:hAnsi="Arial"/>
                      <w:i/>
                      <w:noProof/>
                      <w:sz w:val="20"/>
                    </w:rPr>
                    <w:t>Weekly labour force income</w:t>
                  </w:r>
                  <w:r w:rsidR="00557718">
                    <w:rPr>
                      <w:rFonts w:ascii="Arial" w:hAnsi="Arial"/>
                      <w:i/>
                      <w:noProof/>
                      <w:sz w:val="20"/>
                    </w:rPr>
                    <w:t>, 1988</w:t>
                  </w:r>
                  <w:r w:rsidR="00105A52">
                    <w:rPr>
                      <w:rFonts w:ascii="Arial" w:hAnsi="Arial"/>
                      <w:i/>
                      <w:noProof/>
                      <w:sz w:val="20"/>
                    </w:rPr>
                    <w:t>-89</w:t>
                  </w:r>
                  <w:r w:rsidR="00557718">
                    <w:rPr>
                      <w:rFonts w:ascii="Arial" w:hAnsi="Arial"/>
                      <w:i/>
                      <w:noProof/>
                      <w:sz w:val="20"/>
                    </w:rPr>
                    <w:t xml:space="preserve"> to 2009</w:t>
                  </w:r>
                  <w:r w:rsidR="00105A52">
                    <w:rPr>
                      <w:rFonts w:ascii="Arial" w:hAnsi="Arial"/>
                      <w:i/>
                      <w:noProof/>
                      <w:sz w:val="20"/>
                    </w:rPr>
                    <w:t>-10</w:t>
                  </w:r>
                </w:p>
              </w:tc>
            </w:tr>
            <w:tr w:rsidR="00BE0F49" w:rsidTr="00B72C24">
              <w:tc>
                <w:tcPr>
                  <w:tcW w:w="4381" w:type="dxa"/>
                </w:tcPr>
                <w:p w:rsidR="00BE0F49" w:rsidRDefault="00183956">
                  <w:pPr>
                    <w:pStyle w:val="Figure"/>
                  </w:pPr>
                  <w:r>
                    <w:rPr>
                      <w:noProof/>
                    </w:rPr>
                    <w:drawing>
                      <wp:inline distT="0" distB="0" distL="0" distR="0" wp14:anchorId="196E01BB" wp14:editId="2C452DA3">
                        <wp:extent cx="2691450" cy="2520000"/>
                        <wp:effectExtent l="0" t="0" r="0" b="0"/>
                        <wp:docPr id="39" name="Chart 39" descr="Top left panel depicts percentage of Gini coefficient estimate for labour earnings attributable to betwen and within group variation. More details can be found within text immediately before this image. " title="Figure 2.13 Decomposition of weekly income and wage by gende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c>
                <w:tcPr>
                  <w:tcW w:w="4381" w:type="dxa"/>
                </w:tcPr>
                <w:p w:rsidR="00BE0F49" w:rsidRDefault="004A6489">
                  <w:pPr>
                    <w:pStyle w:val="Figure"/>
                  </w:pPr>
                  <w:r>
                    <w:rPr>
                      <w:noProof/>
                    </w:rPr>
                    <mc:AlternateContent>
                      <mc:Choice Requires="wps">
                        <w:drawing>
                          <wp:anchor distT="0" distB="0" distL="114300" distR="114300" simplePos="0" relativeHeight="251659264" behindDoc="0" locked="0" layoutInCell="1" allowOverlap="1" wp14:anchorId="74F4A3B9" wp14:editId="6839E46B">
                            <wp:simplePos x="0" y="0"/>
                            <wp:positionH relativeFrom="column">
                              <wp:posOffset>2146135</wp:posOffset>
                            </wp:positionH>
                            <wp:positionV relativeFrom="paragraph">
                              <wp:posOffset>715010</wp:posOffset>
                            </wp:positionV>
                            <wp:extent cx="532737" cy="294198"/>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37" cy="294198"/>
                                    </a:xfrm>
                                    <a:prstGeom prst="rect">
                                      <a:avLst/>
                                    </a:prstGeom>
                                    <a:noFill/>
                                    <a:ln w="9525">
                                      <a:noFill/>
                                      <a:miter lim="800000"/>
                                      <a:headEnd/>
                                      <a:tailEnd/>
                                    </a:ln>
                                  </wps:spPr>
                                  <wps:txbx>
                                    <w:txbxContent>
                                      <w:p w:rsidR="00F804F8" w:rsidRPr="004A6489" w:rsidRDefault="00F804F8">
                                        <w:pPr>
                                          <w:rPr>
                                            <w:rFonts w:ascii="Arial" w:hAnsi="Arial" w:cs="Arial"/>
                                            <w:sz w:val="18"/>
                                            <w:szCs w:val="18"/>
                                          </w:rPr>
                                        </w:pPr>
                                        <w:r w:rsidRPr="004A6489">
                                          <w:rPr>
                                            <w:rFonts w:ascii="Arial" w:hAnsi="Arial" w:cs="Arial"/>
                                            <w:sz w:val="18"/>
                                            <w:szCs w:val="18"/>
                                          </w:rPr>
                                          <w:t>GE(1)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5" type="#_x0000_t202" style="position:absolute;left:0;text-align:left;margin-left:169pt;margin-top:56.3pt;width:41.95pt;height:2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" filled="f" stroked="f">
                            <v:textbox>
                              <w:txbxContent>
                                <w:p w:rsidR="00F804F8" w:rsidRPr="004A6489" w:rsidRDefault="00F804F8">
                                  <w:pPr>
                                    <w:rPr>
                                      <w:rFonts w:ascii="Arial" w:hAnsi="Arial" w:cs="Arial"/>
                                      <w:sz w:val="18"/>
                                      <w:szCs w:val="18"/>
                                    </w:rPr>
                                  </w:pPr>
                                  <w:r w:rsidRPr="004A6489">
                                    <w:rPr>
                                      <w:rFonts w:ascii="Arial" w:hAnsi="Arial" w:cs="Arial"/>
                                      <w:sz w:val="18"/>
                                      <w:szCs w:val="18"/>
                                    </w:rPr>
                                    <w:t>GE(1)</w:t>
                                  </w:r>
                                </w:p>
                              </w:txbxContent>
                            </v:textbox>
                          </v:shape>
                        </w:pict>
                      </mc:Fallback>
                    </mc:AlternateContent>
                  </w:r>
                  <w:r w:rsidR="00183956">
                    <w:rPr>
                      <w:noProof/>
                    </w:rPr>
                    <w:drawing>
                      <wp:inline distT="0" distB="0" distL="0" distR="0" wp14:anchorId="0FFCD296" wp14:editId="712785AD">
                        <wp:extent cx="2679589" cy="2520564"/>
                        <wp:effectExtent l="0" t="0" r="6985" b="0"/>
                        <wp:docPr id="36" name="Chart 36" descr="Top right panel shows ‘between’ variation as a per cent of various Generalized Entropy indices for labour earnings. More details can be found within text immediately before this image." title="Figure 2.13 Decomposition of weekly income and wage by gender"/>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r>
            <w:tr w:rsidR="00BE0F49" w:rsidTr="00B72C24">
              <w:tc>
                <w:tcPr>
                  <w:tcW w:w="8762" w:type="dxa"/>
                  <w:gridSpan w:val="2"/>
                </w:tcPr>
                <w:p w:rsidR="00BE0F49" w:rsidRDefault="00BE0F49" w:rsidP="00BE0F49">
                  <w:pPr>
                    <w:pStyle w:val="Figure"/>
                  </w:pPr>
                  <w:r w:rsidRPr="000B51EC">
                    <w:rPr>
                      <w:rFonts w:ascii="Arial" w:hAnsi="Arial"/>
                      <w:i/>
                      <w:noProof/>
                      <w:sz w:val="20"/>
                    </w:rPr>
                    <w:t>Hourly wage</w:t>
                  </w:r>
                  <w:r w:rsidR="00557718">
                    <w:rPr>
                      <w:rFonts w:ascii="Arial" w:hAnsi="Arial"/>
                      <w:i/>
                      <w:noProof/>
                      <w:sz w:val="20"/>
                    </w:rPr>
                    <w:t>, 1998</w:t>
                  </w:r>
                  <w:r w:rsidR="00105A52">
                    <w:rPr>
                      <w:rFonts w:ascii="Arial" w:hAnsi="Arial"/>
                      <w:i/>
                      <w:noProof/>
                      <w:sz w:val="20"/>
                    </w:rPr>
                    <w:t>-99</w:t>
                  </w:r>
                  <w:r w:rsidR="00557718">
                    <w:rPr>
                      <w:rFonts w:ascii="Arial" w:hAnsi="Arial"/>
                      <w:i/>
                      <w:noProof/>
                      <w:sz w:val="20"/>
                    </w:rPr>
                    <w:t xml:space="preserve"> to 2009</w:t>
                  </w:r>
                  <w:r w:rsidR="00105A52">
                    <w:rPr>
                      <w:rFonts w:ascii="Arial" w:hAnsi="Arial"/>
                      <w:i/>
                      <w:noProof/>
                      <w:sz w:val="20"/>
                    </w:rPr>
                    <w:t>-10</w:t>
                  </w:r>
                </w:p>
              </w:tc>
            </w:tr>
            <w:tr w:rsidR="00BE0F49" w:rsidTr="00B72C24">
              <w:tc>
                <w:tcPr>
                  <w:tcW w:w="4381" w:type="dxa"/>
                </w:tcPr>
                <w:p w:rsidR="00BE0F49" w:rsidRDefault="00183956">
                  <w:pPr>
                    <w:pStyle w:val="Figure"/>
                  </w:pPr>
                  <w:r>
                    <w:rPr>
                      <w:noProof/>
                    </w:rPr>
                    <w:drawing>
                      <wp:inline distT="0" distB="0" distL="0" distR="0" wp14:anchorId="14403F1A" wp14:editId="7FC188A8">
                        <wp:extent cx="2520000" cy="2520000"/>
                        <wp:effectExtent l="0" t="0" r="0" b="0"/>
                        <wp:docPr id="41" name="Chart 41" descr="Bottom left panel depicts percentage of Gini cofficient estimate for hourly wage attributable to betwen and within group variation. More details can be found within text immediately before this image. " title="Figure 2.13 Decomposition of weekly income and wage by gende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c>
              <w:tc>
                <w:tcPr>
                  <w:tcW w:w="4381" w:type="dxa"/>
                </w:tcPr>
                <w:p w:rsidR="00BE0F49" w:rsidRPr="00B269C0" w:rsidRDefault="00183956">
                  <w:pPr>
                    <w:pStyle w:val="Figure"/>
                    <w:rPr>
                      <w:rFonts w:ascii="Arial" w:hAnsi="Arial" w:cs="Arial"/>
                      <w:sz w:val="18"/>
                      <w:szCs w:val="18"/>
                    </w:rPr>
                  </w:pPr>
                  <w:r w:rsidRPr="00B269C0">
                    <w:rPr>
                      <w:rFonts w:ascii="Arial" w:hAnsi="Arial" w:cs="Arial"/>
                      <w:noProof/>
                      <w:sz w:val="18"/>
                      <w:szCs w:val="18"/>
                    </w:rPr>
                    <w:drawing>
                      <wp:inline distT="0" distB="0" distL="0" distR="0" wp14:anchorId="3EA4886C" wp14:editId="49126695">
                        <wp:extent cx="2600076" cy="2520563"/>
                        <wp:effectExtent l="0" t="0" r="0" b="0"/>
                        <wp:docPr id="40" name="Chart 40" descr="Bottom right panel shows ‘between’ variation as a per cent of various Generalized Entropy indices for hourly wages. More details can be found within text immediately before this image." title="Figure 2.13 Decomposition of weekly income and wage by gende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c>
            </w:tr>
          </w:tbl>
          <w:p w:rsidR="00BE0F49" w:rsidRDefault="00BE0F49">
            <w:pPr>
              <w:pStyle w:val="Figure"/>
            </w:pPr>
          </w:p>
        </w:tc>
      </w:tr>
    </w:tbl>
    <w:p w:rsidR="008138DB" w:rsidRDefault="00BE0F49" w:rsidP="000B51EC">
      <w:pPr>
        <w:pStyle w:val="Source"/>
      </w:pPr>
      <w:r>
        <w:rPr>
          <w:i/>
        </w:rPr>
        <w:t>Data source</w:t>
      </w:r>
      <w:r w:rsidRPr="00167F06">
        <w:t xml:space="preserve">: </w:t>
      </w:r>
      <w:r w:rsidR="00D75A5E">
        <w:t xml:space="preserve">Author estimates based on ABS (Household Expenditure Survey, cat. no. 6503.0, </w:t>
      </w:r>
      <w:proofErr w:type="spellStart"/>
      <w:r w:rsidR="00D75A5E">
        <w:t>confidentialised</w:t>
      </w:r>
      <w:proofErr w:type="spellEnd"/>
      <w:r w:rsidR="00D75A5E">
        <w:t xml:space="preserve"> unit record files)</w:t>
      </w:r>
      <w:r w:rsidR="00BD3FB7">
        <w:t>.</w:t>
      </w:r>
    </w:p>
    <w:p w:rsidR="00716C08" w:rsidRDefault="001C4E03" w:rsidP="001C4E03">
      <w:pPr>
        <w:pStyle w:val="BodyText"/>
      </w:pPr>
      <w:r w:rsidRPr="00BD3FB7">
        <w:t xml:space="preserve">Decomposition analysis </w:t>
      </w:r>
      <w:r w:rsidR="00D17052">
        <w:t>of</w:t>
      </w:r>
      <w:r w:rsidRPr="00BD3FB7">
        <w:t xml:space="preserve"> hourly wages suggests that differences between men and women account</w:t>
      </w:r>
      <w:r w:rsidR="00BB12DC" w:rsidRPr="00BD3FB7">
        <w:t>ed</w:t>
      </w:r>
      <w:r w:rsidRPr="00BD3FB7">
        <w:t xml:space="preserve"> for around 15 per cent of the </w:t>
      </w:r>
      <w:proofErr w:type="spellStart"/>
      <w:r w:rsidRPr="00BD3FB7">
        <w:t>Gini</w:t>
      </w:r>
      <w:proofErr w:type="spellEnd"/>
      <w:r w:rsidRPr="00BD3FB7">
        <w:t xml:space="preserve"> coefficient in 2009</w:t>
      </w:r>
      <w:r w:rsidR="006D43C2">
        <w:noBreakHyphen/>
      </w:r>
      <w:r w:rsidRPr="00BD3FB7">
        <w:t xml:space="preserve">10. In contrast to the decompositions of the </w:t>
      </w:r>
      <w:proofErr w:type="spellStart"/>
      <w:r w:rsidRPr="00BD3FB7">
        <w:t>Gini</w:t>
      </w:r>
      <w:proofErr w:type="spellEnd"/>
      <w:r w:rsidRPr="00BD3FB7">
        <w:t xml:space="preserve"> coefficient by employment type </w:t>
      </w:r>
      <w:r w:rsidR="00BB12DC" w:rsidRPr="00BD3FB7">
        <w:t>(section 2.1 above</w:t>
      </w:r>
      <w:r w:rsidRPr="00BD3FB7">
        <w:t xml:space="preserve">), the unexplained portion of the </w:t>
      </w:r>
      <w:proofErr w:type="spellStart"/>
      <w:r w:rsidRPr="00BD3FB7">
        <w:t>Gini</w:t>
      </w:r>
      <w:proofErr w:type="spellEnd"/>
      <w:r w:rsidRPr="00BD3FB7">
        <w:t xml:space="preserve"> coefficient is </w:t>
      </w:r>
      <w:r w:rsidR="00BB12DC" w:rsidRPr="00BD3FB7">
        <w:t xml:space="preserve">relatively </w:t>
      </w:r>
      <w:r w:rsidRPr="00BD3FB7">
        <w:t>h</w:t>
      </w:r>
      <w:r w:rsidR="00596C5E" w:rsidRPr="00BD3FB7">
        <w:t xml:space="preserve">igh (around 35 per cent of the </w:t>
      </w:r>
      <w:proofErr w:type="spellStart"/>
      <w:r w:rsidR="00596C5E" w:rsidRPr="00BD3FB7">
        <w:t>G</w:t>
      </w:r>
      <w:r w:rsidRPr="00BD3FB7">
        <w:t>ini</w:t>
      </w:r>
      <w:proofErr w:type="spellEnd"/>
      <w:r w:rsidRPr="00BD3FB7">
        <w:t xml:space="preserve"> </w:t>
      </w:r>
      <w:r w:rsidR="00F804F8">
        <w:t xml:space="preserve">coefficient </w:t>
      </w:r>
      <w:r w:rsidRPr="00BD3FB7">
        <w:t>cannot be decomposed</w:t>
      </w:r>
      <w:r w:rsidR="00082B80" w:rsidRPr="00BD3FB7">
        <w:t xml:space="preserve"> by gender</w:t>
      </w:r>
      <w:r w:rsidRPr="00BD3FB7">
        <w:t xml:space="preserve">). As an </w:t>
      </w:r>
      <w:r w:rsidRPr="00BD3FB7">
        <w:lastRenderedPageBreak/>
        <w:t>additional check, a range of other summary measures of income inequality (specifically,</w:t>
      </w:r>
      <w:r>
        <w:t xml:space="preserve"> generalized entropy indices — </w:t>
      </w:r>
      <w:r w:rsidR="00716C08">
        <w:t>a</w:t>
      </w:r>
      <w:r>
        <w:t>ppendix A) were also estimated and decomposed (figure 2.13</w:t>
      </w:r>
      <w:r w:rsidR="00AF7B3E">
        <w:t>,</w:t>
      </w:r>
      <w:r w:rsidR="00AF7B3E" w:rsidRPr="00AF7B3E">
        <w:t xml:space="preserve"> </w:t>
      </w:r>
      <w:r w:rsidR="00AF7B3E">
        <w:t>right panels</w:t>
      </w:r>
      <w:r>
        <w:t xml:space="preserve">). Generalized entropy indices suggest an even lower contribution at between 1 and 2.5 per cent. </w:t>
      </w:r>
    </w:p>
    <w:p w:rsidR="001C4E03" w:rsidRDefault="00716C08" w:rsidP="001C4E03">
      <w:pPr>
        <w:pStyle w:val="BodyText"/>
      </w:pPr>
      <w:r>
        <w:t>Although</w:t>
      </w:r>
      <w:r w:rsidR="001C4E03">
        <w:t xml:space="preserve"> decomposition of all indices suggests that the contribution of the average hourly wage gap between men and women to </w:t>
      </w:r>
      <w:r w:rsidR="00082B80">
        <w:t xml:space="preserve">labour income </w:t>
      </w:r>
      <w:r w:rsidR="001C4E03">
        <w:t xml:space="preserve">inequality </w:t>
      </w:r>
      <w:r>
        <w:t>ha</w:t>
      </w:r>
      <w:r w:rsidR="001C4E03">
        <w:t>s grow</w:t>
      </w:r>
      <w:r>
        <w:t>n</w:t>
      </w:r>
      <w:r w:rsidR="001C4E03">
        <w:t xml:space="preserve"> over time</w:t>
      </w:r>
      <w:r>
        <w:t>, it remains very small</w:t>
      </w:r>
      <w:r w:rsidR="001C4E03">
        <w:t>.</w:t>
      </w:r>
    </w:p>
    <w:p w:rsidR="001C4E03" w:rsidRDefault="00716C08" w:rsidP="001C4E03">
      <w:pPr>
        <w:pStyle w:val="BodyText"/>
      </w:pPr>
      <w:r>
        <w:t>T</w:t>
      </w:r>
      <w:r w:rsidR="001C4E03">
        <w:t xml:space="preserve">he decompositions suggest that the differences in </w:t>
      </w:r>
      <w:r w:rsidR="00082B80">
        <w:t>earnings</w:t>
      </w:r>
      <w:r w:rsidR="001C4E03">
        <w:t xml:space="preserve"> between women and other women (and men and other men) are the important driver of </w:t>
      </w:r>
      <w:r w:rsidR="00082B80">
        <w:t xml:space="preserve">labour </w:t>
      </w:r>
      <w:r w:rsidR="001C4E03">
        <w:t xml:space="preserve">income inequality, not average differences between the two groups. In 2009-10, income inequality among men was higher than </w:t>
      </w:r>
      <w:r>
        <w:t xml:space="preserve">among </w:t>
      </w:r>
      <w:r w:rsidR="001C4E03">
        <w:t>women for every category (table 2.1). Nevertheless, trends for both men and women mirror aggregate (combined) distributional trends— inequality</w:t>
      </w:r>
      <w:r w:rsidR="0086330E">
        <w:t xml:space="preserve"> was relatively stable for part-time workers, grew amongst full-</w:t>
      </w:r>
      <w:r w:rsidR="001C4E03">
        <w:t>time workers</w:t>
      </w:r>
      <w:r w:rsidR="000930F1">
        <w:t>,</w:t>
      </w:r>
      <w:r w:rsidR="001C4E03">
        <w:t xml:space="preserve"> and for labour earnings in general. This suggests that overall trends have been </w:t>
      </w:r>
      <w:r w:rsidR="007E2BC8">
        <w:t>a result of</w:t>
      </w:r>
      <w:r w:rsidR="001C4E03">
        <w:t xml:space="preserve"> factors that affect both men and women (albeit, the trends are more pronounced for men). In addition, inequality in hourly wages has </w:t>
      </w:r>
      <w:r w:rsidR="007E2BC8">
        <w:t xml:space="preserve">increased </w:t>
      </w:r>
      <w:r w:rsidR="001C4E03">
        <w:t>for men since 1998, but has been stable for women.</w:t>
      </w:r>
    </w:p>
    <w:p w:rsidR="000E24C7" w:rsidRDefault="000E24C7">
      <w:pPr>
        <w:pStyle w:val="TableTitle"/>
      </w:pPr>
      <w:r>
        <w:rPr>
          <w:b w:val="0"/>
        </w:rPr>
        <w:t>Table 2.</w:t>
      </w:r>
      <w:r>
        <w:rPr>
          <w:b w:val="0"/>
          <w:noProof/>
        </w:rPr>
        <w:t>1</w:t>
      </w:r>
      <w:r>
        <w:tab/>
      </w:r>
      <w:proofErr w:type="spellStart"/>
      <w:r>
        <w:t>Gini</w:t>
      </w:r>
      <w:proofErr w:type="spellEnd"/>
      <w:r>
        <w:t xml:space="preserve"> coefficient by gender and type of work</w:t>
      </w:r>
    </w:p>
    <w:p w:rsidR="000E24C7" w:rsidRDefault="000E24C7">
      <w:pPr>
        <w:pStyle w:val="Subtitle"/>
      </w:pPr>
    </w:p>
    <w:tbl>
      <w:tblPr>
        <w:tblW w:w="5000" w:type="pct"/>
        <w:tblCellMar>
          <w:left w:w="0" w:type="dxa"/>
          <w:right w:w="0" w:type="dxa"/>
        </w:tblCellMar>
        <w:tblLook w:val="0000" w:firstRow="0" w:lastRow="0" w:firstColumn="0" w:lastColumn="0" w:noHBand="0" w:noVBand="0"/>
      </w:tblPr>
      <w:tblGrid>
        <w:gridCol w:w="1137"/>
        <w:gridCol w:w="956"/>
        <w:gridCol w:w="956"/>
        <w:gridCol w:w="956"/>
        <w:gridCol w:w="958"/>
        <w:gridCol w:w="956"/>
        <w:gridCol w:w="956"/>
        <w:gridCol w:w="956"/>
        <w:gridCol w:w="958"/>
      </w:tblGrid>
      <w:tr w:rsidR="000E24C7" w:rsidTr="000E24C7">
        <w:tc>
          <w:tcPr>
            <w:tcW w:w="646" w:type="pct"/>
            <w:tcBorders>
              <w:top w:val="single" w:sz="6" w:space="0" w:color="auto"/>
              <w:bottom w:val="single" w:sz="6" w:space="0" w:color="auto"/>
            </w:tcBorders>
            <w:shd w:val="clear" w:color="auto" w:fill="auto"/>
          </w:tcPr>
          <w:p w:rsidR="000E24C7" w:rsidRDefault="000E24C7" w:rsidP="000E24C7">
            <w:pPr>
              <w:pStyle w:val="TableColumnHeading"/>
              <w:jc w:val="left"/>
            </w:pPr>
          </w:p>
        </w:tc>
        <w:tc>
          <w:tcPr>
            <w:tcW w:w="1088" w:type="pct"/>
            <w:gridSpan w:val="2"/>
            <w:tcBorders>
              <w:top w:val="single" w:sz="6" w:space="0" w:color="auto"/>
              <w:bottom w:val="single" w:sz="6" w:space="0" w:color="auto"/>
              <w:right w:val="single" w:sz="4" w:space="0" w:color="auto"/>
            </w:tcBorders>
            <w:shd w:val="clear" w:color="auto" w:fill="auto"/>
          </w:tcPr>
          <w:p w:rsidR="000E24C7" w:rsidRDefault="000E24C7" w:rsidP="000E24C7">
            <w:pPr>
              <w:pStyle w:val="TableColumnHeading"/>
            </w:pPr>
            <w:r>
              <w:t>Full-time workers</w:t>
            </w:r>
          </w:p>
        </w:tc>
        <w:tc>
          <w:tcPr>
            <w:tcW w:w="1089" w:type="pct"/>
            <w:gridSpan w:val="2"/>
            <w:tcBorders>
              <w:top w:val="single" w:sz="6" w:space="0" w:color="auto"/>
              <w:left w:val="single" w:sz="4" w:space="0" w:color="auto"/>
              <w:bottom w:val="single" w:sz="6" w:space="0" w:color="auto"/>
              <w:right w:val="single" w:sz="4" w:space="0" w:color="auto"/>
            </w:tcBorders>
            <w:shd w:val="clear" w:color="auto" w:fill="auto"/>
          </w:tcPr>
          <w:p w:rsidR="000E24C7" w:rsidRDefault="000E24C7" w:rsidP="000E24C7">
            <w:pPr>
              <w:pStyle w:val="TableColumnHeading"/>
            </w:pPr>
            <w:r>
              <w:t>Part-time workers</w:t>
            </w:r>
          </w:p>
        </w:tc>
        <w:tc>
          <w:tcPr>
            <w:tcW w:w="1088" w:type="pct"/>
            <w:gridSpan w:val="2"/>
            <w:tcBorders>
              <w:top w:val="single" w:sz="6" w:space="0" w:color="auto"/>
              <w:left w:val="single" w:sz="4" w:space="0" w:color="auto"/>
              <w:bottom w:val="single" w:sz="6" w:space="0" w:color="auto"/>
              <w:right w:val="single" w:sz="4" w:space="0" w:color="auto"/>
            </w:tcBorders>
            <w:shd w:val="clear" w:color="auto" w:fill="auto"/>
          </w:tcPr>
          <w:p w:rsidR="000E24C7" w:rsidRDefault="000E24C7" w:rsidP="000E24C7">
            <w:pPr>
              <w:pStyle w:val="TableColumnHeading"/>
            </w:pPr>
            <w:r>
              <w:t>Labour income</w:t>
            </w:r>
          </w:p>
        </w:tc>
        <w:tc>
          <w:tcPr>
            <w:tcW w:w="1089" w:type="pct"/>
            <w:gridSpan w:val="2"/>
            <w:tcBorders>
              <w:top w:val="single" w:sz="6" w:space="0" w:color="auto"/>
              <w:left w:val="single" w:sz="4" w:space="0" w:color="auto"/>
              <w:bottom w:val="single" w:sz="6" w:space="0" w:color="auto"/>
            </w:tcBorders>
            <w:shd w:val="clear" w:color="auto" w:fill="auto"/>
          </w:tcPr>
          <w:p w:rsidR="000E24C7" w:rsidRDefault="000E24C7" w:rsidP="000E24C7">
            <w:pPr>
              <w:pStyle w:val="TableColumnHeading"/>
              <w:ind w:right="28"/>
            </w:pPr>
            <w:r>
              <w:t>Hourly wages</w:t>
            </w:r>
          </w:p>
        </w:tc>
      </w:tr>
      <w:tr w:rsidR="000E24C7" w:rsidTr="000E24C7">
        <w:tc>
          <w:tcPr>
            <w:tcW w:w="646" w:type="pct"/>
            <w:tcBorders>
              <w:top w:val="single" w:sz="6" w:space="0" w:color="auto"/>
              <w:bottom w:val="single" w:sz="6" w:space="0" w:color="auto"/>
            </w:tcBorders>
            <w:shd w:val="clear" w:color="auto" w:fill="auto"/>
          </w:tcPr>
          <w:p w:rsidR="000E24C7" w:rsidRDefault="000E24C7" w:rsidP="000E24C7">
            <w:pPr>
              <w:pStyle w:val="TableColumnHeading"/>
              <w:jc w:val="left"/>
            </w:pPr>
          </w:p>
        </w:tc>
        <w:tc>
          <w:tcPr>
            <w:tcW w:w="544" w:type="pct"/>
            <w:tcBorders>
              <w:top w:val="single" w:sz="6" w:space="0" w:color="auto"/>
              <w:bottom w:val="single" w:sz="6" w:space="0" w:color="auto"/>
            </w:tcBorders>
            <w:shd w:val="clear" w:color="auto" w:fill="auto"/>
          </w:tcPr>
          <w:p w:rsidR="000E24C7" w:rsidRDefault="000E24C7" w:rsidP="000E24C7">
            <w:pPr>
              <w:pStyle w:val="TableColumnHeading"/>
            </w:pPr>
            <w:r>
              <w:t>Male</w:t>
            </w:r>
          </w:p>
        </w:tc>
        <w:tc>
          <w:tcPr>
            <w:tcW w:w="544" w:type="pct"/>
            <w:tcBorders>
              <w:top w:val="single" w:sz="6" w:space="0" w:color="auto"/>
              <w:bottom w:val="single" w:sz="6" w:space="0" w:color="auto"/>
              <w:right w:val="single" w:sz="4" w:space="0" w:color="auto"/>
            </w:tcBorders>
            <w:shd w:val="clear" w:color="auto" w:fill="auto"/>
          </w:tcPr>
          <w:p w:rsidR="000E24C7" w:rsidRDefault="000E24C7" w:rsidP="000E24C7">
            <w:pPr>
              <w:pStyle w:val="TableColumnHeading"/>
            </w:pPr>
            <w:r>
              <w:t>Female</w:t>
            </w:r>
          </w:p>
        </w:tc>
        <w:tc>
          <w:tcPr>
            <w:tcW w:w="544" w:type="pct"/>
            <w:tcBorders>
              <w:top w:val="single" w:sz="6" w:space="0" w:color="auto"/>
              <w:left w:val="single" w:sz="4" w:space="0" w:color="auto"/>
              <w:bottom w:val="single" w:sz="6" w:space="0" w:color="auto"/>
            </w:tcBorders>
            <w:shd w:val="clear" w:color="auto" w:fill="auto"/>
          </w:tcPr>
          <w:p w:rsidR="000E24C7" w:rsidRDefault="000E24C7" w:rsidP="000E24C7">
            <w:pPr>
              <w:pStyle w:val="TableColumnHeading"/>
            </w:pPr>
            <w:r>
              <w:t>Male</w:t>
            </w:r>
          </w:p>
        </w:tc>
        <w:tc>
          <w:tcPr>
            <w:tcW w:w="544" w:type="pct"/>
            <w:tcBorders>
              <w:top w:val="single" w:sz="6" w:space="0" w:color="auto"/>
              <w:bottom w:val="single" w:sz="6" w:space="0" w:color="auto"/>
              <w:right w:val="single" w:sz="4" w:space="0" w:color="auto"/>
            </w:tcBorders>
            <w:shd w:val="clear" w:color="auto" w:fill="auto"/>
          </w:tcPr>
          <w:p w:rsidR="000E24C7" w:rsidRDefault="000E24C7" w:rsidP="000E24C7">
            <w:pPr>
              <w:pStyle w:val="TableColumnHeading"/>
            </w:pPr>
            <w:r>
              <w:t>Female</w:t>
            </w:r>
          </w:p>
        </w:tc>
        <w:tc>
          <w:tcPr>
            <w:tcW w:w="544" w:type="pct"/>
            <w:tcBorders>
              <w:top w:val="single" w:sz="6" w:space="0" w:color="auto"/>
              <w:left w:val="single" w:sz="4" w:space="0" w:color="auto"/>
              <w:bottom w:val="single" w:sz="6" w:space="0" w:color="auto"/>
            </w:tcBorders>
            <w:shd w:val="clear" w:color="auto" w:fill="auto"/>
          </w:tcPr>
          <w:p w:rsidR="000E24C7" w:rsidRDefault="000E24C7" w:rsidP="000E24C7">
            <w:pPr>
              <w:pStyle w:val="TableColumnHeading"/>
            </w:pPr>
            <w:r>
              <w:t>Male</w:t>
            </w:r>
          </w:p>
        </w:tc>
        <w:tc>
          <w:tcPr>
            <w:tcW w:w="544" w:type="pct"/>
            <w:tcBorders>
              <w:top w:val="single" w:sz="6" w:space="0" w:color="auto"/>
              <w:bottom w:val="single" w:sz="6" w:space="0" w:color="auto"/>
              <w:right w:val="single" w:sz="4" w:space="0" w:color="auto"/>
            </w:tcBorders>
            <w:shd w:val="clear" w:color="auto" w:fill="auto"/>
          </w:tcPr>
          <w:p w:rsidR="000E24C7" w:rsidRDefault="000E24C7" w:rsidP="000E24C7">
            <w:pPr>
              <w:pStyle w:val="TableColumnHeading"/>
            </w:pPr>
            <w:r>
              <w:t>Female</w:t>
            </w:r>
          </w:p>
        </w:tc>
        <w:tc>
          <w:tcPr>
            <w:tcW w:w="544" w:type="pct"/>
            <w:tcBorders>
              <w:top w:val="single" w:sz="6" w:space="0" w:color="auto"/>
              <w:left w:val="single" w:sz="4" w:space="0" w:color="auto"/>
              <w:bottom w:val="single" w:sz="6" w:space="0" w:color="auto"/>
            </w:tcBorders>
            <w:shd w:val="clear" w:color="auto" w:fill="auto"/>
          </w:tcPr>
          <w:p w:rsidR="000E24C7" w:rsidRDefault="000E24C7" w:rsidP="000E24C7">
            <w:pPr>
              <w:pStyle w:val="TableColumnHeading"/>
            </w:pPr>
          </w:p>
        </w:tc>
        <w:tc>
          <w:tcPr>
            <w:tcW w:w="544" w:type="pct"/>
            <w:tcBorders>
              <w:top w:val="single" w:sz="6" w:space="0" w:color="auto"/>
              <w:bottom w:val="single" w:sz="6" w:space="0" w:color="auto"/>
            </w:tcBorders>
            <w:shd w:val="clear" w:color="auto" w:fill="auto"/>
          </w:tcPr>
          <w:p w:rsidR="000E24C7" w:rsidRDefault="000E24C7" w:rsidP="000E24C7">
            <w:pPr>
              <w:pStyle w:val="TableColumnHeading"/>
              <w:ind w:right="28"/>
            </w:pPr>
            <w:r>
              <w:t>Female</w:t>
            </w:r>
          </w:p>
        </w:tc>
      </w:tr>
      <w:tr w:rsidR="000E24C7" w:rsidTr="000E24C7">
        <w:tc>
          <w:tcPr>
            <w:tcW w:w="646" w:type="pct"/>
            <w:tcBorders>
              <w:top w:val="single" w:sz="6" w:space="0" w:color="auto"/>
            </w:tcBorders>
          </w:tcPr>
          <w:p w:rsidR="000E24C7" w:rsidRDefault="000E24C7" w:rsidP="000E24C7">
            <w:pPr>
              <w:pStyle w:val="TableUnitsRow"/>
              <w:jc w:val="left"/>
            </w:pPr>
          </w:p>
        </w:tc>
        <w:tc>
          <w:tcPr>
            <w:tcW w:w="544" w:type="pct"/>
            <w:tcBorders>
              <w:top w:val="single" w:sz="6" w:space="0" w:color="auto"/>
            </w:tcBorders>
          </w:tcPr>
          <w:p w:rsidR="000E24C7" w:rsidRDefault="000E24C7" w:rsidP="000E24C7">
            <w:pPr>
              <w:pStyle w:val="TableUnitsRow"/>
            </w:pPr>
          </w:p>
        </w:tc>
        <w:tc>
          <w:tcPr>
            <w:tcW w:w="544" w:type="pct"/>
            <w:tcBorders>
              <w:top w:val="single" w:sz="6" w:space="0" w:color="auto"/>
              <w:right w:val="single" w:sz="4" w:space="0" w:color="auto"/>
            </w:tcBorders>
          </w:tcPr>
          <w:p w:rsidR="000E24C7" w:rsidRDefault="000E24C7" w:rsidP="000E24C7">
            <w:pPr>
              <w:pStyle w:val="TableUnitsRow"/>
            </w:pPr>
          </w:p>
        </w:tc>
        <w:tc>
          <w:tcPr>
            <w:tcW w:w="544" w:type="pct"/>
            <w:tcBorders>
              <w:top w:val="single" w:sz="6" w:space="0" w:color="auto"/>
              <w:left w:val="single" w:sz="4" w:space="0" w:color="auto"/>
            </w:tcBorders>
          </w:tcPr>
          <w:p w:rsidR="000E24C7" w:rsidRDefault="000E24C7" w:rsidP="000E24C7">
            <w:pPr>
              <w:pStyle w:val="TableUnitsRow"/>
            </w:pPr>
          </w:p>
        </w:tc>
        <w:tc>
          <w:tcPr>
            <w:tcW w:w="544" w:type="pct"/>
            <w:tcBorders>
              <w:top w:val="single" w:sz="6" w:space="0" w:color="auto"/>
              <w:right w:val="single" w:sz="4" w:space="0" w:color="auto"/>
            </w:tcBorders>
          </w:tcPr>
          <w:p w:rsidR="000E24C7" w:rsidRDefault="000E24C7" w:rsidP="000E24C7">
            <w:pPr>
              <w:pStyle w:val="TableUnitsRow"/>
            </w:pPr>
          </w:p>
        </w:tc>
        <w:tc>
          <w:tcPr>
            <w:tcW w:w="544" w:type="pct"/>
            <w:tcBorders>
              <w:top w:val="single" w:sz="6" w:space="0" w:color="auto"/>
              <w:left w:val="single" w:sz="4" w:space="0" w:color="auto"/>
            </w:tcBorders>
          </w:tcPr>
          <w:p w:rsidR="000E24C7" w:rsidRDefault="000E24C7" w:rsidP="000E24C7">
            <w:pPr>
              <w:pStyle w:val="TableUnitsRow"/>
            </w:pPr>
          </w:p>
        </w:tc>
        <w:tc>
          <w:tcPr>
            <w:tcW w:w="544" w:type="pct"/>
            <w:tcBorders>
              <w:top w:val="single" w:sz="6" w:space="0" w:color="auto"/>
              <w:right w:val="single" w:sz="4" w:space="0" w:color="auto"/>
            </w:tcBorders>
          </w:tcPr>
          <w:p w:rsidR="000E24C7" w:rsidRDefault="000E24C7" w:rsidP="000E24C7">
            <w:pPr>
              <w:pStyle w:val="TableUnitsRow"/>
            </w:pPr>
          </w:p>
        </w:tc>
        <w:tc>
          <w:tcPr>
            <w:tcW w:w="544" w:type="pct"/>
            <w:tcBorders>
              <w:top w:val="single" w:sz="6" w:space="0" w:color="auto"/>
              <w:left w:val="single" w:sz="4" w:space="0" w:color="auto"/>
            </w:tcBorders>
          </w:tcPr>
          <w:p w:rsidR="000E24C7" w:rsidRDefault="000E24C7" w:rsidP="000E24C7">
            <w:pPr>
              <w:pStyle w:val="TableUnitsRow"/>
            </w:pPr>
          </w:p>
        </w:tc>
        <w:tc>
          <w:tcPr>
            <w:tcW w:w="544" w:type="pct"/>
            <w:tcBorders>
              <w:top w:val="single" w:sz="6" w:space="0" w:color="auto"/>
            </w:tcBorders>
          </w:tcPr>
          <w:p w:rsidR="000E24C7" w:rsidRDefault="000E24C7" w:rsidP="000E24C7">
            <w:pPr>
              <w:pStyle w:val="TableUnitsRow"/>
              <w:ind w:right="28"/>
            </w:pPr>
          </w:p>
        </w:tc>
      </w:tr>
      <w:tr w:rsidR="000E24C7" w:rsidTr="000E24C7">
        <w:tc>
          <w:tcPr>
            <w:tcW w:w="646" w:type="pct"/>
          </w:tcPr>
          <w:p w:rsidR="000E24C7" w:rsidRDefault="000E24C7" w:rsidP="00FE6BD8">
            <w:pPr>
              <w:pStyle w:val="TableBodyText"/>
              <w:jc w:val="left"/>
            </w:pPr>
            <w:r>
              <w:t>1988-89</w:t>
            </w:r>
          </w:p>
        </w:tc>
        <w:tc>
          <w:tcPr>
            <w:tcW w:w="544" w:type="pct"/>
          </w:tcPr>
          <w:p w:rsidR="000E24C7" w:rsidRDefault="000E24C7" w:rsidP="00FE6BD8">
            <w:pPr>
              <w:pStyle w:val="TableBodyText"/>
            </w:pPr>
            <w:r>
              <w:t>0.25</w:t>
            </w:r>
          </w:p>
        </w:tc>
        <w:tc>
          <w:tcPr>
            <w:tcW w:w="544" w:type="pct"/>
            <w:tcBorders>
              <w:right w:val="single" w:sz="4" w:space="0" w:color="auto"/>
            </w:tcBorders>
            <w:vAlign w:val="bottom"/>
          </w:tcPr>
          <w:p w:rsidR="000E24C7" w:rsidRPr="008138DB" w:rsidRDefault="000E24C7" w:rsidP="00FE6BD8">
            <w:pPr>
              <w:pStyle w:val="TableBodyText"/>
            </w:pPr>
            <w:r w:rsidRPr="008138DB">
              <w:t>0.21</w:t>
            </w:r>
          </w:p>
        </w:tc>
        <w:tc>
          <w:tcPr>
            <w:tcW w:w="544" w:type="pct"/>
            <w:tcBorders>
              <w:left w:val="single" w:sz="4" w:space="0" w:color="auto"/>
            </w:tcBorders>
            <w:vAlign w:val="bottom"/>
          </w:tcPr>
          <w:p w:rsidR="000E24C7" w:rsidRPr="008138DB" w:rsidRDefault="000E24C7" w:rsidP="00FE6BD8">
            <w:pPr>
              <w:pStyle w:val="TableBodyText"/>
            </w:pPr>
            <w:r w:rsidRPr="008138DB">
              <w:t>0.51</w:t>
            </w:r>
          </w:p>
        </w:tc>
        <w:tc>
          <w:tcPr>
            <w:tcW w:w="544" w:type="pct"/>
            <w:tcBorders>
              <w:right w:val="single" w:sz="4" w:space="0" w:color="auto"/>
            </w:tcBorders>
            <w:vAlign w:val="bottom"/>
          </w:tcPr>
          <w:p w:rsidR="000E24C7" w:rsidRPr="008138DB" w:rsidRDefault="000E24C7" w:rsidP="00FE6BD8">
            <w:pPr>
              <w:pStyle w:val="TableBodyText"/>
            </w:pPr>
            <w:r w:rsidRPr="008138DB">
              <w:t>0.38</w:t>
            </w:r>
          </w:p>
        </w:tc>
        <w:tc>
          <w:tcPr>
            <w:tcW w:w="544" w:type="pct"/>
            <w:tcBorders>
              <w:left w:val="single" w:sz="4" w:space="0" w:color="auto"/>
            </w:tcBorders>
            <w:vAlign w:val="bottom"/>
          </w:tcPr>
          <w:p w:rsidR="000E24C7" w:rsidRPr="008138DB" w:rsidRDefault="000E24C7" w:rsidP="00FE6BD8">
            <w:pPr>
              <w:pStyle w:val="TableBodyText"/>
            </w:pPr>
            <w:r w:rsidRPr="008138DB">
              <w:t>0.32</w:t>
            </w:r>
          </w:p>
        </w:tc>
        <w:tc>
          <w:tcPr>
            <w:tcW w:w="544" w:type="pct"/>
            <w:tcBorders>
              <w:right w:val="single" w:sz="4" w:space="0" w:color="auto"/>
            </w:tcBorders>
            <w:vAlign w:val="bottom"/>
          </w:tcPr>
          <w:p w:rsidR="000E24C7" w:rsidRPr="008138DB" w:rsidRDefault="000E24C7" w:rsidP="00FE6BD8">
            <w:pPr>
              <w:pStyle w:val="TableBodyText"/>
            </w:pPr>
            <w:r w:rsidRPr="008138DB">
              <w:t>0.35</w:t>
            </w:r>
          </w:p>
        </w:tc>
        <w:tc>
          <w:tcPr>
            <w:tcW w:w="544" w:type="pct"/>
            <w:tcBorders>
              <w:left w:val="single" w:sz="4" w:space="0" w:color="auto"/>
            </w:tcBorders>
          </w:tcPr>
          <w:p w:rsidR="000E24C7" w:rsidRDefault="000E24C7" w:rsidP="00FE6BD8">
            <w:pPr>
              <w:pStyle w:val="TableBodyText"/>
            </w:pPr>
          </w:p>
        </w:tc>
        <w:tc>
          <w:tcPr>
            <w:tcW w:w="544" w:type="pct"/>
          </w:tcPr>
          <w:p w:rsidR="000E24C7" w:rsidRDefault="000E24C7" w:rsidP="00FE6BD8">
            <w:pPr>
              <w:pStyle w:val="TableBodyText"/>
              <w:ind w:right="28"/>
            </w:pPr>
          </w:p>
        </w:tc>
      </w:tr>
      <w:tr w:rsidR="000E24C7" w:rsidTr="000E24C7">
        <w:tc>
          <w:tcPr>
            <w:tcW w:w="646" w:type="pct"/>
            <w:shd w:val="clear" w:color="auto" w:fill="auto"/>
          </w:tcPr>
          <w:p w:rsidR="000E24C7" w:rsidRDefault="000E24C7" w:rsidP="00FE6BD8">
            <w:pPr>
              <w:pStyle w:val="TableBodyText"/>
              <w:jc w:val="left"/>
            </w:pPr>
            <w:r>
              <w:t>1993-94</w:t>
            </w:r>
          </w:p>
        </w:tc>
        <w:tc>
          <w:tcPr>
            <w:tcW w:w="544" w:type="pct"/>
            <w:shd w:val="clear" w:color="auto" w:fill="auto"/>
            <w:vAlign w:val="bottom"/>
          </w:tcPr>
          <w:p w:rsidR="000E24C7" w:rsidRPr="008138DB" w:rsidRDefault="000E24C7" w:rsidP="00FE6BD8">
            <w:pPr>
              <w:pStyle w:val="TableBodyText"/>
            </w:pPr>
            <w:r w:rsidRPr="008138DB">
              <w:t>0.26</w:t>
            </w:r>
          </w:p>
        </w:tc>
        <w:tc>
          <w:tcPr>
            <w:tcW w:w="544" w:type="pct"/>
            <w:tcBorders>
              <w:right w:val="single" w:sz="4" w:space="0" w:color="auto"/>
            </w:tcBorders>
            <w:shd w:val="clear" w:color="auto" w:fill="auto"/>
            <w:vAlign w:val="bottom"/>
          </w:tcPr>
          <w:p w:rsidR="000E24C7" w:rsidRPr="008138DB" w:rsidRDefault="000E24C7" w:rsidP="00FE6BD8">
            <w:pPr>
              <w:pStyle w:val="TableBodyText"/>
            </w:pPr>
            <w:r w:rsidRPr="008138DB">
              <w:t>0.21</w:t>
            </w:r>
          </w:p>
        </w:tc>
        <w:tc>
          <w:tcPr>
            <w:tcW w:w="544" w:type="pct"/>
            <w:tcBorders>
              <w:left w:val="single" w:sz="4" w:space="0" w:color="auto"/>
            </w:tcBorders>
            <w:shd w:val="clear" w:color="auto" w:fill="auto"/>
            <w:vAlign w:val="bottom"/>
          </w:tcPr>
          <w:p w:rsidR="000E24C7" w:rsidRPr="008138DB" w:rsidRDefault="000E24C7" w:rsidP="00FE6BD8">
            <w:pPr>
              <w:pStyle w:val="TableBodyText"/>
            </w:pPr>
            <w:r w:rsidRPr="008138DB">
              <w:t>0.52</w:t>
            </w:r>
          </w:p>
        </w:tc>
        <w:tc>
          <w:tcPr>
            <w:tcW w:w="544" w:type="pct"/>
            <w:tcBorders>
              <w:right w:val="single" w:sz="4" w:space="0" w:color="auto"/>
            </w:tcBorders>
            <w:shd w:val="clear" w:color="auto" w:fill="auto"/>
            <w:vAlign w:val="bottom"/>
          </w:tcPr>
          <w:p w:rsidR="000E24C7" w:rsidRPr="008138DB" w:rsidRDefault="000E24C7" w:rsidP="00FE6BD8">
            <w:pPr>
              <w:pStyle w:val="TableBodyText"/>
            </w:pPr>
            <w:r w:rsidRPr="008138DB">
              <w:t>0.39</w:t>
            </w:r>
          </w:p>
        </w:tc>
        <w:tc>
          <w:tcPr>
            <w:tcW w:w="544" w:type="pct"/>
            <w:tcBorders>
              <w:left w:val="single" w:sz="4" w:space="0" w:color="auto"/>
            </w:tcBorders>
            <w:shd w:val="clear" w:color="auto" w:fill="auto"/>
            <w:vAlign w:val="bottom"/>
          </w:tcPr>
          <w:p w:rsidR="000E24C7" w:rsidRPr="008138DB" w:rsidRDefault="000E24C7" w:rsidP="00FE6BD8">
            <w:pPr>
              <w:pStyle w:val="TableBodyText"/>
            </w:pPr>
            <w:r w:rsidRPr="008138DB">
              <w:t>0.36</w:t>
            </w:r>
          </w:p>
        </w:tc>
        <w:tc>
          <w:tcPr>
            <w:tcW w:w="544" w:type="pct"/>
            <w:tcBorders>
              <w:right w:val="single" w:sz="4" w:space="0" w:color="auto"/>
            </w:tcBorders>
            <w:shd w:val="clear" w:color="auto" w:fill="auto"/>
            <w:vAlign w:val="bottom"/>
          </w:tcPr>
          <w:p w:rsidR="000E24C7" w:rsidRPr="008138DB" w:rsidRDefault="000E24C7" w:rsidP="00FE6BD8">
            <w:pPr>
              <w:pStyle w:val="TableBodyText"/>
            </w:pPr>
            <w:r w:rsidRPr="008138DB">
              <w:t>0.39</w:t>
            </w:r>
          </w:p>
        </w:tc>
        <w:tc>
          <w:tcPr>
            <w:tcW w:w="544" w:type="pct"/>
            <w:tcBorders>
              <w:left w:val="single" w:sz="4" w:space="0" w:color="auto"/>
            </w:tcBorders>
            <w:shd w:val="clear" w:color="auto" w:fill="auto"/>
            <w:vAlign w:val="bottom"/>
          </w:tcPr>
          <w:p w:rsidR="000E24C7" w:rsidRPr="008138DB" w:rsidRDefault="000E24C7" w:rsidP="00FE6BD8">
            <w:pPr>
              <w:pStyle w:val="TableBodyText"/>
            </w:pPr>
          </w:p>
        </w:tc>
        <w:tc>
          <w:tcPr>
            <w:tcW w:w="544" w:type="pct"/>
            <w:shd w:val="clear" w:color="auto" w:fill="auto"/>
            <w:vAlign w:val="bottom"/>
          </w:tcPr>
          <w:p w:rsidR="000E24C7" w:rsidRPr="008138DB" w:rsidRDefault="000E24C7" w:rsidP="00FE6BD8">
            <w:pPr>
              <w:pStyle w:val="TableBodyText"/>
            </w:pPr>
          </w:p>
        </w:tc>
      </w:tr>
      <w:tr w:rsidR="000E24C7" w:rsidTr="000E24C7">
        <w:tc>
          <w:tcPr>
            <w:tcW w:w="646" w:type="pct"/>
            <w:shd w:val="clear" w:color="auto" w:fill="auto"/>
          </w:tcPr>
          <w:p w:rsidR="000E24C7" w:rsidRDefault="000E24C7" w:rsidP="00FE6BD8">
            <w:pPr>
              <w:pStyle w:val="TableBodyText"/>
              <w:jc w:val="left"/>
            </w:pPr>
            <w:r>
              <w:t>1998-99</w:t>
            </w:r>
          </w:p>
        </w:tc>
        <w:tc>
          <w:tcPr>
            <w:tcW w:w="544" w:type="pct"/>
            <w:shd w:val="clear" w:color="auto" w:fill="auto"/>
            <w:vAlign w:val="bottom"/>
          </w:tcPr>
          <w:p w:rsidR="000E24C7" w:rsidRPr="008138DB" w:rsidRDefault="000E24C7" w:rsidP="00FE6BD8">
            <w:pPr>
              <w:pStyle w:val="TableBodyText"/>
            </w:pPr>
            <w:r w:rsidRPr="008138DB">
              <w:t>0.28</w:t>
            </w:r>
          </w:p>
        </w:tc>
        <w:tc>
          <w:tcPr>
            <w:tcW w:w="544" w:type="pct"/>
            <w:tcBorders>
              <w:right w:val="single" w:sz="4" w:space="0" w:color="auto"/>
            </w:tcBorders>
            <w:shd w:val="clear" w:color="auto" w:fill="auto"/>
            <w:vAlign w:val="bottom"/>
          </w:tcPr>
          <w:p w:rsidR="000E24C7" w:rsidRPr="008138DB" w:rsidRDefault="000E24C7" w:rsidP="00FE6BD8">
            <w:pPr>
              <w:pStyle w:val="TableBodyText"/>
            </w:pPr>
            <w:r w:rsidRPr="008138DB">
              <w:t>0.22</w:t>
            </w:r>
          </w:p>
        </w:tc>
        <w:tc>
          <w:tcPr>
            <w:tcW w:w="544" w:type="pct"/>
            <w:tcBorders>
              <w:left w:val="single" w:sz="4" w:space="0" w:color="auto"/>
            </w:tcBorders>
            <w:shd w:val="clear" w:color="auto" w:fill="auto"/>
            <w:vAlign w:val="bottom"/>
          </w:tcPr>
          <w:p w:rsidR="000E24C7" w:rsidRPr="008138DB" w:rsidRDefault="000E24C7" w:rsidP="00FE6BD8">
            <w:pPr>
              <w:pStyle w:val="TableBodyText"/>
            </w:pPr>
            <w:r w:rsidRPr="008138DB">
              <w:t>0.47</w:t>
            </w:r>
          </w:p>
        </w:tc>
        <w:tc>
          <w:tcPr>
            <w:tcW w:w="544" w:type="pct"/>
            <w:tcBorders>
              <w:right w:val="single" w:sz="4" w:space="0" w:color="auto"/>
            </w:tcBorders>
            <w:shd w:val="clear" w:color="auto" w:fill="auto"/>
            <w:vAlign w:val="bottom"/>
          </w:tcPr>
          <w:p w:rsidR="000E24C7" w:rsidRPr="008138DB" w:rsidRDefault="000E24C7" w:rsidP="00FE6BD8">
            <w:pPr>
              <w:pStyle w:val="TableBodyText"/>
            </w:pPr>
            <w:r w:rsidRPr="008138DB">
              <w:t>0.39</w:t>
            </w:r>
          </w:p>
        </w:tc>
        <w:tc>
          <w:tcPr>
            <w:tcW w:w="544" w:type="pct"/>
            <w:tcBorders>
              <w:left w:val="single" w:sz="4" w:space="0" w:color="auto"/>
            </w:tcBorders>
            <w:shd w:val="clear" w:color="auto" w:fill="auto"/>
            <w:vAlign w:val="bottom"/>
          </w:tcPr>
          <w:p w:rsidR="000E24C7" w:rsidRPr="008138DB" w:rsidRDefault="000E24C7" w:rsidP="00FE6BD8">
            <w:pPr>
              <w:pStyle w:val="TableBodyText"/>
            </w:pPr>
            <w:r w:rsidRPr="008138DB">
              <w:t>0.38</w:t>
            </w:r>
          </w:p>
        </w:tc>
        <w:tc>
          <w:tcPr>
            <w:tcW w:w="544" w:type="pct"/>
            <w:tcBorders>
              <w:right w:val="single" w:sz="4" w:space="0" w:color="auto"/>
            </w:tcBorders>
            <w:shd w:val="clear" w:color="auto" w:fill="auto"/>
            <w:vAlign w:val="bottom"/>
          </w:tcPr>
          <w:p w:rsidR="000E24C7" w:rsidRPr="008138DB" w:rsidRDefault="000E24C7" w:rsidP="00FE6BD8">
            <w:pPr>
              <w:pStyle w:val="TableBodyText"/>
            </w:pPr>
            <w:r w:rsidRPr="008138DB">
              <w:t>0.38</w:t>
            </w:r>
          </w:p>
        </w:tc>
        <w:tc>
          <w:tcPr>
            <w:tcW w:w="544" w:type="pct"/>
            <w:tcBorders>
              <w:left w:val="single" w:sz="4" w:space="0" w:color="auto"/>
            </w:tcBorders>
            <w:shd w:val="clear" w:color="auto" w:fill="auto"/>
            <w:vAlign w:val="bottom"/>
          </w:tcPr>
          <w:p w:rsidR="000E24C7" w:rsidRPr="008138DB" w:rsidRDefault="000E24C7" w:rsidP="00FE6BD8">
            <w:pPr>
              <w:pStyle w:val="TableBodyText"/>
            </w:pPr>
            <w:r w:rsidRPr="008138DB">
              <w:t>0.29</w:t>
            </w:r>
          </w:p>
        </w:tc>
        <w:tc>
          <w:tcPr>
            <w:tcW w:w="544" w:type="pct"/>
            <w:shd w:val="clear" w:color="auto" w:fill="auto"/>
            <w:vAlign w:val="bottom"/>
          </w:tcPr>
          <w:p w:rsidR="000E24C7" w:rsidRPr="008138DB" w:rsidRDefault="000E24C7" w:rsidP="00FE6BD8">
            <w:pPr>
              <w:pStyle w:val="TableBodyText"/>
            </w:pPr>
            <w:r w:rsidRPr="008138DB">
              <w:t>0.27</w:t>
            </w:r>
          </w:p>
        </w:tc>
      </w:tr>
      <w:tr w:rsidR="000E24C7" w:rsidTr="000E24C7">
        <w:tc>
          <w:tcPr>
            <w:tcW w:w="646" w:type="pct"/>
            <w:shd w:val="clear" w:color="auto" w:fill="auto"/>
          </w:tcPr>
          <w:p w:rsidR="000E24C7" w:rsidRDefault="000E24C7" w:rsidP="00FE6BD8">
            <w:pPr>
              <w:pStyle w:val="TableBodyText"/>
              <w:jc w:val="left"/>
            </w:pPr>
            <w:r>
              <w:t>2003-04</w:t>
            </w:r>
          </w:p>
        </w:tc>
        <w:tc>
          <w:tcPr>
            <w:tcW w:w="544" w:type="pct"/>
            <w:shd w:val="clear" w:color="auto" w:fill="auto"/>
            <w:vAlign w:val="bottom"/>
          </w:tcPr>
          <w:p w:rsidR="000E24C7" w:rsidRPr="008138DB" w:rsidRDefault="000E24C7" w:rsidP="00FE6BD8">
            <w:pPr>
              <w:pStyle w:val="TableBodyText"/>
            </w:pPr>
            <w:r w:rsidRPr="008138DB">
              <w:t>0.29</w:t>
            </w:r>
          </w:p>
        </w:tc>
        <w:tc>
          <w:tcPr>
            <w:tcW w:w="544" w:type="pct"/>
            <w:tcBorders>
              <w:right w:val="single" w:sz="4" w:space="0" w:color="auto"/>
            </w:tcBorders>
            <w:shd w:val="clear" w:color="auto" w:fill="auto"/>
            <w:vAlign w:val="bottom"/>
          </w:tcPr>
          <w:p w:rsidR="000E24C7" w:rsidRPr="008138DB" w:rsidRDefault="000E24C7" w:rsidP="00FE6BD8">
            <w:pPr>
              <w:pStyle w:val="TableBodyText"/>
            </w:pPr>
            <w:r w:rsidRPr="008138DB">
              <w:t>0.23</w:t>
            </w:r>
          </w:p>
        </w:tc>
        <w:tc>
          <w:tcPr>
            <w:tcW w:w="544" w:type="pct"/>
            <w:tcBorders>
              <w:left w:val="single" w:sz="4" w:space="0" w:color="auto"/>
            </w:tcBorders>
            <w:shd w:val="clear" w:color="auto" w:fill="auto"/>
            <w:vAlign w:val="bottom"/>
          </w:tcPr>
          <w:p w:rsidR="000E24C7" w:rsidRPr="008138DB" w:rsidRDefault="000E24C7" w:rsidP="00FE6BD8">
            <w:pPr>
              <w:pStyle w:val="TableBodyText"/>
            </w:pPr>
            <w:r w:rsidRPr="008138DB">
              <w:t>0.48</w:t>
            </w:r>
          </w:p>
        </w:tc>
        <w:tc>
          <w:tcPr>
            <w:tcW w:w="544" w:type="pct"/>
            <w:tcBorders>
              <w:right w:val="single" w:sz="4" w:space="0" w:color="auto"/>
            </w:tcBorders>
            <w:shd w:val="clear" w:color="auto" w:fill="auto"/>
            <w:vAlign w:val="bottom"/>
          </w:tcPr>
          <w:p w:rsidR="000E24C7" w:rsidRPr="008138DB" w:rsidRDefault="000E24C7" w:rsidP="00FE6BD8">
            <w:pPr>
              <w:pStyle w:val="TableBodyText"/>
            </w:pPr>
            <w:r w:rsidRPr="008138DB">
              <w:t>0.37</w:t>
            </w:r>
          </w:p>
        </w:tc>
        <w:tc>
          <w:tcPr>
            <w:tcW w:w="544" w:type="pct"/>
            <w:tcBorders>
              <w:left w:val="single" w:sz="4" w:space="0" w:color="auto"/>
            </w:tcBorders>
            <w:shd w:val="clear" w:color="auto" w:fill="auto"/>
            <w:vAlign w:val="bottom"/>
          </w:tcPr>
          <w:p w:rsidR="000E24C7" w:rsidRPr="008138DB" w:rsidRDefault="000E24C7" w:rsidP="00FE6BD8">
            <w:pPr>
              <w:pStyle w:val="TableBodyText"/>
            </w:pPr>
            <w:r w:rsidRPr="008138DB">
              <w:t>0.38</w:t>
            </w:r>
          </w:p>
        </w:tc>
        <w:tc>
          <w:tcPr>
            <w:tcW w:w="544" w:type="pct"/>
            <w:tcBorders>
              <w:right w:val="single" w:sz="4" w:space="0" w:color="auto"/>
            </w:tcBorders>
            <w:shd w:val="clear" w:color="auto" w:fill="auto"/>
            <w:vAlign w:val="bottom"/>
          </w:tcPr>
          <w:p w:rsidR="000E24C7" w:rsidRPr="008138DB" w:rsidRDefault="000E24C7" w:rsidP="00FE6BD8">
            <w:pPr>
              <w:pStyle w:val="TableBodyText"/>
            </w:pPr>
            <w:r w:rsidRPr="008138DB">
              <w:t>0.37</w:t>
            </w:r>
          </w:p>
        </w:tc>
        <w:tc>
          <w:tcPr>
            <w:tcW w:w="544" w:type="pct"/>
            <w:tcBorders>
              <w:left w:val="single" w:sz="4" w:space="0" w:color="auto"/>
            </w:tcBorders>
            <w:shd w:val="clear" w:color="auto" w:fill="auto"/>
            <w:vAlign w:val="bottom"/>
          </w:tcPr>
          <w:p w:rsidR="000E24C7" w:rsidRPr="008138DB" w:rsidRDefault="000E24C7" w:rsidP="00FE6BD8">
            <w:pPr>
              <w:pStyle w:val="TableBodyText"/>
            </w:pPr>
            <w:r w:rsidRPr="008138DB">
              <w:t>0.31</w:t>
            </w:r>
          </w:p>
        </w:tc>
        <w:tc>
          <w:tcPr>
            <w:tcW w:w="544" w:type="pct"/>
            <w:shd w:val="clear" w:color="auto" w:fill="auto"/>
            <w:vAlign w:val="bottom"/>
          </w:tcPr>
          <w:p w:rsidR="000E24C7" w:rsidRPr="008138DB" w:rsidRDefault="000E24C7" w:rsidP="00FE6BD8">
            <w:pPr>
              <w:pStyle w:val="TableBodyText"/>
            </w:pPr>
            <w:r w:rsidRPr="008138DB">
              <w:t>0.25</w:t>
            </w:r>
          </w:p>
        </w:tc>
      </w:tr>
      <w:tr w:rsidR="000E24C7" w:rsidTr="000E24C7">
        <w:tc>
          <w:tcPr>
            <w:tcW w:w="646" w:type="pct"/>
            <w:shd w:val="clear" w:color="auto" w:fill="auto"/>
          </w:tcPr>
          <w:p w:rsidR="000E24C7" w:rsidRDefault="000E24C7" w:rsidP="00FE6BD8">
            <w:pPr>
              <w:pStyle w:val="TableBodyText"/>
              <w:jc w:val="left"/>
            </w:pPr>
            <w:r>
              <w:t>2009-10</w:t>
            </w:r>
          </w:p>
        </w:tc>
        <w:tc>
          <w:tcPr>
            <w:tcW w:w="544" w:type="pct"/>
            <w:shd w:val="clear" w:color="auto" w:fill="auto"/>
            <w:vAlign w:val="bottom"/>
          </w:tcPr>
          <w:p w:rsidR="000E24C7" w:rsidRPr="008138DB" w:rsidRDefault="000E24C7" w:rsidP="00FE6BD8">
            <w:pPr>
              <w:pStyle w:val="TableBodyText"/>
            </w:pPr>
            <w:r w:rsidRPr="008138DB">
              <w:t>0.33</w:t>
            </w:r>
          </w:p>
        </w:tc>
        <w:tc>
          <w:tcPr>
            <w:tcW w:w="544" w:type="pct"/>
            <w:tcBorders>
              <w:right w:val="single" w:sz="4" w:space="0" w:color="auto"/>
            </w:tcBorders>
            <w:shd w:val="clear" w:color="auto" w:fill="auto"/>
            <w:vAlign w:val="bottom"/>
          </w:tcPr>
          <w:p w:rsidR="000E24C7" w:rsidRPr="008138DB" w:rsidRDefault="000E24C7" w:rsidP="00FE6BD8">
            <w:pPr>
              <w:pStyle w:val="TableBodyText"/>
            </w:pPr>
            <w:r w:rsidRPr="008138DB">
              <w:t>0.25</w:t>
            </w:r>
          </w:p>
        </w:tc>
        <w:tc>
          <w:tcPr>
            <w:tcW w:w="544" w:type="pct"/>
            <w:tcBorders>
              <w:left w:val="single" w:sz="4" w:space="0" w:color="auto"/>
            </w:tcBorders>
            <w:shd w:val="clear" w:color="auto" w:fill="auto"/>
            <w:vAlign w:val="bottom"/>
          </w:tcPr>
          <w:p w:rsidR="000E24C7" w:rsidRPr="008138DB" w:rsidRDefault="000E24C7" w:rsidP="00FE6BD8">
            <w:pPr>
              <w:pStyle w:val="TableBodyText"/>
            </w:pPr>
            <w:r w:rsidRPr="008138DB">
              <w:t>0.49</w:t>
            </w:r>
          </w:p>
        </w:tc>
        <w:tc>
          <w:tcPr>
            <w:tcW w:w="544" w:type="pct"/>
            <w:tcBorders>
              <w:right w:val="single" w:sz="4" w:space="0" w:color="auto"/>
            </w:tcBorders>
            <w:shd w:val="clear" w:color="auto" w:fill="auto"/>
            <w:vAlign w:val="bottom"/>
          </w:tcPr>
          <w:p w:rsidR="000E24C7" w:rsidRPr="008138DB" w:rsidRDefault="000E24C7" w:rsidP="00FE6BD8">
            <w:pPr>
              <w:pStyle w:val="TableBodyText"/>
            </w:pPr>
            <w:r w:rsidRPr="008138DB">
              <w:t>0.36</w:t>
            </w:r>
          </w:p>
        </w:tc>
        <w:tc>
          <w:tcPr>
            <w:tcW w:w="544" w:type="pct"/>
            <w:tcBorders>
              <w:left w:val="single" w:sz="4" w:space="0" w:color="auto"/>
            </w:tcBorders>
            <w:shd w:val="clear" w:color="auto" w:fill="auto"/>
            <w:vAlign w:val="bottom"/>
          </w:tcPr>
          <w:p w:rsidR="000E24C7" w:rsidRPr="008138DB" w:rsidRDefault="000E24C7" w:rsidP="00FE6BD8">
            <w:pPr>
              <w:pStyle w:val="TableBodyText"/>
            </w:pPr>
            <w:r w:rsidRPr="008138DB">
              <w:t>0.41</w:t>
            </w:r>
          </w:p>
        </w:tc>
        <w:tc>
          <w:tcPr>
            <w:tcW w:w="544" w:type="pct"/>
            <w:tcBorders>
              <w:right w:val="single" w:sz="4" w:space="0" w:color="auto"/>
            </w:tcBorders>
            <w:shd w:val="clear" w:color="auto" w:fill="auto"/>
            <w:vAlign w:val="bottom"/>
          </w:tcPr>
          <w:p w:rsidR="000E24C7" w:rsidRPr="008138DB" w:rsidRDefault="000E24C7" w:rsidP="00FE6BD8">
            <w:pPr>
              <w:pStyle w:val="TableBodyText"/>
            </w:pPr>
            <w:r w:rsidRPr="008138DB">
              <w:t>0.38</w:t>
            </w:r>
          </w:p>
        </w:tc>
        <w:tc>
          <w:tcPr>
            <w:tcW w:w="544" w:type="pct"/>
            <w:tcBorders>
              <w:left w:val="single" w:sz="4" w:space="0" w:color="auto"/>
            </w:tcBorders>
            <w:shd w:val="clear" w:color="auto" w:fill="auto"/>
            <w:vAlign w:val="bottom"/>
          </w:tcPr>
          <w:p w:rsidR="000E24C7" w:rsidRPr="008138DB" w:rsidRDefault="000E24C7" w:rsidP="00FE6BD8">
            <w:pPr>
              <w:pStyle w:val="TableBodyText"/>
            </w:pPr>
            <w:r w:rsidRPr="008138DB">
              <w:t>0.32</w:t>
            </w:r>
          </w:p>
        </w:tc>
        <w:tc>
          <w:tcPr>
            <w:tcW w:w="544" w:type="pct"/>
            <w:shd w:val="clear" w:color="auto" w:fill="auto"/>
            <w:vAlign w:val="bottom"/>
          </w:tcPr>
          <w:p w:rsidR="000E24C7" w:rsidRPr="008138DB" w:rsidRDefault="000E24C7" w:rsidP="00FE6BD8">
            <w:pPr>
              <w:pStyle w:val="TableBodyText"/>
            </w:pPr>
            <w:r w:rsidRPr="008138DB">
              <w:t>0.27</w:t>
            </w:r>
          </w:p>
        </w:tc>
      </w:tr>
      <w:tr w:rsidR="000E24C7" w:rsidTr="000E24C7">
        <w:tc>
          <w:tcPr>
            <w:tcW w:w="646" w:type="pct"/>
            <w:shd w:val="clear" w:color="auto" w:fill="auto"/>
          </w:tcPr>
          <w:p w:rsidR="000E24C7" w:rsidRDefault="000E24C7" w:rsidP="00FE6BD8">
            <w:pPr>
              <w:pStyle w:val="TableBodyText"/>
              <w:jc w:val="left"/>
            </w:pPr>
          </w:p>
        </w:tc>
        <w:tc>
          <w:tcPr>
            <w:tcW w:w="544" w:type="pct"/>
            <w:shd w:val="clear" w:color="auto" w:fill="auto"/>
            <w:vAlign w:val="bottom"/>
          </w:tcPr>
          <w:p w:rsidR="000E24C7" w:rsidRPr="008138DB" w:rsidRDefault="000E24C7" w:rsidP="00FE6BD8">
            <w:pPr>
              <w:pStyle w:val="TableBodyText"/>
            </w:pPr>
          </w:p>
        </w:tc>
        <w:tc>
          <w:tcPr>
            <w:tcW w:w="544" w:type="pct"/>
            <w:tcBorders>
              <w:right w:val="single" w:sz="4" w:space="0" w:color="auto"/>
            </w:tcBorders>
            <w:shd w:val="clear" w:color="auto" w:fill="auto"/>
            <w:vAlign w:val="bottom"/>
          </w:tcPr>
          <w:p w:rsidR="000E24C7" w:rsidRPr="008138DB" w:rsidRDefault="000E24C7" w:rsidP="00FE6BD8">
            <w:pPr>
              <w:pStyle w:val="TableBodyText"/>
            </w:pPr>
          </w:p>
        </w:tc>
        <w:tc>
          <w:tcPr>
            <w:tcW w:w="544" w:type="pct"/>
            <w:tcBorders>
              <w:left w:val="single" w:sz="4" w:space="0" w:color="auto"/>
            </w:tcBorders>
            <w:shd w:val="clear" w:color="auto" w:fill="auto"/>
            <w:vAlign w:val="bottom"/>
          </w:tcPr>
          <w:p w:rsidR="000E24C7" w:rsidRPr="008138DB" w:rsidRDefault="000E24C7" w:rsidP="00FE6BD8">
            <w:pPr>
              <w:pStyle w:val="TableBodyText"/>
            </w:pPr>
          </w:p>
        </w:tc>
        <w:tc>
          <w:tcPr>
            <w:tcW w:w="544" w:type="pct"/>
            <w:tcBorders>
              <w:right w:val="single" w:sz="4" w:space="0" w:color="auto"/>
            </w:tcBorders>
            <w:shd w:val="clear" w:color="auto" w:fill="auto"/>
            <w:vAlign w:val="bottom"/>
          </w:tcPr>
          <w:p w:rsidR="000E24C7" w:rsidRPr="008138DB" w:rsidRDefault="000E24C7" w:rsidP="00FE6BD8">
            <w:pPr>
              <w:pStyle w:val="TableBodyText"/>
            </w:pPr>
          </w:p>
        </w:tc>
        <w:tc>
          <w:tcPr>
            <w:tcW w:w="544" w:type="pct"/>
            <w:tcBorders>
              <w:left w:val="single" w:sz="4" w:space="0" w:color="auto"/>
            </w:tcBorders>
            <w:shd w:val="clear" w:color="auto" w:fill="auto"/>
            <w:vAlign w:val="bottom"/>
          </w:tcPr>
          <w:p w:rsidR="000E24C7" w:rsidRPr="008138DB" w:rsidRDefault="000E24C7" w:rsidP="00FE6BD8">
            <w:pPr>
              <w:pStyle w:val="TableBodyText"/>
            </w:pPr>
          </w:p>
        </w:tc>
        <w:tc>
          <w:tcPr>
            <w:tcW w:w="544" w:type="pct"/>
            <w:tcBorders>
              <w:right w:val="single" w:sz="4" w:space="0" w:color="auto"/>
            </w:tcBorders>
            <w:shd w:val="clear" w:color="auto" w:fill="auto"/>
            <w:vAlign w:val="bottom"/>
          </w:tcPr>
          <w:p w:rsidR="000E24C7" w:rsidRPr="008138DB" w:rsidRDefault="000E24C7" w:rsidP="00FE6BD8">
            <w:pPr>
              <w:pStyle w:val="TableBodyText"/>
            </w:pPr>
          </w:p>
        </w:tc>
        <w:tc>
          <w:tcPr>
            <w:tcW w:w="544" w:type="pct"/>
            <w:tcBorders>
              <w:left w:val="single" w:sz="4" w:space="0" w:color="auto"/>
            </w:tcBorders>
            <w:shd w:val="clear" w:color="auto" w:fill="auto"/>
            <w:vAlign w:val="bottom"/>
          </w:tcPr>
          <w:p w:rsidR="000E24C7" w:rsidRPr="008138DB" w:rsidRDefault="000E24C7" w:rsidP="00FE6BD8">
            <w:pPr>
              <w:pStyle w:val="TableBodyText"/>
            </w:pPr>
          </w:p>
        </w:tc>
        <w:tc>
          <w:tcPr>
            <w:tcW w:w="544" w:type="pct"/>
            <w:shd w:val="clear" w:color="auto" w:fill="auto"/>
            <w:vAlign w:val="bottom"/>
          </w:tcPr>
          <w:p w:rsidR="000E24C7" w:rsidRPr="008138DB" w:rsidRDefault="000E24C7" w:rsidP="00FE6BD8">
            <w:pPr>
              <w:pStyle w:val="TableBodyText"/>
            </w:pPr>
          </w:p>
        </w:tc>
      </w:tr>
      <w:tr w:rsidR="000E24C7" w:rsidRPr="000E24C7" w:rsidTr="000E24C7">
        <w:tc>
          <w:tcPr>
            <w:tcW w:w="646" w:type="pct"/>
            <w:tcBorders>
              <w:bottom w:val="single" w:sz="6" w:space="0" w:color="auto"/>
            </w:tcBorders>
            <w:shd w:val="clear" w:color="auto" w:fill="auto"/>
          </w:tcPr>
          <w:p w:rsidR="000E24C7" w:rsidRPr="000E24C7" w:rsidRDefault="000E24C7" w:rsidP="00FE6BD8">
            <w:pPr>
              <w:pStyle w:val="TableBodyText"/>
              <w:jc w:val="left"/>
              <w:rPr>
                <w:i/>
              </w:rPr>
            </w:pPr>
            <w:r w:rsidRPr="000E24C7">
              <w:rPr>
                <w:i/>
              </w:rPr>
              <w:t>% change</w:t>
            </w:r>
          </w:p>
        </w:tc>
        <w:tc>
          <w:tcPr>
            <w:tcW w:w="544" w:type="pct"/>
            <w:tcBorders>
              <w:bottom w:val="single" w:sz="6" w:space="0" w:color="auto"/>
            </w:tcBorders>
            <w:shd w:val="clear" w:color="auto" w:fill="auto"/>
            <w:vAlign w:val="bottom"/>
          </w:tcPr>
          <w:p w:rsidR="000E24C7" w:rsidRPr="000E24C7" w:rsidRDefault="000E24C7" w:rsidP="00FE6BD8">
            <w:pPr>
              <w:pStyle w:val="TableBodyText"/>
              <w:rPr>
                <w:i/>
              </w:rPr>
            </w:pPr>
            <w:r w:rsidRPr="000E24C7">
              <w:rPr>
                <w:i/>
              </w:rPr>
              <w:t>31.7</w:t>
            </w:r>
          </w:p>
        </w:tc>
        <w:tc>
          <w:tcPr>
            <w:tcW w:w="544" w:type="pct"/>
            <w:tcBorders>
              <w:bottom w:val="single" w:sz="6" w:space="0" w:color="auto"/>
              <w:right w:val="single" w:sz="4" w:space="0" w:color="auto"/>
            </w:tcBorders>
            <w:shd w:val="clear" w:color="auto" w:fill="auto"/>
            <w:vAlign w:val="bottom"/>
          </w:tcPr>
          <w:p w:rsidR="000E24C7" w:rsidRPr="000E24C7" w:rsidRDefault="000E24C7" w:rsidP="00FE6BD8">
            <w:pPr>
              <w:pStyle w:val="TableBodyText"/>
              <w:rPr>
                <w:i/>
              </w:rPr>
            </w:pPr>
            <w:r w:rsidRPr="000E24C7">
              <w:rPr>
                <w:i/>
              </w:rPr>
              <w:t>22.7</w:t>
            </w:r>
          </w:p>
        </w:tc>
        <w:tc>
          <w:tcPr>
            <w:tcW w:w="544" w:type="pct"/>
            <w:tcBorders>
              <w:left w:val="single" w:sz="4" w:space="0" w:color="auto"/>
              <w:bottom w:val="single" w:sz="6" w:space="0" w:color="auto"/>
            </w:tcBorders>
            <w:shd w:val="clear" w:color="auto" w:fill="auto"/>
            <w:vAlign w:val="bottom"/>
          </w:tcPr>
          <w:p w:rsidR="000E24C7" w:rsidRPr="000E24C7" w:rsidRDefault="000E24C7" w:rsidP="00FE6BD8">
            <w:pPr>
              <w:pStyle w:val="TableBodyText"/>
              <w:rPr>
                <w:i/>
              </w:rPr>
            </w:pPr>
            <w:r w:rsidRPr="000E24C7">
              <w:rPr>
                <w:i/>
              </w:rPr>
              <w:t>-3.1</w:t>
            </w:r>
          </w:p>
        </w:tc>
        <w:tc>
          <w:tcPr>
            <w:tcW w:w="544" w:type="pct"/>
            <w:tcBorders>
              <w:bottom w:val="single" w:sz="6" w:space="0" w:color="auto"/>
              <w:right w:val="single" w:sz="4" w:space="0" w:color="auto"/>
            </w:tcBorders>
            <w:shd w:val="clear" w:color="auto" w:fill="auto"/>
            <w:vAlign w:val="bottom"/>
          </w:tcPr>
          <w:p w:rsidR="000E24C7" w:rsidRPr="000E24C7" w:rsidRDefault="000E24C7" w:rsidP="00FE6BD8">
            <w:pPr>
              <w:pStyle w:val="TableBodyText"/>
              <w:rPr>
                <w:i/>
              </w:rPr>
            </w:pPr>
            <w:r w:rsidRPr="000E24C7">
              <w:rPr>
                <w:i/>
              </w:rPr>
              <w:t>-3.3</w:t>
            </w:r>
          </w:p>
        </w:tc>
        <w:tc>
          <w:tcPr>
            <w:tcW w:w="544" w:type="pct"/>
            <w:tcBorders>
              <w:left w:val="single" w:sz="4" w:space="0" w:color="auto"/>
              <w:bottom w:val="single" w:sz="6" w:space="0" w:color="auto"/>
            </w:tcBorders>
            <w:shd w:val="clear" w:color="auto" w:fill="auto"/>
            <w:vAlign w:val="bottom"/>
          </w:tcPr>
          <w:p w:rsidR="000E24C7" w:rsidRPr="000E24C7" w:rsidRDefault="000E24C7" w:rsidP="00FE6BD8">
            <w:pPr>
              <w:pStyle w:val="TableBodyText"/>
              <w:rPr>
                <w:i/>
              </w:rPr>
            </w:pPr>
            <w:r w:rsidRPr="000E24C7">
              <w:rPr>
                <w:i/>
              </w:rPr>
              <w:t>28.9</w:t>
            </w:r>
          </w:p>
        </w:tc>
        <w:tc>
          <w:tcPr>
            <w:tcW w:w="544" w:type="pct"/>
            <w:tcBorders>
              <w:bottom w:val="single" w:sz="6" w:space="0" w:color="auto"/>
              <w:right w:val="single" w:sz="4" w:space="0" w:color="auto"/>
            </w:tcBorders>
            <w:shd w:val="clear" w:color="auto" w:fill="auto"/>
            <w:vAlign w:val="bottom"/>
          </w:tcPr>
          <w:p w:rsidR="000E24C7" w:rsidRPr="000E24C7" w:rsidRDefault="000E24C7" w:rsidP="00FE6BD8">
            <w:pPr>
              <w:pStyle w:val="TableBodyText"/>
              <w:rPr>
                <w:i/>
              </w:rPr>
            </w:pPr>
            <w:r w:rsidRPr="000E24C7">
              <w:rPr>
                <w:i/>
              </w:rPr>
              <w:t>7.8</w:t>
            </w:r>
          </w:p>
        </w:tc>
        <w:tc>
          <w:tcPr>
            <w:tcW w:w="544" w:type="pct"/>
            <w:tcBorders>
              <w:left w:val="single" w:sz="4" w:space="0" w:color="auto"/>
              <w:bottom w:val="single" w:sz="6" w:space="0" w:color="auto"/>
            </w:tcBorders>
            <w:shd w:val="clear" w:color="auto" w:fill="auto"/>
            <w:vAlign w:val="bottom"/>
          </w:tcPr>
          <w:p w:rsidR="000E24C7" w:rsidRPr="000E24C7" w:rsidRDefault="000E24C7" w:rsidP="00FE6BD8">
            <w:pPr>
              <w:pStyle w:val="TableBodyText"/>
              <w:rPr>
                <w:i/>
              </w:rPr>
            </w:pPr>
            <w:r w:rsidRPr="000E24C7">
              <w:rPr>
                <w:i/>
              </w:rPr>
              <w:t>11.2</w:t>
            </w:r>
          </w:p>
        </w:tc>
        <w:tc>
          <w:tcPr>
            <w:tcW w:w="544" w:type="pct"/>
            <w:tcBorders>
              <w:bottom w:val="single" w:sz="6" w:space="0" w:color="auto"/>
            </w:tcBorders>
            <w:shd w:val="clear" w:color="auto" w:fill="auto"/>
            <w:vAlign w:val="bottom"/>
          </w:tcPr>
          <w:p w:rsidR="000E24C7" w:rsidRPr="000E24C7" w:rsidRDefault="000E24C7" w:rsidP="00FE6BD8">
            <w:pPr>
              <w:pStyle w:val="TableBodyText"/>
              <w:rPr>
                <w:i/>
              </w:rPr>
            </w:pPr>
            <w:r w:rsidRPr="000E24C7">
              <w:rPr>
                <w:i/>
              </w:rPr>
              <w:t>1.5</w:t>
            </w:r>
          </w:p>
        </w:tc>
      </w:tr>
    </w:tbl>
    <w:p w:rsidR="000E24C7" w:rsidRPr="000E24C7" w:rsidRDefault="000E24C7" w:rsidP="000E24C7">
      <w:pPr>
        <w:pStyle w:val="Source"/>
      </w:pPr>
      <w:r>
        <w:rPr>
          <w:i/>
        </w:rPr>
        <w:t>Source</w:t>
      </w:r>
      <w:r>
        <w:t xml:space="preserve">: Author estimates based on ABS (Household Expenditure Survey, cat. no. 6503.0, </w:t>
      </w:r>
      <w:proofErr w:type="spellStart"/>
      <w:r>
        <w:t>confidentialised</w:t>
      </w:r>
      <w:proofErr w:type="spellEnd"/>
      <w:r>
        <w:t xml:space="preserve"> unit record files).</w:t>
      </w:r>
    </w:p>
    <w:p w:rsidR="009703FE" w:rsidRDefault="009703FE" w:rsidP="00B72C24">
      <w:pPr>
        <w:pStyle w:val="Heading3"/>
      </w:pPr>
      <w:r>
        <w:t xml:space="preserve">How important is the </w:t>
      </w:r>
      <w:r w:rsidR="000B51EC">
        <w:t xml:space="preserve">top </w:t>
      </w:r>
      <w:r>
        <w:t>‘1 per cent’?</w:t>
      </w:r>
    </w:p>
    <w:p w:rsidR="00830A5E" w:rsidRDefault="009703FE" w:rsidP="009703FE">
      <w:pPr>
        <w:pStyle w:val="BodyText"/>
      </w:pPr>
      <w:r w:rsidRPr="00BD3FB7">
        <w:t xml:space="preserve">The top </w:t>
      </w:r>
      <w:r w:rsidR="000B51EC" w:rsidRPr="00BD3FB7">
        <w:t>1</w:t>
      </w:r>
      <w:r w:rsidRPr="00BD3FB7">
        <w:t xml:space="preserve"> per cent of income earners attract considerable public attention. Yet their contribution to the overall income distribution, and how it changes over time, is not obvious </w:t>
      </w:r>
      <w:r w:rsidR="001560B2">
        <w:t>using</w:t>
      </w:r>
      <w:r w:rsidR="001560B2" w:rsidRPr="00BD3FB7">
        <w:t xml:space="preserve"> </w:t>
      </w:r>
      <w:r w:rsidRPr="00BD3FB7">
        <w:t>standard graph</w:t>
      </w:r>
      <w:r w:rsidR="00CF692C" w:rsidRPr="00BD3FB7">
        <w:t>ical techniques (such as figure </w:t>
      </w:r>
      <w:r w:rsidR="000B51EC" w:rsidRPr="00BD3FB7">
        <w:t>2.4</w:t>
      </w:r>
      <w:r w:rsidR="00CF692C" w:rsidRPr="00BD3FB7">
        <w:t xml:space="preserve"> </w:t>
      </w:r>
      <w:r w:rsidRPr="00BD3FB7">
        <w:t>above).</w:t>
      </w:r>
      <w:r w:rsidR="00C11178" w:rsidRPr="00BD3FB7">
        <w:t xml:space="preserve"> </w:t>
      </w:r>
      <w:r w:rsidR="00830A5E" w:rsidRPr="00BD3FB7">
        <w:t xml:space="preserve">It is also more difficult to accurately measure the incomes of </w:t>
      </w:r>
      <w:r w:rsidR="00A46F81" w:rsidRPr="00BD3FB7">
        <w:t xml:space="preserve">the top 1 per cent </w:t>
      </w:r>
      <w:r w:rsidR="00B01C84" w:rsidRPr="00BD3FB7">
        <w:t xml:space="preserve">due to lower survey response rates that are not accounted for in sample weighting procedures. </w:t>
      </w:r>
      <w:r w:rsidR="00B01C84" w:rsidRPr="00BD3FB7">
        <w:lastRenderedPageBreak/>
        <w:t>For this reason, the ABS does not recommend analysis of th</w:t>
      </w:r>
      <w:r w:rsidR="00830A5E" w:rsidRPr="00BD3FB7">
        <w:t xml:space="preserve">is group based on </w:t>
      </w:r>
      <w:proofErr w:type="spellStart"/>
      <w:r w:rsidR="00830A5E" w:rsidRPr="00BD3FB7">
        <w:t>HES</w:t>
      </w:r>
      <w:proofErr w:type="spellEnd"/>
      <w:r w:rsidR="00830A5E" w:rsidRPr="00BD3FB7">
        <w:t xml:space="preserve">. Notwithstanding </w:t>
      </w:r>
      <w:r w:rsidR="007E2BC8">
        <w:t>this caution</w:t>
      </w:r>
      <w:r w:rsidR="00830A5E" w:rsidRPr="00BD3FB7">
        <w:t xml:space="preserve">, the </w:t>
      </w:r>
      <w:proofErr w:type="spellStart"/>
      <w:r w:rsidR="00830A5E" w:rsidRPr="00BD3FB7">
        <w:t>HES</w:t>
      </w:r>
      <w:proofErr w:type="spellEnd"/>
      <w:r w:rsidR="00830A5E" w:rsidRPr="00BD3FB7">
        <w:t xml:space="preserve"> </w:t>
      </w:r>
      <w:r w:rsidR="007E2BC8">
        <w:t>does</w:t>
      </w:r>
      <w:r w:rsidR="007E2BC8" w:rsidRPr="00BD3FB7">
        <w:t xml:space="preserve"> </w:t>
      </w:r>
      <w:r w:rsidR="0092597A">
        <w:t>provide</w:t>
      </w:r>
      <w:r w:rsidR="00830A5E" w:rsidRPr="00BD3FB7">
        <w:t xml:space="preserve"> useful ‘proxy’ information on this group. As a basic check, the top average income for the top three percentiles are consistent with the income ranges </w:t>
      </w:r>
      <w:r w:rsidR="00317E1A" w:rsidRPr="00BD3FB7">
        <w:t xml:space="preserve">for these percentiles based on </w:t>
      </w:r>
      <w:proofErr w:type="spellStart"/>
      <w:r w:rsidR="00317E1A" w:rsidRPr="00BD3FB7">
        <w:t>ATO</w:t>
      </w:r>
      <w:proofErr w:type="spellEnd"/>
      <w:r w:rsidR="00317E1A" w:rsidRPr="00BD3FB7">
        <w:t xml:space="preserve"> data (</w:t>
      </w:r>
      <w:proofErr w:type="spellStart"/>
      <w:r w:rsidR="00317E1A" w:rsidRPr="00BD3FB7">
        <w:t>ATO</w:t>
      </w:r>
      <w:proofErr w:type="spellEnd"/>
      <w:r w:rsidR="00317E1A" w:rsidRPr="00BD3FB7">
        <w:t xml:space="preserve"> 2012).</w:t>
      </w:r>
      <w:r w:rsidR="00317E1A" w:rsidRPr="00BD3FB7">
        <w:rPr>
          <w:rStyle w:val="FootnoteReference"/>
        </w:rPr>
        <w:footnoteReference w:id="13"/>
      </w:r>
    </w:p>
    <w:p w:rsidR="009703FE" w:rsidRDefault="007E2BC8" w:rsidP="009703FE">
      <w:pPr>
        <w:pStyle w:val="BodyText"/>
      </w:pPr>
      <w:r>
        <w:t>A</w:t>
      </w:r>
      <w:r w:rsidR="009703FE">
        <w:t xml:space="preserve">s a group, the top </w:t>
      </w:r>
      <w:r w:rsidR="000B51EC">
        <w:t>1 </w:t>
      </w:r>
      <w:r w:rsidR="009703FE">
        <w:t xml:space="preserve">per cent earn a disproportionally larger share of the total income, for all types of worker. (This is true by definition for all non-uniform distributions of income). The share earned by the top </w:t>
      </w:r>
      <w:r w:rsidR="000B51EC">
        <w:t>1</w:t>
      </w:r>
      <w:r w:rsidR="009703FE">
        <w:t> per cent is largest for self-employed workers (around 16 per cent in 2009</w:t>
      </w:r>
      <w:r w:rsidR="00F745E7">
        <w:t>-10</w:t>
      </w:r>
      <w:r w:rsidR="009703FE">
        <w:t xml:space="preserve">) and is between 5 and 7 per cent for other worker types (figure </w:t>
      </w:r>
      <w:r w:rsidR="000B51EC">
        <w:t>2.1</w:t>
      </w:r>
      <w:r w:rsidR="00BD3FB7">
        <w:t>4</w:t>
      </w:r>
      <w:r w:rsidR="009703FE">
        <w:t>). The share of</w:t>
      </w:r>
      <w:r w:rsidR="000B51EC">
        <w:t xml:space="preserve"> total income earned by the top 1</w:t>
      </w:r>
      <w:r w:rsidR="009703FE">
        <w:t> per cent has trended upwards over the last 20 years for all types of worker.</w:t>
      </w:r>
    </w:p>
    <w:p w:rsidR="009703FE" w:rsidRDefault="009703FE" w:rsidP="009703FE">
      <w:pPr>
        <w:pStyle w:val="BodyText"/>
      </w:pPr>
      <w:r>
        <w:t xml:space="preserve">Another way to examine how the top </w:t>
      </w:r>
      <w:r w:rsidR="000B51EC">
        <w:t>1</w:t>
      </w:r>
      <w:r>
        <w:t> per cent shapes the</w:t>
      </w:r>
      <w:r w:rsidR="009935C6">
        <w:t xml:space="preserve"> overall distribution of income</w:t>
      </w:r>
      <w:r>
        <w:t xml:space="preserve"> is by calculating their contribution to summary </w:t>
      </w:r>
      <w:r w:rsidR="00F745E7">
        <w:t>measures. This essentially asks:</w:t>
      </w:r>
      <w:r>
        <w:t xml:space="preserve"> </w:t>
      </w:r>
      <w:r w:rsidR="00F745E7">
        <w:rPr>
          <w:i/>
        </w:rPr>
        <w:t>H</w:t>
      </w:r>
      <w:r w:rsidRPr="006461A1">
        <w:rPr>
          <w:i/>
        </w:rPr>
        <w:t xml:space="preserve">ow would </w:t>
      </w:r>
      <w:proofErr w:type="spellStart"/>
      <w:r w:rsidRPr="006461A1">
        <w:rPr>
          <w:i/>
        </w:rPr>
        <w:t>measured</w:t>
      </w:r>
      <w:proofErr w:type="spellEnd"/>
      <w:r w:rsidRPr="006461A1">
        <w:rPr>
          <w:i/>
        </w:rPr>
        <w:t xml:space="preserve"> inequality change </w:t>
      </w:r>
      <w:r w:rsidR="007E2BC8">
        <w:rPr>
          <w:i/>
        </w:rPr>
        <w:t>if</w:t>
      </w:r>
      <w:r w:rsidRPr="006461A1">
        <w:rPr>
          <w:i/>
        </w:rPr>
        <w:t xml:space="preserve"> the current top </w:t>
      </w:r>
      <w:r w:rsidR="000B51EC">
        <w:rPr>
          <w:i/>
        </w:rPr>
        <w:t>1</w:t>
      </w:r>
      <w:r w:rsidRPr="006461A1">
        <w:rPr>
          <w:i/>
        </w:rPr>
        <w:t xml:space="preserve"> per cent </w:t>
      </w:r>
      <w:r w:rsidR="007E2BC8">
        <w:rPr>
          <w:i/>
        </w:rPr>
        <w:t>were removed from the distribution</w:t>
      </w:r>
      <w:r w:rsidRPr="006461A1">
        <w:rPr>
          <w:i/>
        </w:rPr>
        <w:t>?</w:t>
      </w:r>
      <w:r>
        <w:t xml:space="preserve"> </w:t>
      </w:r>
    </w:p>
    <w:p w:rsidR="009703FE" w:rsidRDefault="009703FE" w:rsidP="00CF692C">
      <w:pPr>
        <w:pStyle w:val="BodyText"/>
      </w:pPr>
      <w:r>
        <w:t xml:space="preserve">In 2009, the </w:t>
      </w:r>
      <w:proofErr w:type="spellStart"/>
      <w:r w:rsidR="00596C5E">
        <w:t>Gini</w:t>
      </w:r>
      <w:proofErr w:type="spellEnd"/>
      <w:r w:rsidR="001560B2">
        <w:t xml:space="preserve"> </w:t>
      </w:r>
      <w:r>
        <w:t xml:space="preserve">coefficient for labour earnings would have been around 6.5 per cent lower if the top </w:t>
      </w:r>
      <w:r w:rsidR="000B51EC">
        <w:t>1</w:t>
      </w:r>
      <w:r>
        <w:t> per cent wer</w:t>
      </w:r>
      <w:r w:rsidR="00F745E7">
        <w:t xml:space="preserve">e not </w:t>
      </w:r>
      <w:r w:rsidR="007E2BC8">
        <w:t>represented</w:t>
      </w:r>
      <w:r w:rsidR="00F745E7">
        <w:t xml:space="preserve"> (a change in the </w:t>
      </w:r>
      <w:proofErr w:type="spellStart"/>
      <w:r w:rsidR="00F745E7">
        <w:t>G</w:t>
      </w:r>
      <w:r>
        <w:t>ini</w:t>
      </w:r>
      <w:proofErr w:type="spellEnd"/>
      <w:r>
        <w:t xml:space="preserve"> </w:t>
      </w:r>
      <w:r w:rsidR="00360D97">
        <w:t xml:space="preserve">coefficient </w:t>
      </w:r>
      <w:r>
        <w:t xml:space="preserve">of around 0.02). </w:t>
      </w:r>
      <w:r w:rsidR="009935C6">
        <w:t xml:space="preserve">The </w:t>
      </w:r>
      <w:proofErr w:type="spellStart"/>
      <w:r w:rsidR="009935C6">
        <w:t>HES</w:t>
      </w:r>
      <w:proofErr w:type="spellEnd"/>
      <w:r w:rsidR="009935C6">
        <w:t xml:space="preserve"> data also suggest</w:t>
      </w:r>
      <w:r w:rsidR="00F745E7">
        <w:t xml:space="preserve"> that t</w:t>
      </w:r>
      <w:r>
        <w:t xml:space="preserve">he top </w:t>
      </w:r>
      <w:r w:rsidR="000B51EC">
        <w:t>1</w:t>
      </w:r>
      <w:r>
        <w:t xml:space="preserve"> per cent is making a greater contribution to </w:t>
      </w:r>
      <w:r w:rsidR="001560B2">
        <w:t xml:space="preserve">measured changes in the </w:t>
      </w:r>
      <w:proofErr w:type="spellStart"/>
      <w:r w:rsidR="001560B2">
        <w:t>Gini</w:t>
      </w:r>
      <w:proofErr w:type="spellEnd"/>
      <w:r w:rsidR="001560B2">
        <w:t xml:space="preserve"> coefficient </w:t>
      </w:r>
      <w:r>
        <w:t>over time — but th</w:t>
      </w:r>
      <w:r w:rsidR="00CF692C">
        <w:t>is trend is very gradual</w:t>
      </w:r>
      <w:r w:rsidR="00CA021E">
        <w:t>.</w:t>
      </w:r>
      <w:r w:rsidR="00CF692C">
        <w:rPr>
          <w:rStyle w:val="FootnoteReference"/>
        </w:rPr>
        <w:footnoteReference w:id="14"/>
      </w:r>
      <w:r w:rsidR="00CF692C">
        <w:t xml:space="preserve"> </w:t>
      </w:r>
      <w:r w:rsidR="001560B2">
        <w:t xml:space="preserve">Using the </w:t>
      </w:r>
      <w:proofErr w:type="spellStart"/>
      <w:r w:rsidR="001560B2">
        <w:t>Gini</w:t>
      </w:r>
      <w:proofErr w:type="spellEnd"/>
      <w:r w:rsidR="001560B2">
        <w:t xml:space="preserve"> coefficient, t</w:t>
      </w:r>
      <w:r>
        <w:t>he over</w:t>
      </w:r>
      <w:r w:rsidR="00662AC6">
        <w:t>all trends identified in figure </w:t>
      </w:r>
      <w:r w:rsidR="000B51EC">
        <w:t>2.6</w:t>
      </w:r>
      <w:r w:rsidR="00662AC6">
        <w:t xml:space="preserve"> (above)</w:t>
      </w:r>
      <w:r w:rsidR="00662AC6">
        <w:rPr>
          <w:b/>
        </w:rPr>
        <w:t xml:space="preserve"> </w:t>
      </w:r>
      <w:r>
        <w:t xml:space="preserve">are not changed with the exclusion of the </w:t>
      </w:r>
      <w:r w:rsidR="000B51EC">
        <w:t>1</w:t>
      </w:r>
      <w:r>
        <w:t> per cent.</w:t>
      </w:r>
    </w:p>
    <w:p w:rsidR="009703FE" w:rsidRDefault="009703FE" w:rsidP="009703FE">
      <w:pPr>
        <w:pStyle w:val="BodyText"/>
      </w:pPr>
      <w:r>
        <w:t xml:space="preserve">In short, </w:t>
      </w:r>
      <w:r w:rsidR="001560B2">
        <w:t xml:space="preserve">analysis of data from the </w:t>
      </w:r>
      <w:proofErr w:type="spellStart"/>
      <w:r w:rsidR="001560B2">
        <w:t>HES</w:t>
      </w:r>
      <w:proofErr w:type="spellEnd"/>
      <w:r w:rsidR="001560B2">
        <w:t xml:space="preserve"> for employed workers over the period 1988</w:t>
      </w:r>
      <w:r w:rsidR="007C3350">
        <w:noBreakHyphen/>
      </w:r>
      <w:r w:rsidR="001560B2">
        <w:t xml:space="preserve">89 to 2009-10 suggest that </w:t>
      </w:r>
      <w:r>
        <w:t>the ‘</w:t>
      </w:r>
      <w:r w:rsidR="000B51EC">
        <w:t>1</w:t>
      </w:r>
      <w:r w:rsidR="00CF692C">
        <w:t> </w:t>
      </w:r>
      <w:r>
        <w:t xml:space="preserve">per cent’ have a </w:t>
      </w:r>
      <w:r w:rsidR="0092597A">
        <w:t>significant</w:t>
      </w:r>
      <w:r>
        <w:t xml:space="preserve"> level effect on inequality </w:t>
      </w:r>
      <w:r w:rsidR="00E01086">
        <w:t>(as me</w:t>
      </w:r>
      <w:r w:rsidR="007C3350">
        <w:t xml:space="preserve">asured by the </w:t>
      </w:r>
      <w:proofErr w:type="spellStart"/>
      <w:r w:rsidR="007C3350">
        <w:t>Gini</w:t>
      </w:r>
      <w:proofErr w:type="spellEnd"/>
      <w:r w:rsidR="007C3350">
        <w:t xml:space="preserve"> coefficient) </w:t>
      </w:r>
      <w:r>
        <w:t xml:space="preserve">but </w:t>
      </w:r>
      <w:r w:rsidR="007C3350">
        <w:t>changes in income for this group are not overly accounting for the rise in measured labour income inequality between 1988-89 and 2009-10</w:t>
      </w:r>
      <w:r>
        <w:t>.</w:t>
      </w:r>
      <w:r w:rsidR="00413455">
        <w:rPr>
          <w:rStyle w:val="FootnoteReference"/>
        </w:rPr>
        <w:footnoteReference w:id="15"/>
      </w:r>
      <w:r w:rsidR="0092597A">
        <w:t xml:space="preserve"> This </w:t>
      </w:r>
      <w:r w:rsidR="007C3350">
        <w:t xml:space="preserve">would suggest that the effect of the top 1 per cent of earners as being major contributors to rising inequality over the longer run, as found by other researchers (such as Leigh 2005 and Atkinson, </w:t>
      </w:r>
      <w:proofErr w:type="spellStart"/>
      <w:r w:rsidR="007C3350">
        <w:t>Piketty</w:t>
      </w:r>
      <w:proofErr w:type="spellEnd"/>
      <w:r w:rsidR="007C3350">
        <w:t xml:space="preserve"> and </w:t>
      </w:r>
      <w:proofErr w:type="spellStart"/>
      <w:r w:rsidR="007C3350">
        <w:t>Saez</w:t>
      </w:r>
      <w:proofErr w:type="spellEnd"/>
      <w:r w:rsidR="007C3350">
        <w:t xml:space="preserve"> 2011) has moderated between 1988</w:t>
      </w:r>
      <w:r w:rsidR="007C3350">
        <w:noBreakHyphen/>
        <w:t xml:space="preserve">89 to 2009-10. </w:t>
      </w:r>
    </w:p>
    <w:p w:rsidR="009703FE" w:rsidRDefault="009703FE" w:rsidP="009935C6">
      <w:pPr>
        <w:pStyle w:val="FigureTitle"/>
      </w:pPr>
      <w:r>
        <w:rPr>
          <w:b w:val="0"/>
        </w:rPr>
        <w:lastRenderedPageBreak/>
        <w:t xml:space="preserve">Figure </w:t>
      </w:r>
      <w:r w:rsidR="00A57B0A">
        <w:rPr>
          <w:b w:val="0"/>
        </w:rPr>
        <w:t>2.</w:t>
      </w:r>
      <w:r w:rsidR="006D43C2">
        <w:rPr>
          <w:b w:val="0"/>
          <w:noProof/>
        </w:rPr>
        <w:t>14</w:t>
      </w:r>
      <w:r>
        <w:tab/>
        <w:t>Distribution</w:t>
      </w:r>
      <w:r w:rsidR="009935C6">
        <w:t>al impact of the top 1 per cent</w:t>
      </w:r>
      <w:r w:rsidR="00183956">
        <w:t>, 1988-89 to 2009-10</w:t>
      </w:r>
    </w:p>
    <w:p w:rsidR="008963E4" w:rsidRPr="008963E4" w:rsidRDefault="008963E4" w:rsidP="008963E4">
      <w:pPr>
        <w:pStyle w:val="Subtitle"/>
      </w:pPr>
      <w:r w:rsidRPr="008963E4">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703FE" w:rsidTr="00052E94">
        <w:tc>
          <w:tcPr>
            <w:tcW w:w="8777" w:type="dxa"/>
          </w:tcPr>
          <w:p w:rsidR="009703FE" w:rsidRPr="00F745E7" w:rsidRDefault="009703FE" w:rsidP="009703FE">
            <w:pPr>
              <w:pStyle w:val="Figure"/>
              <w:rPr>
                <w:rFonts w:ascii="Arial" w:hAnsi="Arial"/>
                <w:i/>
                <w:noProof/>
                <w:sz w:val="20"/>
              </w:rPr>
            </w:pPr>
            <w:r w:rsidRPr="00F745E7">
              <w:rPr>
                <w:rFonts w:ascii="Arial" w:hAnsi="Arial"/>
                <w:i/>
                <w:noProof/>
                <w:sz w:val="20"/>
              </w:rPr>
              <w:t xml:space="preserve">Combined earnings of top </w:t>
            </w:r>
            <w:r w:rsidR="000E2413">
              <w:rPr>
                <w:rFonts w:ascii="Arial" w:hAnsi="Arial"/>
                <w:i/>
                <w:noProof/>
                <w:sz w:val="20"/>
              </w:rPr>
              <w:t>1</w:t>
            </w:r>
            <w:r w:rsidRPr="00F745E7">
              <w:rPr>
                <w:rFonts w:ascii="Arial" w:hAnsi="Arial"/>
                <w:i/>
                <w:noProof/>
                <w:sz w:val="20"/>
              </w:rPr>
              <w:t xml:space="preserve"> per cent as a share of total earnings</w:t>
            </w:r>
          </w:p>
          <w:p w:rsidR="009703FE" w:rsidRDefault="00052E94" w:rsidP="009703FE">
            <w:pPr>
              <w:pStyle w:val="Figure"/>
              <w:rPr>
                <w:noProof/>
              </w:rPr>
            </w:pPr>
            <w:r>
              <w:rPr>
                <w:noProof/>
              </w:rPr>
              <w:drawing>
                <wp:inline distT="0" distB="0" distL="0" distR="0" wp14:anchorId="61F649AE" wp14:editId="40757319">
                  <wp:extent cx="5400000" cy="2880000"/>
                  <wp:effectExtent l="0" t="0" r="0" b="0"/>
                  <wp:docPr id="29" name="Chart 29" descr="Top panel depicts the combined earnings of the top 1 per cent as a share of total earnings. Has been stable for full-time and part-time worker sub-groups, and for labour earnings as a whole, but increased amongst the self-employed." title="Figure 2.14 Distributional impact of the top 1 per cent,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9703FE" w:rsidRPr="00F745E7" w:rsidRDefault="00CF692C" w:rsidP="009703FE">
            <w:pPr>
              <w:pStyle w:val="Figure"/>
              <w:rPr>
                <w:rFonts w:ascii="Arial" w:hAnsi="Arial"/>
                <w:i/>
                <w:noProof/>
                <w:sz w:val="20"/>
              </w:rPr>
            </w:pPr>
            <w:r w:rsidRPr="00F745E7">
              <w:rPr>
                <w:rFonts w:ascii="Arial" w:hAnsi="Arial"/>
                <w:i/>
                <w:noProof/>
                <w:sz w:val="20"/>
              </w:rPr>
              <w:t xml:space="preserve">Per cent reduction in </w:t>
            </w:r>
            <w:r w:rsidR="009703FE" w:rsidRPr="00F745E7">
              <w:rPr>
                <w:rFonts w:ascii="Arial" w:hAnsi="Arial"/>
                <w:i/>
                <w:noProof/>
                <w:sz w:val="20"/>
              </w:rPr>
              <w:t xml:space="preserve">the </w:t>
            </w:r>
            <w:r w:rsidR="00596C5E">
              <w:rPr>
                <w:rFonts w:ascii="Arial" w:hAnsi="Arial"/>
                <w:i/>
                <w:noProof/>
                <w:sz w:val="20"/>
              </w:rPr>
              <w:t>Gini</w:t>
            </w:r>
            <w:r w:rsidR="001560B2">
              <w:rPr>
                <w:rFonts w:ascii="Arial" w:hAnsi="Arial"/>
                <w:i/>
                <w:noProof/>
                <w:sz w:val="20"/>
              </w:rPr>
              <w:t xml:space="preserve"> </w:t>
            </w:r>
            <w:r w:rsidR="009703FE" w:rsidRPr="00F745E7">
              <w:rPr>
                <w:rFonts w:ascii="Arial" w:hAnsi="Arial"/>
                <w:i/>
                <w:noProof/>
                <w:sz w:val="20"/>
              </w:rPr>
              <w:t xml:space="preserve">coefficient </w:t>
            </w:r>
            <w:r w:rsidRPr="00F745E7">
              <w:rPr>
                <w:rFonts w:ascii="Arial" w:hAnsi="Arial"/>
                <w:i/>
                <w:noProof/>
                <w:sz w:val="20"/>
              </w:rPr>
              <w:t xml:space="preserve">if </w:t>
            </w:r>
            <w:r w:rsidR="009703FE" w:rsidRPr="00F745E7">
              <w:rPr>
                <w:rFonts w:ascii="Arial" w:hAnsi="Arial"/>
                <w:i/>
                <w:noProof/>
                <w:sz w:val="20"/>
              </w:rPr>
              <w:t>top 1 per cent</w:t>
            </w:r>
            <w:r w:rsidR="00F745E7">
              <w:rPr>
                <w:rFonts w:ascii="Arial" w:hAnsi="Arial"/>
                <w:i/>
                <w:noProof/>
                <w:sz w:val="20"/>
              </w:rPr>
              <w:t xml:space="preserve"> are removed</w:t>
            </w:r>
          </w:p>
          <w:p w:rsidR="009703FE" w:rsidRDefault="009703FE" w:rsidP="009703FE">
            <w:pPr>
              <w:pStyle w:val="Figure"/>
              <w:rPr>
                <w:noProof/>
              </w:rPr>
            </w:pPr>
            <w:r>
              <w:rPr>
                <w:noProof/>
              </w:rPr>
              <w:drawing>
                <wp:inline distT="0" distB="0" distL="0" distR="0" wp14:anchorId="74CD6C95" wp14:editId="07CB7C8E">
                  <wp:extent cx="5400000" cy="2880000"/>
                  <wp:effectExtent l="0" t="0" r="0" b="0"/>
                  <wp:docPr id="11" name="Chart 11" descr="Bottom panel depicts the percentage reduction in the Gini coefficient estimate if earnings of the top 1 per cent are removed from the analysis. Has been stable for full-time and part-time worker sub-groups, and for labour earnings as a whole, but increased amongst the self-employed." title="Figure 2.14 Distributional impact of the top 1 per cent,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tc>
      </w:tr>
    </w:tbl>
    <w:p w:rsidR="009703FE" w:rsidRDefault="009703FE" w:rsidP="009703FE">
      <w:pPr>
        <w:pStyle w:val="Source"/>
      </w:pPr>
      <w:r>
        <w:rPr>
          <w:i/>
        </w:rPr>
        <w:t>Data source</w:t>
      </w:r>
      <w:r w:rsidRPr="00167F06">
        <w:t xml:space="preserve">: </w:t>
      </w:r>
      <w:r w:rsidR="00D75A5E">
        <w:t xml:space="preserve">Author estimates based on ABS (Household Expenditure Survey, cat. no. 6503.0, </w:t>
      </w:r>
      <w:proofErr w:type="spellStart"/>
      <w:r w:rsidR="00D75A5E">
        <w:t>confidentialised</w:t>
      </w:r>
      <w:proofErr w:type="spellEnd"/>
      <w:r w:rsidR="00D75A5E">
        <w:t xml:space="preserve"> unit record files)</w:t>
      </w:r>
      <w:r w:rsidR="00BD3FB7">
        <w:t>.</w:t>
      </w:r>
    </w:p>
    <w:p w:rsidR="000B51EC" w:rsidRPr="00131D94" w:rsidRDefault="000B51EC" w:rsidP="00BD3FB7">
      <w:pPr>
        <w:pStyle w:val="BodyText"/>
      </w:pPr>
    </w:p>
    <w:sectPr w:rsidR="000B51EC" w:rsidRPr="00131D94" w:rsidSect="00A57B0A">
      <w:headerReference w:type="even" r:id="rId50"/>
      <w:headerReference w:type="default" r:id="rId51"/>
      <w:footerReference w:type="even" r:id="rId52"/>
      <w:footerReference w:type="default" r:id="rId53"/>
      <w:pgSz w:w="11907" w:h="16840" w:code="9"/>
      <w:pgMar w:top="1985" w:right="1304" w:bottom="1418" w:left="1814" w:header="1701" w:footer="567" w:gutter="0"/>
      <w:pgNumType w:start="2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4F8" w:rsidRDefault="00F804F8">
      <w:r>
        <w:separator/>
      </w:r>
    </w:p>
  </w:endnote>
  <w:endnote w:type="continuationSeparator" w:id="0">
    <w:p w:rsidR="00F804F8" w:rsidRDefault="00F80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804F8">
      <w:trPr>
        <w:trHeight w:hRule="exact" w:val="740"/>
      </w:trPr>
      <w:tc>
        <w:tcPr>
          <w:tcW w:w="510" w:type="dxa"/>
          <w:tcBorders>
            <w:top w:val="single" w:sz="6" w:space="0" w:color="auto"/>
          </w:tcBorders>
        </w:tcPr>
        <w:p w:rsidR="00F804F8" w:rsidRDefault="00F804F8"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54C51">
            <w:rPr>
              <w:rStyle w:val="PageNumber"/>
              <w:noProof/>
            </w:rPr>
            <w:t>52</w:t>
          </w:r>
          <w:r>
            <w:rPr>
              <w:rStyle w:val="PageNumber"/>
            </w:rPr>
            <w:fldChar w:fldCharType="end"/>
          </w:r>
        </w:p>
      </w:tc>
      <w:tc>
        <w:tcPr>
          <w:tcW w:w="1644" w:type="dxa"/>
          <w:tcBorders>
            <w:top w:val="single" w:sz="6" w:space="0" w:color="auto"/>
          </w:tcBorders>
        </w:tcPr>
        <w:p w:rsidR="00F804F8" w:rsidRDefault="00654C51" w:rsidP="0019293B">
          <w:pPr>
            <w:pStyle w:val="Footer"/>
          </w:pPr>
          <w:r>
            <w:fldChar w:fldCharType="begin"/>
          </w:r>
          <w:r>
            <w:instrText xml:space="preserve"> SUBJECT  \* MERGEFORMAT </w:instrText>
          </w:r>
          <w:r>
            <w:fldChar w:fldCharType="separate"/>
          </w:r>
          <w:r>
            <w:t>The distribution of income in Australia</w:t>
          </w:r>
          <w:r>
            <w:fldChar w:fldCharType="end"/>
          </w:r>
        </w:p>
      </w:tc>
      <w:tc>
        <w:tcPr>
          <w:tcW w:w="6634" w:type="dxa"/>
        </w:tcPr>
        <w:p w:rsidR="00F804F8" w:rsidRDefault="00F804F8" w:rsidP="0019293B">
          <w:pPr>
            <w:pStyle w:val="Footer"/>
          </w:pPr>
        </w:p>
      </w:tc>
    </w:tr>
  </w:tbl>
  <w:p w:rsidR="00F804F8" w:rsidRDefault="00F804F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804F8">
      <w:trPr>
        <w:trHeight w:hRule="exact" w:val="740"/>
      </w:trPr>
      <w:tc>
        <w:tcPr>
          <w:tcW w:w="6634" w:type="dxa"/>
        </w:tcPr>
        <w:p w:rsidR="00F804F8" w:rsidRDefault="00F804F8">
          <w:pPr>
            <w:pStyle w:val="Footer"/>
            <w:ind w:right="360" w:firstLine="360"/>
          </w:pPr>
        </w:p>
      </w:tc>
      <w:tc>
        <w:tcPr>
          <w:tcW w:w="1644" w:type="dxa"/>
          <w:tcBorders>
            <w:top w:val="single" w:sz="6" w:space="0" w:color="auto"/>
          </w:tcBorders>
        </w:tcPr>
        <w:p w:rsidR="00F804F8" w:rsidRDefault="00654C51">
          <w:pPr>
            <w:pStyle w:val="Footer"/>
          </w:pPr>
          <w:r>
            <w:fldChar w:fldCharType="begin"/>
          </w:r>
          <w:r>
            <w:instrText xml:space="preserve"> TITLE  \* MERGEFORMAT </w:instrText>
          </w:r>
          <w:r>
            <w:fldChar w:fldCharType="separate"/>
          </w:r>
          <w:r>
            <w:t>Individual income</w:t>
          </w:r>
          <w:r>
            <w:fldChar w:fldCharType="end"/>
          </w:r>
        </w:p>
      </w:tc>
      <w:tc>
        <w:tcPr>
          <w:tcW w:w="510" w:type="dxa"/>
          <w:tcBorders>
            <w:top w:val="single" w:sz="6" w:space="0" w:color="auto"/>
          </w:tcBorders>
        </w:tcPr>
        <w:p w:rsidR="00F804F8" w:rsidRDefault="00F804F8">
          <w:pPr>
            <w:pStyle w:val="Footer"/>
            <w:jc w:val="right"/>
          </w:pPr>
          <w:r>
            <w:rPr>
              <w:rStyle w:val="PageNumber"/>
            </w:rPr>
            <w:fldChar w:fldCharType="begin"/>
          </w:r>
          <w:r>
            <w:rPr>
              <w:rStyle w:val="PageNumber"/>
            </w:rPr>
            <w:instrText xml:space="preserve">PAGE  </w:instrText>
          </w:r>
          <w:r>
            <w:rPr>
              <w:rStyle w:val="PageNumber"/>
            </w:rPr>
            <w:fldChar w:fldCharType="separate"/>
          </w:r>
          <w:r w:rsidR="00654C51">
            <w:rPr>
              <w:rStyle w:val="PageNumber"/>
              <w:noProof/>
            </w:rPr>
            <w:t>57</w:t>
          </w:r>
          <w:r>
            <w:rPr>
              <w:rStyle w:val="PageNumber"/>
            </w:rPr>
            <w:fldChar w:fldCharType="end"/>
          </w:r>
        </w:p>
      </w:tc>
    </w:tr>
  </w:tbl>
  <w:p w:rsidR="00F804F8" w:rsidRDefault="00F804F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4F8" w:rsidRDefault="00F804F8">
      <w:r>
        <w:separator/>
      </w:r>
    </w:p>
  </w:footnote>
  <w:footnote w:type="continuationSeparator" w:id="0">
    <w:p w:rsidR="00F804F8" w:rsidRDefault="00F804F8">
      <w:r>
        <w:continuationSeparator/>
      </w:r>
    </w:p>
  </w:footnote>
  <w:footnote w:id="1">
    <w:p w:rsidR="00F804F8" w:rsidRDefault="00F804F8">
      <w:pPr>
        <w:pStyle w:val="FootnoteText"/>
      </w:pPr>
      <w:r>
        <w:rPr>
          <w:rStyle w:val="FootnoteReference"/>
        </w:rPr>
        <w:footnoteRef/>
      </w:r>
      <w:r>
        <w:t xml:space="preserve"> </w:t>
      </w:r>
      <w:r>
        <w:tab/>
        <w:t xml:space="preserve">See Gaston and </w:t>
      </w:r>
      <w:proofErr w:type="spellStart"/>
      <w:r>
        <w:t>Rajaguru</w:t>
      </w:r>
      <w:proofErr w:type="spellEnd"/>
      <w:r>
        <w:t> (2009) for a recent analysis of the causal factors underlying distributional changes in Australia.</w:t>
      </w:r>
    </w:p>
  </w:footnote>
  <w:footnote w:id="2">
    <w:p w:rsidR="00F804F8" w:rsidRDefault="00F804F8" w:rsidP="00102C18">
      <w:pPr>
        <w:pStyle w:val="FootnoteText"/>
      </w:pPr>
      <w:r>
        <w:rPr>
          <w:rStyle w:val="FootnoteReference"/>
        </w:rPr>
        <w:footnoteRef/>
      </w:r>
      <w:r>
        <w:tab/>
        <w:t xml:space="preserve">All figures in this section refer to </w:t>
      </w:r>
      <w:proofErr w:type="spellStart"/>
      <w:r>
        <w:t>HES</w:t>
      </w:r>
      <w:proofErr w:type="spellEnd"/>
      <w:r>
        <w:t xml:space="preserve"> respondents who report non-zero labour income over the period.</w:t>
      </w:r>
    </w:p>
  </w:footnote>
  <w:footnote w:id="3">
    <w:p w:rsidR="00F804F8" w:rsidRDefault="00F804F8">
      <w:pPr>
        <w:pStyle w:val="FootnoteText"/>
      </w:pPr>
      <w:r w:rsidRPr="00BD3FB7">
        <w:rPr>
          <w:rStyle w:val="FootnoteReference"/>
        </w:rPr>
        <w:footnoteRef/>
      </w:r>
      <w:r w:rsidRPr="00BD3FB7">
        <w:tab/>
        <w:t xml:space="preserve">Whilst not directly comparable due </w:t>
      </w:r>
      <w:r>
        <w:t xml:space="preserve">to </w:t>
      </w:r>
      <w:r w:rsidRPr="00BD3FB7">
        <w:t xml:space="preserve">differences in scope and coverage, these estimates are similar to those derived from ABS 6302.0. In 2011-12 dollars, this survey suggests average weekly earnings of all employees grew from $802 in February 1989 to </w:t>
      </w:r>
      <w:r>
        <w:t>$</w:t>
      </w:r>
      <w:r w:rsidRPr="00BD3FB7">
        <w:t>1014 in 2009-10.</w:t>
      </w:r>
    </w:p>
  </w:footnote>
  <w:footnote w:id="4">
    <w:p w:rsidR="00F804F8" w:rsidRDefault="00F804F8">
      <w:pPr>
        <w:pStyle w:val="FootnoteText"/>
      </w:pPr>
      <w:r>
        <w:rPr>
          <w:rStyle w:val="FootnoteReference"/>
        </w:rPr>
        <w:footnoteRef/>
      </w:r>
      <w:r>
        <w:t xml:space="preserve"> </w:t>
      </w:r>
      <w:r>
        <w:tab/>
        <w:t xml:space="preserve">For example, if </w:t>
      </w:r>
      <w:r w:rsidRPr="00D43CE0">
        <w:t>full-time workers</w:t>
      </w:r>
      <w:r>
        <w:t xml:space="preserve"> wages</w:t>
      </w:r>
      <w:r w:rsidRPr="00D43CE0">
        <w:t xml:space="preserve"> are ‘sticky’ </w:t>
      </w:r>
      <w:r>
        <w:t>(</w:t>
      </w:r>
      <w:r w:rsidRPr="00D43CE0">
        <w:t xml:space="preserve">in the sense that nominal hourly wages </w:t>
      </w:r>
      <w:r>
        <w:t xml:space="preserve">cannot easily </w:t>
      </w:r>
      <w:r w:rsidRPr="00D43CE0">
        <w:t>decline in response to periods of lowered labour demand (Hall 2005)</w:t>
      </w:r>
      <w:r>
        <w:t>) then i</w:t>
      </w:r>
      <w:r w:rsidRPr="00D43CE0">
        <w:t xml:space="preserve">n recessionary periods (that are not </w:t>
      </w:r>
      <w:r>
        <w:t xml:space="preserve">too </w:t>
      </w:r>
      <w:r w:rsidRPr="00D43CE0">
        <w:t>prolonged) full-time time workers will tend to</w:t>
      </w:r>
      <w:r>
        <w:t xml:space="preserve"> </w:t>
      </w:r>
      <w:r w:rsidRPr="00D43CE0">
        <w:t>maintain their earnings</w:t>
      </w:r>
      <w:r>
        <w:t xml:space="preserve"> or exit full-time employment (through unemployment or becoming part-time)</w:t>
      </w:r>
      <w:r w:rsidRPr="00D43CE0">
        <w:t xml:space="preserve">. On the other hand, the earnings of part-time workers and the self-employed </w:t>
      </w:r>
      <w:r>
        <w:t>may be</w:t>
      </w:r>
      <w:r w:rsidRPr="00D43CE0">
        <w:t xml:space="preserve"> more flexible. Part-time workers can have their hours scaled back, while a deterioration in the business environment directly i</w:t>
      </w:r>
      <w:r>
        <w:t>mpacts the earnings of the self-</w:t>
      </w:r>
      <w:r w:rsidRPr="00D43CE0">
        <w:t>employed.</w:t>
      </w:r>
    </w:p>
  </w:footnote>
  <w:footnote w:id="5">
    <w:p w:rsidR="00F804F8" w:rsidRDefault="00F804F8">
      <w:pPr>
        <w:pStyle w:val="FootnoteText"/>
      </w:pPr>
      <w:r>
        <w:rPr>
          <w:rStyle w:val="FootnoteReference"/>
        </w:rPr>
        <w:footnoteRef/>
      </w:r>
      <w:r>
        <w:tab/>
      </w:r>
      <w:proofErr w:type="spellStart"/>
      <w:r>
        <w:t>Deciles</w:t>
      </w:r>
      <w:proofErr w:type="spellEnd"/>
      <w:r>
        <w:t xml:space="preserve"> were separately constructed for full-time, part-time and the self-employed earnings.</w:t>
      </w:r>
    </w:p>
  </w:footnote>
  <w:footnote w:id="6">
    <w:p w:rsidR="00F804F8" w:rsidRDefault="00F804F8">
      <w:pPr>
        <w:pStyle w:val="FootnoteText"/>
      </w:pPr>
      <w:r>
        <w:rPr>
          <w:rStyle w:val="FootnoteReference"/>
        </w:rPr>
        <w:footnoteRef/>
      </w:r>
      <w:r>
        <w:tab/>
        <w:t>The ratio of the 2</w:t>
      </w:r>
      <w:r w:rsidRPr="008138DB">
        <w:rPr>
          <w:vertAlign w:val="superscript"/>
        </w:rPr>
        <w:t>nd</w:t>
      </w:r>
      <w:r>
        <w:t xml:space="preserve"> decile to the 10</w:t>
      </w:r>
      <w:r w:rsidRPr="008138DB">
        <w:rPr>
          <w:vertAlign w:val="superscript"/>
        </w:rPr>
        <w:t>th</w:t>
      </w:r>
      <w:r>
        <w:t xml:space="preserve"> is used here as the 1</w:t>
      </w:r>
      <w:r w:rsidRPr="008138DB">
        <w:rPr>
          <w:vertAlign w:val="superscript"/>
        </w:rPr>
        <w:t>st</w:t>
      </w:r>
      <w:r>
        <w:t xml:space="preserve"> decile of the self-employed has a negative income on average.</w:t>
      </w:r>
    </w:p>
  </w:footnote>
  <w:footnote w:id="7">
    <w:p w:rsidR="00F804F8" w:rsidRPr="005E06C8" w:rsidRDefault="00F804F8">
      <w:pPr>
        <w:pStyle w:val="FootnoteText"/>
      </w:pPr>
      <w:r>
        <w:rPr>
          <w:rStyle w:val="FootnoteReference"/>
        </w:rPr>
        <w:footnoteRef/>
      </w:r>
      <w:r>
        <w:t xml:space="preserve"> That is, singled peaked with a single value for the mode, median and mean.</w:t>
      </w:r>
    </w:p>
  </w:footnote>
  <w:footnote w:id="8">
    <w:p w:rsidR="00F804F8" w:rsidRDefault="00F804F8">
      <w:pPr>
        <w:pStyle w:val="FootnoteText"/>
      </w:pPr>
      <w:r>
        <w:rPr>
          <w:rStyle w:val="FootnoteReference"/>
        </w:rPr>
        <w:footnoteRef/>
      </w:r>
      <w:r>
        <w:t xml:space="preserve"> </w:t>
      </w:r>
      <w:r>
        <w:tab/>
        <w:t xml:space="preserve">That is, inclusion of the self-employed changes the level of the </w:t>
      </w:r>
      <w:proofErr w:type="spellStart"/>
      <w:r>
        <w:t>Gini</w:t>
      </w:r>
      <w:proofErr w:type="spellEnd"/>
      <w:r>
        <w:t xml:space="preserve"> coefficient, but has little effects on trends on the </w:t>
      </w:r>
      <w:proofErr w:type="spellStart"/>
      <w:r>
        <w:t>Gini</w:t>
      </w:r>
      <w:proofErr w:type="spellEnd"/>
      <w:r>
        <w:t xml:space="preserve"> coefficient.</w:t>
      </w:r>
    </w:p>
  </w:footnote>
  <w:footnote w:id="9">
    <w:p w:rsidR="00F804F8" w:rsidRDefault="00F804F8">
      <w:pPr>
        <w:pStyle w:val="FootnoteText"/>
      </w:pPr>
      <w:r>
        <w:rPr>
          <w:rStyle w:val="FootnoteReference"/>
        </w:rPr>
        <w:footnoteRef/>
      </w:r>
      <w:r>
        <w:t xml:space="preserve"> </w:t>
      </w:r>
      <w:r>
        <w:tab/>
        <w:t xml:space="preserve">Over the same period, the </w:t>
      </w:r>
      <w:proofErr w:type="spellStart"/>
      <w:r>
        <w:t>Gini</w:t>
      </w:r>
      <w:proofErr w:type="spellEnd"/>
      <w:r>
        <w:t xml:space="preserve"> coefficient for labour income increased from 0.349 to 0.412.</w:t>
      </w:r>
    </w:p>
  </w:footnote>
  <w:footnote w:id="10">
    <w:p w:rsidR="00F804F8" w:rsidRDefault="00F804F8">
      <w:pPr>
        <w:pStyle w:val="FootnoteText"/>
      </w:pPr>
      <w:r w:rsidRPr="00BD3FB7">
        <w:rPr>
          <w:rStyle w:val="FootnoteReference"/>
        </w:rPr>
        <w:footnoteRef/>
      </w:r>
      <w:r w:rsidRPr="00BD3FB7">
        <w:t xml:space="preserve"> Growth in average working hours for part-time workers is also found in ABS 6302.0, which suggests an increase from 17.7 hours per week to 22.4 hours per week.</w:t>
      </w:r>
    </w:p>
  </w:footnote>
  <w:footnote w:id="11">
    <w:p w:rsidR="00F804F8" w:rsidRDefault="00F804F8">
      <w:pPr>
        <w:pStyle w:val="FootnoteText"/>
      </w:pPr>
      <w:r w:rsidRPr="00BD3FB7">
        <w:rPr>
          <w:rStyle w:val="FootnoteReference"/>
        </w:rPr>
        <w:footnoteRef/>
      </w:r>
      <w:r w:rsidRPr="00BD3FB7">
        <w:tab/>
        <w:t xml:space="preserve">Estimates based </w:t>
      </w:r>
      <w:r>
        <w:t xml:space="preserve">on </w:t>
      </w:r>
      <w:r w:rsidRPr="00BD3FB7">
        <w:t>ABS 6302.0 and converted to 2011-12 dollars are similar for part-time workers ($28.6 per hour) and higher for full-time workers ($33.6 per hour).</w:t>
      </w:r>
    </w:p>
  </w:footnote>
  <w:footnote w:id="12">
    <w:p w:rsidR="00F804F8" w:rsidRDefault="00F804F8" w:rsidP="0093328E">
      <w:pPr>
        <w:pStyle w:val="FootnoteText"/>
      </w:pPr>
      <w:r>
        <w:rPr>
          <w:rStyle w:val="FootnoteReference"/>
        </w:rPr>
        <w:footnoteRef/>
      </w:r>
      <w:r>
        <w:tab/>
        <w:t>Capital &amp; other income is defined as: non-zero net investment income made up of interest, rent, dividends and royalties including that from superannuation (capital income) and non-zero income from private transfers made up of income from workers’ compensation, scholarships, child support and other private sources (other income).</w:t>
      </w:r>
    </w:p>
  </w:footnote>
  <w:footnote w:id="13">
    <w:p w:rsidR="00F804F8" w:rsidRPr="00317E1A" w:rsidRDefault="00F804F8">
      <w:pPr>
        <w:pStyle w:val="FootnoteText"/>
      </w:pPr>
      <w:r>
        <w:rPr>
          <w:rStyle w:val="FootnoteReference"/>
        </w:rPr>
        <w:footnoteRef/>
      </w:r>
      <w:r>
        <w:t xml:space="preserve"> In any event, measurement error in the top 1 per cent will also affect overall income averages and distributional measures. At the very least approach, this allows analysis of the impact of the </w:t>
      </w:r>
      <w:r>
        <w:rPr>
          <w:i/>
        </w:rPr>
        <w:t>measured</w:t>
      </w:r>
      <w:r>
        <w:t xml:space="preserve"> top 1 per cent on the </w:t>
      </w:r>
      <w:r>
        <w:rPr>
          <w:i/>
        </w:rPr>
        <w:t>measured</w:t>
      </w:r>
      <w:r>
        <w:t xml:space="preserve"> distribution.</w:t>
      </w:r>
    </w:p>
  </w:footnote>
  <w:footnote w:id="14">
    <w:p w:rsidR="00F804F8" w:rsidRDefault="00F804F8">
      <w:pPr>
        <w:pStyle w:val="FootnoteText"/>
      </w:pPr>
      <w:r>
        <w:rPr>
          <w:rStyle w:val="FootnoteReference"/>
        </w:rPr>
        <w:footnoteRef/>
      </w:r>
      <w:r>
        <w:tab/>
        <w:t xml:space="preserve">For example there is less than one  percentage point difference between the contribution of the top one per cent to </w:t>
      </w:r>
      <w:proofErr w:type="spellStart"/>
      <w:r>
        <w:t>Gini</w:t>
      </w:r>
      <w:proofErr w:type="spellEnd"/>
      <w:r>
        <w:t xml:space="preserve"> for labour earnings between 1989 and 2008. The increase is greatest amongst the self-employed at around 4 percentage points.</w:t>
      </w:r>
    </w:p>
  </w:footnote>
  <w:footnote w:id="15">
    <w:p w:rsidR="00F804F8" w:rsidRDefault="00F804F8">
      <w:pPr>
        <w:pStyle w:val="FootnoteText"/>
      </w:pPr>
      <w:r>
        <w:rPr>
          <w:rStyle w:val="FootnoteReference"/>
        </w:rPr>
        <w:footnoteRef/>
      </w:r>
      <w:r>
        <w:tab/>
        <w:t>This finding is unchanged when examining the impact of the top 1 per cent on market income (including capital).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804F8">
      <w:tc>
        <w:tcPr>
          <w:tcW w:w="2155" w:type="dxa"/>
          <w:tcBorders>
            <w:top w:val="single" w:sz="24" w:space="0" w:color="auto"/>
          </w:tcBorders>
        </w:tcPr>
        <w:p w:rsidR="00F804F8" w:rsidRDefault="00F804F8" w:rsidP="0019293B">
          <w:pPr>
            <w:pStyle w:val="HeaderEven"/>
          </w:pPr>
        </w:p>
      </w:tc>
      <w:tc>
        <w:tcPr>
          <w:tcW w:w="6634" w:type="dxa"/>
          <w:tcBorders>
            <w:top w:val="single" w:sz="6" w:space="0" w:color="auto"/>
          </w:tcBorders>
        </w:tcPr>
        <w:p w:rsidR="00F804F8" w:rsidRDefault="00F804F8" w:rsidP="0019293B">
          <w:pPr>
            <w:pStyle w:val="HeaderEven"/>
          </w:pPr>
        </w:p>
      </w:tc>
    </w:tr>
  </w:tbl>
  <w:p w:rsidR="00F804F8" w:rsidRDefault="00F804F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804F8">
      <w:tc>
        <w:tcPr>
          <w:tcW w:w="6634" w:type="dxa"/>
          <w:tcBorders>
            <w:top w:val="single" w:sz="6" w:space="0" w:color="auto"/>
          </w:tcBorders>
        </w:tcPr>
        <w:p w:rsidR="00F804F8" w:rsidRDefault="00F804F8" w:rsidP="00E669E2">
          <w:pPr>
            <w:pStyle w:val="HeaderOdd"/>
          </w:pPr>
        </w:p>
      </w:tc>
      <w:tc>
        <w:tcPr>
          <w:tcW w:w="2155" w:type="dxa"/>
          <w:tcBorders>
            <w:top w:val="single" w:sz="24" w:space="0" w:color="auto"/>
          </w:tcBorders>
        </w:tcPr>
        <w:p w:rsidR="00F804F8" w:rsidRDefault="00F804F8" w:rsidP="00E669E2">
          <w:pPr>
            <w:pStyle w:val="HeaderOdd"/>
          </w:pPr>
        </w:p>
      </w:tc>
    </w:tr>
  </w:tbl>
  <w:p w:rsidR="00F804F8" w:rsidRDefault="00F804F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30A1775"/>
    <w:multiLevelType w:val="hybridMultilevel"/>
    <w:tmpl w:val="60725F98"/>
    <w:lvl w:ilvl="0" w:tplc="7772CDCA">
      <w:start w:val="2"/>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4"/>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2"/>
  </w:num>
  <w:num w:numId="26">
    <w:abstractNumId w:val="33"/>
  </w:num>
  <w:num w:numId="27">
    <w:abstractNumId w:val="38"/>
  </w:num>
  <w:num w:numId="28">
    <w:abstractNumId w:val="39"/>
  </w:num>
  <w:num w:numId="29">
    <w:abstractNumId w:val="31"/>
  </w:num>
  <w:num w:numId="30">
    <w:abstractNumId w:val="21"/>
  </w:num>
  <w:num w:numId="31">
    <w:abstractNumId w:val="45"/>
  </w:num>
  <w:num w:numId="32">
    <w:abstractNumId w:val="15"/>
  </w:num>
  <w:num w:numId="33">
    <w:abstractNumId w:val="8"/>
  </w:num>
  <w:num w:numId="34">
    <w:abstractNumId w:val="18"/>
  </w:num>
  <w:num w:numId="35">
    <w:abstractNumId w:val="41"/>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40"/>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vidual income"/>
    <w:docVar w:name="ShortReportTitle" w:val="The distribution of income in Australia"/>
  </w:docVars>
  <w:rsids>
    <w:rsidRoot w:val="00BA4405"/>
    <w:rsid w:val="00003349"/>
    <w:rsid w:val="00011F31"/>
    <w:rsid w:val="000136C5"/>
    <w:rsid w:val="00015EBE"/>
    <w:rsid w:val="000227D5"/>
    <w:rsid w:val="00022944"/>
    <w:rsid w:val="000245AA"/>
    <w:rsid w:val="00027B75"/>
    <w:rsid w:val="00030541"/>
    <w:rsid w:val="0003664B"/>
    <w:rsid w:val="0004111F"/>
    <w:rsid w:val="0004550A"/>
    <w:rsid w:val="0004706C"/>
    <w:rsid w:val="00052E94"/>
    <w:rsid w:val="00055CFB"/>
    <w:rsid w:val="000565B3"/>
    <w:rsid w:val="00056E04"/>
    <w:rsid w:val="00057B9C"/>
    <w:rsid w:val="000649D4"/>
    <w:rsid w:val="00065403"/>
    <w:rsid w:val="000666EE"/>
    <w:rsid w:val="0007150B"/>
    <w:rsid w:val="00072CBD"/>
    <w:rsid w:val="00073E47"/>
    <w:rsid w:val="000754B2"/>
    <w:rsid w:val="00082469"/>
    <w:rsid w:val="00082B80"/>
    <w:rsid w:val="00082D4B"/>
    <w:rsid w:val="00085209"/>
    <w:rsid w:val="0009053E"/>
    <w:rsid w:val="00091A3C"/>
    <w:rsid w:val="000930F1"/>
    <w:rsid w:val="000938F5"/>
    <w:rsid w:val="00094A03"/>
    <w:rsid w:val="00096644"/>
    <w:rsid w:val="00096E55"/>
    <w:rsid w:val="000B20D9"/>
    <w:rsid w:val="000B388A"/>
    <w:rsid w:val="000B51EC"/>
    <w:rsid w:val="000B601B"/>
    <w:rsid w:val="000C207E"/>
    <w:rsid w:val="000C634A"/>
    <w:rsid w:val="000C77D7"/>
    <w:rsid w:val="000D2E00"/>
    <w:rsid w:val="000D467E"/>
    <w:rsid w:val="000E08D3"/>
    <w:rsid w:val="000E2413"/>
    <w:rsid w:val="000E24C7"/>
    <w:rsid w:val="000F0035"/>
    <w:rsid w:val="000F420B"/>
    <w:rsid w:val="000F5881"/>
    <w:rsid w:val="00100FC4"/>
    <w:rsid w:val="00102C18"/>
    <w:rsid w:val="00104139"/>
    <w:rsid w:val="00105A52"/>
    <w:rsid w:val="00110116"/>
    <w:rsid w:val="00110595"/>
    <w:rsid w:val="0011515A"/>
    <w:rsid w:val="00120072"/>
    <w:rsid w:val="001260E3"/>
    <w:rsid w:val="00126EB8"/>
    <w:rsid w:val="001270D8"/>
    <w:rsid w:val="001274D4"/>
    <w:rsid w:val="00131D94"/>
    <w:rsid w:val="00134A96"/>
    <w:rsid w:val="001363AA"/>
    <w:rsid w:val="001403F9"/>
    <w:rsid w:val="00140A8B"/>
    <w:rsid w:val="0014243C"/>
    <w:rsid w:val="001435FE"/>
    <w:rsid w:val="001442CD"/>
    <w:rsid w:val="001448FF"/>
    <w:rsid w:val="00145392"/>
    <w:rsid w:val="001560B2"/>
    <w:rsid w:val="001574AA"/>
    <w:rsid w:val="00176CF5"/>
    <w:rsid w:val="0018280A"/>
    <w:rsid w:val="00183956"/>
    <w:rsid w:val="00183E82"/>
    <w:rsid w:val="00184350"/>
    <w:rsid w:val="001878BB"/>
    <w:rsid w:val="00187956"/>
    <w:rsid w:val="00191AE0"/>
    <w:rsid w:val="0019293B"/>
    <w:rsid w:val="001A29AD"/>
    <w:rsid w:val="001A53D4"/>
    <w:rsid w:val="001B5067"/>
    <w:rsid w:val="001C0865"/>
    <w:rsid w:val="001C3ABA"/>
    <w:rsid w:val="001C4E03"/>
    <w:rsid w:val="001D52EA"/>
    <w:rsid w:val="001D63FE"/>
    <w:rsid w:val="001E593E"/>
    <w:rsid w:val="001E644E"/>
    <w:rsid w:val="001E7BE8"/>
    <w:rsid w:val="001F0248"/>
    <w:rsid w:val="001F2C43"/>
    <w:rsid w:val="001F3EB3"/>
    <w:rsid w:val="001F4F86"/>
    <w:rsid w:val="001F7093"/>
    <w:rsid w:val="001F75E8"/>
    <w:rsid w:val="0020007F"/>
    <w:rsid w:val="00202C2C"/>
    <w:rsid w:val="0021325E"/>
    <w:rsid w:val="002135AB"/>
    <w:rsid w:val="002144BE"/>
    <w:rsid w:val="00217BFC"/>
    <w:rsid w:val="00223582"/>
    <w:rsid w:val="00225BD6"/>
    <w:rsid w:val="002326A7"/>
    <w:rsid w:val="00233EF5"/>
    <w:rsid w:val="00233F46"/>
    <w:rsid w:val="00242279"/>
    <w:rsid w:val="002448F3"/>
    <w:rsid w:val="00245C82"/>
    <w:rsid w:val="002609A8"/>
    <w:rsid w:val="00260A1F"/>
    <w:rsid w:val="00262BC7"/>
    <w:rsid w:val="002650DF"/>
    <w:rsid w:val="002663E9"/>
    <w:rsid w:val="00266594"/>
    <w:rsid w:val="00266659"/>
    <w:rsid w:val="00267043"/>
    <w:rsid w:val="00273B42"/>
    <w:rsid w:val="0028325E"/>
    <w:rsid w:val="00291B40"/>
    <w:rsid w:val="00292941"/>
    <w:rsid w:val="002A3120"/>
    <w:rsid w:val="002A577D"/>
    <w:rsid w:val="002B173A"/>
    <w:rsid w:val="002B4008"/>
    <w:rsid w:val="002B4940"/>
    <w:rsid w:val="002B7C18"/>
    <w:rsid w:val="002C19BE"/>
    <w:rsid w:val="002C729B"/>
    <w:rsid w:val="002C77D3"/>
    <w:rsid w:val="002D01A4"/>
    <w:rsid w:val="002D0518"/>
    <w:rsid w:val="002D0E8E"/>
    <w:rsid w:val="002D4697"/>
    <w:rsid w:val="002F40D8"/>
    <w:rsid w:val="002F443C"/>
    <w:rsid w:val="002F4A35"/>
    <w:rsid w:val="002F5E97"/>
    <w:rsid w:val="002F61DE"/>
    <w:rsid w:val="00301189"/>
    <w:rsid w:val="0030204F"/>
    <w:rsid w:val="003039F4"/>
    <w:rsid w:val="00304E2A"/>
    <w:rsid w:val="00317037"/>
    <w:rsid w:val="00317E1A"/>
    <w:rsid w:val="00320E2E"/>
    <w:rsid w:val="00321346"/>
    <w:rsid w:val="00323E09"/>
    <w:rsid w:val="00323F40"/>
    <w:rsid w:val="00327AC4"/>
    <w:rsid w:val="0033140F"/>
    <w:rsid w:val="00332579"/>
    <w:rsid w:val="00332EAF"/>
    <w:rsid w:val="00333932"/>
    <w:rsid w:val="00333F9E"/>
    <w:rsid w:val="00335861"/>
    <w:rsid w:val="0034010E"/>
    <w:rsid w:val="00340E39"/>
    <w:rsid w:val="0034215B"/>
    <w:rsid w:val="00345560"/>
    <w:rsid w:val="003455C0"/>
    <w:rsid w:val="0034791A"/>
    <w:rsid w:val="00347EEF"/>
    <w:rsid w:val="003518AA"/>
    <w:rsid w:val="00352165"/>
    <w:rsid w:val="003523C8"/>
    <w:rsid w:val="00353182"/>
    <w:rsid w:val="003536D7"/>
    <w:rsid w:val="003565D9"/>
    <w:rsid w:val="003602E1"/>
    <w:rsid w:val="00360D97"/>
    <w:rsid w:val="00365932"/>
    <w:rsid w:val="00366EBF"/>
    <w:rsid w:val="00370249"/>
    <w:rsid w:val="0037026F"/>
    <w:rsid w:val="00371240"/>
    <w:rsid w:val="00373364"/>
    <w:rsid w:val="00374731"/>
    <w:rsid w:val="003759D6"/>
    <w:rsid w:val="00376E59"/>
    <w:rsid w:val="003778D1"/>
    <w:rsid w:val="0038218C"/>
    <w:rsid w:val="00385E51"/>
    <w:rsid w:val="0038668B"/>
    <w:rsid w:val="003919F9"/>
    <w:rsid w:val="003A1C7D"/>
    <w:rsid w:val="003A3A1F"/>
    <w:rsid w:val="003B0095"/>
    <w:rsid w:val="003B0874"/>
    <w:rsid w:val="003B487D"/>
    <w:rsid w:val="003B67CC"/>
    <w:rsid w:val="003B7C0F"/>
    <w:rsid w:val="003C2C0F"/>
    <w:rsid w:val="003C38B5"/>
    <w:rsid w:val="003C4192"/>
    <w:rsid w:val="003C5D99"/>
    <w:rsid w:val="003C7A2C"/>
    <w:rsid w:val="003D12FB"/>
    <w:rsid w:val="003D1996"/>
    <w:rsid w:val="003D49E1"/>
    <w:rsid w:val="003E0A4C"/>
    <w:rsid w:val="003E2F59"/>
    <w:rsid w:val="003E6066"/>
    <w:rsid w:val="003F0789"/>
    <w:rsid w:val="003F0D53"/>
    <w:rsid w:val="003F1B79"/>
    <w:rsid w:val="003F5059"/>
    <w:rsid w:val="003F508C"/>
    <w:rsid w:val="00401882"/>
    <w:rsid w:val="00407D6A"/>
    <w:rsid w:val="004100C8"/>
    <w:rsid w:val="00411DBD"/>
    <w:rsid w:val="00412ACE"/>
    <w:rsid w:val="00413455"/>
    <w:rsid w:val="004160C5"/>
    <w:rsid w:val="004169B3"/>
    <w:rsid w:val="004219AA"/>
    <w:rsid w:val="00431249"/>
    <w:rsid w:val="00431546"/>
    <w:rsid w:val="00434C19"/>
    <w:rsid w:val="0043740E"/>
    <w:rsid w:val="004377AD"/>
    <w:rsid w:val="0043793D"/>
    <w:rsid w:val="00437BAD"/>
    <w:rsid w:val="00450810"/>
    <w:rsid w:val="0046323E"/>
    <w:rsid w:val="00466957"/>
    <w:rsid w:val="00471944"/>
    <w:rsid w:val="004722D6"/>
    <w:rsid w:val="00475A40"/>
    <w:rsid w:val="00477144"/>
    <w:rsid w:val="00482030"/>
    <w:rsid w:val="00491380"/>
    <w:rsid w:val="004928ED"/>
    <w:rsid w:val="00492FBB"/>
    <w:rsid w:val="0049459F"/>
    <w:rsid w:val="004949D0"/>
    <w:rsid w:val="004A2B10"/>
    <w:rsid w:val="004A2C3A"/>
    <w:rsid w:val="004A38DD"/>
    <w:rsid w:val="004A6185"/>
    <w:rsid w:val="004A6489"/>
    <w:rsid w:val="004A68FD"/>
    <w:rsid w:val="004B43AE"/>
    <w:rsid w:val="004B56CE"/>
    <w:rsid w:val="004C30ED"/>
    <w:rsid w:val="004C6F92"/>
    <w:rsid w:val="004D2F49"/>
    <w:rsid w:val="004D5675"/>
    <w:rsid w:val="004E4F38"/>
    <w:rsid w:val="004F03CE"/>
    <w:rsid w:val="004F3A16"/>
    <w:rsid w:val="00503C8C"/>
    <w:rsid w:val="00510090"/>
    <w:rsid w:val="005166FA"/>
    <w:rsid w:val="00517068"/>
    <w:rsid w:val="00522CAA"/>
    <w:rsid w:val="00523639"/>
    <w:rsid w:val="00527BB3"/>
    <w:rsid w:val="00531FE5"/>
    <w:rsid w:val="00533C7A"/>
    <w:rsid w:val="00541EC0"/>
    <w:rsid w:val="00542388"/>
    <w:rsid w:val="00550175"/>
    <w:rsid w:val="00550C0B"/>
    <w:rsid w:val="0055620E"/>
    <w:rsid w:val="00557718"/>
    <w:rsid w:val="005624B6"/>
    <w:rsid w:val="00565CE0"/>
    <w:rsid w:val="00566B3D"/>
    <w:rsid w:val="00583C39"/>
    <w:rsid w:val="00587F28"/>
    <w:rsid w:val="005909CF"/>
    <w:rsid w:val="00591E71"/>
    <w:rsid w:val="005959C7"/>
    <w:rsid w:val="00596C5E"/>
    <w:rsid w:val="005A0D07"/>
    <w:rsid w:val="005A0D41"/>
    <w:rsid w:val="005A2D35"/>
    <w:rsid w:val="005A4AE4"/>
    <w:rsid w:val="005A7FEA"/>
    <w:rsid w:val="005B0A64"/>
    <w:rsid w:val="005B2A83"/>
    <w:rsid w:val="005B4D88"/>
    <w:rsid w:val="005C4636"/>
    <w:rsid w:val="005D0D7F"/>
    <w:rsid w:val="005D3674"/>
    <w:rsid w:val="005D64D9"/>
    <w:rsid w:val="005D78B5"/>
    <w:rsid w:val="005E06C8"/>
    <w:rsid w:val="005E1FDC"/>
    <w:rsid w:val="005E7144"/>
    <w:rsid w:val="005F1A1B"/>
    <w:rsid w:val="005F46B0"/>
    <w:rsid w:val="005F48E9"/>
    <w:rsid w:val="005F55FE"/>
    <w:rsid w:val="00601949"/>
    <w:rsid w:val="006044BA"/>
    <w:rsid w:val="006054AB"/>
    <w:rsid w:val="00607BF1"/>
    <w:rsid w:val="00616168"/>
    <w:rsid w:val="006165A0"/>
    <w:rsid w:val="00630D4D"/>
    <w:rsid w:val="00632A30"/>
    <w:rsid w:val="00632A74"/>
    <w:rsid w:val="006366BE"/>
    <w:rsid w:val="00636BCD"/>
    <w:rsid w:val="00641C44"/>
    <w:rsid w:val="00642266"/>
    <w:rsid w:val="0064264A"/>
    <w:rsid w:val="006461A1"/>
    <w:rsid w:val="006533CA"/>
    <w:rsid w:val="00654C51"/>
    <w:rsid w:val="00657603"/>
    <w:rsid w:val="00662AC6"/>
    <w:rsid w:val="006665D4"/>
    <w:rsid w:val="00666F91"/>
    <w:rsid w:val="0068042A"/>
    <w:rsid w:val="0069067E"/>
    <w:rsid w:val="00693D70"/>
    <w:rsid w:val="00695A2C"/>
    <w:rsid w:val="006A4655"/>
    <w:rsid w:val="006B02B1"/>
    <w:rsid w:val="006B2B3C"/>
    <w:rsid w:val="006B3388"/>
    <w:rsid w:val="006C0702"/>
    <w:rsid w:val="006C1D81"/>
    <w:rsid w:val="006C7038"/>
    <w:rsid w:val="006D43C2"/>
    <w:rsid w:val="006D5FED"/>
    <w:rsid w:val="006D6480"/>
    <w:rsid w:val="006E73EF"/>
    <w:rsid w:val="006F100D"/>
    <w:rsid w:val="00702AE7"/>
    <w:rsid w:val="00702CE3"/>
    <w:rsid w:val="00713DBF"/>
    <w:rsid w:val="00714D4D"/>
    <w:rsid w:val="00716C08"/>
    <w:rsid w:val="00726AF0"/>
    <w:rsid w:val="00732297"/>
    <w:rsid w:val="00734FB4"/>
    <w:rsid w:val="0074110A"/>
    <w:rsid w:val="0074196D"/>
    <w:rsid w:val="00742C24"/>
    <w:rsid w:val="007604BB"/>
    <w:rsid w:val="007617F7"/>
    <w:rsid w:val="007620FA"/>
    <w:rsid w:val="007631AD"/>
    <w:rsid w:val="0076325A"/>
    <w:rsid w:val="00763416"/>
    <w:rsid w:val="007635A5"/>
    <w:rsid w:val="00770BA4"/>
    <w:rsid w:val="00777F55"/>
    <w:rsid w:val="00781CE7"/>
    <w:rsid w:val="00785232"/>
    <w:rsid w:val="00792809"/>
    <w:rsid w:val="00793632"/>
    <w:rsid w:val="007944FD"/>
    <w:rsid w:val="007A21EB"/>
    <w:rsid w:val="007A52B7"/>
    <w:rsid w:val="007B1A93"/>
    <w:rsid w:val="007B78CC"/>
    <w:rsid w:val="007C0AD3"/>
    <w:rsid w:val="007C102C"/>
    <w:rsid w:val="007C3350"/>
    <w:rsid w:val="007C36C9"/>
    <w:rsid w:val="007C622B"/>
    <w:rsid w:val="007D00A8"/>
    <w:rsid w:val="007D312B"/>
    <w:rsid w:val="007D4E92"/>
    <w:rsid w:val="007D6401"/>
    <w:rsid w:val="007E01E4"/>
    <w:rsid w:val="007E2BC8"/>
    <w:rsid w:val="007E3002"/>
    <w:rsid w:val="007E3445"/>
    <w:rsid w:val="007E5378"/>
    <w:rsid w:val="007E6EFE"/>
    <w:rsid w:val="007F14CC"/>
    <w:rsid w:val="007F7107"/>
    <w:rsid w:val="00800D4C"/>
    <w:rsid w:val="00802316"/>
    <w:rsid w:val="0080595B"/>
    <w:rsid w:val="00806FE6"/>
    <w:rsid w:val="0081030F"/>
    <w:rsid w:val="008138DB"/>
    <w:rsid w:val="00816BC8"/>
    <w:rsid w:val="00817D21"/>
    <w:rsid w:val="0082087D"/>
    <w:rsid w:val="0082719D"/>
    <w:rsid w:val="00830A5E"/>
    <w:rsid w:val="00835771"/>
    <w:rsid w:val="0083712E"/>
    <w:rsid w:val="0083763F"/>
    <w:rsid w:val="0084137F"/>
    <w:rsid w:val="00842933"/>
    <w:rsid w:val="008478A8"/>
    <w:rsid w:val="0086082C"/>
    <w:rsid w:val="0086330E"/>
    <w:rsid w:val="00864ADC"/>
    <w:rsid w:val="0086532B"/>
    <w:rsid w:val="00875C7F"/>
    <w:rsid w:val="00875E58"/>
    <w:rsid w:val="0088012A"/>
    <w:rsid w:val="00880153"/>
    <w:rsid w:val="00880F97"/>
    <w:rsid w:val="0088133A"/>
    <w:rsid w:val="00882995"/>
    <w:rsid w:val="00884C7C"/>
    <w:rsid w:val="00886038"/>
    <w:rsid w:val="0089285E"/>
    <w:rsid w:val="0089436C"/>
    <w:rsid w:val="008963E4"/>
    <w:rsid w:val="00896C83"/>
    <w:rsid w:val="00897E46"/>
    <w:rsid w:val="008A290B"/>
    <w:rsid w:val="008A6E75"/>
    <w:rsid w:val="008B2A35"/>
    <w:rsid w:val="008B3432"/>
    <w:rsid w:val="008B3D90"/>
    <w:rsid w:val="008B4DF3"/>
    <w:rsid w:val="008B704C"/>
    <w:rsid w:val="008B7CDD"/>
    <w:rsid w:val="008C3B1F"/>
    <w:rsid w:val="008C4BC3"/>
    <w:rsid w:val="008D1C01"/>
    <w:rsid w:val="008D365C"/>
    <w:rsid w:val="008D44CE"/>
    <w:rsid w:val="008D540B"/>
    <w:rsid w:val="008E1B04"/>
    <w:rsid w:val="008E5ABA"/>
    <w:rsid w:val="00901FB0"/>
    <w:rsid w:val="009030BF"/>
    <w:rsid w:val="0090391D"/>
    <w:rsid w:val="009064CE"/>
    <w:rsid w:val="0091032F"/>
    <w:rsid w:val="00910473"/>
    <w:rsid w:val="00914368"/>
    <w:rsid w:val="009169F3"/>
    <w:rsid w:val="009207E8"/>
    <w:rsid w:val="00920854"/>
    <w:rsid w:val="0092519C"/>
    <w:rsid w:val="009253A1"/>
    <w:rsid w:val="0092597A"/>
    <w:rsid w:val="00925FAC"/>
    <w:rsid w:val="00927DFC"/>
    <w:rsid w:val="00927E07"/>
    <w:rsid w:val="00931076"/>
    <w:rsid w:val="0093309E"/>
    <w:rsid w:val="0093328E"/>
    <w:rsid w:val="009345D9"/>
    <w:rsid w:val="00934B15"/>
    <w:rsid w:val="00942B62"/>
    <w:rsid w:val="00943ADF"/>
    <w:rsid w:val="009441C5"/>
    <w:rsid w:val="00954C5F"/>
    <w:rsid w:val="00956A0C"/>
    <w:rsid w:val="00956BD9"/>
    <w:rsid w:val="00962489"/>
    <w:rsid w:val="0096435C"/>
    <w:rsid w:val="009656E9"/>
    <w:rsid w:val="009703FE"/>
    <w:rsid w:val="00973AF9"/>
    <w:rsid w:val="00980275"/>
    <w:rsid w:val="009808A6"/>
    <w:rsid w:val="0098302F"/>
    <w:rsid w:val="00984A21"/>
    <w:rsid w:val="00986FC0"/>
    <w:rsid w:val="00990C2C"/>
    <w:rsid w:val="009935C6"/>
    <w:rsid w:val="009945D3"/>
    <w:rsid w:val="009A6CAA"/>
    <w:rsid w:val="009C28C5"/>
    <w:rsid w:val="009C2AD0"/>
    <w:rsid w:val="009C4C14"/>
    <w:rsid w:val="009C6827"/>
    <w:rsid w:val="009C7421"/>
    <w:rsid w:val="009D055D"/>
    <w:rsid w:val="009D4202"/>
    <w:rsid w:val="009D5267"/>
    <w:rsid w:val="009D7290"/>
    <w:rsid w:val="009E11D6"/>
    <w:rsid w:val="009E1FB7"/>
    <w:rsid w:val="009E38B4"/>
    <w:rsid w:val="009E5630"/>
    <w:rsid w:val="009E66EC"/>
    <w:rsid w:val="009F0D1B"/>
    <w:rsid w:val="009F2438"/>
    <w:rsid w:val="009F3956"/>
    <w:rsid w:val="009F6766"/>
    <w:rsid w:val="009F696D"/>
    <w:rsid w:val="009F6BC6"/>
    <w:rsid w:val="009F7891"/>
    <w:rsid w:val="00A00129"/>
    <w:rsid w:val="00A035D8"/>
    <w:rsid w:val="00A074F2"/>
    <w:rsid w:val="00A118FA"/>
    <w:rsid w:val="00A11F3F"/>
    <w:rsid w:val="00A13A3E"/>
    <w:rsid w:val="00A17328"/>
    <w:rsid w:val="00A200DE"/>
    <w:rsid w:val="00A20F66"/>
    <w:rsid w:val="00A23A20"/>
    <w:rsid w:val="00A268B9"/>
    <w:rsid w:val="00A2703A"/>
    <w:rsid w:val="00A3390D"/>
    <w:rsid w:val="00A33DFF"/>
    <w:rsid w:val="00A35115"/>
    <w:rsid w:val="00A36D9A"/>
    <w:rsid w:val="00A40EEA"/>
    <w:rsid w:val="00A41243"/>
    <w:rsid w:val="00A42529"/>
    <w:rsid w:val="00A44456"/>
    <w:rsid w:val="00A46F81"/>
    <w:rsid w:val="00A4736B"/>
    <w:rsid w:val="00A5281D"/>
    <w:rsid w:val="00A548B0"/>
    <w:rsid w:val="00A554AB"/>
    <w:rsid w:val="00A57062"/>
    <w:rsid w:val="00A57B0A"/>
    <w:rsid w:val="00A6723C"/>
    <w:rsid w:val="00A81FF7"/>
    <w:rsid w:val="00A83D3D"/>
    <w:rsid w:val="00A865B0"/>
    <w:rsid w:val="00A90422"/>
    <w:rsid w:val="00A92B53"/>
    <w:rsid w:val="00A94FA6"/>
    <w:rsid w:val="00A9530C"/>
    <w:rsid w:val="00AA49A0"/>
    <w:rsid w:val="00AA5698"/>
    <w:rsid w:val="00AA63B1"/>
    <w:rsid w:val="00AA6710"/>
    <w:rsid w:val="00AA6F25"/>
    <w:rsid w:val="00AA797F"/>
    <w:rsid w:val="00AB0681"/>
    <w:rsid w:val="00AC47D9"/>
    <w:rsid w:val="00AC4C43"/>
    <w:rsid w:val="00AC69F6"/>
    <w:rsid w:val="00AD0A14"/>
    <w:rsid w:val="00AD0F22"/>
    <w:rsid w:val="00AD3376"/>
    <w:rsid w:val="00AD520B"/>
    <w:rsid w:val="00AF617B"/>
    <w:rsid w:val="00AF63E7"/>
    <w:rsid w:val="00AF7B3E"/>
    <w:rsid w:val="00AF7C20"/>
    <w:rsid w:val="00B00881"/>
    <w:rsid w:val="00B01C84"/>
    <w:rsid w:val="00B02D09"/>
    <w:rsid w:val="00B03157"/>
    <w:rsid w:val="00B034DD"/>
    <w:rsid w:val="00B10EB4"/>
    <w:rsid w:val="00B269C0"/>
    <w:rsid w:val="00B36176"/>
    <w:rsid w:val="00B361F6"/>
    <w:rsid w:val="00B3625C"/>
    <w:rsid w:val="00B40850"/>
    <w:rsid w:val="00B425C3"/>
    <w:rsid w:val="00B43AE8"/>
    <w:rsid w:val="00B43DF3"/>
    <w:rsid w:val="00B43E87"/>
    <w:rsid w:val="00B440AD"/>
    <w:rsid w:val="00B51B4D"/>
    <w:rsid w:val="00B53E7E"/>
    <w:rsid w:val="00B55E13"/>
    <w:rsid w:val="00B56366"/>
    <w:rsid w:val="00B56C42"/>
    <w:rsid w:val="00B573E1"/>
    <w:rsid w:val="00B62044"/>
    <w:rsid w:val="00B6342E"/>
    <w:rsid w:val="00B701A8"/>
    <w:rsid w:val="00B7113F"/>
    <w:rsid w:val="00B72C24"/>
    <w:rsid w:val="00B75ADB"/>
    <w:rsid w:val="00B75DAD"/>
    <w:rsid w:val="00B764E1"/>
    <w:rsid w:val="00B77411"/>
    <w:rsid w:val="00B86092"/>
    <w:rsid w:val="00B91FBF"/>
    <w:rsid w:val="00B92A29"/>
    <w:rsid w:val="00B940A4"/>
    <w:rsid w:val="00B94F95"/>
    <w:rsid w:val="00B957D5"/>
    <w:rsid w:val="00B95F10"/>
    <w:rsid w:val="00B974D3"/>
    <w:rsid w:val="00BA0D27"/>
    <w:rsid w:val="00BA3949"/>
    <w:rsid w:val="00BA4405"/>
    <w:rsid w:val="00BA4561"/>
    <w:rsid w:val="00BA73B6"/>
    <w:rsid w:val="00BA7E27"/>
    <w:rsid w:val="00BB0831"/>
    <w:rsid w:val="00BB12DC"/>
    <w:rsid w:val="00BB234E"/>
    <w:rsid w:val="00BB2603"/>
    <w:rsid w:val="00BB3A44"/>
    <w:rsid w:val="00BB4FCD"/>
    <w:rsid w:val="00BC1883"/>
    <w:rsid w:val="00BC6F2F"/>
    <w:rsid w:val="00BD13EA"/>
    <w:rsid w:val="00BD2A5F"/>
    <w:rsid w:val="00BD3AB1"/>
    <w:rsid w:val="00BD3FB7"/>
    <w:rsid w:val="00BE0F49"/>
    <w:rsid w:val="00BE2923"/>
    <w:rsid w:val="00BE3808"/>
    <w:rsid w:val="00BE78E7"/>
    <w:rsid w:val="00BF5111"/>
    <w:rsid w:val="00BF59B7"/>
    <w:rsid w:val="00BF5DB7"/>
    <w:rsid w:val="00C00CD8"/>
    <w:rsid w:val="00C060F3"/>
    <w:rsid w:val="00C062E9"/>
    <w:rsid w:val="00C07B64"/>
    <w:rsid w:val="00C11178"/>
    <w:rsid w:val="00C11FFF"/>
    <w:rsid w:val="00C13721"/>
    <w:rsid w:val="00C14FE4"/>
    <w:rsid w:val="00C150F5"/>
    <w:rsid w:val="00C26D6A"/>
    <w:rsid w:val="00C3066D"/>
    <w:rsid w:val="00C3531E"/>
    <w:rsid w:val="00C44E69"/>
    <w:rsid w:val="00C44FEA"/>
    <w:rsid w:val="00C4635F"/>
    <w:rsid w:val="00C543F4"/>
    <w:rsid w:val="00C55751"/>
    <w:rsid w:val="00C61283"/>
    <w:rsid w:val="00C6291C"/>
    <w:rsid w:val="00C633CB"/>
    <w:rsid w:val="00C72C52"/>
    <w:rsid w:val="00C736B5"/>
    <w:rsid w:val="00C816D8"/>
    <w:rsid w:val="00C81D4A"/>
    <w:rsid w:val="00C858E6"/>
    <w:rsid w:val="00C8762C"/>
    <w:rsid w:val="00C95C23"/>
    <w:rsid w:val="00CA00F9"/>
    <w:rsid w:val="00CA021E"/>
    <w:rsid w:val="00CA2961"/>
    <w:rsid w:val="00CA3D64"/>
    <w:rsid w:val="00CB0CD5"/>
    <w:rsid w:val="00CB22A2"/>
    <w:rsid w:val="00CB39FD"/>
    <w:rsid w:val="00CB3E80"/>
    <w:rsid w:val="00CB50D7"/>
    <w:rsid w:val="00CB7177"/>
    <w:rsid w:val="00CC1998"/>
    <w:rsid w:val="00CC25DF"/>
    <w:rsid w:val="00CC35E2"/>
    <w:rsid w:val="00CC3BA7"/>
    <w:rsid w:val="00CC4946"/>
    <w:rsid w:val="00CC5AD0"/>
    <w:rsid w:val="00CD0BED"/>
    <w:rsid w:val="00CD71C5"/>
    <w:rsid w:val="00CE3B22"/>
    <w:rsid w:val="00CE42E0"/>
    <w:rsid w:val="00CE555C"/>
    <w:rsid w:val="00CF141B"/>
    <w:rsid w:val="00CF229F"/>
    <w:rsid w:val="00CF28D8"/>
    <w:rsid w:val="00CF3888"/>
    <w:rsid w:val="00CF692C"/>
    <w:rsid w:val="00D002E6"/>
    <w:rsid w:val="00D00DB5"/>
    <w:rsid w:val="00D040F3"/>
    <w:rsid w:val="00D06780"/>
    <w:rsid w:val="00D077DC"/>
    <w:rsid w:val="00D11331"/>
    <w:rsid w:val="00D1228E"/>
    <w:rsid w:val="00D1501C"/>
    <w:rsid w:val="00D17052"/>
    <w:rsid w:val="00D17380"/>
    <w:rsid w:val="00D175B2"/>
    <w:rsid w:val="00D17D3E"/>
    <w:rsid w:val="00D270A4"/>
    <w:rsid w:val="00D27B18"/>
    <w:rsid w:val="00D31058"/>
    <w:rsid w:val="00D31FE9"/>
    <w:rsid w:val="00D32590"/>
    <w:rsid w:val="00D339D8"/>
    <w:rsid w:val="00D346AA"/>
    <w:rsid w:val="00D34E1B"/>
    <w:rsid w:val="00D35B35"/>
    <w:rsid w:val="00D35EE3"/>
    <w:rsid w:val="00D36EEC"/>
    <w:rsid w:val="00D376BA"/>
    <w:rsid w:val="00D431FA"/>
    <w:rsid w:val="00D43583"/>
    <w:rsid w:val="00D43CE0"/>
    <w:rsid w:val="00D45634"/>
    <w:rsid w:val="00D45794"/>
    <w:rsid w:val="00D462B9"/>
    <w:rsid w:val="00D5568A"/>
    <w:rsid w:val="00D63D73"/>
    <w:rsid w:val="00D64452"/>
    <w:rsid w:val="00D6589C"/>
    <w:rsid w:val="00D660D1"/>
    <w:rsid w:val="00D668E5"/>
    <w:rsid w:val="00D66E1E"/>
    <w:rsid w:val="00D67FDD"/>
    <w:rsid w:val="00D75722"/>
    <w:rsid w:val="00D75A5E"/>
    <w:rsid w:val="00D7725F"/>
    <w:rsid w:val="00D80CF5"/>
    <w:rsid w:val="00D872E8"/>
    <w:rsid w:val="00D903B2"/>
    <w:rsid w:val="00DA008D"/>
    <w:rsid w:val="00DA5BBA"/>
    <w:rsid w:val="00DA6941"/>
    <w:rsid w:val="00DB0CCD"/>
    <w:rsid w:val="00DB2151"/>
    <w:rsid w:val="00DB26D2"/>
    <w:rsid w:val="00DB5904"/>
    <w:rsid w:val="00DB67C9"/>
    <w:rsid w:val="00DC0C95"/>
    <w:rsid w:val="00DC3EA8"/>
    <w:rsid w:val="00DC4DA7"/>
    <w:rsid w:val="00DC5139"/>
    <w:rsid w:val="00DC6726"/>
    <w:rsid w:val="00DD0D82"/>
    <w:rsid w:val="00DD6580"/>
    <w:rsid w:val="00DD6E13"/>
    <w:rsid w:val="00DE1ADF"/>
    <w:rsid w:val="00DF0B7B"/>
    <w:rsid w:val="00DF0BA5"/>
    <w:rsid w:val="00DF1832"/>
    <w:rsid w:val="00DF1ECE"/>
    <w:rsid w:val="00DF4A78"/>
    <w:rsid w:val="00DF6E2D"/>
    <w:rsid w:val="00E01086"/>
    <w:rsid w:val="00E02B5D"/>
    <w:rsid w:val="00E03FA6"/>
    <w:rsid w:val="00E05013"/>
    <w:rsid w:val="00E134FC"/>
    <w:rsid w:val="00E17C72"/>
    <w:rsid w:val="00E205C9"/>
    <w:rsid w:val="00E20EB4"/>
    <w:rsid w:val="00E21FC6"/>
    <w:rsid w:val="00E22BF4"/>
    <w:rsid w:val="00E251E6"/>
    <w:rsid w:val="00E26698"/>
    <w:rsid w:val="00E33ED6"/>
    <w:rsid w:val="00E3727D"/>
    <w:rsid w:val="00E4305B"/>
    <w:rsid w:val="00E431A9"/>
    <w:rsid w:val="00E44900"/>
    <w:rsid w:val="00E53A9D"/>
    <w:rsid w:val="00E56450"/>
    <w:rsid w:val="00E61D64"/>
    <w:rsid w:val="00E62996"/>
    <w:rsid w:val="00E669E2"/>
    <w:rsid w:val="00E72450"/>
    <w:rsid w:val="00E76135"/>
    <w:rsid w:val="00E77A42"/>
    <w:rsid w:val="00E82F4F"/>
    <w:rsid w:val="00E90BF5"/>
    <w:rsid w:val="00E96BAA"/>
    <w:rsid w:val="00E97D8C"/>
    <w:rsid w:val="00EA1D07"/>
    <w:rsid w:val="00EA21B2"/>
    <w:rsid w:val="00EB3154"/>
    <w:rsid w:val="00EB49C2"/>
    <w:rsid w:val="00EB61EF"/>
    <w:rsid w:val="00EB7713"/>
    <w:rsid w:val="00EC2844"/>
    <w:rsid w:val="00EC5500"/>
    <w:rsid w:val="00ED5152"/>
    <w:rsid w:val="00EE44F1"/>
    <w:rsid w:val="00EE6F45"/>
    <w:rsid w:val="00EF6C6C"/>
    <w:rsid w:val="00EF6E6C"/>
    <w:rsid w:val="00F02DF5"/>
    <w:rsid w:val="00F0495B"/>
    <w:rsid w:val="00F04CC0"/>
    <w:rsid w:val="00F052A9"/>
    <w:rsid w:val="00F056FC"/>
    <w:rsid w:val="00F05CEE"/>
    <w:rsid w:val="00F10476"/>
    <w:rsid w:val="00F1075C"/>
    <w:rsid w:val="00F11C81"/>
    <w:rsid w:val="00F125C9"/>
    <w:rsid w:val="00F135D8"/>
    <w:rsid w:val="00F21C27"/>
    <w:rsid w:val="00F30AD7"/>
    <w:rsid w:val="00F31299"/>
    <w:rsid w:val="00F34860"/>
    <w:rsid w:val="00F3534A"/>
    <w:rsid w:val="00F35C43"/>
    <w:rsid w:val="00F375A5"/>
    <w:rsid w:val="00F377C6"/>
    <w:rsid w:val="00F42F46"/>
    <w:rsid w:val="00F43A7C"/>
    <w:rsid w:val="00F50727"/>
    <w:rsid w:val="00F51609"/>
    <w:rsid w:val="00F67C08"/>
    <w:rsid w:val="00F745E7"/>
    <w:rsid w:val="00F804F8"/>
    <w:rsid w:val="00F83216"/>
    <w:rsid w:val="00F85288"/>
    <w:rsid w:val="00F85325"/>
    <w:rsid w:val="00F8541B"/>
    <w:rsid w:val="00F875B6"/>
    <w:rsid w:val="00F90AF7"/>
    <w:rsid w:val="00F95C11"/>
    <w:rsid w:val="00F9646A"/>
    <w:rsid w:val="00F96725"/>
    <w:rsid w:val="00FA2131"/>
    <w:rsid w:val="00FA570B"/>
    <w:rsid w:val="00FB71F9"/>
    <w:rsid w:val="00FC1CFB"/>
    <w:rsid w:val="00FC7D1B"/>
    <w:rsid w:val="00FD1134"/>
    <w:rsid w:val="00FD1B3E"/>
    <w:rsid w:val="00FD22B1"/>
    <w:rsid w:val="00FD46AA"/>
    <w:rsid w:val="00FD6DFD"/>
    <w:rsid w:val="00FE16A6"/>
    <w:rsid w:val="00FE41D0"/>
    <w:rsid w:val="00FE6495"/>
    <w:rsid w:val="00FF6E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styleId="Hyperlink">
    <w:name w:val="Hyperlink"/>
    <w:basedOn w:val="DefaultParagraphFont"/>
    <w:rsid w:val="007F14CC"/>
    <w:rPr>
      <w:color w:val="0000FF" w:themeColor="hyperlink"/>
      <w:u w:val="single"/>
    </w:rPr>
  </w:style>
  <w:style w:type="table" w:styleId="TableGrid">
    <w:name w:val="Table Grid"/>
    <w:basedOn w:val="TableNormal"/>
    <w:rsid w:val="00BE0F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semiHidden/>
    <w:rsid w:val="009441C5"/>
    <w:rPr>
      <w:szCs w:val="24"/>
    </w:rPr>
  </w:style>
  <w:style w:type="paragraph" w:customStyle="1" w:styleId="BoxSpaceAbove">
    <w:name w:val="Box Space Above"/>
    <w:basedOn w:val="BodyText"/>
    <w:rsid w:val="00742C24"/>
    <w:pPr>
      <w:keepNext/>
      <w:spacing w:before="360" w:line="80" w:lineRule="exact"/>
      <w:jc w:val="left"/>
    </w:pPr>
  </w:style>
  <w:style w:type="paragraph" w:customStyle="1" w:styleId="BoxSpaceBelow">
    <w:name w:val="Box Space Below"/>
    <w:basedOn w:val="Box"/>
    <w:rsid w:val="00742C24"/>
    <w:pPr>
      <w:keepNext w:val="0"/>
      <w:spacing w:before="60" w:after="60" w:line="80" w:lineRule="exact"/>
    </w:pPr>
    <w:rPr>
      <w:sz w:val="14"/>
    </w:rPr>
  </w:style>
  <w:style w:type="character" w:styleId="PlaceholderText">
    <w:name w:val="Placeholder Text"/>
    <w:basedOn w:val="DefaultParagraphFont"/>
    <w:uiPriority w:val="99"/>
    <w:semiHidden/>
    <w:rsid w:val="00B764E1"/>
    <w:rPr>
      <w:color w:val="808080"/>
    </w:rPr>
  </w:style>
  <w:style w:type="paragraph" w:styleId="NormalWeb">
    <w:name w:val="Normal (Web)"/>
    <w:basedOn w:val="Normal"/>
    <w:uiPriority w:val="99"/>
    <w:unhideWhenUsed/>
    <w:rsid w:val="005B2A83"/>
    <w:pPr>
      <w:spacing w:before="100" w:beforeAutospacing="1" w:after="100" w:afterAutospacing="1"/>
    </w:pPr>
    <w:rPr>
      <w:rFonts w:eastAsiaTheme="minorEastAsia"/>
      <w:sz w:val="24"/>
    </w:rPr>
  </w:style>
  <w:style w:type="paragraph" w:styleId="CommentSubject">
    <w:name w:val="annotation subject"/>
    <w:basedOn w:val="CommentText"/>
    <w:next w:val="CommentText"/>
    <w:link w:val="CommentSubjectChar"/>
    <w:rsid w:val="005A4AE4"/>
    <w:pPr>
      <w:spacing w:before="0" w:line="240" w:lineRule="auto"/>
      <w:ind w:left="0" w:firstLine="0"/>
    </w:pPr>
    <w:rPr>
      <w:b/>
      <w:bCs/>
      <w:szCs w:val="20"/>
    </w:rPr>
  </w:style>
  <w:style w:type="character" w:customStyle="1" w:styleId="CommentSubjectChar">
    <w:name w:val="Comment Subject Char"/>
    <w:basedOn w:val="CommentTextChar"/>
    <w:link w:val="CommentSubject"/>
    <w:rsid w:val="005A4AE4"/>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styleId="Hyperlink">
    <w:name w:val="Hyperlink"/>
    <w:basedOn w:val="DefaultParagraphFont"/>
    <w:rsid w:val="007F14CC"/>
    <w:rPr>
      <w:color w:val="0000FF" w:themeColor="hyperlink"/>
      <w:u w:val="single"/>
    </w:rPr>
  </w:style>
  <w:style w:type="table" w:styleId="TableGrid">
    <w:name w:val="Table Grid"/>
    <w:basedOn w:val="TableNormal"/>
    <w:rsid w:val="00BE0F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semiHidden/>
    <w:rsid w:val="009441C5"/>
    <w:rPr>
      <w:szCs w:val="24"/>
    </w:rPr>
  </w:style>
  <w:style w:type="paragraph" w:customStyle="1" w:styleId="BoxSpaceAbove">
    <w:name w:val="Box Space Above"/>
    <w:basedOn w:val="BodyText"/>
    <w:rsid w:val="00742C24"/>
    <w:pPr>
      <w:keepNext/>
      <w:spacing w:before="360" w:line="80" w:lineRule="exact"/>
      <w:jc w:val="left"/>
    </w:pPr>
  </w:style>
  <w:style w:type="paragraph" w:customStyle="1" w:styleId="BoxSpaceBelow">
    <w:name w:val="Box Space Below"/>
    <w:basedOn w:val="Box"/>
    <w:rsid w:val="00742C24"/>
    <w:pPr>
      <w:keepNext w:val="0"/>
      <w:spacing w:before="60" w:after="60" w:line="80" w:lineRule="exact"/>
    </w:pPr>
    <w:rPr>
      <w:sz w:val="14"/>
    </w:rPr>
  </w:style>
  <w:style w:type="character" w:styleId="PlaceholderText">
    <w:name w:val="Placeholder Text"/>
    <w:basedOn w:val="DefaultParagraphFont"/>
    <w:uiPriority w:val="99"/>
    <w:semiHidden/>
    <w:rsid w:val="00B764E1"/>
    <w:rPr>
      <w:color w:val="808080"/>
    </w:rPr>
  </w:style>
  <w:style w:type="paragraph" w:styleId="NormalWeb">
    <w:name w:val="Normal (Web)"/>
    <w:basedOn w:val="Normal"/>
    <w:uiPriority w:val="99"/>
    <w:unhideWhenUsed/>
    <w:rsid w:val="005B2A83"/>
    <w:pPr>
      <w:spacing w:before="100" w:beforeAutospacing="1" w:after="100" w:afterAutospacing="1"/>
    </w:pPr>
    <w:rPr>
      <w:rFonts w:eastAsiaTheme="minorEastAsia"/>
      <w:sz w:val="24"/>
    </w:rPr>
  </w:style>
  <w:style w:type="paragraph" w:styleId="CommentSubject">
    <w:name w:val="annotation subject"/>
    <w:basedOn w:val="CommentText"/>
    <w:next w:val="CommentText"/>
    <w:link w:val="CommentSubjectChar"/>
    <w:rsid w:val="005A4AE4"/>
    <w:pPr>
      <w:spacing w:before="0" w:line="240" w:lineRule="auto"/>
      <w:ind w:left="0" w:firstLine="0"/>
    </w:pPr>
    <w:rPr>
      <w:b/>
      <w:bCs/>
      <w:szCs w:val="20"/>
    </w:rPr>
  </w:style>
  <w:style w:type="character" w:customStyle="1" w:styleId="CommentSubjectChar">
    <w:name w:val="Comment Subject Char"/>
    <w:basedOn w:val="CommentTextChar"/>
    <w:link w:val="CommentSubject"/>
    <w:rsid w:val="005A4AE4"/>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6.xml"/><Relationship Id="rId39" Type="http://schemas.openxmlformats.org/officeDocument/2006/relationships/chart" Target="charts/chart29.xml"/><Relationship Id="rId21" Type="http://schemas.openxmlformats.org/officeDocument/2006/relationships/chart" Target="charts/chart11.xml"/><Relationship Id="rId34" Type="http://schemas.openxmlformats.org/officeDocument/2006/relationships/chart" Target="charts/chart24.xml"/><Relationship Id="rId42" Type="http://schemas.openxmlformats.org/officeDocument/2006/relationships/chart" Target="charts/chart32.xml"/><Relationship Id="rId47" Type="http://schemas.openxmlformats.org/officeDocument/2006/relationships/chart" Target="charts/chart37.xml"/><Relationship Id="rId50" Type="http://schemas.openxmlformats.org/officeDocument/2006/relationships/header" Target="header1.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5.xml"/><Relationship Id="rId33" Type="http://schemas.openxmlformats.org/officeDocument/2006/relationships/chart" Target="charts/chart23.xml"/><Relationship Id="rId38" Type="http://schemas.openxmlformats.org/officeDocument/2006/relationships/chart" Target="charts/chart28.xml"/><Relationship Id="rId46" Type="http://schemas.openxmlformats.org/officeDocument/2006/relationships/chart" Target="charts/chart36.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chart" Target="charts/chart19.xml"/><Relationship Id="rId41" Type="http://schemas.openxmlformats.org/officeDocument/2006/relationships/chart" Target="charts/chart31.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chart" Target="charts/chart14.xml"/><Relationship Id="rId32" Type="http://schemas.openxmlformats.org/officeDocument/2006/relationships/chart" Target="charts/chart22.xml"/><Relationship Id="rId37" Type="http://schemas.openxmlformats.org/officeDocument/2006/relationships/chart" Target="charts/chart27.xml"/><Relationship Id="rId40" Type="http://schemas.openxmlformats.org/officeDocument/2006/relationships/chart" Target="charts/chart30.xml"/><Relationship Id="rId45" Type="http://schemas.openxmlformats.org/officeDocument/2006/relationships/chart" Target="charts/chart35.xml"/><Relationship Id="rId53"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chart" Target="charts/chart18.xml"/><Relationship Id="rId36" Type="http://schemas.openxmlformats.org/officeDocument/2006/relationships/chart" Target="charts/chart26.xml"/><Relationship Id="rId49" Type="http://schemas.openxmlformats.org/officeDocument/2006/relationships/chart" Target="charts/chart39.xml"/><Relationship Id="rId10" Type="http://schemas.openxmlformats.org/officeDocument/2006/relationships/chart" Target="charts/chart1.xml"/><Relationship Id="rId19" Type="http://schemas.openxmlformats.org/officeDocument/2006/relationships/chart" Target="charts/chart9.xml"/><Relationship Id="rId31" Type="http://schemas.openxmlformats.org/officeDocument/2006/relationships/chart" Target="charts/chart21.xml"/><Relationship Id="rId44" Type="http://schemas.openxmlformats.org/officeDocument/2006/relationships/chart" Target="charts/chart34.xml"/><Relationship Id="rId52"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chart" Target="charts/chart17.xml"/><Relationship Id="rId30" Type="http://schemas.openxmlformats.org/officeDocument/2006/relationships/chart" Target="charts/chart20.xml"/><Relationship Id="rId35" Type="http://schemas.openxmlformats.org/officeDocument/2006/relationships/chart" Target="charts/chart25.xml"/><Relationship Id="rId43" Type="http://schemas.openxmlformats.org/officeDocument/2006/relationships/chart" Target="charts/chart33.xml"/><Relationship Id="rId48" Type="http://schemas.openxmlformats.org/officeDocument/2006/relationships/chart" Target="charts/chart38.xml"/><Relationship Id="rId8" Type="http://schemas.openxmlformats.org/officeDocument/2006/relationships/endnotes" Target="endnotes.xml"/><Relationship Id="rId51" Type="http://schemas.openxmlformats.org/officeDocument/2006/relationships/header" Target="header2.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nch1\groups\Trends%20income%20distribution\AAReport\Tables%20and%20charts\Chapter%202\figure%202.2%20to%202.4.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NULL" TargetMode="External"/></Relationships>
</file>

<file path=word/charts/_rels/chart1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NULL"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NULL"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NULL"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0.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9.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_rels/chart30.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NULL"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2.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NULL" TargetMode="External"/></Relationships>
</file>

<file path=word/charts/_rels/chart33.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NULL"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5.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NULL"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7.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NULL"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NULL"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9836176727909011E-2"/>
          <c:y val="5.1400554097404488E-2"/>
          <c:w val="0.65368730158730159"/>
          <c:h val="0.8326195683872849"/>
        </c:manualLayout>
      </c:layout>
      <c:lineChart>
        <c:grouping val="standard"/>
        <c:varyColors val="0"/>
        <c:ser>
          <c:idx val="0"/>
          <c:order val="0"/>
          <c:tx>
            <c:v>Full time workers</c:v>
          </c:tx>
          <c:spPr>
            <a:ln>
              <a:solidFill>
                <a:schemeClr val="accent1">
                  <a:lumMod val="75000"/>
                </a:schemeClr>
              </a:solidFill>
            </a:ln>
          </c:spPr>
          <c:marker>
            <c:symbol val="none"/>
          </c:marker>
          <c:cat>
            <c:strRef>
              <c:f>Sheet1!$B$5:$F$5</c:f>
              <c:strCache>
                <c:ptCount val="5"/>
                <c:pt idx="0">
                  <c:v>1988-89</c:v>
                </c:pt>
                <c:pt idx="1">
                  <c:v>1993-94</c:v>
                </c:pt>
                <c:pt idx="2">
                  <c:v>1998-99</c:v>
                </c:pt>
                <c:pt idx="3">
                  <c:v>2003-04</c:v>
                </c:pt>
                <c:pt idx="4">
                  <c:v>2009-10</c:v>
                </c:pt>
              </c:strCache>
            </c:strRef>
          </c:cat>
          <c:val>
            <c:numRef>
              <c:f>Sheet1!$B$17:$F$17</c:f>
              <c:numCache>
                <c:formatCode>General</c:formatCode>
                <c:ptCount val="5"/>
                <c:pt idx="0">
                  <c:v>942.32027000000005</c:v>
                </c:pt>
                <c:pt idx="1">
                  <c:v>995.18240000000003</c:v>
                </c:pt>
                <c:pt idx="2">
                  <c:v>1129.5372</c:v>
                </c:pt>
                <c:pt idx="3">
                  <c:v>1196.7744</c:v>
                </c:pt>
                <c:pt idx="4">
                  <c:v>1411.989</c:v>
                </c:pt>
              </c:numCache>
            </c:numRef>
          </c:val>
          <c:smooth val="0"/>
        </c:ser>
        <c:ser>
          <c:idx val="1"/>
          <c:order val="1"/>
          <c:tx>
            <c:v>Part time workers</c:v>
          </c:tx>
          <c:marker>
            <c:symbol val="none"/>
          </c:marker>
          <c:cat>
            <c:strRef>
              <c:f>Sheet1!$B$5:$F$5</c:f>
              <c:strCache>
                <c:ptCount val="5"/>
                <c:pt idx="0">
                  <c:v>1988-89</c:v>
                </c:pt>
                <c:pt idx="1">
                  <c:v>1993-94</c:v>
                </c:pt>
                <c:pt idx="2">
                  <c:v>1998-99</c:v>
                </c:pt>
                <c:pt idx="3">
                  <c:v>2003-04</c:v>
                </c:pt>
                <c:pt idx="4">
                  <c:v>2009-10</c:v>
                </c:pt>
              </c:strCache>
            </c:strRef>
          </c:cat>
          <c:val>
            <c:numRef>
              <c:f>Sheet1!$I$17:$M$17</c:f>
              <c:numCache>
                <c:formatCode>General</c:formatCode>
                <c:ptCount val="5"/>
                <c:pt idx="0">
                  <c:v>368.19376</c:v>
                </c:pt>
                <c:pt idx="1">
                  <c:v>363.63488999999998</c:v>
                </c:pt>
                <c:pt idx="2">
                  <c:v>406.95166</c:v>
                </c:pt>
                <c:pt idx="3">
                  <c:v>456.93538999999998</c:v>
                </c:pt>
                <c:pt idx="4">
                  <c:v>539.95771999999999</c:v>
                </c:pt>
              </c:numCache>
            </c:numRef>
          </c:val>
          <c:smooth val="0"/>
        </c:ser>
        <c:ser>
          <c:idx val="2"/>
          <c:order val="2"/>
          <c:tx>
            <c:v>business income</c:v>
          </c:tx>
          <c:marker>
            <c:symbol val="none"/>
          </c:marker>
          <c:cat>
            <c:strRef>
              <c:f>Sheet1!$B$5:$F$5</c:f>
              <c:strCache>
                <c:ptCount val="5"/>
                <c:pt idx="0">
                  <c:v>1988-89</c:v>
                </c:pt>
                <c:pt idx="1">
                  <c:v>1993-94</c:v>
                </c:pt>
                <c:pt idx="2">
                  <c:v>1998-99</c:v>
                </c:pt>
                <c:pt idx="3">
                  <c:v>2003-04</c:v>
                </c:pt>
                <c:pt idx="4">
                  <c:v>2009-10</c:v>
                </c:pt>
              </c:strCache>
            </c:strRef>
          </c:cat>
          <c:val>
            <c:numRef>
              <c:f>Sheet1!$AD$17:$AH$17</c:f>
              <c:numCache>
                <c:formatCode>General</c:formatCode>
                <c:ptCount val="5"/>
                <c:pt idx="0">
                  <c:v>544.31398000000002</c:v>
                </c:pt>
                <c:pt idx="1">
                  <c:v>480.36433</c:v>
                </c:pt>
                <c:pt idx="2">
                  <c:v>498.17471999999998</c:v>
                </c:pt>
                <c:pt idx="3">
                  <c:v>661.24588000000006</c:v>
                </c:pt>
                <c:pt idx="4">
                  <c:v>832.62926000000004</c:v>
                </c:pt>
              </c:numCache>
            </c:numRef>
          </c:val>
          <c:smooth val="0"/>
        </c:ser>
        <c:ser>
          <c:idx val="3"/>
          <c:order val="3"/>
          <c:tx>
            <c:v>labour income</c:v>
          </c:tx>
          <c:marker>
            <c:symbol val="none"/>
          </c:marker>
          <c:cat>
            <c:strRef>
              <c:f>Sheet1!$B$5:$F$5</c:f>
              <c:strCache>
                <c:ptCount val="5"/>
                <c:pt idx="0">
                  <c:v>1988-89</c:v>
                </c:pt>
                <c:pt idx="1">
                  <c:v>1993-94</c:v>
                </c:pt>
                <c:pt idx="2">
                  <c:v>1998-99</c:v>
                </c:pt>
                <c:pt idx="3">
                  <c:v>2003-04</c:v>
                </c:pt>
                <c:pt idx="4">
                  <c:v>2009-10</c:v>
                </c:pt>
              </c:strCache>
            </c:strRef>
          </c:cat>
          <c:val>
            <c:numRef>
              <c:f>Sheet1!$AK$17:$AO$17</c:f>
              <c:numCache>
                <c:formatCode>General</c:formatCode>
                <c:ptCount val="5"/>
                <c:pt idx="0">
                  <c:v>794.99075000000005</c:v>
                </c:pt>
                <c:pt idx="1">
                  <c:v>782.89850000000001</c:v>
                </c:pt>
                <c:pt idx="2">
                  <c:v>873.37786000000006</c:v>
                </c:pt>
                <c:pt idx="3">
                  <c:v>929.55425000000002</c:v>
                </c:pt>
                <c:pt idx="4">
                  <c:v>1094.7028</c:v>
                </c:pt>
              </c:numCache>
            </c:numRef>
          </c:val>
          <c:smooth val="0"/>
        </c:ser>
        <c:dLbls>
          <c:showLegendKey val="0"/>
          <c:showVal val="0"/>
          <c:showCatName val="0"/>
          <c:showSerName val="0"/>
          <c:showPercent val="0"/>
          <c:showBubbleSize val="0"/>
        </c:dLbls>
        <c:marker val="1"/>
        <c:smooth val="0"/>
        <c:axId val="252430976"/>
        <c:axId val="191697280"/>
      </c:lineChart>
      <c:catAx>
        <c:axId val="252430976"/>
        <c:scaling>
          <c:orientation val="minMax"/>
        </c:scaling>
        <c:delete val="0"/>
        <c:axPos val="b"/>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191697280"/>
        <c:crosses val="autoZero"/>
        <c:auto val="1"/>
        <c:lblAlgn val="ctr"/>
        <c:lblOffset val="100"/>
        <c:noMultiLvlLbl val="0"/>
      </c:catAx>
      <c:valAx>
        <c:axId val="191697280"/>
        <c:scaling>
          <c:orientation val="minMax"/>
        </c:scaling>
        <c:delete val="0"/>
        <c:axPos val="l"/>
        <c:majorGridlines/>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52430976"/>
        <c:crosses val="autoZero"/>
        <c:crossBetween val="between"/>
      </c:valAx>
    </c:plotArea>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Arial" pitchFamily="34" charset="0"/>
                <a:cs typeface="Arial" pitchFamily="34" charset="0"/>
              </a:defRPr>
            </a:pPr>
            <a:r>
              <a:rPr lang="en-AU" sz="1000">
                <a:latin typeface="Arial" pitchFamily="34" charset="0"/>
                <a:cs typeface="Arial" pitchFamily="34" charset="0"/>
              </a:rPr>
              <a:t>Self employed</a:t>
            </a:r>
            <a:r>
              <a:rPr lang="en-AU" sz="1000" baseline="0">
                <a:latin typeface="Arial" pitchFamily="34" charset="0"/>
                <a:cs typeface="Arial" pitchFamily="34" charset="0"/>
              </a:rPr>
              <a:t> workers </a:t>
            </a:r>
            <a:br>
              <a:rPr lang="en-AU" sz="1000" baseline="0">
                <a:latin typeface="Arial" pitchFamily="34" charset="0"/>
                <a:cs typeface="Arial" pitchFamily="34" charset="0"/>
              </a:rPr>
            </a:br>
            <a:r>
              <a:rPr lang="en-AU" sz="1000" baseline="0">
                <a:latin typeface="Arial" pitchFamily="34" charset="0"/>
                <a:cs typeface="Arial" pitchFamily="34" charset="0"/>
              </a:rPr>
              <a:t>($ per week)</a:t>
            </a:r>
            <a:endParaRPr lang="en-AU" sz="1000">
              <a:latin typeface="Arial" pitchFamily="34" charset="0"/>
              <a:cs typeface="Arial" pitchFamily="34" charset="0"/>
            </a:endParaRPr>
          </a:p>
        </c:rich>
      </c:tx>
      <c:layout>
        <c:manualLayout>
          <c:xMode val="edge"/>
          <c:yMode val="edge"/>
          <c:x val="0.29952502561995725"/>
          <c:y val="0"/>
        </c:manualLayout>
      </c:layout>
      <c:overlay val="0"/>
    </c:title>
    <c:autoTitleDeleted val="0"/>
    <c:plotArea>
      <c:layout>
        <c:manualLayout>
          <c:layoutTarget val="inner"/>
          <c:xMode val="edge"/>
          <c:yMode val="edge"/>
          <c:x val="0.14910436507936509"/>
          <c:y val="0.12132247263237679"/>
          <c:w val="0.83577658730158733"/>
          <c:h val="0.82324113250630826"/>
        </c:manualLayout>
      </c:layout>
      <c:lineChart>
        <c:grouping val="standard"/>
        <c:varyColors val="0"/>
        <c:ser>
          <c:idx val="0"/>
          <c:order val="0"/>
          <c:tx>
            <c:strRef>
              <c:f>Sheet1!$AC$15</c:f>
              <c:strCache>
                <c:ptCount val="1"/>
                <c:pt idx="0">
                  <c:v>10th decile</c:v>
                </c:pt>
              </c:strCache>
            </c:strRef>
          </c:tx>
          <c:spPr>
            <a:ln>
              <a:solidFill>
                <a:schemeClr val="accent1">
                  <a:lumMod val="75000"/>
                </a:schemeClr>
              </a:solidFill>
            </a:ln>
          </c:spPr>
          <c:marker>
            <c:symbol val="none"/>
          </c:marker>
          <c:cat>
            <c:strRef>
              <c:f>Sheet1!$AD$5:$AH$5</c:f>
              <c:strCache>
                <c:ptCount val="5"/>
                <c:pt idx="0">
                  <c:v>1988-89</c:v>
                </c:pt>
                <c:pt idx="1">
                  <c:v>1993-94</c:v>
                </c:pt>
                <c:pt idx="2">
                  <c:v>1998-99</c:v>
                </c:pt>
                <c:pt idx="3">
                  <c:v>2003-04</c:v>
                </c:pt>
                <c:pt idx="4">
                  <c:v>2009-10</c:v>
                </c:pt>
              </c:strCache>
            </c:strRef>
          </c:cat>
          <c:val>
            <c:numRef>
              <c:f>Sheet1!$AD$15:$AH$15</c:f>
              <c:numCache>
                <c:formatCode>#,##0.0</c:formatCode>
                <c:ptCount val="5"/>
                <c:pt idx="0">
                  <c:v>1788.6011000000001</c:v>
                </c:pt>
                <c:pt idx="1">
                  <c:v>2001.1202000000001</c:v>
                </c:pt>
                <c:pt idx="2">
                  <c:v>1848.8230000000001</c:v>
                </c:pt>
                <c:pt idx="3">
                  <c:v>2456.7579000000001</c:v>
                </c:pt>
                <c:pt idx="4">
                  <c:v>3635.2166000000002</c:v>
                </c:pt>
              </c:numCache>
            </c:numRef>
          </c:val>
          <c:smooth val="0"/>
        </c:ser>
        <c:ser>
          <c:idx val="1"/>
          <c:order val="1"/>
          <c:tx>
            <c:strRef>
              <c:f>Sheet1!$AC$14</c:f>
              <c:strCache>
                <c:ptCount val="1"/>
                <c:pt idx="0">
                  <c:v>9th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Sheet1!$AD$5:$AH$5</c:f>
              <c:strCache>
                <c:ptCount val="5"/>
                <c:pt idx="0">
                  <c:v>1988-89</c:v>
                </c:pt>
                <c:pt idx="1">
                  <c:v>1993-94</c:v>
                </c:pt>
                <c:pt idx="2">
                  <c:v>1998-99</c:v>
                </c:pt>
                <c:pt idx="3">
                  <c:v>2003-04</c:v>
                </c:pt>
                <c:pt idx="4">
                  <c:v>2009-10</c:v>
                </c:pt>
              </c:strCache>
            </c:strRef>
          </c:cat>
          <c:val>
            <c:numRef>
              <c:f>Sheet1!$AD$14:$AH$14</c:f>
              <c:numCache>
                <c:formatCode>#,##0.0</c:formatCode>
                <c:ptCount val="5"/>
                <c:pt idx="0">
                  <c:v>937.47349999999994</c:v>
                </c:pt>
                <c:pt idx="1">
                  <c:v>913.01385000000005</c:v>
                </c:pt>
                <c:pt idx="2">
                  <c:v>937.38433999999995</c:v>
                </c:pt>
                <c:pt idx="3">
                  <c:v>1153.2454</c:v>
                </c:pt>
                <c:pt idx="4">
                  <c:v>1342.5328999999999</c:v>
                </c:pt>
              </c:numCache>
            </c:numRef>
          </c:val>
          <c:smooth val="0"/>
        </c:ser>
        <c:ser>
          <c:idx val="2"/>
          <c:order val="2"/>
          <c:tx>
            <c:strRef>
              <c:f>Sheet1!$AC$13</c:f>
              <c:strCache>
                <c:ptCount val="1"/>
                <c:pt idx="0">
                  <c:v>8th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Sheet1!$AD$5:$AH$5</c:f>
              <c:strCache>
                <c:ptCount val="5"/>
                <c:pt idx="0">
                  <c:v>1988-89</c:v>
                </c:pt>
                <c:pt idx="1">
                  <c:v>1993-94</c:v>
                </c:pt>
                <c:pt idx="2">
                  <c:v>1998-99</c:v>
                </c:pt>
                <c:pt idx="3">
                  <c:v>2003-04</c:v>
                </c:pt>
                <c:pt idx="4">
                  <c:v>2009-10</c:v>
                </c:pt>
              </c:strCache>
            </c:strRef>
          </c:cat>
          <c:val>
            <c:numRef>
              <c:f>Sheet1!$AD$13:$AH$13</c:f>
              <c:numCache>
                <c:formatCode>#,##0.0</c:formatCode>
                <c:ptCount val="5"/>
                <c:pt idx="0">
                  <c:v>726.69863999999995</c:v>
                </c:pt>
                <c:pt idx="1">
                  <c:v>693.31718999999998</c:v>
                </c:pt>
                <c:pt idx="2">
                  <c:v>739.22019</c:v>
                </c:pt>
                <c:pt idx="3">
                  <c:v>896.18159000000003</c:v>
                </c:pt>
                <c:pt idx="4">
                  <c:v>977.52932999999996</c:v>
                </c:pt>
              </c:numCache>
            </c:numRef>
          </c:val>
          <c:smooth val="0"/>
        </c:ser>
        <c:ser>
          <c:idx val="3"/>
          <c:order val="3"/>
          <c:tx>
            <c:strRef>
              <c:f>Sheet1!$AC$12</c:f>
              <c:strCache>
                <c:ptCount val="1"/>
                <c:pt idx="0">
                  <c:v>7th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Sheet1!$AD$5:$AH$5</c:f>
              <c:strCache>
                <c:ptCount val="5"/>
                <c:pt idx="0">
                  <c:v>1988-89</c:v>
                </c:pt>
                <c:pt idx="1">
                  <c:v>1993-94</c:v>
                </c:pt>
                <c:pt idx="2">
                  <c:v>1998-99</c:v>
                </c:pt>
                <c:pt idx="3">
                  <c:v>2003-04</c:v>
                </c:pt>
                <c:pt idx="4">
                  <c:v>2009-10</c:v>
                </c:pt>
              </c:strCache>
            </c:strRef>
          </c:cat>
          <c:val>
            <c:numRef>
              <c:f>Sheet1!$AD$12:$AH$12</c:f>
              <c:numCache>
                <c:formatCode>#,##0.0</c:formatCode>
                <c:ptCount val="5"/>
                <c:pt idx="0">
                  <c:v>602.80556000000001</c:v>
                </c:pt>
                <c:pt idx="1">
                  <c:v>529.74552000000006</c:v>
                </c:pt>
                <c:pt idx="2">
                  <c:v>603.95051999999998</c:v>
                </c:pt>
                <c:pt idx="3">
                  <c:v>714.48494000000005</c:v>
                </c:pt>
                <c:pt idx="4">
                  <c:v>760.93115</c:v>
                </c:pt>
              </c:numCache>
            </c:numRef>
          </c:val>
          <c:smooth val="0"/>
        </c:ser>
        <c:ser>
          <c:idx val="4"/>
          <c:order val="4"/>
          <c:tx>
            <c:strRef>
              <c:f>Sheet1!$AC$11</c:f>
              <c:strCache>
                <c:ptCount val="1"/>
                <c:pt idx="0">
                  <c:v>6th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Sheet1!$AD$5:$AH$5</c:f>
              <c:strCache>
                <c:ptCount val="5"/>
                <c:pt idx="0">
                  <c:v>1988-89</c:v>
                </c:pt>
                <c:pt idx="1">
                  <c:v>1993-94</c:v>
                </c:pt>
                <c:pt idx="2">
                  <c:v>1998-99</c:v>
                </c:pt>
                <c:pt idx="3">
                  <c:v>2003-04</c:v>
                </c:pt>
                <c:pt idx="4">
                  <c:v>2009-10</c:v>
                </c:pt>
              </c:strCache>
            </c:strRef>
          </c:cat>
          <c:val>
            <c:numRef>
              <c:f>Sheet1!$AD$11:$AH$11</c:f>
              <c:numCache>
                <c:formatCode>#,##0.0</c:formatCode>
                <c:ptCount val="5"/>
                <c:pt idx="0">
                  <c:v>493.26717000000002</c:v>
                </c:pt>
                <c:pt idx="1">
                  <c:v>425.63976000000002</c:v>
                </c:pt>
                <c:pt idx="2">
                  <c:v>496.05182000000002</c:v>
                </c:pt>
                <c:pt idx="3">
                  <c:v>577.62858000000006</c:v>
                </c:pt>
                <c:pt idx="4">
                  <c:v>608.12346000000002</c:v>
                </c:pt>
              </c:numCache>
            </c:numRef>
          </c:val>
          <c:smooth val="0"/>
        </c:ser>
        <c:ser>
          <c:idx val="5"/>
          <c:order val="5"/>
          <c:tx>
            <c:strRef>
              <c:f>Sheet1!$AC$10</c:f>
              <c:strCache>
                <c:ptCount val="1"/>
                <c:pt idx="0">
                  <c:v>5th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Sheet1!$AD$5:$AH$5</c:f>
              <c:strCache>
                <c:ptCount val="5"/>
                <c:pt idx="0">
                  <c:v>1988-89</c:v>
                </c:pt>
                <c:pt idx="1">
                  <c:v>1993-94</c:v>
                </c:pt>
                <c:pt idx="2">
                  <c:v>1998-99</c:v>
                </c:pt>
                <c:pt idx="3">
                  <c:v>2003-04</c:v>
                </c:pt>
                <c:pt idx="4">
                  <c:v>2009-10</c:v>
                </c:pt>
              </c:strCache>
            </c:strRef>
          </c:cat>
          <c:val>
            <c:numRef>
              <c:f>Sheet1!$AD$10:$AH$10</c:f>
              <c:numCache>
                <c:formatCode>#,##0.0</c:formatCode>
                <c:ptCount val="5"/>
                <c:pt idx="0">
                  <c:v>410.57526000000001</c:v>
                </c:pt>
                <c:pt idx="1">
                  <c:v>321.64102000000003</c:v>
                </c:pt>
                <c:pt idx="2">
                  <c:v>376.8682</c:v>
                </c:pt>
                <c:pt idx="3">
                  <c:v>441.19976000000003</c:v>
                </c:pt>
                <c:pt idx="4">
                  <c:v>473.19423</c:v>
                </c:pt>
              </c:numCache>
            </c:numRef>
          </c:val>
          <c:smooth val="0"/>
        </c:ser>
        <c:ser>
          <c:idx val="6"/>
          <c:order val="6"/>
          <c:tx>
            <c:strRef>
              <c:f>Sheet1!$AC$9</c:f>
              <c:strCache>
                <c:ptCount val="1"/>
                <c:pt idx="0">
                  <c:v>4th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Sheet1!$AD$5:$AH$5</c:f>
              <c:strCache>
                <c:ptCount val="5"/>
                <c:pt idx="0">
                  <c:v>1988-89</c:v>
                </c:pt>
                <c:pt idx="1">
                  <c:v>1993-94</c:v>
                </c:pt>
                <c:pt idx="2">
                  <c:v>1998-99</c:v>
                </c:pt>
                <c:pt idx="3">
                  <c:v>2003-04</c:v>
                </c:pt>
                <c:pt idx="4">
                  <c:v>2009-10</c:v>
                </c:pt>
              </c:strCache>
            </c:strRef>
          </c:cat>
          <c:val>
            <c:numRef>
              <c:f>Sheet1!$AD$9:$AH$9</c:f>
              <c:numCache>
                <c:formatCode>#,##0.0</c:formatCode>
                <c:ptCount val="5"/>
                <c:pt idx="0">
                  <c:v>324.7817</c:v>
                </c:pt>
                <c:pt idx="1">
                  <c:v>245.09790000000001</c:v>
                </c:pt>
                <c:pt idx="2">
                  <c:v>286.34877999999998</c:v>
                </c:pt>
                <c:pt idx="3">
                  <c:v>307.40382</c:v>
                </c:pt>
                <c:pt idx="4">
                  <c:v>361.97219999999999</c:v>
                </c:pt>
              </c:numCache>
            </c:numRef>
          </c:val>
          <c:smooth val="0"/>
        </c:ser>
        <c:ser>
          <c:idx val="7"/>
          <c:order val="7"/>
          <c:tx>
            <c:strRef>
              <c:f>Sheet1!$AC$8</c:f>
              <c:strCache>
                <c:ptCount val="1"/>
                <c:pt idx="0">
                  <c:v>3rd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Sheet1!$AD$5:$AH$5</c:f>
              <c:strCache>
                <c:ptCount val="5"/>
                <c:pt idx="0">
                  <c:v>1988-89</c:v>
                </c:pt>
                <c:pt idx="1">
                  <c:v>1993-94</c:v>
                </c:pt>
                <c:pt idx="2">
                  <c:v>1998-99</c:v>
                </c:pt>
                <c:pt idx="3">
                  <c:v>2003-04</c:v>
                </c:pt>
                <c:pt idx="4">
                  <c:v>2009-10</c:v>
                </c:pt>
              </c:strCache>
            </c:strRef>
          </c:cat>
          <c:val>
            <c:numRef>
              <c:f>Sheet1!$AD$8:$AH$8</c:f>
              <c:numCache>
                <c:formatCode>#,##0.0</c:formatCode>
                <c:ptCount val="5"/>
                <c:pt idx="0">
                  <c:v>224.60898</c:v>
                </c:pt>
                <c:pt idx="1">
                  <c:v>142.27503999999999</c:v>
                </c:pt>
                <c:pt idx="2">
                  <c:v>160.31675000000001</c:v>
                </c:pt>
                <c:pt idx="3">
                  <c:v>211.65978000000001</c:v>
                </c:pt>
                <c:pt idx="4">
                  <c:v>197.96702999999999</c:v>
                </c:pt>
              </c:numCache>
            </c:numRef>
          </c:val>
          <c:smooth val="0"/>
        </c:ser>
        <c:ser>
          <c:idx val="8"/>
          <c:order val="8"/>
          <c:tx>
            <c:strRef>
              <c:f>Sheet1!$AC$7</c:f>
              <c:strCache>
                <c:ptCount val="1"/>
                <c:pt idx="0">
                  <c:v>2nd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Sheet1!$AD$5:$AH$5</c:f>
              <c:strCache>
                <c:ptCount val="5"/>
                <c:pt idx="0">
                  <c:v>1988-89</c:v>
                </c:pt>
                <c:pt idx="1">
                  <c:v>1993-94</c:v>
                </c:pt>
                <c:pt idx="2">
                  <c:v>1998-99</c:v>
                </c:pt>
                <c:pt idx="3">
                  <c:v>2003-04</c:v>
                </c:pt>
                <c:pt idx="4">
                  <c:v>2009-10</c:v>
                </c:pt>
              </c:strCache>
            </c:strRef>
          </c:cat>
          <c:val>
            <c:numRef>
              <c:f>Sheet1!$AD$7:$AH$7</c:f>
              <c:numCache>
                <c:formatCode>#,##0.0</c:formatCode>
                <c:ptCount val="5"/>
                <c:pt idx="0">
                  <c:v>123.29422</c:v>
                </c:pt>
                <c:pt idx="1">
                  <c:v>36.194201</c:v>
                </c:pt>
                <c:pt idx="2">
                  <c:v>33.495347000000002</c:v>
                </c:pt>
                <c:pt idx="3">
                  <c:v>100.46875</c:v>
                </c:pt>
                <c:pt idx="4">
                  <c:v>78.049047999999999</c:v>
                </c:pt>
              </c:numCache>
            </c:numRef>
          </c:val>
          <c:smooth val="0"/>
        </c:ser>
        <c:ser>
          <c:idx val="9"/>
          <c:order val="9"/>
          <c:tx>
            <c:strRef>
              <c:f>Sheet1!$AC$6</c:f>
              <c:strCache>
                <c:ptCount val="1"/>
                <c:pt idx="0">
                  <c:v>1st decile</c:v>
                </c:pt>
              </c:strCache>
            </c:strRef>
          </c:tx>
          <c:spPr>
            <a:ln>
              <a:solidFill>
                <a:srgbClr val="C00000"/>
              </a:solidFill>
            </a:ln>
          </c:spPr>
          <c:marker>
            <c:symbol val="none"/>
          </c:marker>
          <c:cat>
            <c:strRef>
              <c:f>Sheet1!$AD$5:$AH$5</c:f>
              <c:strCache>
                <c:ptCount val="5"/>
                <c:pt idx="0">
                  <c:v>1988-89</c:v>
                </c:pt>
                <c:pt idx="1">
                  <c:v>1993-94</c:v>
                </c:pt>
                <c:pt idx="2">
                  <c:v>1998-99</c:v>
                </c:pt>
                <c:pt idx="3">
                  <c:v>2003-04</c:v>
                </c:pt>
                <c:pt idx="4">
                  <c:v>2009-10</c:v>
                </c:pt>
              </c:strCache>
            </c:strRef>
          </c:cat>
          <c:val>
            <c:numRef>
              <c:f>Sheet1!$AD$6:$AH$6</c:f>
              <c:numCache>
                <c:formatCode>#,##0.0</c:formatCode>
                <c:ptCount val="5"/>
                <c:pt idx="0">
                  <c:v>-198.12116</c:v>
                </c:pt>
                <c:pt idx="1">
                  <c:v>-522.57641999999998</c:v>
                </c:pt>
                <c:pt idx="2">
                  <c:v>-513.50147000000004</c:v>
                </c:pt>
                <c:pt idx="3">
                  <c:v>-269.65343999999999</c:v>
                </c:pt>
                <c:pt idx="4">
                  <c:v>-123.21708</c:v>
                </c:pt>
              </c:numCache>
            </c:numRef>
          </c:val>
          <c:smooth val="0"/>
        </c:ser>
        <c:dLbls>
          <c:showLegendKey val="0"/>
          <c:showVal val="0"/>
          <c:showCatName val="0"/>
          <c:showSerName val="0"/>
          <c:showPercent val="0"/>
          <c:showBubbleSize val="0"/>
        </c:dLbls>
        <c:marker val="1"/>
        <c:smooth val="0"/>
        <c:axId val="240662784"/>
        <c:axId val="240685056"/>
      </c:lineChart>
      <c:catAx>
        <c:axId val="240662784"/>
        <c:scaling>
          <c:orientation val="minMax"/>
        </c:scaling>
        <c:delete val="0"/>
        <c:axPos val="b"/>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40685056"/>
        <c:crosses val="autoZero"/>
        <c:auto val="1"/>
        <c:lblAlgn val="ctr"/>
        <c:lblOffset val="500"/>
        <c:noMultiLvlLbl val="0"/>
      </c:catAx>
      <c:valAx>
        <c:axId val="240685056"/>
        <c:scaling>
          <c:orientation val="minMax"/>
        </c:scaling>
        <c:delete val="0"/>
        <c:axPos val="l"/>
        <c:majorGridlines/>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240662784"/>
        <c:crosses val="autoZero"/>
        <c:crossBetween val="between"/>
      </c:valAx>
    </c:plotArea>
    <c:plotVisOnly val="1"/>
    <c:dispBlanksAs val="gap"/>
    <c:showDLblsOverMax val="0"/>
  </c:chart>
  <c:spPr>
    <a:ln>
      <a:noFill/>
    </a:ln>
  </c:sp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nSpc>
                <a:spcPts val="1000"/>
              </a:lnSpc>
              <a:defRPr sz="1000">
                <a:latin typeface="Arial" pitchFamily="34" charset="0"/>
                <a:cs typeface="Arial" pitchFamily="34" charset="0"/>
              </a:defRPr>
            </a:pPr>
            <a:r>
              <a:rPr lang="en-AU" sz="1000">
                <a:latin typeface="Arial" pitchFamily="34" charset="0"/>
                <a:cs typeface="Arial" pitchFamily="34" charset="0"/>
              </a:rPr>
              <a:t>% change self-employed worker</a:t>
            </a:r>
            <a:r>
              <a:rPr lang="en-AU" sz="1000" baseline="0">
                <a:latin typeface="Arial" pitchFamily="34" charset="0"/>
                <a:cs typeface="Arial" pitchFamily="34" charset="0"/>
              </a:rPr>
              <a:t> income, 1988-89 to 2009-10</a:t>
            </a:r>
            <a:endParaRPr lang="en-AU" sz="1000">
              <a:latin typeface="Arial" pitchFamily="34" charset="0"/>
              <a:cs typeface="Arial" pitchFamily="34" charset="0"/>
            </a:endParaRPr>
          </a:p>
        </c:rich>
      </c:tx>
      <c:layout>
        <c:manualLayout>
          <c:xMode val="edge"/>
          <c:yMode val="edge"/>
          <c:x val="0.11737461388754977"/>
          <c:y val="3.1646383312862918E-5"/>
        </c:manualLayout>
      </c:layout>
      <c:overlay val="0"/>
    </c:title>
    <c:autoTitleDeleted val="0"/>
    <c:plotArea>
      <c:layout>
        <c:manualLayout>
          <c:layoutTarget val="inner"/>
          <c:xMode val="edge"/>
          <c:yMode val="edge"/>
          <c:x val="0.10786512573025146"/>
          <c:y val="0.12685419276468132"/>
          <c:w val="0.85426530353060703"/>
          <c:h val="0.71437458989501312"/>
        </c:manualLayout>
      </c:layout>
      <c:barChart>
        <c:barDir val="col"/>
        <c:grouping val="clustered"/>
        <c:varyColors val="0"/>
        <c:ser>
          <c:idx val="0"/>
          <c:order val="0"/>
          <c:tx>
            <c:v>Only self employed</c:v>
          </c:tx>
          <c:spPr>
            <a:solidFill>
              <a:srgbClr val="4F81BD">
                <a:lumMod val="75000"/>
              </a:srgbClr>
            </a:solidFill>
          </c:spPr>
          <c:invertIfNegative val="0"/>
          <c:cat>
            <c:numRef>
              <c:f>Sheet1!$AC$6:$AC$15</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Sheet1!$AI$6:$AI$15</c:f>
              <c:numCache>
                <c:formatCode>#,##0.0</c:formatCode>
                <c:ptCount val="10"/>
                <c:pt idx="0">
                  <c:v>37.807208477882931</c:v>
                </c:pt>
                <c:pt idx="1">
                  <c:v>-36.696912474891356</c:v>
                </c:pt>
                <c:pt idx="2">
                  <c:v>-11.861480337963338</c:v>
                </c:pt>
                <c:pt idx="3">
                  <c:v>11.450922265632572</c:v>
                </c:pt>
                <c:pt idx="4">
                  <c:v>15.251520512950535</c:v>
                </c:pt>
                <c:pt idx="5">
                  <c:v>23.284803243645833</c:v>
                </c:pt>
                <c:pt idx="6">
                  <c:v>26.231607750930497</c:v>
                </c:pt>
                <c:pt idx="7">
                  <c:v>34.516466137875256</c:v>
                </c:pt>
                <c:pt idx="8">
                  <c:v>43.207557333620628</c:v>
                </c:pt>
                <c:pt idx="9">
                  <c:v>103.24356280447329</c:v>
                </c:pt>
              </c:numCache>
            </c:numRef>
          </c:val>
        </c:ser>
        <c:ser>
          <c:idx val="1"/>
          <c:order val="1"/>
          <c:tx>
            <c:v>all self employment</c:v>
          </c:tx>
          <c:spPr>
            <a:pattFill prst="pct30">
              <a:fgClr>
                <a:srgbClr val="4F81BD">
                  <a:lumMod val="75000"/>
                </a:srgbClr>
              </a:fgClr>
              <a:bgClr>
                <a:sysClr val="window" lastClr="FFFFFF"/>
              </a:bgClr>
            </a:pattFill>
            <a:ln>
              <a:solidFill>
                <a:srgbClr val="4F81BD">
                  <a:lumMod val="75000"/>
                </a:srgbClr>
              </a:solidFill>
            </a:ln>
          </c:spPr>
          <c:invertIfNegative val="0"/>
          <c:val>
            <c:numRef>
              <c:f>Sheet1!$AB$6:$AB$15</c:f>
              <c:numCache>
                <c:formatCode>#,##0.0</c:formatCode>
                <c:ptCount val="10"/>
                <c:pt idx="0">
                  <c:v>12.352537611779168</c:v>
                </c:pt>
                <c:pt idx="1">
                  <c:v>1.257122233653106</c:v>
                </c:pt>
                <c:pt idx="2">
                  <c:v>-29.52510393665408</c:v>
                </c:pt>
                <c:pt idx="3">
                  <c:v>-11.144037288569843</c:v>
                </c:pt>
                <c:pt idx="4">
                  <c:v>6.1452449077647531</c:v>
                </c:pt>
                <c:pt idx="5">
                  <c:v>16.21258203101236</c:v>
                </c:pt>
                <c:pt idx="6">
                  <c:v>16.854611266122699</c:v>
                </c:pt>
                <c:pt idx="7">
                  <c:v>25.725061615915088</c:v>
                </c:pt>
                <c:pt idx="8">
                  <c:v>28.115980360656781</c:v>
                </c:pt>
                <c:pt idx="9">
                  <c:v>70.070250225822974</c:v>
                </c:pt>
              </c:numCache>
            </c:numRef>
          </c:val>
        </c:ser>
        <c:dLbls>
          <c:showLegendKey val="0"/>
          <c:showVal val="0"/>
          <c:showCatName val="0"/>
          <c:showSerName val="0"/>
          <c:showPercent val="0"/>
          <c:showBubbleSize val="0"/>
        </c:dLbls>
        <c:gapWidth val="150"/>
        <c:axId val="240699648"/>
        <c:axId val="240710016"/>
      </c:barChart>
      <c:catAx>
        <c:axId val="240699648"/>
        <c:scaling>
          <c:orientation val="minMax"/>
        </c:scaling>
        <c:delete val="0"/>
        <c:axPos val="b"/>
        <c:title>
          <c:tx>
            <c:rich>
              <a:bodyPr/>
              <a:lstStyle/>
              <a:p>
                <a:pPr>
                  <a:defRPr/>
                </a:pPr>
                <a:r>
                  <a:rPr lang="en-AU" b="0"/>
                  <a:t>Decile</a:t>
                </a:r>
              </a:p>
            </c:rich>
          </c:tx>
          <c:layout>
            <c:manualLayout>
              <c:xMode val="edge"/>
              <c:yMode val="edge"/>
              <c:x val="0.46755727232209182"/>
              <c:y val="0.92349586634657144"/>
            </c:manualLayout>
          </c:layout>
          <c:overlay val="0"/>
        </c:title>
        <c:numFmt formatCode="General" sourceLinked="1"/>
        <c:majorTickMark val="out"/>
        <c:minorTickMark val="out"/>
        <c:tickLblPos val="low"/>
        <c:txPr>
          <a:bodyPr/>
          <a:lstStyle/>
          <a:p>
            <a:pPr>
              <a:defRPr sz="900"/>
            </a:pPr>
            <a:endParaRPr lang="en-US"/>
          </a:p>
        </c:txPr>
        <c:crossAx val="240710016"/>
        <c:crosses val="autoZero"/>
        <c:auto val="1"/>
        <c:lblAlgn val="ctr"/>
        <c:lblOffset val="100"/>
        <c:noMultiLvlLbl val="0"/>
      </c:catAx>
      <c:valAx>
        <c:axId val="240710016"/>
        <c:scaling>
          <c:orientation val="minMax"/>
          <c:max val="100"/>
          <c:min val="-40"/>
        </c:scaling>
        <c:delete val="0"/>
        <c:axPos val="l"/>
        <c:majorGridlines/>
        <c:numFmt formatCode="#,##0" sourceLinked="0"/>
        <c:majorTickMark val="out"/>
        <c:minorTickMark val="none"/>
        <c:tickLblPos val="nextTo"/>
        <c:spPr>
          <a:ln>
            <a:solidFill>
              <a:schemeClr val="tx1"/>
            </a:solidFill>
          </a:ln>
        </c:spPr>
        <c:txPr>
          <a:bodyPr/>
          <a:lstStyle/>
          <a:p>
            <a:pPr>
              <a:defRPr sz="900"/>
            </a:pPr>
            <a:endParaRPr lang="en-US"/>
          </a:p>
        </c:txPr>
        <c:crossAx val="240699648"/>
        <c:crosses val="autoZero"/>
        <c:crossBetween val="between"/>
      </c:valAx>
      <c:spPr>
        <a:noFill/>
        <a:ln>
          <a:noFill/>
        </a:ln>
      </c:spPr>
    </c:plotArea>
    <c:legend>
      <c:legendPos val="r"/>
      <c:layout>
        <c:manualLayout>
          <c:xMode val="edge"/>
          <c:yMode val="edge"/>
          <c:x val="0.13753492063492065"/>
          <c:y val="0.14414484126984126"/>
          <c:w val="0.51387539682539696"/>
          <c:h val="0.18335555555555555"/>
        </c:manualLayout>
      </c:layout>
      <c:overlay val="0"/>
      <c:spPr>
        <a:solidFill>
          <a:sysClr val="window" lastClr="FFFFFF"/>
        </a:solidFill>
      </c:spPr>
      <c:txPr>
        <a:bodyPr/>
        <a:lstStyle/>
        <a:p>
          <a:pPr>
            <a:defRPr sz="800"/>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0887037037037044E-2"/>
          <c:y val="3.4996130624555422E-2"/>
          <c:w val="0.86440407407407405"/>
          <c:h val="0.74933749999999999"/>
        </c:manualLayout>
      </c:layout>
      <c:scatterChart>
        <c:scatterStyle val="smoothMarker"/>
        <c:varyColors val="0"/>
        <c:ser>
          <c:idx val="0"/>
          <c:order val="0"/>
          <c:tx>
            <c:v>1988-89</c:v>
          </c:tx>
          <c:spPr>
            <a:ln>
              <a:solidFill>
                <a:schemeClr val="accent1">
                  <a:lumMod val="75000"/>
                </a:schemeClr>
              </a:solidFill>
              <a:prstDash val="dash"/>
            </a:ln>
          </c:spPr>
          <c:marker>
            <c:symbol val="none"/>
          </c:marker>
          <c:xVal>
            <c:numRef>
              <c:f>Sheet1!$A$15:$A$63</c:f>
              <c:numCache>
                <c:formatCode>General</c:formatCode>
                <c:ptCount val="49"/>
                <c:pt idx="0">
                  <c:v>-920.57733299999995</c:v>
                </c:pt>
                <c:pt idx="1">
                  <c:v>-838.12365999999997</c:v>
                </c:pt>
                <c:pt idx="2">
                  <c:v>-755.66998699999999</c:v>
                </c:pt>
                <c:pt idx="3">
                  <c:v>-673.21631400000001</c:v>
                </c:pt>
                <c:pt idx="4">
                  <c:v>-590.76264100000003</c:v>
                </c:pt>
                <c:pt idx="5">
                  <c:v>-508.308967</c:v>
                </c:pt>
                <c:pt idx="6">
                  <c:v>-425.85529400000001</c:v>
                </c:pt>
                <c:pt idx="7">
                  <c:v>-343.40162099999998</c:v>
                </c:pt>
                <c:pt idx="8">
                  <c:v>-260.947948</c:v>
                </c:pt>
                <c:pt idx="9">
                  <c:v>-178.49427499999999</c:v>
                </c:pt>
                <c:pt idx="10">
                  <c:v>-96.040602000000007</c:v>
                </c:pt>
                <c:pt idx="11">
                  <c:v>-13.586929</c:v>
                </c:pt>
                <c:pt idx="12">
                  <c:v>68.866743999999997</c:v>
                </c:pt>
                <c:pt idx="13">
                  <c:v>151.32041699999999</c:v>
                </c:pt>
                <c:pt idx="14">
                  <c:v>233.77409</c:v>
                </c:pt>
                <c:pt idx="15">
                  <c:v>316.22776299999998</c:v>
                </c:pt>
                <c:pt idx="16">
                  <c:v>398.68143600000002</c:v>
                </c:pt>
                <c:pt idx="17">
                  <c:v>481.135109</c:v>
                </c:pt>
                <c:pt idx="18">
                  <c:v>563.58878200000004</c:v>
                </c:pt>
                <c:pt idx="19">
                  <c:v>646.04245600000002</c:v>
                </c:pt>
                <c:pt idx="20">
                  <c:v>728.496129</c:v>
                </c:pt>
                <c:pt idx="21">
                  <c:v>810.94980199999998</c:v>
                </c:pt>
                <c:pt idx="22">
                  <c:v>893.40347499999996</c:v>
                </c:pt>
                <c:pt idx="23">
                  <c:v>975.85714800000005</c:v>
                </c:pt>
                <c:pt idx="24">
                  <c:v>1058.310821</c:v>
                </c:pt>
                <c:pt idx="25">
                  <c:v>1140.764494</c:v>
                </c:pt>
                <c:pt idx="26">
                  <c:v>1223.218167</c:v>
                </c:pt>
                <c:pt idx="27">
                  <c:v>1305.67184</c:v>
                </c:pt>
                <c:pt idx="28">
                  <c:v>1388.125513</c:v>
                </c:pt>
                <c:pt idx="29">
                  <c:v>1470.5791859999999</c:v>
                </c:pt>
                <c:pt idx="30">
                  <c:v>1553.0328589999999</c:v>
                </c:pt>
                <c:pt idx="31">
                  <c:v>1635.4865319999999</c:v>
                </c:pt>
                <c:pt idx="32">
                  <c:v>1717.9402050000001</c:v>
                </c:pt>
                <c:pt idx="33">
                  <c:v>1800.393879</c:v>
                </c:pt>
                <c:pt idx="34">
                  <c:v>1882.847552</c:v>
                </c:pt>
                <c:pt idx="35">
                  <c:v>1965.3012249999999</c:v>
                </c:pt>
                <c:pt idx="36">
                  <c:v>2047.7548979999999</c:v>
                </c:pt>
                <c:pt idx="37">
                  <c:v>2130.2085710000001</c:v>
                </c:pt>
                <c:pt idx="38">
                  <c:v>2212.6622440000001</c:v>
                </c:pt>
                <c:pt idx="39">
                  <c:v>2295.1159170000001</c:v>
                </c:pt>
                <c:pt idx="40">
                  <c:v>2377.5695900000001</c:v>
                </c:pt>
                <c:pt idx="41">
                  <c:v>2460.023263</c:v>
                </c:pt>
                <c:pt idx="42">
                  <c:v>2542.476936</c:v>
                </c:pt>
                <c:pt idx="43">
                  <c:v>2624.930609</c:v>
                </c:pt>
                <c:pt idx="44">
                  <c:v>2707.384282</c:v>
                </c:pt>
                <c:pt idx="45">
                  <c:v>2789.837955</c:v>
                </c:pt>
                <c:pt idx="46">
                  <c:v>2872.2916279999999</c:v>
                </c:pt>
                <c:pt idx="47">
                  <c:v>2954.7453019999998</c:v>
                </c:pt>
                <c:pt idx="48">
                  <c:v>3037.1989749999998</c:v>
                </c:pt>
              </c:numCache>
            </c:numRef>
          </c:xVal>
          <c:yVal>
            <c:numRef>
              <c:f>Sheet1!$D$15:$D$63</c:f>
              <c:numCache>
                <c:formatCode>0.0000</c:formatCode>
                <c:ptCount val="49"/>
                <c:pt idx="0">
                  <c:v>8.2453672999999972E-5</c:v>
                </c:pt>
                <c:pt idx="1">
                  <c:v>0</c:v>
                </c:pt>
                <c:pt idx="2">
                  <c:v>8.2453672999999972E-5</c:v>
                </c:pt>
                <c:pt idx="3">
                  <c:v>8.2453672999999972E-5</c:v>
                </c:pt>
                <c:pt idx="4">
                  <c:v>4.1226836499999993E-4</c:v>
                </c:pt>
                <c:pt idx="5">
                  <c:v>5.7717571099999984E-4</c:v>
                </c:pt>
                <c:pt idx="6">
                  <c:v>2.4736101899999996E-4</c:v>
                </c:pt>
                <c:pt idx="7">
                  <c:v>1.6490734599999994E-4</c:v>
                </c:pt>
                <c:pt idx="8">
                  <c:v>4.9472203799999991E-4</c:v>
                </c:pt>
                <c:pt idx="9">
                  <c:v>1.0718977489999996E-3</c:v>
                </c:pt>
                <c:pt idx="10">
                  <c:v>2.5560638629999995E-3</c:v>
                </c:pt>
                <c:pt idx="11">
                  <c:v>1.5501290523999995E-2</c:v>
                </c:pt>
                <c:pt idx="12">
                  <c:v>3.3970913275999992E-2</c:v>
                </c:pt>
                <c:pt idx="13">
                  <c:v>4.0649660788999988E-2</c:v>
                </c:pt>
                <c:pt idx="14">
                  <c:v>4.312327097899999E-2</c:v>
                </c:pt>
                <c:pt idx="15">
                  <c:v>4.7245954628999991E-2</c:v>
                </c:pt>
                <c:pt idx="16">
                  <c:v>5.2522989700999986E-2</c:v>
                </c:pt>
                <c:pt idx="17">
                  <c:v>5.7387756407999986E-2</c:v>
                </c:pt>
                <c:pt idx="18">
                  <c:v>7.1157519798999994E-2</c:v>
                </c:pt>
                <c:pt idx="19">
                  <c:v>8.7483347052999982E-2</c:v>
                </c:pt>
                <c:pt idx="20">
                  <c:v>8.8390337455999987E-2</c:v>
                </c:pt>
                <c:pt idx="21">
                  <c:v>7.9980062809999988E-2</c:v>
                </c:pt>
                <c:pt idx="22">
                  <c:v>6.7282197167999977E-2</c:v>
                </c:pt>
                <c:pt idx="23">
                  <c:v>5.5821136620999988E-2</c:v>
                </c:pt>
                <c:pt idx="24">
                  <c:v>4.9059935434999993E-2</c:v>
                </c:pt>
                <c:pt idx="25">
                  <c:v>4.3617993016999985E-2</c:v>
                </c:pt>
                <c:pt idx="26">
                  <c:v>3.4630542659999992E-2</c:v>
                </c:pt>
                <c:pt idx="27">
                  <c:v>2.8776331876999996E-2</c:v>
                </c:pt>
                <c:pt idx="28">
                  <c:v>2.1767769671999997E-2</c:v>
                </c:pt>
                <c:pt idx="29">
                  <c:v>1.4841661139999997E-2</c:v>
                </c:pt>
                <c:pt idx="30">
                  <c:v>1.0966338508999997E-2</c:v>
                </c:pt>
                <c:pt idx="31">
                  <c:v>8.5751819919999972E-3</c:v>
                </c:pt>
                <c:pt idx="32">
                  <c:v>7.7506452619999977E-3</c:v>
                </c:pt>
                <c:pt idx="33">
                  <c:v>7.0910158779999982E-3</c:v>
                </c:pt>
                <c:pt idx="34">
                  <c:v>5.8542107829999994E-3</c:v>
                </c:pt>
                <c:pt idx="35">
                  <c:v>3.7104152849999992E-3</c:v>
                </c:pt>
                <c:pt idx="36">
                  <c:v>2.5560638629999995E-3</c:v>
                </c:pt>
                <c:pt idx="37">
                  <c:v>2.2262491709999993E-3</c:v>
                </c:pt>
                <c:pt idx="38">
                  <c:v>2.6385175359999991E-3</c:v>
                </c:pt>
                <c:pt idx="39">
                  <c:v>2.3911565169999994E-3</c:v>
                </c:pt>
                <c:pt idx="40">
                  <c:v>1.6490734599999997E-3</c:v>
                </c:pt>
                <c:pt idx="41">
                  <c:v>1.1543514219999997E-3</c:v>
                </c:pt>
                <c:pt idx="42">
                  <c:v>1.2368050949999997E-3</c:v>
                </c:pt>
                <c:pt idx="43">
                  <c:v>1.1543514219999997E-3</c:v>
                </c:pt>
                <c:pt idx="44">
                  <c:v>8.2453672999999986E-4</c:v>
                </c:pt>
                <c:pt idx="45">
                  <c:v>6.5962938399999978E-4</c:v>
                </c:pt>
                <c:pt idx="46">
                  <c:v>5.7717571099999984E-4</c:v>
                </c:pt>
                <c:pt idx="47">
                  <c:v>4.1226836499999993E-4</c:v>
                </c:pt>
                <c:pt idx="48">
                  <c:v>8.2453672999999972E-5</c:v>
                </c:pt>
              </c:numCache>
            </c:numRef>
          </c:yVal>
          <c:smooth val="1"/>
        </c:ser>
        <c:ser>
          <c:idx val="1"/>
          <c:order val="1"/>
          <c:tx>
            <c:v>1993-94</c:v>
          </c:tx>
          <c:spPr>
            <a:ln w="19050">
              <a:solidFill>
                <a:schemeClr val="accent5"/>
              </a:solidFill>
              <a:prstDash val="sysDot"/>
            </a:ln>
          </c:spPr>
          <c:marker>
            <c:symbol val="none"/>
          </c:marker>
          <c:xVal>
            <c:numRef>
              <c:f>Sheet1!$E$15:$E$63</c:f>
              <c:numCache>
                <c:formatCode>General</c:formatCode>
                <c:ptCount val="49"/>
                <c:pt idx="0">
                  <c:v>-937.44524799999999</c:v>
                </c:pt>
                <c:pt idx="1">
                  <c:v>-854.60247100000004</c:v>
                </c:pt>
                <c:pt idx="2">
                  <c:v>-771.75969299999997</c:v>
                </c:pt>
                <c:pt idx="3">
                  <c:v>-688.91691600000001</c:v>
                </c:pt>
                <c:pt idx="4">
                  <c:v>-606.07413899999995</c:v>
                </c:pt>
                <c:pt idx="5">
                  <c:v>-523.23136199999999</c:v>
                </c:pt>
                <c:pt idx="6">
                  <c:v>-440.38858499999998</c:v>
                </c:pt>
                <c:pt idx="7">
                  <c:v>-357.54580800000002</c:v>
                </c:pt>
                <c:pt idx="8">
                  <c:v>-274.70303000000001</c:v>
                </c:pt>
                <c:pt idx="9">
                  <c:v>-191.860253</c:v>
                </c:pt>
                <c:pt idx="10">
                  <c:v>-109.017476</c:v>
                </c:pt>
                <c:pt idx="11">
                  <c:v>-26.174699</c:v>
                </c:pt>
                <c:pt idx="12">
                  <c:v>56.668078000000001</c:v>
                </c:pt>
                <c:pt idx="13">
                  <c:v>139.51085599999999</c:v>
                </c:pt>
                <c:pt idx="14">
                  <c:v>222.353633</c:v>
                </c:pt>
                <c:pt idx="15">
                  <c:v>305.19641000000001</c:v>
                </c:pt>
                <c:pt idx="16">
                  <c:v>388.03918700000003</c:v>
                </c:pt>
                <c:pt idx="17">
                  <c:v>470.88196399999998</c:v>
                </c:pt>
                <c:pt idx="18">
                  <c:v>553.72474099999999</c:v>
                </c:pt>
                <c:pt idx="19">
                  <c:v>636.56751899999995</c:v>
                </c:pt>
                <c:pt idx="20">
                  <c:v>719.41029600000002</c:v>
                </c:pt>
                <c:pt idx="21">
                  <c:v>802.25307299999997</c:v>
                </c:pt>
                <c:pt idx="22">
                  <c:v>885.09585000000004</c:v>
                </c:pt>
                <c:pt idx="23">
                  <c:v>967.938627</c:v>
                </c:pt>
                <c:pt idx="24">
                  <c:v>1050.7814040000001</c:v>
                </c:pt>
                <c:pt idx="25">
                  <c:v>1133.624182</c:v>
                </c:pt>
                <c:pt idx="26">
                  <c:v>1216.4669590000001</c:v>
                </c:pt>
                <c:pt idx="27">
                  <c:v>1299.3097359999999</c:v>
                </c:pt>
                <c:pt idx="28">
                  <c:v>1382.152513</c:v>
                </c:pt>
                <c:pt idx="29">
                  <c:v>1464.9952900000001</c:v>
                </c:pt>
                <c:pt idx="30">
                  <c:v>1547.838068</c:v>
                </c:pt>
                <c:pt idx="31">
                  <c:v>1630.6808450000001</c:v>
                </c:pt>
                <c:pt idx="32">
                  <c:v>1713.5236219999999</c:v>
                </c:pt>
                <c:pt idx="33">
                  <c:v>1796.366399</c:v>
                </c:pt>
                <c:pt idx="34">
                  <c:v>1879.2091760000001</c:v>
                </c:pt>
                <c:pt idx="35">
                  <c:v>1962.0519529999999</c:v>
                </c:pt>
                <c:pt idx="36">
                  <c:v>2044.8947310000001</c:v>
                </c:pt>
                <c:pt idx="37">
                  <c:v>2127.7375080000002</c:v>
                </c:pt>
                <c:pt idx="38">
                  <c:v>2210.580285</c:v>
                </c:pt>
                <c:pt idx="39">
                  <c:v>2293.4230619999998</c:v>
                </c:pt>
                <c:pt idx="40">
                  <c:v>2376.2658390000001</c:v>
                </c:pt>
                <c:pt idx="41">
                  <c:v>2459.108616</c:v>
                </c:pt>
                <c:pt idx="42">
                  <c:v>2541.9513940000002</c:v>
                </c:pt>
                <c:pt idx="43">
                  <c:v>2624.794171</c:v>
                </c:pt>
                <c:pt idx="44">
                  <c:v>2707.6369479999998</c:v>
                </c:pt>
                <c:pt idx="45">
                  <c:v>2790.4797250000001</c:v>
                </c:pt>
                <c:pt idx="46">
                  <c:v>2873.322502</c:v>
                </c:pt>
                <c:pt idx="47">
                  <c:v>2956.1652789999998</c:v>
                </c:pt>
                <c:pt idx="48">
                  <c:v>3039.008057</c:v>
                </c:pt>
              </c:numCache>
            </c:numRef>
          </c:xVal>
          <c:yVal>
            <c:numRef>
              <c:f>Sheet1!$H$15:$H$63</c:f>
              <c:numCache>
                <c:formatCode>0.0000</c:formatCode>
                <c:ptCount val="49"/>
                <c:pt idx="0">
                  <c:v>8.2842776999999949E-5</c:v>
                </c:pt>
                <c:pt idx="1">
                  <c:v>1.656855539999999E-4</c:v>
                </c:pt>
                <c:pt idx="2">
                  <c:v>3.3137110799999979E-4</c:v>
                </c:pt>
                <c:pt idx="3">
                  <c:v>5.7989943899999969E-4</c:v>
                </c:pt>
                <c:pt idx="4">
                  <c:v>9.1127054699999949E-4</c:v>
                </c:pt>
                <c:pt idx="5">
                  <c:v>6.6274221599999959E-4</c:v>
                </c:pt>
                <c:pt idx="6">
                  <c:v>7.4558499299999959E-4</c:v>
                </c:pt>
                <c:pt idx="7">
                  <c:v>1.0769561009999994E-3</c:v>
                </c:pt>
                <c:pt idx="8">
                  <c:v>1.5740127629999992E-3</c:v>
                </c:pt>
                <c:pt idx="9">
                  <c:v>2.0710694249999988E-3</c:v>
                </c:pt>
                <c:pt idx="10">
                  <c:v>3.2308683029999984E-3</c:v>
                </c:pt>
                <c:pt idx="11">
                  <c:v>1.8308253716999991E-2</c:v>
                </c:pt>
                <c:pt idx="12">
                  <c:v>4.1587074053999973E-2</c:v>
                </c:pt>
                <c:pt idx="13">
                  <c:v>4.6640483450999977E-2</c:v>
                </c:pt>
                <c:pt idx="14">
                  <c:v>4.4403728471999977E-2</c:v>
                </c:pt>
                <c:pt idx="15">
                  <c:v>4.8131653436999974E-2</c:v>
                </c:pt>
                <c:pt idx="16">
                  <c:v>4.9539980645999973E-2</c:v>
                </c:pt>
                <c:pt idx="17">
                  <c:v>5.2605163394999974E-2</c:v>
                </c:pt>
                <c:pt idx="18">
                  <c:v>6.279482496599996E-2</c:v>
                </c:pt>
                <c:pt idx="19">
                  <c:v>7.9446223142999955E-2</c:v>
                </c:pt>
                <c:pt idx="20">
                  <c:v>8.9055985274999958E-2</c:v>
                </c:pt>
                <c:pt idx="21">
                  <c:v>8.0854550351999954E-2</c:v>
                </c:pt>
                <c:pt idx="22">
                  <c:v>6.4203152174999958E-2</c:v>
                </c:pt>
                <c:pt idx="23">
                  <c:v>5.1362521739999972E-2</c:v>
                </c:pt>
                <c:pt idx="24">
                  <c:v>4.3740986255999981E-2</c:v>
                </c:pt>
                <c:pt idx="25">
                  <c:v>3.8687576858999984E-2</c:v>
                </c:pt>
                <c:pt idx="26">
                  <c:v>3.5622394109999983E-2</c:v>
                </c:pt>
                <c:pt idx="27">
                  <c:v>3.2060154698999983E-2</c:v>
                </c:pt>
                <c:pt idx="28">
                  <c:v>2.369303422199999E-2</c:v>
                </c:pt>
                <c:pt idx="29">
                  <c:v>1.7811197054999992E-2</c:v>
                </c:pt>
                <c:pt idx="30">
                  <c:v>1.3834743758999991E-2</c:v>
                </c:pt>
                <c:pt idx="31">
                  <c:v>1.0686718232999994E-2</c:v>
                </c:pt>
                <c:pt idx="32">
                  <c:v>8.781334361999996E-3</c:v>
                </c:pt>
                <c:pt idx="33">
                  <c:v>7.1244788219999968E-3</c:v>
                </c:pt>
                <c:pt idx="34">
                  <c:v>5.6333088359999967E-3</c:v>
                </c:pt>
                <c:pt idx="35">
                  <c:v>4.556352734999998E-3</c:v>
                </c:pt>
                <c:pt idx="36">
                  <c:v>3.5622394109999984E-3</c:v>
                </c:pt>
                <c:pt idx="37">
                  <c:v>2.8166544179999984E-3</c:v>
                </c:pt>
                <c:pt idx="38">
                  <c:v>2.4024405329999988E-3</c:v>
                </c:pt>
                <c:pt idx="39">
                  <c:v>1.905383870999999E-3</c:v>
                </c:pt>
                <c:pt idx="40">
                  <c:v>1.6568555399999992E-3</c:v>
                </c:pt>
                <c:pt idx="41">
                  <c:v>1.3254844319999992E-3</c:v>
                </c:pt>
                <c:pt idx="42">
                  <c:v>9.1127054699999949E-4</c:v>
                </c:pt>
                <c:pt idx="43">
                  <c:v>8.2842776999999959E-4</c:v>
                </c:pt>
                <c:pt idx="44">
                  <c:v>7.4558499299999959E-4</c:v>
                </c:pt>
                <c:pt idx="45">
                  <c:v>8.2842776999999959E-4</c:v>
                </c:pt>
                <c:pt idx="46">
                  <c:v>9.9411332399999938E-4</c:v>
                </c:pt>
                <c:pt idx="47">
                  <c:v>8.2842776999999959E-4</c:v>
                </c:pt>
                <c:pt idx="48">
                  <c:v>2.4852833099999985E-4</c:v>
                </c:pt>
              </c:numCache>
            </c:numRef>
          </c:yVal>
          <c:smooth val="1"/>
        </c:ser>
        <c:ser>
          <c:idx val="2"/>
          <c:order val="2"/>
          <c:tx>
            <c:v>1998-99</c:v>
          </c:tx>
          <c:spPr>
            <a:ln w="19050">
              <a:solidFill>
                <a:schemeClr val="accent4">
                  <a:lumMod val="75000"/>
                </a:schemeClr>
              </a:solidFill>
              <a:prstDash val="sysDot"/>
            </a:ln>
          </c:spPr>
          <c:marker>
            <c:symbol val="none"/>
          </c:marker>
          <c:xVal>
            <c:numRef>
              <c:f>Sheet1!$I$15:$I$63</c:f>
              <c:numCache>
                <c:formatCode>General</c:formatCode>
                <c:ptCount val="49"/>
                <c:pt idx="0">
                  <c:v>-860.92499899999996</c:v>
                </c:pt>
                <c:pt idx="1">
                  <c:v>-779.47499800000003</c:v>
                </c:pt>
                <c:pt idx="2">
                  <c:v>-698.02499699999998</c:v>
                </c:pt>
                <c:pt idx="3">
                  <c:v>-616.57499600000006</c:v>
                </c:pt>
                <c:pt idx="4">
                  <c:v>-535.12499500000001</c:v>
                </c:pt>
                <c:pt idx="5">
                  <c:v>-453.67499400000003</c:v>
                </c:pt>
                <c:pt idx="6">
                  <c:v>-372.22499299999998</c:v>
                </c:pt>
                <c:pt idx="7">
                  <c:v>-290.774992</c:v>
                </c:pt>
                <c:pt idx="8">
                  <c:v>-209.32499100000001</c:v>
                </c:pt>
                <c:pt idx="9">
                  <c:v>-127.87499</c:v>
                </c:pt>
                <c:pt idx="10">
                  <c:v>-46.424988999999997</c:v>
                </c:pt>
                <c:pt idx="11">
                  <c:v>35.025011999999997</c:v>
                </c:pt>
                <c:pt idx="12">
                  <c:v>116.475013</c:v>
                </c:pt>
                <c:pt idx="13">
                  <c:v>197.925014</c:v>
                </c:pt>
                <c:pt idx="14">
                  <c:v>279.37501500000002</c:v>
                </c:pt>
                <c:pt idx="15">
                  <c:v>360.82501600000001</c:v>
                </c:pt>
                <c:pt idx="16">
                  <c:v>442.27501699999999</c:v>
                </c:pt>
                <c:pt idx="17">
                  <c:v>523.72501799999998</c:v>
                </c:pt>
                <c:pt idx="18">
                  <c:v>605.17501900000002</c:v>
                </c:pt>
                <c:pt idx="19">
                  <c:v>686.62501999999995</c:v>
                </c:pt>
                <c:pt idx="20">
                  <c:v>768.07502099999999</c:v>
                </c:pt>
                <c:pt idx="21">
                  <c:v>849.52502200000004</c:v>
                </c:pt>
                <c:pt idx="22">
                  <c:v>930.97502299999996</c:v>
                </c:pt>
                <c:pt idx="23">
                  <c:v>1012.425024</c:v>
                </c:pt>
                <c:pt idx="24">
                  <c:v>1093.8750250000001</c:v>
                </c:pt>
                <c:pt idx="25">
                  <c:v>1175.325026</c:v>
                </c:pt>
                <c:pt idx="26">
                  <c:v>1256.7750269999999</c:v>
                </c:pt>
                <c:pt idx="27">
                  <c:v>1338.2250280000001</c:v>
                </c:pt>
                <c:pt idx="28">
                  <c:v>1419.675029</c:v>
                </c:pt>
                <c:pt idx="29">
                  <c:v>1501.1250299999999</c:v>
                </c:pt>
                <c:pt idx="30">
                  <c:v>1582.5750310000001</c:v>
                </c:pt>
                <c:pt idx="31">
                  <c:v>1664.025032</c:v>
                </c:pt>
                <c:pt idx="32">
                  <c:v>1745.4750329999999</c:v>
                </c:pt>
                <c:pt idx="33">
                  <c:v>1826.9250340000001</c:v>
                </c:pt>
                <c:pt idx="34">
                  <c:v>1908.375035</c:v>
                </c:pt>
                <c:pt idx="35">
                  <c:v>1989.825036</c:v>
                </c:pt>
                <c:pt idx="36">
                  <c:v>2071.2750369999999</c:v>
                </c:pt>
                <c:pt idx="37">
                  <c:v>2152.725038</c:v>
                </c:pt>
                <c:pt idx="38">
                  <c:v>2234.1750390000002</c:v>
                </c:pt>
                <c:pt idx="39">
                  <c:v>2315.6250399999999</c:v>
                </c:pt>
                <c:pt idx="40">
                  <c:v>2397.0750410000001</c:v>
                </c:pt>
                <c:pt idx="41">
                  <c:v>2478.5250420000002</c:v>
                </c:pt>
                <c:pt idx="42">
                  <c:v>2559.9750429999999</c:v>
                </c:pt>
                <c:pt idx="43">
                  <c:v>2641.4250440000001</c:v>
                </c:pt>
                <c:pt idx="44">
                  <c:v>2722.8750449999998</c:v>
                </c:pt>
                <c:pt idx="45">
                  <c:v>2804.3250459999999</c:v>
                </c:pt>
                <c:pt idx="46">
                  <c:v>2885.7750470000001</c:v>
                </c:pt>
                <c:pt idx="47">
                  <c:v>2967.2250479999998</c:v>
                </c:pt>
                <c:pt idx="48">
                  <c:v>3048.6750489999999</c:v>
                </c:pt>
              </c:numCache>
            </c:numRef>
          </c:xVal>
          <c:yVal>
            <c:numRef>
              <c:f>Sheet1!$L$15:$L$63</c:f>
              <c:numCache>
                <c:formatCode>0.0000</c:formatCode>
                <c:ptCount val="49"/>
                <c:pt idx="0">
                  <c:v>5.7015000699999949E-4</c:v>
                </c:pt>
                <c:pt idx="1">
                  <c:v>4.8870000599999955E-4</c:v>
                </c:pt>
                <c:pt idx="2">
                  <c:v>3.2580000399999972E-4</c:v>
                </c:pt>
                <c:pt idx="3">
                  <c:v>4.0725000499999966E-4</c:v>
                </c:pt>
                <c:pt idx="4">
                  <c:v>4.8870000599999955E-4</c:v>
                </c:pt>
                <c:pt idx="5">
                  <c:v>5.7015000699999949E-4</c:v>
                </c:pt>
                <c:pt idx="6">
                  <c:v>7.3305000899999938E-4</c:v>
                </c:pt>
                <c:pt idx="7">
                  <c:v>8.9595001099999916E-4</c:v>
                </c:pt>
                <c:pt idx="8">
                  <c:v>2.0362500249999985E-3</c:v>
                </c:pt>
                <c:pt idx="9">
                  <c:v>3.5838000439999966E-3</c:v>
                </c:pt>
                <c:pt idx="10">
                  <c:v>1.0914300133999992E-2</c:v>
                </c:pt>
                <c:pt idx="11">
                  <c:v>3.2905800403999971E-2</c:v>
                </c:pt>
                <c:pt idx="12">
                  <c:v>4.504185055299996E-2</c:v>
                </c:pt>
                <c:pt idx="13">
                  <c:v>4.1620950510999961E-2</c:v>
                </c:pt>
                <c:pt idx="14">
                  <c:v>4.3249950530999962E-2</c:v>
                </c:pt>
                <c:pt idx="15">
                  <c:v>4.5693450560999958E-2</c:v>
                </c:pt>
                <c:pt idx="16">
                  <c:v>4.5367650556999962E-2</c:v>
                </c:pt>
                <c:pt idx="17">
                  <c:v>5.1476400631999951E-2</c:v>
                </c:pt>
                <c:pt idx="18">
                  <c:v>5.9051250724999942E-2</c:v>
                </c:pt>
                <c:pt idx="19">
                  <c:v>6.6544650816999937E-2</c:v>
                </c:pt>
                <c:pt idx="20">
                  <c:v>7.143165087699993E-2</c:v>
                </c:pt>
                <c:pt idx="21">
                  <c:v>6.9721200855999935E-2</c:v>
                </c:pt>
                <c:pt idx="22">
                  <c:v>6.2553600767999942E-2</c:v>
                </c:pt>
                <c:pt idx="23">
                  <c:v>5.2942500649999953E-2</c:v>
                </c:pt>
                <c:pt idx="24">
                  <c:v>4.6426500569999959E-2</c:v>
                </c:pt>
                <c:pt idx="25">
                  <c:v>3.9991950490999968E-2</c:v>
                </c:pt>
                <c:pt idx="26">
                  <c:v>3.4127550418999973E-2</c:v>
                </c:pt>
                <c:pt idx="27">
                  <c:v>3.1195350382999972E-2</c:v>
                </c:pt>
                <c:pt idx="28">
                  <c:v>2.6471250324999977E-2</c:v>
                </c:pt>
                <c:pt idx="29">
                  <c:v>1.9059300233999984E-2</c:v>
                </c:pt>
                <c:pt idx="30">
                  <c:v>1.4661000179999988E-2</c:v>
                </c:pt>
                <c:pt idx="31">
                  <c:v>1.4498100177999986E-2</c:v>
                </c:pt>
                <c:pt idx="32">
                  <c:v>1.0588500129999991E-2</c:v>
                </c:pt>
                <c:pt idx="33">
                  <c:v>7.8192000959999928E-3</c:v>
                </c:pt>
                <c:pt idx="34">
                  <c:v>7.0047000859999944E-3</c:v>
                </c:pt>
                <c:pt idx="35">
                  <c:v>5.6200500689999947E-3</c:v>
                </c:pt>
                <c:pt idx="36">
                  <c:v>5.2942500649999953E-3</c:v>
                </c:pt>
                <c:pt idx="37">
                  <c:v>5.2942500649999953E-3</c:v>
                </c:pt>
                <c:pt idx="38">
                  <c:v>5.0499000619999958E-3</c:v>
                </c:pt>
                <c:pt idx="39">
                  <c:v>3.5023500429999972E-3</c:v>
                </c:pt>
                <c:pt idx="40">
                  <c:v>2.8507500349999972E-3</c:v>
                </c:pt>
                <c:pt idx="41">
                  <c:v>2.5249500309999979E-3</c:v>
                </c:pt>
                <c:pt idx="42">
                  <c:v>1.7104500209999985E-3</c:v>
                </c:pt>
                <c:pt idx="43">
                  <c:v>1.6290000199999986E-3</c:v>
                </c:pt>
                <c:pt idx="44">
                  <c:v>1.8733500229999984E-3</c:v>
                </c:pt>
                <c:pt idx="45">
                  <c:v>1.7919000219999983E-3</c:v>
                </c:pt>
                <c:pt idx="46">
                  <c:v>1.4661000179999988E-3</c:v>
                </c:pt>
                <c:pt idx="47">
                  <c:v>1.0588500129999989E-3</c:v>
                </c:pt>
                <c:pt idx="48">
                  <c:v>3.2580000399999972E-4</c:v>
                </c:pt>
              </c:numCache>
            </c:numRef>
          </c:yVal>
          <c:smooth val="1"/>
        </c:ser>
        <c:ser>
          <c:idx val="3"/>
          <c:order val="3"/>
          <c:tx>
            <c:v>2003-04</c:v>
          </c:tx>
          <c:spPr>
            <a:ln w="19050">
              <a:solidFill>
                <a:srgbClr val="FF0000"/>
              </a:solidFill>
              <a:prstDash val="sysDot"/>
            </a:ln>
          </c:spPr>
          <c:marker>
            <c:symbol val="none"/>
          </c:marker>
          <c:xVal>
            <c:numRef>
              <c:f>Sheet1!$M$15:$M$63</c:f>
              <c:numCache>
                <c:formatCode>General</c:formatCode>
                <c:ptCount val="49"/>
                <c:pt idx="0">
                  <c:v>-873.09805500000004</c:v>
                </c:pt>
                <c:pt idx="1">
                  <c:v>-791.53009399999996</c:v>
                </c:pt>
                <c:pt idx="2">
                  <c:v>-709.96213299999999</c:v>
                </c:pt>
                <c:pt idx="3">
                  <c:v>-628.39417300000002</c:v>
                </c:pt>
                <c:pt idx="4">
                  <c:v>-546.82621200000006</c:v>
                </c:pt>
                <c:pt idx="5">
                  <c:v>-465.25825099999997</c:v>
                </c:pt>
                <c:pt idx="6">
                  <c:v>-383.69029</c:v>
                </c:pt>
                <c:pt idx="7">
                  <c:v>-302.12232899999998</c:v>
                </c:pt>
                <c:pt idx="8">
                  <c:v>-220.55436900000001</c:v>
                </c:pt>
                <c:pt idx="9">
                  <c:v>-138.98640800000001</c:v>
                </c:pt>
                <c:pt idx="10">
                  <c:v>-57.418447</c:v>
                </c:pt>
                <c:pt idx="11">
                  <c:v>24.149514</c:v>
                </c:pt>
                <c:pt idx="12">
                  <c:v>105.717474</c:v>
                </c:pt>
                <c:pt idx="13">
                  <c:v>187.28543500000001</c:v>
                </c:pt>
                <c:pt idx="14">
                  <c:v>268.85339599999998</c:v>
                </c:pt>
                <c:pt idx="15">
                  <c:v>350.421357</c:v>
                </c:pt>
                <c:pt idx="16">
                  <c:v>431.98931800000003</c:v>
                </c:pt>
                <c:pt idx="17">
                  <c:v>513.557278</c:v>
                </c:pt>
                <c:pt idx="18">
                  <c:v>595.12523899999997</c:v>
                </c:pt>
                <c:pt idx="19">
                  <c:v>676.69320000000005</c:v>
                </c:pt>
                <c:pt idx="20">
                  <c:v>758.26116100000002</c:v>
                </c:pt>
                <c:pt idx="21">
                  <c:v>839.82912099999999</c:v>
                </c:pt>
                <c:pt idx="22">
                  <c:v>921.39708199999995</c:v>
                </c:pt>
                <c:pt idx="23">
                  <c:v>1002.965043</c:v>
                </c:pt>
                <c:pt idx="24">
                  <c:v>1084.5330039999999</c:v>
                </c:pt>
                <c:pt idx="25">
                  <c:v>1166.1009650000001</c:v>
                </c:pt>
                <c:pt idx="26">
                  <c:v>1247.6689249999999</c:v>
                </c:pt>
                <c:pt idx="27">
                  <c:v>1329.2368859999999</c:v>
                </c:pt>
                <c:pt idx="28">
                  <c:v>1410.8048470000001</c:v>
                </c:pt>
                <c:pt idx="29">
                  <c:v>1492.3728080000001</c:v>
                </c:pt>
                <c:pt idx="30">
                  <c:v>1573.9407679999999</c:v>
                </c:pt>
                <c:pt idx="31">
                  <c:v>1655.5087289999999</c:v>
                </c:pt>
                <c:pt idx="32">
                  <c:v>1737.0766900000001</c:v>
                </c:pt>
                <c:pt idx="33">
                  <c:v>1818.6446510000001</c:v>
                </c:pt>
                <c:pt idx="34">
                  <c:v>1900.212612</c:v>
                </c:pt>
                <c:pt idx="35">
                  <c:v>1981.7805719999999</c:v>
                </c:pt>
                <c:pt idx="36">
                  <c:v>2063.3485329999999</c:v>
                </c:pt>
                <c:pt idx="37">
                  <c:v>2144.9164940000001</c:v>
                </c:pt>
                <c:pt idx="38">
                  <c:v>2226.4844549999998</c:v>
                </c:pt>
                <c:pt idx="39">
                  <c:v>2308.0524150000001</c:v>
                </c:pt>
                <c:pt idx="40">
                  <c:v>2389.6203759999999</c:v>
                </c:pt>
                <c:pt idx="41">
                  <c:v>2471.188337</c:v>
                </c:pt>
                <c:pt idx="42">
                  <c:v>2552.7562979999998</c:v>
                </c:pt>
                <c:pt idx="43">
                  <c:v>2634.324259</c:v>
                </c:pt>
                <c:pt idx="44">
                  <c:v>2715.8922189999998</c:v>
                </c:pt>
                <c:pt idx="45">
                  <c:v>2797.46018</c:v>
                </c:pt>
                <c:pt idx="46">
                  <c:v>2879.0281409999998</c:v>
                </c:pt>
                <c:pt idx="47">
                  <c:v>2960.596102</c:v>
                </c:pt>
                <c:pt idx="48">
                  <c:v>3042.1640630000002</c:v>
                </c:pt>
              </c:numCache>
            </c:numRef>
          </c:xVal>
          <c:yVal>
            <c:numRef>
              <c:f>Sheet1!$P$15:$P$63</c:f>
              <c:numCache>
                <c:formatCode>0.0000</c:formatCode>
                <c:ptCount val="49"/>
                <c:pt idx="0">
                  <c:v>2.4470388300000024E-4</c:v>
                </c:pt>
                <c:pt idx="1">
                  <c:v>1.6313592200000015E-4</c:v>
                </c:pt>
                <c:pt idx="2">
                  <c:v>8.1567961000000077E-5</c:v>
                </c:pt>
                <c:pt idx="3">
                  <c:v>1.6313592200000015E-4</c:v>
                </c:pt>
                <c:pt idx="4">
                  <c:v>1.6313592200000015E-4</c:v>
                </c:pt>
                <c:pt idx="5">
                  <c:v>2.4470388300000024E-4</c:v>
                </c:pt>
                <c:pt idx="6">
                  <c:v>3.2627184400000031E-4</c:v>
                </c:pt>
                <c:pt idx="7">
                  <c:v>5.7097572700000061E-4</c:v>
                </c:pt>
                <c:pt idx="8">
                  <c:v>1.0603834930000011E-3</c:v>
                </c:pt>
                <c:pt idx="9">
                  <c:v>8.9724757100000086E-4</c:v>
                </c:pt>
                <c:pt idx="10">
                  <c:v>5.1387815430000055E-3</c:v>
                </c:pt>
                <c:pt idx="11">
                  <c:v>2.6509587325000025E-2</c:v>
                </c:pt>
                <c:pt idx="12">
                  <c:v>4.6004330004000053E-2</c:v>
                </c:pt>
                <c:pt idx="13">
                  <c:v>4.4617674667000042E-2</c:v>
                </c:pt>
                <c:pt idx="14">
                  <c:v>4.1436524188000042E-2</c:v>
                </c:pt>
                <c:pt idx="15">
                  <c:v>4.2170635837000044E-2</c:v>
                </c:pt>
                <c:pt idx="16">
                  <c:v>4.3638859135000041E-2</c:v>
                </c:pt>
                <c:pt idx="17">
                  <c:v>4.6167465926000045E-2</c:v>
                </c:pt>
                <c:pt idx="18">
                  <c:v>5.6689732895000053E-2</c:v>
                </c:pt>
                <c:pt idx="19">
                  <c:v>6.6314752293000073E-2</c:v>
                </c:pt>
                <c:pt idx="20">
                  <c:v>6.8843359084000078E-2</c:v>
                </c:pt>
                <c:pt idx="21">
                  <c:v>6.7701407630000071E-2</c:v>
                </c:pt>
                <c:pt idx="22">
                  <c:v>6.191008239900006E-2</c:v>
                </c:pt>
                <c:pt idx="23">
                  <c:v>5.3345446494000047E-2</c:v>
                </c:pt>
                <c:pt idx="24">
                  <c:v>4.5025514472000046E-2</c:v>
                </c:pt>
                <c:pt idx="25">
                  <c:v>4.2904747486000046E-2</c:v>
                </c:pt>
                <c:pt idx="26">
                  <c:v>3.9315757202000041E-2</c:v>
                </c:pt>
                <c:pt idx="27">
                  <c:v>3.360599993200003E-2</c:v>
                </c:pt>
                <c:pt idx="28">
                  <c:v>3.0343281492000031E-2</c:v>
                </c:pt>
                <c:pt idx="29">
                  <c:v>2.4062548495000027E-2</c:v>
                </c:pt>
                <c:pt idx="30">
                  <c:v>1.7047703849000017E-2</c:v>
                </c:pt>
                <c:pt idx="31">
                  <c:v>1.3214009682000014E-2</c:v>
                </c:pt>
                <c:pt idx="32">
                  <c:v>1.1827354345000011E-2</c:v>
                </c:pt>
                <c:pt idx="33">
                  <c:v>1.0603834930000011E-2</c:v>
                </c:pt>
                <c:pt idx="34">
                  <c:v>9.2171795930000092E-3</c:v>
                </c:pt>
                <c:pt idx="35">
                  <c:v>7.7489562950000083E-3</c:v>
                </c:pt>
                <c:pt idx="36">
                  <c:v>6.0360291140000057E-3</c:v>
                </c:pt>
                <c:pt idx="37">
                  <c:v>4.9756456210000048E-3</c:v>
                </c:pt>
                <c:pt idx="38">
                  <c:v>4.3231019330000047E-3</c:v>
                </c:pt>
                <c:pt idx="39">
                  <c:v>4.2415339720000044E-3</c:v>
                </c:pt>
                <c:pt idx="40">
                  <c:v>3.9968300890000042E-3</c:v>
                </c:pt>
                <c:pt idx="41">
                  <c:v>3.7521262060000037E-3</c:v>
                </c:pt>
                <c:pt idx="42">
                  <c:v>3.2627184400000034E-3</c:v>
                </c:pt>
                <c:pt idx="43">
                  <c:v>2.3654708690000023E-3</c:v>
                </c:pt>
                <c:pt idx="44">
                  <c:v>2.0391990250000023E-3</c:v>
                </c:pt>
                <c:pt idx="45">
                  <c:v>1.957631064000002E-3</c:v>
                </c:pt>
                <c:pt idx="46">
                  <c:v>1.6313592200000017E-3</c:v>
                </c:pt>
                <c:pt idx="47">
                  <c:v>8.9724757100000086E-4</c:v>
                </c:pt>
                <c:pt idx="48">
                  <c:v>2.4470388300000024E-4</c:v>
                </c:pt>
              </c:numCache>
            </c:numRef>
          </c:yVal>
          <c:smooth val="1"/>
        </c:ser>
        <c:ser>
          <c:idx val="4"/>
          <c:order val="4"/>
          <c:tx>
            <c:v>2009-10</c:v>
          </c:tx>
          <c:spPr>
            <a:ln w="31750">
              <a:solidFill>
                <a:srgbClr val="C00000"/>
              </a:solidFill>
              <a:prstDash val="solid"/>
            </a:ln>
          </c:spPr>
          <c:marker>
            <c:symbol val="none"/>
          </c:marker>
          <c:xVal>
            <c:numRef>
              <c:f>Sheet1!$Q$15:$Q$63</c:f>
              <c:numCache>
                <c:formatCode>General</c:formatCode>
                <c:ptCount val="49"/>
                <c:pt idx="0">
                  <c:v>-481.79025799999999</c:v>
                </c:pt>
                <c:pt idx="1">
                  <c:v>-408.23551500000002</c:v>
                </c:pt>
                <c:pt idx="2">
                  <c:v>-334.68077199999999</c:v>
                </c:pt>
                <c:pt idx="3">
                  <c:v>-261.12603000000001</c:v>
                </c:pt>
                <c:pt idx="4">
                  <c:v>-187.57128700000001</c:v>
                </c:pt>
                <c:pt idx="5">
                  <c:v>-114.016544</c:v>
                </c:pt>
                <c:pt idx="6">
                  <c:v>-40.461801000000001</c:v>
                </c:pt>
                <c:pt idx="7">
                  <c:v>33.092942000000001</c:v>
                </c:pt>
                <c:pt idx="8">
                  <c:v>106.647685</c:v>
                </c:pt>
                <c:pt idx="9">
                  <c:v>180.202428</c:v>
                </c:pt>
                <c:pt idx="10">
                  <c:v>253.757171</c:v>
                </c:pt>
                <c:pt idx="11">
                  <c:v>327.311914</c:v>
                </c:pt>
                <c:pt idx="12">
                  <c:v>400.86665699999998</c:v>
                </c:pt>
                <c:pt idx="13">
                  <c:v>474.42140000000001</c:v>
                </c:pt>
                <c:pt idx="14">
                  <c:v>547.97614299999998</c:v>
                </c:pt>
                <c:pt idx="15">
                  <c:v>621.53088600000001</c:v>
                </c:pt>
                <c:pt idx="16">
                  <c:v>695.08562900000004</c:v>
                </c:pt>
                <c:pt idx="17">
                  <c:v>768.64037199999996</c:v>
                </c:pt>
                <c:pt idx="18">
                  <c:v>842.19511399999999</c:v>
                </c:pt>
                <c:pt idx="19">
                  <c:v>915.74985700000002</c:v>
                </c:pt>
                <c:pt idx="20">
                  <c:v>989.30460000000005</c:v>
                </c:pt>
                <c:pt idx="21">
                  <c:v>1062.8593430000001</c:v>
                </c:pt>
                <c:pt idx="22">
                  <c:v>1136.414086</c:v>
                </c:pt>
                <c:pt idx="23">
                  <c:v>1209.9688289999999</c:v>
                </c:pt>
                <c:pt idx="24">
                  <c:v>1283.5235720000001</c:v>
                </c:pt>
                <c:pt idx="25">
                  <c:v>1357.078315</c:v>
                </c:pt>
                <c:pt idx="26">
                  <c:v>1430.6330579999999</c:v>
                </c:pt>
                <c:pt idx="27">
                  <c:v>1504.187801</c:v>
                </c:pt>
                <c:pt idx="28">
                  <c:v>1577.742544</c:v>
                </c:pt>
                <c:pt idx="29">
                  <c:v>1651.2972870000001</c:v>
                </c:pt>
                <c:pt idx="30">
                  <c:v>1724.85203</c:v>
                </c:pt>
                <c:pt idx="31">
                  <c:v>1798.4067729999999</c:v>
                </c:pt>
                <c:pt idx="32">
                  <c:v>1871.961515</c:v>
                </c:pt>
                <c:pt idx="33">
                  <c:v>1945.5162580000001</c:v>
                </c:pt>
                <c:pt idx="34">
                  <c:v>2019.071001</c:v>
                </c:pt>
                <c:pt idx="35">
                  <c:v>2092.6257439999999</c:v>
                </c:pt>
                <c:pt idx="36">
                  <c:v>2166.1804870000001</c:v>
                </c:pt>
                <c:pt idx="37">
                  <c:v>2239.7352299999998</c:v>
                </c:pt>
                <c:pt idx="38">
                  <c:v>2313.2899729999999</c:v>
                </c:pt>
                <c:pt idx="39">
                  <c:v>2386.8447160000001</c:v>
                </c:pt>
                <c:pt idx="40">
                  <c:v>2460.3994590000002</c:v>
                </c:pt>
                <c:pt idx="41">
                  <c:v>2533.9542019999999</c:v>
                </c:pt>
                <c:pt idx="42">
                  <c:v>2607.508945</c:v>
                </c:pt>
                <c:pt idx="43">
                  <c:v>2681.0636880000002</c:v>
                </c:pt>
                <c:pt idx="44">
                  <c:v>2754.6184309999999</c:v>
                </c:pt>
                <c:pt idx="45">
                  <c:v>2828.173174</c:v>
                </c:pt>
                <c:pt idx="46">
                  <c:v>2901.7279159999998</c:v>
                </c:pt>
                <c:pt idx="47">
                  <c:v>2975.282659</c:v>
                </c:pt>
                <c:pt idx="48">
                  <c:v>3048.8374020000001</c:v>
                </c:pt>
              </c:numCache>
            </c:numRef>
          </c:xVal>
          <c:yVal>
            <c:numRef>
              <c:f>Sheet1!$T$15:$T$63</c:f>
              <c:numCache>
                <c:formatCode>0.0000</c:formatCode>
                <c:ptCount val="49"/>
                <c:pt idx="0">
                  <c:v>1.4710948599999993E-4</c:v>
                </c:pt>
                <c:pt idx="1">
                  <c:v>3.6777371499999991E-4</c:v>
                </c:pt>
                <c:pt idx="2">
                  <c:v>5.1488320099999979E-4</c:v>
                </c:pt>
                <c:pt idx="3">
                  <c:v>6.6199268699999978E-4</c:v>
                </c:pt>
                <c:pt idx="4">
                  <c:v>8.826569159999997E-4</c:v>
                </c:pt>
                <c:pt idx="5">
                  <c:v>1.3239853739999996E-3</c:v>
                </c:pt>
                <c:pt idx="6">
                  <c:v>7.7232480149999972E-3</c:v>
                </c:pt>
                <c:pt idx="7">
                  <c:v>2.5302831591999992E-2</c:v>
                </c:pt>
                <c:pt idx="8">
                  <c:v>3.6483152527999989E-2</c:v>
                </c:pt>
                <c:pt idx="9">
                  <c:v>3.5379831382999986E-2</c:v>
                </c:pt>
                <c:pt idx="10">
                  <c:v>3.309963434999999E-2</c:v>
                </c:pt>
                <c:pt idx="11">
                  <c:v>3.3393853321999983E-2</c:v>
                </c:pt>
                <c:pt idx="12">
                  <c:v>3.7512918929999986E-2</c:v>
                </c:pt>
                <c:pt idx="13">
                  <c:v>4.0087334934999989E-2</c:v>
                </c:pt>
                <c:pt idx="14">
                  <c:v>4.1190656079999985E-2</c:v>
                </c:pt>
                <c:pt idx="15">
                  <c:v>4.8693239865999986E-2</c:v>
                </c:pt>
                <c:pt idx="16">
                  <c:v>5.4283400333999983E-2</c:v>
                </c:pt>
                <c:pt idx="17">
                  <c:v>5.6563597366999986E-2</c:v>
                </c:pt>
                <c:pt idx="18">
                  <c:v>5.7299144796999976E-2</c:v>
                </c:pt>
                <c:pt idx="19">
                  <c:v>5.2665195987999978E-2</c:v>
                </c:pt>
                <c:pt idx="20">
                  <c:v>4.685437129099998E-2</c:v>
                </c:pt>
                <c:pt idx="21">
                  <c:v>4.0528663392999979E-2</c:v>
                </c:pt>
                <c:pt idx="22">
                  <c:v>3.6483152527999989E-2</c:v>
                </c:pt>
                <c:pt idx="23">
                  <c:v>3.5379831382999986E-2</c:v>
                </c:pt>
                <c:pt idx="24">
                  <c:v>3.251119640599999E-2</c:v>
                </c:pt>
                <c:pt idx="25">
                  <c:v>2.6700371708999991E-2</c:v>
                </c:pt>
                <c:pt idx="26">
                  <c:v>2.2949079815999991E-2</c:v>
                </c:pt>
                <c:pt idx="27">
                  <c:v>2.2875525072999992E-2</c:v>
                </c:pt>
                <c:pt idx="28">
                  <c:v>2.3243298787999991E-2</c:v>
                </c:pt>
                <c:pt idx="29">
                  <c:v>2.1330875469999993E-2</c:v>
                </c:pt>
                <c:pt idx="30">
                  <c:v>1.7506028833999994E-2</c:v>
                </c:pt>
                <c:pt idx="31">
                  <c:v>1.4416729627999994E-2</c:v>
                </c:pt>
                <c:pt idx="32">
                  <c:v>1.3166298996999995E-2</c:v>
                </c:pt>
                <c:pt idx="33">
                  <c:v>1.1400985164999995E-2</c:v>
                </c:pt>
                <c:pt idx="34">
                  <c:v>1.0224109276999996E-2</c:v>
                </c:pt>
                <c:pt idx="35">
                  <c:v>9.8563355619999959E-3</c:v>
                </c:pt>
                <c:pt idx="36">
                  <c:v>7.8703575009999964E-3</c:v>
                </c:pt>
                <c:pt idx="37">
                  <c:v>5.9579341829999978E-3</c:v>
                </c:pt>
                <c:pt idx="38">
                  <c:v>5.5901604679999984E-3</c:v>
                </c:pt>
                <c:pt idx="39">
                  <c:v>6.3992626409999981E-3</c:v>
                </c:pt>
                <c:pt idx="40">
                  <c:v>6.178598411999997E-3</c:v>
                </c:pt>
                <c:pt idx="41">
                  <c:v>4.4868393229999986E-3</c:v>
                </c:pt>
                <c:pt idx="42">
                  <c:v>3.7512918929999985E-3</c:v>
                </c:pt>
                <c:pt idx="43">
                  <c:v>3.2364086919999986E-3</c:v>
                </c:pt>
                <c:pt idx="44">
                  <c:v>2.7215254909999987E-3</c:v>
                </c:pt>
                <c:pt idx="45">
                  <c:v>2.7215254909999987E-3</c:v>
                </c:pt>
                <c:pt idx="46">
                  <c:v>2.2801970329999993E-3</c:v>
                </c:pt>
                <c:pt idx="47">
                  <c:v>1.1768758879999995E-3</c:v>
                </c:pt>
                <c:pt idx="48">
                  <c:v>3.6777371499999991E-4</c:v>
                </c:pt>
              </c:numCache>
            </c:numRef>
          </c:yVal>
          <c:smooth val="1"/>
        </c:ser>
        <c:dLbls>
          <c:showLegendKey val="0"/>
          <c:showVal val="0"/>
          <c:showCatName val="0"/>
          <c:showSerName val="0"/>
          <c:showPercent val="0"/>
          <c:showBubbleSize val="0"/>
        </c:dLbls>
        <c:axId val="243356032"/>
        <c:axId val="243357952"/>
      </c:scatterChart>
      <c:valAx>
        <c:axId val="243356032"/>
        <c:scaling>
          <c:orientation val="minMax"/>
          <c:max val="3000"/>
          <c:min val="-1000"/>
        </c:scaling>
        <c:delete val="0"/>
        <c:axPos val="b"/>
        <c:title>
          <c:tx>
            <c:rich>
              <a:bodyPr/>
              <a:lstStyle/>
              <a:p>
                <a:pPr>
                  <a:defRPr b="0">
                    <a:latin typeface="Arial" pitchFamily="34" charset="0"/>
                    <a:cs typeface="Arial" pitchFamily="34" charset="0"/>
                  </a:defRPr>
                </a:pPr>
                <a:r>
                  <a:rPr lang="en-US" b="0">
                    <a:latin typeface="Arial" pitchFamily="34" charset="0"/>
                    <a:cs typeface="Arial" pitchFamily="34" charset="0"/>
                  </a:rPr>
                  <a:t>$ (2011-12) per week</a:t>
                </a:r>
              </a:p>
            </c:rich>
          </c:tx>
          <c:overlay val="0"/>
        </c:title>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43357952"/>
        <c:crosses val="autoZero"/>
        <c:crossBetween val="midCat"/>
      </c:valAx>
      <c:valAx>
        <c:axId val="243357952"/>
        <c:scaling>
          <c:orientation val="minMax"/>
          <c:max val="0.1"/>
        </c:scaling>
        <c:delete val="0"/>
        <c:axPos val="l"/>
        <c:majorGridlines/>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Proportion</a:t>
                </a:r>
              </a:p>
            </c:rich>
          </c:tx>
          <c:overlay val="0"/>
        </c:title>
        <c:numFmt formatCode="0.00" sourceLinked="0"/>
        <c:majorTickMark val="out"/>
        <c:minorTickMark val="none"/>
        <c:tickLblPos val="low"/>
        <c:txPr>
          <a:bodyPr/>
          <a:lstStyle/>
          <a:p>
            <a:pPr>
              <a:defRPr sz="900">
                <a:latin typeface="Arial" pitchFamily="34" charset="0"/>
                <a:cs typeface="Arial" pitchFamily="34" charset="0"/>
              </a:defRPr>
            </a:pPr>
            <a:endParaRPr lang="en-US"/>
          </a:p>
        </c:txPr>
        <c:crossAx val="243356032"/>
        <c:crosses val="autoZero"/>
        <c:crossBetween val="midCat"/>
        <c:majorUnit val="2.0000000000000004E-2"/>
      </c:valAx>
      <c:spPr>
        <a:noFill/>
        <a:ln w="25400">
          <a:noFill/>
        </a:ln>
      </c:spPr>
    </c:plotArea>
    <c:legend>
      <c:legendPos val="b"/>
      <c:overlay val="0"/>
    </c:legend>
    <c:plotVisOnly val="1"/>
    <c:dispBlanksAs val="gap"/>
    <c:showDLblsOverMax val="0"/>
  </c:chart>
  <c:spPr>
    <a:ln>
      <a:noFill/>
    </a:ln>
  </c:sp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212142857142856"/>
          <c:y val="4.0035714285714293E-2"/>
          <c:w val="0.72676865079365094"/>
          <c:h val="0.76886626984126993"/>
        </c:manualLayout>
      </c:layout>
      <c:scatterChart>
        <c:scatterStyle val="smoothMarker"/>
        <c:varyColors val="0"/>
        <c:ser>
          <c:idx val="4"/>
          <c:order val="0"/>
          <c:tx>
            <c:v>2009</c:v>
          </c:tx>
          <c:spPr>
            <a:ln w="31750">
              <a:solidFill>
                <a:schemeClr val="accent1"/>
              </a:solidFill>
              <a:prstDash val="solid"/>
            </a:ln>
          </c:spPr>
          <c:marker>
            <c:symbol val="none"/>
          </c:marker>
          <c:xVal>
            <c:numRef>
              <c:f>Sheet1!$Q$15:$Q$63</c:f>
              <c:numCache>
                <c:formatCode>General</c:formatCode>
                <c:ptCount val="49"/>
                <c:pt idx="0">
                  <c:v>-481.79025799999999</c:v>
                </c:pt>
                <c:pt idx="1">
                  <c:v>-408.23551500000002</c:v>
                </c:pt>
                <c:pt idx="2">
                  <c:v>-334.68077199999999</c:v>
                </c:pt>
                <c:pt idx="3">
                  <c:v>-261.12603000000001</c:v>
                </c:pt>
                <c:pt idx="4">
                  <c:v>-187.57128700000001</c:v>
                </c:pt>
                <c:pt idx="5">
                  <c:v>-114.016544</c:v>
                </c:pt>
                <c:pt idx="6">
                  <c:v>-40.461801000000001</c:v>
                </c:pt>
                <c:pt idx="7">
                  <c:v>33.092942000000001</c:v>
                </c:pt>
                <c:pt idx="8">
                  <c:v>106.647685</c:v>
                </c:pt>
                <c:pt idx="9">
                  <c:v>180.202428</c:v>
                </c:pt>
                <c:pt idx="10">
                  <c:v>253.757171</c:v>
                </c:pt>
                <c:pt idx="11">
                  <c:v>327.311914</c:v>
                </c:pt>
                <c:pt idx="12">
                  <c:v>400.86665699999998</c:v>
                </c:pt>
                <c:pt idx="13">
                  <c:v>474.42140000000001</c:v>
                </c:pt>
                <c:pt idx="14">
                  <c:v>547.97614299999998</c:v>
                </c:pt>
                <c:pt idx="15">
                  <c:v>621.53088600000001</c:v>
                </c:pt>
                <c:pt idx="16">
                  <c:v>695.08562900000004</c:v>
                </c:pt>
                <c:pt idx="17">
                  <c:v>768.64037199999996</c:v>
                </c:pt>
                <c:pt idx="18">
                  <c:v>842.19511399999999</c:v>
                </c:pt>
                <c:pt idx="19">
                  <c:v>915.74985700000002</c:v>
                </c:pt>
                <c:pt idx="20">
                  <c:v>989.30460000000005</c:v>
                </c:pt>
                <c:pt idx="21">
                  <c:v>1062.8593430000001</c:v>
                </c:pt>
                <c:pt idx="22">
                  <c:v>1136.414086</c:v>
                </c:pt>
                <c:pt idx="23">
                  <c:v>1209.9688289999999</c:v>
                </c:pt>
                <c:pt idx="24">
                  <c:v>1283.5235720000001</c:v>
                </c:pt>
                <c:pt idx="25">
                  <c:v>1357.078315</c:v>
                </c:pt>
                <c:pt idx="26">
                  <c:v>1430.6330579999999</c:v>
                </c:pt>
                <c:pt idx="27">
                  <c:v>1504.187801</c:v>
                </c:pt>
                <c:pt idx="28">
                  <c:v>1577.742544</c:v>
                </c:pt>
                <c:pt idx="29">
                  <c:v>1651.2972870000001</c:v>
                </c:pt>
                <c:pt idx="30">
                  <c:v>1724.85203</c:v>
                </c:pt>
                <c:pt idx="31">
                  <c:v>1798.4067729999999</c:v>
                </c:pt>
                <c:pt idx="32">
                  <c:v>1871.961515</c:v>
                </c:pt>
                <c:pt idx="33">
                  <c:v>1945.5162580000001</c:v>
                </c:pt>
                <c:pt idx="34">
                  <c:v>2019.071001</c:v>
                </c:pt>
                <c:pt idx="35">
                  <c:v>2092.6257439999999</c:v>
                </c:pt>
                <c:pt idx="36">
                  <c:v>2166.1804870000001</c:v>
                </c:pt>
                <c:pt idx="37">
                  <c:v>2239.7352299999998</c:v>
                </c:pt>
                <c:pt idx="38">
                  <c:v>2313.2899729999999</c:v>
                </c:pt>
                <c:pt idx="39">
                  <c:v>2386.8447160000001</c:v>
                </c:pt>
                <c:pt idx="40">
                  <c:v>2460.3994590000002</c:v>
                </c:pt>
                <c:pt idx="41">
                  <c:v>2533.9542019999999</c:v>
                </c:pt>
                <c:pt idx="42">
                  <c:v>2607.508945</c:v>
                </c:pt>
                <c:pt idx="43">
                  <c:v>2681.0636880000002</c:v>
                </c:pt>
                <c:pt idx="44">
                  <c:v>2754.6184309999999</c:v>
                </c:pt>
                <c:pt idx="45">
                  <c:v>2828.173174</c:v>
                </c:pt>
                <c:pt idx="46">
                  <c:v>2901.7279159999998</c:v>
                </c:pt>
                <c:pt idx="47">
                  <c:v>2975.282659</c:v>
                </c:pt>
                <c:pt idx="48">
                  <c:v>3048.8374020000001</c:v>
                </c:pt>
              </c:numCache>
            </c:numRef>
          </c:xVal>
          <c:yVal>
            <c:numRef>
              <c:f>Sheet1!$T$15:$T$63</c:f>
              <c:numCache>
                <c:formatCode>0.0000</c:formatCode>
                <c:ptCount val="49"/>
                <c:pt idx="0">
                  <c:v>1.4710948599999993E-4</c:v>
                </c:pt>
                <c:pt idx="1">
                  <c:v>3.6777371499999991E-4</c:v>
                </c:pt>
                <c:pt idx="2">
                  <c:v>5.1488320099999979E-4</c:v>
                </c:pt>
                <c:pt idx="3">
                  <c:v>6.6199268699999978E-4</c:v>
                </c:pt>
                <c:pt idx="4">
                  <c:v>8.826569159999997E-4</c:v>
                </c:pt>
                <c:pt idx="5">
                  <c:v>1.3239853739999996E-3</c:v>
                </c:pt>
                <c:pt idx="6">
                  <c:v>7.7232480149999972E-3</c:v>
                </c:pt>
                <c:pt idx="7">
                  <c:v>2.5302831591999992E-2</c:v>
                </c:pt>
                <c:pt idx="8">
                  <c:v>3.6483152527999989E-2</c:v>
                </c:pt>
                <c:pt idx="9">
                  <c:v>3.5379831382999986E-2</c:v>
                </c:pt>
                <c:pt idx="10">
                  <c:v>3.309963434999999E-2</c:v>
                </c:pt>
                <c:pt idx="11">
                  <c:v>3.3393853321999983E-2</c:v>
                </c:pt>
                <c:pt idx="12">
                  <c:v>3.7512918929999986E-2</c:v>
                </c:pt>
                <c:pt idx="13">
                  <c:v>4.0087334934999989E-2</c:v>
                </c:pt>
                <c:pt idx="14">
                  <c:v>4.1190656079999985E-2</c:v>
                </c:pt>
                <c:pt idx="15">
                  <c:v>4.8693239865999986E-2</c:v>
                </c:pt>
                <c:pt idx="16">
                  <c:v>5.4283400333999983E-2</c:v>
                </c:pt>
                <c:pt idx="17">
                  <c:v>5.6563597366999986E-2</c:v>
                </c:pt>
                <c:pt idx="18">
                  <c:v>5.7299144796999976E-2</c:v>
                </c:pt>
                <c:pt idx="19">
                  <c:v>5.2665195987999978E-2</c:v>
                </c:pt>
                <c:pt idx="20">
                  <c:v>4.685437129099998E-2</c:v>
                </c:pt>
                <c:pt idx="21">
                  <c:v>4.0528663392999979E-2</c:v>
                </c:pt>
                <c:pt idx="22">
                  <c:v>3.6483152527999989E-2</c:v>
                </c:pt>
                <c:pt idx="23">
                  <c:v>3.5379831382999986E-2</c:v>
                </c:pt>
                <c:pt idx="24">
                  <c:v>3.251119640599999E-2</c:v>
                </c:pt>
                <c:pt idx="25">
                  <c:v>2.6700371708999991E-2</c:v>
                </c:pt>
                <c:pt idx="26">
                  <c:v>2.2949079815999991E-2</c:v>
                </c:pt>
                <c:pt idx="27">
                  <c:v>2.2875525072999992E-2</c:v>
                </c:pt>
                <c:pt idx="28">
                  <c:v>2.3243298787999991E-2</c:v>
                </c:pt>
                <c:pt idx="29">
                  <c:v>2.1330875469999993E-2</c:v>
                </c:pt>
                <c:pt idx="30">
                  <c:v>1.7506028833999994E-2</c:v>
                </c:pt>
                <c:pt idx="31">
                  <c:v>1.4416729627999994E-2</c:v>
                </c:pt>
                <c:pt idx="32">
                  <c:v>1.3166298996999995E-2</c:v>
                </c:pt>
                <c:pt idx="33">
                  <c:v>1.1400985164999995E-2</c:v>
                </c:pt>
                <c:pt idx="34">
                  <c:v>1.0224109276999996E-2</c:v>
                </c:pt>
                <c:pt idx="35">
                  <c:v>9.8563355619999959E-3</c:v>
                </c:pt>
                <c:pt idx="36">
                  <c:v>7.8703575009999964E-3</c:v>
                </c:pt>
                <c:pt idx="37">
                  <c:v>5.9579341829999978E-3</c:v>
                </c:pt>
                <c:pt idx="38">
                  <c:v>5.5901604679999984E-3</c:v>
                </c:pt>
                <c:pt idx="39">
                  <c:v>6.3992626409999981E-3</c:v>
                </c:pt>
                <c:pt idx="40">
                  <c:v>6.178598411999997E-3</c:v>
                </c:pt>
                <c:pt idx="41">
                  <c:v>4.4868393229999986E-3</c:v>
                </c:pt>
                <c:pt idx="42">
                  <c:v>3.7512918929999985E-3</c:v>
                </c:pt>
                <c:pt idx="43">
                  <c:v>3.2364086919999986E-3</c:v>
                </c:pt>
                <c:pt idx="44">
                  <c:v>2.7215254909999987E-3</c:v>
                </c:pt>
                <c:pt idx="45">
                  <c:v>2.7215254909999987E-3</c:v>
                </c:pt>
                <c:pt idx="46">
                  <c:v>2.2801970329999993E-3</c:v>
                </c:pt>
                <c:pt idx="47">
                  <c:v>1.1768758879999995E-3</c:v>
                </c:pt>
                <c:pt idx="48">
                  <c:v>3.6777371499999991E-4</c:v>
                </c:pt>
              </c:numCache>
            </c:numRef>
          </c:yVal>
          <c:smooth val="1"/>
        </c:ser>
        <c:dLbls>
          <c:showLegendKey val="0"/>
          <c:showVal val="0"/>
          <c:showCatName val="0"/>
          <c:showSerName val="0"/>
          <c:showPercent val="0"/>
          <c:showBubbleSize val="0"/>
        </c:dLbls>
        <c:axId val="243380608"/>
        <c:axId val="243382528"/>
      </c:scatterChart>
      <c:valAx>
        <c:axId val="243380608"/>
        <c:scaling>
          <c:orientation val="minMax"/>
          <c:max val="3000"/>
          <c:min val="-1000"/>
        </c:scaling>
        <c:delete val="0"/>
        <c:axPos val="b"/>
        <c:title>
          <c:tx>
            <c:rich>
              <a:bodyPr/>
              <a:lstStyle/>
              <a:p>
                <a:pPr>
                  <a:defRPr b="0">
                    <a:latin typeface="Arial" pitchFamily="34" charset="0"/>
                    <a:cs typeface="Arial" pitchFamily="34" charset="0"/>
                  </a:defRPr>
                </a:pPr>
                <a:r>
                  <a:rPr lang="en-US" b="0">
                    <a:latin typeface="Arial" pitchFamily="34" charset="0"/>
                    <a:cs typeface="Arial" pitchFamily="34" charset="0"/>
                  </a:rPr>
                  <a:t>$ (2011-12) per week</a:t>
                </a:r>
              </a:p>
            </c:rich>
          </c:tx>
          <c:overlay val="0"/>
        </c:title>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43382528"/>
        <c:crosses val="autoZero"/>
        <c:crossBetween val="midCat"/>
      </c:valAx>
      <c:valAx>
        <c:axId val="243382528"/>
        <c:scaling>
          <c:orientation val="minMax"/>
          <c:max val="6.0000000000000012E-2"/>
        </c:scaling>
        <c:delete val="0"/>
        <c:axPos val="l"/>
        <c:majorGridlines/>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Proportion</a:t>
                </a:r>
              </a:p>
            </c:rich>
          </c:tx>
          <c:overlay val="0"/>
        </c:title>
        <c:numFmt formatCode="0.00" sourceLinked="0"/>
        <c:majorTickMark val="out"/>
        <c:minorTickMark val="none"/>
        <c:tickLblPos val="low"/>
        <c:txPr>
          <a:bodyPr/>
          <a:lstStyle/>
          <a:p>
            <a:pPr>
              <a:defRPr sz="900">
                <a:latin typeface="Arial" pitchFamily="34" charset="0"/>
                <a:cs typeface="Arial" pitchFamily="34" charset="0"/>
              </a:defRPr>
            </a:pPr>
            <a:endParaRPr lang="en-US"/>
          </a:p>
        </c:txPr>
        <c:crossAx val="243380608"/>
        <c:crosses val="autoZero"/>
        <c:crossBetween val="midCat"/>
        <c:majorUnit val="2.0000000000000004E-2"/>
      </c:valAx>
      <c:spPr>
        <a:solidFill>
          <a:schemeClr val="bg1"/>
        </a:solidFill>
      </c:spPr>
    </c:plotArea>
    <c:plotVisOnly val="1"/>
    <c:dispBlanksAs val="gap"/>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925436507936507"/>
          <c:y val="4.8959027777777775E-2"/>
          <c:w val="0.74963531746031742"/>
          <c:h val="0.74737083333333332"/>
        </c:manualLayout>
      </c:layout>
      <c:lineChart>
        <c:grouping val="standard"/>
        <c:varyColors val="0"/>
        <c:ser>
          <c:idx val="1"/>
          <c:order val="0"/>
          <c:tx>
            <c:strRef>
              <c:f>'2009'!$K$10</c:f>
              <c:strCache>
                <c:ptCount val="1"/>
                <c:pt idx="0">
                  <c:v>Fulltime</c:v>
                </c:pt>
              </c:strCache>
            </c:strRef>
          </c:tx>
          <c:spPr>
            <a:ln>
              <a:solidFill>
                <a:schemeClr val="accent1">
                  <a:lumMod val="75000"/>
                </a:schemeClr>
              </a:solidFill>
            </a:ln>
          </c:spPr>
          <c:marker>
            <c:symbol val="none"/>
          </c:marker>
          <c:cat>
            <c:numRef>
              <c:f>'2009'!$J$11:$J$51</c:f>
              <c:numCache>
                <c:formatCode>0</c:formatCode>
                <c:ptCount val="41"/>
                <c:pt idx="0">
                  <c:v>-1000</c:v>
                </c:pt>
                <c:pt idx="1">
                  <c:v>-900</c:v>
                </c:pt>
                <c:pt idx="2">
                  <c:v>-800</c:v>
                </c:pt>
                <c:pt idx="3">
                  <c:v>-700</c:v>
                </c:pt>
                <c:pt idx="4">
                  <c:v>-600</c:v>
                </c:pt>
                <c:pt idx="5">
                  <c:v>-500</c:v>
                </c:pt>
                <c:pt idx="6">
                  <c:v>-400</c:v>
                </c:pt>
                <c:pt idx="7">
                  <c:v>-300</c:v>
                </c:pt>
                <c:pt idx="8">
                  <c:v>-200</c:v>
                </c:pt>
                <c:pt idx="9">
                  <c:v>-100</c:v>
                </c:pt>
                <c:pt idx="10">
                  <c:v>0</c:v>
                </c:pt>
                <c:pt idx="11">
                  <c:v>100</c:v>
                </c:pt>
                <c:pt idx="12">
                  <c:v>200</c:v>
                </c:pt>
                <c:pt idx="13">
                  <c:v>300</c:v>
                </c:pt>
                <c:pt idx="14">
                  <c:v>400</c:v>
                </c:pt>
                <c:pt idx="15">
                  <c:v>500</c:v>
                </c:pt>
                <c:pt idx="16">
                  <c:v>600</c:v>
                </c:pt>
                <c:pt idx="17">
                  <c:v>700</c:v>
                </c:pt>
                <c:pt idx="18">
                  <c:v>800</c:v>
                </c:pt>
                <c:pt idx="19">
                  <c:v>900</c:v>
                </c:pt>
                <c:pt idx="20">
                  <c:v>1000</c:v>
                </c:pt>
                <c:pt idx="21">
                  <c:v>1100</c:v>
                </c:pt>
                <c:pt idx="22">
                  <c:v>1200</c:v>
                </c:pt>
                <c:pt idx="23">
                  <c:v>1300</c:v>
                </c:pt>
                <c:pt idx="24">
                  <c:v>1400</c:v>
                </c:pt>
                <c:pt idx="25">
                  <c:v>1500</c:v>
                </c:pt>
                <c:pt idx="26">
                  <c:v>1600</c:v>
                </c:pt>
                <c:pt idx="27">
                  <c:v>1700</c:v>
                </c:pt>
                <c:pt idx="28">
                  <c:v>1800</c:v>
                </c:pt>
                <c:pt idx="29">
                  <c:v>1900</c:v>
                </c:pt>
                <c:pt idx="30">
                  <c:v>2000</c:v>
                </c:pt>
                <c:pt idx="31">
                  <c:v>2100</c:v>
                </c:pt>
                <c:pt idx="32">
                  <c:v>2200</c:v>
                </c:pt>
                <c:pt idx="33">
                  <c:v>2300</c:v>
                </c:pt>
                <c:pt idx="34">
                  <c:v>2400</c:v>
                </c:pt>
                <c:pt idx="35">
                  <c:v>2500</c:v>
                </c:pt>
                <c:pt idx="36">
                  <c:v>2600</c:v>
                </c:pt>
                <c:pt idx="37">
                  <c:v>2700</c:v>
                </c:pt>
                <c:pt idx="38">
                  <c:v>2800</c:v>
                </c:pt>
                <c:pt idx="39">
                  <c:v>2900</c:v>
                </c:pt>
                <c:pt idx="40">
                  <c:v>3000</c:v>
                </c:pt>
              </c:numCache>
            </c:numRef>
          </c:cat>
          <c:val>
            <c:numRef>
              <c:f>'2009'!$K$11:$K$51</c:f>
              <c:numCache>
                <c:formatCode>General</c:formatCode>
                <c:ptCount val="41"/>
                <c:pt idx="0">
                  <c:v>0</c:v>
                </c:pt>
                <c:pt idx="1">
                  <c:v>0</c:v>
                </c:pt>
                <c:pt idx="2">
                  <c:v>0</c:v>
                </c:pt>
                <c:pt idx="3">
                  <c:v>0</c:v>
                </c:pt>
                <c:pt idx="4">
                  <c:v>0</c:v>
                </c:pt>
                <c:pt idx="5">
                  <c:v>0</c:v>
                </c:pt>
                <c:pt idx="6">
                  <c:v>0</c:v>
                </c:pt>
                <c:pt idx="7">
                  <c:v>0</c:v>
                </c:pt>
                <c:pt idx="8">
                  <c:v>0</c:v>
                </c:pt>
                <c:pt idx="9">
                  <c:v>0</c:v>
                </c:pt>
                <c:pt idx="10">
                  <c:v>9928.6879999999983</c:v>
                </c:pt>
                <c:pt idx="11">
                  <c:v>22339.547999999999</c:v>
                </c:pt>
                <c:pt idx="12">
                  <c:v>35991.493999999999</c:v>
                </c:pt>
                <c:pt idx="13">
                  <c:v>52125.611999999994</c:v>
                </c:pt>
                <c:pt idx="14">
                  <c:v>86255.476999999999</c:v>
                </c:pt>
                <c:pt idx="15">
                  <c:v>141483.804</c:v>
                </c:pt>
                <c:pt idx="16">
                  <c:v>266212.94699999999</c:v>
                </c:pt>
                <c:pt idx="17">
                  <c:v>460442.90600000002</c:v>
                </c:pt>
                <c:pt idx="18">
                  <c:v>590756.93599999999</c:v>
                </c:pt>
                <c:pt idx="19">
                  <c:v>590136.39300000004</c:v>
                </c:pt>
                <c:pt idx="20">
                  <c:v>499537.11499999999</c:v>
                </c:pt>
                <c:pt idx="21">
                  <c:v>445549.87400000001</c:v>
                </c:pt>
                <c:pt idx="22">
                  <c:v>431897.92799999996</c:v>
                </c:pt>
                <c:pt idx="23">
                  <c:v>387839.375</c:v>
                </c:pt>
                <c:pt idx="24">
                  <c:v>303445.527</c:v>
                </c:pt>
                <c:pt idx="25">
                  <c:v>290414.12400000001</c:v>
                </c:pt>
                <c:pt idx="26">
                  <c:v>297240.09700000001</c:v>
                </c:pt>
                <c:pt idx="27">
                  <c:v>236426.883</c:v>
                </c:pt>
                <c:pt idx="28">
                  <c:v>181198.55600000001</c:v>
                </c:pt>
                <c:pt idx="29">
                  <c:v>153274.12099999998</c:v>
                </c:pt>
                <c:pt idx="30">
                  <c:v>124729.143</c:v>
                </c:pt>
                <c:pt idx="31">
                  <c:v>127211.315</c:v>
                </c:pt>
                <c:pt idx="32">
                  <c:v>89978.735000000001</c:v>
                </c:pt>
                <c:pt idx="33">
                  <c:v>71982.987999999998</c:v>
                </c:pt>
                <c:pt idx="34">
                  <c:v>79429.503999999986</c:v>
                </c:pt>
                <c:pt idx="35">
                  <c:v>67018.643999999986</c:v>
                </c:pt>
                <c:pt idx="36">
                  <c:v>50884.526000000005</c:v>
                </c:pt>
                <c:pt idx="37">
                  <c:v>39094.209000000003</c:v>
                </c:pt>
                <c:pt idx="38">
                  <c:v>35370.951000000001</c:v>
                </c:pt>
                <c:pt idx="39">
                  <c:v>27303.892</c:v>
                </c:pt>
                <c:pt idx="40">
                  <c:v>11169.773999999999</c:v>
                </c:pt>
              </c:numCache>
            </c:numRef>
          </c:val>
          <c:smooth val="0"/>
        </c:ser>
        <c:ser>
          <c:idx val="2"/>
          <c:order val="1"/>
          <c:tx>
            <c:strRef>
              <c:f>'2009'!$L$10</c:f>
              <c:strCache>
                <c:ptCount val="1"/>
                <c:pt idx="0">
                  <c:v>Partime</c:v>
                </c:pt>
              </c:strCache>
            </c:strRef>
          </c:tx>
          <c:spPr>
            <a:ln w="31750">
              <a:solidFill>
                <a:srgbClr val="C00000"/>
              </a:solidFill>
              <a:prstDash val="sysDot"/>
            </a:ln>
          </c:spPr>
          <c:marker>
            <c:symbol val="none"/>
          </c:marker>
          <c:cat>
            <c:numRef>
              <c:f>'2009'!$J$11:$J$51</c:f>
              <c:numCache>
                <c:formatCode>0</c:formatCode>
                <c:ptCount val="41"/>
                <c:pt idx="0">
                  <c:v>-1000</c:v>
                </c:pt>
                <c:pt idx="1">
                  <c:v>-900</c:v>
                </c:pt>
                <c:pt idx="2">
                  <c:v>-800</c:v>
                </c:pt>
                <c:pt idx="3">
                  <c:v>-700</c:v>
                </c:pt>
                <c:pt idx="4">
                  <c:v>-600</c:v>
                </c:pt>
                <c:pt idx="5">
                  <c:v>-500</c:v>
                </c:pt>
                <c:pt idx="6">
                  <c:v>-400</c:v>
                </c:pt>
                <c:pt idx="7">
                  <c:v>-300</c:v>
                </c:pt>
                <c:pt idx="8">
                  <c:v>-200</c:v>
                </c:pt>
                <c:pt idx="9">
                  <c:v>-100</c:v>
                </c:pt>
                <c:pt idx="10">
                  <c:v>0</c:v>
                </c:pt>
                <c:pt idx="11">
                  <c:v>100</c:v>
                </c:pt>
                <c:pt idx="12">
                  <c:v>200</c:v>
                </c:pt>
                <c:pt idx="13">
                  <c:v>300</c:v>
                </c:pt>
                <c:pt idx="14">
                  <c:v>400</c:v>
                </c:pt>
                <c:pt idx="15">
                  <c:v>500</c:v>
                </c:pt>
                <c:pt idx="16">
                  <c:v>600</c:v>
                </c:pt>
                <c:pt idx="17">
                  <c:v>700</c:v>
                </c:pt>
                <c:pt idx="18">
                  <c:v>800</c:v>
                </c:pt>
                <c:pt idx="19">
                  <c:v>900</c:v>
                </c:pt>
                <c:pt idx="20">
                  <c:v>1000</c:v>
                </c:pt>
                <c:pt idx="21">
                  <c:v>1100</c:v>
                </c:pt>
                <c:pt idx="22">
                  <c:v>1200</c:v>
                </c:pt>
                <c:pt idx="23">
                  <c:v>1300</c:v>
                </c:pt>
                <c:pt idx="24">
                  <c:v>1400</c:v>
                </c:pt>
                <c:pt idx="25">
                  <c:v>1500</c:v>
                </c:pt>
                <c:pt idx="26">
                  <c:v>1600</c:v>
                </c:pt>
                <c:pt idx="27">
                  <c:v>1700</c:v>
                </c:pt>
                <c:pt idx="28">
                  <c:v>1800</c:v>
                </c:pt>
                <c:pt idx="29">
                  <c:v>1900</c:v>
                </c:pt>
                <c:pt idx="30">
                  <c:v>2000</c:v>
                </c:pt>
                <c:pt idx="31">
                  <c:v>2100</c:v>
                </c:pt>
                <c:pt idx="32">
                  <c:v>2200</c:v>
                </c:pt>
                <c:pt idx="33">
                  <c:v>2300</c:v>
                </c:pt>
                <c:pt idx="34">
                  <c:v>2400</c:v>
                </c:pt>
                <c:pt idx="35">
                  <c:v>2500</c:v>
                </c:pt>
                <c:pt idx="36">
                  <c:v>2600</c:v>
                </c:pt>
                <c:pt idx="37">
                  <c:v>2700</c:v>
                </c:pt>
                <c:pt idx="38">
                  <c:v>2800</c:v>
                </c:pt>
                <c:pt idx="39">
                  <c:v>2900</c:v>
                </c:pt>
                <c:pt idx="40">
                  <c:v>3000</c:v>
                </c:pt>
              </c:numCache>
            </c:numRef>
          </c:cat>
          <c:val>
            <c:numRef>
              <c:f>'2009'!$L$11:$L$51</c:f>
              <c:numCache>
                <c:formatCode>General</c:formatCode>
                <c:ptCount val="41"/>
                <c:pt idx="0">
                  <c:v>0</c:v>
                </c:pt>
                <c:pt idx="1">
                  <c:v>0</c:v>
                </c:pt>
                <c:pt idx="2">
                  <c:v>0</c:v>
                </c:pt>
                <c:pt idx="3">
                  <c:v>0</c:v>
                </c:pt>
                <c:pt idx="4">
                  <c:v>0</c:v>
                </c:pt>
                <c:pt idx="5">
                  <c:v>0</c:v>
                </c:pt>
                <c:pt idx="6">
                  <c:v>0</c:v>
                </c:pt>
                <c:pt idx="7">
                  <c:v>0</c:v>
                </c:pt>
                <c:pt idx="8">
                  <c:v>0</c:v>
                </c:pt>
                <c:pt idx="9">
                  <c:v>0</c:v>
                </c:pt>
                <c:pt idx="10">
                  <c:v>104755.24279999999</c:v>
                </c:pt>
                <c:pt idx="11">
                  <c:v>335157.92570000002</c:v>
                </c:pt>
                <c:pt idx="12">
                  <c:v>333980.90049999999</c:v>
                </c:pt>
                <c:pt idx="13">
                  <c:v>327801.51819999999</c:v>
                </c:pt>
                <c:pt idx="14">
                  <c:v>356050.12299999996</c:v>
                </c:pt>
                <c:pt idx="15">
                  <c:v>323387.67369999998</c:v>
                </c:pt>
                <c:pt idx="16">
                  <c:v>301024.1949</c:v>
                </c:pt>
                <c:pt idx="17">
                  <c:v>235699.29629999996</c:v>
                </c:pt>
                <c:pt idx="18">
                  <c:v>160075.42720000001</c:v>
                </c:pt>
                <c:pt idx="19">
                  <c:v>122704.8771</c:v>
                </c:pt>
                <c:pt idx="20">
                  <c:v>95339.041199999992</c:v>
                </c:pt>
                <c:pt idx="21">
                  <c:v>62382.335599999999</c:v>
                </c:pt>
                <c:pt idx="22">
                  <c:v>37370.5501</c:v>
                </c:pt>
                <c:pt idx="23">
                  <c:v>28837.117399999999</c:v>
                </c:pt>
                <c:pt idx="24">
                  <c:v>17655.378000000001</c:v>
                </c:pt>
                <c:pt idx="25">
                  <c:v>21186.453600000001</c:v>
                </c:pt>
                <c:pt idx="26">
                  <c:v>16184.096500000001</c:v>
                </c:pt>
                <c:pt idx="27">
                  <c:v>13830.046099999998</c:v>
                </c:pt>
                <c:pt idx="28">
                  <c:v>7944.9200999999994</c:v>
                </c:pt>
                <c:pt idx="29">
                  <c:v>7356.4075000000003</c:v>
                </c:pt>
                <c:pt idx="30">
                  <c:v>7062.1512000000002</c:v>
                </c:pt>
                <c:pt idx="31">
                  <c:v>5296.6134000000002</c:v>
                </c:pt>
                <c:pt idx="32">
                  <c:v>4413.8445000000002</c:v>
                </c:pt>
                <c:pt idx="33">
                  <c:v>2354.0503999999996</c:v>
                </c:pt>
                <c:pt idx="34">
                  <c:v>2354.0503999999996</c:v>
                </c:pt>
                <c:pt idx="35">
                  <c:v>3531.0756000000001</c:v>
                </c:pt>
                <c:pt idx="36">
                  <c:v>5296.6134000000002</c:v>
                </c:pt>
                <c:pt idx="37">
                  <c:v>2354.0503999999996</c:v>
                </c:pt>
                <c:pt idx="38">
                  <c:v>294.25629999999995</c:v>
                </c:pt>
                <c:pt idx="39">
                  <c:v>588.51259999999991</c:v>
                </c:pt>
                <c:pt idx="40">
                  <c:v>0</c:v>
                </c:pt>
              </c:numCache>
            </c:numRef>
          </c:val>
          <c:smooth val="0"/>
        </c:ser>
        <c:ser>
          <c:idx val="3"/>
          <c:order val="2"/>
          <c:tx>
            <c:strRef>
              <c:f>'2009'!$M$10</c:f>
              <c:strCache>
                <c:ptCount val="1"/>
                <c:pt idx="0">
                  <c:v>Self employed</c:v>
                </c:pt>
              </c:strCache>
            </c:strRef>
          </c:tx>
          <c:spPr>
            <a:ln>
              <a:solidFill>
                <a:schemeClr val="accent3">
                  <a:lumMod val="75000"/>
                </a:schemeClr>
              </a:solidFill>
              <a:prstDash val="sysDash"/>
            </a:ln>
          </c:spPr>
          <c:marker>
            <c:symbol val="none"/>
          </c:marker>
          <c:cat>
            <c:numRef>
              <c:f>'2009'!$J$11:$J$51</c:f>
              <c:numCache>
                <c:formatCode>0</c:formatCode>
                <c:ptCount val="41"/>
                <c:pt idx="0">
                  <c:v>-1000</c:v>
                </c:pt>
                <c:pt idx="1">
                  <c:v>-900</c:v>
                </c:pt>
                <c:pt idx="2">
                  <c:v>-800</c:v>
                </c:pt>
                <c:pt idx="3">
                  <c:v>-700</c:v>
                </c:pt>
                <c:pt idx="4">
                  <c:v>-600</c:v>
                </c:pt>
                <c:pt idx="5">
                  <c:v>-500</c:v>
                </c:pt>
                <c:pt idx="6">
                  <c:v>-400</c:v>
                </c:pt>
                <c:pt idx="7">
                  <c:v>-300</c:v>
                </c:pt>
                <c:pt idx="8">
                  <c:v>-200</c:v>
                </c:pt>
                <c:pt idx="9">
                  <c:v>-100</c:v>
                </c:pt>
                <c:pt idx="10">
                  <c:v>0</c:v>
                </c:pt>
                <c:pt idx="11">
                  <c:v>100</c:v>
                </c:pt>
                <c:pt idx="12">
                  <c:v>200</c:v>
                </c:pt>
                <c:pt idx="13">
                  <c:v>300</c:v>
                </c:pt>
                <c:pt idx="14">
                  <c:v>400</c:v>
                </c:pt>
                <c:pt idx="15">
                  <c:v>500</c:v>
                </c:pt>
                <c:pt idx="16">
                  <c:v>600</c:v>
                </c:pt>
                <c:pt idx="17">
                  <c:v>700</c:v>
                </c:pt>
                <c:pt idx="18">
                  <c:v>800</c:v>
                </c:pt>
                <c:pt idx="19">
                  <c:v>900</c:v>
                </c:pt>
                <c:pt idx="20">
                  <c:v>1000</c:v>
                </c:pt>
                <c:pt idx="21">
                  <c:v>1100</c:v>
                </c:pt>
                <c:pt idx="22">
                  <c:v>1200</c:v>
                </c:pt>
                <c:pt idx="23">
                  <c:v>1300</c:v>
                </c:pt>
                <c:pt idx="24">
                  <c:v>1400</c:v>
                </c:pt>
                <c:pt idx="25">
                  <c:v>1500</c:v>
                </c:pt>
                <c:pt idx="26">
                  <c:v>1600</c:v>
                </c:pt>
                <c:pt idx="27">
                  <c:v>1700</c:v>
                </c:pt>
                <c:pt idx="28">
                  <c:v>1800</c:v>
                </c:pt>
                <c:pt idx="29">
                  <c:v>1900</c:v>
                </c:pt>
                <c:pt idx="30">
                  <c:v>2000</c:v>
                </c:pt>
                <c:pt idx="31">
                  <c:v>2100</c:v>
                </c:pt>
                <c:pt idx="32">
                  <c:v>2200</c:v>
                </c:pt>
                <c:pt idx="33">
                  <c:v>2300</c:v>
                </c:pt>
                <c:pt idx="34">
                  <c:v>2400</c:v>
                </c:pt>
                <c:pt idx="35">
                  <c:v>2500</c:v>
                </c:pt>
                <c:pt idx="36">
                  <c:v>2600</c:v>
                </c:pt>
                <c:pt idx="37">
                  <c:v>2700</c:v>
                </c:pt>
                <c:pt idx="38">
                  <c:v>2800</c:v>
                </c:pt>
                <c:pt idx="39">
                  <c:v>2900</c:v>
                </c:pt>
                <c:pt idx="40">
                  <c:v>3000</c:v>
                </c:pt>
              </c:numCache>
            </c:numRef>
          </c:cat>
          <c:val>
            <c:numRef>
              <c:f>'2009'!$M$11:$M$51</c:f>
              <c:numCache>
                <c:formatCode>General</c:formatCode>
                <c:ptCount val="41"/>
                <c:pt idx="0">
                  <c:v>0</c:v>
                </c:pt>
                <c:pt idx="1">
                  <c:v>0</c:v>
                </c:pt>
                <c:pt idx="2">
                  <c:v>0</c:v>
                </c:pt>
                <c:pt idx="3">
                  <c:v>0</c:v>
                </c:pt>
                <c:pt idx="4">
                  <c:v>341.11479999999995</c:v>
                </c:pt>
                <c:pt idx="5">
                  <c:v>1620.2953000000002</c:v>
                </c:pt>
                <c:pt idx="6">
                  <c:v>5713.6729000000005</c:v>
                </c:pt>
                <c:pt idx="7">
                  <c:v>6992.8534000000009</c:v>
                </c:pt>
                <c:pt idx="8">
                  <c:v>10148.165300000001</c:v>
                </c:pt>
                <c:pt idx="9">
                  <c:v>17055.740000000002</c:v>
                </c:pt>
                <c:pt idx="10">
                  <c:v>59950.926100000004</c:v>
                </c:pt>
                <c:pt idx="11">
                  <c:v>79735.584499999997</c:v>
                </c:pt>
                <c:pt idx="12">
                  <c:v>62935.680600000007</c:v>
                </c:pt>
                <c:pt idx="13">
                  <c:v>46476.891499999998</c:v>
                </c:pt>
                <c:pt idx="14">
                  <c:v>68649.353499999997</c:v>
                </c:pt>
                <c:pt idx="15">
                  <c:v>64385.4185</c:v>
                </c:pt>
                <c:pt idx="16">
                  <c:v>71378.271899999992</c:v>
                </c:pt>
                <c:pt idx="17">
                  <c:v>50058.596899999997</c:v>
                </c:pt>
                <c:pt idx="18">
                  <c:v>41616.005599999997</c:v>
                </c:pt>
                <c:pt idx="19">
                  <c:v>35987.611400000002</c:v>
                </c:pt>
                <c:pt idx="20">
                  <c:v>39228.201999999997</c:v>
                </c:pt>
                <c:pt idx="21">
                  <c:v>19102.428800000002</c:v>
                </c:pt>
                <c:pt idx="22">
                  <c:v>29932.823700000001</c:v>
                </c:pt>
                <c:pt idx="23">
                  <c:v>16288.231700000002</c:v>
                </c:pt>
                <c:pt idx="24">
                  <c:v>13132.9198</c:v>
                </c:pt>
                <c:pt idx="25">
                  <c:v>11171.509700000001</c:v>
                </c:pt>
                <c:pt idx="26">
                  <c:v>10745.1162</c:v>
                </c:pt>
                <c:pt idx="27">
                  <c:v>8527.8700000000008</c:v>
                </c:pt>
                <c:pt idx="28">
                  <c:v>6054.7877000000008</c:v>
                </c:pt>
                <c:pt idx="29">
                  <c:v>6566.4598999999998</c:v>
                </c:pt>
                <c:pt idx="30">
                  <c:v>12962.362400000002</c:v>
                </c:pt>
                <c:pt idx="31">
                  <c:v>5884.2303000000002</c:v>
                </c:pt>
                <c:pt idx="32">
                  <c:v>4860.8859000000002</c:v>
                </c:pt>
                <c:pt idx="33">
                  <c:v>2814.1971000000003</c:v>
                </c:pt>
                <c:pt idx="34">
                  <c:v>5884.2303000000002</c:v>
                </c:pt>
                <c:pt idx="35">
                  <c:v>4434.4924000000001</c:v>
                </c:pt>
                <c:pt idx="36">
                  <c:v>255.83610000000002</c:v>
                </c:pt>
                <c:pt idx="37">
                  <c:v>255.83610000000002</c:v>
                </c:pt>
                <c:pt idx="38">
                  <c:v>2217.2462</c:v>
                </c:pt>
                <c:pt idx="39">
                  <c:v>1364.4591999999998</c:v>
                </c:pt>
                <c:pt idx="40">
                  <c:v>0</c:v>
                </c:pt>
              </c:numCache>
            </c:numRef>
          </c:val>
          <c:smooth val="0"/>
        </c:ser>
        <c:dLbls>
          <c:showLegendKey val="0"/>
          <c:showVal val="0"/>
          <c:showCatName val="0"/>
          <c:showSerName val="0"/>
          <c:showPercent val="0"/>
          <c:showBubbleSize val="0"/>
        </c:dLbls>
        <c:marker val="1"/>
        <c:smooth val="0"/>
        <c:axId val="244733824"/>
        <c:axId val="244756480"/>
      </c:lineChart>
      <c:catAx>
        <c:axId val="244733824"/>
        <c:scaling>
          <c:orientation val="minMax"/>
        </c:scaling>
        <c:delete val="0"/>
        <c:axPos val="b"/>
        <c:title>
          <c:tx>
            <c:rich>
              <a:bodyPr/>
              <a:lstStyle/>
              <a:p>
                <a:pPr>
                  <a:defRPr b="0"/>
                </a:pPr>
                <a:r>
                  <a:rPr lang="en-US" sz="1000" b="0"/>
                  <a:t>$ (2011-12) per week</a:t>
                </a:r>
              </a:p>
            </c:rich>
          </c:tx>
          <c:overlay val="0"/>
        </c:title>
        <c:numFmt formatCode="0" sourceLinked="0"/>
        <c:majorTickMark val="out"/>
        <c:minorTickMark val="none"/>
        <c:tickLblPos val="nextTo"/>
        <c:crossAx val="244756480"/>
        <c:crosses val="autoZero"/>
        <c:auto val="1"/>
        <c:lblAlgn val="ctr"/>
        <c:lblOffset val="100"/>
        <c:tickLblSkip val="10"/>
        <c:tickMarkSkip val="5"/>
        <c:noMultiLvlLbl val="0"/>
      </c:catAx>
      <c:valAx>
        <c:axId val="244756480"/>
        <c:scaling>
          <c:orientation val="minMax"/>
          <c:max val="600000"/>
        </c:scaling>
        <c:delete val="0"/>
        <c:axPos val="l"/>
        <c:majorGridlines/>
        <c:title>
          <c:tx>
            <c:rich>
              <a:bodyPr rot="-5400000" vert="horz"/>
              <a:lstStyle/>
              <a:p>
                <a:pPr>
                  <a:defRPr b="0"/>
                </a:pPr>
                <a:r>
                  <a:rPr lang="en-AU" b="0"/>
                  <a:t>Population (000's)</a:t>
                </a:r>
              </a:p>
            </c:rich>
          </c:tx>
          <c:overlay val="0"/>
        </c:title>
        <c:numFmt formatCode="#,##0" sourceLinked="0"/>
        <c:majorTickMark val="out"/>
        <c:minorTickMark val="none"/>
        <c:tickLblPos val="low"/>
        <c:crossAx val="244733824"/>
        <c:crossesAt val="11"/>
        <c:crossBetween val="midCat"/>
        <c:majorUnit val="200000"/>
        <c:dispUnits>
          <c:builtInUnit val="thousands"/>
        </c:dispUnits>
      </c:valAx>
    </c:plotArea>
    <c:legend>
      <c:legendPos val="r"/>
      <c:layout>
        <c:manualLayout>
          <c:xMode val="edge"/>
          <c:yMode val="edge"/>
          <c:x val="0.61016984126984131"/>
          <c:y val="3.0212698412698413E-2"/>
          <c:w val="0.37365079365079368"/>
          <c:h val="0.41579126984126991"/>
        </c:manualLayout>
      </c:layout>
      <c:overlay val="1"/>
      <c:spPr>
        <a:solidFill>
          <a:schemeClr val="bg1">
            <a:alpha val="0"/>
          </a:schemeClr>
        </a:solidFill>
      </c:spPr>
    </c:legend>
    <c:plotVisOnly val="1"/>
    <c:dispBlanksAs val="gap"/>
    <c:showDLblsOverMax val="0"/>
  </c:chart>
  <c:spPr>
    <a:ln>
      <a:noFill/>
    </a:ln>
  </c:spPr>
  <c:txPr>
    <a:bodyPr/>
    <a:lstStyle/>
    <a:p>
      <a:pPr>
        <a:defRPr sz="900">
          <a:latin typeface="Arial" pitchFamily="34" charset="0"/>
          <a:cs typeface="Arial" pitchFamily="34" charset="0"/>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10638828517476"/>
          <c:y val="3.4996130624555422E-2"/>
          <c:w val="0.80649267823422521"/>
          <c:h val="0.78386674902452114"/>
        </c:manualLayout>
      </c:layout>
      <c:scatterChart>
        <c:scatterStyle val="smoothMarker"/>
        <c:varyColors val="0"/>
        <c:ser>
          <c:idx val="0"/>
          <c:order val="0"/>
          <c:tx>
            <c:v>1988</c:v>
          </c:tx>
          <c:spPr>
            <a:ln>
              <a:solidFill>
                <a:schemeClr val="accent1">
                  <a:lumMod val="75000"/>
                </a:schemeClr>
              </a:solidFill>
              <a:prstDash val="dash"/>
            </a:ln>
          </c:spPr>
          <c:marker>
            <c:symbol val="none"/>
          </c:marker>
          <c:xVal>
            <c:numRef>
              <c:f>Sheet1!$A$15:$A$63</c:f>
              <c:numCache>
                <c:formatCode>General</c:formatCode>
                <c:ptCount val="49"/>
                <c:pt idx="0">
                  <c:v>22.510999000000002</c:v>
                </c:pt>
                <c:pt idx="1">
                  <c:v>85.316998999999996</c:v>
                </c:pt>
                <c:pt idx="2">
                  <c:v>148.122998</c:v>
                </c:pt>
                <c:pt idx="3">
                  <c:v>210.92899800000001</c:v>
                </c:pt>
                <c:pt idx="4">
                  <c:v>273.73499700000002</c:v>
                </c:pt>
                <c:pt idx="5">
                  <c:v>336.540997</c:v>
                </c:pt>
                <c:pt idx="6">
                  <c:v>399.34699599999999</c:v>
                </c:pt>
                <c:pt idx="7">
                  <c:v>462.15299599999997</c:v>
                </c:pt>
                <c:pt idx="8">
                  <c:v>524.95899499999996</c:v>
                </c:pt>
                <c:pt idx="9">
                  <c:v>587.764995</c:v>
                </c:pt>
                <c:pt idx="10">
                  <c:v>650.57099400000004</c:v>
                </c:pt>
                <c:pt idx="11">
                  <c:v>713.37699399999997</c:v>
                </c:pt>
                <c:pt idx="12">
                  <c:v>776.18299300000001</c:v>
                </c:pt>
                <c:pt idx="13">
                  <c:v>838.98899300000005</c:v>
                </c:pt>
                <c:pt idx="14">
                  <c:v>901.79499199999998</c:v>
                </c:pt>
                <c:pt idx="15">
                  <c:v>964.60099200000002</c:v>
                </c:pt>
                <c:pt idx="16">
                  <c:v>1027.4069910000001</c:v>
                </c:pt>
                <c:pt idx="17">
                  <c:v>1090.2129910000001</c:v>
                </c:pt>
                <c:pt idx="18">
                  <c:v>1153.01899</c:v>
                </c:pt>
                <c:pt idx="19">
                  <c:v>1215.8249900000001</c:v>
                </c:pt>
                <c:pt idx="20">
                  <c:v>1278.630989</c:v>
                </c:pt>
                <c:pt idx="21">
                  <c:v>1341.436989</c:v>
                </c:pt>
                <c:pt idx="22">
                  <c:v>1404.242988</c:v>
                </c:pt>
                <c:pt idx="23">
                  <c:v>1467.048988</c:v>
                </c:pt>
                <c:pt idx="24">
                  <c:v>1529.8549869999999</c:v>
                </c:pt>
                <c:pt idx="25">
                  <c:v>1592.6609860000001</c:v>
                </c:pt>
                <c:pt idx="26">
                  <c:v>1655.4669859999999</c:v>
                </c:pt>
                <c:pt idx="27">
                  <c:v>1718.2729850000001</c:v>
                </c:pt>
                <c:pt idx="28">
                  <c:v>1781.0789850000001</c:v>
                </c:pt>
                <c:pt idx="29">
                  <c:v>1843.884984</c:v>
                </c:pt>
                <c:pt idx="30">
                  <c:v>1906.6909840000001</c:v>
                </c:pt>
                <c:pt idx="31">
                  <c:v>1969.496983</c:v>
                </c:pt>
                <c:pt idx="32">
                  <c:v>2032.302983</c:v>
                </c:pt>
                <c:pt idx="33">
                  <c:v>2095.1089820000002</c:v>
                </c:pt>
                <c:pt idx="34">
                  <c:v>2157.9149819999998</c:v>
                </c:pt>
                <c:pt idx="35">
                  <c:v>2220.7209809999999</c:v>
                </c:pt>
                <c:pt idx="36">
                  <c:v>2283.526981</c:v>
                </c:pt>
                <c:pt idx="37">
                  <c:v>2346.3329800000001</c:v>
                </c:pt>
                <c:pt idx="38">
                  <c:v>2409.1389800000002</c:v>
                </c:pt>
                <c:pt idx="39">
                  <c:v>2471.9449789999999</c:v>
                </c:pt>
                <c:pt idx="40">
                  <c:v>2534.7509789999999</c:v>
                </c:pt>
                <c:pt idx="41">
                  <c:v>2597.5569780000001</c:v>
                </c:pt>
                <c:pt idx="42">
                  <c:v>2660.3629780000001</c:v>
                </c:pt>
                <c:pt idx="43">
                  <c:v>2723.1689769999998</c:v>
                </c:pt>
                <c:pt idx="44">
                  <c:v>2785.9749769999999</c:v>
                </c:pt>
                <c:pt idx="45">
                  <c:v>2848.780976</c:v>
                </c:pt>
                <c:pt idx="46">
                  <c:v>2911.586976</c:v>
                </c:pt>
                <c:pt idx="47">
                  <c:v>2974.3929750000002</c:v>
                </c:pt>
                <c:pt idx="48">
                  <c:v>3037.1989749999998</c:v>
                </c:pt>
              </c:numCache>
            </c:numRef>
          </c:xVal>
          <c:yVal>
            <c:numRef>
              <c:f>Sheet1!$D$15:$D$63</c:f>
              <c:numCache>
                <c:formatCode>0.0000</c:formatCode>
                <c:ptCount val="49"/>
                <c:pt idx="0">
                  <c:v>1.6329559999999999E-3</c:v>
                </c:pt>
                <c:pt idx="1">
                  <c:v>2.5122400000000002E-3</c:v>
                </c:pt>
                <c:pt idx="2">
                  <c:v>4.0823899999999991E-3</c:v>
                </c:pt>
                <c:pt idx="3">
                  <c:v>8.1019739999999996E-3</c:v>
                </c:pt>
                <c:pt idx="4">
                  <c:v>1.3503289999999999E-2</c:v>
                </c:pt>
                <c:pt idx="5">
                  <c:v>1.695762E-2</c:v>
                </c:pt>
                <c:pt idx="6">
                  <c:v>2.0035114E-2</c:v>
                </c:pt>
                <c:pt idx="7">
                  <c:v>2.6818162E-2</c:v>
                </c:pt>
                <c:pt idx="8">
                  <c:v>4.1326347999999992E-2</c:v>
                </c:pt>
                <c:pt idx="9">
                  <c:v>6.2115134000000002E-2</c:v>
                </c:pt>
                <c:pt idx="10">
                  <c:v>7.9826425999999992E-2</c:v>
                </c:pt>
                <c:pt idx="11">
                  <c:v>8.4913711999999988E-2</c:v>
                </c:pt>
                <c:pt idx="12">
                  <c:v>8.2464277999999988E-2</c:v>
                </c:pt>
                <c:pt idx="13">
                  <c:v>7.7251379999999994E-2</c:v>
                </c:pt>
                <c:pt idx="14">
                  <c:v>6.7956091999999996E-2</c:v>
                </c:pt>
                <c:pt idx="15">
                  <c:v>5.8597997999999998E-2</c:v>
                </c:pt>
                <c:pt idx="16">
                  <c:v>5.1940562000000003E-2</c:v>
                </c:pt>
                <c:pt idx="17">
                  <c:v>4.6853275999999999E-2</c:v>
                </c:pt>
                <c:pt idx="18">
                  <c:v>4.2456855999999994E-2</c:v>
                </c:pt>
                <c:pt idx="19">
                  <c:v>3.5987838000000001E-2</c:v>
                </c:pt>
                <c:pt idx="20">
                  <c:v>3.1340193999999995E-2</c:v>
                </c:pt>
                <c:pt idx="21">
                  <c:v>2.6127295999999998E-2</c:v>
                </c:pt>
                <c:pt idx="22">
                  <c:v>2.0411949999999998E-2</c:v>
                </c:pt>
                <c:pt idx="23">
                  <c:v>1.5199051999999999E-2</c:v>
                </c:pt>
                <c:pt idx="24">
                  <c:v>1.2498393999999999E-2</c:v>
                </c:pt>
                <c:pt idx="25">
                  <c:v>9.2324819999999985E-3</c:v>
                </c:pt>
                <c:pt idx="26">
                  <c:v>7.976361999999999E-3</c:v>
                </c:pt>
                <c:pt idx="27">
                  <c:v>7.7251380000000003E-3</c:v>
                </c:pt>
                <c:pt idx="28">
                  <c:v>7.2854959999999998E-3</c:v>
                </c:pt>
                <c:pt idx="29">
                  <c:v>6.5946299999999998E-3</c:v>
                </c:pt>
                <c:pt idx="30">
                  <c:v>5.0244800000000004E-3</c:v>
                </c:pt>
                <c:pt idx="31">
                  <c:v>3.579942E-3</c:v>
                </c:pt>
                <c:pt idx="32">
                  <c:v>2.7634639999999998E-3</c:v>
                </c:pt>
                <c:pt idx="33">
                  <c:v>2.3238219999999997E-3</c:v>
                </c:pt>
                <c:pt idx="34">
                  <c:v>2.5122400000000002E-3</c:v>
                </c:pt>
                <c:pt idx="35">
                  <c:v>2.7006579999999999E-3</c:v>
                </c:pt>
                <c:pt idx="36">
                  <c:v>2.6378519999999996E-3</c:v>
                </c:pt>
                <c:pt idx="37">
                  <c:v>1.821374E-3</c:v>
                </c:pt>
                <c:pt idx="38">
                  <c:v>1.193314E-3</c:v>
                </c:pt>
                <c:pt idx="39">
                  <c:v>6.9086599999999994E-4</c:v>
                </c:pt>
                <c:pt idx="40">
                  <c:v>8.7928399999999993E-4</c:v>
                </c:pt>
                <c:pt idx="41">
                  <c:v>1.1305079999999999E-3</c:v>
                </c:pt>
                <c:pt idx="42">
                  <c:v>8.7928399999999993E-4</c:v>
                </c:pt>
                <c:pt idx="43">
                  <c:v>6.2806000000000005E-4</c:v>
                </c:pt>
                <c:pt idx="44">
                  <c:v>3.1403000000000003E-4</c:v>
                </c:pt>
                <c:pt idx="45">
                  <c:v>2.5122399999999998E-4</c:v>
                </c:pt>
                <c:pt idx="46">
                  <c:v>1.8841799999999998E-4</c:v>
                </c:pt>
                <c:pt idx="47">
                  <c:v>1.8841799999999998E-4</c:v>
                </c:pt>
                <c:pt idx="48">
                  <c:v>6.2805999999999995E-5</c:v>
                </c:pt>
              </c:numCache>
            </c:numRef>
          </c:yVal>
          <c:smooth val="1"/>
        </c:ser>
        <c:ser>
          <c:idx val="1"/>
          <c:order val="1"/>
          <c:tx>
            <c:v>1993</c:v>
          </c:tx>
          <c:spPr>
            <a:ln w="19050">
              <a:solidFill>
                <a:schemeClr val="accent4">
                  <a:lumMod val="75000"/>
                </a:schemeClr>
              </a:solidFill>
              <a:prstDash val="sysDot"/>
            </a:ln>
          </c:spPr>
          <c:marker>
            <c:symbol val="none"/>
          </c:marker>
          <c:xVal>
            <c:numRef>
              <c:f>Sheet1!$E$15:$E$63</c:f>
              <c:numCache>
                <c:formatCode>General</c:formatCode>
                <c:ptCount val="49"/>
                <c:pt idx="0">
                  <c:v>21.014859000000001</c:v>
                </c:pt>
                <c:pt idx="1">
                  <c:v>83.889717000000005</c:v>
                </c:pt>
                <c:pt idx="2">
                  <c:v>146.76457500000001</c:v>
                </c:pt>
                <c:pt idx="3">
                  <c:v>209.63943399999999</c:v>
                </c:pt>
                <c:pt idx="4">
                  <c:v>272.51429200000001</c:v>
                </c:pt>
                <c:pt idx="5">
                  <c:v>335.38914999999997</c:v>
                </c:pt>
                <c:pt idx="6">
                  <c:v>398.26400799999999</c:v>
                </c:pt>
                <c:pt idx="7">
                  <c:v>461.138867</c:v>
                </c:pt>
                <c:pt idx="8">
                  <c:v>524.01372500000002</c:v>
                </c:pt>
                <c:pt idx="9">
                  <c:v>586.88858300000004</c:v>
                </c:pt>
                <c:pt idx="10">
                  <c:v>649.76344200000005</c:v>
                </c:pt>
                <c:pt idx="11">
                  <c:v>712.63829999999996</c:v>
                </c:pt>
                <c:pt idx="12">
                  <c:v>775.51315799999998</c:v>
                </c:pt>
                <c:pt idx="13">
                  <c:v>838.38801599999999</c:v>
                </c:pt>
                <c:pt idx="14">
                  <c:v>901.26287500000001</c:v>
                </c:pt>
                <c:pt idx="15">
                  <c:v>964.13773300000003</c:v>
                </c:pt>
                <c:pt idx="16">
                  <c:v>1027.0125909999999</c:v>
                </c:pt>
                <c:pt idx="17">
                  <c:v>1089.8874499999999</c:v>
                </c:pt>
                <c:pt idx="18">
                  <c:v>1152.7623080000001</c:v>
                </c:pt>
                <c:pt idx="19">
                  <c:v>1215.637166</c:v>
                </c:pt>
                <c:pt idx="20">
                  <c:v>1278.5120240000001</c:v>
                </c:pt>
                <c:pt idx="21">
                  <c:v>1341.3868829999999</c:v>
                </c:pt>
                <c:pt idx="22">
                  <c:v>1404.261741</c:v>
                </c:pt>
                <c:pt idx="23">
                  <c:v>1467.1365989999999</c:v>
                </c:pt>
                <c:pt idx="24">
                  <c:v>1530.0114579999999</c:v>
                </c:pt>
                <c:pt idx="25">
                  <c:v>1592.8863160000001</c:v>
                </c:pt>
                <c:pt idx="26">
                  <c:v>1655.761174</c:v>
                </c:pt>
                <c:pt idx="27">
                  <c:v>1718.636033</c:v>
                </c:pt>
                <c:pt idx="28">
                  <c:v>1781.5108909999999</c:v>
                </c:pt>
                <c:pt idx="29">
                  <c:v>1844.385749</c:v>
                </c:pt>
                <c:pt idx="30">
                  <c:v>1907.2606069999999</c:v>
                </c:pt>
                <c:pt idx="31">
                  <c:v>1970.135466</c:v>
                </c:pt>
                <c:pt idx="32">
                  <c:v>2033.0103240000001</c:v>
                </c:pt>
                <c:pt idx="33">
                  <c:v>2095.885182</c:v>
                </c:pt>
                <c:pt idx="34">
                  <c:v>2158.760041</c:v>
                </c:pt>
                <c:pt idx="35">
                  <c:v>2221.6348990000001</c:v>
                </c:pt>
                <c:pt idx="36">
                  <c:v>2284.5097569999998</c:v>
                </c:pt>
                <c:pt idx="37">
                  <c:v>2347.3846149999999</c:v>
                </c:pt>
                <c:pt idx="38">
                  <c:v>2410.259474</c:v>
                </c:pt>
                <c:pt idx="39">
                  <c:v>2473.1343320000001</c:v>
                </c:pt>
                <c:pt idx="40">
                  <c:v>2536.0091900000002</c:v>
                </c:pt>
                <c:pt idx="41">
                  <c:v>2598.8840489999998</c:v>
                </c:pt>
                <c:pt idx="42">
                  <c:v>2661.7589069999999</c:v>
                </c:pt>
                <c:pt idx="43">
                  <c:v>2724.633765</c:v>
                </c:pt>
                <c:pt idx="44">
                  <c:v>2787.5086230000002</c:v>
                </c:pt>
                <c:pt idx="45">
                  <c:v>2850.3834820000002</c:v>
                </c:pt>
                <c:pt idx="46">
                  <c:v>2913.2583399999999</c:v>
                </c:pt>
                <c:pt idx="47">
                  <c:v>2976.133198</c:v>
                </c:pt>
                <c:pt idx="48">
                  <c:v>3039.008057</c:v>
                </c:pt>
              </c:numCache>
            </c:numRef>
          </c:xVal>
          <c:yVal>
            <c:numRef>
              <c:f>Sheet1!$H$15:$H$63</c:f>
              <c:numCache>
                <c:formatCode>0.0000</c:formatCode>
                <c:ptCount val="49"/>
                <c:pt idx="0">
                  <c:v>2.0748703140000004E-3</c:v>
                </c:pt>
                <c:pt idx="1">
                  <c:v>3.0808680419999999E-3</c:v>
                </c:pt>
                <c:pt idx="2">
                  <c:v>3.5209920479999999E-3</c:v>
                </c:pt>
                <c:pt idx="3">
                  <c:v>4.7784892080000004E-3</c:v>
                </c:pt>
                <c:pt idx="4">
                  <c:v>8.4881058300000003E-3</c:v>
                </c:pt>
                <c:pt idx="5">
                  <c:v>1.3203720180000001E-2</c:v>
                </c:pt>
                <c:pt idx="6">
                  <c:v>1.7416335666000003E-2</c:v>
                </c:pt>
                <c:pt idx="7">
                  <c:v>2.3515196892E-2</c:v>
                </c:pt>
                <c:pt idx="8">
                  <c:v>3.4832671332000006E-2</c:v>
                </c:pt>
                <c:pt idx="9">
                  <c:v>5.4198127596000005E-2</c:v>
                </c:pt>
                <c:pt idx="10">
                  <c:v>7.7210325624000001E-2</c:v>
                </c:pt>
                <c:pt idx="11">
                  <c:v>8.9219423502000003E-2</c:v>
                </c:pt>
                <c:pt idx="12">
                  <c:v>8.6327180034000014E-2</c:v>
                </c:pt>
                <c:pt idx="13">
                  <c:v>7.6078578179999995E-2</c:v>
                </c:pt>
                <c:pt idx="14">
                  <c:v>6.4635354024000002E-2</c:v>
                </c:pt>
                <c:pt idx="15">
                  <c:v>5.5141250465999998E-2</c:v>
                </c:pt>
                <c:pt idx="16">
                  <c:v>4.9608262962000001E-2</c:v>
                </c:pt>
                <c:pt idx="17">
                  <c:v>4.5144148044E-2</c:v>
                </c:pt>
                <c:pt idx="18">
                  <c:v>4.1560281138000005E-2</c:v>
                </c:pt>
                <c:pt idx="19">
                  <c:v>3.9045286818000007E-2</c:v>
                </c:pt>
                <c:pt idx="20">
                  <c:v>3.6781791930000002E-2</c:v>
                </c:pt>
                <c:pt idx="21">
                  <c:v>3.0557180988000001E-2</c:v>
                </c:pt>
                <c:pt idx="22">
                  <c:v>2.326369746E-2</c:v>
                </c:pt>
                <c:pt idx="23">
                  <c:v>1.9679830554000001E-2</c:v>
                </c:pt>
                <c:pt idx="24">
                  <c:v>1.6661837370000002E-2</c:v>
                </c:pt>
                <c:pt idx="25">
                  <c:v>1.3329469896000002E-2</c:v>
                </c:pt>
                <c:pt idx="26">
                  <c:v>1.1254599581999999E-2</c:v>
                </c:pt>
                <c:pt idx="27">
                  <c:v>9.9971024219999999E-3</c:v>
                </c:pt>
                <c:pt idx="28">
                  <c:v>8.6767304040000007E-3</c:v>
                </c:pt>
                <c:pt idx="29">
                  <c:v>6.7904846640000002E-3</c:v>
                </c:pt>
                <c:pt idx="30">
                  <c:v>5.1557383560000003E-3</c:v>
                </c:pt>
                <c:pt idx="31">
                  <c:v>4.2754903440000002E-3</c:v>
                </c:pt>
                <c:pt idx="32">
                  <c:v>3.5838669060000005E-3</c:v>
                </c:pt>
                <c:pt idx="33">
                  <c:v>2.9551183260000001E-3</c:v>
                </c:pt>
                <c:pt idx="34">
                  <c:v>2.4521194619999999E-3</c:v>
                </c:pt>
                <c:pt idx="35">
                  <c:v>2.5778691780000001E-3</c:v>
                </c:pt>
                <c:pt idx="36">
                  <c:v>2.3892446040000002E-3</c:v>
                </c:pt>
                <c:pt idx="37">
                  <c:v>2.1377451720000001E-3</c:v>
                </c:pt>
                <c:pt idx="38">
                  <c:v>1.5718714500000002E-3</c:v>
                </c:pt>
                <c:pt idx="39">
                  <c:v>1.0688725860000001E-3</c:v>
                </c:pt>
                <c:pt idx="40">
                  <c:v>7.5449829600000005E-4</c:v>
                </c:pt>
                <c:pt idx="41">
                  <c:v>6.9162343800000003E-4</c:v>
                </c:pt>
                <c:pt idx="42">
                  <c:v>6.2874858000000011E-4</c:v>
                </c:pt>
                <c:pt idx="43">
                  <c:v>6.9162343800000003E-4</c:v>
                </c:pt>
                <c:pt idx="44">
                  <c:v>6.9162343800000003E-4</c:v>
                </c:pt>
                <c:pt idx="45">
                  <c:v>7.5449829600000005E-4</c:v>
                </c:pt>
                <c:pt idx="46">
                  <c:v>6.9162343800000003E-4</c:v>
                </c:pt>
                <c:pt idx="47">
                  <c:v>5.0299886399999996E-4</c:v>
                </c:pt>
                <c:pt idx="48">
                  <c:v>1.8862457400000001E-4</c:v>
                </c:pt>
              </c:numCache>
            </c:numRef>
          </c:yVal>
          <c:smooth val="1"/>
        </c:ser>
        <c:ser>
          <c:idx val="2"/>
          <c:order val="2"/>
          <c:tx>
            <c:v>1998</c:v>
          </c:tx>
          <c:spPr>
            <a:ln w="19050">
              <a:solidFill>
                <a:schemeClr val="accent5"/>
              </a:solidFill>
              <a:prstDash val="sysDot"/>
            </a:ln>
          </c:spPr>
          <c:marker>
            <c:symbol val="none"/>
          </c:marker>
          <c:xVal>
            <c:numRef>
              <c:f>Sheet1!$I$15:$I$63</c:f>
              <c:numCache>
                <c:formatCode>General</c:formatCode>
                <c:ptCount val="49"/>
                <c:pt idx="0">
                  <c:v>14.683164</c:v>
                </c:pt>
                <c:pt idx="1">
                  <c:v>77.891328999999999</c:v>
                </c:pt>
                <c:pt idx="2">
                  <c:v>141.099493</c:v>
                </c:pt>
                <c:pt idx="3">
                  <c:v>204.30765700000001</c:v>
                </c:pt>
                <c:pt idx="4">
                  <c:v>267.51582100000002</c:v>
                </c:pt>
                <c:pt idx="5">
                  <c:v>330.72398600000002</c:v>
                </c:pt>
                <c:pt idx="6">
                  <c:v>393.93214999999998</c:v>
                </c:pt>
                <c:pt idx="7">
                  <c:v>457.14031399999999</c:v>
                </c:pt>
                <c:pt idx="8">
                  <c:v>520.348478</c:v>
                </c:pt>
                <c:pt idx="9">
                  <c:v>583.55664300000001</c:v>
                </c:pt>
                <c:pt idx="10">
                  <c:v>646.76480700000002</c:v>
                </c:pt>
                <c:pt idx="11">
                  <c:v>709.97297100000003</c:v>
                </c:pt>
                <c:pt idx="12">
                  <c:v>773.18113500000004</c:v>
                </c:pt>
                <c:pt idx="13">
                  <c:v>836.38930000000005</c:v>
                </c:pt>
                <c:pt idx="14">
                  <c:v>899.59746399999995</c:v>
                </c:pt>
                <c:pt idx="15">
                  <c:v>962.80562799999996</c:v>
                </c:pt>
                <c:pt idx="16">
                  <c:v>1026.013792</c:v>
                </c:pt>
                <c:pt idx="17">
                  <c:v>1089.221957</c:v>
                </c:pt>
                <c:pt idx="18">
                  <c:v>1152.4301210000001</c:v>
                </c:pt>
                <c:pt idx="19">
                  <c:v>1215.638285</c:v>
                </c:pt>
                <c:pt idx="20">
                  <c:v>1278.84645</c:v>
                </c:pt>
                <c:pt idx="21">
                  <c:v>1342.0546139999999</c:v>
                </c:pt>
                <c:pt idx="22">
                  <c:v>1405.262778</c:v>
                </c:pt>
                <c:pt idx="23">
                  <c:v>1468.4709419999999</c:v>
                </c:pt>
                <c:pt idx="24">
                  <c:v>1531.6791069999999</c:v>
                </c:pt>
                <c:pt idx="25">
                  <c:v>1594.8872710000001</c:v>
                </c:pt>
                <c:pt idx="26">
                  <c:v>1658.095435</c:v>
                </c:pt>
                <c:pt idx="27">
                  <c:v>1721.3035990000001</c:v>
                </c:pt>
                <c:pt idx="28">
                  <c:v>1784.5117640000001</c:v>
                </c:pt>
                <c:pt idx="29">
                  <c:v>1847.719928</c:v>
                </c:pt>
                <c:pt idx="30">
                  <c:v>1910.9280920000001</c:v>
                </c:pt>
                <c:pt idx="31">
                  <c:v>1974.136256</c:v>
                </c:pt>
                <c:pt idx="32">
                  <c:v>2037.344421</c:v>
                </c:pt>
                <c:pt idx="33">
                  <c:v>2100.5525849999999</c:v>
                </c:pt>
                <c:pt idx="34">
                  <c:v>2163.760749</c:v>
                </c:pt>
                <c:pt idx="35">
                  <c:v>2226.9689130000002</c:v>
                </c:pt>
                <c:pt idx="36">
                  <c:v>2290.1770780000002</c:v>
                </c:pt>
                <c:pt idx="37">
                  <c:v>2353.3852419999998</c:v>
                </c:pt>
                <c:pt idx="38">
                  <c:v>2416.593406</c:v>
                </c:pt>
                <c:pt idx="39">
                  <c:v>2479.8015700000001</c:v>
                </c:pt>
                <c:pt idx="40">
                  <c:v>2543.0097350000001</c:v>
                </c:pt>
                <c:pt idx="41">
                  <c:v>2606.2178990000002</c:v>
                </c:pt>
                <c:pt idx="42">
                  <c:v>2669.4260629999999</c:v>
                </c:pt>
                <c:pt idx="43">
                  <c:v>2732.6342279999999</c:v>
                </c:pt>
                <c:pt idx="44">
                  <c:v>2795.842392</c:v>
                </c:pt>
                <c:pt idx="45">
                  <c:v>2859.0505560000001</c:v>
                </c:pt>
                <c:pt idx="46">
                  <c:v>2922.2587199999998</c:v>
                </c:pt>
                <c:pt idx="47">
                  <c:v>2985.4668849999998</c:v>
                </c:pt>
                <c:pt idx="48">
                  <c:v>3048.6750489999999</c:v>
                </c:pt>
              </c:numCache>
            </c:numRef>
          </c:xVal>
          <c:yVal>
            <c:numRef>
              <c:f>Sheet1!$L$15:$L$63</c:f>
              <c:numCache>
                <c:formatCode>0.0000</c:formatCode>
                <c:ptCount val="49"/>
                <c:pt idx="0">
                  <c:v>1.9594531150000003E-3</c:v>
                </c:pt>
                <c:pt idx="1">
                  <c:v>3.223616415E-3</c:v>
                </c:pt>
                <c:pt idx="2">
                  <c:v>3.4132409099999999E-3</c:v>
                </c:pt>
                <c:pt idx="3">
                  <c:v>4.6774042099999996E-3</c:v>
                </c:pt>
                <c:pt idx="4">
                  <c:v>7.2057308100000007E-3</c:v>
                </c:pt>
                <c:pt idx="5">
                  <c:v>9.8604737400000003E-3</c:v>
                </c:pt>
                <c:pt idx="6">
                  <c:v>1.226238401E-2</c:v>
                </c:pt>
                <c:pt idx="7">
                  <c:v>1.6750163724999999E-2</c:v>
                </c:pt>
                <c:pt idx="8">
                  <c:v>2.5093641505E-2</c:v>
                </c:pt>
                <c:pt idx="9">
                  <c:v>3.7608858175000003E-2</c:v>
                </c:pt>
                <c:pt idx="10">
                  <c:v>5.157786264E-2</c:v>
                </c:pt>
                <c:pt idx="11">
                  <c:v>6.2449667019999995E-2</c:v>
                </c:pt>
                <c:pt idx="12">
                  <c:v>7.0097854984999999E-2</c:v>
                </c:pt>
                <c:pt idx="13">
                  <c:v>7.4396010205000002E-2</c:v>
                </c:pt>
                <c:pt idx="14">
                  <c:v>7.1045977460000007E-2</c:v>
                </c:pt>
                <c:pt idx="15">
                  <c:v>6.3397789494999995E-2</c:v>
                </c:pt>
                <c:pt idx="16">
                  <c:v>5.5876017860000002E-2</c:v>
                </c:pt>
                <c:pt idx="17">
                  <c:v>5.157786264E-2</c:v>
                </c:pt>
                <c:pt idx="18">
                  <c:v>4.7026874759999997E-2</c:v>
                </c:pt>
                <c:pt idx="19">
                  <c:v>4.2286262385000002E-2</c:v>
                </c:pt>
                <c:pt idx="20">
                  <c:v>3.8809813309999996E-2</c:v>
                </c:pt>
                <c:pt idx="21">
                  <c:v>3.6787152030000006E-2</c:v>
                </c:pt>
                <c:pt idx="22">
                  <c:v>3.2172955985000001E-2</c:v>
                </c:pt>
                <c:pt idx="23">
                  <c:v>2.4714392515000003E-2</c:v>
                </c:pt>
                <c:pt idx="24">
                  <c:v>1.9088865830000003E-2</c:v>
                </c:pt>
                <c:pt idx="25">
                  <c:v>1.7192620879999999E-2</c:v>
                </c:pt>
                <c:pt idx="26">
                  <c:v>1.7382245375000001E-2</c:v>
                </c:pt>
                <c:pt idx="27">
                  <c:v>1.4032212630000001E-2</c:v>
                </c:pt>
                <c:pt idx="28">
                  <c:v>1.049255539E-2</c:v>
                </c:pt>
                <c:pt idx="29">
                  <c:v>8.7859349349999998E-3</c:v>
                </c:pt>
                <c:pt idx="30">
                  <c:v>7.7113961300000001E-3</c:v>
                </c:pt>
                <c:pt idx="31">
                  <c:v>6.5104409950000001E-3</c:v>
                </c:pt>
                <c:pt idx="32">
                  <c:v>6.4472328299999999E-3</c:v>
                </c:pt>
                <c:pt idx="33">
                  <c:v>6.06798384E-3</c:v>
                </c:pt>
                <c:pt idx="34">
                  <c:v>6.1944001700000003E-3</c:v>
                </c:pt>
                <c:pt idx="35">
                  <c:v>6.06798384E-3</c:v>
                </c:pt>
                <c:pt idx="36">
                  <c:v>4.6774042099999996E-3</c:v>
                </c:pt>
                <c:pt idx="37">
                  <c:v>3.4764490750000001E-3</c:v>
                </c:pt>
                <c:pt idx="38">
                  <c:v>3.0972000850000001E-3</c:v>
                </c:pt>
                <c:pt idx="39">
                  <c:v>2.5915347649999999E-3</c:v>
                </c:pt>
                <c:pt idx="40">
                  <c:v>2.02266128E-3</c:v>
                </c:pt>
                <c:pt idx="41">
                  <c:v>1.833036785E-3</c:v>
                </c:pt>
                <c:pt idx="42">
                  <c:v>2.02266128E-3</c:v>
                </c:pt>
                <c:pt idx="43">
                  <c:v>2.3387021049999998E-3</c:v>
                </c:pt>
                <c:pt idx="44">
                  <c:v>2.212285775E-3</c:v>
                </c:pt>
                <c:pt idx="45">
                  <c:v>1.7698286200000001E-3</c:v>
                </c:pt>
                <c:pt idx="46">
                  <c:v>1.51699596E-3</c:v>
                </c:pt>
                <c:pt idx="47">
                  <c:v>1.01133064E-3</c:v>
                </c:pt>
                <c:pt idx="48">
                  <c:v>3.7924899E-4</c:v>
                </c:pt>
              </c:numCache>
            </c:numRef>
          </c:yVal>
          <c:smooth val="1"/>
        </c:ser>
        <c:ser>
          <c:idx val="3"/>
          <c:order val="3"/>
          <c:tx>
            <c:v>2003</c:v>
          </c:tx>
          <c:spPr>
            <a:ln w="19050">
              <a:solidFill>
                <a:srgbClr val="FF0000"/>
              </a:solidFill>
              <a:prstDash val="sysDot"/>
            </a:ln>
          </c:spPr>
          <c:marker>
            <c:symbol val="none"/>
          </c:marker>
          <c:xVal>
            <c:numRef>
              <c:f>Sheet1!$M$15:$M$63</c:f>
              <c:numCache>
                <c:formatCode>General</c:formatCode>
                <c:ptCount val="49"/>
                <c:pt idx="0">
                  <c:v>15.560245999999999</c:v>
                </c:pt>
                <c:pt idx="1">
                  <c:v>78.614491999999998</c:v>
                </c:pt>
                <c:pt idx="2">
                  <c:v>141.66873899999999</c:v>
                </c:pt>
                <c:pt idx="3">
                  <c:v>204.72298499999999</c:v>
                </c:pt>
                <c:pt idx="4">
                  <c:v>267.77723099999997</c:v>
                </c:pt>
                <c:pt idx="5">
                  <c:v>330.83147700000001</c:v>
                </c:pt>
                <c:pt idx="6">
                  <c:v>393.88572299999998</c:v>
                </c:pt>
                <c:pt idx="7">
                  <c:v>456.93996900000002</c:v>
                </c:pt>
                <c:pt idx="8">
                  <c:v>519.99421600000005</c:v>
                </c:pt>
                <c:pt idx="9">
                  <c:v>583.04846199999997</c:v>
                </c:pt>
                <c:pt idx="10">
                  <c:v>646.10270800000001</c:v>
                </c:pt>
                <c:pt idx="11">
                  <c:v>709.15695400000004</c:v>
                </c:pt>
                <c:pt idx="12">
                  <c:v>772.21119999999996</c:v>
                </c:pt>
                <c:pt idx="13">
                  <c:v>835.265446</c:v>
                </c:pt>
                <c:pt idx="14">
                  <c:v>898.31969300000003</c:v>
                </c:pt>
                <c:pt idx="15">
                  <c:v>961.37393899999995</c:v>
                </c:pt>
                <c:pt idx="16">
                  <c:v>1024.428185</c:v>
                </c:pt>
                <c:pt idx="17">
                  <c:v>1087.4824309999999</c:v>
                </c:pt>
                <c:pt idx="18">
                  <c:v>1150.5366770000001</c:v>
                </c:pt>
                <c:pt idx="19">
                  <c:v>1213.590923</c:v>
                </c:pt>
                <c:pt idx="20">
                  <c:v>1276.64517</c:v>
                </c:pt>
                <c:pt idx="21">
                  <c:v>1339.6994159999999</c:v>
                </c:pt>
                <c:pt idx="22">
                  <c:v>1402.7536620000001</c:v>
                </c:pt>
                <c:pt idx="23">
                  <c:v>1465.807908</c:v>
                </c:pt>
                <c:pt idx="24">
                  <c:v>1528.8621539999999</c:v>
                </c:pt>
                <c:pt idx="25">
                  <c:v>1591.916401</c:v>
                </c:pt>
                <c:pt idx="26">
                  <c:v>1654.9706470000001</c:v>
                </c:pt>
                <c:pt idx="27">
                  <c:v>1718.024893</c:v>
                </c:pt>
                <c:pt idx="28">
                  <c:v>1781.0791389999999</c:v>
                </c:pt>
                <c:pt idx="29">
                  <c:v>1844.1333850000001</c:v>
                </c:pt>
                <c:pt idx="30">
                  <c:v>1907.187631</c:v>
                </c:pt>
                <c:pt idx="31">
                  <c:v>1970.241878</c:v>
                </c:pt>
                <c:pt idx="32">
                  <c:v>2033.296124</c:v>
                </c:pt>
                <c:pt idx="33">
                  <c:v>2096.3503700000001</c:v>
                </c:pt>
                <c:pt idx="34">
                  <c:v>2159.4046159999998</c:v>
                </c:pt>
                <c:pt idx="35">
                  <c:v>2222.458862</c:v>
                </c:pt>
                <c:pt idx="36">
                  <c:v>2285.5131080000001</c:v>
                </c:pt>
                <c:pt idx="37">
                  <c:v>2348.5673550000001</c:v>
                </c:pt>
                <c:pt idx="38">
                  <c:v>2411.6216009999998</c:v>
                </c:pt>
                <c:pt idx="39">
                  <c:v>2474.675847</c:v>
                </c:pt>
                <c:pt idx="40">
                  <c:v>2537.7300930000001</c:v>
                </c:pt>
                <c:pt idx="41">
                  <c:v>2600.7843389999998</c:v>
                </c:pt>
                <c:pt idx="42">
                  <c:v>2663.838585</c:v>
                </c:pt>
                <c:pt idx="43">
                  <c:v>2726.892832</c:v>
                </c:pt>
                <c:pt idx="44">
                  <c:v>2789.9470780000001</c:v>
                </c:pt>
                <c:pt idx="45">
                  <c:v>2853.0013239999998</c:v>
                </c:pt>
                <c:pt idx="46">
                  <c:v>2916.05557</c:v>
                </c:pt>
                <c:pt idx="47">
                  <c:v>2979.1098160000001</c:v>
                </c:pt>
                <c:pt idx="48">
                  <c:v>3042.1640630000002</c:v>
                </c:pt>
              </c:numCache>
            </c:numRef>
          </c:xVal>
          <c:yVal>
            <c:numRef>
              <c:f>Sheet1!$P$15:$P$63</c:f>
              <c:numCache>
                <c:formatCode>0.0000</c:formatCode>
                <c:ptCount val="49"/>
                <c:pt idx="0">
                  <c:v>1.513301904E-3</c:v>
                </c:pt>
                <c:pt idx="1">
                  <c:v>2.774386824E-3</c:v>
                </c:pt>
                <c:pt idx="2">
                  <c:v>3.1527122999999999E-3</c:v>
                </c:pt>
                <c:pt idx="3">
                  <c:v>4.0354717440000002E-3</c:v>
                </c:pt>
                <c:pt idx="4">
                  <c:v>6.3054245999999998E-3</c:v>
                </c:pt>
                <c:pt idx="5">
                  <c:v>9.3320284079999993E-3</c:v>
                </c:pt>
                <c:pt idx="6">
                  <c:v>1.0719221820000001E-2</c:v>
                </c:pt>
                <c:pt idx="7">
                  <c:v>1.3304445906000001E-2</c:v>
                </c:pt>
                <c:pt idx="8">
                  <c:v>2.1060118164E-2</c:v>
                </c:pt>
                <c:pt idx="9">
                  <c:v>3.4805943791999999E-2</c:v>
                </c:pt>
                <c:pt idx="10">
                  <c:v>4.7101521762000005E-2</c:v>
                </c:pt>
                <c:pt idx="11">
                  <c:v>5.7505472352000001E-2</c:v>
                </c:pt>
                <c:pt idx="12">
                  <c:v>6.6711392267999992E-2</c:v>
                </c:pt>
                <c:pt idx="13">
                  <c:v>7.1062135242000002E-2</c:v>
                </c:pt>
                <c:pt idx="14">
                  <c:v>6.7404988974000005E-2</c:v>
                </c:pt>
                <c:pt idx="15">
                  <c:v>6.0279859176000004E-2</c:v>
                </c:pt>
                <c:pt idx="16">
                  <c:v>5.5361627987999998E-2</c:v>
                </c:pt>
                <c:pt idx="17">
                  <c:v>5.0191179815999999E-2</c:v>
                </c:pt>
                <c:pt idx="18">
                  <c:v>4.6344870810000001E-2</c:v>
                </c:pt>
                <c:pt idx="19">
                  <c:v>4.3948809461999999E-2</c:v>
                </c:pt>
                <c:pt idx="20">
                  <c:v>4.1804965097999996E-2</c:v>
                </c:pt>
                <c:pt idx="21">
                  <c:v>3.8841415535999999E-2</c:v>
                </c:pt>
                <c:pt idx="22">
                  <c:v>3.5940920219999999E-2</c:v>
                </c:pt>
                <c:pt idx="23">
                  <c:v>3.1022689032000002E-2</c:v>
                </c:pt>
                <c:pt idx="24">
                  <c:v>2.5410861138E-2</c:v>
                </c:pt>
                <c:pt idx="25">
                  <c:v>1.9609870506E-2</c:v>
                </c:pt>
                <c:pt idx="26">
                  <c:v>1.6015778483999998E-2</c:v>
                </c:pt>
                <c:pt idx="27">
                  <c:v>1.4439422334E-2</c:v>
                </c:pt>
                <c:pt idx="28">
                  <c:v>1.2736957692000001E-2</c:v>
                </c:pt>
                <c:pt idx="29">
                  <c:v>1.1412818526E-2</c:v>
                </c:pt>
                <c:pt idx="30">
                  <c:v>1.0151733606E-2</c:v>
                </c:pt>
                <c:pt idx="31">
                  <c:v>9.2059199159999997E-3</c:v>
                </c:pt>
                <c:pt idx="32">
                  <c:v>7.6295637660000002E-3</c:v>
                </c:pt>
                <c:pt idx="33">
                  <c:v>6.7468043219999999E-3</c:v>
                </c:pt>
                <c:pt idx="34">
                  <c:v>5.6748821400000003E-3</c:v>
                </c:pt>
                <c:pt idx="35">
                  <c:v>4.9182311879999996E-3</c:v>
                </c:pt>
                <c:pt idx="36">
                  <c:v>4.4768514660000003E-3</c:v>
                </c:pt>
                <c:pt idx="37">
                  <c:v>4.792122696E-3</c:v>
                </c:pt>
                <c:pt idx="38">
                  <c:v>4.5399057120000001E-3</c:v>
                </c:pt>
                <c:pt idx="39">
                  <c:v>4.3507429739999999E-3</c:v>
                </c:pt>
                <c:pt idx="40">
                  <c:v>3.9724174979999995E-3</c:v>
                </c:pt>
                <c:pt idx="41">
                  <c:v>3.1527122999999999E-3</c:v>
                </c:pt>
                <c:pt idx="42">
                  <c:v>2.396061348E-3</c:v>
                </c:pt>
                <c:pt idx="43">
                  <c:v>2.1438443640000001E-3</c:v>
                </c:pt>
                <c:pt idx="44">
                  <c:v>2.1438443640000001E-3</c:v>
                </c:pt>
                <c:pt idx="45">
                  <c:v>2.0807901180000003E-3</c:v>
                </c:pt>
                <c:pt idx="46">
                  <c:v>1.324139166E-3</c:v>
                </c:pt>
                <c:pt idx="47">
                  <c:v>5.6748821400000001E-4</c:v>
                </c:pt>
                <c:pt idx="48">
                  <c:v>1.2610849200000001E-4</c:v>
                </c:pt>
              </c:numCache>
            </c:numRef>
          </c:yVal>
          <c:smooth val="1"/>
        </c:ser>
        <c:ser>
          <c:idx val="4"/>
          <c:order val="4"/>
          <c:tx>
            <c:v>2009</c:v>
          </c:tx>
          <c:spPr>
            <a:ln w="31750">
              <a:solidFill>
                <a:srgbClr val="C00000"/>
              </a:solidFill>
              <a:prstDash val="solid"/>
            </a:ln>
          </c:spPr>
          <c:marker>
            <c:symbol val="none"/>
          </c:marker>
          <c:xVal>
            <c:numRef>
              <c:f>Sheet1!$Q$15:$Q$63</c:f>
              <c:numCache>
                <c:formatCode>General</c:formatCode>
                <c:ptCount val="49"/>
                <c:pt idx="0">
                  <c:v>17.210101999999999</c:v>
                </c:pt>
                <c:pt idx="1">
                  <c:v>80.369004000000004</c:v>
                </c:pt>
                <c:pt idx="2">
                  <c:v>143.527906</c:v>
                </c:pt>
                <c:pt idx="3">
                  <c:v>206.68680800000001</c:v>
                </c:pt>
                <c:pt idx="4">
                  <c:v>269.84571</c:v>
                </c:pt>
                <c:pt idx="5">
                  <c:v>333.00461200000001</c:v>
                </c:pt>
                <c:pt idx="6">
                  <c:v>396.16351500000002</c:v>
                </c:pt>
                <c:pt idx="7">
                  <c:v>459.32241699999997</c:v>
                </c:pt>
                <c:pt idx="8">
                  <c:v>522.48131899999998</c:v>
                </c:pt>
                <c:pt idx="9">
                  <c:v>585.640221</c:v>
                </c:pt>
                <c:pt idx="10">
                  <c:v>648.79912300000001</c:v>
                </c:pt>
                <c:pt idx="11">
                  <c:v>711.95802500000002</c:v>
                </c:pt>
                <c:pt idx="12">
                  <c:v>775.11692700000003</c:v>
                </c:pt>
                <c:pt idx="13">
                  <c:v>838.27582900000004</c:v>
                </c:pt>
                <c:pt idx="14">
                  <c:v>901.43473100000006</c:v>
                </c:pt>
                <c:pt idx="15">
                  <c:v>964.59363299999995</c:v>
                </c:pt>
                <c:pt idx="16">
                  <c:v>1027.7525350000001</c:v>
                </c:pt>
                <c:pt idx="17">
                  <c:v>1090.9114380000001</c:v>
                </c:pt>
                <c:pt idx="18">
                  <c:v>1154.07034</c:v>
                </c:pt>
                <c:pt idx="19">
                  <c:v>1217.2292420000001</c:v>
                </c:pt>
                <c:pt idx="20">
                  <c:v>1280.388144</c:v>
                </c:pt>
                <c:pt idx="21">
                  <c:v>1343.5470459999999</c:v>
                </c:pt>
                <c:pt idx="22">
                  <c:v>1406.705948</c:v>
                </c:pt>
                <c:pt idx="23">
                  <c:v>1469.8648499999999</c:v>
                </c:pt>
                <c:pt idx="24">
                  <c:v>1533.0237520000001</c:v>
                </c:pt>
                <c:pt idx="25">
                  <c:v>1596.182654</c:v>
                </c:pt>
                <c:pt idx="26">
                  <c:v>1659.3415560000001</c:v>
                </c:pt>
                <c:pt idx="27">
                  <c:v>1722.500458</c:v>
                </c:pt>
                <c:pt idx="28">
                  <c:v>1785.659361</c:v>
                </c:pt>
                <c:pt idx="29">
                  <c:v>1848.8182629999999</c:v>
                </c:pt>
                <c:pt idx="30">
                  <c:v>1911.977165</c:v>
                </c:pt>
                <c:pt idx="31">
                  <c:v>1975.1360669999999</c:v>
                </c:pt>
                <c:pt idx="32">
                  <c:v>2038.294969</c:v>
                </c:pt>
                <c:pt idx="33">
                  <c:v>2101.4538710000002</c:v>
                </c:pt>
                <c:pt idx="34">
                  <c:v>2164.6127729999998</c:v>
                </c:pt>
                <c:pt idx="35">
                  <c:v>2227.771675</c:v>
                </c:pt>
                <c:pt idx="36">
                  <c:v>2290.9305770000001</c:v>
                </c:pt>
                <c:pt idx="37">
                  <c:v>2354.0894790000002</c:v>
                </c:pt>
                <c:pt idx="38">
                  <c:v>2417.2483809999999</c:v>
                </c:pt>
                <c:pt idx="39">
                  <c:v>2480.4072839999999</c:v>
                </c:pt>
                <c:pt idx="40">
                  <c:v>2543.566186</c:v>
                </c:pt>
                <c:pt idx="41">
                  <c:v>2606.7250880000001</c:v>
                </c:pt>
                <c:pt idx="42">
                  <c:v>2669.8839899999998</c:v>
                </c:pt>
                <c:pt idx="43">
                  <c:v>2733.0428919999999</c:v>
                </c:pt>
                <c:pt idx="44">
                  <c:v>2796.2017940000001</c:v>
                </c:pt>
                <c:pt idx="45">
                  <c:v>2859.3606960000002</c:v>
                </c:pt>
                <c:pt idx="46">
                  <c:v>2922.5195979999999</c:v>
                </c:pt>
                <c:pt idx="47">
                  <c:v>2985.6785</c:v>
                </c:pt>
                <c:pt idx="48">
                  <c:v>3048.8374020000001</c:v>
                </c:pt>
              </c:numCache>
            </c:numRef>
          </c:xVal>
          <c:yVal>
            <c:numRef>
              <c:f>Sheet1!$T$15:$T$63</c:f>
              <c:numCache>
                <c:formatCode>0.0000</c:formatCode>
                <c:ptCount val="49"/>
                <c:pt idx="0">
                  <c:v>1.2631780400000003E-3</c:v>
                </c:pt>
                <c:pt idx="1">
                  <c:v>2.0842437660000004E-3</c:v>
                </c:pt>
                <c:pt idx="2">
                  <c:v>2.778991688E-3</c:v>
                </c:pt>
                <c:pt idx="3">
                  <c:v>3.7263752180000001E-3</c:v>
                </c:pt>
                <c:pt idx="4">
                  <c:v>4.6737587479999997E-3</c:v>
                </c:pt>
                <c:pt idx="5">
                  <c:v>6.1264134940000005E-3</c:v>
                </c:pt>
                <c:pt idx="6">
                  <c:v>8.589610672E-3</c:v>
                </c:pt>
                <c:pt idx="7">
                  <c:v>1.2315985890000001E-2</c:v>
                </c:pt>
                <c:pt idx="8">
                  <c:v>1.5410772088000001E-2</c:v>
                </c:pt>
                <c:pt idx="9">
                  <c:v>2.4253018368000003E-2</c:v>
                </c:pt>
                <c:pt idx="10">
                  <c:v>3.6758480964000008E-2</c:v>
                </c:pt>
                <c:pt idx="11">
                  <c:v>4.8884990147999997E-2</c:v>
                </c:pt>
                <c:pt idx="12">
                  <c:v>5.7916713134E-2</c:v>
                </c:pt>
                <c:pt idx="13">
                  <c:v>6.1769406155999997E-2</c:v>
                </c:pt>
                <c:pt idx="14">
                  <c:v>5.9937797998000003E-2</c:v>
                </c:pt>
                <c:pt idx="15">
                  <c:v>5.3432431092E-2</c:v>
                </c:pt>
                <c:pt idx="16">
                  <c:v>4.9200784657999999E-2</c:v>
                </c:pt>
                <c:pt idx="17">
                  <c:v>4.5790203949999997E-2</c:v>
                </c:pt>
                <c:pt idx="18">
                  <c:v>4.3769119086000008E-2</c:v>
                </c:pt>
                <c:pt idx="19">
                  <c:v>4.3453324576000006E-2</c:v>
                </c:pt>
                <c:pt idx="20">
                  <c:v>4.0548015084000001E-2</c:v>
                </c:pt>
                <c:pt idx="21">
                  <c:v>3.5495302924000001E-2</c:v>
                </c:pt>
                <c:pt idx="22">
                  <c:v>3.0505749666E-2</c:v>
                </c:pt>
                <c:pt idx="23">
                  <c:v>2.8232029194000002E-2</c:v>
                </c:pt>
                <c:pt idx="24">
                  <c:v>3.0884703077999998E-2</c:v>
                </c:pt>
                <c:pt idx="25">
                  <c:v>3.0316272960000001E-2</c:v>
                </c:pt>
                <c:pt idx="26">
                  <c:v>2.7789916880000005E-2</c:v>
                </c:pt>
                <c:pt idx="27">
                  <c:v>2.2800363622000001E-2</c:v>
                </c:pt>
                <c:pt idx="28">
                  <c:v>1.9137147306E-2</c:v>
                </c:pt>
                <c:pt idx="29">
                  <c:v>1.7242380246000003E-2</c:v>
                </c:pt>
                <c:pt idx="30">
                  <c:v>1.5221295382000002E-2</c:v>
                </c:pt>
                <c:pt idx="31">
                  <c:v>1.3263369420000002E-2</c:v>
                </c:pt>
                <c:pt idx="32">
                  <c:v>1.2947574910000001E-2</c:v>
                </c:pt>
                <c:pt idx="33">
                  <c:v>1.2884416008000001E-2</c:v>
                </c:pt>
                <c:pt idx="34">
                  <c:v>1.0737013340000002E-2</c:v>
                </c:pt>
                <c:pt idx="35">
                  <c:v>8.2106572600000004E-3</c:v>
                </c:pt>
                <c:pt idx="36">
                  <c:v>7.3264326320000009E-3</c:v>
                </c:pt>
                <c:pt idx="37">
                  <c:v>7.958021652E-3</c:v>
                </c:pt>
                <c:pt idx="38">
                  <c:v>8.1474983580000007E-3</c:v>
                </c:pt>
                <c:pt idx="39">
                  <c:v>7.3264326320000009E-3</c:v>
                </c:pt>
                <c:pt idx="40">
                  <c:v>6.0000956900000011E-3</c:v>
                </c:pt>
                <c:pt idx="41">
                  <c:v>5.0527121600000011E-3</c:v>
                </c:pt>
                <c:pt idx="42">
                  <c:v>4.294805336E-3</c:v>
                </c:pt>
                <c:pt idx="43">
                  <c:v>3.7263752180000001E-3</c:v>
                </c:pt>
                <c:pt idx="44">
                  <c:v>3.6000574140000003E-3</c:v>
                </c:pt>
                <c:pt idx="45">
                  <c:v>3.1579451000000006E-3</c:v>
                </c:pt>
                <c:pt idx="46">
                  <c:v>2.5263560800000005E-3</c:v>
                </c:pt>
                <c:pt idx="47">
                  <c:v>1.389495844E-3</c:v>
                </c:pt>
                <c:pt idx="48">
                  <c:v>5.0527121600000007E-4</c:v>
                </c:pt>
              </c:numCache>
            </c:numRef>
          </c:yVal>
          <c:smooth val="1"/>
        </c:ser>
        <c:dLbls>
          <c:showLegendKey val="0"/>
          <c:showVal val="0"/>
          <c:showCatName val="0"/>
          <c:showSerName val="0"/>
          <c:showPercent val="0"/>
          <c:showBubbleSize val="0"/>
        </c:dLbls>
        <c:axId val="244776320"/>
        <c:axId val="244786688"/>
      </c:scatterChart>
      <c:valAx>
        <c:axId val="244776320"/>
        <c:scaling>
          <c:orientation val="minMax"/>
          <c:max val="3200"/>
          <c:min val="0"/>
        </c:scaling>
        <c:delete val="0"/>
        <c:axPos val="b"/>
        <c:title>
          <c:tx>
            <c:rich>
              <a:bodyPr/>
              <a:lstStyle/>
              <a:p>
                <a:pPr>
                  <a:defRPr b="0">
                    <a:latin typeface="Arial" pitchFamily="34" charset="0"/>
                    <a:cs typeface="Arial" pitchFamily="34" charset="0"/>
                  </a:defRPr>
                </a:pPr>
                <a:r>
                  <a:rPr lang="en-US" b="0">
                    <a:latin typeface="Arial" pitchFamily="34" charset="0"/>
                    <a:cs typeface="Arial" pitchFamily="34" charset="0"/>
                  </a:rPr>
                  <a:t>$ (2011-12) per week</a:t>
                </a:r>
              </a:p>
            </c:rich>
          </c:tx>
          <c:layout>
            <c:manualLayout>
              <c:xMode val="edge"/>
              <c:yMode val="edge"/>
              <c:x val="0.27440232301279083"/>
              <c:y val="0.92524044489539248"/>
            </c:manualLayout>
          </c:layout>
          <c:overlay val="0"/>
        </c:title>
        <c:numFmt formatCode="General" sourceLinked="1"/>
        <c:majorTickMark val="out"/>
        <c:minorTickMark val="none"/>
        <c:tickLblPos val="nextTo"/>
        <c:txPr>
          <a:bodyPr/>
          <a:lstStyle/>
          <a:p>
            <a:pPr>
              <a:defRPr sz="1000">
                <a:latin typeface="Arial" pitchFamily="34" charset="0"/>
                <a:cs typeface="Arial" pitchFamily="34" charset="0"/>
              </a:defRPr>
            </a:pPr>
            <a:endParaRPr lang="en-US"/>
          </a:p>
        </c:txPr>
        <c:crossAx val="244786688"/>
        <c:crosses val="autoZero"/>
        <c:crossBetween val="midCat"/>
      </c:valAx>
      <c:valAx>
        <c:axId val="244786688"/>
        <c:scaling>
          <c:orientation val="minMax"/>
          <c:max val="0.1"/>
        </c:scaling>
        <c:delete val="0"/>
        <c:axPos val="l"/>
        <c:majorGridlines/>
        <c:numFmt formatCode="0.00" sourceLinked="0"/>
        <c:majorTickMark val="out"/>
        <c:minorTickMark val="none"/>
        <c:tickLblPos val="nextTo"/>
        <c:txPr>
          <a:bodyPr/>
          <a:lstStyle/>
          <a:p>
            <a:pPr>
              <a:defRPr sz="1000">
                <a:latin typeface="Arial" pitchFamily="34" charset="0"/>
                <a:cs typeface="Arial" pitchFamily="34" charset="0"/>
              </a:defRPr>
            </a:pPr>
            <a:endParaRPr lang="en-US"/>
          </a:p>
        </c:txPr>
        <c:crossAx val="244776320"/>
        <c:crosses val="autoZero"/>
        <c:crossBetween val="midCat"/>
        <c:majorUnit val="2.0000000000000004E-2"/>
      </c:valAx>
      <c:spPr>
        <a:solidFill>
          <a:schemeClr val="bg1"/>
        </a:solidFill>
      </c:spPr>
    </c:plotArea>
    <c:plotVisOnly val="1"/>
    <c:dispBlanksAs val="gap"/>
    <c:showDLblsOverMax val="0"/>
  </c:chart>
  <c:spPr>
    <a:ln>
      <a:noFill/>
    </a:ln>
  </c:spPr>
  <c:externalData r:id="rId1">
    <c:autoUpdate val="0"/>
  </c:externalData>
  <c:userShapes r:id="rId2"/>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193027286683505"/>
          <c:y val="3.4996130624555422E-2"/>
          <c:w val="0.76107362839725679"/>
          <c:h val="0.80225416666666671"/>
        </c:manualLayout>
      </c:layout>
      <c:scatterChart>
        <c:scatterStyle val="smoothMarker"/>
        <c:varyColors val="0"/>
        <c:ser>
          <c:idx val="0"/>
          <c:order val="0"/>
          <c:spPr>
            <a:ln>
              <a:prstDash val="dash"/>
            </a:ln>
          </c:spPr>
          <c:marker>
            <c:symbol val="none"/>
          </c:marker>
          <c:xVal>
            <c:numRef>
              <c:f>Sheet1!$A$16:$A$64</c:f>
              <c:numCache>
                <c:formatCode>General</c:formatCode>
                <c:ptCount val="49"/>
                <c:pt idx="0">
                  <c:v>0</c:v>
                </c:pt>
                <c:pt idx="1">
                  <c:v>12.272022</c:v>
                </c:pt>
                <c:pt idx="2">
                  <c:v>38.555532999999997</c:v>
                </c:pt>
                <c:pt idx="3">
                  <c:v>64.839044000000001</c:v>
                </c:pt>
                <c:pt idx="4">
                  <c:v>91.122556000000003</c:v>
                </c:pt>
                <c:pt idx="5">
                  <c:v>117.40606699999999</c:v>
                </c:pt>
                <c:pt idx="6">
                  <c:v>143.68957800000001</c:v>
                </c:pt>
                <c:pt idx="7">
                  <c:v>169.97308899999999</c:v>
                </c:pt>
                <c:pt idx="8">
                  <c:v>196.25659999999999</c:v>
                </c:pt>
                <c:pt idx="9">
                  <c:v>222.540111</c:v>
                </c:pt>
                <c:pt idx="10">
                  <c:v>248.823622</c:v>
                </c:pt>
                <c:pt idx="11">
                  <c:v>275.10713399999997</c:v>
                </c:pt>
                <c:pt idx="12">
                  <c:v>301.39064500000001</c:v>
                </c:pt>
                <c:pt idx="13">
                  <c:v>327.67415599999998</c:v>
                </c:pt>
                <c:pt idx="14">
                  <c:v>353.95766700000001</c:v>
                </c:pt>
                <c:pt idx="15">
                  <c:v>380.24117799999999</c:v>
                </c:pt>
                <c:pt idx="16">
                  <c:v>406.52468900000002</c:v>
                </c:pt>
                <c:pt idx="17">
                  <c:v>432.8082</c:v>
                </c:pt>
                <c:pt idx="18">
                  <c:v>459.09171199999997</c:v>
                </c:pt>
                <c:pt idx="19">
                  <c:v>485.37522300000001</c:v>
                </c:pt>
                <c:pt idx="20">
                  <c:v>511.65873399999998</c:v>
                </c:pt>
                <c:pt idx="21">
                  <c:v>537.94224499999996</c:v>
                </c:pt>
                <c:pt idx="22">
                  <c:v>564.22575600000005</c:v>
                </c:pt>
                <c:pt idx="23">
                  <c:v>590.50926700000002</c:v>
                </c:pt>
                <c:pt idx="24">
                  <c:v>616.792778</c:v>
                </c:pt>
                <c:pt idx="25">
                  <c:v>643.07628999999997</c:v>
                </c:pt>
                <c:pt idx="26">
                  <c:v>669.35980099999995</c:v>
                </c:pt>
                <c:pt idx="27">
                  <c:v>695.64331200000004</c:v>
                </c:pt>
                <c:pt idx="28">
                  <c:v>721.92682300000001</c:v>
                </c:pt>
                <c:pt idx="29">
                  <c:v>748.21033399999999</c:v>
                </c:pt>
                <c:pt idx="30">
                  <c:v>774.49384499999996</c:v>
                </c:pt>
                <c:pt idx="31">
                  <c:v>800.77735600000005</c:v>
                </c:pt>
                <c:pt idx="32">
                  <c:v>827.06086800000003</c:v>
                </c:pt>
                <c:pt idx="33">
                  <c:v>853.344379</c:v>
                </c:pt>
                <c:pt idx="34">
                  <c:v>879.62788999999998</c:v>
                </c:pt>
                <c:pt idx="35">
                  <c:v>905.91140099999996</c:v>
                </c:pt>
                <c:pt idx="36">
                  <c:v>932.19491200000004</c:v>
                </c:pt>
                <c:pt idx="37">
                  <c:v>958.47842300000002</c:v>
                </c:pt>
                <c:pt idx="38">
                  <c:v>984.761934</c:v>
                </c:pt>
                <c:pt idx="39">
                  <c:v>1011.045446</c:v>
                </c:pt>
                <c:pt idx="40">
                  <c:v>1037.3289569999999</c:v>
                </c:pt>
                <c:pt idx="41">
                  <c:v>1063.612468</c:v>
                </c:pt>
                <c:pt idx="42">
                  <c:v>1089.8959789999999</c:v>
                </c:pt>
                <c:pt idx="43">
                  <c:v>1116.17949</c:v>
                </c:pt>
                <c:pt idx="44">
                  <c:v>1142.4630010000001</c:v>
                </c:pt>
                <c:pt idx="45">
                  <c:v>1168.7465119999999</c:v>
                </c:pt>
                <c:pt idx="46">
                  <c:v>1195.0300239999999</c:v>
                </c:pt>
                <c:pt idx="47">
                  <c:v>1221.313535</c:v>
                </c:pt>
                <c:pt idx="48">
                  <c:v>1247.5970460000001</c:v>
                </c:pt>
              </c:numCache>
            </c:numRef>
          </c:xVal>
          <c:yVal>
            <c:numRef>
              <c:f>Sheet1!$D$16:$D$64</c:f>
              <c:numCache>
                <c:formatCode>0.000</c:formatCode>
                <c:ptCount val="49"/>
                <c:pt idx="0">
                  <c:v>0</c:v>
                </c:pt>
                <c:pt idx="1">
                  <c:v>2.4233397141999995E-2</c:v>
                </c:pt>
                <c:pt idx="2">
                  <c:v>3.2880672260999992E-2</c:v>
                </c:pt>
                <c:pt idx="3">
                  <c:v>4.0371472895999995E-2</c:v>
                </c:pt>
                <c:pt idx="4">
                  <c:v>4.5601891584999998E-2</c:v>
                </c:pt>
                <c:pt idx="5">
                  <c:v>4.7757139486999993E-2</c:v>
                </c:pt>
                <c:pt idx="6">
                  <c:v>4.6653232024999998E-2</c:v>
                </c:pt>
                <c:pt idx="7">
                  <c:v>4.3919746880999991E-2</c:v>
                </c:pt>
                <c:pt idx="8">
                  <c:v>4.1107411204000001E-2</c:v>
                </c:pt>
                <c:pt idx="9">
                  <c:v>3.9504117032999997E-2</c:v>
                </c:pt>
                <c:pt idx="10">
                  <c:v>3.7769405306999994E-2</c:v>
                </c:pt>
                <c:pt idx="11">
                  <c:v>3.6560363801000001E-2</c:v>
                </c:pt>
                <c:pt idx="12">
                  <c:v>3.6192394646999998E-2</c:v>
                </c:pt>
                <c:pt idx="13">
                  <c:v>3.6113544113999994E-2</c:v>
                </c:pt>
                <c:pt idx="14">
                  <c:v>3.5903276025999999E-2</c:v>
                </c:pt>
                <c:pt idx="15">
                  <c:v>3.6166111135999997E-2</c:v>
                </c:pt>
                <c:pt idx="16">
                  <c:v>3.6034693580999998E-2</c:v>
                </c:pt>
                <c:pt idx="17">
                  <c:v>3.5509023360999994E-2</c:v>
                </c:pt>
                <c:pt idx="18">
                  <c:v>3.4115997277999993E-2</c:v>
                </c:pt>
                <c:pt idx="19">
                  <c:v>3.2039599908999995E-2</c:v>
                </c:pt>
                <c:pt idx="20">
                  <c:v>3.0199754138999998E-2</c:v>
                </c:pt>
                <c:pt idx="21">
                  <c:v>2.7518836016999997E-2</c:v>
                </c:pt>
                <c:pt idx="22">
                  <c:v>2.4496232251999997E-2</c:v>
                </c:pt>
                <c:pt idx="23">
                  <c:v>2.1394777954000001E-2</c:v>
                </c:pt>
                <c:pt idx="24">
                  <c:v>1.9370947606999998E-2</c:v>
                </c:pt>
                <c:pt idx="25">
                  <c:v>1.7110565660999999E-2</c:v>
                </c:pt>
                <c:pt idx="26">
                  <c:v>1.4823900204E-2</c:v>
                </c:pt>
                <c:pt idx="27">
                  <c:v>1.2510951236E-2</c:v>
                </c:pt>
                <c:pt idx="28">
                  <c:v>1.0881373553999998E-2</c:v>
                </c:pt>
                <c:pt idx="29">
                  <c:v>9.3832134269999992E-3</c:v>
                </c:pt>
                <c:pt idx="30">
                  <c:v>7.9639038329999984E-3</c:v>
                </c:pt>
                <c:pt idx="31">
                  <c:v>6.5971612609999983E-3</c:v>
                </c:pt>
                <c:pt idx="32">
                  <c:v>5.3881197549999994E-3</c:v>
                </c:pt>
                <c:pt idx="33">
                  <c:v>4.6521814469999995E-3</c:v>
                </c:pt>
                <c:pt idx="34">
                  <c:v>4.0476606939999996E-3</c:v>
                </c:pt>
                <c:pt idx="35">
                  <c:v>3.705975051E-3</c:v>
                </c:pt>
                <c:pt idx="36">
                  <c:v>3.3905729189999995E-3</c:v>
                </c:pt>
                <c:pt idx="37">
                  <c:v>3.495706963E-3</c:v>
                </c:pt>
                <c:pt idx="38">
                  <c:v>3.7585420729999998E-3</c:v>
                </c:pt>
                <c:pt idx="39">
                  <c:v>3.9950936719999998E-3</c:v>
                </c:pt>
                <c:pt idx="40">
                  <c:v>3.9688101609999995E-3</c:v>
                </c:pt>
                <c:pt idx="41">
                  <c:v>3.7322585619999999E-3</c:v>
                </c:pt>
                <c:pt idx="42">
                  <c:v>3.4431399410000002E-3</c:v>
                </c:pt>
                <c:pt idx="43">
                  <c:v>3.1014542979999997E-3</c:v>
                </c:pt>
                <c:pt idx="44">
                  <c:v>2.4706500339999994E-3</c:v>
                </c:pt>
                <c:pt idx="45">
                  <c:v>1.7609952369999999E-3</c:v>
                </c:pt>
                <c:pt idx="46">
                  <c:v>1.2878920389999997E-3</c:v>
                </c:pt>
                <c:pt idx="47">
                  <c:v>8.9363937399999992E-4</c:v>
                </c:pt>
                <c:pt idx="48">
                  <c:v>5.2567021999999999E-4</c:v>
                </c:pt>
              </c:numCache>
            </c:numRef>
          </c:yVal>
          <c:smooth val="1"/>
        </c:ser>
        <c:ser>
          <c:idx val="1"/>
          <c:order val="1"/>
          <c:spPr>
            <a:ln w="19050">
              <a:solidFill>
                <a:schemeClr val="accent5"/>
              </a:solidFill>
              <a:prstDash val="sysDot"/>
            </a:ln>
          </c:spPr>
          <c:marker>
            <c:symbol val="none"/>
          </c:marker>
          <c:xVal>
            <c:numRef>
              <c:f>Sheet1!$E$16:$E$64</c:f>
              <c:numCache>
                <c:formatCode>General</c:formatCode>
                <c:ptCount val="49"/>
                <c:pt idx="0">
                  <c:v>0</c:v>
                </c:pt>
                <c:pt idx="1">
                  <c:v>4.2838390000000004</c:v>
                </c:pt>
                <c:pt idx="2">
                  <c:v>30.611757999999998</c:v>
                </c:pt>
                <c:pt idx="3">
                  <c:v>56.939677000000003</c:v>
                </c:pt>
                <c:pt idx="4">
                  <c:v>83.267595999999998</c:v>
                </c:pt>
                <c:pt idx="5">
                  <c:v>109.595516</c:v>
                </c:pt>
                <c:pt idx="6">
                  <c:v>135.92343500000001</c:v>
                </c:pt>
                <c:pt idx="7">
                  <c:v>162.25135399999999</c:v>
                </c:pt>
                <c:pt idx="8">
                  <c:v>188.579274</c:v>
                </c:pt>
                <c:pt idx="9">
                  <c:v>214.90719300000001</c:v>
                </c:pt>
                <c:pt idx="10">
                  <c:v>241.23511199999999</c:v>
                </c:pt>
                <c:pt idx="11">
                  <c:v>267.56303100000002</c:v>
                </c:pt>
                <c:pt idx="12">
                  <c:v>293.89095099999997</c:v>
                </c:pt>
                <c:pt idx="13">
                  <c:v>320.21886999999998</c:v>
                </c:pt>
                <c:pt idx="14">
                  <c:v>346.54678899999999</c:v>
                </c:pt>
                <c:pt idx="15">
                  <c:v>372.874709</c:v>
                </c:pt>
                <c:pt idx="16">
                  <c:v>399.202628</c:v>
                </c:pt>
                <c:pt idx="17">
                  <c:v>425.53054700000001</c:v>
                </c:pt>
                <c:pt idx="18">
                  <c:v>451.85846600000002</c:v>
                </c:pt>
                <c:pt idx="19">
                  <c:v>478.18638600000003</c:v>
                </c:pt>
                <c:pt idx="20">
                  <c:v>504.51430499999998</c:v>
                </c:pt>
                <c:pt idx="21">
                  <c:v>530.84222399999999</c:v>
                </c:pt>
                <c:pt idx="22">
                  <c:v>557.17014400000005</c:v>
                </c:pt>
                <c:pt idx="23">
                  <c:v>583.498063</c:v>
                </c:pt>
                <c:pt idx="24">
                  <c:v>609.82598199999995</c:v>
                </c:pt>
                <c:pt idx="25">
                  <c:v>636.15390100000002</c:v>
                </c:pt>
                <c:pt idx="26">
                  <c:v>662.48182099999997</c:v>
                </c:pt>
                <c:pt idx="27">
                  <c:v>688.80974000000003</c:v>
                </c:pt>
                <c:pt idx="28">
                  <c:v>715.13765899999999</c:v>
                </c:pt>
                <c:pt idx="29">
                  <c:v>741.46557900000005</c:v>
                </c:pt>
                <c:pt idx="30">
                  <c:v>767.793498</c:v>
                </c:pt>
                <c:pt idx="31">
                  <c:v>794.12141699999995</c:v>
                </c:pt>
                <c:pt idx="32">
                  <c:v>820.44933600000002</c:v>
                </c:pt>
                <c:pt idx="33">
                  <c:v>846.77725599999997</c:v>
                </c:pt>
                <c:pt idx="34">
                  <c:v>873.10517500000003</c:v>
                </c:pt>
                <c:pt idx="35">
                  <c:v>899.43309399999998</c:v>
                </c:pt>
                <c:pt idx="36">
                  <c:v>925.76101400000005</c:v>
                </c:pt>
                <c:pt idx="37">
                  <c:v>952.088933</c:v>
                </c:pt>
                <c:pt idx="38">
                  <c:v>978.41685199999995</c:v>
                </c:pt>
                <c:pt idx="39">
                  <c:v>1004.744771</c:v>
                </c:pt>
                <c:pt idx="40">
                  <c:v>1031.0726910000001</c:v>
                </c:pt>
                <c:pt idx="41">
                  <c:v>1057.4006099999999</c:v>
                </c:pt>
                <c:pt idx="42">
                  <c:v>1083.728529</c:v>
                </c:pt>
                <c:pt idx="43">
                  <c:v>1110.0564489999999</c:v>
                </c:pt>
                <c:pt idx="44">
                  <c:v>1136.384368</c:v>
                </c:pt>
                <c:pt idx="45">
                  <c:v>1162.7122870000001</c:v>
                </c:pt>
                <c:pt idx="46">
                  <c:v>1189.0402059999999</c:v>
                </c:pt>
                <c:pt idx="47">
                  <c:v>1215.3681260000001</c:v>
                </c:pt>
                <c:pt idx="48">
                  <c:v>1241.6960449999999</c:v>
                </c:pt>
              </c:numCache>
            </c:numRef>
          </c:xVal>
          <c:yVal>
            <c:numRef>
              <c:f>Sheet1!$H$16:$H$64</c:f>
              <c:numCache>
                <c:formatCode>0.000</c:formatCode>
                <c:ptCount val="49"/>
                <c:pt idx="0">
                  <c:v>0</c:v>
                </c:pt>
                <c:pt idx="1">
                  <c:v>2.4248013398999999E-2</c:v>
                </c:pt>
                <c:pt idx="2">
                  <c:v>3.3304817534999996E-2</c:v>
                </c:pt>
                <c:pt idx="3">
                  <c:v>4.1466472424999998E-2</c:v>
                </c:pt>
                <c:pt idx="4">
                  <c:v>4.7363926280999995E-2</c:v>
                </c:pt>
                <c:pt idx="5">
                  <c:v>4.9417503962999994E-2</c:v>
                </c:pt>
                <c:pt idx="6">
                  <c:v>4.7758845065999998E-2</c:v>
                </c:pt>
                <c:pt idx="7">
                  <c:v>4.5152381084999992E-2</c:v>
                </c:pt>
                <c:pt idx="8">
                  <c:v>4.2414277508999995E-2</c:v>
                </c:pt>
                <c:pt idx="9">
                  <c:v>3.9649846013999998E-2</c:v>
                </c:pt>
                <c:pt idx="10">
                  <c:v>3.7833219602999991E-2</c:v>
                </c:pt>
                <c:pt idx="11">
                  <c:v>3.6569479491E-2</c:v>
                </c:pt>
                <c:pt idx="12">
                  <c:v>3.6227216543999997E-2</c:v>
                </c:pt>
                <c:pt idx="13">
                  <c:v>3.6069249029999993E-2</c:v>
                </c:pt>
                <c:pt idx="14">
                  <c:v>3.4805508918000001E-2</c:v>
                </c:pt>
                <c:pt idx="15">
                  <c:v>3.3910359671999998E-2</c:v>
                </c:pt>
                <c:pt idx="16">
                  <c:v>3.317317794E-2</c:v>
                </c:pt>
                <c:pt idx="17">
                  <c:v>3.2172717017999994E-2</c:v>
                </c:pt>
                <c:pt idx="18">
                  <c:v>3.1093272338999996E-2</c:v>
                </c:pt>
                <c:pt idx="19">
                  <c:v>3.0382418525999998E-2</c:v>
                </c:pt>
                <c:pt idx="20">
                  <c:v>2.9645236794E-2</c:v>
                </c:pt>
                <c:pt idx="21">
                  <c:v>2.8644775871999997E-2</c:v>
                </c:pt>
                <c:pt idx="22">
                  <c:v>2.6854477379999998E-2</c:v>
                </c:pt>
                <c:pt idx="23">
                  <c:v>2.4090045884999998E-2</c:v>
                </c:pt>
                <c:pt idx="24">
                  <c:v>2.1009679361999999E-2</c:v>
                </c:pt>
                <c:pt idx="25">
                  <c:v>1.8087280352999998E-2</c:v>
                </c:pt>
                <c:pt idx="26">
                  <c:v>1.5059569667999999E-2</c:v>
                </c:pt>
                <c:pt idx="27">
                  <c:v>1.2532089444E-2</c:v>
                </c:pt>
                <c:pt idx="28">
                  <c:v>1.0899758465999998E-2</c:v>
                </c:pt>
                <c:pt idx="29">
                  <c:v>9.6623462729999981E-3</c:v>
                </c:pt>
                <c:pt idx="30">
                  <c:v>8.68821327E-3</c:v>
                </c:pt>
                <c:pt idx="31">
                  <c:v>7.9773594569999984E-3</c:v>
                </c:pt>
                <c:pt idx="32">
                  <c:v>7.0032264539999995E-3</c:v>
                </c:pt>
                <c:pt idx="33">
                  <c:v>6.1344051269999998E-3</c:v>
                </c:pt>
                <c:pt idx="34">
                  <c:v>5.0286325289999999E-3</c:v>
                </c:pt>
                <c:pt idx="35">
                  <c:v>4.1598112019999994E-3</c:v>
                </c:pt>
                <c:pt idx="36">
                  <c:v>3.6332528219999993E-3</c:v>
                </c:pt>
                <c:pt idx="37">
                  <c:v>3.3173177939999996E-3</c:v>
                </c:pt>
                <c:pt idx="38">
                  <c:v>2.8960710899999997E-3</c:v>
                </c:pt>
                <c:pt idx="39">
                  <c:v>2.5801360619999996E-3</c:v>
                </c:pt>
                <c:pt idx="40">
                  <c:v>2.3431847909999998E-3</c:v>
                </c:pt>
                <c:pt idx="41">
                  <c:v>2.237873115E-3</c:v>
                </c:pt>
                <c:pt idx="42">
                  <c:v>2.0535776819999999E-3</c:v>
                </c:pt>
                <c:pt idx="43">
                  <c:v>1.7113147349999997E-3</c:v>
                </c:pt>
                <c:pt idx="44">
                  <c:v>1.6060030589999999E-3</c:v>
                </c:pt>
                <c:pt idx="45">
                  <c:v>1.4743634639999999E-3</c:v>
                </c:pt>
                <c:pt idx="46">
                  <c:v>1.2110842739999998E-3</c:v>
                </c:pt>
                <c:pt idx="47">
                  <c:v>8.4249340799999993E-4</c:v>
                </c:pt>
                <c:pt idx="48">
                  <c:v>4.2124670399999996E-4</c:v>
                </c:pt>
              </c:numCache>
            </c:numRef>
          </c:yVal>
          <c:smooth val="1"/>
        </c:ser>
        <c:ser>
          <c:idx val="2"/>
          <c:order val="2"/>
          <c:spPr>
            <a:ln w="19050">
              <a:solidFill>
                <a:schemeClr val="accent4">
                  <a:lumMod val="75000"/>
                </a:schemeClr>
              </a:solidFill>
              <a:prstDash val="sysDot"/>
            </a:ln>
          </c:spPr>
          <c:marker>
            <c:symbol val="none"/>
          </c:marker>
          <c:xVal>
            <c:numRef>
              <c:f>Sheet1!$I$16:$I$64</c:f>
              <c:numCache>
                <c:formatCode>General</c:formatCode>
                <c:ptCount val="49"/>
                <c:pt idx="0">
                  <c:v>0</c:v>
                </c:pt>
                <c:pt idx="1">
                  <c:v>4.3219380000000003</c:v>
                </c:pt>
                <c:pt idx="2">
                  <c:v>30.745407</c:v>
                </c:pt>
                <c:pt idx="3">
                  <c:v>57.168875999999997</c:v>
                </c:pt>
                <c:pt idx="4">
                  <c:v>83.592343999999997</c:v>
                </c:pt>
                <c:pt idx="5">
                  <c:v>110.01581299999999</c:v>
                </c:pt>
                <c:pt idx="6">
                  <c:v>136.43928199999999</c:v>
                </c:pt>
                <c:pt idx="7">
                  <c:v>162.862751</c:v>
                </c:pt>
                <c:pt idx="8">
                  <c:v>189.28621999999999</c:v>
                </c:pt>
                <c:pt idx="9">
                  <c:v>215.709689</c:v>
                </c:pt>
                <c:pt idx="10">
                  <c:v>242.13315800000001</c:v>
                </c:pt>
                <c:pt idx="11">
                  <c:v>268.55662699999999</c:v>
                </c:pt>
                <c:pt idx="12">
                  <c:v>294.980096</c:v>
                </c:pt>
                <c:pt idx="13">
                  <c:v>321.40356400000002</c:v>
                </c:pt>
                <c:pt idx="14">
                  <c:v>347.82703299999997</c:v>
                </c:pt>
                <c:pt idx="15">
                  <c:v>374.25050199999998</c:v>
                </c:pt>
                <c:pt idx="16">
                  <c:v>400.67397099999999</c:v>
                </c:pt>
                <c:pt idx="17">
                  <c:v>427.09744000000001</c:v>
                </c:pt>
                <c:pt idx="18">
                  <c:v>453.52090900000002</c:v>
                </c:pt>
                <c:pt idx="19">
                  <c:v>479.94437799999997</c:v>
                </c:pt>
                <c:pt idx="20">
                  <c:v>506.36784699999998</c:v>
                </c:pt>
                <c:pt idx="21">
                  <c:v>532.79131600000005</c:v>
                </c:pt>
                <c:pt idx="22">
                  <c:v>559.21478400000001</c:v>
                </c:pt>
                <c:pt idx="23">
                  <c:v>585.63825299999996</c:v>
                </c:pt>
                <c:pt idx="24">
                  <c:v>612.06172200000003</c:v>
                </c:pt>
                <c:pt idx="25">
                  <c:v>638.48519099999999</c:v>
                </c:pt>
                <c:pt idx="26">
                  <c:v>664.90866000000005</c:v>
                </c:pt>
                <c:pt idx="27">
                  <c:v>691.33212900000001</c:v>
                </c:pt>
                <c:pt idx="28">
                  <c:v>717.75559799999996</c:v>
                </c:pt>
                <c:pt idx="29">
                  <c:v>744.17906700000003</c:v>
                </c:pt>
                <c:pt idx="30">
                  <c:v>770.60253599999999</c:v>
                </c:pt>
                <c:pt idx="31">
                  <c:v>797.02600399999994</c:v>
                </c:pt>
                <c:pt idx="32">
                  <c:v>823.44947300000001</c:v>
                </c:pt>
                <c:pt idx="33">
                  <c:v>849.87294199999997</c:v>
                </c:pt>
                <c:pt idx="34">
                  <c:v>876.29641100000003</c:v>
                </c:pt>
                <c:pt idx="35">
                  <c:v>902.71987999999999</c:v>
                </c:pt>
                <c:pt idx="36">
                  <c:v>929.14334899999994</c:v>
                </c:pt>
                <c:pt idx="37">
                  <c:v>955.56681800000001</c:v>
                </c:pt>
                <c:pt idx="38">
                  <c:v>981.99028699999997</c:v>
                </c:pt>
                <c:pt idx="39">
                  <c:v>1008.413756</c:v>
                </c:pt>
                <c:pt idx="40">
                  <c:v>1034.8372240000001</c:v>
                </c:pt>
                <c:pt idx="41">
                  <c:v>1061.2606929999999</c:v>
                </c:pt>
                <c:pt idx="42">
                  <c:v>1087.684162</c:v>
                </c:pt>
                <c:pt idx="43">
                  <c:v>1114.1076310000001</c:v>
                </c:pt>
                <c:pt idx="44">
                  <c:v>1140.5310999999999</c:v>
                </c:pt>
                <c:pt idx="45">
                  <c:v>1166.954569</c:v>
                </c:pt>
                <c:pt idx="46">
                  <c:v>1193.3780380000001</c:v>
                </c:pt>
                <c:pt idx="47">
                  <c:v>1219.8015069999999</c:v>
                </c:pt>
                <c:pt idx="48">
                  <c:v>1246.224976</c:v>
                </c:pt>
              </c:numCache>
            </c:numRef>
          </c:xVal>
          <c:yVal>
            <c:numRef>
              <c:f>Sheet1!$L$16:$L$64</c:f>
              <c:numCache>
                <c:formatCode>0.000</c:formatCode>
                <c:ptCount val="49"/>
                <c:pt idx="0">
                  <c:v>0</c:v>
                </c:pt>
                <c:pt idx="1">
                  <c:v>1.9130591556000002E-2</c:v>
                </c:pt>
                <c:pt idx="2">
                  <c:v>2.7559678167000005E-2</c:v>
                </c:pt>
                <c:pt idx="3">
                  <c:v>3.5698106618999997E-2</c:v>
                </c:pt>
                <c:pt idx="4">
                  <c:v>4.1934045303000003E-2</c:v>
                </c:pt>
                <c:pt idx="5">
                  <c:v>4.4972744237999997E-2</c:v>
                </c:pt>
                <c:pt idx="6">
                  <c:v>4.4867050362000005E-2</c:v>
                </c:pt>
                <c:pt idx="7">
                  <c:v>4.2488938152E-2</c:v>
                </c:pt>
                <c:pt idx="8">
                  <c:v>4.0322213693999999E-2</c:v>
                </c:pt>
                <c:pt idx="9">
                  <c:v>3.8366876988000002E-2</c:v>
                </c:pt>
                <c:pt idx="10">
                  <c:v>3.6464387219999998E-2</c:v>
                </c:pt>
                <c:pt idx="11">
                  <c:v>3.5803800495000003E-2</c:v>
                </c:pt>
                <c:pt idx="12">
                  <c:v>3.5750953557000004E-2</c:v>
                </c:pt>
                <c:pt idx="13">
                  <c:v>3.5328178053000002E-2</c:v>
                </c:pt>
                <c:pt idx="14">
                  <c:v>3.5169637238999997E-2</c:v>
                </c:pt>
                <c:pt idx="15">
                  <c:v>3.4720438266000006E-2</c:v>
                </c:pt>
                <c:pt idx="16">
                  <c:v>3.3689922975000001E-2</c:v>
                </c:pt>
                <c:pt idx="17">
                  <c:v>3.3082183188000006E-2</c:v>
                </c:pt>
                <c:pt idx="18">
                  <c:v>3.1338234233999999E-2</c:v>
                </c:pt>
                <c:pt idx="19">
                  <c:v>2.9647132218E-2</c:v>
                </c:pt>
                <c:pt idx="20">
                  <c:v>2.8828004678999999E-2</c:v>
                </c:pt>
                <c:pt idx="21">
                  <c:v>2.7216173070000002E-2</c:v>
                </c:pt>
                <c:pt idx="22">
                  <c:v>2.4811637391000001E-2</c:v>
                </c:pt>
                <c:pt idx="23">
                  <c:v>2.2803453747000001E-2</c:v>
                </c:pt>
                <c:pt idx="24">
                  <c:v>2.0715999696E-2</c:v>
                </c:pt>
                <c:pt idx="25">
                  <c:v>1.8707816052E-2</c:v>
                </c:pt>
                <c:pt idx="26">
                  <c:v>1.6963867098000001E-2</c:v>
                </c:pt>
                <c:pt idx="27">
                  <c:v>1.506137733E-2</c:v>
                </c:pt>
                <c:pt idx="28">
                  <c:v>1.3634510003999999E-2</c:v>
                </c:pt>
                <c:pt idx="29">
                  <c:v>1.2709688589E-2</c:v>
                </c:pt>
                <c:pt idx="30">
                  <c:v>1.1837714112E-2</c:v>
                </c:pt>
                <c:pt idx="31">
                  <c:v>1.1071433511E-2</c:v>
                </c:pt>
                <c:pt idx="32">
                  <c:v>1.0067341689E-2</c:v>
                </c:pt>
                <c:pt idx="33">
                  <c:v>8.799015177E-3</c:v>
                </c:pt>
                <c:pt idx="34">
                  <c:v>8.0855815140000002E-3</c:v>
                </c:pt>
                <c:pt idx="35">
                  <c:v>7.1607600989999996E-3</c:v>
                </c:pt>
                <c:pt idx="36">
                  <c:v>6.3416325600000002E-3</c:v>
                </c:pt>
                <c:pt idx="37">
                  <c:v>5.6017754279999998E-3</c:v>
                </c:pt>
                <c:pt idx="38">
                  <c:v>5.099729517E-3</c:v>
                </c:pt>
                <c:pt idx="39">
                  <c:v>4.6505305440000004E-3</c:v>
                </c:pt>
                <c:pt idx="40">
                  <c:v>4.5184131990000003E-3</c:v>
                </c:pt>
                <c:pt idx="41">
                  <c:v>4.333448916E-3</c:v>
                </c:pt>
                <c:pt idx="42">
                  <c:v>4.0692142259999998E-3</c:v>
                </c:pt>
                <c:pt idx="43">
                  <c:v>3.6464387219999998E-3</c:v>
                </c:pt>
                <c:pt idx="44">
                  <c:v>2.9858519969999998E-3</c:v>
                </c:pt>
                <c:pt idx="45">
                  <c:v>2.4045356790000001E-3</c:v>
                </c:pt>
                <c:pt idx="46">
                  <c:v>1.8232193609999999E-3</c:v>
                </c:pt>
                <c:pt idx="47">
                  <c:v>1.1097856979999999E-3</c:v>
                </c:pt>
                <c:pt idx="48">
                  <c:v>5.2846938000000005E-4</c:v>
                </c:pt>
              </c:numCache>
            </c:numRef>
          </c:yVal>
          <c:smooth val="1"/>
        </c:ser>
        <c:ser>
          <c:idx val="3"/>
          <c:order val="3"/>
          <c:spPr>
            <a:ln w="19050">
              <a:solidFill>
                <a:srgbClr val="FF0000"/>
              </a:solidFill>
              <a:prstDash val="sysDot"/>
            </a:ln>
          </c:spPr>
          <c:marker>
            <c:symbol val="none"/>
          </c:marker>
          <c:xVal>
            <c:numRef>
              <c:f>Sheet1!$M$16:$M$64</c:f>
              <c:numCache>
                <c:formatCode>General</c:formatCode>
                <c:ptCount val="49"/>
                <c:pt idx="0">
                  <c:v>0</c:v>
                </c:pt>
                <c:pt idx="1">
                  <c:v>5.2756350000000003</c:v>
                </c:pt>
                <c:pt idx="2">
                  <c:v>31.660453</c:v>
                </c:pt>
                <c:pt idx="3">
                  <c:v>58.045270000000002</c:v>
                </c:pt>
                <c:pt idx="4">
                  <c:v>84.430087999999998</c:v>
                </c:pt>
                <c:pt idx="5">
                  <c:v>110.814905</c:v>
                </c:pt>
                <c:pt idx="6">
                  <c:v>137.19972300000001</c:v>
                </c:pt>
                <c:pt idx="7">
                  <c:v>163.584541</c:v>
                </c:pt>
                <c:pt idx="8">
                  <c:v>189.969358</c:v>
                </c:pt>
                <c:pt idx="9">
                  <c:v>216.354176</c:v>
                </c:pt>
                <c:pt idx="10">
                  <c:v>242.73899299999999</c:v>
                </c:pt>
                <c:pt idx="11">
                  <c:v>269.12381099999999</c:v>
                </c:pt>
                <c:pt idx="12">
                  <c:v>295.50862799999999</c:v>
                </c:pt>
                <c:pt idx="13">
                  <c:v>321.89344599999998</c:v>
                </c:pt>
                <c:pt idx="14">
                  <c:v>348.27826299999998</c:v>
                </c:pt>
                <c:pt idx="15">
                  <c:v>374.66308099999998</c:v>
                </c:pt>
                <c:pt idx="16">
                  <c:v>401.04789899999997</c:v>
                </c:pt>
                <c:pt idx="17">
                  <c:v>427.43271600000003</c:v>
                </c:pt>
                <c:pt idx="18">
                  <c:v>453.81753400000002</c:v>
                </c:pt>
                <c:pt idx="19">
                  <c:v>480.20235100000002</c:v>
                </c:pt>
                <c:pt idx="20">
                  <c:v>506.58716900000002</c:v>
                </c:pt>
                <c:pt idx="21">
                  <c:v>532.97198600000002</c:v>
                </c:pt>
                <c:pt idx="22">
                  <c:v>559.35680400000001</c:v>
                </c:pt>
                <c:pt idx="23">
                  <c:v>585.74162200000001</c:v>
                </c:pt>
                <c:pt idx="24">
                  <c:v>612.126439</c:v>
                </c:pt>
                <c:pt idx="25">
                  <c:v>638.511257</c:v>
                </c:pt>
                <c:pt idx="26">
                  <c:v>664.896074</c:v>
                </c:pt>
                <c:pt idx="27">
                  <c:v>691.28089199999999</c:v>
                </c:pt>
                <c:pt idx="28">
                  <c:v>717.66570899999999</c:v>
                </c:pt>
                <c:pt idx="29">
                  <c:v>744.05052699999999</c:v>
                </c:pt>
                <c:pt idx="30">
                  <c:v>770.43534399999999</c:v>
                </c:pt>
                <c:pt idx="31">
                  <c:v>796.82016199999998</c:v>
                </c:pt>
                <c:pt idx="32">
                  <c:v>823.20497999999998</c:v>
                </c:pt>
                <c:pt idx="33">
                  <c:v>849.58979699999998</c:v>
                </c:pt>
                <c:pt idx="34">
                  <c:v>875.97461499999997</c:v>
                </c:pt>
                <c:pt idx="35">
                  <c:v>902.35943199999997</c:v>
                </c:pt>
                <c:pt idx="36">
                  <c:v>928.74424999999997</c:v>
                </c:pt>
                <c:pt idx="37">
                  <c:v>955.12906699999996</c:v>
                </c:pt>
                <c:pt idx="38">
                  <c:v>981.51388499999996</c:v>
                </c:pt>
                <c:pt idx="39">
                  <c:v>1007.898702</c:v>
                </c:pt>
                <c:pt idx="40">
                  <c:v>1034.28352</c:v>
                </c:pt>
                <c:pt idx="41">
                  <c:v>1060.6683379999999</c:v>
                </c:pt>
                <c:pt idx="42">
                  <c:v>1087.0531550000001</c:v>
                </c:pt>
                <c:pt idx="43">
                  <c:v>1113.4379730000001</c:v>
                </c:pt>
                <c:pt idx="44">
                  <c:v>1139.8227899999999</c:v>
                </c:pt>
                <c:pt idx="45">
                  <c:v>1166.2076079999999</c:v>
                </c:pt>
                <c:pt idx="46">
                  <c:v>1192.592425</c:v>
                </c:pt>
                <c:pt idx="47">
                  <c:v>1218.977243</c:v>
                </c:pt>
                <c:pt idx="48">
                  <c:v>1245.362061</c:v>
                </c:pt>
              </c:numCache>
            </c:numRef>
          </c:xVal>
          <c:yVal>
            <c:numRef>
              <c:f>Sheet1!$P$16:$P$64</c:f>
              <c:numCache>
                <c:formatCode>0.000</c:formatCode>
                <c:ptCount val="49"/>
                <c:pt idx="0">
                  <c:v>0</c:v>
                </c:pt>
                <c:pt idx="1">
                  <c:v>1.5725351528E-2</c:v>
                </c:pt>
                <c:pt idx="2">
                  <c:v>2.3482488019999997E-2</c:v>
                </c:pt>
                <c:pt idx="3">
                  <c:v>3.1345163783999999E-2</c:v>
                </c:pt>
                <c:pt idx="4">
                  <c:v>3.7519211195999998E-2</c:v>
                </c:pt>
                <c:pt idx="5">
                  <c:v>4.1292240170000001E-2</c:v>
                </c:pt>
                <c:pt idx="6">
                  <c:v>4.1529703532000001E-2</c:v>
                </c:pt>
                <c:pt idx="7">
                  <c:v>4.0289617085999999E-2</c:v>
                </c:pt>
                <c:pt idx="8">
                  <c:v>3.8046907555999994E-2</c:v>
                </c:pt>
                <c:pt idx="9">
                  <c:v>3.5988891751999999E-2</c:v>
                </c:pt>
                <c:pt idx="10">
                  <c:v>3.3614258131999995E-2</c:v>
                </c:pt>
                <c:pt idx="11">
                  <c:v>3.2321402049999996E-2</c:v>
                </c:pt>
                <c:pt idx="12">
                  <c:v>3.2268632413999999E-2</c:v>
                </c:pt>
                <c:pt idx="13">
                  <c:v>3.2110323506000002E-2</c:v>
                </c:pt>
                <c:pt idx="14">
                  <c:v>3.2374171686E-2</c:v>
                </c:pt>
                <c:pt idx="15">
                  <c:v>3.2295017231999998E-2</c:v>
                </c:pt>
                <c:pt idx="16">
                  <c:v>3.2506095775999999E-2</c:v>
                </c:pt>
                <c:pt idx="17">
                  <c:v>3.2295017231999998E-2</c:v>
                </c:pt>
                <c:pt idx="18">
                  <c:v>3.1714551235999998E-2</c:v>
                </c:pt>
                <c:pt idx="19">
                  <c:v>3.0580004062E-2</c:v>
                </c:pt>
                <c:pt idx="20">
                  <c:v>2.9207993525999995E-2</c:v>
                </c:pt>
                <c:pt idx="21">
                  <c:v>2.8126215988000001E-2</c:v>
                </c:pt>
                <c:pt idx="22">
                  <c:v>2.6780590270000001E-2</c:v>
                </c:pt>
                <c:pt idx="23">
                  <c:v>2.5540503823999999E-2</c:v>
                </c:pt>
                <c:pt idx="24">
                  <c:v>2.4168493288000002E-2</c:v>
                </c:pt>
                <c:pt idx="25">
                  <c:v>2.3007561296000002E-2</c:v>
                </c:pt>
                <c:pt idx="26">
                  <c:v>2.1450857034000001E-2</c:v>
                </c:pt>
                <c:pt idx="27">
                  <c:v>1.9524765319999998E-2</c:v>
                </c:pt>
                <c:pt idx="28">
                  <c:v>1.7756982514E-2</c:v>
                </c:pt>
                <c:pt idx="29">
                  <c:v>1.5830890799999997E-2</c:v>
                </c:pt>
                <c:pt idx="30">
                  <c:v>1.4696343625999999E-2</c:v>
                </c:pt>
                <c:pt idx="31">
                  <c:v>1.3799259814000001E-2</c:v>
                </c:pt>
                <c:pt idx="32">
                  <c:v>1.2717482275999999E-2</c:v>
                </c:pt>
                <c:pt idx="33">
                  <c:v>1.1635704738E-2</c:v>
                </c:pt>
                <c:pt idx="34">
                  <c:v>1.042200311E-2</c:v>
                </c:pt>
                <c:pt idx="35">
                  <c:v>9.155531845999999E-3</c:v>
                </c:pt>
                <c:pt idx="36">
                  <c:v>8.0473694899999993E-3</c:v>
                </c:pt>
                <c:pt idx="37">
                  <c:v>7.2030553140000004E-3</c:v>
                </c:pt>
                <c:pt idx="38">
                  <c:v>6.3587411379999997E-3</c:v>
                </c:pt>
                <c:pt idx="39">
                  <c:v>5.8046599599999998E-3</c:v>
                </c:pt>
                <c:pt idx="40">
                  <c:v>5.3297332359999996E-3</c:v>
                </c:pt>
                <c:pt idx="41">
                  <c:v>4.6437279679999999E-3</c:v>
                </c:pt>
                <c:pt idx="42">
                  <c:v>4.0368771539999997E-3</c:v>
                </c:pt>
                <c:pt idx="43">
                  <c:v>3.4036415219999999E-3</c:v>
                </c:pt>
                <c:pt idx="44">
                  <c:v>3.0078692520000001E-3</c:v>
                </c:pt>
                <c:pt idx="45">
                  <c:v>2.4801728919999996E-3</c:v>
                </c:pt>
                <c:pt idx="46">
                  <c:v>1.9788613499999996E-3</c:v>
                </c:pt>
                <c:pt idx="47">
                  <c:v>1.4247801719999998E-3</c:v>
                </c:pt>
                <c:pt idx="48">
                  <c:v>8.9708381199999992E-4</c:v>
                </c:pt>
              </c:numCache>
            </c:numRef>
          </c:yVal>
          <c:smooth val="1"/>
        </c:ser>
        <c:ser>
          <c:idx val="4"/>
          <c:order val="4"/>
          <c:spPr>
            <a:ln w="31750">
              <a:solidFill>
                <a:srgbClr val="C00000"/>
              </a:solidFill>
              <a:prstDash val="solid"/>
            </a:ln>
          </c:spPr>
          <c:marker>
            <c:symbol val="none"/>
          </c:marker>
          <c:xVal>
            <c:numRef>
              <c:f>Sheet1!$Q$16:$Q$64</c:f>
              <c:numCache>
                <c:formatCode>General</c:formatCode>
                <c:ptCount val="49"/>
                <c:pt idx="0">
                  <c:v>0</c:v>
                </c:pt>
                <c:pt idx="1">
                  <c:v>11.998981000000001</c:v>
                </c:pt>
                <c:pt idx="2">
                  <c:v>38.250971</c:v>
                </c:pt>
                <c:pt idx="3">
                  <c:v>64.502960999999999</c:v>
                </c:pt>
                <c:pt idx="4">
                  <c:v>90.754952000000003</c:v>
                </c:pt>
                <c:pt idx="5">
                  <c:v>117.006942</c:v>
                </c:pt>
                <c:pt idx="6">
                  <c:v>143.25893300000001</c:v>
                </c:pt>
                <c:pt idx="7">
                  <c:v>169.51092299999999</c:v>
                </c:pt>
                <c:pt idx="8">
                  <c:v>195.762913</c:v>
                </c:pt>
                <c:pt idx="9">
                  <c:v>222.014904</c:v>
                </c:pt>
                <c:pt idx="10">
                  <c:v>248.26689400000001</c:v>
                </c:pt>
                <c:pt idx="11">
                  <c:v>274.51888500000001</c:v>
                </c:pt>
                <c:pt idx="12">
                  <c:v>300.77087499999999</c:v>
                </c:pt>
                <c:pt idx="13">
                  <c:v>327.02286500000002</c:v>
                </c:pt>
                <c:pt idx="14">
                  <c:v>353.274856</c:v>
                </c:pt>
                <c:pt idx="15">
                  <c:v>379.52684599999998</c:v>
                </c:pt>
                <c:pt idx="16">
                  <c:v>405.77883700000001</c:v>
                </c:pt>
                <c:pt idx="17">
                  <c:v>432.03082699999999</c:v>
                </c:pt>
                <c:pt idx="18">
                  <c:v>458.28281700000002</c:v>
                </c:pt>
                <c:pt idx="19">
                  <c:v>484.534808</c:v>
                </c:pt>
                <c:pt idx="20">
                  <c:v>510.78679799999998</c:v>
                </c:pt>
                <c:pt idx="21">
                  <c:v>537.03878899999995</c:v>
                </c:pt>
                <c:pt idx="22">
                  <c:v>563.29077900000004</c:v>
                </c:pt>
                <c:pt idx="23">
                  <c:v>589.54276900000002</c:v>
                </c:pt>
                <c:pt idx="24">
                  <c:v>615.79476</c:v>
                </c:pt>
                <c:pt idx="25">
                  <c:v>642.04674999999997</c:v>
                </c:pt>
                <c:pt idx="26">
                  <c:v>668.29874099999995</c:v>
                </c:pt>
                <c:pt idx="27">
                  <c:v>694.55073100000004</c:v>
                </c:pt>
                <c:pt idx="28">
                  <c:v>720.80272100000002</c:v>
                </c:pt>
                <c:pt idx="29">
                  <c:v>747.05471199999999</c:v>
                </c:pt>
                <c:pt idx="30">
                  <c:v>773.30670199999997</c:v>
                </c:pt>
                <c:pt idx="31">
                  <c:v>799.55869299999995</c:v>
                </c:pt>
                <c:pt idx="32">
                  <c:v>825.81068300000004</c:v>
                </c:pt>
                <c:pt idx="33">
                  <c:v>852.06267300000002</c:v>
                </c:pt>
                <c:pt idx="34">
                  <c:v>878.31466399999999</c:v>
                </c:pt>
                <c:pt idx="35">
                  <c:v>904.56665399999997</c:v>
                </c:pt>
                <c:pt idx="36">
                  <c:v>930.81864499999995</c:v>
                </c:pt>
                <c:pt idx="37">
                  <c:v>957.07063500000004</c:v>
                </c:pt>
                <c:pt idx="38">
                  <c:v>983.32262500000002</c:v>
                </c:pt>
                <c:pt idx="39">
                  <c:v>1009.574616</c:v>
                </c:pt>
                <c:pt idx="40">
                  <c:v>1035.8266060000001</c:v>
                </c:pt>
                <c:pt idx="41">
                  <c:v>1062.0785969999999</c:v>
                </c:pt>
                <c:pt idx="42">
                  <c:v>1088.3305869999999</c:v>
                </c:pt>
                <c:pt idx="43">
                  <c:v>1114.5825769999999</c:v>
                </c:pt>
                <c:pt idx="44">
                  <c:v>1140.834568</c:v>
                </c:pt>
                <c:pt idx="45">
                  <c:v>1167.086558</c:v>
                </c:pt>
                <c:pt idx="46">
                  <c:v>1193.3385490000001</c:v>
                </c:pt>
                <c:pt idx="47">
                  <c:v>1219.590539</c:v>
                </c:pt>
                <c:pt idx="48">
                  <c:v>1245.842529</c:v>
                </c:pt>
              </c:numCache>
            </c:numRef>
          </c:xVal>
          <c:yVal>
            <c:numRef>
              <c:f>Sheet1!$T$16:$T$64</c:f>
              <c:numCache>
                <c:formatCode>0.000</c:formatCode>
                <c:ptCount val="49"/>
                <c:pt idx="0">
                  <c:v>0</c:v>
                </c:pt>
                <c:pt idx="1">
                  <c:v>1.275846714E-2</c:v>
                </c:pt>
                <c:pt idx="2">
                  <c:v>1.9662740509999999E-2</c:v>
                </c:pt>
                <c:pt idx="3">
                  <c:v>2.6015722089999999E-2</c:v>
                </c:pt>
                <c:pt idx="4">
                  <c:v>3.0609820339999996E-2</c:v>
                </c:pt>
                <c:pt idx="5">
                  <c:v>3.3523791229999995E-2</c:v>
                </c:pt>
                <c:pt idx="6">
                  <c:v>3.4258846949999998E-2</c:v>
                </c:pt>
                <c:pt idx="7">
                  <c:v>3.3523791229999995E-2</c:v>
                </c:pt>
                <c:pt idx="8">
                  <c:v>3.1896167849999997E-2</c:v>
                </c:pt>
                <c:pt idx="9">
                  <c:v>3.07148283E-2</c:v>
                </c:pt>
                <c:pt idx="10">
                  <c:v>3.053106437E-2</c:v>
                </c:pt>
                <c:pt idx="11">
                  <c:v>3.0872340239999997E-2</c:v>
                </c:pt>
                <c:pt idx="12">
                  <c:v>3.0977348200000001E-2</c:v>
                </c:pt>
                <c:pt idx="13">
                  <c:v>3.1449884019999999E-2</c:v>
                </c:pt>
                <c:pt idx="14">
                  <c:v>3.2473711629999999E-2</c:v>
                </c:pt>
                <c:pt idx="15">
                  <c:v>3.3313775309999995E-2</c:v>
                </c:pt>
                <c:pt idx="16">
                  <c:v>3.3523791229999995E-2</c:v>
                </c:pt>
                <c:pt idx="17">
                  <c:v>3.2919995459999997E-2</c:v>
                </c:pt>
                <c:pt idx="18">
                  <c:v>3.284123949E-2</c:v>
                </c:pt>
                <c:pt idx="19">
                  <c:v>3.1502387999999999E-2</c:v>
                </c:pt>
                <c:pt idx="20">
                  <c:v>2.9927268599999998E-2</c:v>
                </c:pt>
                <c:pt idx="21">
                  <c:v>2.8640921089999997E-2</c:v>
                </c:pt>
                <c:pt idx="22">
                  <c:v>2.8798433030000001E-2</c:v>
                </c:pt>
                <c:pt idx="23">
                  <c:v>2.86146691E-2</c:v>
                </c:pt>
                <c:pt idx="24">
                  <c:v>2.8089629299999998E-2</c:v>
                </c:pt>
                <c:pt idx="25">
                  <c:v>2.6278241989999996E-2</c:v>
                </c:pt>
                <c:pt idx="26">
                  <c:v>2.4808130549999998E-2</c:v>
                </c:pt>
                <c:pt idx="27">
                  <c:v>2.2681719359999998E-2</c:v>
                </c:pt>
                <c:pt idx="28">
                  <c:v>2.0371544240000001E-2</c:v>
                </c:pt>
                <c:pt idx="29">
                  <c:v>1.793010917E-2</c:v>
                </c:pt>
                <c:pt idx="30">
                  <c:v>1.6354989769999998E-2</c:v>
                </c:pt>
                <c:pt idx="31">
                  <c:v>1.5173650219999998E-2</c:v>
                </c:pt>
                <c:pt idx="32">
                  <c:v>1.430733455E-2</c:v>
                </c:pt>
                <c:pt idx="33">
                  <c:v>1.3572278829999999E-2</c:v>
                </c:pt>
                <c:pt idx="34">
                  <c:v>1.265345918E-2</c:v>
                </c:pt>
                <c:pt idx="35">
                  <c:v>1.1445867640000001E-2</c:v>
                </c:pt>
                <c:pt idx="36">
                  <c:v>1.0737063910000001E-2</c:v>
                </c:pt>
                <c:pt idx="37">
                  <c:v>1.018577212E-2</c:v>
                </c:pt>
                <c:pt idx="38">
                  <c:v>9.5819763499999985E-3</c:v>
                </c:pt>
                <c:pt idx="39">
                  <c:v>8.7156606799999991E-3</c:v>
                </c:pt>
                <c:pt idx="40">
                  <c:v>8.0068569500000002E-3</c:v>
                </c:pt>
                <c:pt idx="41">
                  <c:v>7.0617853099999989E-3</c:v>
                </c:pt>
                <c:pt idx="42">
                  <c:v>6.2742256099999998E-3</c:v>
                </c:pt>
                <c:pt idx="43">
                  <c:v>5.30290198E-3</c:v>
                </c:pt>
                <c:pt idx="44">
                  <c:v>4.1478144199999997E-3</c:v>
                </c:pt>
                <c:pt idx="45">
                  <c:v>2.8089629300000001E-3</c:v>
                </c:pt>
                <c:pt idx="46">
                  <c:v>1.8901432799999999E-3</c:v>
                </c:pt>
                <c:pt idx="47">
                  <c:v>1.0763315900000001E-3</c:v>
                </c:pt>
                <c:pt idx="48">
                  <c:v>5.2503979999999999E-4</c:v>
                </c:pt>
              </c:numCache>
            </c:numRef>
          </c:yVal>
          <c:smooth val="1"/>
        </c:ser>
        <c:dLbls>
          <c:showLegendKey val="0"/>
          <c:showVal val="0"/>
          <c:showCatName val="0"/>
          <c:showSerName val="0"/>
          <c:showPercent val="0"/>
          <c:showBubbleSize val="0"/>
        </c:dLbls>
        <c:axId val="244835840"/>
        <c:axId val="244837760"/>
      </c:scatterChart>
      <c:valAx>
        <c:axId val="244835840"/>
        <c:scaling>
          <c:orientation val="minMax"/>
        </c:scaling>
        <c:delete val="0"/>
        <c:axPos val="b"/>
        <c:title>
          <c:tx>
            <c:rich>
              <a:bodyPr/>
              <a:lstStyle/>
              <a:p>
                <a:pPr>
                  <a:defRPr b="0">
                    <a:latin typeface="Arial" pitchFamily="34" charset="0"/>
                    <a:cs typeface="Arial" pitchFamily="34" charset="0"/>
                  </a:defRPr>
                </a:pPr>
                <a:r>
                  <a:rPr lang="en-US" b="0">
                    <a:latin typeface="Arial" pitchFamily="34" charset="0"/>
                    <a:cs typeface="Arial" pitchFamily="34" charset="0"/>
                  </a:rPr>
                  <a:t>$ (2011-12) per week</a:t>
                </a:r>
              </a:p>
            </c:rich>
          </c:tx>
          <c:overlay val="0"/>
        </c:title>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244837760"/>
        <c:crosses val="autoZero"/>
        <c:crossBetween val="midCat"/>
      </c:valAx>
      <c:valAx>
        <c:axId val="244837760"/>
        <c:scaling>
          <c:orientation val="minMax"/>
          <c:max val="0.1"/>
        </c:scaling>
        <c:delete val="0"/>
        <c:axPos val="l"/>
        <c:majorGridlines/>
        <c:numFmt formatCode="0.00" sourceLinked="0"/>
        <c:majorTickMark val="out"/>
        <c:minorTickMark val="none"/>
        <c:tickLblPos val="nextTo"/>
        <c:txPr>
          <a:bodyPr/>
          <a:lstStyle/>
          <a:p>
            <a:pPr>
              <a:defRPr sz="1000">
                <a:latin typeface="Arial" pitchFamily="34" charset="0"/>
                <a:cs typeface="Arial" pitchFamily="34" charset="0"/>
              </a:defRPr>
            </a:pPr>
            <a:endParaRPr lang="en-US"/>
          </a:p>
        </c:txPr>
        <c:crossAx val="244835840"/>
        <c:crosses val="autoZero"/>
        <c:crossBetween val="midCat"/>
        <c:majorUnit val="2.0000000000000004E-2"/>
      </c:valAx>
      <c:spPr>
        <a:solidFill>
          <a:schemeClr val="bg1"/>
        </a:solidFill>
      </c:spPr>
    </c:plotArea>
    <c:plotVisOnly val="1"/>
    <c:dispBlanksAs val="gap"/>
    <c:showDLblsOverMax val="0"/>
  </c:chart>
  <c:spPr>
    <a:ln>
      <a:noFill/>
    </a:ln>
  </c:spPr>
  <c:externalData r:id="rId1">
    <c:autoUpdate val="0"/>
  </c:externalData>
  <c:userShapes r:id="rId2"/>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2074509204867909E-2"/>
          <c:y val="3.4996130624555422E-2"/>
          <c:w val="0.88352809991905568"/>
          <c:h val="0.71131410771455761"/>
        </c:manualLayout>
      </c:layout>
      <c:scatterChart>
        <c:scatterStyle val="smoothMarker"/>
        <c:varyColors val="0"/>
        <c:ser>
          <c:idx val="0"/>
          <c:order val="0"/>
          <c:tx>
            <c:v>1988-89</c:v>
          </c:tx>
          <c:spPr>
            <a:ln>
              <a:solidFill>
                <a:schemeClr val="accent1">
                  <a:lumMod val="75000"/>
                </a:schemeClr>
              </a:solidFill>
              <a:prstDash val="dash"/>
            </a:ln>
          </c:spPr>
          <c:marker>
            <c:symbol val="none"/>
          </c:marker>
          <c:xVal>
            <c:numRef>
              <c:f>Sheet1!$A$15:$A$63</c:f>
              <c:numCache>
                <c:formatCode>General</c:formatCode>
                <c:ptCount val="49"/>
                <c:pt idx="0">
                  <c:v>-923.11251400000003</c:v>
                </c:pt>
                <c:pt idx="1">
                  <c:v>-843.19402200000002</c:v>
                </c:pt>
                <c:pt idx="2">
                  <c:v>-763.27553</c:v>
                </c:pt>
                <c:pt idx="3">
                  <c:v>-683.35703799999999</c:v>
                </c:pt>
                <c:pt idx="4">
                  <c:v>-603.43854599999997</c:v>
                </c:pt>
                <c:pt idx="5">
                  <c:v>-523.52005399999996</c:v>
                </c:pt>
                <c:pt idx="6">
                  <c:v>-443.601563</c:v>
                </c:pt>
                <c:pt idx="7">
                  <c:v>-363.68307099999998</c:v>
                </c:pt>
                <c:pt idx="8">
                  <c:v>-283.76457900000003</c:v>
                </c:pt>
                <c:pt idx="9">
                  <c:v>-203.84608700000001</c:v>
                </c:pt>
                <c:pt idx="10">
                  <c:v>-123.927595</c:v>
                </c:pt>
                <c:pt idx="11">
                  <c:v>-44.009103000000003</c:v>
                </c:pt>
                <c:pt idx="12">
                  <c:v>35.909388999999997</c:v>
                </c:pt>
                <c:pt idx="13">
                  <c:v>115.827881</c:v>
                </c:pt>
                <c:pt idx="14">
                  <c:v>195.74637300000001</c:v>
                </c:pt>
                <c:pt idx="15">
                  <c:v>275.66486500000002</c:v>
                </c:pt>
                <c:pt idx="16">
                  <c:v>355.58335699999998</c:v>
                </c:pt>
                <c:pt idx="17">
                  <c:v>435.501848</c:v>
                </c:pt>
                <c:pt idx="18">
                  <c:v>515.42034000000001</c:v>
                </c:pt>
                <c:pt idx="19">
                  <c:v>595.33883200000002</c:v>
                </c:pt>
                <c:pt idx="20">
                  <c:v>675.25732400000004</c:v>
                </c:pt>
                <c:pt idx="21">
                  <c:v>755.17581600000005</c:v>
                </c:pt>
                <c:pt idx="22">
                  <c:v>835.09430799999996</c:v>
                </c:pt>
                <c:pt idx="23">
                  <c:v>915.01279999999997</c:v>
                </c:pt>
                <c:pt idx="24">
                  <c:v>994.93129199999998</c:v>
                </c:pt>
                <c:pt idx="25">
                  <c:v>1074.849784</c:v>
                </c:pt>
                <c:pt idx="26">
                  <c:v>1154.768276</c:v>
                </c:pt>
                <c:pt idx="27">
                  <c:v>1234.686768</c:v>
                </c:pt>
                <c:pt idx="28">
                  <c:v>1314.6052589999999</c:v>
                </c:pt>
                <c:pt idx="29">
                  <c:v>1394.5237509999999</c:v>
                </c:pt>
                <c:pt idx="30">
                  <c:v>1474.442243</c:v>
                </c:pt>
                <c:pt idx="31">
                  <c:v>1554.360735</c:v>
                </c:pt>
                <c:pt idx="32">
                  <c:v>1634.279227</c:v>
                </c:pt>
                <c:pt idx="33">
                  <c:v>1714.197719</c:v>
                </c:pt>
                <c:pt idx="34">
                  <c:v>1794.116211</c:v>
                </c:pt>
                <c:pt idx="35">
                  <c:v>1874.034703</c:v>
                </c:pt>
                <c:pt idx="36">
                  <c:v>1953.9531950000001</c:v>
                </c:pt>
                <c:pt idx="37">
                  <c:v>2033.8716870000001</c:v>
                </c:pt>
                <c:pt idx="38">
                  <c:v>2113.7901790000001</c:v>
                </c:pt>
                <c:pt idx="39">
                  <c:v>2193.70867</c:v>
                </c:pt>
                <c:pt idx="40">
                  <c:v>2273.6271620000002</c:v>
                </c:pt>
                <c:pt idx="41">
                  <c:v>2353.545654</c:v>
                </c:pt>
                <c:pt idx="42">
                  <c:v>2433.4641459999998</c:v>
                </c:pt>
                <c:pt idx="43">
                  <c:v>2513.382638</c:v>
                </c:pt>
                <c:pt idx="44">
                  <c:v>2593.3011299999998</c:v>
                </c:pt>
                <c:pt idx="45">
                  <c:v>2673.2196220000001</c:v>
                </c:pt>
                <c:pt idx="46">
                  <c:v>2753.1381139999999</c:v>
                </c:pt>
                <c:pt idx="47">
                  <c:v>2833.0566060000001</c:v>
                </c:pt>
                <c:pt idx="48">
                  <c:v>2912.9750979999999</c:v>
                </c:pt>
              </c:numCache>
            </c:numRef>
          </c:xVal>
          <c:yVal>
            <c:numRef>
              <c:f>Sheet1!$D$15:$D$63</c:f>
              <c:numCache>
                <c:formatCode>0.0000</c:formatCode>
                <c:ptCount val="49"/>
                <c:pt idx="0">
                  <c:v>4.7951095200000009E-4</c:v>
                </c:pt>
                <c:pt idx="1">
                  <c:v>1.5983698400000003E-4</c:v>
                </c:pt>
                <c:pt idx="2">
                  <c:v>5.5942944400000014E-4</c:v>
                </c:pt>
                <c:pt idx="3">
                  <c:v>4.7951095200000009E-4</c:v>
                </c:pt>
                <c:pt idx="4">
                  <c:v>2.6373102360000007E-3</c:v>
                </c:pt>
                <c:pt idx="5">
                  <c:v>3.596332140000001E-3</c:v>
                </c:pt>
                <c:pt idx="6">
                  <c:v>1.1188588880000003E-3</c:v>
                </c:pt>
                <c:pt idx="7">
                  <c:v>6.3934793600000013E-4</c:v>
                </c:pt>
                <c:pt idx="8">
                  <c:v>2.8770657120000005E-3</c:v>
                </c:pt>
                <c:pt idx="9">
                  <c:v>5.5942944400000005E-3</c:v>
                </c:pt>
                <c:pt idx="10">
                  <c:v>1.2946795704000003E-2</c:v>
                </c:pt>
                <c:pt idx="11">
                  <c:v>3.1567804340000005E-2</c:v>
                </c:pt>
                <c:pt idx="12">
                  <c:v>4.9149872580000011E-2</c:v>
                </c:pt>
                <c:pt idx="13">
                  <c:v>6.2576179236000007E-2</c:v>
                </c:pt>
                <c:pt idx="14">
                  <c:v>7.911930708000002E-2</c:v>
                </c:pt>
                <c:pt idx="15">
                  <c:v>8.647180834400002E-2</c:v>
                </c:pt>
                <c:pt idx="16">
                  <c:v>9.1027162388000016E-2</c:v>
                </c:pt>
                <c:pt idx="17">
                  <c:v>9.5422679448000008E-2</c:v>
                </c:pt>
                <c:pt idx="18">
                  <c:v>8.2555802236000023E-2</c:v>
                </c:pt>
                <c:pt idx="19">
                  <c:v>7.0168435976000018E-2</c:v>
                </c:pt>
                <c:pt idx="20">
                  <c:v>6.4893815504000016E-2</c:v>
                </c:pt>
                <c:pt idx="21">
                  <c:v>5.3305634164000006E-2</c:v>
                </c:pt>
                <c:pt idx="22">
                  <c:v>3.9239979572000011E-2</c:v>
                </c:pt>
                <c:pt idx="23">
                  <c:v>2.8051390692000008E-2</c:v>
                </c:pt>
                <c:pt idx="24">
                  <c:v>1.9020601096000005E-2</c:v>
                </c:pt>
                <c:pt idx="25">
                  <c:v>2.0618970936000004E-2</c:v>
                </c:pt>
                <c:pt idx="26">
                  <c:v>1.9899704508000004E-2</c:v>
                </c:pt>
                <c:pt idx="27">
                  <c:v>1.1268507372000003E-2</c:v>
                </c:pt>
                <c:pt idx="28">
                  <c:v>1.1748018324000001E-2</c:v>
                </c:pt>
                <c:pt idx="29">
                  <c:v>9.9898115000000027E-3</c:v>
                </c:pt>
                <c:pt idx="30">
                  <c:v>5.5942944400000005E-3</c:v>
                </c:pt>
                <c:pt idx="31">
                  <c:v>3.4364951560000006E-3</c:v>
                </c:pt>
                <c:pt idx="32">
                  <c:v>4.3155985680000007E-3</c:v>
                </c:pt>
                <c:pt idx="33">
                  <c:v>4.3955170600000013E-3</c:v>
                </c:pt>
                <c:pt idx="34">
                  <c:v>3.1168211880000006E-3</c:v>
                </c:pt>
                <c:pt idx="35">
                  <c:v>3.1967396800000008E-3</c:v>
                </c:pt>
                <c:pt idx="36">
                  <c:v>1.9180438080000004E-3</c:v>
                </c:pt>
                <c:pt idx="37">
                  <c:v>1.3586143640000002E-3</c:v>
                </c:pt>
                <c:pt idx="38">
                  <c:v>6.3934793600000013E-4</c:v>
                </c:pt>
                <c:pt idx="39">
                  <c:v>1.9979623000000004E-3</c:v>
                </c:pt>
                <c:pt idx="40">
                  <c:v>1.9979623000000004E-3</c:v>
                </c:pt>
                <c:pt idx="41">
                  <c:v>1.5184513480000004E-3</c:v>
                </c:pt>
                <c:pt idx="42">
                  <c:v>1.6782883320000002E-3</c:v>
                </c:pt>
                <c:pt idx="43">
                  <c:v>3.9959246000000011E-4</c:v>
                </c:pt>
                <c:pt idx="44">
                  <c:v>6.3934793600000013E-4</c:v>
                </c:pt>
                <c:pt idx="45">
                  <c:v>1.5983698400000004E-3</c:v>
                </c:pt>
                <c:pt idx="46">
                  <c:v>1.1987773800000003E-3</c:v>
                </c:pt>
                <c:pt idx="47">
                  <c:v>4.7951095200000009E-4</c:v>
                </c:pt>
                <c:pt idx="48">
                  <c:v>3.9959246000000011E-4</c:v>
                </c:pt>
              </c:numCache>
            </c:numRef>
          </c:yVal>
          <c:smooth val="1"/>
        </c:ser>
        <c:ser>
          <c:idx val="1"/>
          <c:order val="1"/>
          <c:tx>
            <c:v>1993-94</c:v>
          </c:tx>
          <c:spPr>
            <a:ln w="19050">
              <a:solidFill>
                <a:schemeClr val="accent5"/>
              </a:solidFill>
              <a:prstDash val="sysDot"/>
            </a:ln>
          </c:spPr>
          <c:marker>
            <c:symbol val="none"/>
          </c:marker>
          <c:xVal>
            <c:numRef>
              <c:f>Sheet1!$E$15:$E$63</c:f>
              <c:numCache>
                <c:formatCode>General</c:formatCode>
                <c:ptCount val="49"/>
                <c:pt idx="0">
                  <c:v>-937.51169900000002</c:v>
                </c:pt>
                <c:pt idx="1">
                  <c:v>-854.73537299999998</c:v>
                </c:pt>
                <c:pt idx="2">
                  <c:v>-771.95904700000006</c:v>
                </c:pt>
                <c:pt idx="3">
                  <c:v>-689.18272100000002</c:v>
                </c:pt>
                <c:pt idx="4">
                  <c:v>-606.40639399999998</c:v>
                </c:pt>
                <c:pt idx="5">
                  <c:v>-523.63006800000005</c:v>
                </c:pt>
                <c:pt idx="6">
                  <c:v>-440.85374200000001</c:v>
                </c:pt>
                <c:pt idx="7">
                  <c:v>-358.07741600000003</c:v>
                </c:pt>
                <c:pt idx="8">
                  <c:v>-275.30108999999999</c:v>
                </c:pt>
                <c:pt idx="9">
                  <c:v>-192.524764</c:v>
                </c:pt>
                <c:pt idx="10">
                  <c:v>-109.74843799999999</c:v>
                </c:pt>
                <c:pt idx="11">
                  <c:v>-26.972111999999999</c:v>
                </c:pt>
                <c:pt idx="12">
                  <c:v>55.804214000000002</c:v>
                </c:pt>
                <c:pt idx="13">
                  <c:v>138.58054000000001</c:v>
                </c:pt>
                <c:pt idx="14">
                  <c:v>221.356866</c:v>
                </c:pt>
                <c:pt idx="15">
                  <c:v>304.13319200000001</c:v>
                </c:pt>
                <c:pt idx="16">
                  <c:v>386.90951799999999</c:v>
                </c:pt>
                <c:pt idx="17">
                  <c:v>469.68584499999997</c:v>
                </c:pt>
                <c:pt idx="18">
                  <c:v>552.46217100000001</c:v>
                </c:pt>
                <c:pt idx="19">
                  <c:v>635.23849700000005</c:v>
                </c:pt>
                <c:pt idx="20">
                  <c:v>718.01482299999998</c:v>
                </c:pt>
                <c:pt idx="21">
                  <c:v>800.79114900000002</c:v>
                </c:pt>
                <c:pt idx="22">
                  <c:v>883.56747499999994</c:v>
                </c:pt>
                <c:pt idx="23">
                  <c:v>966.34380099999998</c:v>
                </c:pt>
                <c:pt idx="24">
                  <c:v>1049.1201269999999</c:v>
                </c:pt>
                <c:pt idx="25">
                  <c:v>1131.8964530000001</c:v>
                </c:pt>
                <c:pt idx="26">
                  <c:v>1214.672779</c:v>
                </c:pt>
                <c:pt idx="27">
                  <c:v>1297.4491049999999</c:v>
                </c:pt>
                <c:pt idx="28">
                  <c:v>1380.2254310000001</c:v>
                </c:pt>
                <c:pt idx="29">
                  <c:v>1463.0017580000001</c:v>
                </c:pt>
                <c:pt idx="30">
                  <c:v>1545.778084</c:v>
                </c:pt>
                <c:pt idx="31">
                  <c:v>1628.55441</c:v>
                </c:pt>
                <c:pt idx="32">
                  <c:v>1711.3307359999999</c:v>
                </c:pt>
                <c:pt idx="33">
                  <c:v>1794.107062</c:v>
                </c:pt>
                <c:pt idx="34">
                  <c:v>1876.883388</c:v>
                </c:pt>
                <c:pt idx="35">
                  <c:v>1959.6597139999999</c:v>
                </c:pt>
                <c:pt idx="36">
                  <c:v>2042.43604</c:v>
                </c:pt>
                <c:pt idx="37">
                  <c:v>2125.2123660000002</c:v>
                </c:pt>
                <c:pt idx="38">
                  <c:v>2207.9886919999999</c:v>
                </c:pt>
                <c:pt idx="39">
                  <c:v>2290.7650180000001</c:v>
                </c:pt>
                <c:pt idx="40">
                  <c:v>2373.5413440000002</c:v>
                </c:pt>
                <c:pt idx="41">
                  <c:v>2456.3176709999998</c:v>
                </c:pt>
                <c:pt idx="42">
                  <c:v>2539.0939969999999</c:v>
                </c:pt>
                <c:pt idx="43">
                  <c:v>2621.8703230000001</c:v>
                </c:pt>
                <c:pt idx="44">
                  <c:v>2704.6466489999998</c:v>
                </c:pt>
                <c:pt idx="45">
                  <c:v>2787.422975</c:v>
                </c:pt>
                <c:pt idx="46">
                  <c:v>2870.1993010000001</c:v>
                </c:pt>
                <c:pt idx="47">
                  <c:v>2952.9756269999998</c:v>
                </c:pt>
                <c:pt idx="48">
                  <c:v>3035.751953</c:v>
                </c:pt>
              </c:numCache>
            </c:numRef>
          </c:xVal>
          <c:yVal>
            <c:numRef>
              <c:f>Sheet1!$H$15:$H$63</c:f>
              <c:numCache>
                <c:formatCode>0.0000</c:formatCode>
                <c:ptCount val="49"/>
                <c:pt idx="0">
                  <c:v>7.4498693400000039E-4</c:v>
                </c:pt>
                <c:pt idx="1">
                  <c:v>1.1588685640000005E-3</c:v>
                </c:pt>
                <c:pt idx="2">
                  <c:v>1.655526520000001E-3</c:v>
                </c:pt>
                <c:pt idx="3">
                  <c:v>4.3043689520000017E-3</c:v>
                </c:pt>
                <c:pt idx="4">
                  <c:v>5.877119146000003E-3</c:v>
                </c:pt>
                <c:pt idx="5">
                  <c:v>3.2282767140000015E-3</c:v>
                </c:pt>
                <c:pt idx="6">
                  <c:v>5.2976848640000022E-3</c:v>
                </c:pt>
                <c:pt idx="7">
                  <c:v>7.3670930140000033E-3</c:v>
                </c:pt>
                <c:pt idx="8">
                  <c:v>9.105395860000004E-3</c:v>
                </c:pt>
                <c:pt idx="9">
                  <c:v>1.2995883182000005E-2</c:v>
                </c:pt>
                <c:pt idx="10">
                  <c:v>2.069408150000001E-2</c:v>
                </c:pt>
                <c:pt idx="11">
                  <c:v>4.643751888600002E-2</c:v>
                </c:pt>
                <c:pt idx="12">
                  <c:v>7.1767074642000037E-2</c:v>
                </c:pt>
                <c:pt idx="13">
                  <c:v>8.0458588872000039E-2</c:v>
                </c:pt>
                <c:pt idx="14">
                  <c:v>9.2792261446000043E-2</c:v>
                </c:pt>
                <c:pt idx="15">
                  <c:v>0.10098711772000005</c:v>
                </c:pt>
                <c:pt idx="16">
                  <c:v>8.8818997798000038E-2</c:v>
                </c:pt>
                <c:pt idx="17">
                  <c:v>7.8223628070000037E-2</c:v>
                </c:pt>
                <c:pt idx="18">
                  <c:v>6.4399981628000036E-2</c:v>
                </c:pt>
                <c:pt idx="19">
                  <c:v>5.1486874772000028E-2</c:v>
                </c:pt>
                <c:pt idx="20">
                  <c:v>4.5940860930000028E-2</c:v>
                </c:pt>
                <c:pt idx="21">
                  <c:v>4.1305386674000022E-2</c:v>
                </c:pt>
                <c:pt idx="22">
                  <c:v>3.2448319792000017E-2</c:v>
                </c:pt>
                <c:pt idx="23">
                  <c:v>2.5164003104000014E-2</c:v>
                </c:pt>
                <c:pt idx="24">
                  <c:v>1.2913106856000006E-2</c:v>
                </c:pt>
                <c:pt idx="25">
                  <c:v>1.2664777878000006E-2</c:v>
                </c:pt>
                <c:pt idx="26">
                  <c:v>1.4320304398000007E-2</c:v>
                </c:pt>
                <c:pt idx="27">
                  <c:v>1.1257580336000005E-2</c:v>
                </c:pt>
                <c:pt idx="28">
                  <c:v>8.8570668820000045E-3</c:v>
                </c:pt>
                <c:pt idx="29">
                  <c:v>7.4498693400000043E-3</c:v>
                </c:pt>
                <c:pt idx="30">
                  <c:v>7.3670930140000033E-3</c:v>
                </c:pt>
                <c:pt idx="31">
                  <c:v>6.2082244500000026E-3</c:v>
                </c:pt>
                <c:pt idx="32">
                  <c:v>2.4005134540000012E-3</c:v>
                </c:pt>
                <c:pt idx="33">
                  <c:v>1.655526520000001E-3</c:v>
                </c:pt>
                <c:pt idx="34">
                  <c:v>3.4766056920000014E-3</c:v>
                </c:pt>
                <c:pt idx="35">
                  <c:v>3.311053040000002E-3</c:v>
                </c:pt>
                <c:pt idx="36">
                  <c:v>2.3177371280000011E-3</c:v>
                </c:pt>
                <c:pt idx="37">
                  <c:v>2.8143950840000013E-3</c:v>
                </c:pt>
                <c:pt idx="38">
                  <c:v>2.3177371280000011E-3</c:v>
                </c:pt>
                <c:pt idx="39">
                  <c:v>1.2416448900000006E-3</c:v>
                </c:pt>
                <c:pt idx="40">
                  <c:v>1.5727501940000009E-3</c:v>
                </c:pt>
                <c:pt idx="41">
                  <c:v>9.105395860000004E-4</c:v>
                </c:pt>
                <c:pt idx="42">
                  <c:v>1.6555265200000007E-4</c:v>
                </c:pt>
                <c:pt idx="43">
                  <c:v>4.9665795600000026E-4</c:v>
                </c:pt>
                <c:pt idx="44">
                  <c:v>4.9665795600000026E-4</c:v>
                </c:pt>
                <c:pt idx="45">
                  <c:v>6.6221060800000027E-4</c:v>
                </c:pt>
                <c:pt idx="46">
                  <c:v>1.5727501940000009E-3</c:v>
                </c:pt>
                <c:pt idx="47">
                  <c:v>2.3177371280000011E-3</c:v>
                </c:pt>
                <c:pt idx="48">
                  <c:v>9.105395860000004E-4</c:v>
                </c:pt>
              </c:numCache>
            </c:numRef>
          </c:yVal>
          <c:smooth val="1"/>
        </c:ser>
        <c:ser>
          <c:idx val="2"/>
          <c:order val="2"/>
          <c:tx>
            <c:v>1998-99</c:v>
          </c:tx>
          <c:spPr>
            <a:ln w="19050">
              <a:solidFill>
                <a:schemeClr val="accent4">
                  <a:lumMod val="75000"/>
                </a:schemeClr>
              </a:solidFill>
              <a:prstDash val="sysDot"/>
            </a:ln>
          </c:spPr>
          <c:marker>
            <c:symbol val="none"/>
          </c:marker>
          <c:xVal>
            <c:numRef>
              <c:f>Sheet1!$I$15:$I$63</c:f>
              <c:numCache>
                <c:formatCode>General</c:formatCode>
                <c:ptCount val="49"/>
                <c:pt idx="0">
                  <c:v>-861.70765400000005</c:v>
                </c:pt>
                <c:pt idx="1">
                  <c:v>-781.04030799999998</c:v>
                </c:pt>
                <c:pt idx="2">
                  <c:v>-700.37296200000003</c:v>
                </c:pt>
                <c:pt idx="3">
                  <c:v>-619.70561599999996</c:v>
                </c:pt>
                <c:pt idx="4">
                  <c:v>-539.03827000000001</c:v>
                </c:pt>
                <c:pt idx="5">
                  <c:v>-458.370924</c:v>
                </c:pt>
                <c:pt idx="6">
                  <c:v>-377.70357799999999</c:v>
                </c:pt>
                <c:pt idx="7">
                  <c:v>-297.03623199999998</c:v>
                </c:pt>
                <c:pt idx="8">
                  <c:v>-216.368887</c:v>
                </c:pt>
                <c:pt idx="9">
                  <c:v>-135.70154099999999</c:v>
                </c:pt>
                <c:pt idx="10">
                  <c:v>-55.034194999999997</c:v>
                </c:pt>
                <c:pt idx="11">
                  <c:v>25.633151000000002</c:v>
                </c:pt>
                <c:pt idx="12">
                  <c:v>106.30049699999999</c:v>
                </c:pt>
                <c:pt idx="13">
                  <c:v>186.96784299999999</c:v>
                </c:pt>
                <c:pt idx="14">
                  <c:v>267.63518900000003</c:v>
                </c:pt>
                <c:pt idx="15">
                  <c:v>348.30253499999998</c:v>
                </c:pt>
                <c:pt idx="16">
                  <c:v>428.96988099999999</c:v>
                </c:pt>
                <c:pt idx="17">
                  <c:v>509.637227</c:v>
                </c:pt>
                <c:pt idx="18">
                  <c:v>590.304573</c:v>
                </c:pt>
                <c:pt idx="19">
                  <c:v>670.97191899999996</c:v>
                </c:pt>
                <c:pt idx="20">
                  <c:v>751.63926500000002</c:v>
                </c:pt>
                <c:pt idx="21">
                  <c:v>832.30661099999998</c:v>
                </c:pt>
                <c:pt idx="22">
                  <c:v>912.97395700000004</c:v>
                </c:pt>
                <c:pt idx="23">
                  <c:v>993.64130299999999</c:v>
                </c:pt>
                <c:pt idx="24">
                  <c:v>1074.3086490000001</c:v>
                </c:pt>
                <c:pt idx="25">
                  <c:v>1154.9759939999999</c:v>
                </c:pt>
                <c:pt idx="26">
                  <c:v>1235.6433400000001</c:v>
                </c:pt>
                <c:pt idx="27">
                  <c:v>1316.310686</c:v>
                </c:pt>
                <c:pt idx="28">
                  <c:v>1396.978032</c:v>
                </c:pt>
                <c:pt idx="29">
                  <c:v>1477.6453779999999</c:v>
                </c:pt>
                <c:pt idx="30">
                  <c:v>1558.3127239999999</c:v>
                </c:pt>
                <c:pt idx="31">
                  <c:v>1638.9800700000001</c:v>
                </c:pt>
                <c:pt idx="32">
                  <c:v>1719.647416</c:v>
                </c:pt>
                <c:pt idx="33">
                  <c:v>1800.314762</c:v>
                </c:pt>
                <c:pt idx="34">
                  <c:v>1880.9821079999999</c:v>
                </c:pt>
                <c:pt idx="35">
                  <c:v>1961.6494540000001</c:v>
                </c:pt>
                <c:pt idx="36">
                  <c:v>2042.3168000000001</c:v>
                </c:pt>
                <c:pt idx="37">
                  <c:v>2122.9841459999998</c:v>
                </c:pt>
                <c:pt idx="38">
                  <c:v>2203.651492</c:v>
                </c:pt>
                <c:pt idx="39">
                  <c:v>2284.3188380000001</c:v>
                </c:pt>
                <c:pt idx="40">
                  <c:v>2364.9861839999999</c:v>
                </c:pt>
                <c:pt idx="41">
                  <c:v>2445.65353</c:v>
                </c:pt>
                <c:pt idx="42">
                  <c:v>2526.3208760000002</c:v>
                </c:pt>
                <c:pt idx="43">
                  <c:v>2606.9882210000001</c:v>
                </c:pt>
                <c:pt idx="44">
                  <c:v>2687.6555669999998</c:v>
                </c:pt>
                <c:pt idx="45">
                  <c:v>2768.322913</c:v>
                </c:pt>
                <c:pt idx="46">
                  <c:v>2848.9902590000002</c:v>
                </c:pt>
                <c:pt idx="47">
                  <c:v>2929.6576049999999</c:v>
                </c:pt>
                <c:pt idx="48">
                  <c:v>3010.3249510000001</c:v>
                </c:pt>
              </c:numCache>
            </c:numRef>
          </c:xVal>
          <c:yVal>
            <c:numRef>
              <c:f>Sheet1!$L$15:$L$63</c:f>
              <c:numCache>
                <c:formatCode>0.0000</c:formatCode>
                <c:ptCount val="49"/>
                <c:pt idx="0">
                  <c:v>4.4367040300000039E-3</c:v>
                </c:pt>
                <c:pt idx="1">
                  <c:v>4.1947019920000033E-3</c:v>
                </c:pt>
                <c:pt idx="2">
                  <c:v>1.9360163040000016E-3</c:v>
                </c:pt>
                <c:pt idx="3">
                  <c:v>2.7426897640000021E-3</c:v>
                </c:pt>
                <c:pt idx="4">
                  <c:v>3.2266938400000028E-3</c:v>
                </c:pt>
                <c:pt idx="5">
                  <c:v>3.5493632240000028E-3</c:v>
                </c:pt>
                <c:pt idx="6">
                  <c:v>3.6300305700000032E-3</c:v>
                </c:pt>
                <c:pt idx="7">
                  <c:v>5.5660468740000042E-3</c:v>
                </c:pt>
                <c:pt idx="8">
                  <c:v>1.4923459010000011E-2</c:v>
                </c:pt>
                <c:pt idx="9">
                  <c:v>2.7023560910000022E-2</c:v>
                </c:pt>
                <c:pt idx="10">
                  <c:v>4.0333673000000035E-2</c:v>
                </c:pt>
                <c:pt idx="11">
                  <c:v>6.1307182960000053E-2</c:v>
                </c:pt>
                <c:pt idx="12">
                  <c:v>6.3646535994000053E-2</c:v>
                </c:pt>
                <c:pt idx="13">
                  <c:v>5.9532501348000054E-2</c:v>
                </c:pt>
                <c:pt idx="14">
                  <c:v>7.6472644008000065E-2</c:v>
                </c:pt>
                <c:pt idx="15">
                  <c:v>8.6314060220000072E-2</c:v>
                </c:pt>
                <c:pt idx="16">
                  <c:v>7.1229266518000059E-2</c:v>
                </c:pt>
                <c:pt idx="17">
                  <c:v>7.461729505000006E-2</c:v>
                </c:pt>
                <c:pt idx="18">
                  <c:v>6.7437901256000063E-2</c:v>
                </c:pt>
                <c:pt idx="19">
                  <c:v>5.9774503386000051E-2</c:v>
                </c:pt>
                <c:pt idx="20">
                  <c:v>5.6144472816000046E-2</c:v>
                </c:pt>
                <c:pt idx="21">
                  <c:v>3.9123662810000036E-2</c:v>
                </c:pt>
                <c:pt idx="22">
                  <c:v>3.5090295510000029E-2</c:v>
                </c:pt>
                <c:pt idx="23">
                  <c:v>2.9362913944000025E-2</c:v>
                </c:pt>
                <c:pt idx="24">
                  <c:v>2.0166836500000018E-2</c:v>
                </c:pt>
                <c:pt idx="25">
                  <c:v>1.5568797778000012E-2</c:v>
                </c:pt>
                <c:pt idx="26">
                  <c:v>9.1960774440000073E-3</c:v>
                </c:pt>
                <c:pt idx="27">
                  <c:v>5.4047121820000044E-3</c:v>
                </c:pt>
                <c:pt idx="28">
                  <c:v>7.502063178000006E-3</c:v>
                </c:pt>
                <c:pt idx="29">
                  <c:v>6.3727203340000049E-3</c:v>
                </c:pt>
                <c:pt idx="30">
                  <c:v>4.4367040300000039E-3</c:v>
                </c:pt>
                <c:pt idx="31">
                  <c:v>6.856724410000006E-3</c:v>
                </c:pt>
                <c:pt idx="32">
                  <c:v>6.6147223720000054E-3</c:v>
                </c:pt>
                <c:pt idx="33">
                  <c:v>4.7593734140000035E-3</c:v>
                </c:pt>
                <c:pt idx="34">
                  <c:v>3.6300305700000032E-3</c:v>
                </c:pt>
                <c:pt idx="35">
                  <c:v>1.9360163040000016E-3</c:v>
                </c:pt>
                <c:pt idx="36">
                  <c:v>2.4200203800000021E-3</c:v>
                </c:pt>
                <c:pt idx="37">
                  <c:v>3.2266938400000028E-3</c:v>
                </c:pt>
                <c:pt idx="38">
                  <c:v>2.9846918020000023E-3</c:v>
                </c:pt>
                <c:pt idx="39">
                  <c:v>1.3713448820000011E-3</c:v>
                </c:pt>
                <c:pt idx="40">
                  <c:v>1.4520122280000012E-3</c:v>
                </c:pt>
                <c:pt idx="41">
                  <c:v>2.1780183420000016E-3</c:v>
                </c:pt>
                <c:pt idx="42">
                  <c:v>1.1293428440000009E-3</c:v>
                </c:pt>
                <c:pt idx="43">
                  <c:v>3.2266938400000024E-4</c:v>
                </c:pt>
                <c:pt idx="44">
                  <c:v>4.8400407600000041E-4</c:v>
                </c:pt>
                <c:pt idx="45">
                  <c:v>2.4200203800000021E-4</c:v>
                </c:pt>
                <c:pt idx="46">
                  <c:v>0</c:v>
                </c:pt>
                <c:pt idx="47">
                  <c:v>7.2600611400000059E-4</c:v>
                </c:pt>
                <c:pt idx="48">
                  <c:v>6.4533876800000048E-4</c:v>
                </c:pt>
              </c:numCache>
            </c:numRef>
          </c:yVal>
          <c:smooth val="1"/>
        </c:ser>
        <c:ser>
          <c:idx val="3"/>
          <c:order val="3"/>
          <c:tx>
            <c:v>2003-04</c:v>
          </c:tx>
          <c:spPr>
            <a:ln w="19050">
              <a:solidFill>
                <a:srgbClr val="FF0000"/>
              </a:solidFill>
              <a:prstDash val="sysDot"/>
            </a:ln>
          </c:spPr>
          <c:marker>
            <c:symbol val="none"/>
          </c:marker>
          <c:xVal>
            <c:numRef>
              <c:f>Sheet1!$M$15:$M$63</c:f>
              <c:numCache>
                <c:formatCode>General</c:formatCode>
                <c:ptCount val="49"/>
                <c:pt idx="0">
                  <c:v>-874.35105399999998</c:v>
                </c:pt>
                <c:pt idx="1">
                  <c:v>-794.03609300000005</c:v>
                </c:pt>
                <c:pt idx="2">
                  <c:v>-713.72113200000001</c:v>
                </c:pt>
                <c:pt idx="3">
                  <c:v>-633.40616999999997</c:v>
                </c:pt>
                <c:pt idx="4">
                  <c:v>-553.09120900000005</c:v>
                </c:pt>
                <c:pt idx="5">
                  <c:v>-472.77624800000001</c:v>
                </c:pt>
                <c:pt idx="6">
                  <c:v>-392.46128599999997</c:v>
                </c:pt>
                <c:pt idx="7">
                  <c:v>-312.14632499999999</c:v>
                </c:pt>
                <c:pt idx="8">
                  <c:v>-231.83136400000001</c:v>
                </c:pt>
                <c:pt idx="9">
                  <c:v>-151.516402</c:v>
                </c:pt>
                <c:pt idx="10">
                  <c:v>-71.201441000000003</c:v>
                </c:pt>
                <c:pt idx="11">
                  <c:v>9.1135199999999994</c:v>
                </c:pt>
                <c:pt idx="12">
                  <c:v>89.428482000000002</c:v>
                </c:pt>
                <c:pt idx="13">
                  <c:v>169.74344300000001</c:v>
                </c:pt>
                <c:pt idx="14">
                  <c:v>250.058404</c:v>
                </c:pt>
                <c:pt idx="15">
                  <c:v>330.37336599999998</c:v>
                </c:pt>
                <c:pt idx="16">
                  <c:v>410.68832700000002</c:v>
                </c:pt>
                <c:pt idx="17">
                  <c:v>491.003288</c:v>
                </c:pt>
                <c:pt idx="18">
                  <c:v>571.31825000000003</c:v>
                </c:pt>
                <c:pt idx="19">
                  <c:v>651.63321099999996</c:v>
                </c:pt>
                <c:pt idx="20">
                  <c:v>731.948172</c:v>
                </c:pt>
                <c:pt idx="21">
                  <c:v>812.26313400000004</c:v>
                </c:pt>
                <c:pt idx="22">
                  <c:v>892.57809499999996</c:v>
                </c:pt>
                <c:pt idx="23">
                  <c:v>972.893056</c:v>
                </c:pt>
                <c:pt idx="24">
                  <c:v>1053.208018</c:v>
                </c:pt>
                <c:pt idx="25">
                  <c:v>1133.5229790000001</c:v>
                </c:pt>
                <c:pt idx="26">
                  <c:v>1213.8379399999999</c:v>
                </c:pt>
                <c:pt idx="27">
                  <c:v>1294.152902</c:v>
                </c:pt>
                <c:pt idx="28">
                  <c:v>1374.4678630000001</c:v>
                </c:pt>
                <c:pt idx="29">
                  <c:v>1454.7828239999999</c:v>
                </c:pt>
                <c:pt idx="30">
                  <c:v>1535.097786</c:v>
                </c:pt>
                <c:pt idx="31">
                  <c:v>1615.4127470000001</c:v>
                </c:pt>
                <c:pt idx="32">
                  <c:v>1695.7277079999999</c:v>
                </c:pt>
                <c:pt idx="33">
                  <c:v>1776.04267</c:v>
                </c:pt>
                <c:pt idx="34">
                  <c:v>1856.3576310000001</c:v>
                </c:pt>
                <c:pt idx="35">
                  <c:v>1936.6725919999999</c:v>
                </c:pt>
                <c:pt idx="36">
                  <c:v>2016.987554</c:v>
                </c:pt>
                <c:pt idx="37">
                  <c:v>2097.3025149999999</c:v>
                </c:pt>
                <c:pt idx="38">
                  <c:v>2177.6174759999999</c:v>
                </c:pt>
                <c:pt idx="39">
                  <c:v>2257.9324379999998</c:v>
                </c:pt>
                <c:pt idx="40">
                  <c:v>2338.2473989999999</c:v>
                </c:pt>
                <c:pt idx="41">
                  <c:v>2418.5623599999999</c:v>
                </c:pt>
                <c:pt idx="42">
                  <c:v>2498.8773219999998</c:v>
                </c:pt>
                <c:pt idx="43">
                  <c:v>2579.1922829999999</c:v>
                </c:pt>
                <c:pt idx="44">
                  <c:v>2659.5072439999999</c:v>
                </c:pt>
                <c:pt idx="45">
                  <c:v>2739.8222059999998</c:v>
                </c:pt>
                <c:pt idx="46">
                  <c:v>2820.1371669999999</c:v>
                </c:pt>
                <c:pt idx="47">
                  <c:v>2900.4521289999998</c:v>
                </c:pt>
                <c:pt idx="48">
                  <c:v>2980.7670899999998</c:v>
                </c:pt>
              </c:numCache>
            </c:numRef>
          </c:xVal>
          <c:yVal>
            <c:numRef>
              <c:f>Sheet1!$P$15:$P$63</c:f>
              <c:numCache>
                <c:formatCode>0.0000</c:formatCode>
                <c:ptCount val="49"/>
                <c:pt idx="0">
                  <c:v>1.3653543369999987E-3</c:v>
                </c:pt>
                <c:pt idx="1">
                  <c:v>4.0157480499999968E-4</c:v>
                </c:pt>
                <c:pt idx="2">
                  <c:v>0</c:v>
                </c:pt>
                <c:pt idx="3">
                  <c:v>1.2047244149999989E-3</c:v>
                </c:pt>
                <c:pt idx="4">
                  <c:v>1.6062992199999987E-3</c:v>
                </c:pt>
                <c:pt idx="5">
                  <c:v>2.168503946999998E-3</c:v>
                </c:pt>
                <c:pt idx="6">
                  <c:v>2.5700787519999974E-3</c:v>
                </c:pt>
                <c:pt idx="7">
                  <c:v>4.979527581999996E-3</c:v>
                </c:pt>
                <c:pt idx="8">
                  <c:v>8.9149606709999912E-3</c:v>
                </c:pt>
                <c:pt idx="9">
                  <c:v>7.9511811389999919E-3</c:v>
                </c:pt>
                <c:pt idx="10">
                  <c:v>1.4537007940999987E-2</c:v>
                </c:pt>
                <c:pt idx="11">
                  <c:v>4.594015769199996E-2</c:v>
                </c:pt>
                <c:pt idx="12">
                  <c:v>7.3568504275999938E-2</c:v>
                </c:pt>
                <c:pt idx="13">
                  <c:v>7.9110236584999924E-2</c:v>
                </c:pt>
                <c:pt idx="14">
                  <c:v>7.9833071233999936E-2</c:v>
                </c:pt>
                <c:pt idx="15">
                  <c:v>7.0998425523999931E-2</c:v>
                </c:pt>
                <c:pt idx="16">
                  <c:v>6.3047244384999937E-2</c:v>
                </c:pt>
                <c:pt idx="17">
                  <c:v>5.5658267972999949E-2</c:v>
                </c:pt>
                <c:pt idx="18">
                  <c:v>5.806771680299995E-2</c:v>
                </c:pt>
                <c:pt idx="19">
                  <c:v>6.7625197161999939E-2</c:v>
                </c:pt>
                <c:pt idx="20">
                  <c:v>5.7023622309999945E-2</c:v>
                </c:pt>
                <c:pt idx="21">
                  <c:v>4.2245669485999962E-2</c:v>
                </c:pt>
                <c:pt idx="22">
                  <c:v>4.0559055304999966E-2</c:v>
                </c:pt>
                <c:pt idx="23">
                  <c:v>3.4374803307999968E-2</c:v>
                </c:pt>
                <c:pt idx="24">
                  <c:v>2.3933858377999977E-2</c:v>
                </c:pt>
                <c:pt idx="25">
                  <c:v>2.9636220608999973E-2</c:v>
                </c:pt>
                <c:pt idx="26">
                  <c:v>3.4937008034999967E-2</c:v>
                </c:pt>
                <c:pt idx="27">
                  <c:v>2.007874024999998E-2</c:v>
                </c:pt>
                <c:pt idx="28">
                  <c:v>1.285039375999999E-2</c:v>
                </c:pt>
                <c:pt idx="29">
                  <c:v>1.076220477399999E-2</c:v>
                </c:pt>
                <c:pt idx="30">
                  <c:v>4.8992126209999954E-3</c:v>
                </c:pt>
                <c:pt idx="31">
                  <c:v>3.3732283619999966E-3</c:v>
                </c:pt>
                <c:pt idx="32">
                  <c:v>3.2125984399999975E-3</c:v>
                </c:pt>
                <c:pt idx="33">
                  <c:v>4.8188976599999956E-3</c:v>
                </c:pt>
                <c:pt idx="34">
                  <c:v>5.7826771919999949E-3</c:v>
                </c:pt>
                <c:pt idx="35">
                  <c:v>4.5779527769999962E-3</c:v>
                </c:pt>
                <c:pt idx="36">
                  <c:v>4.4173228549999957E-3</c:v>
                </c:pt>
                <c:pt idx="37">
                  <c:v>3.8551181279999967E-3</c:v>
                </c:pt>
                <c:pt idx="38">
                  <c:v>2.5700787519999974E-3</c:v>
                </c:pt>
                <c:pt idx="39">
                  <c:v>2.8913385959999974E-3</c:v>
                </c:pt>
                <c:pt idx="40">
                  <c:v>2.8110236349999972E-3</c:v>
                </c:pt>
                <c:pt idx="41">
                  <c:v>2.0881889859999977E-3</c:v>
                </c:pt>
                <c:pt idx="42">
                  <c:v>1.8472441029999983E-3</c:v>
                </c:pt>
                <c:pt idx="43">
                  <c:v>1.0440944929999989E-3</c:v>
                </c:pt>
                <c:pt idx="44">
                  <c:v>1.7669291419999983E-3</c:v>
                </c:pt>
                <c:pt idx="45">
                  <c:v>2.9716535569999972E-3</c:v>
                </c:pt>
                <c:pt idx="46">
                  <c:v>2.0881889859999977E-3</c:v>
                </c:pt>
                <c:pt idx="47">
                  <c:v>1.1244094539999989E-3</c:v>
                </c:pt>
                <c:pt idx="48">
                  <c:v>4.0157480499999968E-4</c:v>
                </c:pt>
              </c:numCache>
            </c:numRef>
          </c:yVal>
          <c:smooth val="1"/>
        </c:ser>
        <c:ser>
          <c:idx val="4"/>
          <c:order val="4"/>
          <c:tx>
            <c:v>2009-10</c:v>
          </c:tx>
          <c:spPr>
            <a:ln w="31750">
              <a:solidFill>
                <a:srgbClr val="C00000"/>
              </a:solidFill>
              <a:prstDash val="solid"/>
            </a:ln>
          </c:spPr>
          <c:marker>
            <c:symbol val="none"/>
          </c:marker>
          <c:xVal>
            <c:numRef>
              <c:f>Sheet1!$Q$15:$Q$63</c:f>
              <c:numCache>
                <c:formatCode>General</c:formatCode>
                <c:ptCount val="49"/>
                <c:pt idx="0">
                  <c:v>-485.18132700000001</c:v>
                </c:pt>
                <c:pt idx="1">
                  <c:v>-415.017652</c:v>
                </c:pt>
                <c:pt idx="2">
                  <c:v>-344.85397799999998</c:v>
                </c:pt>
                <c:pt idx="3">
                  <c:v>-274.69030299999997</c:v>
                </c:pt>
                <c:pt idx="4">
                  <c:v>-204.52662900000001</c:v>
                </c:pt>
                <c:pt idx="5">
                  <c:v>-134.362954</c:v>
                </c:pt>
                <c:pt idx="6">
                  <c:v>-64.199280000000002</c:v>
                </c:pt>
                <c:pt idx="7">
                  <c:v>5.9643949999999997</c:v>
                </c:pt>
                <c:pt idx="8">
                  <c:v>76.128068999999996</c:v>
                </c:pt>
                <c:pt idx="9">
                  <c:v>146.29174399999999</c:v>
                </c:pt>
                <c:pt idx="10">
                  <c:v>216.45541800000001</c:v>
                </c:pt>
                <c:pt idx="11">
                  <c:v>286.61909300000002</c:v>
                </c:pt>
                <c:pt idx="12">
                  <c:v>356.78276699999998</c:v>
                </c:pt>
                <c:pt idx="13">
                  <c:v>426.94644199999999</c:v>
                </c:pt>
                <c:pt idx="14">
                  <c:v>497.110116</c:v>
                </c:pt>
                <c:pt idx="15">
                  <c:v>567.27379099999996</c:v>
                </c:pt>
                <c:pt idx="16">
                  <c:v>637.43746499999997</c:v>
                </c:pt>
                <c:pt idx="17">
                  <c:v>707.60113999999999</c:v>
                </c:pt>
                <c:pt idx="18">
                  <c:v>777.764814</c:v>
                </c:pt>
                <c:pt idx="19">
                  <c:v>847.92848900000001</c:v>
                </c:pt>
                <c:pt idx="20">
                  <c:v>918.09216300000003</c:v>
                </c:pt>
                <c:pt idx="21">
                  <c:v>988.25583800000004</c:v>
                </c:pt>
                <c:pt idx="22">
                  <c:v>1058.4195119999999</c:v>
                </c:pt>
                <c:pt idx="23">
                  <c:v>1128.583187</c:v>
                </c:pt>
                <c:pt idx="24">
                  <c:v>1198.7468610000001</c:v>
                </c:pt>
                <c:pt idx="25">
                  <c:v>1268.9105360000001</c:v>
                </c:pt>
                <c:pt idx="26">
                  <c:v>1339.07421</c:v>
                </c:pt>
                <c:pt idx="27">
                  <c:v>1409.237885</c:v>
                </c:pt>
                <c:pt idx="28">
                  <c:v>1479.4015589999999</c:v>
                </c:pt>
                <c:pt idx="29">
                  <c:v>1549.5652339999999</c:v>
                </c:pt>
                <c:pt idx="30">
                  <c:v>1619.728908</c:v>
                </c:pt>
                <c:pt idx="31">
                  <c:v>1689.8925819999999</c:v>
                </c:pt>
                <c:pt idx="32">
                  <c:v>1760.056257</c:v>
                </c:pt>
                <c:pt idx="33">
                  <c:v>1830.2199310000001</c:v>
                </c:pt>
                <c:pt idx="34">
                  <c:v>1900.3836060000001</c:v>
                </c:pt>
                <c:pt idx="35">
                  <c:v>1970.54728</c:v>
                </c:pt>
                <c:pt idx="36">
                  <c:v>2040.710955</c:v>
                </c:pt>
                <c:pt idx="37">
                  <c:v>2110.8746289999999</c:v>
                </c:pt>
                <c:pt idx="38">
                  <c:v>2181.0383040000002</c:v>
                </c:pt>
                <c:pt idx="39">
                  <c:v>2251.2019780000001</c:v>
                </c:pt>
                <c:pt idx="40">
                  <c:v>2321.3656529999998</c:v>
                </c:pt>
                <c:pt idx="41">
                  <c:v>2391.5293270000002</c:v>
                </c:pt>
                <c:pt idx="42">
                  <c:v>2461.693002</c:v>
                </c:pt>
                <c:pt idx="43">
                  <c:v>2531.8566759999999</c:v>
                </c:pt>
                <c:pt idx="44">
                  <c:v>2602.0203510000001</c:v>
                </c:pt>
                <c:pt idx="45">
                  <c:v>2672.184025</c:v>
                </c:pt>
                <c:pt idx="46">
                  <c:v>2742.3476999999998</c:v>
                </c:pt>
                <c:pt idx="47">
                  <c:v>2812.5113740000002</c:v>
                </c:pt>
                <c:pt idx="48">
                  <c:v>2882.6750489999999</c:v>
                </c:pt>
              </c:numCache>
            </c:numRef>
          </c:xVal>
          <c:yVal>
            <c:numRef>
              <c:f>Sheet1!$T$15:$T$63</c:f>
              <c:numCache>
                <c:formatCode>0.0000</c:formatCode>
                <c:ptCount val="49"/>
                <c:pt idx="0">
                  <c:v>1.6839282000000004E-3</c:v>
                </c:pt>
                <c:pt idx="1">
                  <c:v>4.0694931500000007E-3</c:v>
                </c:pt>
                <c:pt idx="2">
                  <c:v>5.7534213500000011E-3</c:v>
                </c:pt>
                <c:pt idx="3">
                  <c:v>6.8058764750000009E-3</c:v>
                </c:pt>
                <c:pt idx="4">
                  <c:v>8.0688226250000012E-3</c:v>
                </c:pt>
                <c:pt idx="5">
                  <c:v>1.1226188000000003E-2</c:v>
                </c:pt>
                <c:pt idx="6">
                  <c:v>2.2522539675000005E-2</c:v>
                </c:pt>
                <c:pt idx="7">
                  <c:v>5.2271937875000007E-2</c:v>
                </c:pt>
                <c:pt idx="8">
                  <c:v>6.6024018175000004E-2</c:v>
                </c:pt>
                <c:pt idx="9">
                  <c:v>6.2305343400000011E-2</c:v>
                </c:pt>
                <c:pt idx="10">
                  <c:v>4.9535554550000013E-2</c:v>
                </c:pt>
                <c:pt idx="11">
                  <c:v>3.887067595000001E-2</c:v>
                </c:pt>
                <c:pt idx="12">
                  <c:v>5.1850955825000003E-2</c:v>
                </c:pt>
                <c:pt idx="13">
                  <c:v>6.2165016050000008E-2</c:v>
                </c:pt>
                <c:pt idx="14">
                  <c:v>5.2833247275000009E-2</c:v>
                </c:pt>
                <c:pt idx="15">
                  <c:v>6.2094852375000016E-2</c:v>
                </c:pt>
                <c:pt idx="16">
                  <c:v>5.6972904100000013E-2</c:v>
                </c:pt>
                <c:pt idx="17">
                  <c:v>3.9502149025000009E-2</c:v>
                </c:pt>
                <c:pt idx="18">
                  <c:v>3.7397238775000008E-2</c:v>
                </c:pt>
                <c:pt idx="19">
                  <c:v>3.5643146900000006E-2</c:v>
                </c:pt>
                <c:pt idx="20">
                  <c:v>3.0240543925000005E-2</c:v>
                </c:pt>
                <c:pt idx="21">
                  <c:v>3.3889055025000003E-2</c:v>
                </c:pt>
                <c:pt idx="22">
                  <c:v>2.4276631550000004E-2</c:v>
                </c:pt>
                <c:pt idx="23">
                  <c:v>1.6137645250000002E-2</c:v>
                </c:pt>
                <c:pt idx="24">
                  <c:v>2.4627449925000006E-2</c:v>
                </c:pt>
                <c:pt idx="25">
                  <c:v>2.0417629425000007E-2</c:v>
                </c:pt>
                <c:pt idx="26">
                  <c:v>9.472096125000001E-3</c:v>
                </c:pt>
                <c:pt idx="27">
                  <c:v>1.0664878600000002E-2</c:v>
                </c:pt>
                <c:pt idx="28">
                  <c:v>1.0454387575000001E-2</c:v>
                </c:pt>
                <c:pt idx="29">
                  <c:v>9.1914414250000021E-3</c:v>
                </c:pt>
                <c:pt idx="30">
                  <c:v>8.2091499750000015E-3</c:v>
                </c:pt>
                <c:pt idx="31">
                  <c:v>7.2970222000000012E-3</c:v>
                </c:pt>
                <c:pt idx="32">
                  <c:v>5.6130940000000016E-3</c:v>
                </c:pt>
                <c:pt idx="33">
                  <c:v>4.7009662250000013E-3</c:v>
                </c:pt>
                <c:pt idx="34">
                  <c:v>5.4026029750000011E-3</c:v>
                </c:pt>
                <c:pt idx="35">
                  <c:v>1.0384223900000001E-2</c:v>
                </c:pt>
                <c:pt idx="36">
                  <c:v>8.7704593750000011E-3</c:v>
                </c:pt>
                <c:pt idx="37">
                  <c:v>3.5783474250000004E-3</c:v>
                </c:pt>
                <c:pt idx="38">
                  <c:v>3.5783474250000004E-3</c:v>
                </c:pt>
                <c:pt idx="39">
                  <c:v>3.9291658000000004E-3</c:v>
                </c:pt>
                <c:pt idx="40">
                  <c:v>1.6137645250000002E-3</c:v>
                </c:pt>
                <c:pt idx="41">
                  <c:v>4.5606388750000001E-3</c:v>
                </c:pt>
                <c:pt idx="42">
                  <c:v>5.1921119500000007E-3</c:v>
                </c:pt>
                <c:pt idx="43">
                  <c:v>1.3331098250000002E-3</c:v>
                </c:pt>
                <c:pt idx="44">
                  <c:v>1.4032735000000002E-4</c:v>
                </c:pt>
                <c:pt idx="45">
                  <c:v>1.4032735000000002E-4</c:v>
                </c:pt>
                <c:pt idx="46">
                  <c:v>9.1212777500000015E-4</c:v>
                </c:pt>
                <c:pt idx="47">
                  <c:v>1.8944192250000002E-3</c:v>
                </c:pt>
                <c:pt idx="48">
                  <c:v>1.4032735000000004E-3</c:v>
                </c:pt>
              </c:numCache>
            </c:numRef>
          </c:yVal>
          <c:smooth val="1"/>
        </c:ser>
        <c:dLbls>
          <c:showLegendKey val="0"/>
          <c:showVal val="0"/>
          <c:showCatName val="0"/>
          <c:showSerName val="0"/>
          <c:showPercent val="0"/>
          <c:showBubbleSize val="0"/>
        </c:dLbls>
        <c:axId val="244899840"/>
        <c:axId val="244901760"/>
      </c:scatterChart>
      <c:valAx>
        <c:axId val="244899840"/>
        <c:scaling>
          <c:orientation val="minMax"/>
          <c:max val="3200"/>
          <c:min val="-1000"/>
        </c:scaling>
        <c:delete val="0"/>
        <c:axPos val="b"/>
        <c:title>
          <c:tx>
            <c:rich>
              <a:bodyPr/>
              <a:lstStyle/>
              <a:p>
                <a:pPr>
                  <a:defRPr b="0">
                    <a:latin typeface="Arial" pitchFamily="34" charset="0"/>
                    <a:cs typeface="Arial" pitchFamily="34" charset="0"/>
                  </a:defRPr>
                </a:pPr>
                <a:r>
                  <a:rPr lang="en-US" b="0">
                    <a:latin typeface="Arial" pitchFamily="34" charset="0"/>
                    <a:cs typeface="Arial" pitchFamily="34" charset="0"/>
                  </a:rPr>
                  <a:t>$ (2011-12) per week</a:t>
                </a:r>
              </a:p>
            </c:rich>
          </c:tx>
          <c:overlay val="0"/>
        </c:title>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44901760"/>
        <c:crossesAt val="0"/>
        <c:crossBetween val="midCat"/>
      </c:valAx>
      <c:valAx>
        <c:axId val="244901760"/>
        <c:scaling>
          <c:orientation val="minMax"/>
          <c:max val="0.10500000000000001"/>
          <c:min val="0"/>
        </c:scaling>
        <c:delete val="0"/>
        <c:axPos val="l"/>
        <c:majorGridlines/>
        <c:numFmt formatCode="0.00" sourceLinked="0"/>
        <c:majorTickMark val="out"/>
        <c:minorTickMark val="none"/>
        <c:tickLblPos val="low"/>
        <c:txPr>
          <a:bodyPr/>
          <a:lstStyle/>
          <a:p>
            <a:pPr>
              <a:defRPr sz="1000">
                <a:latin typeface="Arial" pitchFamily="34" charset="0"/>
                <a:cs typeface="Arial" pitchFamily="34" charset="0"/>
              </a:defRPr>
            </a:pPr>
            <a:endParaRPr lang="en-US"/>
          </a:p>
        </c:txPr>
        <c:crossAx val="244899840"/>
        <c:crosses val="autoZero"/>
        <c:crossBetween val="midCat"/>
      </c:valAx>
      <c:spPr>
        <a:solidFill>
          <a:schemeClr val="bg1"/>
        </a:solidFill>
      </c:spPr>
    </c:plotArea>
    <c:legend>
      <c:legendPos val="b"/>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122462817147858"/>
          <c:y val="5.1400554097404488E-2"/>
          <c:w val="0.87292296296296301"/>
          <c:h val="0.69591805555555553"/>
        </c:manualLayout>
      </c:layout>
      <c:lineChart>
        <c:grouping val="standard"/>
        <c:varyColors val="0"/>
        <c:ser>
          <c:idx val="2"/>
          <c:order val="0"/>
          <c:tx>
            <c:v>Self-employed workers</c:v>
          </c:tx>
          <c:spPr>
            <a:ln w="22225">
              <a:solidFill>
                <a:schemeClr val="accent3"/>
              </a:solidFill>
            </a:ln>
          </c:spPr>
          <c:marker>
            <c:symbol val="diamond"/>
            <c:size val="7"/>
          </c:marker>
          <c:cat>
            <c:strRef>
              <c:f>Ginis!$A$4:$A$8</c:f>
              <c:strCache>
                <c:ptCount val="5"/>
                <c:pt idx="0">
                  <c:v>1988-89</c:v>
                </c:pt>
                <c:pt idx="1">
                  <c:v>1993-94</c:v>
                </c:pt>
                <c:pt idx="2">
                  <c:v>1998-99</c:v>
                </c:pt>
                <c:pt idx="3">
                  <c:v>2003-04</c:v>
                </c:pt>
                <c:pt idx="4">
                  <c:v>2009-10</c:v>
                </c:pt>
              </c:strCache>
            </c:strRef>
          </c:cat>
          <c:val>
            <c:numRef>
              <c:f>Ginis!$F$4:$F$8</c:f>
              <c:numCache>
                <c:formatCode>General</c:formatCode>
                <c:ptCount val="5"/>
                <c:pt idx="0">
                  <c:v>0.50918125999999997</c:v>
                </c:pt>
                <c:pt idx="1">
                  <c:v>0.69054548000000004</c:v>
                </c:pt>
                <c:pt idx="2">
                  <c:v>0.65443242999999995</c:v>
                </c:pt>
                <c:pt idx="3">
                  <c:v>0.56578117000000006</c:v>
                </c:pt>
                <c:pt idx="4">
                  <c:v>0.59335939999999998</c:v>
                </c:pt>
              </c:numCache>
            </c:numRef>
          </c:val>
          <c:smooth val="0"/>
        </c:ser>
        <c:ser>
          <c:idx val="3"/>
          <c:order val="1"/>
          <c:tx>
            <c:v>Labour income</c:v>
          </c:tx>
          <c:marker>
            <c:symbol val="none"/>
          </c:marker>
          <c:cat>
            <c:strRef>
              <c:f>Ginis!$A$4:$A$8</c:f>
              <c:strCache>
                <c:ptCount val="5"/>
                <c:pt idx="0">
                  <c:v>1988-89</c:v>
                </c:pt>
                <c:pt idx="1">
                  <c:v>1993-94</c:v>
                </c:pt>
                <c:pt idx="2">
                  <c:v>1998-99</c:v>
                </c:pt>
                <c:pt idx="3">
                  <c:v>2003-04</c:v>
                </c:pt>
                <c:pt idx="4">
                  <c:v>2009-10</c:v>
                </c:pt>
              </c:strCache>
            </c:strRef>
          </c:cat>
          <c:val>
            <c:numRef>
              <c:f>Ginis!$H$4:$H$8</c:f>
              <c:numCache>
                <c:formatCode>General</c:formatCode>
                <c:ptCount val="5"/>
                <c:pt idx="0">
                  <c:v>0.34894872999999998</c:v>
                </c:pt>
                <c:pt idx="1">
                  <c:v>0.38677613999999999</c:v>
                </c:pt>
                <c:pt idx="2">
                  <c:v>0.39499918000000001</c:v>
                </c:pt>
                <c:pt idx="3">
                  <c:v>0.39027494000000001</c:v>
                </c:pt>
                <c:pt idx="4">
                  <c:v>0.41283802000000003</c:v>
                </c:pt>
              </c:numCache>
            </c:numRef>
          </c:val>
          <c:smooth val="0"/>
        </c:ser>
        <c:ser>
          <c:idx val="1"/>
          <c:order val="2"/>
          <c:tx>
            <c:v>part-time workers</c:v>
          </c:tx>
          <c:spPr>
            <a:ln>
              <a:solidFill>
                <a:srgbClr val="C00000"/>
              </a:solidFill>
              <a:prstDash val="sysDot"/>
            </a:ln>
          </c:spPr>
          <c:marker>
            <c:symbol val="none"/>
          </c:marker>
          <c:cat>
            <c:strRef>
              <c:f>Ginis!$A$4:$A$8</c:f>
              <c:strCache>
                <c:ptCount val="5"/>
                <c:pt idx="0">
                  <c:v>1988-89</c:v>
                </c:pt>
                <c:pt idx="1">
                  <c:v>1993-94</c:v>
                </c:pt>
                <c:pt idx="2">
                  <c:v>1998-99</c:v>
                </c:pt>
                <c:pt idx="3">
                  <c:v>2003-04</c:v>
                </c:pt>
                <c:pt idx="4">
                  <c:v>2009-10</c:v>
                </c:pt>
              </c:strCache>
            </c:strRef>
          </c:cat>
          <c:val>
            <c:numRef>
              <c:f>Ginis!$C$4:$C$8</c:f>
              <c:numCache>
                <c:formatCode>General</c:formatCode>
                <c:ptCount val="5"/>
                <c:pt idx="0">
                  <c:v>0.40620803999999999</c:v>
                </c:pt>
                <c:pt idx="1">
                  <c:v>0.42380179000000001</c:v>
                </c:pt>
                <c:pt idx="2">
                  <c:v>0.41347727000000001</c:v>
                </c:pt>
                <c:pt idx="3">
                  <c:v>0.40660632000000002</c:v>
                </c:pt>
                <c:pt idx="4">
                  <c:v>0.40481901999999997</c:v>
                </c:pt>
              </c:numCache>
            </c:numRef>
          </c:val>
          <c:smooth val="0"/>
        </c:ser>
        <c:ser>
          <c:idx val="0"/>
          <c:order val="3"/>
          <c:tx>
            <c:v>Full-time workers</c:v>
          </c:tx>
          <c:spPr>
            <a:ln>
              <a:solidFill>
                <a:schemeClr val="accent1">
                  <a:lumMod val="75000"/>
                </a:schemeClr>
              </a:solidFill>
              <a:prstDash val="dash"/>
            </a:ln>
          </c:spPr>
          <c:marker>
            <c:symbol val="none"/>
          </c:marker>
          <c:cat>
            <c:strRef>
              <c:f>Ginis!$A$4:$A$8</c:f>
              <c:strCache>
                <c:ptCount val="5"/>
                <c:pt idx="0">
                  <c:v>1988-89</c:v>
                </c:pt>
                <c:pt idx="1">
                  <c:v>1993-94</c:v>
                </c:pt>
                <c:pt idx="2">
                  <c:v>1998-99</c:v>
                </c:pt>
                <c:pt idx="3">
                  <c:v>2003-04</c:v>
                </c:pt>
                <c:pt idx="4">
                  <c:v>2009-10</c:v>
                </c:pt>
              </c:strCache>
            </c:strRef>
          </c:cat>
          <c:val>
            <c:numRef>
              <c:f>Ginis!$B$4:$B$8</c:f>
              <c:numCache>
                <c:formatCode>General</c:formatCode>
                <c:ptCount val="5"/>
                <c:pt idx="0">
                  <c:v>0.24421598</c:v>
                </c:pt>
                <c:pt idx="1">
                  <c:v>0.25174848</c:v>
                </c:pt>
                <c:pt idx="2">
                  <c:v>0.26804445999999998</c:v>
                </c:pt>
                <c:pt idx="3">
                  <c:v>0.27974591999999998</c:v>
                </c:pt>
                <c:pt idx="4">
                  <c:v>0.31019338000000002</c:v>
                </c:pt>
              </c:numCache>
            </c:numRef>
          </c:val>
          <c:smooth val="0"/>
        </c:ser>
        <c:dLbls>
          <c:showLegendKey val="0"/>
          <c:showVal val="0"/>
          <c:showCatName val="0"/>
          <c:showSerName val="0"/>
          <c:showPercent val="0"/>
          <c:showBubbleSize val="0"/>
        </c:dLbls>
        <c:marker val="1"/>
        <c:smooth val="0"/>
        <c:axId val="254553472"/>
        <c:axId val="254555264"/>
      </c:lineChart>
      <c:catAx>
        <c:axId val="254553472"/>
        <c:scaling>
          <c:orientation val="minMax"/>
        </c:scaling>
        <c:delete val="0"/>
        <c:axPos val="b"/>
        <c:numFmt formatCode="General" sourceLinked="1"/>
        <c:majorTickMark val="out"/>
        <c:minorTickMark val="none"/>
        <c:tickLblPos val="nextTo"/>
        <c:crossAx val="254555264"/>
        <c:crosses val="autoZero"/>
        <c:auto val="1"/>
        <c:lblAlgn val="ctr"/>
        <c:lblOffset val="100"/>
        <c:noMultiLvlLbl val="0"/>
      </c:catAx>
      <c:valAx>
        <c:axId val="254555264"/>
        <c:scaling>
          <c:orientation val="minMax"/>
        </c:scaling>
        <c:delete val="0"/>
        <c:axPos val="l"/>
        <c:majorGridlines/>
        <c:title>
          <c:tx>
            <c:rich>
              <a:bodyPr rot="-5400000" vert="horz"/>
              <a:lstStyle/>
              <a:p>
                <a:pPr>
                  <a:defRPr b="0"/>
                </a:pPr>
                <a:r>
                  <a:rPr lang="en-US" b="0"/>
                  <a:t>Gini coefficient</a:t>
                </a:r>
              </a:p>
            </c:rich>
          </c:tx>
          <c:overlay val="0"/>
        </c:title>
        <c:numFmt formatCode="General" sourceLinked="1"/>
        <c:majorTickMark val="out"/>
        <c:minorTickMark val="none"/>
        <c:tickLblPos val="nextTo"/>
        <c:crossAx val="254553472"/>
        <c:crosses val="autoZero"/>
        <c:crossBetween val="between"/>
      </c:valAx>
    </c:plotArea>
    <c:legend>
      <c:legendPos val="b"/>
      <c:layout>
        <c:manualLayout>
          <c:xMode val="edge"/>
          <c:yMode val="edge"/>
          <c:x val="4.5556021696871701E-2"/>
          <c:y val="0.8295717162340378"/>
          <c:w val="0.90645654474891213"/>
          <c:h val="0.14395498566550813"/>
        </c:manualLayout>
      </c:layout>
      <c:overlay val="0"/>
      <c:spPr>
        <a:solidFill>
          <a:schemeClr val="bg1"/>
        </a:solidFill>
      </c:spPr>
      <c:txPr>
        <a:bodyPr/>
        <a:lstStyle/>
        <a:p>
          <a:pPr>
            <a:defRPr sz="900"/>
          </a:pPr>
          <a:endParaRPr lang="en-US"/>
        </a:p>
      </c:tx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2"/>
          <c:order val="2"/>
          <c:tx>
            <c:strRef>
              <c:f>'GE measures'!$D$2</c:f>
              <c:strCache>
                <c:ptCount val="1"/>
                <c:pt idx="0">
                  <c:v>P90/P10</c:v>
                </c:pt>
              </c:strCache>
            </c:strRef>
          </c:tx>
          <c:spPr>
            <a:pattFill prst="pct20">
              <a:fgClr>
                <a:schemeClr val="accent1">
                  <a:lumMod val="75000"/>
                </a:schemeClr>
              </a:fgClr>
              <a:bgClr>
                <a:schemeClr val="bg1"/>
              </a:bgClr>
            </a:pattFill>
            <a:ln>
              <a:solidFill>
                <a:schemeClr val="accent1">
                  <a:lumMod val="75000"/>
                </a:schemeClr>
              </a:solidFill>
            </a:ln>
          </c:spPr>
          <c:invertIfNegative val="0"/>
          <c:cat>
            <c:strRef>
              <c:f>'GE measures'!$A$3:$A$7</c:f>
              <c:strCache>
                <c:ptCount val="5"/>
                <c:pt idx="0">
                  <c:v>1988-89</c:v>
                </c:pt>
                <c:pt idx="1">
                  <c:v>1993-94</c:v>
                </c:pt>
                <c:pt idx="2">
                  <c:v>1998-99</c:v>
                </c:pt>
                <c:pt idx="3">
                  <c:v>2003-04</c:v>
                </c:pt>
                <c:pt idx="4">
                  <c:v>2009-10</c:v>
                </c:pt>
              </c:strCache>
            </c:strRef>
          </c:cat>
          <c:val>
            <c:numRef>
              <c:f>'GE measures'!$D$3:$D$7</c:f>
              <c:numCache>
                <c:formatCode>General</c:formatCode>
                <c:ptCount val="5"/>
                <c:pt idx="0">
                  <c:v>6.7309999999999999</c:v>
                </c:pt>
                <c:pt idx="1">
                  <c:v>8.9689999999999994</c:v>
                </c:pt>
                <c:pt idx="2">
                  <c:v>9.9079999999999995</c:v>
                </c:pt>
                <c:pt idx="3">
                  <c:v>9.0609999999999999</c:v>
                </c:pt>
                <c:pt idx="4">
                  <c:v>9.0990000000000002</c:v>
                </c:pt>
              </c:numCache>
            </c:numRef>
          </c:val>
        </c:ser>
        <c:ser>
          <c:idx val="3"/>
          <c:order val="3"/>
          <c:tx>
            <c:strRef>
              <c:f>'GE measures'!$E$2</c:f>
              <c:strCache>
                <c:ptCount val="1"/>
                <c:pt idx="0">
                  <c:v>P75/P25</c:v>
                </c:pt>
              </c:strCache>
            </c:strRef>
          </c:tx>
          <c:spPr>
            <a:solidFill>
              <a:schemeClr val="accent1">
                <a:lumMod val="75000"/>
              </a:schemeClr>
            </a:solidFill>
            <a:ln>
              <a:solidFill>
                <a:schemeClr val="accent1">
                  <a:lumMod val="75000"/>
                </a:schemeClr>
              </a:solidFill>
            </a:ln>
          </c:spPr>
          <c:invertIfNegative val="0"/>
          <c:cat>
            <c:strRef>
              <c:f>'GE measures'!$A$3:$A$7</c:f>
              <c:strCache>
                <c:ptCount val="5"/>
                <c:pt idx="0">
                  <c:v>1988-89</c:v>
                </c:pt>
                <c:pt idx="1">
                  <c:v>1993-94</c:v>
                </c:pt>
                <c:pt idx="2">
                  <c:v>1998-99</c:v>
                </c:pt>
                <c:pt idx="3">
                  <c:v>2003-04</c:v>
                </c:pt>
                <c:pt idx="4">
                  <c:v>2009-10</c:v>
                </c:pt>
              </c:strCache>
            </c:strRef>
          </c:cat>
          <c:val>
            <c:numRef>
              <c:f>'GE measures'!$E$3:$E$7</c:f>
              <c:numCache>
                <c:formatCode>General</c:formatCode>
                <c:ptCount val="5"/>
                <c:pt idx="0">
                  <c:v>2.2130000000000001</c:v>
                </c:pt>
                <c:pt idx="1">
                  <c:v>2.4649999999999999</c:v>
                </c:pt>
                <c:pt idx="2">
                  <c:v>2.597</c:v>
                </c:pt>
                <c:pt idx="3">
                  <c:v>2.4969999999999999</c:v>
                </c:pt>
                <c:pt idx="4">
                  <c:v>2.6139999999999999</c:v>
                </c:pt>
              </c:numCache>
            </c:numRef>
          </c:val>
        </c:ser>
        <c:dLbls>
          <c:showLegendKey val="0"/>
          <c:showVal val="0"/>
          <c:showCatName val="0"/>
          <c:showSerName val="0"/>
          <c:showPercent val="0"/>
          <c:showBubbleSize val="0"/>
        </c:dLbls>
        <c:gapWidth val="150"/>
        <c:axId val="254765312"/>
        <c:axId val="254763392"/>
      </c:barChart>
      <c:lineChart>
        <c:grouping val="standard"/>
        <c:varyColors val="0"/>
        <c:ser>
          <c:idx val="0"/>
          <c:order val="0"/>
          <c:tx>
            <c:strRef>
              <c:f>'GE measures'!$B$2</c:f>
              <c:strCache>
                <c:ptCount val="1"/>
                <c:pt idx="0">
                  <c:v>GE(0)</c:v>
                </c:pt>
              </c:strCache>
            </c:strRef>
          </c:tx>
          <c:spPr>
            <a:ln w="31750">
              <a:solidFill>
                <a:schemeClr val="accent1">
                  <a:lumMod val="75000"/>
                </a:schemeClr>
              </a:solidFill>
              <a:prstDash val="sysDash"/>
            </a:ln>
          </c:spPr>
          <c:marker>
            <c:symbol val="none"/>
          </c:marker>
          <c:cat>
            <c:strRef>
              <c:f>'GE measures'!$A$3:$A$7</c:f>
              <c:strCache>
                <c:ptCount val="5"/>
                <c:pt idx="0">
                  <c:v>1988-89</c:v>
                </c:pt>
                <c:pt idx="1">
                  <c:v>1993-94</c:v>
                </c:pt>
                <c:pt idx="2">
                  <c:v>1998-99</c:v>
                </c:pt>
                <c:pt idx="3">
                  <c:v>2003-04</c:v>
                </c:pt>
                <c:pt idx="4">
                  <c:v>2009-10</c:v>
                </c:pt>
              </c:strCache>
            </c:strRef>
          </c:cat>
          <c:val>
            <c:numRef>
              <c:f>'GE measures'!$B$3:$B$7</c:f>
              <c:numCache>
                <c:formatCode>General</c:formatCode>
                <c:ptCount val="5"/>
                <c:pt idx="0">
                  <c:v>0.24596506000000001</c:v>
                </c:pt>
                <c:pt idx="1">
                  <c:v>0.27026791999999999</c:v>
                </c:pt>
                <c:pt idx="2">
                  <c:v>0.27406317000000002</c:v>
                </c:pt>
                <c:pt idx="3">
                  <c:v>0.27744226</c:v>
                </c:pt>
                <c:pt idx="4">
                  <c:v>0.30963051000000003</c:v>
                </c:pt>
              </c:numCache>
            </c:numRef>
          </c:val>
          <c:smooth val="0"/>
        </c:ser>
        <c:ser>
          <c:idx val="1"/>
          <c:order val="1"/>
          <c:tx>
            <c:strRef>
              <c:f>'GE measures'!$C$2</c:f>
              <c:strCache>
                <c:ptCount val="1"/>
                <c:pt idx="0">
                  <c:v>GE(1)</c:v>
                </c:pt>
              </c:strCache>
            </c:strRef>
          </c:tx>
          <c:marker>
            <c:symbol val="none"/>
          </c:marker>
          <c:cat>
            <c:strRef>
              <c:f>'GE measures'!$A$3:$A$7</c:f>
              <c:strCache>
                <c:ptCount val="5"/>
                <c:pt idx="0">
                  <c:v>1988-89</c:v>
                </c:pt>
                <c:pt idx="1">
                  <c:v>1993-94</c:v>
                </c:pt>
                <c:pt idx="2">
                  <c:v>1998-99</c:v>
                </c:pt>
                <c:pt idx="3">
                  <c:v>2003-04</c:v>
                </c:pt>
                <c:pt idx="4">
                  <c:v>2009-10</c:v>
                </c:pt>
              </c:strCache>
            </c:strRef>
          </c:cat>
          <c:val>
            <c:numRef>
              <c:f>'GE measures'!$C$3:$C$7</c:f>
              <c:numCache>
                <c:formatCode>General</c:formatCode>
                <c:ptCount val="5"/>
                <c:pt idx="0">
                  <c:v>0.21831395000000001</c:v>
                </c:pt>
                <c:pt idx="1">
                  <c:v>0.26826168</c:v>
                </c:pt>
                <c:pt idx="2">
                  <c:v>0.29082232000000002</c:v>
                </c:pt>
                <c:pt idx="3">
                  <c:v>0.31478312000000003</c:v>
                </c:pt>
                <c:pt idx="4">
                  <c:v>0.34466226</c:v>
                </c:pt>
              </c:numCache>
            </c:numRef>
          </c:val>
          <c:smooth val="0"/>
        </c:ser>
        <c:dLbls>
          <c:showLegendKey val="0"/>
          <c:showVal val="0"/>
          <c:showCatName val="0"/>
          <c:showSerName val="0"/>
          <c:showPercent val="0"/>
          <c:showBubbleSize val="0"/>
        </c:dLbls>
        <c:marker val="1"/>
        <c:smooth val="0"/>
        <c:axId val="254599936"/>
        <c:axId val="254601472"/>
      </c:lineChart>
      <c:catAx>
        <c:axId val="254599936"/>
        <c:scaling>
          <c:orientation val="minMax"/>
        </c:scaling>
        <c:delete val="0"/>
        <c:axPos val="b"/>
        <c:numFmt formatCode="General" sourceLinked="1"/>
        <c:majorTickMark val="out"/>
        <c:minorTickMark val="none"/>
        <c:tickLblPos val="nextTo"/>
        <c:crossAx val="254601472"/>
        <c:crosses val="autoZero"/>
        <c:auto val="1"/>
        <c:lblAlgn val="ctr"/>
        <c:lblOffset val="100"/>
        <c:noMultiLvlLbl val="0"/>
      </c:catAx>
      <c:valAx>
        <c:axId val="254601472"/>
        <c:scaling>
          <c:orientation val="minMax"/>
          <c:max val="0.60000000000000009"/>
        </c:scaling>
        <c:delete val="0"/>
        <c:axPos val="l"/>
        <c:majorGridlines/>
        <c:title>
          <c:tx>
            <c:rich>
              <a:bodyPr rot="-5400000" vert="horz"/>
              <a:lstStyle/>
              <a:p>
                <a:pPr>
                  <a:defRPr b="0"/>
                </a:pPr>
                <a:r>
                  <a:rPr lang="en-US" b="0"/>
                  <a:t>Generalized entropy index</a:t>
                </a:r>
              </a:p>
            </c:rich>
          </c:tx>
          <c:overlay val="0"/>
        </c:title>
        <c:numFmt formatCode="General" sourceLinked="1"/>
        <c:majorTickMark val="out"/>
        <c:minorTickMark val="none"/>
        <c:tickLblPos val="nextTo"/>
        <c:crossAx val="254599936"/>
        <c:crosses val="autoZero"/>
        <c:crossBetween val="between"/>
      </c:valAx>
      <c:valAx>
        <c:axId val="254763392"/>
        <c:scaling>
          <c:orientation val="minMax"/>
        </c:scaling>
        <c:delete val="0"/>
        <c:axPos val="r"/>
        <c:title>
          <c:tx>
            <c:rich>
              <a:bodyPr rot="-5400000" vert="horz"/>
              <a:lstStyle/>
              <a:p>
                <a:pPr>
                  <a:defRPr b="0"/>
                </a:pPr>
                <a:r>
                  <a:rPr lang="en-US" b="0"/>
                  <a:t>Percentile ratio</a:t>
                </a:r>
              </a:p>
            </c:rich>
          </c:tx>
          <c:overlay val="0"/>
        </c:title>
        <c:numFmt formatCode="General" sourceLinked="1"/>
        <c:majorTickMark val="out"/>
        <c:minorTickMark val="none"/>
        <c:tickLblPos val="nextTo"/>
        <c:crossAx val="254765312"/>
        <c:crosses val="max"/>
        <c:crossBetween val="between"/>
      </c:valAx>
      <c:catAx>
        <c:axId val="254765312"/>
        <c:scaling>
          <c:orientation val="minMax"/>
        </c:scaling>
        <c:delete val="1"/>
        <c:axPos val="b"/>
        <c:numFmt formatCode="General" sourceLinked="1"/>
        <c:majorTickMark val="out"/>
        <c:minorTickMark val="none"/>
        <c:tickLblPos val="nextTo"/>
        <c:crossAx val="254763392"/>
        <c:crosses val="autoZero"/>
        <c:auto val="1"/>
        <c:lblAlgn val="ctr"/>
        <c:lblOffset val="100"/>
        <c:noMultiLvlLbl val="0"/>
      </c:catAx>
    </c:plotArea>
    <c:legend>
      <c:legendPos val="b"/>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'population share'!$B$3</c:f>
              <c:strCache>
                <c:ptCount val="1"/>
                <c:pt idx="0">
                  <c:v>Part time</c:v>
                </c:pt>
              </c:strCache>
            </c:strRef>
          </c:tx>
          <c:spPr>
            <a:solidFill>
              <a:schemeClr val="accent1">
                <a:lumMod val="75000"/>
              </a:schemeClr>
            </a:solidFill>
            <a:ln>
              <a:solidFill>
                <a:schemeClr val="accent1">
                  <a:lumMod val="75000"/>
                </a:schemeClr>
              </a:solidFill>
            </a:ln>
          </c:spPr>
          <c:invertIfNegative val="0"/>
          <c:cat>
            <c:strRef>
              <c:f>'population share'!$A$4:$A$8</c:f>
              <c:strCache>
                <c:ptCount val="5"/>
                <c:pt idx="0">
                  <c:v>1988-89</c:v>
                </c:pt>
                <c:pt idx="1">
                  <c:v>1993-94</c:v>
                </c:pt>
                <c:pt idx="2">
                  <c:v>1998-99</c:v>
                </c:pt>
                <c:pt idx="3">
                  <c:v>2003-04</c:v>
                </c:pt>
                <c:pt idx="4">
                  <c:v>2009-10</c:v>
                </c:pt>
              </c:strCache>
            </c:strRef>
          </c:cat>
          <c:val>
            <c:numRef>
              <c:f>'population share'!$B$25:$B$29</c:f>
              <c:numCache>
                <c:formatCode>#,##0</c:formatCode>
                <c:ptCount val="5"/>
                <c:pt idx="0">
                  <c:v>19.497826597744361</c:v>
                </c:pt>
                <c:pt idx="1">
                  <c:v>22.102451732187372</c:v>
                </c:pt>
                <c:pt idx="2">
                  <c:v>25.276641612688969</c:v>
                </c:pt>
                <c:pt idx="3">
                  <c:v>28.755712741649052</c:v>
                </c:pt>
                <c:pt idx="4">
                  <c:v>29.575764050937611</c:v>
                </c:pt>
              </c:numCache>
            </c:numRef>
          </c:val>
        </c:ser>
        <c:ser>
          <c:idx val="1"/>
          <c:order val="1"/>
          <c:tx>
            <c:strRef>
              <c:f>'population share'!$C$3</c:f>
              <c:strCache>
                <c:ptCount val="1"/>
                <c:pt idx="0">
                  <c:v>Full time</c:v>
                </c:pt>
              </c:strCache>
            </c:strRef>
          </c:tx>
          <c:spPr>
            <a:pattFill prst="openDmnd">
              <a:fgClr>
                <a:schemeClr val="accent1">
                  <a:lumMod val="75000"/>
                </a:schemeClr>
              </a:fgClr>
              <a:bgClr>
                <a:schemeClr val="bg1"/>
              </a:bgClr>
            </a:pattFill>
            <a:ln>
              <a:solidFill>
                <a:schemeClr val="accent1">
                  <a:lumMod val="75000"/>
                </a:schemeClr>
              </a:solidFill>
            </a:ln>
          </c:spPr>
          <c:invertIfNegative val="0"/>
          <c:cat>
            <c:strRef>
              <c:f>'population share'!$A$4:$A$8</c:f>
              <c:strCache>
                <c:ptCount val="5"/>
                <c:pt idx="0">
                  <c:v>1988-89</c:v>
                </c:pt>
                <c:pt idx="1">
                  <c:v>1993-94</c:v>
                </c:pt>
                <c:pt idx="2">
                  <c:v>1998-99</c:v>
                </c:pt>
                <c:pt idx="3">
                  <c:v>2003-04</c:v>
                </c:pt>
                <c:pt idx="4">
                  <c:v>2009-10</c:v>
                </c:pt>
              </c:strCache>
            </c:strRef>
          </c:cat>
          <c:val>
            <c:numRef>
              <c:f>'population share'!$C$25:$C$29</c:f>
              <c:numCache>
                <c:formatCode>#,##0</c:formatCode>
                <c:ptCount val="5"/>
                <c:pt idx="0">
                  <c:v>67.584322133458642</c:v>
                </c:pt>
                <c:pt idx="1">
                  <c:v>64.398522681633253</c:v>
                </c:pt>
                <c:pt idx="2">
                  <c:v>62.617121195778672</c:v>
                </c:pt>
                <c:pt idx="3">
                  <c:v>60.615053470982104</c:v>
                </c:pt>
                <c:pt idx="4">
                  <c:v>62.066036093957699</c:v>
                </c:pt>
              </c:numCache>
            </c:numRef>
          </c:val>
        </c:ser>
        <c:ser>
          <c:idx val="2"/>
          <c:order val="2"/>
          <c:tx>
            <c:strRef>
              <c:f>'population share'!$D$24</c:f>
              <c:strCache>
                <c:ptCount val="1"/>
                <c:pt idx="0">
                  <c:v>Self employed</c:v>
                </c:pt>
              </c:strCache>
            </c:strRef>
          </c:tx>
          <c:spPr>
            <a:pattFill prst="pct70">
              <a:fgClr>
                <a:schemeClr val="accent1">
                  <a:lumMod val="75000"/>
                </a:schemeClr>
              </a:fgClr>
              <a:bgClr>
                <a:schemeClr val="bg1"/>
              </a:bgClr>
            </a:pattFill>
            <a:ln>
              <a:solidFill>
                <a:schemeClr val="accent1">
                  <a:lumMod val="75000"/>
                </a:schemeClr>
              </a:solidFill>
            </a:ln>
          </c:spPr>
          <c:invertIfNegative val="0"/>
          <c:cat>
            <c:strRef>
              <c:f>'population share'!$A$4:$A$8</c:f>
              <c:strCache>
                <c:ptCount val="5"/>
                <c:pt idx="0">
                  <c:v>1988-89</c:v>
                </c:pt>
                <c:pt idx="1">
                  <c:v>1993-94</c:v>
                </c:pt>
                <c:pt idx="2">
                  <c:v>1998-99</c:v>
                </c:pt>
                <c:pt idx="3">
                  <c:v>2003-04</c:v>
                </c:pt>
                <c:pt idx="4">
                  <c:v>2009-10</c:v>
                </c:pt>
              </c:strCache>
            </c:strRef>
          </c:cat>
          <c:val>
            <c:numRef>
              <c:f>'population share'!$D$25:$D$29</c:f>
              <c:numCache>
                <c:formatCode>#,##0</c:formatCode>
                <c:ptCount val="5"/>
                <c:pt idx="0">
                  <c:v>12.917851268796992</c:v>
                </c:pt>
                <c:pt idx="1">
                  <c:v>13.499025586179377</c:v>
                </c:pt>
                <c:pt idx="2">
                  <c:v>12.106237191532362</c:v>
                </c:pt>
                <c:pt idx="3">
                  <c:v>10.629233787368845</c:v>
                </c:pt>
                <c:pt idx="4">
                  <c:v>8.3581998551046901</c:v>
                </c:pt>
              </c:numCache>
            </c:numRef>
          </c:val>
        </c:ser>
        <c:dLbls>
          <c:showLegendKey val="0"/>
          <c:showVal val="0"/>
          <c:showCatName val="0"/>
          <c:showSerName val="0"/>
          <c:showPercent val="0"/>
          <c:showBubbleSize val="0"/>
        </c:dLbls>
        <c:gapWidth val="150"/>
        <c:overlap val="100"/>
        <c:axId val="191808256"/>
        <c:axId val="191809792"/>
      </c:barChart>
      <c:catAx>
        <c:axId val="191808256"/>
        <c:scaling>
          <c:orientation val="minMax"/>
        </c:scaling>
        <c:delete val="0"/>
        <c:axPos val="b"/>
        <c:numFmt formatCode="General" sourceLinked="1"/>
        <c:majorTickMark val="out"/>
        <c:minorTickMark val="none"/>
        <c:tickLblPos val="nextTo"/>
        <c:txPr>
          <a:bodyPr/>
          <a:lstStyle/>
          <a:p>
            <a:pPr>
              <a:defRPr sz="900"/>
            </a:pPr>
            <a:endParaRPr lang="en-US"/>
          </a:p>
        </c:txPr>
        <c:crossAx val="191809792"/>
        <c:crosses val="autoZero"/>
        <c:auto val="1"/>
        <c:lblAlgn val="ctr"/>
        <c:lblOffset val="100"/>
        <c:noMultiLvlLbl val="0"/>
      </c:catAx>
      <c:valAx>
        <c:axId val="191809792"/>
        <c:scaling>
          <c:orientation val="minMax"/>
          <c:max val="100"/>
        </c:scaling>
        <c:delete val="0"/>
        <c:axPos val="l"/>
        <c:majorGridlines/>
        <c:numFmt formatCode="#,##0" sourceLinked="1"/>
        <c:majorTickMark val="out"/>
        <c:minorTickMark val="none"/>
        <c:tickLblPos val="nextTo"/>
        <c:txPr>
          <a:bodyPr/>
          <a:lstStyle/>
          <a:p>
            <a:pPr>
              <a:defRPr sz="900"/>
            </a:pPr>
            <a:endParaRPr lang="en-US"/>
          </a:p>
        </c:txPr>
        <c:crossAx val="191808256"/>
        <c:crosses val="autoZero"/>
        <c:crossBetween val="between"/>
        <c:majorUnit val="20"/>
      </c:valAx>
    </c:plotArea>
    <c:legend>
      <c:legendPos val="b"/>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areaChart>
        <c:grouping val="stacked"/>
        <c:varyColors val="0"/>
        <c:ser>
          <c:idx val="1"/>
          <c:order val="0"/>
          <c:tx>
            <c:v>Within</c:v>
          </c:tx>
          <c:spPr>
            <a:solidFill>
              <a:schemeClr val="accent1">
                <a:lumMod val="75000"/>
              </a:schemeClr>
            </a:solidFill>
            <a:ln>
              <a:solidFill>
                <a:schemeClr val="accent1">
                  <a:lumMod val="75000"/>
                </a:schemeClr>
              </a:solidFill>
            </a:ln>
          </c:spPr>
          <c:cat>
            <c:strRef>
              <c:f>(Sheet1!$B$2,Sheet1!$D$2,Sheet1!$F$2,Sheet1!$H$2,Sheet1!$J$2)</c:f>
              <c:strCache>
                <c:ptCount val="5"/>
                <c:pt idx="0">
                  <c:v>1988-89</c:v>
                </c:pt>
                <c:pt idx="1">
                  <c:v>1993-94</c:v>
                </c:pt>
                <c:pt idx="2">
                  <c:v>1998-99</c:v>
                </c:pt>
                <c:pt idx="3">
                  <c:v>2003-04</c:v>
                </c:pt>
                <c:pt idx="4">
                  <c:v>2009-10</c:v>
                </c:pt>
              </c:strCache>
            </c:strRef>
          </c:cat>
          <c:val>
            <c:numRef>
              <c:f>(Sheet1!$B$7,Sheet1!$D$7,Sheet1!$F$7,Sheet1!$H$7,Sheet1!$J$7)</c:f>
              <c:numCache>
                <c:formatCode>#,##0.000"";\-#,##0.000""</c:formatCode>
                <c:ptCount val="5"/>
                <c:pt idx="0">
                  <c:v>0.15235635638237</c:v>
                </c:pt>
                <c:pt idx="1">
                  <c:v>0.14866679906845093</c:v>
                </c:pt>
                <c:pt idx="2">
                  <c:v>0.15498538315296173</c:v>
                </c:pt>
                <c:pt idx="3">
                  <c:v>0.15429148077964783</c:v>
                </c:pt>
                <c:pt idx="4">
                  <c:v>0.17293697595596313</c:v>
                </c:pt>
              </c:numCache>
            </c:numRef>
          </c:val>
        </c:ser>
        <c:ser>
          <c:idx val="2"/>
          <c:order val="1"/>
          <c:tx>
            <c:v>Overlap</c:v>
          </c:tx>
          <c:spPr>
            <a:pattFill prst="openDmnd">
              <a:fgClr>
                <a:schemeClr val="accent1">
                  <a:lumMod val="75000"/>
                </a:schemeClr>
              </a:fgClr>
              <a:bgClr>
                <a:schemeClr val="bg1"/>
              </a:bgClr>
            </a:pattFill>
            <a:ln>
              <a:solidFill>
                <a:schemeClr val="accent1">
                  <a:lumMod val="75000"/>
                </a:schemeClr>
              </a:solidFill>
            </a:ln>
          </c:spPr>
          <c:cat>
            <c:strRef>
              <c:f>(Sheet1!$B$2,Sheet1!$D$2,Sheet1!$F$2,Sheet1!$H$2,Sheet1!$J$2)</c:f>
              <c:strCache>
                <c:ptCount val="5"/>
                <c:pt idx="0">
                  <c:v>1988-89</c:v>
                </c:pt>
                <c:pt idx="1">
                  <c:v>1993-94</c:v>
                </c:pt>
                <c:pt idx="2">
                  <c:v>1998-99</c:v>
                </c:pt>
                <c:pt idx="3">
                  <c:v>2003-04</c:v>
                </c:pt>
                <c:pt idx="4">
                  <c:v>2009-10</c:v>
                </c:pt>
              </c:strCache>
            </c:strRef>
          </c:cat>
          <c:val>
            <c:numRef>
              <c:f>(Sheet1!$B$8,Sheet1!$D$8,Sheet1!$F$8,Sheet1!$H$8,Sheet1!$J$8)</c:f>
              <c:numCache>
                <c:formatCode>#,##0.000"";\-#,##0.000""</c:formatCode>
                <c:ptCount val="5"/>
                <c:pt idx="0">
                  <c:v>3.8651421666145325E-2</c:v>
                </c:pt>
                <c:pt idx="1">
                  <c:v>3.5618595778942108E-2</c:v>
                </c:pt>
                <c:pt idx="2">
                  <c:v>2.8498848900198936E-2</c:v>
                </c:pt>
                <c:pt idx="3">
                  <c:v>4.5270245522260666E-2</c:v>
                </c:pt>
                <c:pt idx="4">
                  <c:v>4.9807477742433548E-2</c:v>
                </c:pt>
              </c:numCache>
            </c:numRef>
          </c:val>
        </c:ser>
        <c:ser>
          <c:idx val="0"/>
          <c:order val="2"/>
          <c:tx>
            <c:v>Between</c:v>
          </c:tx>
          <c:spPr>
            <a:pattFill prst="pct70">
              <a:fgClr>
                <a:schemeClr val="accent1">
                  <a:lumMod val="75000"/>
                </a:schemeClr>
              </a:fgClr>
              <a:bgClr>
                <a:schemeClr val="bg1"/>
              </a:bgClr>
            </a:pattFill>
            <a:ln>
              <a:solidFill>
                <a:schemeClr val="accent1">
                  <a:lumMod val="75000"/>
                </a:schemeClr>
              </a:solidFill>
            </a:ln>
          </c:spPr>
          <c:cat>
            <c:strRef>
              <c:f>(Sheet1!$B$2,Sheet1!$D$2,Sheet1!$F$2,Sheet1!$H$2,Sheet1!$J$2)</c:f>
              <c:strCache>
                <c:ptCount val="5"/>
                <c:pt idx="0">
                  <c:v>1988-89</c:v>
                </c:pt>
                <c:pt idx="1">
                  <c:v>1993-94</c:v>
                </c:pt>
                <c:pt idx="2">
                  <c:v>1998-99</c:v>
                </c:pt>
                <c:pt idx="3">
                  <c:v>2003-04</c:v>
                </c:pt>
                <c:pt idx="4">
                  <c:v>2009-10</c:v>
                </c:pt>
              </c:strCache>
            </c:strRef>
          </c:cat>
          <c:val>
            <c:numRef>
              <c:f>(Sheet1!$B$6,Sheet1!$D$6,Sheet1!$F$6,Sheet1!$H$6,Sheet1!$J$6)</c:f>
              <c:numCache>
                <c:formatCode>#,##0.000"";\-#,##0.000""</c:formatCode>
                <c:ptCount val="5"/>
                <c:pt idx="0">
                  <c:v>0.14626187086105347</c:v>
                </c:pt>
                <c:pt idx="1">
                  <c:v>0.17333954572677612</c:v>
                </c:pt>
                <c:pt idx="2">
                  <c:v>0.18821623921394348</c:v>
                </c:pt>
                <c:pt idx="3">
                  <c:v>0.1807088702917099</c:v>
                </c:pt>
                <c:pt idx="4">
                  <c:v>0.17782819271087646</c:v>
                </c:pt>
              </c:numCache>
            </c:numRef>
          </c:val>
        </c:ser>
        <c:dLbls>
          <c:showLegendKey val="0"/>
          <c:showVal val="0"/>
          <c:showCatName val="0"/>
          <c:showSerName val="0"/>
          <c:showPercent val="0"/>
          <c:showBubbleSize val="0"/>
        </c:dLbls>
        <c:axId val="254960768"/>
        <c:axId val="254962304"/>
      </c:areaChart>
      <c:catAx>
        <c:axId val="254960768"/>
        <c:scaling>
          <c:orientation val="minMax"/>
        </c:scaling>
        <c:delete val="0"/>
        <c:axPos val="b"/>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54962304"/>
        <c:crosses val="autoZero"/>
        <c:auto val="1"/>
        <c:lblAlgn val="ctr"/>
        <c:lblOffset val="100"/>
        <c:noMultiLvlLbl val="0"/>
      </c:catAx>
      <c:valAx>
        <c:axId val="254962304"/>
        <c:scaling>
          <c:orientation val="minMax"/>
        </c:scaling>
        <c:delete val="0"/>
        <c:axPos val="l"/>
        <c:majorGridlines/>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Absolute contribution to gini</a:t>
                </a:r>
              </a:p>
            </c:rich>
          </c:tx>
          <c:overlay val="0"/>
        </c:title>
        <c:numFmt formatCode="#,##0.0" sourceLinked="0"/>
        <c:majorTickMark val="out"/>
        <c:minorTickMark val="none"/>
        <c:tickLblPos val="nextTo"/>
        <c:txPr>
          <a:bodyPr/>
          <a:lstStyle/>
          <a:p>
            <a:pPr>
              <a:defRPr sz="900">
                <a:latin typeface="Arial" pitchFamily="34" charset="0"/>
                <a:cs typeface="Arial" pitchFamily="34" charset="0"/>
              </a:defRPr>
            </a:pPr>
            <a:endParaRPr lang="en-US"/>
          </a:p>
        </c:txPr>
        <c:crossAx val="254960768"/>
        <c:crosses val="autoZero"/>
        <c:crossBetween val="midCat"/>
        <c:majorUnit val="0.1"/>
      </c:valAx>
    </c:plotArea>
    <c:legend>
      <c:legendPos val="b"/>
      <c:overlay val="0"/>
      <c:txPr>
        <a:bodyPr/>
        <a:lstStyle/>
        <a:p>
          <a:pPr>
            <a:defRPr sz="1000">
              <a:latin typeface="Arial" pitchFamily="34" charset="0"/>
              <a:cs typeface="Arial" pitchFamily="34" charset="0"/>
            </a:defRPr>
          </a:pPr>
          <a:endParaRPr lang="en-US"/>
        </a:p>
      </c:txPr>
    </c:legend>
    <c:plotVisOnly val="1"/>
    <c:dispBlanksAs val="zero"/>
    <c:showDLblsOverMax val="0"/>
  </c:chart>
  <c:spPr>
    <a:ln>
      <a:no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Sheet1!$A$6</c:f>
              <c:strCache>
                <c:ptCount val="1"/>
                <c:pt idx="0">
                  <c:v>Between</c:v>
                </c:pt>
              </c:strCache>
            </c:strRef>
          </c:tx>
          <c:spPr>
            <a:pattFill prst="pct30">
              <a:fgClr>
                <a:schemeClr val="accent1">
                  <a:lumMod val="75000"/>
                </a:schemeClr>
              </a:fgClr>
              <a:bgClr>
                <a:schemeClr val="bg1"/>
              </a:bgClr>
            </a:pattFill>
            <a:ln>
              <a:solidFill>
                <a:schemeClr val="accent1">
                  <a:lumMod val="75000"/>
                </a:schemeClr>
              </a:solidFill>
            </a:ln>
          </c:spPr>
          <c:invertIfNegative val="0"/>
          <c:cat>
            <c:strRef>
              <c:f>(Sheet1!$B$2,Sheet1!$D$2,Sheet1!$F$2,Sheet1!$H$2,Sheet1!$J$2)</c:f>
              <c:strCache>
                <c:ptCount val="5"/>
                <c:pt idx="0">
                  <c:v>1988-89</c:v>
                </c:pt>
                <c:pt idx="1">
                  <c:v>1993-94</c:v>
                </c:pt>
                <c:pt idx="2">
                  <c:v>1998-99</c:v>
                </c:pt>
                <c:pt idx="3">
                  <c:v>2003-04</c:v>
                </c:pt>
                <c:pt idx="4">
                  <c:v>2009-10</c:v>
                </c:pt>
              </c:strCache>
            </c:strRef>
          </c:cat>
          <c:val>
            <c:numRef>
              <c:f>(Sheet1!$C$6,Sheet1!$E$6,Sheet1!$G$6,Sheet1!$I$6,Sheet1!$K$6)</c:f>
              <c:numCache>
                <c:formatCode>#,##0.000"";\-#,##0.000""</c:formatCode>
                <c:ptCount val="5"/>
                <c:pt idx="0">
                  <c:v>43.366447448730469</c:v>
                </c:pt>
                <c:pt idx="1">
                  <c:v>48.469646453857422</c:v>
                </c:pt>
                <c:pt idx="2">
                  <c:v>50.63653564453125</c:v>
                </c:pt>
                <c:pt idx="3">
                  <c:v>47.521125793457031</c:v>
                </c:pt>
                <c:pt idx="4">
                  <c:v>44.39349365234375</c:v>
                </c:pt>
              </c:numCache>
            </c:numRef>
          </c:val>
        </c:ser>
        <c:ser>
          <c:idx val="1"/>
          <c:order val="1"/>
          <c:tx>
            <c:strRef>
              <c:f>Sheet1!$A$7</c:f>
              <c:strCache>
                <c:ptCount val="1"/>
                <c:pt idx="0">
                  <c:v>Within</c:v>
                </c:pt>
              </c:strCache>
            </c:strRef>
          </c:tx>
          <c:spPr>
            <a:pattFill prst="lgCheck">
              <a:fgClr>
                <a:schemeClr val="accent1">
                  <a:lumMod val="75000"/>
                </a:schemeClr>
              </a:fgClr>
              <a:bgClr>
                <a:schemeClr val="bg1"/>
              </a:bgClr>
            </a:pattFill>
            <a:ln>
              <a:solidFill>
                <a:schemeClr val="accent1">
                  <a:lumMod val="75000"/>
                </a:schemeClr>
              </a:solidFill>
            </a:ln>
          </c:spPr>
          <c:invertIfNegative val="0"/>
          <c:cat>
            <c:strRef>
              <c:f>(Sheet1!$B$2,Sheet1!$D$2,Sheet1!$F$2,Sheet1!$H$2,Sheet1!$J$2)</c:f>
              <c:strCache>
                <c:ptCount val="5"/>
                <c:pt idx="0">
                  <c:v>1988-89</c:v>
                </c:pt>
                <c:pt idx="1">
                  <c:v>1993-94</c:v>
                </c:pt>
                <c:pt idx="2">
                  <c:v>1998-99</c:v>
                </c:pt>
                <c:pt idx="3">
                  <c:v>2003-04</c:v>
                </c:pt>
                <c:pt idx="4">
                  <c:v>2009-10</c:v>
                </c:pt>
              </c:strCache>
            </c:strRef>
          </c:cat>
          <c:val>
            <c:numRef>
              <c:f>(Sheet1!$C$7,Sheet1!$E$7,Sheet1!$G$7,Sheet1!$I$7,Sheet1!$K$7)</c:f>
              <c:numCache>
                <c:formatCode>#,##0.000"";\-#,##0.000""</c:formatCode>
                <c:ptCount val="5"/>
                <c:pt idx="0">
                  <c:v>45.173458099365234</c:v>
                </c:pt>
                <c:pt idx="1">
                  <c:v>41.570590972900391</c:v>
                </c:pt>
                <c:pt idx="2">
                  <c:v>41.696311950683594</c:v>
                </c:pt>
                <c:pt idx="3">
                  <c:v>40.574131011962891</c:v>
                </c:pt>
                <c:pt idx="4">
                  <c:v>43.172435760498047</c:v>
                </c:pt>
              </c:numCache>
            </c:numRef>
          </c:val>
        </c:ser>
        <c:ser>
          <c:idx val="2"/>
          <c:order val="2"/>
          <c:tx>
            <c:strRef>
              <c:f>Sheet1!$A$8</c:f>
              <c:strCache>
                <c:ptCount val="1"/>
                <c:pt idx="0">
                  <c:v>Overlap</c:v>
                </c:pt>
              </c:strCache>
            </c:strRef>
          </c:tx>
          <c:spPr>
            <a:solidFill>
              <a:schemeClr val="accent1">
                <a:lumMod val="75000"/>
              </a:schemeClr>
            </a:solidFill>
            <a:ln>
              <a:solidFill>
                <a:schemeClr val="accent1">
                  <a:lumMod val="75000"/>
                </a:schemeClr>
              </a:solidFill>
            </a:ln>
          </c:spPr>
          <c:invertIfNegative val="0"/>
          <c:cat>
            <c:strRef>
              <c:f>(Sheet1!$B$2,Sheet1!$D$2,Sheet1!$F$2,Sheet1!$H$2,Sheet1!$J$2)</c:f>
              <c:strCache>
                <c:ptCount val="5"/>
                <c:pt idx="0">
                  <c:v>1988-89</c:v>
                </c:pt>
                <c:pt idx="1">
                  <c:v>1993-94</c:v>
                </c:pt>
                <c:pt idx="2">
                  <c:v>1998-99</c:v>
                </c:pt>
                <c:pt idx="3">
                  <c:v>2003-04</c:v>
                </c:pt>
                <c:pt idx="4">
                  <c:v>2009-10</c:v>
                </c:pt>
              </c:strCache>
            </c:strRef>
          </c:cat>
          <c:val>
            <c:numRef>
              <c:f>(Sheet1!$C$8,Sheet1!$E$8,Sheet1!$G$8,Sheet1!$I$8,Sheet1!$K$8)</c:f>
              <c:numCache>
                <c:formatCode>#,##0.000"";\-#,##0.000""</c:formatCode>
                <c:ptCount val="5"/>
                <c:pt idx="0">
                  <c:v>11.460094451904297</c:v>
                </c:pt>
                <c:pt idx="1">
                  <c:v>9.9597625732421875</c:v>
                </c:pt>
                <c:pt idx="2">
                  <c:v>7.6671543121337891</c:v>
                </c:pt>
                <c:pt idx="3">
                  <c:v>11.904745101928711</c:v>
                </c:pt>
                <c:pt idx="4">
                  <c:v>12.43406867980957</c:v>
                </c:pt>
              </c:numCache>
            </c:numRef>
          </c:val>
        </c:ser>
        <c:dLbls>
          <c:showLegendKey val="0"/>
          <c:showVal val="0"/>
          <c:showCatName val="0"/>
          <c:showSerName val="0"/>
          <c:showPercent val="0"/>
          <c:showBubbleSize val="0"/>
        </c:dLbls>
        <c:gapWidth val="150"/>
        <c:axId val="255138048"/>
        <c:axId val="255164416"/>
      </c:barChart>
      <c:lineChart>
        <c:grouping val="standard"/>
        <c:varyColors val="0"/>
        <c:ser>
          <c:idx val="3"/>
          <c:order val="3"/>
          <c:tx>
            <c:v>gini</c:v>
          </c:tx>
          <c:spPr>
            <a:ln>
              <a:solidFill>
                <a:srgbClr val="C00000"/>
              </a:solidFill>
            </a:ln>
          </c:spPr>
          <c:marker>
            <c:symbol val="none"/>
          </c:marker>
          <c:val>
            <c:numRef>
              <c:f>(Sheet1!$B$5,Sheet1!$D$5,Sheet1!$F$5,Sheet1!$H$5,Sheet1!$J$5)</c:f>
              <c:numCache>
                <c:formatCode>#,##0.000"";\-#,##0.000""</c:formatCode>
                <c:ptCount val="5"/>
                <c:pt idx="0">
                  <c:v>0.33726966381072998</c:v>
                </c:pt>
                <c:pt idx="1">
                  <c:v>0.35762491822242737</c:v>
                </c:pt>
                <c:pt idx="2">
                  <c:v>0.3717004656791687</c:v>
                </c:pt>
                <c:pt idx="3">
                  <c:v>0.38027060031890869</c:v>
                </c:pt>
                <c:pt idx="4">
                  <c:v>0.40057265758514404</c:v>
                </c:pt>
              </c:numCache>
            </c:numRef>
          </c:val>
          <c:smooth val="0"/>
        </c:ser>
        <c:dLbls>
          <c:showLegendKey val="0"/>
          <c:showVal val="0"/>
          <c:showCatName val="0"/>
          <c:showSerName val="0"/>
          <c:showPercent val="0"/>
          <c:showBubbleSize val="0"/>
        </c:dLbls>
        <c:marker val="1"/>
        <c:smooth val="0"/>
        <c:axId val="255168512"/>
        <c:axId val="255166336"/>
      </c:lineChart>
      <c:catAx>
        <c:axId val="255138048"/>
        <c:scaling>
          <c:orientation val="minMax"/>
        </c:scaling>
        <c:delete val="0"/>
        <c:axPos val="b"/>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55164416"/>
        <c:crosses val="autoZero"/>
        <c:auto val="1"/>
        <c:lblAlgn val="ctr"/>
        <c:lblOffset val="100"/>
        <c:noMultiLvlLbl val="0"/>
      </c:catAx>
      <c:valAx>
        <c:axId val="255164416"/>
        <c:scaling>
          <c:orientation val="minMax"/>
        </c:scaling>
        <c:delete val="0"/>
        <c:axPos val="l"/>
        <c:majorGridlines/>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Percent of Gini (bars)</a:t>
                </a:r>
              </a:p>
            </c:rich>
          </c:tx>
          <c:overlay val="0"/>
        </c:title>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255138048"/>
        <c:crosses val="autoZero"/>
        <c:crossBetween val="between"/>
      </c:valAx>
      <c:valAx>
        <c:axId val="255166336"/>
        <c:scaling>
          <c:orientation val="minMax"/>
          <c:min val="0"/>
        </c:scaling>
        <c:delete val="0"/>
        <c:axPos val="r"/>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Gini coefficient (line)</a:t>
                </a:r>
              </a:p>
            </c:rich>
          </c:tx>
          <c:overlay val="0"/>
        </c:title>
        <c:numFmt formatCode="#,##0.0" sourceLinked="0"/>
        <c:majorTickMark val="out"/>
        <c:minorTickMark val="none"/>
        <c:tickLblPos val="nextTo"/>
        <c:txPr>
          <a:bodyPr/>
          <a:lstStyle/>
          <a:p>
            <a:pPr>
              <a:defRPr sz="900">
                <a:latin typeface="Arial" pitchFamily="34" charset="0"/>
                <a:cs typeface="Arial" pitchFamily="34" charset="0"/>
              </a:defRPr>
            </a:pPr>
            <a:endParaRPr lang="en-US"/>
          </a:p>
        </c:txPr>
        <c:crossAx val="255168512"/>
        <c:crosses val="max"/>
        <c:crossBetween val="between"/>
        <c:majorUnit val="0.1"/>
      </c:valAx>
      <c:catAx>
        <c:axId val="255168512"/>
        <c:scaling>
          <c:orientation val="minMax"/>
        </c:scaling>
        <c:delete val="1"/>
        <c:axPos val="b"/>
        <c:majorTickMark val="out"/>
        <c:minorTickMark val="none"/>
        <c:tickLblPos val="nextTo"/>
        <c:crossAx val="255166336"/>
        <c:crosses val="autoZero"/>
        <c:auto val="1"/>
        <c:lblAlgn val="ctr"/>
        <c:lblOffset val="100"/>
        <c:noMultiLvlLbl val="0"/>
      </c:catAx>
    </c:plotArea>
    <c:legend>
      <c:legendPos val="b"/>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496527777777779"/>
          <c:y val="3.444888888888889E-2"/>
          <c:w val="0.69550717592592592"/>
          <c:h val="0.77742"/>
        </c:manualLayout>
      </c:layout>
      <c:barChart>
        <c:barDir val="col"/>
        <c:grouping val="clustered"/>
        <c:varyColors val="0"/>
        <c:ser>
          <c:idx val="0"/>
          <c:order val="0"/>
          <c:tx>
            <c:strRef>
              <c:f>'working hours income deciles'!$B$4</c:f>
              <c:strCache>
                <c:ptCount val="1"/>
                <c:pt idx="0">
                  <c:v>1998-99</c:v>
                </c:pt>
              </c:strCache>
            </c:strRef>
          </c:tx>
          <c:spPr>
            <a:pattFill prst="pct30">
              <a:fgClr>
                <a:schemeClr val="accent1">
                  <a:lumMod val="75000"/>
                </a:schemeClr>
              </a:fgClr>
              <a:bgClr>
                <a:schemeClr val="bg1"/>
              </a:bgClr>
            </a:pattFill>
            <a:ln>
              <a:solidFill>
                <a:schemeClr val="accent1">
                  <a:lumMod val="75000"/>
                </a:schemeClr>
              </a:solidFill>
            </a:ln>
          </c:spPr>
          <c:invertIfNegative val="0"/>
          <c:val>
            <c:numRef>
              <c:f>'working hours income deciles'!$B$5:$B$14</c:f>
              <c:numCache>
                <c:formatCode>0.0</c:formatCode>
                <c:ptCount val="10"/>
                <c:pt idx="0">
                  <c:v>42.537559999999999</c:v>
                </c:pt>
                <c:pt idx="1">
                  <c:v>41.959032000000001</c:v>
                </c:pt>
                <c:pt idx="2">
                  <c:v>41.374209999999998</c:v>
                </c:pt>
                <c:pt idx="3">
                  <c:v>42.677472000000002</c:v>
                </c:pt>
                <c:pt idx="4">
                  <c:v>42.432153999999997</c:v>
                </c:pt>
                <c:pt idx="5">
                  <c:v>44.042665</c:v>
                </c:pt>
                <c:pt idx="6">
                  <c:v>45.519775000000003</c:v>
                </c:pt>
                <c:pt idx="7">
                  <c:v>46.621853999999999</c:v>
                </c:pt>
                <c:pt idx="8">
                  <c:v>47.957822999999998</c:v>
                </c:pt>
                <c:pt idx="9">
                  <c:v>52.203245000000003</c:v>
                </c:pt>
              </c:numCache>
            </c:numRef>
          </c:val>
        </c:ser>
        <c:ser>
          <c:idx val="1"/>
          <c:order val="1"/>
          <c:tx>
            <c:strRef>
              <c:f>'working hours income deciles'!$C$4</c:f>
              <c:strCache>
                <c:ptCount val="1"/>
                <c:pt idx="0">
                  <c:v>2003-04</c:v>
                </c:pt>
              </c:strCache>
            </c:strRef>
          </c:tx>
          <c:spPr>
            <a:pattFill prst="lgCheck">
              <a:fgClr>
                <a:schemeClr val="accent1">
                  <a:lumMod val="75000"/>
                </a:schemeClr>
              </a:fgClr>
              <a:bgClr>
                <a:schemeClr val="bg1"/>
              </a:bgClr>
            </a:pattFill>
            <a:ln>
              <a:solidFill>
                <a:schemeClr val="accent1">
                  <a:lumMod val="75000"/>
                </a:schemeClr>
              </a:solidFill>
            </a:ln>
          </c:spPr>
          <c:invertIfNegative val="0"/>
          <c:val>
            <c:numRef>
              <c:f>'working hours income deciles'!$C$5:$C$14</c:f>
              <c:numCache>
                <c:formatCode>0.0</c:formatCode>
                <c:ptCount val="10"/>
                <c:pt idx="0">
                  <c:v>42.969779000000003</c:v>
                </c:pt>
                <c:pt idx="1">
                  <c:v>41.396602999999999</c:v>
                </c:pt>
                <c:pt idx="2">
                  <c:v>42.318413999999997</c:v>
                </c:pt>
                <c:pt idx="3">
                  <c:v>43.232923999999997</c:v>
                </c:pt>
                <c:pt idx="4">
                  <c:v>44.258564</c:v>
                </c:pt>
                <c:pt idx="5">
                  <c:v>45.430599000000001</c:v>
                </c:pt>
                <c:pt idx="6">
                  <c:v>46.784345999999999</c:v>
                </c:pt>
                <c:pt idx="7">
                  <c:v>48.344492000000002</c:v>
                </c:pt>
                <c:pt idx="8">
                  <c:v>48.965693999999999</c:v>
                </c:pt>
                <c:pt idx="9">
                  <c:v>52.788068000000003</c:v>
                </c:pt>
              </c:numCache>
            </c:numRef>
          </c:val>
        </c:ser>
        <c:ser>
          <c:idx val="2"/>
          <c:order val="2"/>
          <c:tx>
            <c:strRef>
              <c:f>'working hours income deciles'!$D$4</c:f>
              <c:strCache>
                <c:ptCount val="1"/>
                <c:pt idx="0">
                  <c:v>2009-10</c:v>
                </c:pt>
              </c:strCache>
            </c:strRef>
          </c:tx>
          <c:spPr>
            <a:solidFill>
              <a:schemeClr val="accent1">
                <a:lumMod val="75000"/>
              </a:schemeClr>
            </a:solidFill>
            <a:ln>
              <a:solidFill>
                <a:schemeClr val="accent1">
                  <a:lumMod val="75000"/>
                </a:schemeClr>
              </a:solidFill>
            </a:ln>
          </c:spPr>
          <c:invertIfNegative val="0"/>
          <c:val>
            <c:numRef>
              <c:f>'working hours income deciles'!$D$5:$D$14</c:f>
              <c:numCache>
                <c:formatCode>0.0</c:formatCode>
                <c:ptCount val="10"/>
                <c:pt idx="0">
                  <c:v>41.783620999999997</c:v>
                </c:pt>
                <c:pt idx="1">
                  <c:v>41.158782000000002</c:v>
                </c:pt>
                <c:pt idx="2">
                  <c:v>42.468955999999999</c:v>
                </c:pt>
                <c:pt idx="3">
                  <c:v>42.798454999999997</c:v>
                </c:pt>
                <c:pt idx="4">
                  <c:v>44.274092000000003</c:v>
                </c:pt>
                <c:pt idx="5">
                  <c:v>45.292056000000002</c:v>
                </c:pt>
                <c:pt idx="6">
                  <c:v>45.450198</c:v>
                </c:pt>
                <c:pt idx="7">
                  <c:v>47.442712999999998</c:v>
                </c:pt>
                <c:pt idx="8">
                  <c:v>49.545126000000003</c:v>
                </c:pt>
                <c:pt idx="9">
                  <c:v>51.416029000000002</c:v>
                </c:pt>
              </c:numCache>
            </c:numRef>
          </c:val>
        </c:ser>
        <c:dLbls>
          <c:showLegendKey val="0"/>
          <c:showVal val="0"/>
          <c:showCatName val="0"/>
          <c:showSerName val="0"/>
          <c:showPercent val="0"/>
          <c:showBubbleSize val="0"/>
        </c:dLbls>
        <c:gapWidth val="103"/>
        <c:axId val="257771392"/>
        <c:axId val="262287360"/>
      </c:barChart>
      <c:catAx>
        <c:axId val="257771392"/>
        <c:scaling>
          <c:orientation val="minMax"/>
        </c:scaling>
        <c:delete val="0"/>
        <c:axPos val="b"/>
        <c:title>
          <c:tx>
            <c:rich>
              <a:bodyPr/>
              <a:lstStyle/>
              <a:p>
                <a:pPr>
                  <a:defRPr b="0">
                    <a:latin typeface="Arial" pitchFamily="34" charset="0"/>
                    <a:cs typeface="Arial" pitchFamily="34" charset="0"/>
                  </a:defRPr>
                </a:pPr>
                <a:r>
                  <a:rPr lang="en-US" b="0">
                    <a:latin typeface="Arial" pitchFamily="34" charset="0"/>
                    <a:cs typeface="Arial" pitchFamily="34" charset="0"/>
                  </a:rPr>
                  <a:t>Weekly labour income decile</a:t>
                </a:r>
              </a:p>
            </c:rich>
          </c:tx>
          <c:layout/>
          <c:overlay val="0"/>
        </c:title>
        <c:majorTickMark val="out"/>
        <c:minorTickMark val="none"/>
        <c:tickLblPos val="nextTo"/>
        <c:txPr>
          <a:bodyPr/>
          <a:lstStyle/>
          <a:p>
            <a:pPr>
              <a:defRPr sz="900">
                <a:latin typeface="Arial" pitchFamily="34" charset="0"/>
                <a:cs typeface="Arial" pitchFamily="34" charset="0"/>
              </a:defRPr>
            </a:pPr>
            <a:endParaRPr lang="en-US"/>
          </a:p>
        </c:txPr>
        <c:crossAx val="262287360"/>
        <c:crosses val="autoZero"/>
        <c:auto val="1"/>
        <c:lblAlgn val="ctr"/>
        <c:lblOffset val="100"/>
        <c:noMultiLvlLbl val="0"/>
      </c:catAx>
      <c:valAx>
        <c:axId val="262287360"/>
        <c:scaling>
          <c:orientation val="minMax"/>
        </c:scaling>
        <c:delete val="0"/>
        <c:axPos val="l"/>
        <c:majorGridlines/>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Hours worked per week</a:t>
                </a:r>
              </a:p>
            </c:rich>
          </c:tx>
          <c:layout/>
          <c:overlay val="0"/>
        </c:title>
        <c:numFmt formatCode="0.0" sourceLinked="1"/>
        <c:majorTickMark val="out"/>
        <c:minorTickMark val="none"/>
        <c:tickLblPos val="nextTo"/>
        <c:txPr>
          <a:bodyPr/>
          <a:lstStyle/>
          <a:p>
            <a:pPr>
              <a:defRPr sz="900">
                <a:latin typeface="Arial" pitchFamily="34" charset="0"/>
                <a:cs typeface="Arial" pitchFamily="34" charset="0"/>
              </a:defRPr>
            </a:pPr>
            <a:endParaRPr lang="en-US"/>
          </a:p>
        </c:txPr>
        <c:crossAx val="257771392"/>
        <c:crosses val="autoZero"/>
        <c:crossBetween val="between"/>
        <c:majorUnit val="20"/>
      </c:valAx>
    </c:plotArea>
    <c:legend>
      <c:legendPos val="r"/>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710578703703704"/>
          <c:y val="3.444888888888889E-2"/>
          <c:w val="0.7133666666666667"/>
          <c:h val="0.75625333333333333"/>
        </c:manualLayout>
      </c:layout>
      <c:barChart>
        <c:barDir val="col"/>
        <c:grouping val="clustered"/>
        <c:varyColors val="0"/>
        <c:ser>
          <c:idx val="0"/>
          <c:order val="0"/>
          <c:tx>
            <c:strRef>
              <c:f>'working hours income deciles'!$G$4</c:f>
              <c:strCache>
                <c:ptCount val="1"/>
                <c:pt idx="0">
                  <c:v>1998-99</c:v>
                </c:pt>
              </c:strCache>
            </c:strRef>
          </c:tx>
          <c:spPr>
            <a:pattFill prst="pct30">
              <a:fgClr>
                <a:schemeClr val="accent1">
                  <a:lumMod val="75000"/>
                </a:schemeClr>
              </a:fgClr>
              <a:bgClr>
                <a:schemeClr val="bg1"/>
              </a:bgClr>
            </a:pattFill>
            <a:ln>
              <a:solidFill>
                <a:schemeClr val="accent1">
                  <a:lumMod val="75000"/>
                </a:schemeClr>
              </a:solidFill>
            </a:ln>
          </c:spPr>
          <c:invertIfNegative val="0"/>
          <c:val>
            <c:numRef>
              <c:f>'working hours income deciles'!$G$5:$G$14</c:f>
              <c:numCache>
                <c:formatCode>0.0</c:formatCode>
                <c:ptCount val="10"/>
                <c:pt idx="0">
                  <c:v>7.3465762000000003</c:v>
                </c:pt>
                <c:pt idx="1">
                  <c:v>9.0597034000000001</c:v>
                </c:pt>
                <c:pt idx="2">
                  <c:v>11.141124</c:v>
                </c:pt>
                <c:pt idx="3">
                  <c:v>14.149384</c:v>
                </c:pt>
                <c:pt idx="4">
                  <c:v>17.194499</c:v>
                </c:pt>
                <c:pt idx="5">
                  <c:v>20.295639999999999</c:v>
                </c:pt>
                <c:pt idx="6">
                  <c:v>23.305885</c:v>
                </c:pt>
                <c:pt idx="7">
                  <c:v>23.395097</c:v>
                </c:pt>
                <c:pt idx="8">
                  <c:v>25.082436000000001</c:v>
                </c:pt>
                <c:pt idx="9">
                  <c:v>25.235066</c:v>
                </c:pt>
              </c:numCache>
            </c:numRef>
          </c:val>
        </c:ser>
        <c:ser>
          <c:idx val="1"/>
          <c:order val="1"/>
          <c:tx>
            <c:strRef>
              <c:f>'working hours income deciles'!$H$4</c:f>
              <c:strCache>
                <c:ptCount val="1"/>
                <c:pt idx="0">
                  <c:v>2003-04</c:v>
                </c:pt>
              </c:strCache>
            </c:strRef>
          </c:tx>
          <c:spPr>
            <a:pattFill prst="lgCheck">
              <a:fgClr>
                <a:schemeClr val="accent1">
                  <a:lumMod val="75000"/>
                </a:schemeClr>
              </a:fgClr>
              <a:bgClr>
                <a:schemeClr val="bg1"/>
              </a:bgClr>
            </a:pattFill>
            <a:ln>
              <a:solidFill>
                <a:schemeClr val="accent1">
                  <a:lumMod val="75000"/>
                </a:schemeClr>
              </a:solidFill>
            </a:ln>
          </c:spPr>
          <c:invertIfNegative val="0"/>
          <c:val>
            <c:numRef>
              <c:f>'working hours income deciles'!$H$5:$H$14</c:f>
              <c:numCache>
                <c:formatCode>0.0</c:formatCode>
                <c:ptCount val="10"/>
                <c:pt idx="0">
                  <c:v>6.1919222999999999</c:v>
                </c:pt>
                <c:pt idx="1">
                  <c:v>9.8420238999999992</c:v>
                </c:pt>
                <c:pt idx="2">
                  <c:v>12.671996999999999</c:v>
                </c:pt>
                <c:pt idx="3">
                  <c:v>16.343899</c:v>
                </c:pt>
                <c:pt idx="4">
                  <c:v>19.773284</c:v>
                </c:pt>
                <c:pt idx="5">
                  <c:v>23.064271000000002</c:v>
                </c:pt>
                <c:pt idx="6">
                  <c:v>25.253063999999998</c:v>
                </c:pt>
                <c:pt idx="7">
                  <c:v>27.888480999999999</c:v>
                </c:pt>
                <c:pt idx="8">
                  <c:v>28.841819000000001</c:v>
                </c:pt>
                <c:pt idx="9">
                  <c:v>29.078337000000001</c:v>
                </c:pt>
              </c:numCache>
            </c:numRef>
          </c:val>
        </c:ser>
        <c:ser>
          <c:idx val="2"/>
          <c:order val="2"/>
          <c:tx>
            <c:strRef>
              <c:f>'working hours income deciles'!$I$4</c:f>
              <c:strCache>
                <c:ptCount val="1"/>
                <c:pt idx="0">
                  <c:v>2009-10</c:v>
                </c:pt>
              </c:strCache>
            </c:strRef>
          </c:tx>
          <c:spPr>
            <a:solidFill>
              <a:schemeClr val="accent1">
                <a:lumMod val="75000"/>
              </a:schemeClr>
            </a:solidFill>
            <a:ln>
              <a:solidFill>
                <a:schemeClr val="accent1">
                  <a:lumMod val="75000"/>
                </a:schemeClr>
              </a:solidFill>
            </a:ln>
          </c:spPr>
          <c:invertIfNegative val="0"/>
          <c:val>
            <c:numRef>
              <c:f>'working hours income deciles'!$I$5:$I$14</c:f>
              <c:numCache>
                <c:formatCode>0.0</c:formatCode>
                <c:ptCount val="10"/>
                <c:pt idx="0">
                  <c:v>7.2545897000000004</c:v>
                </c:pt>
                <c:pt idx="1">
                  <c:v>10.477086</c:v>
                </c:pt>
                <c:pt idx="2">
                  <c:v>13.757842</c:v>
                </c:pt>
                <c:pt idx="3">
                  <c:v>18.291971</c:v>
                </c:pt>
                <c:pt idx="4">
                  <c:v>21.846211</c:v>
                </c:pt>
                <c:pt idx="5">
                  <c:v>23.220103999999999</c:v>
                </c:pt>
                <c:pt idx="6">
                  <c:v>25.966697</c:v>
                </c:pt>
                <c:pt idx="7">
                  <c:v>27.259284999999998</c:v>
                </c:pt>
                <c:pt idx="8">
                  <c:v>27.005739999999999</c:v>
                </c:pt>
                <c:pt idx="9">
                  <c:v>28.891231000000001</c:v>
                </c:pt>
              </c:numCache>
            </c:numRef>
          </c:val>
        </c:ser>
        <c:dLbls>
          <c:showLegendKey val="0"/>
          <c:showVal val="0"/>
          <c:showCatName val="0"/>
          <c:showSerName val="0"/>
          <c:showPercent val="0"/>
          <c:showBubbleSize val="0"/>
        </c:dLbls>
        <c:gapWidth val="120"/>
        <c:axId val="262313856"/>
        <c:axId val="262316032"/>
      </c:barChart>
      <c:catAx>
        <c:axId val="262313856"/>
        <c:scaling>
          <c:orientation val="minMax"/>
        </c:scaling>
        <c:delete val="0"/>
        <c:axPos val="b"/>
        <c:title>
          <c:tx>
            <c:rich>
              <a:bodyPr/>
              <a:lstStyle/>
              <a:p>
                <a:pPr>
                  <a:defRPr b="0"/>
                </a:pPr>
                <a:r>
                  <a:rPr lang="en-US" b="0"/>
                  <a:t>Weekly labour income decile</a:t>
                </a:r>
              </a:p>
            </c:rich>
          </c:tx>
          <c:layout/>
          <c:overlay val="0"/>
        </c:title>
        <c:majorTickMark val="out"/>
        <c:minorTickMark val="none"/>
        <c:tickLblPos val="nextTo"/>
        <c:crossAx val="262316032"/>
        <c:crosses val="autoZero"/>
        <c:auto val="1"/>
        <c:lblAlgn val="ctr"/>
        <c:lblOffset val="100"/>
        <c:noMultiLvlLbl val="0"/>
      </c:catAx>
      <c:valAx>
        <c:axId val="262316032"/>
        <c:scaling>
          <c:orientation val="minMax"/>
          <c:max val="30"/>
        </c:scaling>
        <c:delete val="0"/>
        <c:axPos val="l"/>
        <c:majorGridlines/>
        <c:title>
          <c:tx>
            <c:rich>
              <a:bodyPr rot="-5400000" vert="horz"/>
              <a:lstStyle/>
              <a:p>
                <a:pPr>
                  <a:defRPr b="0"/>
                </a:pPr>
                <a:r>
                  <a:rPr lang="en-US" b="0"/>
                  <a:t>Hours worked per week</a:t>
                </a:r>
              </a:p>
            </c:rich>
          </c:tx>
          <c:layout/>
          <c:overlay val="0"/>
        </c:title>
        <c:numFmt formatCode="0" sourceLinked="0"/>
        <c:majorTickMark val="out"/>
        <c:minorTickMark val="none"/>
        <c:tickLblPos val="nextTo"/>
        <c:txPr>
          <a:bodyPr/>
          <a:lstStyle/>
          <a:p>
            <a:pPr>
              <a:defRPr sz="900"/>
            </a:pPr>
            <a:endParaRPr lang="en-US"/>
          </a:p>
        </c:txPr>
        <c:crossAx val="262313856"/>
        <c:crosses val="autoZero"/>
        <c:crossBetween val="between"/>
        <c:majorUnit val="10"/>
      </c:valAx>
    </c:plotArea>
    <c:legend>
      <c:legendPos val="r"/>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329943132108487"/>
          <c:y val="5.1400554097404488E-2"/>
          <c:w val="0.84053433945756784"/>
          <c:h val="0.77819166666666661"/>
        </c:manualLayout>
      </c:layout>
      <c:barChart>
        <c:barDir val="col"/>
        <c:grouping val="clustered"/>
        <c:varyColors val="0"/>
        <c:ser>
          <c:idx val="0"/>
          <c:order val="0"/>
          <c:tx>
            <c:v>full-time workers</c:v>
          </c:tx>
          <c:spPr>
            <a:solidFill>
              <a:schemeClr val="accent1">
                <a:lumMod val="75000"/>
              </a:schemeClr>
            </a:solidFill>
            <a:ln>
              <a:solidFill>
                <a:schemeClr val="accent1">
                  <a:lumMod val="75000"/>
                </a:schemeClr>
              </a:solidFill>
            </a:ln>
          </c:spPr>
          <c:invertIfNegative val="0"/>
          <c:cat>
            <c:strRef>
              <c:f>('working hours income deciles'!$A$5:$A$14,'working hours income deciles'!$A$16)</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('working hours income deciles'!$E$5:$E$14,'working hours income deciles'!$E$16)</c:f>
              <c:numCache>
                <c:formatCode>#,##0.0</c:formatCode>
                <c:ptCount val="11"/>
                <c:pt idx="0">
                  <c:v>-1.7724077262541682</c:v>
                </c:pt>
                <c:pt idx="1">
                  <c:v>-1.9072174972959299</c:v>
                </c:pt>
                <c:pt idx="2">
                  <c:v>2.6459623035702693</c:v>
                </c:pt>
                <c:pt idx="3">
                  <c:v>0.28348211440451626</c:v>
                </c:pt>
                <c:pt idx="4">
                  <c:v>4.3409014776860166</c:v>
                </c:pt>
                <c:pt idx="5">
                  <c:v>2.8367742960150184</c:v>
                </c:pt>
                <c:pt idx="6">
                  <c:v>-0.15285005253211914</c:v>
                </c:pt>
                <c:pt idx="7">
                  <c:v>1.7606742966506623</c:v>
                </c:pt>
                <c:pt idx="8">
                  <c:v>3.3097895206794639</c:v>
                </c:pt>
                <c:pt idx="9">
                  <c:v>-1.5079828849719989</c:v>
                </c:pt>
                <c:pt idx="10">
                  <c:v>0.96138709604876904</c:v>
                </c:pt>
              </c:numCache>
            </c:numRef>
          </c:val>
        </c:ser>
        <c:ser>
          <c:idx val="1"/>
          <c:order val="1"/>
          <c:tx>
            <c:v>part-time workers</c:v>
          </c:tx>
          <c:spPr>
            <a:pattFill prst="pct30">
              <a:fgClr>
                <a:schemeClr val="accent1">
                  <a:lumMod val="75000"/>
                </a:schemeClr>
              </a:fgClr>
              <a:bgClr>
                <a:schemeClr val="bg1"/>
              </a:bgClr>
            </a:pattFill>
            <a:ln>
              <a:solidFill>
                <a:schemeClr val="accent1">
                  <a:lumMod val="75000"/>
                </a:schemeClr>
              </a:solidFill>
            </a:ln>
          </c:spPr>
          <c:invertIfNegative val="0"/>
          <c:cat>
            <c:strRef>
              <c:f>('working hours income deciles'!$A$5:$A$14,'working hours income deciles'!$A$16)</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('working hours income deciles'!$J$5:$J$14,'working hours income deciles'!$J$16)</c:f>
              <c:numCache>
                <c:formatCode>#,##0.0</c:formatCode>
                <c:ptCount val="11"/>
                <c:pt idx="0">
                  <c:v>-1.2521002640658647</c:v>
                </c:pt>
                <c:pt idx="1">
                  <c:v>15.644911730774758</c:v>
                </c:pt>
                <c:pt idx="2">
                  <c:v>23.487019801592737</c:v>
                </c:pt>
                <c:pt idx="3">
                  <c:v>29.277507769949569</c:v>
                </c:pt>
                <c:pt idx="4">
                  <c:v>27.053489607344765</c:v>
                </c:pt>
                <c:pt idx="5">
                  <c:v>14.40932141090402</c:v>
                </c:pt>
                <c:pt idx="6">
                  <c:v>11.416910364056116</c:v>
                </c:pt>
                <c:pt idx="7">
                  <c:v>16.517084754980921</c:v>
                </c:pt>
                <c:pt idx="8">
                  <c:v>7.6679314560993923</c:v>
                </c:pt>
                <c:pt idx="9">
                  <c:v>14.488430503807683</c:v>
                </c:pt>
                <c:pt idx="10">
                  <c:v>15.780881246015392</c:v>
                </c:pt>
              </c:numCache>
            </c:numRef>
          </c:val>
        </c:ser>
        <c:dLbls>
          <c:showLegendKey val="0"/>
          <c:showVal val="0"/>
          <c:showCatName val="0"/>
          <c:showSerName val="0"/>
          <c:showPercent val="0"/>
          <c:showBubbleSize val="0"/>
        </c:dLbls>
        <c:gapWidth val="82"/>
        <c:axId val="262337280"/>
        <c:axId val="262339200"/>
      </c:barChart>
      <c:catAx>
        <c:axId val="262337280"/>
        <c:scaling>
          <c:orientation val="minMax"/>
        </c:scaling>
        <c:delete val="0"/>
        <c:axPos val="b"/>
        <c:title>
          <c:tx>
            <c:rich>
              <a:bodyPr/>
              <a:lstStyle/>
              <a:p>
                <a:pPr>
                  <a:defRPr b="0">
                    <a:latin typeface="Arial" pitchFamily="34" charset="0"/>
                    <a:cs typeface="Arial" pitchFamily="34" charset="0"/>
                  </a:defRPr>
                </a:pPr>
                <a:r>
                  <a:rPr lang="en-US" b="0">
                    <a:latin typeface="Arial" pitchFamily="34" charset="0"/>
                    <a:cs typeface="Arial" pitchFamily="34" charset="0"/>
                  </a:rPr>
                  <a:t>Weekly labour</a:t>
                </a:r>
                <a:r>
                  <a:rPr lang="en-US" b="0" baseline="0">
                    <a:latin typeface="Arial" pitchFamily="34" charset="0"/>
                    <a:cs typeface="Arial" pitchFamily="34" charset="0"/>
                  </a:rPr>
                  <a:t> i</a:t>
                </a:r>
                <a:r>
                  <a:rPr lang="en-US" b="0">
                    <a:latin typeface="Arial" pitchFamily="34" charset="0"/>
                    <a:cs typeface="Arial" pitchFamily="34" charset="0"/>
                  </a:rPr>
                  <a:t>ncome decile</a:t>
                </a:r>
              </a:p>
            </c:rich>
          </c:tx>
          <c:layout/>
          <c:overlay val="0"/>
        </c:title>
        <c:majorTickMark val="out"/>
        <c:minorTickMark val="none"/>
        <c:tickLblPos val="low"/>
        <c:txPr>
          <a:bodyPr/>
          <a:lstStyle/>
          <a:p>
            <a:pPr>
              <a:defRPr sz="900">
                <a:latin typeface="Arial" pitchFamily="34" charset="0"/>
                <a:cs typeface="Arial" pitchFamily="34" charset="0"/>
              </a:defRPr>
            </a:pPr>
            <a:endParaRPr lang="en-US"/>
          </a:p>
        </c:txPr>
        <c:crossAx val="262339200"/>
        <c:crosses val="autoZero"/>
        <c:auto val="1"/>
        <c:lblAlgn val="ctr"/>
        <c:lblOffset val="100"/>
        <c:noMultiLvlLbl val="0"/>
      </c:catAx>
      <c:valAx>
        <c:axId val="262339200"/>
        <c:scaling>
          <c:orientation val="minMax"/>
          <c:max val="35"/>
          <c:min val="-5"/>
        </c:scaling>
        <c:delete val="0"/>
        <c:axPos val="l"/>
        <c:majorGridlines/>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Percentage change</a:t>
                </a:r>
              </a:p>
            </c:rich>
          </c:tx>
          <c:layout/>
          <c:overlay val="0"/>
        </c:title>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262337280"/>
        <c:crosses val="autoZero"/>
        <c:crossBetween val="between"/>
        <c:majorUnit val="10"/>
      </c:valAx>
    </c:plotArea>
    <c:legend>
      <c:legendPos val="r"/>
      <c:layout>
        <c:manualLayout>
          <c:xMode val="edge"/>
          <c:yMode val="edge"/>
          <c:x val="0.63813935185185189"/>
          <c:y val="7.3690277777777771E-2"/>
          <c:w val="0.31838845144356953"/>
          <c:h val="0.17669364246135899"/>
        </c:manualLayout>
      </c:layout>
      <c:overlay val="0"/>
      <c:spPr>
        <a:solidFill>
          <a:schemeClr val="bg1"/>
        </a:solidFill>
      </c:spPr>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710578703703704"/>
          <c:y val="3.5277777777777776E-2"/>
          <c:w val="0.83977870370370378"/>
          <c:h val="0.73508666666666667"/>
        </c:manualLayout>
      </c:layout>
      <c:barChart>
        <c:barDir val="col"/>
        <c:grouping val="clustered"/>
        <c:varyColors val="0"/>
        <c:ser>
          <c:idx val="0"/>
          <c:order val="0"/>
          <c:tx>
            <c:strRef>
              <c:f>'wage by income deciles'!$B$5</c:f>
              <c:strCache>
                <c:ptCount val="1"/>
                <c:pt idx="0">
                  <c:v>1998-99</c:v>
                </c:pt>
              </c:strCache>
            </c:strRef>
          </c:tx>
          <c:spPr>
            <a:pattFill prst="pct30">
              <a:fgClr>
                <a:schemeClr val="accent1">
                  <a:lumMod val="75000"/>
                </a:schemeClr>
              </a:fgClr>
              <a:bgClr>
                <a:schemeClr val="bg1"/>
              </a:bgClr>
            </a:pattFill>
            <a:ln>
              <a:solidFill>
                <a:schemeClr val="accent1">
                  <a:lumMod val="75000"/>
                </a:schemeClr>
              </a:solidFill>
            </a:ln>
          </c:spPr>
          <c:invertIfNegative val="0"/>
          <c:cat>
            <c:strRef>
              <c:f>('wage by income deciles'!$A$6:$A$15,'wage by income deciles'!$A$17)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('wage by income deciles'!$B$6:$B$15,'wage by income deciles'!$B$17)</c:f>
              <c:numCache>
                <c:formatCode>0.0</c:formatCode>
                <c:ptCount val="11"/>
                <c:pt idx="0">
                  <c:v>10.412496000000001</c:v>
                </c:pt>
                <c:pt idx="1">
                  <c:v>16.059822</c:v>
                </c:pt>
                <c:pt idx="2">
                  <c:v>18.741707000000002</c:v>
                </c:pt>
                <c:pt idx="3">
                  <c:v>20.415008</c:v>
                </c:pt>
                <c:pt idx="4">
                  <c:v>22.473434999999998</c:v>
                </c:pt>
                <c:pt idx="5">
                  <c:v>24.533933999999999</c:v>
                </c:pt>
                <c:pt idx="6">
                  <c:v>26.134772000000002</c:v>
                </c:pt>
                <c:pt idx="7">
                  <c:v>30.057811999999998</c:v>
                </c:pt>
                <c:pt idx="8">
                  <c:v>34.243443999999997</c:v>
                </c:pt>
                <c:pt idx="9">
                  <c:v>50.236426999999999</c:v>
                </c:pt>
                <c:pt idx="10">
                  <c:v>25.335999999999999</c:v>
                </c:pt>
              </c:numCache>
            </c:numRef>
          </c:val>
        </c:ser>
        <c:ser>
          <c:idx val="1"/>
          <c:order val="1"/>
          <c:tx>
            <c:strRef>
              <c:f>'wage by income deciles'!$C$5</c:f>
              <c:strCache>
                <c:ptCount val="1"/>
                <c:pt idx="0">
                  <c:v>2003-04</c:v>
                </c:pt>
              </c:strCache>
            </c:strRef>
          </c:tx>
          <c:spPr>
            <a:pattFill prst="lgCheck">
              <a:fgClr>
                <a:schemeClr val="accent1">
                  <a:lumMod val="75000"/>
                </a:schemeClr>
              </a:fgClr>
              <a:bgClr>
                <a:schemeClr val="bg1"/>
              </a:bgClr>
            </a:pattFill>
            <a:ln>
              <a:solidFill>
                <a:schemeClr val="accent1">
                  <a:lumMod val="75000"/>
                </a:schemeClr>
              </a:solidFill>
            </a:ln>
          </c:spPr>
          <c:invertIfNegative val="0"/>
          <c:cat>
            <c:strRef>
              <c:f>('wage by income deciles'!$A$6:$A$15,'wage by income deciles'!$A$17)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('wage by income deciles'!$C$6:$C$15,'wage by income deciles'!$C$17)</c:f>
              <c:numCache>
                <c:formatCode>0.0</c:formatCode>
                <c:ptCount val="11"/>
                <c:pt idx="0">
                  <c:v>10.810141</c:v>
                </c:pt>
                <c:pt idx="1">
                  <c:v>16.721364999999999</c:v>
                </c:pt>
                <c:pt idx="2">
                  <c:v>18.92512</c:v>
                </c:pt>
                <c:pt idx="3">
                  <c:v>20.732678</c:v>
                </c:pt>
                <c:pt idx="4">
                  <c:v>22.750392000000002</c:v>
                </c:pt>
                <c:pt idx="5">
                  <c:v>24.925923000000001</c:v>
                </c:pt>
                <c:pt idx="6">
                  <c:v>27.360213000000002</c:v>
                </c:pt>
                <c:pt idx="7">
                  <c:v>29.935072000000002</c:v>
                </c:pt>
                <c:pt idx="8">
                  <c:v>34.89819</c:v>
                </c:pt>
                <c:pt idx="9">
                  <c:v>54.151041999999997</c:v>
                </c:pt>
                <c:pt idx="10">
                  <c:v>26.136932000000002</c:v>
                </c:pt>
              </c:numCache>
            </c:numRef>
          </c:val>
        </c:ser>
        <c:ser>
          <c:idx val="2"/>
          <c:order val="2"/>
          <c:tx>
            <c:strRef>
              <c:f>'wage by income deciles'!$D$5</c:f>
              <c:strCache>
                <c:ptCount val="1"/>
                <c:pt idx="0">
                  <c:v>2009-10</c:v>
                </c:pt>
              </c:strCache>
            </c:strRef>
          </c:tx>
          <c:spPr>
            <a:solidFill>
              <a:schemeClr val="accent1">
                <a:lumMod val="75000"/>
              </a:schemeClr>
            </a:solidFill>
            <a:ln>
              <a:solidFill>
                <a:schemeClr val="accent1">
                  <a:lumMod val="75000"/>
                </a:schemeClr>
              </a:solidFill>
            </a:ln>
          </c:spPr>
          <c:invertIfNegative val="0"/>
          <c:cat>
            <c:strRef>
              <c:f>('wage by income deciles'!$A$6:$A$15,'wage by income deciles'!$A$17)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('wage by income deciles'!$D$6:$D$15,'wage by income deciles'!$D$17)</c:f>
              <c:numCache>
                <c:formatCode>0.0</c:formatCode>
                <c:ptCount val="11"/>
                <c:pt idx="0">
                  <c:v>12.209004</c:v>
                </c:pt>
                <c:pt idx="1">
                  <c:v>18.280396</c:v>
                </c:pt>
                <c:pt idx="2">
                  <c:v>20.415327000000001</c:v>
                </c:pt>
                <c:pt idx="3">
                  <c:v>23.186720000000001</c:v>
                </c:pt>
                <c:pt idx="4">
                  <c:v>25.548092</c:v>
                </c:pt>
                <c:pt idx="5">
                  <c:v>28.577987</c:v>
                </c:pt>
                <c:pt idx="6">
                  <c:v>32.802684999999997</c:v>
                </c:pt>
                <c:pt idx="7">
                  <c:v>36.311624999999999</c:v>
                </c:pt>
                <c:pt idx="8">
                  <c:v>42.785817000000002</c:v>
                </c:pt>
                <c:pt idx="9">
                  <c:v>70.638493999999994</c:v>
                </c:pt>
                <c:pt idx="10">
                  <c:v>31.086324999999999</c:v>
                </c:pt>
              </c:numCache>
            </c:numRef>
          </c:val>
        </c:ser>
        <c:dLbls>
          <c:showLegendKey val="0"/>
          <c:showVal val="0"/>
          <c:showCatName val="0"/>
          <c:showSerName val="0"/>
          <c:showPercent val="0"/>
          <c:showBubbleSize val="0"/>
        </c:dLbls>
        <c:gapWidth val="93"/>
        <c:axId val="44831104"/>
        <c:axId val="44833024"/>
      </c:barChart>
      <c:catAx>
        <c:axId val="44831104"/>
        <c:scaling>
          <c:orientation val="minMax"/>
        </c:scaling>
        <c:delete val="0"/>
        <c:axPos val="b"/>
        <c:title>
          <c:tx>
            <c:rich>
              <a:bodyPr/>
              <a:lstStyle/>
              <a:p>
                <a:pPr>
                  <a:defRPr b="0">
                    <a:latin typeface="Arial" pitchFamily="34" charset="0"/>
                    <a:cs typeface="Arial" pitchFamily="34" charset="0"/>
                  </a:defRPr>
                </a:pPr>
                <a:r>
                  <a:rPr lang="en-US" b="0">
                    <a:latin typeface="Arial" pitchFamily="34" charset="0"/>
                    <a:cs typeface="Arial" pitchFamily="34" charset="0"/>
                  </a:rPr>
                  <a:t>Weekly labour income decile</a:t>
                </a:r>
              </a:p>
            </c:rich>
          </c:tx>
          <c:layout>
            <c:manualLayout>
              <c:xMode val="edge"/>
              <c:yMode val="edge"/>
              <c:x val="0.38302685185185181"/>
              <c:y val="0.87155333333333329"/>
            </c:manualLayout>
          </c:layout>
          <c:overlay val="0"/>
        </c:title>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44833024"/>
        <c:crosses val="autoZero"/>
        <c:auto val="1"/>
        <c:lblAlgn val="ctr"/>
        <c:lblOffset val="100"/>
        <c:noMultiLvlLbl val="0"/>
      </c:catAx>
      <c:valAx>
        <c:axId val="44833024"/>
        <c:scaling>
          <c:orientation val="minMax"/>
          <c:max val="80"/>
          <c:min val="0"/>
        </c:scaling>
        <c:delete val="0"/>
        <c:axPos val="l"/>
        <c:majorGridlines/>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 per hour</a:t>
                </a:r>
              </a:p>
            </c:rich>
          </c:tx>
          <c:layout/>
          <c:overlay val="0"/>
        </c:title>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44831104"/>
        <c:crosses val="autoZero"/>
        <c:crossBetween val="between"/>
        <c:minorUnit val="20"/>
      </c:valAx>
    </c:plotArea>
    <c:legend>
      <c:legendPos val="b"/>
      <c:layout>
        <c:manualLayout>
          <c:xMode val="edge"/>
          <c:yMode val="edge"/>
          <c:x val="0.15523010924230782"/>
          <c:y val="6.7959924204957806E-2"/>
          <c:w val="0.46619037891326526"/>
          <c:h val="0.14875166666666667"/>
        </c:manualLayout>
      </c:layout>
      <c:overlay val="0"/>
      <c:spPr>
        <a:solidFill>
          <a:schemeClr val="bg1"/>
        </a:solidFill>
      </c:spPr>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710578703703704"/>
          <c:y val="3.444888888888889E-2"/>
          <c:w val="0.83389907407407415"/>
          <c:h val="0.70686444444444441"/>
        </c:manualLayout>
      </c:layout>
      <c:barChart>
        <c:barDir val="col"/>
        <c:grouping val="clustered"/>
        <c:varyColors val="0"/>
        <c:ser>
          <c:idx val="0"/>
          <c:order val="0"/>
          <c:tx>
            <c:strRef>
              <c:f>'wage by income deciles'!$G$5</c:f>
              <c:strCache>
                <c:ptCount val="1"/>
                <c:pt idx="0">
                  <c:v>1998-99</c:v>
                </c:pt>
              </c:strCache>
            </c:strRef>
          </c:tx>
          <c:spPr>
            <a:pattFill prst="pct30">
              <a:fgClr>
                <a:schemeClr val="accent1">
                  <a:lumMod val="75000"/>
                </a:schemeClr>
              </a:fgClr>
              <a:bgClr>
                <a:schemeClr val="bg1"/>
              </a:bgClr>
            </a:pattFill>
            <a:ln>
              <a:solidFill>
                <a:schemeClr val="accent1">
                  <a:lumMod val="75000"/>
                </a:schemeClr>
              </a:solidFill>
            </a:ln>
          </c:spPr>
          <c:invertIfNegative val="0"/>
          <c:cat>
            <c:strRef>
              <c:f>('wage by income deciles'!$F$6:$F$15,'wage by income deciles'!$F$17)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('wage by income deciles'!$G$6:$G$15,'wage by income deciles'!$G$17)</c:f>
              <c:numCache>
                <c:formatCode>0.0</c:formatCode>
                <c:ptCount val="11"/>
                <c:pt idx="0">
                  <c:v>11.918123</c:v>
                </c:pt>
                <c:pt idx="1">
                  <c:v>16.458873000000001</c:v>
                </c:pt>
                <c:pt idx="2">
                  <c:v>18.295075000000001</c:v>
                </c:pt>
                <c:pt idx="3">
                  <c:v>18.80124</c:v>
                </c:pt>
                <c:pt idx="4">
                  <c:v>23.172173999999998</c:v>
                </c:pt>
                <c:pt idx="5">
                  <c:v>21.764278000000001</c:v>
                </c:pt>
                <c:pt idx="6">
                  <c:v>21.020406000000001</c:v>
                </c:pt>
                <c:pt idx="7">
                  <c:v>30.848701999999999</c:v>
                </c:pt>
                <c:pt idx="8">
                  <c:v>33.702998000000001</c:v>
                </c:pt>
                <c:pt idx="9">
                  <c:v>62.777968000000001</c:v>
                </c:pt>
                <c:pt idx="10">
                  <c:v>25.901184000000001</c:v>
                </c:pt>
              </c:numCache>
            </c:numRef>
          </c:val>
        </c:ser>
        <c:ser>
          <c:idx val="1"/>
          <c:order val="1"/>
          <c:tx>
            <c:strRef>
              <c:f>'wage by income deciles'!$H$5</c:f>
              <c:strCache>
                <c:ptCount val="1"/>
                <c:pt idx="0">
                  <c:v>2003-04</c:v>
                </c:pt>
              </c:strCache>
            </c:strRef>
          </c:tx>
          <c:spPr>
            <a:pattFill prst="lgCheck">
              <a:fgClr>
                <a:schemeClr val="accent1">
                  <a:lumMod val="75000"/>
                </a:schemeClr>
              </a:fgClr>
              <a:bgClr>
                <a:schemeClr val="bg1"/>
              </a:bgClr>
            </a:pattFill>
            <a:ln>
              <a:solidFill>
                <a:schemeClr val="accent1">
                  <a:lumMod val="75000"/>
                </a:schemeClr>
              </a:solidFill>
            </a:ln>
          </c:spPr>
          <c:invertIfNegative val="0"/>
          <c:cat>
            <c:strRef>
              <c:f>('wage by income deciles'!$F$6:$F$15,'wage by income deciles'!$F$17)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('wage by income deciles'!$H$6:$H$15,'wage by income deciles'!$H$17)</c:f>
              <c:numCache>
                <c:formatCode>0.0</c:formatCode>
                <c:ptCount val="11"/>
                <c:pt idx="0">
                  <c:v>12.457917999999999</c:v>
                </c:pt>
                <c:pt idx="1">
                  <c:v>15.351402999999999</c:v>
                </c:pt>
                <c:pt idx="2">
                  <c:v>17.823141</c:v>
                </c:pt>
                <c:pt idx="3">
                  <c:v>20.532091999999999</c:v>
                </c:pt>
                <c:pt idx="4">
                  <c:v>22.604845000000001</c:v>
                </c:pt>
                <c:pt idx="5">
                  <c:v>24.015819</c:v>
                </c:pt>
                <c:pt idx="6">
                  <c:v>23.112356999999999</c:v>
                </c:pt>
                <c:pt idx="7">
                  <c:v>24.503239000000001</c:v>
                </c:pt>
                <c:pt idx="8">
                  <c:v>31.521013</c:v>
                </c:pt>
                <c:pt idx="9">
                  <c:v>63.164419000000002</c:v>
                </c:pt>
                <c:pt idx="10">
                  <c:v>25.517855000000001</c:v>
                </c:pt>
              </c:numCache>
            </c:numRef>
          </c:val>
        </c:ser>
        <c:ser>
          <c:idx val="2"/>
          <c:order val="2"/>
          <c:tx>
            <c:strRef>
              <c:f>'wage by income deciles'!$I$5</c:f>
              <c:strCache>
                <c:ptCount val="1"/>
                <c:pt idx="0">
                  <c:v>2009-10</c:v>
                </c:pt>
              </c:strCache>
            </c:strRef>
          </c:tx>
          <c:spPr>
            <a:solidFill>
              <a:schemeClr val="accent1">
                <a:lumMod val="75000"/>
              </a:schemeClr>
            </a:solidFill>
            <a:ln>
              <a:solidFill>
                <a:schemeClr val="accent1">
                  <a:lumMod val="75000"/>
                </a:schemeClr>
              </a:solidFill>
            </a:ln>
          </c:spPr>
          <c:invertIfNegative val="0"/>
          <c:cat>
            <c:strRef>
              <c:f>('wage by income deciles'!$F$6:$F$15,'wage by income deciles'!$F$17)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('wage by income deciles'!$I$6:$I$15,'wage by income deciles'!$I$17)</c:f>
              <c:numCache>
                <c:formatCode>0.0</c:formatCode>
                <c:ptCount val="11"/>
                <c:pt idx="0">
                  <c:v>16.646014999999998</c:v>
                </c:pt>
                <c:pt idx="1">
                  <c:v>17.968596999999999</c:v>
                </c:pt>
                <c:pt idx="2">
                  <c:v>21.102692000000001</c:v>
                </c:pt>
                <c:pt idx="3">
                  <c:v>22.114356999999998</c:v>
                </c:pt>
                <c:pt idx="4">
                  <c:v>20.778798999999999</c:v>
                </c:pt>
                <c:pt idx="5">
                  <c:v>23.263456000000001</c:v>
                </c:pt>
                <c:pt idx="6">
                  <c:v>26.080314999999999</c:v>
                </c:pt>
                <c:pt idx="7">
                  <c:v>28.158121000000001</c:v>
                </c:pt>
                <c:pt idx="8">
                  <c:v>36.270598</c:v>
                </c:pt>
                <c:pt idx="9">
                  <c:v>67.318946999999994</c:v>
                </c:pt>
                <c:pt idx="10">
                  <c:v>28.000413000000002</c:v>
                </c:pt>
              </c:numCache>
            </c:numRef>
          </c:val>
        </c:ser>
        <c:dLbls>
          <c:showLegendKey val="0"/>
          <c:showVal val="0"/>
          <c:showCatName val="0"/>
          <c:showSerName val="0"/>
          <c:showPercent val="0"/>
          <c:showBubbleSize val="0"/>
        </c:dLbls>
        <c:gapWidth val="91"/>
        <c:axId val="44867968"/>
        <c:axId val="44869888"/>
      </c:barChart>
      <c:catAx>
        <c:axId val="44867968"/>
        <c:scaling>
          <c:orientation val="minMax"/>
        </c:scaling>
        <c:delete val="0"/>
        <c:axPos val="b"/>
        <c:title>
          <c:tx>
            <c:rich>
              <a:bodyPr/>
              <a:lstStyle/>
              <a:p>
                <a:pPr>
                  <a:defRPr b="0">
                    <a:latin typeface="Arial" pitchFamily="34" charset="0"/>
                    <a:cs typeface="Arial" pitchFamily="34" charset="0"/>
                  </a:defRPr>
                </a:pPr>
                <a:r>
                  <a:rPr lang="en-US" sz="1000" b="0" i="0" baseline="0">
                    <a:effectLst/>
                    <a:latin typeface="Arial" pitchFamily="34" charset="0"/>
                    <a:cs typeface="Arial" pitchFamily="34" charset="0"/>
                  </a:rPr>
                  <a:t>Weekly labour income decile</a:t>
                </a:r>
                <a:endParaRPr lang="en-AU" sz="1000">
                  <a:effectLst/>
                  <a:latin typeface="Arial" pitchFamily="34" charset="0"/>
                  <a:cs typeface="Arial" pitchFamily="34" charset="0"/>
                </a:endParaRPr>
              </a:p>
            </c:rich>
          </c:tx>
          <c:layout>
            <c:manualLayout>
              <c:xMode val="edge"/>
              <c:yMode val="edge"/>
              <c:x val="0.35189189814814809"/>
              <c:y val="0.85744222222222222"/>
            </c:manualLayout>
          </c:layout>
          <c:overlay val="0"/>
        </c:title>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44869888"/>
        <c:crosses val="autoZero"/>
        <c:auto val="1"/>
        <c:lblAlgn val="ctr"/>
        <c:lblOffset val="100"/>
        <c:noMultiLvlLbl val="0"/>
      </c:catAx>
      <c:valAx>
        <c:axId val="44869888"/>
        <c:scaling>
          <c:orientation val="minMax"/>
        </c:scaling>
        <c:delete val="0"/>
        <c:axPos val="l"/>
        <c:majorGridlines/>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 per hour</a:t>
                </a:r>
              </a:p>
            </c:rich>
          </c:tx>
          <c:layout/>
          <c:overlay val="0"/>
        </c:title>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44867968"/>
        <c:crosses val="autoZero"/>
        <c:crossBetween val="between"/>
        <c:majorUnit val="20"/>
      </c:valAx>
    </c:plotArea>
    <c:legend>
      <c:legendPos val="r"/>
      <c:layout>
        <c:manualLayout>
          <c:xMode val="edge"/>
          <c:yMode val="edge"/>
          <c:x val="0.14961605611320103"/>
          <c:y val="5.4507971260120358E-2"/>
          <c:w val="0.49179142468960463"/>
          <c:h val="0.14992166666666668"/>
        </c:manualLayout>
      </c:layout>
      <c:overlay val="0"/>
      <c:spPr>
        <a:solidFill>
          <a:schemeClr val="bg1"/>
        </a:solidFill>
      </c:spPr>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277106481481483"/>
          <c:y val="5.0925925925925923E-2"/>
          <c:w val="0.83684050925925924"/>
          <c:h val="0.7471294444444444"/>
        </c:manualLayout>
      </c:layout>
      <c:barChart>
        <c:barDir val="col"/>
        <c:grouping val="clustered"/>
        <c:varyColors val="0"/>
        <c:ser>
          <c:idx val="0"/>
          <c:order val="0"/>
          <c:tx>
            <c:v>% change full-time workers</c:v>
          </c:tx>
          <c:spPr>
            <a:solidFill>
              <a:schemeClr val="accent1">
                <a:lumMod val="75000"/>
              </a:schemeClr>
            </a:solidFill>
          </c:spPr>
          <c:invertIfNegative val="0"/>
          <c:cat>
            <c:strRef>
              <c:f>('wage by income deciles'!$A$6:$A$15,'wage by income deciles'!$A$17)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('wage by income deciles'!$E$6:$E$15,'wage by income deciles'!$E$17)</c:f>
              <c:numCache>
                <c:formatCode>#,##0.0</c:formatCode>
                <c:ptCount val="11"/>
                <c:pt idx="0">
                  <c:v>17.253384779211434</c:v>
                </c:pt>
                <c:pt idx="1">
                  <c:v>13.826890484838493</c:v>
                </c:pt>
                <c:pt idx="2">
                  <c:v>8.9299229787340053</c:v>
                </c:pt>
                <c:pt idx="3">
                  <c:v>13.576835238075837</c:v>
                </c:pt>
                <c:pt idx="4">
                  <c:v>13.681295271506123</c:v>
                </c:pt>
                <c:pt idx="5">
                  <c:v>16.483508107586832</c:v>
                </c:pt>
                <c:pt idx="6">
                  <c:v>25.513568666296361</c:v>
                </c:pt>
                <c:pt idx="7">
                  <c:v>20.805948882772977</c:v>
                </c:pt>
                <c:pt idx="8">
                  <c:v>24.946010103423024</c:v>
                </c:pt>
                <c:pt idx="9">
                  <c:v>40.612098069793049</c:v>
                </c:pt>
                <c:pt idx="10">
                  <c:v>22.696262235554155</c:v>
                </c:pt>
              </c:numCache>
            </c:numRef>
          </c:val>
        </c:ser>
        <c:ser>
          <c:idx val="1"/>
          <c:order val="1"/>
          <c:tx>
            <c:v>% change part-time workers</c:v>
          </c:tx>
          <c:spPr>
            <a:pattFill prst="pct30">
              <a:fgClr>
                <a:schemeClr val="accent1">
                  <a:lumMod val="75000"/>
                </a:schemeClr>
              </a:fgClr>
              <a:bgClr>
                <a:schemeClr val="bg1"/>
              </a:bgClr>
            </a:pattFill>
            <a:ln>
              <a:solidFill>
                <a:schemeClr val="accent1"/>
              </a:solidFill>
            </a:ln>
          </c:spPr>
          <c:invertIfNegative val="0"/>
          <c:cat>
            <c:strRef>
              <c:f>('wage by income deciles'!$A$6:$A$15,'wage by income deciles'!$A$17)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('wage by income deciles'!$J$6:$J$15,'wage by income deciles'!$J$17)</c:f>
              <c:numCache>
                <c:formatCode>#,##0.0</c:formatCode>
                <c:ptCount val="11"/>
                <c:pt idx="0">
                  <c:v>39.66977014753077</c:v>
                </c:pt>
                <c:pt idx="1">
                  <c:v>9.1727058104160495</c:v>
                </c:pt>
                <c:pt idx="2">
                  <c:v>15.346299482237706</c:v>
                </c:pt>
                <c:pt idx="3">
                  <c:v>17.621800476989808</c:v>
                </c:pt>
                <c:pt idx="4">
                  <c:v>-10.328659710564917</c:v>
                </c:pt>
                <c:pt idx="5">
                  <c:v>6.8882505544176587</c:v>
                </c:pt>
                <c:pt idx="6">
                  <c:v>24.071414224825141</c:v>
                </c:pt>
                <c:pt idx="7">
                  <c:v>-8.7218612958172379</c:v>
                </c:pt>
                <c:pt idx="8">
                  <c:v>7.6183133619151588</c:v>
                </c:pt>
                <c:pt idx="9">
                  <c:v>7.2333959582763061</c:v>
                </c:pt>
                <c:pt idx="10">
                  <c:v>8.1047607707817573</c:v>
                </c:pt>
              </c:numCache>
            </c:numRef>
          </c:val>
        </c:ser>
        <c:dLbls>
          <c:showLegendKey val="0"/>
          <c:showVal val="0"/>
          <c:showCatName val="0"/>
          <c:showSerName val="0"/>
          <c:showPercent val="0"/>
          <c:showBubbleSize val="0"/>
        </c:dLbls>
        <c:gapWidth val="86"/>
        <c:axId val="248389632"/>
        <c:axId val="248391552"/>
      </c:barChart>
      <c:catAx>
        <c:axId val="248389632"/>
        <c:scaling>
          <c:orientation val="minMax"/>
        </c:scaling>
        <c:delete val="0"/>
        <c:axPos val="b"/>
        <c:title>
          <c:tx>
            <c:rich>
              <a:bodyPr/>
              <a:lstStyle/>
              <a:p>
                <a:pPr>
                  <a:defRPr b="0">
                    <a:latin typeface="Arial" pitchFamily="34" charset="0"/>
                    <a:cs typeface="Arial" pitchFamily="34" charset="0"/>
                  </a:defRPr>
                </a:pPr>
                <a:r>
                  <a:rPr lang="en-US" sz="1000" b="0" i="0" baseline="0">
                    <a:effectLst/>
                  </a:rPr>
                  <a:t>Weekly labour income decile</a:t>
                </a:r>
                <a:endParaRPr lang="en-AU" sz="1000">
                  <a:effectLst/>
                </a:endParaRPr>
              </a:p>
            </c:rich>
          </c:tx>
          <c:layout>
            <c:manualLayout>
              <c:xMode val="edge"/>
              <c:yMode val="edge"/>
              <c:x val="0.34370462962962961"/>
              <c:y val="0.88566444444444448"/>
            </c:manualLayout>
          </c:layout>
          <c:overlay val="0"/>
        </c:title>
        <c:majorTickMark val="out"/>
        <c:minorTickMark val="none"/>
        <c:tickLblPos val="low"/>
        <c:txPr>
          <a:bodyPr/>
          <a:lstStyle/>
          <a:p>
            <a:pPr>
              <a:defRPr sz="900">
                <a:latin typeface="Arial" pitchFamily="34" charset="0"/>
                <a:cs typeface="Arial" pitchFamily="34" charset="0"/>
              </a:defRPr>
            </a:pPr>
            <a:endParaRPr lang="en-US"/>
          </a:p>
        </c:txPr>
        <c:crossAx val="248391552"/>
        <c:crosses val="autoZero"/>
        <c:auto val="1"/>
        <c:lblAlgn val="ctr"/>
        <c:lblOffset val="100"/>
        <c:noMultiLvlLbl val="0"/>
      </c:catAx>
      <c:valAx>
        <c:axId val="248391552"/>
        <c:scaling>
          <c:orientation val="minMax"/>
          <c:max val="40"/>
          <c:min val="-10"/>
        </c:scaling>
        <c:delete val="0"/>
        <c:axPos val="l"/>
        <c:majorGridlines/>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Percentage change</a:t>
                </a:r>
              </a:p>
            </c:rich>
          </c:tx>
          <c:layout/>
          <c:overlay val="0"/>
        </c:title>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248389632"/>
        <c:crosses val="autoZero"/>
        <c:crossBetween val="between"/>
        <c:majorUnit val="10"/>
      </c:valAx>
    </c:plotArea>
    <c:legend>
      <c:legendPos val="r"/>
      <c:layout>
        <c:manualLayout>
          <c:xMode val="edge"/>
          <c:yMode val="edge"/>
          <c:x val="0.27113935185185184"/>
          <c:y val="6.4047222222222228E-2"/>
          <c:w val="0.37143009259259258"/>
          <c:h val="0.19464666666666666"/>
        </c:manualLayout>
      </c:layout>
      <c:overlay val="0"/>
      <c:spPr>
        <a:solidFill>
          <a:schemeClr val="bg1"/>
        </a:solidFill>
      </c:spPr>
      <c:txPr>
        <a:bodyPr/>
        <a:lstStyle/>
        <a:p>
          <a:pPr>
            <a:defRPr sz="900" baseline="0">
              <a:latin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77761904761905"/>
          <c:y val="2.5198412698412699E-2"/>
          <c:w val="0.80249563492063491"/>
          <c:h val="0.69301230158730154"/>
        </c:manualLayout>
      </c:layout>
      <c:barChart>
        <c:barDir val="col"/>
        <c:grouping val="stacked"/>
        <c:varyColors val="0"/>
        <c:ser>
          <c:idx val="0"/>
          <c:order val="0"/>
          <c:tx>
            <c:strRef>
              <c:f>'Market income'!$C$4</c:f>
              <c:strCache>
                <c:ptCount val="1"/>
                <c:pt idx="0">
                  <c:v>Labour income only</c:v>
                </c:pt>
              </c:strCache>
            </c:strRef>
          </c:tx>
          <c:spPr>
            <a:solidFill>
              <a:schemeClr val="accent1">
                <a:lumMod val="75000"/>
              </a:schemeClr>
            </a:solidFill>
            <a:ln>
              <a:solidFill>
                <a:schemeClr val="accent1">
                  <a:lumMod val="75000"/>
                </a:schemeClr>
              </a:solidFill>
            </a:ln>
          </c:spPr>
          <c:invertIfNegative val="0"/>
          <c:cat>
            <c:strRef>
              <c:f>('Market income'!$B$6:$B$15,'Market income'!$B$17)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'Market income'!$C$6:$C$15</c:f>
              <c:numCache>
                <c:formatCode>0</c:formatCode>
                <c:ptCount val="10"/>
                <c:pt idx="0">
                  <c:v>3.3075814375940276</c:v>
                </c:pt>
                <c:pt idx="1">
                  <c:v>23.407450576052362</c:v>
                </c:pt>
                <c:pt idx="2">
                  <c:v>35.90503016416875</c:v>
                </c:pt>
                <c:pt idx="3">
                  <c:v>43.694577552533509</c:v>
                </c:pt>
                <c:pt idx="4">
                  <c:v>50.632921163805811</c:v>
                </c:pt>
                <c:pt idx="5">
                  <c:v>52.149816426148988</c:v>
                </c:pt>
                <c:pt idx="6">
                  <c:v>46.958584110479741</c:v>
                </c:pt>
                <c:pt idx="7">
                  <c:v>48.399233504864888</c:v>
                </c:pt>
                <c:pt idx="8">
                  <c:v>38.636949456460833</c:v>
                </c:pt>
                <c:pt idx="9">
                  <c:v>32.540928757860812</c:v>
                </c:pt>
              </c:numCache>
            </c:numRef>
          </c:val>
        </c:ser>
        <c:ser>
          <c:idx val="1"/>
          <c:order val="1"/>
          <c:tx>
            <c:strRef>
              <c:f>'Market income'!$D$4</c:f>
              <c:strCache>
                <c:ptCount val="1"/>
                <c:pt idx="0">
                  <c:v>Capital &amp; other income only</c:v>
                </c:pt>
              </c:strCache>
            </c:strRef>
          </c:tx>
          <c:spPr>
            <a:pattFill prst="openDmnd">
              <a:fgClr>
                <a:schemeClr val="accent1">
                  <a:lumMod val="75000"/>
                </a:schemeClr>
              </a:fgClr>
              <a:bgClr>
                <a:schemeClr val="bg1"/>
              </a:bgClr>
            </a:pattFill>
            <a:ln>
              <a:solidFill>
                <a:schemeClr val="accent1">
                  <a:lumMod val="75000"/>
                </a:schemeClr>
              </a:solidFill>
            </a:ln>
          </c:spPr>
          <c:invertIfNegative val="0"/>
          <c:cat>
            <c:strRef>
              <c:f>('Market income'!$B$6:$B$15,'Market income'!$B$17)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'Market income'!$D$6:$D$15</c:f>
              <c:numCache>
                <c:formatCode>0</c:formatCode>
                <c:ptCount val="10"/>
                <c:pt idx="0">
                  <c:v>93.036116946103377</c:v>
                </c:pt>
                <c:pt idx="1">
                  <c:v>65.167114022504151</c:v>
                </c:pt>
                <c:pt idx="2">
                  <c:v>35.168057511613732</c:v>
                </c:pt>
                <c:pt idx="3">
                  <c:v>17.447936010943284</c:v>
                </c:pt>
                <c:pt idx="4">
                  <c:v>9.8519979227778638</c:v>
                </c:pt>
                <c:pt idx="5">
                  <c:v>5.6600537139048441</c:v>
                </c:pt>
                <c:pt idx="6">
                  <c:v>4.9207906223944287</c:v>
                </c:pt>
                <c:pt idx="7">
                  <c:v>3.5313025230698494</c:v>
                </c:pt>
                <c:pt idx="8">
                  <c:v>2.0010786730920094</c:v>
                </c:pt>
                <c:pt idx="9">
                  <c:v>3.8864890430395711</c:v>
                </c:pt>
              </c:numCache>
            </c:numRef>
          </c:val>
        </c:ser>
        <c:ser>
          <c:idx val="2"/>
          <c:order val="2"/>
          <c:tx>
            <c:strRef>
              <c:f>'Market income'!$E$4</c:f>
              <c:strCache>
                <c:ptCount val="1"/>
                <c:pt idx="0">
                  <c:v>Mixed</c:v>
                </c:pt>
              </c:strCache>
            </c:strRef>
          </c:tx>
          <c:spPr>
            <a:pattFill prst="pct70">
              <a:fgClr>
                <a:schemeClr val="accent1">
                  <a:lumMod val="75000"/>
                </a:schemeClr>
              </a:fgClr>
              <a:bgClr>
                <a:schemeClr val="bg1"/>
              </a:bgClr>
            </a:pattFill>
            <a:ln>
              <a:solidFill>
                <a:schemeClr val="accent1">
                  <a:lumMod val="75000"/>
                </a:schemeClr>
              </a:solidFill>
            </a:ln>
          </c:spPr>
          <c:invertIfNegative val="0"/>
          <c:cat>
            <c:strRef>
              <c:f>('Market income'!$B$6:$B$15,'Market income'!$B$17)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'Market income'!$E$6:$E$15</c:f>
              <c:numCache>
                <c:formatCode>0</c:formatCode>
                <c:ptCount val="10"/>
                <c:pt idx="0">
                  <c:v>3.6563016163025983</c:v>
                </c:pt>
                <c:pt idx="1">
                  <c:v>11.425435401443492</c:v>
                </c:pt>
                <c:pt idx="2">
                  <c:v>28.926912324217518</c:v>
                </c:pt>
                <c:pt idx="3">
                  <c:v>38.85748643652321</c:v>
                </c:pt>
                <c:pt idx="4">
                  <c:v>39.515080913416327</c:v>
                </c:pt>
                <c:pt idx="5">
                  <c:v>42.190129859946175</c:v>
                </c:pt>
                <c:pt idx="6">
                  <c:v>48.120625267125831</c:v>
                </c:pt>
                <c:pt idx="7">
                  <c:v>48.069463972065265</c:v>
                </c:pt>
                <c:pt idx="8">
                  <c:v>59.361971870447164</c:v>
                </c:pt>
                <c:pt idx="9">
                  <c:v>63.572582199099628</c:v>
                </c:pt>
              </c:numCache>
            </c:numRef>
          </c:val>
        </c:ser>
        <c:dLbls>
          <c:showLegendKey val="0"/>
          <c:showVal val="0"/>
          <c:showCatName val="0"/>
          <c:showSerName val="0"/>
          <c:showPercent val="0"/>
          <c:showBubbleSize val="0"/>
        </c:dLbls>
        <c:gapWidth val="110"/>
        <c:overlap val="100"/>
        <c:axId val="248438144"/>
        <c:axId val="248440320"/>
      </c:barChart>
      <c:catAx>
        <c:axId val="248438144"/>
        <c:scaling>
          <c:orientation val="minMax"/>
        </c:scaling>
        <c:delete val="0"/>
        <c:axPos val="b"/>
        <c:title>
          <c:tx>
            <c:rich>
              <a:bodyPr/>
              <a:lstStyle/>
              <a:p>
                <a:pPr>
                  <a:defRPr b="0">
                    <a:latin typeface="Arial" pitchFamily="34" charset="0"/>
                    <a:cs typeface="Arial" pitchFamily="34" charset="0"/>
                  </a:defRPr>
                </a:pPr>
                <a:r>
                  <a:rPr lang="en-US" b="0">
                    <a:latin typeface="Arial" pitchFamily="34" charset="0"/>
                    <a:cs typeface="Arial" pitchFamily="34" charset="0"/>
                  </a:rPr>
                  <a:t>Decile</a:t>
                </a:r>
              </a:p>
            </c:rich>
          </c:tx>
          <c:layout>
            <c:manualLayout>
              <c:xMode val="edge"/>
              <c:yMode val="edge"/>
              <c:x val="0.44917738095238097"/>
              <c:y val="0.79947103174603174"/>
            </c:manualLayout>
          </c:layout>
          <c:overlay val="0"/>
        </c:title>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248440320"/>
        <c:crosses val="autoZero"/>
        <c:auto val="1"/>
        <c:lblAlgn val="ctr"/>
        <c:lblOffset val="100"/>
        <c:noMultiLvlLbl val="0"/>
      </c:catAx>
      <c:valAx>
        <c:axId val="248440320"/>
        <c:scaling>
          <c:orientation val="minMax"/>
          <c:max val="105"/>
          <c:min val="0"/>
        </c:scaling>
        <c:delete val="0"/>
        <c:axPos val="l"/>
        <c:majorGridlines/>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248438144"/>
        <c:crosses val="autoZero"/>
        <c:crossBetween val="between"/>
      </c:valAx>
    </c:plotArea>
    <c:legend>
      <c:legendPos val="b"/>
      <c:layout>
        <c:manualLayout>
          <c:xMode val="edge"/>
          <c:yMode val="edge"/>
          <c:x val="0"/>
          <c:y val="0.86728711582423168"/>
          <c:w val="0.98924251489840365"/>
          <c:h val="0.10252745020558891"/>
        </c:manualLayout>
      </c:layout>
      <c:overlay val="0"/>
      <c:txPr>
        <a:bodyPr/>
        <a:lstStyle/>
        <a:p>
          <a:pPr>
            <a:defRPr sz="9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1"/>
            <c:bubble3D val="0"/>
            <c:spPr>
              <a:solidFill>
                <a:srgbClr val="C00000"/>
              </a:solidFill>
            </c:spPr>
          </c:dPt>
          <c:dPt>
            <c:idx val="2"/>
            <c:bubble3D val="0"/>
            <c:spPr>
              <a:solidFill>
                <a:schemeClr val="accent3"/>
              </a:solidFill>
            </c:spPr>
          </c:dPt>
          <c:dLbls>
            <c:delete val="1"/>
          </c:dLbls>
          <c:cat>
            <c:strRef>
              <c:f>'Market income'!$K$22:$M$22</c:f>
              <c:strCache>
                <c:ptCount val="3"/>
                <c:pt idx="0">
                  <c:v>Labour earnings only</c:v>
                </c:pt>
                <c:pt idx="1">
                  <c:v>Capital income only</c:v>
                </c:pt>
                <c:pt idx="2">
                  <c:v>Mixed</c:v>
                </c:pt>
              </c:strCache>
            </c:strRef>
          </c:cat>
          <c:val>
            <c:numRef>
              <c:f>'Market income'!$K$23:$M$23</c:f>
              <c:numCache>
                <c:formatCode>0</c:formatCode>
                <c:ptCount val="3"/>
                <c:pt idx="0">
                  <c:v>5360429</c:v>
                </c:pt>
                <c:pt idx="1">
                  <c:v>3433630.0000000005</c:v>
                </c:pt>
                <c:pt idx="2">
                  <c:v>5475685.0000000009</c:v>
                </c:pt>
              </c:numCache>
            </c:numRef>
          </c:val>
        </c:ser>
        <c:dLbls>
          <c:dLblPos val="inEnd"/>
          <c:showLegendKey val="0"/>
          <c:showVal val="1"/>
          <c:showCatName val="0"/>
          <c:showSerName val="0"/>
          <c:showPercent val="0"/>
          <c:showBubbleSize val="0"/>
          <c:showLeaderLines val="1"/>
        </c:dLbls>
        <c:firstSliceAng val="0"/>
      </c:pieChart>
    </c:plotArea>
    <c:plotVisOnly val="1"/>
    <c:dispBlanksAs val="gap"/>
    <c:showDLblsOverMax val="0"/>
  </c:chart>
  <c:spPr>
    <a:ln>
      <a:noFill/>
    </a:ln>
  </c:sp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195555555555555"/>
          <c:y val="5.5436507936507937E-2"/>
          <c:w val="0.83700076649511779"/>
          <c:h val="0.8891269841269841"/>
        </c:manualLayout>
      </c:layout>
      <c:lineChart>
        <c:grouping val="standard"/>
        <c:varyColors val="0"/>
        <c:ser>
          <c:idx val="9"/>
          <c:order val="0"/>
          <c:tx>
            <c:strRef>
              <c:f>Sheet1!$AJ$15</c:f>
              <c:strCache>
                <c:ptCount val="1"/>
                <c:pt idx="0">
                  <c:v>10th decile</c:v>
                </c:pt>
              </c:strCache>
            </c:strRef>
          </c:tx>
          <c:spPr>
            <a:ln>
              <a:solidFill>
                <a:schemeClr val="accent1">
                  <a:lumMod val="75000"/>
                </a:schemeClr>
              </a:solidFill>
            </a:ln>
          </c:spPr>
          <c:marker>
            <c:symbol val="none"/>
          </c:marker>
          <c:cat>
            <c:strRef>
              <c:f>Sheet1!$AK$5:$AO$5</c:f>
              <c:strCache>
                <c:ptCount val="5"/>
                <c:pt idx="0">
                  <c:v>1988-89</c:v>
                </c:pt>
                <c:pt idx="1">
                  <c:v>1993-94</c:v>
                </c:pt>
                <c:pt idx="2">
                  <c:v>1998-99</c:v>
                </c:pt>
                <c:pt idx="3">
                  <c:v>2003-04</c:v>
                </c:pt>
                <c:pt idx="4">
                  <c:v>2009-10</c:v>
                </c:pt>
              </c:strCache>
            </c:strRef>
          </c:cat>
          <c:val>
            <c:numRef>
              <c:f>Sheet1!$AK$15:$AO$15</c:f>
              <c:numCache>
                <c:formatCode>#,##0.0</c:formatCode>
                <c:ptCount val="5"/>
                <c:pt idx="0">
                  <c:v>1928.09</c:v>
                </c:pt>
                <c:pt idx="1">
                  <c:v>2008.8074999999999</c:v>
                </c:pt>
                <c:pt idx="2">
                  <c:v>2328.4243000000001</c:v>
                </c:pt>
                <c:pt idx="3">
                  <c:v>2531.3717000000001</c:v>
                </c:pt>
                <c:pt idx="4">
                  <c:v>3213.6570999999999</c:v>
                </c:pt>
              </c:numCache>
            </c:numRef>
          </c:val>
          <c:smooth val="0"/>
        </c:ser>
        <c:ser>
          <c:idx val="8"/>
          <c:order val="1"/>
          <c:tx>
            <c:strRef>
              <c:f>Sheet1!$AJ$14</c:f>
              <c:strCache>
                <c:ptCount val="1"/>
                <c:pt idx="0">
                  <c:v>9th decile</c:v>
                </c:pt>
              </c:strCache>
            </c:strRef>
          </c:tx>
          <c:spPr>
            <a:ln w="12700">
              <a:solidFill>
                <a:schemeClr val="tx1"/>
              </a:solidFill>
              <a:prstDash val="sysDash"/>
            </a:ln>
          </c:spPr>
          <c:marker>
            <c:symbol val="none"/>
          </c:marker>
          <c:cat>
            <c:strRef>
              <c:f>Sheet1!$AK$5:$AO$5</c:f>
              <c:strCache>
                <c:ptCount val="5"/>
                <c:pt idx="0">
                  <c:v>1988-89</c:v>
                </c:pt>
                <c:pt idx="1">
                  <c:v>1993-94</c:v>
                </c:pt>
                <c:pt idx="2">
                  <c:v>1998-99</c:v>
                </c:pt>
                <c:pt idx="3">
                  <c:v>2003-04</c:v>
                </c:pt>
                <c:pt idx="4">
                  <c:v>2009-10</c:v>
                </c:pt>
              </c:strCache>
            </c:strRef>
          </c:cat>
          <c:val>
            <c:numRef>
              <c:f>Sheet1!$AK$14:$AO$14</c:f>
              <c:numCache>
                <c:formatCode>#,##0.0</c:formatCode>
                <c:ptCount val="5"/>
                <c:pt idx="0">
                  <c:v>1225.7935</c:v>
                </c:pt>
                <c:pt idx="1">
                  <c:v>1258.0693000000001</c:v>
                </c:pt>
                <c:pt idx="2">
                  <c:v>1395.8054</c:v>
                </c:pt>
                <c:pt idx="3">
                  <c:v>1455.6899000000001</c:v>
                </c:pt>
                <c:pt idx="4">
                  <c:v>1764.0323000000001</c:v>
                </c:pt>
              </c:numCache>
            </c:numRef>
          </c:val>
          <c:smooth val="0"/>
        </c:ser>
        <c:ser>
          <c:idx val="6"/>
          <c:order val="2"/>
          <c:tx>
            <c:strRef>
              <c:f>Sheet1!$AJ$12</c:f>
              <c:strCache>
                <c:ptCount val="1"/>
                <c:pt idx="0">
                  <c:v>7th decile</c:v>
                </c:pt>
              </c:strCache>
            </c:strRef>
          </c:tx>
          <c:spPr>
            <a:ln w="12700">
              <a:solidFill>
                <a:schemeClr val="tx1"/>
              </a:solidFill>
              <a:prstDash val="sysDash"/>
            </a:ln>
          </c:spPr>
          <c:marker>
            <c:symbol val="none"/>
          </c:marker>
          <c:cat>
            <c:strRef>
              <c:f>Sheet1!$AK$5:$AO$5</c:f>
              <c:strCache>
                <c:ptCount val="5"/>
                <c:pt idx="0">
                  <c:v>1988-89</c:v>
                </c:pt>
                <c:pt idx="1">
                  <c:v>1993-94</c:v>
                </c:pt>
                <c:pt idx="2">
                  <c:v>1998-99</c:v>
                </c:pt>
                <c:pt idx="3">
                  <c:v>2003-04</c:v>
                </c:pt>
                <c:pt idx="4">
                  <c:v>2009-10</c:v>
                </c:pt>
              </c:strCache>
            </c:strRef>
          </c:cat>
          <c:val>
            <c:numRef>
              <c:f>Sheet1!$AK$12:$AO$12</c:f>
              <c:numCache>
                <c:formatCode>#,##0.0</c:formatCode>
                <c:ptCount val="5"/>
                <c:pt idx="0">
                  <c:v>887.66627000000005</c:v>
                </c:pt>
                <c:pt idx="1">
                  <c:v>878.74825999999996</c:v>
                </c:pt>
                <c:pt idx="2">
                  <c:v>977.79398000000003</c:v>
                </c:pt>
                <c:pt idx="3">
                  <c:v>1020.8207</c:v>
                </c:pt>
                <c:pt idx="4">
                  <c:v>1152.7791999999999</c:v>
                </c:pt>
              </c:numCache>
            </c:numRef>
          </c:val>
          <c:smooth val="0"/>
        </c:ser>
        <c:ser>
          <c:idx val="7"/>
          <c:order val="3"/>
          <c:tx>
            <c:strRef>
              <c:f>Sheet1!$AJ$13</c:f>
              <c:strCache>
                <c:ptCount val="1"/>
                <c:pt idx="0">
                  <c:v>8th decile</c:v>
                </c:pt>
              </c:strCache>
            </c:strRef>
          </c:tx>
          <c:spPr>
            <a:ln w="12700">
              <a:solidFill>
                <a:schemeClr val="tx1"/>
              </a:solidFill>
              <a:prstDash val="sysDash"/>
            </a:ln>
          </c:spPr>
          <c:marker>
            <c:symbol val="none"/>
          </c:marker>
          <c:cat>
            <c:strRef>
              <c:f>Sheet1!$AK$5:$AO$5</c:f>
              <c:strCache>
                <c:ptCount val="5"/>
                <c:pt idx="0">
                  <c:v>1988-89</c:v>
                </c:pt>
                <c:pt idx="1">
                  <c:v>1993-94</c:v>
                </c:pt>
                <c:pt idx="2">
                  <c:v>1998-99</c:v>
                </c:pt>
                <c:pt idx="3">
                  <c:v>2003-04</c:v>
                </c:pt>
                <c:pt idx="4">
                  <c:v>2009-10</c:v>
                </c:pt>
              </c:strCache>
            </c:strRef>
          </c:cat>
          <c:val>
            <c:numRef>
              <c:f>Sheet1!$AK$13:$AO$13</c:f>
              <c:numCache>
                <c:formatCode>#,##0.0</c:formatCode>
                <c:ptCount val="5"/>
                <c:pt idx="0">
                  <c:v>1032.7257999999999</c:v>
                </c:pt>
                <c:pt idx="1">
                  <c:v>1039.9505999999999</c:v>
                </c:pt>
                <c:pt idx="2">
                  <c:v>1147.8941</c:v>
                </c:pt>
                <c:pt idx="3">
                  <c:v>1206.913</c:v>
                </c:pt>
                <c:pt idx="4">
                  <c:v>1398.6157000000001</c:v>
                </c:pt>
              </c:numCache>
            </c:numRef>
          </c:val>
          <c:smooth val="0"/>
        </c:ser>
        <c:ser>
          <c:idx val="5"/>
          <c:order val="4"/>
          <c:tx>
            <c:strRef>
              <c:f>Sheet1!$AJ$11</c:f>
              <c:strCache>
                <c:ptCount val="1"/>
                <c:pt idx="0">
                  <c:v>6th decile</c:v>
                </c:pt>
              </c:strCache>
            </c:strRef>
          </c:tx>
          <c:spPr>
            <a:ln w="12700">
              <a:solidFill>
                <a:schemeClr val="tx1"/>
              </a:solidFill>
              <a:prstDash val="sysDash"/>
            </a:ln>
          </c:spPr>
          <c:marker>
            <c:symbol val="none"/>
          </c:marker>
          <c:cat>
            <c:strRef>
              <c:f>Sheet1!$AK$5:$AO$5</c:f>
              <c:strCache>
                <c:ptCount val="5"/>
                <c:pt idx="0">
                  <c:v>1988-89</c:v>
                </c:pt>
                <c:pt idx="1">
                  <c:v>1993-94</c:v>
                </c:pt>
                <c:pt idx="2">
                  <c:v>1998-99</c:v>
                </c:pt>
                <c:pt idx="3">
                  <c:v>2003-04</c:v>
                </c:pt>
                <c:pt idx="4">
                  <c:v>2009-10</c:v>
                </c:pt>
              </c:strCache>
            </c:strRef>
          </c:cat>
          <c:val>
            <c:numRef>
              <c:f>Sheet1!$AK$11:$AO$11</c:f>
              <c:numCache>
                <c:formatCode>#,##0.0</c:formatCode>
                <c:ptCount val="5"/>
                <c:pt idx="0">
                  <c:v>780.21463000000006</c:v>
                </c:pt>
                <c:pt idx="1">
                  <c:v>770.58487000000002</c:v>
                </c:pt>
                <c:pt idx="2">
                  <c:v>849.03198999999995</c:v>
                </c:pt>
                <c:pt idx="3">
                  <c:v>878.38289999999995</c:v>
                </c:pt>
                <c:pt idx="4">
                  <c:v>967.61270999999999</c:v>
                </c:pt>
              </c:numCache>
            </c:numRef>
          </c:val>
          <c:smooth val="0"/>
        </c:ser>
        <c:ser>
          <c:idx val="4"/>
          <c:order val="5"/>
          <c:tx>
            <c:strRef>
              <c:f>Sheet1!$AJ$10</c:f>
              <c:strCache>
                <c:ptCount val="1"/>
                <c:pt idx="0">
                  <c:v>5th decile</c:v>
                </c:pt>
              </c:strCache>
            </c:strRef>
          </c:tx>
          <c:spPr>
            <a:ln w="12700">
              <a:solidFill>
                <a:schemeClr val="tx1"/>
              </a:solidFill>
              <a:prstDash val="sysDash"/>
            </a:ln>
          </c:spPr>
          <c:marker>
            <c:symbol val="none"/>
          </c:marker>
          <c:cat>
            <c:strRef>
              <c:f>Sheet1!$AK$5:$AO$5</c:f>
              <c:strCache>
                <c:ptCount val="5"/>
                <c:pt idx="0">
                  <c:v>1988-89</c:v>
                </c:pt>
                <c:pt idx="1">
                  <c:v>1993-94</c:v>
                </c:pt>
                <c:pt idx="2">
                  <c:v>1998-99</c:v>
                </c:pt>
                <c:pt idx="3">
                  <c:v>2003-04</c:v>
                </c:pt>
                <c:pt idx="4">
                  <c:v>2009-10</c:v>
                </c:pt>
              </c:strCache>
            </c:strRef>
          </c:cat>
          <c:val>
            <c:numRef>
              <c:f>Sheet1!$AK$10:$AO$10</c:f>
              <c:numCache>
                <c:formatCode>#,##0.0</c:formatCode>
                <c:ptCount val="5"/>
                <c:pt idx="0">
                  <c:v>685.07129999999995</c:v>
                </c:pt>
                <c:pt idx="1">
                  <c:v>676.09834000000001</c:v>
                </c:pt>
                <c:pt idx="2">
                  <c:v>732.90723000000003</c:v>
                </c:pt>
                <c:pt idx="3">
                  <c:v>758.40515000000005</c:v>
                </c:pt>
                <c:pt idx="4">
                  <c:v>825.63228000000004</c:v>
                </c:pt>
              </c:numCache>
            </c:numRef>
          </c:val>
          <c:smooth val="0"/>
        </c:ser>
        <c:ser>
          <c:idx val="3"/>
          <c:order val="6"/>
          <c:tx>
            <c:strRef>
              <c:f>Sheet1!$AJ$9</c:f>
              <c:strCache>
                <c:ptCount val="1"/>
                <c:pt idx="0">
                  <c:v>4th decile</c:v>
                </c:pt>
              </c:strCache>
            </c:strRef>
          </c:tx>
          <c:spPr>
            <a:ln w="12700">
              <a:solidFill>
                <a:schemeClr val="tx1"/>
              </a:solidFill>
              <a:prstDash val="sysDash"/>
            </a:ln>
          </c:spPr>
          <c:marker>
            <c:symbol val="none"/>
          </c:marker>
          <c:cat>
            <c:strRef>
              <c:f>Sheet1!$AK$5:$AO$5</c:f>
              <c:strCache>
                <c:ptCount val="5"/>
                <c:pt idx="0">
                  <c:v>1988-89</c:v>
                </c:pt>
                <c:pt idx="1">
                  <c:v>1993-94</c:v>
                </c:pt>
                <c:pt idx="2">
                  <c:v>1998-99</c:v>
                </c:pt>
                <c:pt idx="3">
                  <c:v>2003-04</c:v>
                </c:pt>
                <c:pt idx="4">
                  <c:v>2009-10</c:v>
                </c:pt>
              </c:strCache>
            </c:strRef>
          </c:cat>
          <c:val>
            <c:numRef>
              <c:f>Sheet1!$AK$9:$AO$9</c:f>
              <c:numCache>
                <c:formatCode>#,##0.0</c:formatCode>
                <c:ptCount val="5"/>
                <c:pt idx="0">
                  <c:v>590.51178000000004</c:v>
                </c:pt>
                <c:pt idx="1">
                  <c:v>565.89390000000003</c:v>
                </c:pt>
                <c:pt idx="2">
                  <c:v>605.98422000000005</c:v>
                </c:pt>
                <c:pt idx="3">
                  <c:v>633.44487000000004</c:v>
                </c:pt>
                <c:pt idx="4">
                  <c:v>688.09983999999997</c:v>
                </c:pt>
              </c:numCache>
            </c:numRef>
          </c:val>
          <c:smooth val="0"/>
        </c:ser>
        <c:ser>
          <c:idx val="2"/>
          <c:order val="7"/>
          <c:tx>
            <c:strRef>
              <c:f>Sheet1!$AJ$8</c:f>
              <c:strCache>
                <c:ptCount val="1"/>
                <c:pt idx="0">
                  <c:v>3rd decile</c:v>
                </c:pt>
              </c:strCache>
            </c:strRef>
          </c:tx>
          <c:spPr>
            <a:ln w="12700">
              <a:solidFill>
                <a:schemeClr val="tx1"/>
              </a:solidFill>
              <a:prstDash val="sysDash"/>
            </a:ln>
          </c:spPr>
          <c:marker>
            <c:symbol val="none"/>
          </c:marker>
          <c:cat>
            <c:strRef>
              <c:f>Sheet1!$AK$5:$AO$5</c:f>
              <c:strCache>
                <c:ptCount val="5"/>
                <c:pt idx="0">
                  <c:v>1988-89</c:v>
                </c:pt>
                <c:pt idx="1">
                  <c:v>1993-94</c:v>
                </c:pt>
                <c:pt idx="2">
                  <c:v>1998-99</c:v>
                </c:pt>
                <c:pt idx="3">
                  <c:v>2003-04</c:v>
                </c:pt>
                <c:pt idx="4">
                  <c:v>2009-10</c:v>
                </c:pt>
              </c:strCache>
            </c:strRef>
          </c:cat>
          <c:val>
            <c:numRef>
              <c:f>Sheet1!$AK$8:$AO$8</c:f>
              <c:numCache>
                <c:formatCode>#,##0.0</c:formatCode>
                <c:ptCount val="5"/>
                <c:pt idx="0">
                  <c:v>458.77210000000002</c:v>
                </c:pt>
                <c:pt idx="1">
                  <c:v>413.59719999999999</c:v>
                </c:pt>
                <c:pt idx="2">
                  <c:v>444.45134999999999</c:v>
                </c:pt>
                <c:pt idx="3">
                  <c:v>471.82188000000002</c:v>
                </c:pt>
                <c:pt idx="4">
                  <c:v>525.98761000000002</c:v>
                </c:pt>
              </c:numCache>
            </c:numRef>
          </c:val>
          <c:smooth val="0"/>
        </c:ser>
        <c:ser>
          <c:idx val="1"/>
          <c:order val="8"/>
          <c:tx>
            <c:strRef>
              <c:f>Sheet1!$AJ$7</c:f>
              <c:strCache>
                <c:ptCount val="1"/>
                <c:pt idx="0">
                  <c:v>2nd decile</c:v>
                </c:pt>
              </c:strCache>
            </c:strRef>
          </c:tx>
          <c:spPr>
            <a:ln w="12700">
              <a:solidFill>
                <a:schemeClr val="tx1"/>
              </a:solidFill>
              <a:prstDash val="sysDash"/>
            </a:ln>
          </c:spPr>
          <c:marker>
            <c:symbol val="none"/>
          </c:marker>
          <c:cat>
            <c:strRef>
              <c:f>Sheet1!$AK$5:$AO$5</c:f>
              <c:strCache>
                <c:ptCount val="5"/>
                <c:pt idx="0">
                  <c:v>1988-89</c:v>
                </c:pt>
                <c:pt idx="1">
                  <c:v>1993-94</c:v>
                </c:pt>
                <c:pt idx="2">
                  <c:v>1998-99</c:v>
                </c:pt>
                <c:pt idx="3">
                  <c:v>2003-04</c:v>
                </c:pt>
                <c:pt idx="4">
                  <c:v>2009-10</c:v>
                </c:pt>
              </c:strCache>
            </c:strRef>
          </c:cat>
          <c:val>
            <c:numRef>
              <c:f>Sheet1!$AK$7:$AO$7</c:f>
              <c:numCache>
                <c:formatCode>#,##0.0</c:formatCode>
                <c:ptCount val="5"/>
                <c:pt idx="0">
                  <c:v>295.10863000000001</c:v>
                </c:pt>
                <c:pt idx="1">
                  <c:v>238.48578000000001</c:v>
                </c:pt>
                <c:pt idx="2">
                  <c:v>258.94452000000001</c:v>
                </c:pt>
                <c:pt idx="3">
                  <c:v>278.39231999999998</c:v>
                </c:pt>
                <c:pt idx="4">
                  <c:v>322.03944000000001</c:v>
                </c:pt>
              </c:numCache>
            </c:numRef>
          </c:val>
          <c:smooth val="0"/>
        </c:ser>
        <c:ser>
          <c:idx val="0"/>
          <c:order val="9"/>
          <c:tx>
            <c:strRef>
              <c:f>Sheet1!$AJ$6</c:f>
              <c:strCache>
                <c:ptCount val="1"/>
                <c:pt idx="0">
                  <c:v>1st decile</c:v>
                </c:pt>
              </c:strCache>
            </c:strRef>
          </c:tx>
          <c:spPr>
            <a:ln>
              <a:solidFill>
                <a:srgbClr val="C00000"/>
              </a:solidFill>
            </a:ln>
          </c:spPr>
          <c:marker>
            <c:symbol val="none"/>
          </c:marker>
          <c:cat>
            <c:strRef>
              <c:f>Sheet1!$AK$5:$AO$5</c:f>
              <c:strCache>
                <c:ptCount val="5"/>
                <c:pt idx="0">
                  <c:v>1988-89</c:v>
                </c:pt>
                <c:pt idx="1">
                  <c:v>1993-94</c:v>
                </c:pt>
                <c:pt idx="2">
                  <c:v>1998-99</c:v>
                </c:pt>
                <c:pt idx="3">
                  <c:v>2003-04</c:v>
                </c:pt>
                <c:pt idx="4">
                  <c:v>2009-10</c:v>
                </c:pt>
              </c:strCache>
            </c:strRef>
          </c:cat>
          <c:val>
            <c:numRef>
              <c:f>Sheet1!$AK$6:$AO$6</c:f>
              <c:numCache>
                <c:formatCode>#,##0.0</c:formatCode>
                <c:ptCount val="5"/>
                <c:pt idx="0">
                  <c:v>64.674284</c:v>
                </c:pt>
                <c:pt idx="1">
                  <c:v>-22.503354999999999</c:v>
                </c:pt>
                <c:pt idx="2">
                  <c:v>-8.2360600999999996</c:v>
                </c:pt>
                <c:pt idx="3">
                  <c:v>58.858958000000001</c:v>
                </c:pt>
                <c:pt idx="4">
                  <c:v>86.149116000000006</c:v>
                </c:pt>
              </c:numCache>
            </c:numRef>
          </c:val>
          <c:smooth val="0"/>
        </c:ser>
        <c:dLbls>
          <c:showLegendKey val="0"/>
          <c:showVal val="0"/>
          <c:showCatName val="0"/>
          <c:showSerName val="0"/>
          <c:showPercent val="0"/>
          <c:showBubbleSize val="0"/>
        </c:dLbls>
        <c:marker val="1"/>
        <c:smooth val="0"/>
        <c:axId val="191825408"/>
        <c:axId val="191826944"/>
      </c:lineChart>
      <c:catAx>
        <c:axId val="191825408"/>
        <c:scaling>
          <c:orientation val="minMax"/>
        </c:scaling>
        <c:delete val="0"/>
        <c:axPos val="b"/>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191826944"/>
        <c:crosses val="autoZero"/>
        <c:auto val="1"/>
        <c:lblAlgn val="ctr"/>
        <c:lblOffset val="100"/>
        <c:noMultiLvlLbl val="0"/>
      </c:catAx>
      <c:valAx>
        <c:axId val="191826944"/>
        <c:scaling>
          <c:orientation val="minMax"/>
          <c:min val="-500"/>
        </c:scaling>
        <c:delete val="0"/>
        <c:axPos val="l"/>
        <c:majorGridlines/>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191825408"/>
        <c:crosses val="autoZero"/>
        <c:crossBetween val="between"/>
      </c:valAx>
    </c:plotArea>
    <c:plotVisOnly val="1"/>
    <c:dispBlanksAs val="gap"/>
    <c:showDLblsOverMax val="0"/>
  </c:chart>
  <c:spPr>
    <a:ln>
      <a:noFill/>
    </a:ln>
  </c:spPr>
  <c:externalData r:id="rId1">
    <c:autoUpdate val="0"/>
  </c:externalData>
  <c:userShapes r:id="rId2"/>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523853635942567"/>
          <c:y val="5.5436507936507937E-2"/>
          <c:w val="0.79363864443415166"/>
          <c:h val="0.82692857142857146"/>
        </c:manualLayout>
      </c:layout>
      <c:lineChart>
        <c:grouping val="standard"/>
        <c:varyColors val="0"/>
        <c:ser>
          <c:idx val="1"/>
          <c:order val="0"/>
          <c:tx>
            <c:v>Labour income</c:v>
          </c:tx>
          <c:marker>
            <c:symbol val="none"/>
          </c:marker>
          <c:cat>
            <c:strRef>
              <c:f>'Trends in components of mkt inc'!$A$6:$A$10</c:f>
              <c:strCache>
                <c:ptCount val="5"/>
                <c:pt idx="0">
                  <c:v>1988-89</c:v>
                </c:pt>
                <c:pt idx="1">
                  <c:v>1993-94</c:v>
                </c:pt>
                <c:pt idx="2">
                  <c:v>1998-99</c:v>
                </c:pt>
                <c:pt idx="3">
                  <c:v>2003-04</c:v>
                </c:pt>
                <c:pt idx="4">
                  <c:v>2009-10</c:v>
                </c:pt>
              </c:strCache>
            </c:strRef>
          </c:cat>
          <c:val>
            <c:numRef>
              <c:f>'Trends in components of mkt inc'!$B$16:$B$20</c:f>
              <c:numCache>
                <c:formatCode>General</c:formatCode>
                <c:ptCount val="5"/>
                <c:pt idx="0">
                  <c:v>794.99069999999995</c:v>
                </c:pt>
                <c:pt idx="1">
                  <c:v>782.89850000000001</c:v>
                </c:pt>
                <c:pt idx="2">
                  <c:v>873.37789999999995</c:v>
                </c:pt>
                <c:pt idx="3">
                  <c:v>929.55430000000001</c:v>
                </c:pt>
                <c:pt idx="4">
                  <c:v>1094.703</c:v>
                </c:pt>
              </c:numCache>
            </c:numRef>
          </c:val>
          <c:smooth val="0"/>
        </c:ser>
        <c:ser>
          <c:idx val="2"/>
          <c:order val="1"/>
          <c:tx>
            <c:v>Capital &amp; other income</c:v>
          </c:tx>
          <c:marker>
            <c:symbol val="none"/>
          </c:marker>
          <c:cat>
            <c:strRef>
              <c:f>'Trends in components of mkt inc'!$A$6:$A$10</c:f>
              <c:strCache>
                <c:ptCount val="5"/>
                <c:pt idx="0">
                  <c:v>1988-89</c:v>
                </c:pt>
                <c:pt idx="1">
                  <c:v>1993-94</c:v>
                </c:pt>
                <c:pt idx="2">
                  <c:v>1998-99</c:v>
                </c:pt>
                <c:pt idx="3">
                  <c:v>2003-04</c:v>
                </c:pt>
                <c:pt idx="4">
                  <c:v>2009-10</c:v>
                </c:pt>
              </c:strCache>
            </c:strRef>
          </c:cat>
          <c:val>
            <c:numRef>
              <c:f>'Trends in components of mkt inc'!$B$26:$B$30</c:f>
              <c:numCache>
                <c:formatCode>General</c:formatCode>
                <c:ptCount val="5"/>
                <c:pt idx="0">
                  <c:v>93.828270000000003</c:v>
                </c:pt>
                <c:pt idx="1">
                  <c:v>64.148759999999996</c:v>
                </c:pt>
                <c:pt idx="2">
                  <c:v>108.346</c:v>
                </c:pt>
                <c:pt idx="3">
                  <c:v>95.770359999999997</c:v>
                </c:pt>
                <c:pt idx="4">
                  <c:v>165.0505</c:v>
                </c:pt>
              </c:numCache>
            </c:numRef>
          </c:val>
          <c:smooth val="0"/>
        </c:ser>
        <c:ser>
          <c:idx val="3"/>
          <c:order val="2"/>
          <c:tx>
            <c:v>Market income</c:v>
          </c:tx>
          <c:spPr>
            <a:ln>
              <a:solidFill>
                <a:schemeClr val="accent1">
                  <a:lumMod val="75000"/>
                </a:schemeClr>
              </a:solidFill>
            </a:ln>
          </c:spPr>
          <c:marker>
            <c:symbol val="none"/>
          </c:marker>
          <c:cat>
            <c:strRef>
              <c:f>'Trends in components of mkt inc'!$A$6:$A$10</c:f>
              <c:strCache>
                <c:ptCount val="5"/>
                <c:pt idx="0">
                  <c:v>1988-89</c:v>
                </c:pt>
                <c:pt idx="1">
                  <c:v>1993-94</c:v>
                </c:pt>
                <c:pt idx="2">
                  <c:v>1998-99</c:v>
                </c:pt>
                <c:pt idx="3">
                  <c:v>2003-04</c:v>
                </c:pt>
                <c:pt idx="4">
                  <c:v>2009-10</c:v>
                </c:pt>
              </c:strCache>
            </c:strRef>
          </c:cat>
          <c:val>
            <c:numRef>
              <c:f>'Trends in components of mkt inc'!$D$6:$D$10</c:f>
              <c:numCache>
                <c:formatCode>General</c:formatCode>
                <c:ptCount val="5"/>
                <c:pt idx="0">
                  <c:v>653.43119999999999</c:v>
                </c:pt>
                <c:pt idx="1">
                  <c:v>604.33169999999996</c:v>
                </c:pt>
                <c:pt idx="2">
                  <c:v>731.9194</c:v>
                </c:pt>
                <c:pt idx="3">
                  <c:v>752.14559999999994</c:v>
                </c:pt>
                <c:pt idx="4">
                  <c:v>934.34130000000005</c:v>
                </c:pt>
              </c:numCache>
            </c:numRef>
          </c:val>
          <c:smooth val="0"/>
        </c:ser>
        <c:dLbls>
          <c:showLegendKey val="0"/>
          <c:showVal val="0"/>
          <c:showCatName val="0"/>
          <c:showSerName val="0"/>
          <c:showPercent val="0"/>
          <c:showBubbleSize val="0"/>
        </c:dLbls>
        <c:marker val="1"/>
        <c:smooth val="0"/>
        <c:axId val="248494336"/>
        <c:axId val="248504320"/>
      </c:lineChart>
      <c:catAx>
        <c:axId val="248494336"/>
        <c:scaling>
          <c:orientation val="minMax"/>
        </c:scaling>
        <c:delete val="0"/>
        <c:axPos val="b"/>
        <c:numFmt formatCode="General" sourceLinked="1"/>
        <c:majorTickMark val="out"/>
        <c:minorTickMark val="none"/>
        <c:tickLblPos val="nextTo"/>
        <c:txPr>
          <a:bodyPr rot="0"/>
          <a:lstStyle/>
          <a:p>
            <a:pPr>
              <a:defRPr sz="800">
                <a:latin typeface="Arial" pitchFamily="34" charset="0"/>
                <a:cs typeface="Arial" pitchFamily="34" charset="0"/>
              </a:defRPr>
            </a:pPr>
            <a:endParaRPr lang="en-US"/>
          </a:p>
        </c:txPr>
        <c:crossAx val="248504320"/>
        <c:crosses val="autoZero"/>
        <c:auto val="1"/>
        <c:lblAlgn val="ctr"/>
        <c:lblOffset val="100"/>
        <c:noMultiLvlLbl val="0"/>
      </c:catAx>
      <c:valAx>
        <c:axId val="248504320"/>
        <c:scaling>
          <c:orientation val="minMax"/>
        </c:scaling>
        <c:delete val="0"/>
        <c:axPos val="l"/>
        <c:majorGridlines/>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 per week</a:t>
                </a:r>
              </a:p>
            </c:rich>
          </c:tx>
          <c:layout/>
          <c:overlay val="0"/>
        </c:title>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48494336"/>
        <c:crosses val="autoZero"/>
        <c:crossBetween val="between"/>
      </c:valAx>
    </c:plotArea>
    <c:plotVisOnly val="1"/>
    <c:dispBlanksAs val="gap"/>
    <c:showDLblsOverMax val="0"/>
  </c:chart>
  <c:spPr>
    <a:ln>
      <a:noFill/>
    </a:ln>
  </c:spPr>
  <c:externalData r:id="rId1">
    <c:autoUpdate val="0"/>
  </c:externalData>
  <c:userShapes r:id="rId2"/>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512936507936505"/>
          <c:y val="5.5436507936507937E-2"/>
          <c:w val="0.81479126984126982"/>
          <c:h val="0.82669166666666671"/>
        </c:manualLayout>
      </c:layout>
      <c:barChart>
        <c:barDir val="col"/>
        <c:grouping val="clustered"/>
        <c:varyColors val="0"/>
        <c:ser>
          <c:idx val="0"/>
          <c:order val="0"/>
          <c:tx>
            <c:strRef>
              <c:f>'Trends in components of mkt inc'!$E$4</c:f>
              <c:strCache>
                <c:ptCount val="1"/>
                <c:pt idx="0">
                  <c:v>Capital share</c:v>
                </c:pt>
              </c:strCache>
            </c:strRef>
          </c:tx>
          <c:spPr>
            <a:solidFill>
              <a:schemeClr val="accent1">
                <a:lumMod val="75000"/>
              </a:schemeClr>
            </a:solidFill>
            <a:ln>
              <a:solidFill>
                <a:schemeClr val="accent1">
                  <a:lumMod val="75000"/>
                </a:schemeClr>
              </a:solidFill>
            </a:ln>
          </c:spPr>
          <c:invertIfNegative val="0"/>
          <c:cat>
            <c:strRef>
              <c:f>'Trends in components of mkt inc'!$A$6:$A$10</c:f>
              <c:strCache>
                <c:ptCount val="5"/>
                <c:pt idx="0">
                  <c:v>1988-89</c:v>
                </c:pt>
                <c:pt idx="1">
                  <c:v>1993-94</c:v>
                </c:pt>
                <c:pt idx="2">
                  <c:v>1998-99</c:v>
                </c:pt>
                <c:pt idx="3">
                  <c:v>2003-04</c:v>
                </c:pt>
                <c:pt idx="4">
                  <c:v>2009-10</c:v>
                </c:pt>
              </c:strCache>
            </c:strRef>
          </c:cat>
          <c:val>
            <c:numRef>
              <c:f>'Trends in components of mkt inc'!$E$6:$E$10</c:f>
              <c:numCache>
                <c:formatCode>_-* #,##0_-;\-* #,##0_-;_-* "-"??_-;_-@_-</c:formatCode>
                <c:ptCount val="5"/>
                <c:pt idx="0">
                  <c:v>9.3581772648750174</c:v>
                </c:pt>
                <c:pt idx="1">
                  <c:v>7.9438113208358931</c:v>
                </c:pt>
                <c:pt idx="2">
                  <c:v>7.8778523974087857</c:v>
                </c:pt>
                <c:pt idx="3">
                  <c:v>8.5038907360489784</c:v>
                </c:pt>
                <c:pt idx="4">
                  <c:v>11.029085410224294</c:v>
                </c:pt>
              </c:numCache>
            </c:numRef>
          </c:val>
        </c:ser>
        <c:dLbls>
          <c:showLegendKey val="0"/>
          <c:showVal val="0"/>
          <c:showCatName val="0"/>
          <c:showSerName val="0"/>
          <c:showPercent val="0"/>
          <c:showBubbleSize val="0"/>
        </c:dLbls>
        <c:gapWidth val="150"/>
        <c:axId val="248608640"/>
        <c:axId val="248610176"/>
      </c:barChart>
      <c:catAx>
        <c:axId val="248608640"/>
        <c:scaling>
          <c:orientation val="minMax"/>
        </c:scaling>
        <c:delete val="0"/>
        <c:axPos val="b"/>
        <c:numFmt formatCode="General" sourceLinked="1"/>
        <c:majorTickMark val="out"/>
        <c:minorTickMark val="none"/>
        <c:tickLblPos val="nextTo"/>
        <c:txPr>
          <a:bodyPr/>
          <a:lstStyle/>
          <a:p>
            <a:pPr>
              <a:defRPr sz="800">
                <a:latin typeface="Arial" pitchFamily="34" charset="0"/>
                <a:cs typeface="Arial" pitchFamily="34" charset="0"/>
              </a:defRPr>
            </a:pPr>
            <a:endParaRPr lang="en-US"/>
          </a:p>
        </c:txPr>
        <c:crossAx val="248610176"/>
        <c:crosses val="autoZero"/>
        <c:auto val="1"/>
        <c:lblAlgn val="ctr"/>
        <c:lblOffset val="100"/>
        <c:noMultiLvlLbl val="0"/>
      </c:catAx>
      <c:valAx>
        <c:axId val="248610176"/>
        <c:scaling>
          <c:orientation val="minMax"/>
        </c:scaling>
        <c:delete val="0"/>
        <c:axPos val="l"/>
        <c:majorGridlines/>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Per cent</a:t>
                </a:r>
              </a:p>
            </c:rich>
          </c:tx>
          <c:layout>
            <c:manualLayout>
              <c:xMode val="edge"/>
              <c:yMode val="edge"/>
              <c:x val="3.5277777777777776E-2"/>
              <c:y val="0.37763214285714286"/>
            </c:manualLayout>
          </c:layout>
          <c:overlay val="0"/>
        </c:title>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248608640"/>
        <c:crosses val="autoZero"/>
        <c:crossBetween val="between"/>
      </c:valAx>
    </c:plotArea>
    <c:plotVisOnly val="1"/>
    <c:dispBlanksAs val="gap"/>
    <c:showDLblsOverMax val="0"/>
  </c:chart>
  <c:spPr>
    <a:ln>
      <a:noFill/>
    </a:ln>
  </c:sp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6808180227471564E-2"/>
          <c:y val="5.0925925925925923E-2"/>
          <c:w val="0.86741272965879268"/>
          <c:h val="0.83309419655876349"/>
        </c:manualLayout>
      </c:layout>
      <c:lineChart>
        <c:grouping val="standard"/>
        <c:varyColors val="0"/>
        <c:ser>
          <c:idx val="0"/>
          <c:order val="0"/>
          <c:tx>
            <c:strRef>
              <c:f>'Trends in components of mkt inc'!$B$56</c:f>
              <c:strCache>
                <c:ptCount val="1"/>
                <c:pt idx="0">
                  <c:v>Labour income</c:v>
                </c:pt>
              </c:strCache>
            </c:strRef>
          </c:tx>
          <c:spPr>
            <a:ln>
              <a:solidFill>
                <a:schemeClr val="accent1">
                  <a:lumMod val="75000"/>
                </a:schemeClr>
              </a:solidFill>
            </a:ln>
          </c:spPr>
          <c:marker>
            <c:symbol val="none"/>
          </c:marker>
          <c:cat>
            <c:strRef>
              <c:f>'Trends in components of mkt inc'!$A$57:$A$61</c:f>
              <c:strCache>
                <c:ptCount val="5"/>
                <c:pt idx="0">
                  <c:v>1988-89</c:v>
                </c:pt>
                <c:pt idx="1">
                  <c:v>1993-94</c:v>
                </c:pt>
                <c:pt idx="2">
                  <c:v>1998-99</c:v>
                </c:pt>
                <c:pt idx="3">
                  <c:v>2003-04</c:v>
                </c:pt>
                <c:pt idx="4">
                  <c:v>2009-10</c:v>
                </c:pt>
              </c:strCache>
            </c:strRef>
          </c:cat>
          <c:val>
            <c:numRef>
              <c:f>'Trends in components of mkt inc'!$B$57:$B$61</c:f>
              <c:numCache>
                <c:formatCode>0.000</c:formatCode>
                <c:ptCount val="5"/>
                <c:pt idx="0">
                  <c:v>0.34894872999999998</c:v>
                </c:pt>
                <c:pt idx="1">
                  <c:v>0.38677613999999999</c:v>
                </c:pt>
                <c:pt idx="2">
                  <c:v>0.39499918000000001</c:v>
                </c:pt>
                <c:pt idx="3">
                  <c:v>0.39027494000000001</c:v>
                </c:pt>
                <c:pt idx="4">
                  <c:v>0.41283802000000003</c:v>
                </c:pt>
              </c:numCache>
            </c:numRef>
          </c:val>
          <c:smooth val="0"/>
        </c:ser>
        <c:ser>
          <c:idx val="1"/>
          <c:order val="1"/>
          <c:tx>
            <c:strRef>
              <c:f>'Trends in components of mkt inc'!$C$56</c:f>
              <c:strCache>
                <c:ptCount val="1"/>
                <c:pt idx="0">
                  <c:v>Capital income</c:v>
                </c:pt>
              </c:strCache>
            </c:strRef>
          </c:tx>
          <c:spPr>
            <a:ln>
              <a:solidFill>
                <a:schemeClr val="accent3"/>
              </a:solidFill>
            </a:ln>
          </c:spPr>
          <c:marker>
            <c:symbol val="none"/>
          </c:marker>
          <c:cat>
            <c:strRef>
              <c:f>'Trends in components of mkt inc'!$A$57:$A$61</c:f>
              <c:strCache>
                <c:ptCount val="5"/>
                <c:pt idx="0">
                  <c:v>1988-89</c:v>
                </c:pt>
                <c:pt idx="1">
                  <c:v>1993-94</c:v>
                </c:pt>
                <c:pt idx="2">
                  <c:v>1998-99</c:v>
                </c:pt>
                <c:pt idx="3">
                  <c:v>2003-04</c:v>
                </c:pt>
                <c:pt idx="4">
                  <c:v>2009-10</c:v>
                </c:pt>
              </c:strCache>
            </c:strRef>
          </c:cat>
          <c:val>
            <c:numRef>
              <c:f>'Trends in components of mkt inc'!$C$57:$C$61</c:f>
              <c:numCache>
                <c:formatCode>0.000</c:formatCode>
                <c:ptCount val="5"/>
                <c:pt idx="0">
                  <c:v>0.82377062000000001</c:v>
                </c:pt>
                <c:pt idx="1">
                  <c:v>0.92375275999999995</c:v>
                </c:pt>
                <c:pt idx="2">
                  <c:v>0.91359931999999999</c:v>
                </c:pt>
                <c:pt idx="3">
                  <c:v>1.2173438999999999</c:v>
                </c:pt>
                <c:pt idx="4">
                  <c:v>0.95594272000000002</c:v>
                </c:pt>
              </c:numCache>
            </c:numRef>
          </c:val>
          <c:smooth val="0"/>
        </c:ser>
        <c:ser>
          <c:idx val="2"/>
          <c:order val="2"/>
          <c:tx>
            <c:strRef>
              <c:f>'Trends in components of mkt inc'!$D$56</c:f>
              <c:strCache>
                <c:ptCount val="1"/>
                <c:pt idx="0">
                  <c:v>Market income</c:v>
                </c:pt>
              </c:strCache>
            </c:strRef>
          </c:tx>
          <c:spPr>
            <a:ln>
              <a:solidFill>
                <a:srgbClr val="C00000"/>
              </a:solidFill>
            </a:ln>
          </c:spPr>
          <c:marker>
            <c:symbol val="none"/>
          </c:marker>
          <c:cat>
            <c:strRef>
              <c:f>'Trends in components of mkt inc'!$A$57:$A$61</c:f>
              <c:strCache>
                <c:ptCount val="5"/>
                <c:pt idx="0">
                  <c:v>1988-89</c:v>
                </c:pt>
                <c:pt idx="1">
                  <c:v>1993-94</c:v>
                </c:pt>
                <c:pt idx="2">
                  <c:v>1998-99</c:v>
                </c:pt>
                <c:pt idx="3">
                  <c:v>2003-04</c:v>
                </c:pt>
                <c:pt idx="4">
                  <c:v>2009-10</c:v>
                </c:pt>
              </c:strCache>
            </c:strRef>
          </c:cat>
          <c:val>
            <c:numRef>
              <c:f>'Trends in components of mkt inc'!$D$57:$D$61</c:f>
              <c:numCache>
                <c:formatCode>0.000</c:formatCode>
                <c:ptCount val="5"/>
                <c:pt idx="0">
                  <c:v>0.47326427999999998</c:v>
                </c:pt>
                <c:pt idx="1">
                  <c:v>0.52941205999999996</c:v>
                </c:pt>
                <c:pt idx="2">
                  <c:v>0.48771118000000002</c:v>
                </c:pt>
                <c:pt idx="3">
                  <c:v>0.49450927</c:v>
                </c:pt>
                <c:pt idx="4">
                  <c:v>0.51609490000000002</c:v>
                </c:pt>
              </c:numCache>
            </c:numRef>
          </c:val>
          <c:smooth val="0"/>
        </c:ser>
        <c:dLbls>
          <c:showLegendKey val="0"/>
          <c:showVal val="0"/>
          <c:showCatName val="0"/>
          <c:showSerName val="0"/>
          <c:showPercent val="0"/>
          <c:showBubbleSize val="0"/>
        </c:dLbls>
        <c:marker val="1"/>
        <c:smooth val="0"/>
        <c:axId val="248632064"/>
        <c:axId val="248633600"/>
      </c:lineChart>
      <c:catAx>
        <c:axId val="248632064"/>
        <c:scaling>
          <c:orientation val="minMax"/>
        </c:scaling>
        <c:delete val="0"/>
        <c:axPos val="b"/>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48633600"/>
        <c:crosses val="autoZero"/>
        <c:auto val="1"/>
        <c:lblAlgn val="ctr"/>
        <c:lblOffset val="100"/>
        <c:noMultiLvlLbl val="0"/>
      </c:catAx>
      <c:valAx>
        <c:axId val="248633600"/>
        <c:scaling>
          <c:orientation val="minMax"/>
        </c:scaling>
        <c:delete val="0"/>
        <c:axPos val="l"/>
        <c:majorGridlines/>
        <c:numFmt formatCode="0.0" sourceLinked="0"/>
        <c:majorTickMark val="out"/>
        <c:minorTickMark val="none"/>
        <c:tickLblPos val="nextTo"/>
        <c:txPr>
          <a:bodyPr/>
          <a:lstStyle/>
          <a:p>
            <a:pPr>
              <a:defRPr sz="900">
                <a:latin typeface="Arial" pitchFamily="34" charset="0"/>
                <a:cs typeface="Arial" pitchFamily="34" charset="0"/>
              </a:defRPr>
            </a:pPr>
            <a:endParaRPr lang="en-US"/>
          </a:p>
        </c:txPr>
        <c:crossAx val="248632064"/>
        <c:crosses val="autoZero"/>
        <c:crossBetween val="between"/>
      </c:valAx>
    </c:plotArea>
    <c:plotVisOnly val="1"/>
    <c:dispBlanksAs val="gap"/>
    <c:showDLblsOverMax val="0"/>
  </c:chart>
  <c:spPr>
    <a:ln>
      <a:noFill/>
    </a:ln>
  </c:spPr>
  <c:externalData r:id="rId1">
    <c:autoUpdate val="0"/>
  </c:externalData>
  <c:userShapes r:id="rId2"/>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0310396825396826"/>
          <c:y val="5.0925925925925923E-2"/>
          <c:w val="0.76733253968253956"/>
          <c:h val="0.85026975794692328"/>
        </c:manualLayout>
      </c:layout>
      <c:lineChart>
        <c:grouping val="standard"/>
        <c:varyColors val="0"/>
        <c:ser>
          <c:idx val="0"/>
          <c:order val="0"/>
          <c:tx>
            <c:v>60th percentile</c:v>
          </c:tx>
          <c:spPr>
            <a:ln>
              <a:solidFill>
                <a:schemeClr val="accent1">
                  <a:lumMod val="75000"/>
                </a:schemeClr>
              </a:solidFill>
            </a:ln>
          </c:spPr>
          <c:marker>
            <c:symbol val="none"/>
          </c:marker>
          <c:cat>
            <c:strRef>
              <c:f>'Trends in components of mkt inc'!$A$6:$A$10</c:f>
              <c:strCache>
                <c:ptCount val="5"/>
                <c:pt idx="0">
                  <c:v>1988-89</c:v>
                </c:pt>
                <c:pt idx="1">
                  <c:v>1993-94</c:v>
                </c:pt>
                <c:pt idx="2">
                  <c:v>1998-99</c:v>
                </c:pt>
                <c:pt idx="3">
                  <c:v>2003-04</c:v>
                </c:pt>
                <c:pt idx="4">
                  <c:v>2009-10</c:v>
                </c:pt>
              </c:strCache>
            </c:strRef>
          </c:cat>
          <c:val>
            <c:numRef>
              <c:f>'Trends in components of mkt inc'!$B$47:$B$51</c:f>
              <c:numCache>
                <c:formatCode>General</c:formatCode>
                <c:ptCount val="5"/>
                <c:pt idx="0">
                  <c:v>27.174009999999999</c:v>
                </c:pt>
                <c:pt idx="1">
                  <c:v>9.7680000000000007</c:v>
                </c:pt>
                <c:pt idx="2">
                  <c:v>30.975000000000001</c:v>
                </c:pt>
                <c:pt idx="3">
                  <c:v>15.036</c:v>
                </c:pt>
                <c:pt idx="4">
                  <c:v>34.82555</c:v>
                </c:pt>
              </c:numCache>
            </c:numRef>
          </c:val>
          <c:smooth val="0"/>
        </c:ser>
        <c:ser>
          <c:idx val="2"/>
          <c:order val="1"/>
          <c:tx>
            <c:v>90th percentile</c:v>
          </c:tx>
          <c:spPr>
            <a:ln>
              <a:solidFill>
                <a:srgbClr val="C00000"/>
              </a:solidFill>
            </a:ln>
          </c:spPr>
          <c:marker>
            <c:symbol val="none"/>
          </c:marker>
          <c:cat>
            <c:strRef>
              <c:f>'Trends in components of mkt inc'!$A$6:$A$10</c:f>
              <c:strCache>
                <c:ptCount val="5"/>
                <c:pt idx="0">
                  <c:v>1988-89</c:v>
                </c:pt>
                <c:pt idx="1">
                  <c:v>1993-94</c:v>
                </c:pt>
                <c:pt idx="2">
                  <c:v>1998-99</c:v>
                </c:pt>
                <c:pt idx="3">
                  <c:v>2003-04</c:v>
                </c:pt>
                <c:pt idx="4">
                  <c:v>2009-10</c:v>
                </c:pt>
              </c:strCache>
            </c:strRef>
          </c:cat>
          <c:val>
            <c:numRef>
              <c:f>'Trends in components of mkt inc'!$D$47:$D$51</c:f>
              <c:numCache>
                <c:formatCode>General</c:formatCode>
                <c:ptCount val="5"/>
                <c:pt idx="0">
                  <c:v>244.566</c:v>
                </c:pt>
                <c:pt idx="1">
                  <c:v>159.54400000000001</c:v>
                </c:pt>
                <c:pt idx="2">
                  <c:v>362.85</c:v>
                </c:pt>
                <c:pt idx="3">
                  <c:v>347.08109999999999</c:v>
                </c:pt>
                <c:pt idx="4">
                  <c:v>455.24310000000003</c:v>
                </c:pt>
              </c:numCache>
            </c:numRef>
          </c:val>
          <c:smooth val="0"/>
        </c:ser>
        <c:ser>
          <c:idx val="3"/>
          <c:order val="2"/>
          <c:tx>
            <c:v>95th percentile</c:v>
          </c:tx>
          <c:spPr>
            <a:ln>
              <a:solidFill>
                <a:schemeClr val="accent3"/>
              </a:solidFill>
            </a:ln>
          </c:spPr>
          <c:marker>
            <c:symbol val="none"/>
          </c:marker>
          <c:cat>
            <c:strRef>
              <c:f>'Trends in components of mkt inc'!$A$6:$A$10</c:f>
              <c:strCache>
                <c:ptCount val="5"/>
                <c:pt idx="0">
                  <c:v>1988-89</c:v>
                </c:pt>
                <c:pt idx="1">
                  <c:v>1993-94</c:v>
                </c:pt>
                <c:pt idx="2">
                  <c:v>1998-99</c:v>
                </c:pt>
                <c:pt idx="3">
                  <c:v>2003-04</c:v>
                </c:pt>
                <c:pt idx="4">
                  <c:v>2009-10</c:v>
                </c:pt>
              </c:strCache>
            </c:strRef>
          </c:cat>
          <c:val>
            <c:numRef>
              <c:f>'Trends in components of mkt inc'!$E$47:$E$51</c:f>
              <c:numCache>
                <c:formatCode>General</c:formatCode>
                <c:ptCount val="5"/>
                <c:pt idx="0">
                  <c:v>477.48599999999999</c:v>
                </c:pt>
                <c:pt idx="1">
                  <c:v>374.44</c:v>
                </c:pt>
                <c:pt idx="2">
                  <c:v>584.1</c:v>
                </c:pt>
                <c:pt idx="3">
                  <c:v>636.524</c:v>
                </c:pt>
                <c:pt idx="4">
                  <c:v>825.95950000000005</c:v>
                </c:pt>
              </c:numCache>
            </c:numRef>
          </c:val>
          <c:smooth val="0"/>
        </c:ser>
        <c:ser>
          <c:idx val="4"/>
          <c:order val="3"/>
          <c:tx>
            <c:v>99th percentile</c:v>
          </c:tx>
          <c:spPr>
            <a:ln>
              <a:solidFill>
                <a:schemeClr val="accent4">
                  <a:lumMod val="75000"/>
                </a:schemeClr>
              </a:solidFill>
            </a:ln>
          </c:spPr>
          <c:marker>
            <c:symbol val="none"/>
          </c:marker>
          <c:cat>
            <c:strRef>
              <c:f>'Trends in components of mkt inc'!$A$6:$A$10</c:f>
              <c:strCache>
                <c:ptCount val="5"/>
                <c:pt idx="0">
                  <c:v>1988-89</c:v>
                </c:pt>
                <c:pt idx="1">
                  <c:v>1993-94</c:v>
                </c:pt>
                <c:pt idx="2">
                  <c:v>1998-99</c:v>
                </c:pt>
                <c:pt idx="3">
                  <c:v>2003-04</c:v>
                </c:pt>
                <c:pt idx="4">
                  <c:v>2009-10</c:v>
                </c:pt>
              </c:strCache>
            </c:strRef>
          </c:cat>
          <c:val>
            <c:numRef>
              <c:f>'Trends in components of mkt inc'!$F$47:$F$51</c:f>
              <c:numCache>
                <c:formatCode>General</c:formatCode>
                <c:ptCount val="5"/>
                <c:pt idx="0">
                  <c:v>1030.671</c:v>
                </c:pt>
                <c:pt idx="1">
                  <c:v>900.28399999999999</c:v>
                </c:pt>
                <c:pt idx="2">
                  <c:v>1165.25</c:v>
                </c:pt>
                <c:pt idx="3">
                  <c:v>1377.047</c:v>
                </c:pt>
                <c:pt idx="4">
                  <c:v>2152.5479999999998</c:v>
                </c:pt>
              </c:numCache>
            </c:numRef>
          </c:val>
          <c:smooth val="0"/>
        </c:ser>
        <c:dLbls>
          <c:showLegendKey val="0"/>
          <c:showVal val="0"/>
          <c:showCatName val="0"/>
          <c:showSerName val="0"/>
          <c:showPercent val="0"/>
          <c:showBubbleSize val="0"/>
        </c:dLbls>
        <c:marker val="1"/>
        <c:smooth val="0"/>
        <c:axId val="248682752"/>
        <c:axId val="248688640"/>
      </c:lineChart>
      <c:catAx>
        <c:axId val="248682752"/>
        <c:scaling>
          <c:orientation val="minMax"/>
        </c:scaling>
        <c:delete val="0"/>
        <c:axPos val="b"/>
        <c:numFmt formatCode="General" sourceLinked="1"/>
        <c:majorTickMark val="out"/>
        <c:minorTickMark val="none"/>
        <c:tickLblPos val="nextTo"/>
        <c:txPr>
          <a:bodyPr/>
          <a:lstStyle/>
          <a:p>
            <a:pPr>
              <a:defRPr sz="800">
                <a:latin typeface="Arial" pitchFamily="34" charset="0"/>
                <a:cs typeface="Arial" pitchFamily="34" charset="0"/>
              </a:defRPr>
            </a:pPr>
            <a:endParaRPr lang="en-US"/>
          </a:p>
        </c:txPr>
        <c:crossAx val="248688640"/>
        <c:crosses val="autoZero"/>
        <c:auto val="1"/>
        <c:lblAlgn val="ctr"/>
        <c:lblOffset val="100"/>
        <c:noMultiLvlLbl val="0"/>
      </c:catAx>
      <c:valAx>
        <c:axId val="248688640"/>
        <c:scaling>
          <c:orientation val="minMax"/>
          <c:max val="2400"/>
        </c:scaling>
        <c:delete val="0"/>
        <c:axPos val="l"/>
        <c:majorGridlines/>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 per week</a:t>
                </a:r>
              </a:p>
            </c:rich>
          </c:tx>
          <c:layout/>
          <c:overlay val="0"/>
        </c:title>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48682752"/>
        <c:crosses val="autoZero"/>
        <c:crossBetween val="between"/>
        <c:majorUnit val="400"/>
        <c:minorUnit val="100"/>
      </c:valAx>
    </c:plotArea>
    <c:plotVisOnly val="1"/>
    <c:dispBlanksAs val="gap"/>
    <c:showDLblsOverMax val="0"/>
  </c:chart>
  <c:spPr>
    <a:ln>
      <a:noFill/>
    </a:ln>
  </c:spPr>
  <c:externalData r:id="rId1">
    <c:autoUpdate val="0"/>
  </c:externalData>
  <c:userShapes r:id="rId2"/>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479223572775253E-2"/>
          <c:y val="5.5436507936507937E-2"/>
          <c:w val="0.8559411845581596"/>
          <c:h val="0.72781150793650795"/>
        </c:manualLayout>
      </c:layout>
      <c:barChart>
        <c:barDir val="col"/>
        <c:grouping val="clustered"/>
        <c:varyColors val="0"/>
        <c:ser>
          <c:idx val="0"/>
          <c:order val="0"/>
          <c:tx>
            <c:v>Between</c:v>
          </c:tx>
          <c:spPr>
            <a:pattFill prst="pct30">
              <a:fgClr>
                <a:schemeClr val="accent1">
                  <a:lumMod val="75000"/>
                </a:schemeClr>
              </a:fgClr>
              <a:bgClr>
                <a:schemeClr val="bg1"/>
              </a:bgClr>
            </a:pattFill>
            <a:ln>
              <a:solidFill>
                <a:schemeClr val="accent1">
                  <a:lumMod val="75000"/>
                </a:schemeClr>
              </a:solidFill>
            </a:ln>
          </c:spPr>
          <c:invertIfNegative val="0"/>
          <c:cat>
            <c:strRef>
              <c:f>(Gini!$B$2,Gini!$D$2,Gini!$F$2,Gini!$H$2,Gini!$J$2)</c:f>
              <c:strCache>
                <c:ptCount val="5"/>
                <c:pt idx="0">
                  <c:v>1988-89</c:v>
                </c:pt>
                <c:pt idx="1">
                  <c:v>1993-94</c:v>
                </c:pt>
                <c:pt idx="2">
                  <c:v>1998-99</c:v>
                </c:pt>
                <c:pt idx="3">
                  <c:v>2003-04</c:v>
                </c:pt>
                <c:pt idx="4">
                  <c:v>2009-10</c:v>
                </c:pt>
              </c:strCache>
            </c:strRef>
          </c:cat>
          <c:val>
            <c:numRef>
              <c:f>(Gini!$C$6,Gini!$E$6,Gini!$G$6,Gini!$I$6,Gini!$K$6)</c:f>
              <c:numCache>
                <c:formatCode>General</c:formatCode>
                <c:ptCount val="5"/>
                <c:pt idx="0">
                  <c:v>31.361000000000001</c:v>
                </c:pt>
                <c:pt idx="1">
                  <c:v>26.547999999999998</c:v>
                </c:pt>
                <c:pt idx="2">
                  <c:v>25.475000000000001</c:v>
                </c:pt>
                <c:pt idx="3">
                  <c:v>25.298999999999999</c:v>
                </c:pt>
                <c:pt idx="4">
                  <c:v>26.225999999999999</c:v>
                </c:pt>
              </c:numCache>
            </c:numRef>
          </c:val>
        </c:ser>
        <c:ser>
          <c:idx val="1"/>
          <c:order val="1"/>
          <c:tx>
            <c:strRef>
              <c:f>Gini!$A$7</c:f>
              <c:strCache>
                <c:ptCount val="1"/>
                <c:pt idx="0">
                  <c:v>Overlap</c:v>
                </c:pt>
              </c:strCache>
            </c:strRef>
          </c:tx>
          <c:spPr>
            <a:pattFill prst="lgCheck">
              <a:fgClr>
                <a:schemeClr val="accent1">
                  <a:lumMod val="75000"/>
                </a:schemeClr>
              </a:fgClr>
              <a:bgClr>
                <a:schemeClr val="bg1"/>
              </a:bgClr>
            </a:pattFill>
            <a:ln>
              <a:solidFill>
                <a:schemeClr val="accent1">
                  <a:lumMod val="75000"/>
                </a:schemeClr>
              </a:solidFill>
            </a:ln>
          </c:spPr>
          <c:invertIfNegative val="0"/>
          <c:cat>
            <c:strRef>
              <c:f>(Gini!$B$2,Gini!$D$2,Gini!$F$2,Gini!$H$2,Gini!$J$2)</c:f>
              <c:strCache>
                <c:ptCount val="5"/>
                <c:pt idx="0">
                  <c:v>1988-89</c:v>
                </c:pt>
                <c:pt idx="1">
                  <c:v>1993-94</c:v>
                </c:pt>
                <c:pt idx="2">
                  <c:v>1998-99</c:v>
                </c:pt>
                <c:pt idx="3">
                  <c:v>2003-04</c:v>
                </c:pt>
                <c:pt idx="4">
                  <c:v>2009-10</c:v>
                </c:pt>
              </c:strCache>
            </c:strRef>
          </c:cat>
          <c:val>
            <c:numRef>
              <c:f>(Gini!$C$7,Gini!$E$7,Gini!$G$7,Gini!$I$7,Gini!$K$7)</c:f>
              <c:numCache>
                <c:formatCode>General</c:formatCode>
                <c:ptCount val="5"/>
                <c:pt idx="0">
                  <c:v>19.451000000000001</c:v>
                </c:pt>
                <c:pt idx="1">
                  <c:v>24.207000000000001</c:v>
                </c:pt>
                <c:pt idx="2">
                  <c:v>24.588999999999999</c:v>
                </c:pt>
                <c:pt idx="3">
                  <c:v>25.077999999999999</c:v>
                </c:pt>
                <c:pt idx="4">
                  <c:v>24.02</c:v>
                </c:pt>
              </c:numCache>
            </c:numRef>
          </c:val>
        </c:ser>
        <c:ser>
          <c:idx val="2"/>
          <c:order val="2"/>
          <c:tx>
            <c:strRef>
              <c:f>Gini!$A$8</c:f>
              <c:strCache>
                <c:ptCount val="1"/>
                <c:pt idx="0">
                  <c:v>Within</c:v>
                </c:pt>
              </c:strCache>
            </c:strRef>
          </c:tx>
          <c:spPr>
            <a:solidFill>
              <a:schemeClr val="accent1">
                <a:lumMod val="75000"/>
              </a:schemeClr>
            </a:solidFill>
            <a:ln>
              <a:solidFill>
                <a:schemeClr val="accent1">
                  <a:lumMod val="75000"/>
                </a:schemeClr>
              </a:solidFill>
            </a:ln>
          </c:spPr>
          <c:invertIfNegative val="0"/>
          <c:cat>
            <c:strRef>
              <c:f>(Gini!$B$2,Gini!$D$2,Gini!$F$2,Gini!$H$2,Gini!$J$2)</c:f>
              <c:strCache>
                <c:ptCount val="5"/>
                <c:pt idx="0">
                  <c:v>1988-89</c:v>
                </c:pt>
                <c:pt idx="1">
                  <c:v>1993-94</c:v>
                </c:pt>
                <c:pt idx="2">
                  <c:v>1998-99</c:v>
                </c:pt>
                <c:pt idx="3">
                  <c:v>2003-04</c:v>
                </c:pt>
                <c:pt idx="4">
                  <c:v>2009-10</c:v>
                </c:pt>
              </c:strCache>
            </c:strRef>
          </c:cat>
          <c:val>
            <c:numRef>
              <c:f>(Gini!$C$8,Gini!$E$8,Gini!$G$8,Gini!$I$8,Gini!$K$8)</c:f>
              <c:numCache>
                <c:formatCode>General</c:formatCode>
                <c:ptCount val="5"/>
                <c:pt idx="0">
                  <c:v>49.189</c:v>
                </c:pt>
                <c:pt idx="1">
                  <c:v>49.244999999999997</c:v>
                </c:pt>
                <c:pt idx="2">
                  <c:v>49.936</c:v>
                </c:pt>
                <c:pt idx="3">
                  <c:v>49.622</c:v>
                </c:pt>
                <c:pt idx="4">
                  <c:v>49.753999999999998</c:v>
                </c:pt>
              </c:numCache>
            </c:numRef>
          </c:val>
        </c:ser>
        <c:dLbls>
          <c:showLegendKey val="0"/>
          <c:showVal val="0"/>
          <c:showCatName val="0"/>
          <c:showSerName val="0"/>
          <c:showPercent val="0"/>
          <c:showBubbleSize val="0"/>
        </c:dLbls>
        <c:gapWidth val="150"/>
        <c:axId val="2913024"/>
        <c:axId val="2914560"/>
      </c:barChart>
      <c:catAx>
        <c:axId val="2913024"/>
        <c:scaling>
          <c:orientation val="minMax"/>
        </c:scaling>
        <c:delete val="0"/>
        <c:axPos val="b"/>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914560"/>
        <c:crosses val="autoZero"/>
        <c:auto val="1"/>
        <c:lblAlgn val="ctr"/>
        <c:lblOffset val="100"/>
        <c:noMultiLvlLbl val="0"/>
      </c:catAx>
      <c:valAx>
        <c:axId val="2914560"/>
        <c:scaling>
          <c:orientation val="minMax"/>
        </c:scaling>
        <c:delete val="0"/>
        <c:axPos val="l"/>
        <c:majorGridlines/>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913024"/>
        <c:crosses val="autoZero"/>
        <c:crossBetween val="between"/>
      </c:valAx>
    </c:plotArea>
    <c:legend>
      <c:legendPos val="b"/>
      <c:layout>
        <c:manualLayout>
          <c:xMode val="edge"/>
          <c:yMode val="edge"/>
          <c:x val="0.24493373015873016"/>
          <c:y val="0.89080357142857147"/>
          <c:w val="0.5814460606736146"/>
          <c:h val="7.8958333333333339E-2"/>
        </c:manualLayout>
      </c:layout>
      <c:overlay val="0"/>
      <c:txPr>
        <a:bodyPr/>
        <a:lstStyle/>
        <a:p>
          <a:pPr>
            <a:defRPr sz="9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254224888160609E-2"/>
          <c:y val="5.0925925925925923E-2"/>
          <c:w val="0.82200261980377598"/>
          <c:h val="0.80492262842760587"/>
        </c:manualLayout>
      </c:layout>
      <c:lineChart>
        <c:grouping val="standard"/>
        <c:varyColors val="0"/>
        <c:ser>
          <c:idx val="2"/>
          <c:order val="0"/>
          <c:tx>
            <c:strRef>
              <c:f>'GE(a)'!$D$50</c:f>
              <c:strCache>
                <c:ptCount val="1"/>
                <c:pt idx="0">
                  <c:v>GE(1)</c:v>
                </c:pt>
              </c:strCache>
            </c:strRef>
          </c:tx>
          <c:marker>
            <c:symbol val="none"/>
          </c:marker>
          <c:cat>
            <c:strRef>
              <c:f>'GE(a)'!$A$51:$A$55</c:f>
              <c:strCache>
                <c:ptCount val="5"/>
                <c:pt idx="0">
                  <c:v>1988-89</c:v>
                </c:pt>
                <c:pt idx="1">
                  <c:v>1993-94</c:v>
                </c:pt>
                <c:pt idx="2">
                  <c:v>1998-99</c:v>
                </c:pt>
                <c:pt idx="3">
                  <c:v>2003-04</c:v>
                </c:pt>
                <c:pt idx="4">
                  <c:v>2009-10</c:v>
                </c:pt>
              </c:strCache>
            </c:strRef>
          </c:cat>
          <c:val>
            <c:numRef>
              <c:f>'GE(a)'!$D$51:$D$55</c:f>
              <c:numCache>
                <c:formatCode>0.0</c:formatCode>
                <c:ptCount val="5"/>
                <c:pt idx="0">
                  <c:v>11.38604197169351</c:v>
                </c:pt>
                <c:pt idx="1">
                  <c:v>7.9039393301032224</c:v>
                </c:pt>
                <c:pt idx="2">
                  <c:v>7.9411289018275921</c:v>
                </c:pt>
                <c:pt idx="3">
                  <c:v>7.3785242951409717</c:v>
                </c:pt>
                <c:pt idx="4">
                  <c:v>7.8113583527067423</c:v>
                </c:pt>
              </c:numCache>
            </c:numRef>
          </c:val>
          <c:smooth val="0"/>
        </c:ser>
        <c:ser>
          <c:idx val="1"/>
          <c:order val="1"/>
          <c:tx>
            <c:strRef>
              <c:f>'GE(a)'!$C$50</c:f>
              <c:strCache>
                <c:ptCount val="1"/>
                <c:pt idx="0">
                  <c:v>GE(0)</c:v>
                </c:pt>
              </c:strCache>
            </c:strRef>
          </c:tx>
          <c:spPr>
            <a:ln>
              <a:solidFill>
                <a:srgbClr val="C00000"/>
              </a:solidFill>
            </a:ln>
          </c:spPr>
          <c:marker>
            <c:symbol val="none"/>
          </c:marker>
          <c:cat>
            <c:strRef>
              <c:f>'GE(a)'!$A$51:$A$55</c:f>
              <c:strCache>
                <c:ptCount val="5"/>
                <c:pt idx="0">
                  <c:v>1988-89</c:v>
                </c:pt>
                <c:pt idx="1">
                  <c:v>1993-94</c:v>
                </c:pt>
                <c:pt idx="2">
                  <c:v>1998-99</c:v>
                </c:pt>
                <c:pt idx="3">
                  <c:v>2003-04</c:v>
                </c:pt>
                <c:pt idx="4">
                  <c:v>2009-10</c:v>
                </c:pt>
              </c:strCache>
            </c:strRef>
          </c:cat>
          <c:val>
            <c:numRef>
              <c:f>'GE(a)'!$C$51:$C$55</c:f>
              <c:numCache>
                <c:formatCode>0.0</c:formatCode>
                <c:ptCount val="5"/>
                <c:pt idx="0">
                  <c:v>9.3103580611735808</c:v>
                </c:pt>
                <c:pt idx="1">
                  <c:v>6.3419934801936177</c:v>
                </c:pt>
                <c:pt idx="2">
                  <c:v>6.3344594594594588</c:v>
                </c:pt>
                <c:pt idx="3">
                  <c:v>6.191059399877525</c:v>
                </c:pt>
                <c:pt idx="4">
                  <c:v>6.8254772765669873</c:v>
                </c:pt>
              </c:numCache>
            </c:numRef>
          </c:val>
          <c:smooth val="0"/>
        </c:ser>
        <c:ser>
          <c:idx val="3"/>
          <c:order val="2"/>
          <c:tx>
            <c:strRef>
              <c:f>'GE(a)'!$E$50</c:f>
              <c:strCache>
                <c:ptCount val="1"/>
                <c:pt idx="0">
                  <c:v>GE(2)</c:v>
                </c:pt>
              </c:strCache>
            </c:strRef>
          </c:tx>
          <c:marker>
            <c:symbol val="none"/>
          </c:marker>
          <c:cat>
            <c:strRef>
              <c:f>'GE(a)'!$A$51:$A$55</c:f>
              <c:strCache>
                <c:ptCount val="5"/>
                <c:pt idx="0">
                  <c:v>1988-89</c:v>
                </c:pt>
                <c:pt idx="1">
                  <c:v>1993-94</c:v>
                </c:pt>
                <c:pt idx="2">
                  <c:v>1998-99</c:v>
                </c:pt>
                <c:pt idx="3">
                  <c:v>2003-04</c:v>
                </c:pt>
                <c:pt idx="4">
                  <c:v>2009-10</c:v>
                </c:pt>
              </c:strCache>
            </c:strRef>
          </c:cat>
          <c:val>
            <c:numRef>
              <c:f>'GE(a)'!$E$51:$E$55</c:f>
              <c:numCache>
                <c:formatCode>0.0</c:formatCode>
                <c:ptCount val="5"/>
                <c:pt idx="0">
                  <c:v>9.4285357008878332</c:v>
                </c:pt>
                <c:pt idx="1">
                  <c:v>6.0429810725552056</c:v>
                </c:pt>
                <c:pt idx="2">
                  <c:v>6.5644990250744018</c:v>
                </c:pt>
                <c:pt idx="3">
                  <c:v>5.3659350746891441</c:v>
                </c:pt>
                <c:pt idx="4">
                  <c:v>5.3835895276198489</c:v>
                </c:pt>
              </c:numCache>
            </c:numRef>
          </c:val>
          <c:smooth val="0"/>
        </c:ser>
        <c:ser>
          <c:idx val="0"/>
          <c:order val="3"/>
          <c:tx>
            <c:strRef>
              <c:f>'GE(a)'!$B$50</c:f>
              <c:strCache>
                <c:ptCount val="1"/>
                <c:pt idx="0">
                  <c:v>GE (-1)</c:v>
                </c:pt>
              </c:strCache>
            </c:strRef>
          </c:tx>
          <c:spPr>
            <a:ln>
              <a:solidFill>
                <a:schemeClr val="accent1">
                  <a:lumMod val="75000"/>
                </a:schemeClr>
              </a:solidFill>
            </a:ln>
          </c:spPr>
          <c:marker>
            <c:symbol val="none"/>
          </c:marker>
          <c:cat>
            <c:strRef>
              <c:f>'GE(a)'!$A$51:$A$55</c:f>
              <c:strCache>
                <c:ptCount val="5"/>
                <c:pt idx="0">
                  <c:v>1988-89</c:v>
                </c:pt>
                <c:pt idx="1">
                  <c:v>1993-94</c:v>
                </c:pt>
                <c:pt idx="2">
                  <c:v>1998-99</c:v>
                </c:pt>
                <c:pt idx="3">
                  <c:v>2003-04</c:v>
                </c:pt>
                <c:pt idx="4">
                  <c:v>2009-10</c:v>
                </c:pt>
              </c:strCache>
            </c:strRef>
          </c:cat>
          <c:val>
            <c:numRef>
              <c:f>'GE(a)'!$B$51:$B$55</c:f>
              <c:numCache>
                <c:formatCode>0.0</c:formatCode>
                <c:ptCount val="5"/>
                <c:pt idx="0">
                  <c:v>2.9219698621647363</c:v>
                </c:pt>
                <c:pt idx="1">
                  <c:v>1.967119173236904</c:v>
                </c:pt>
                <c:pt idx="2">
                  <c:v>2.0367446950693928</c:v>
                </c:pt>
                <c:pt idx="3">
                  <c:v>1.913070514754968</c:v>
                </c:pt>
                <c:pt idx="4">
                  <c:v>2.1105704402884444</c:v>
                </c:pt>
              </c:numCache>
            </c:numRef>
          </c:val>
          <c:smooth val="0"/>
        </c:ser>
        <c:dLbls>
          <c:showLegendKey val="0"/>
          <c:showVal val="0"/>
          <c:showCatName val="0"/>
          <c:showSerName val="0"/>
          <c:showPercent val="0"/>
          <c:showBubbleSize val="0"/>
        </c:dLbls>
        <c:marker val="1"/>
        <c:smooth val="0"/>
        <c:axId val="249238656"/>
        <c:axId val="249240192"/>
      </c:lineChart>
      <c:catAx>
        <c:axId val="249238656"/>
        <c:scaling>
          <c:orientation val="minMax"/>
        </c:scaling>
        <c:delete val="0"/>
        <c:axPos val="b"/>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49240192"/>
        <c:crosses val="autoZero"/>
        <c:auto val="1"/>
        <c:lblAlgn val="ctr"/>
        <c:lblOffset val="100"/>
        <c:noMultiLvlLbl val="0"/>
      </c:catAx>
      <c:valAx>
        <c:axId val="249240192"/>
        <c:scaling>
          <c:orientation val="minMax"/>
        </c:scaling>
        <c:delete val="0"/>
        <c:axPos val="l"/>
        <c:majorGridlines/>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249238656"/>
        <c:crosses val="autoZero"/>
        <c:crossBetween val="between"/>
      </c:valAx>
    </c:plotArea>
    <c:plotVisOnly val="1"/>
    <c:dispBlanksAs val="gap"/>
    <c:showDLblsOverMax val="0"/>
  </c:chart>
  <c:spPr>
    <a:ln>
      <a:noFill/>
    </a:ln>
  </c:spPr>
  <c:externalData r:id="rId1">
    <c:autoUpdate val="0"/>
  </c:externalData>
  <c:userShapes r:id="rId2"/>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v>Between</c:v>
          </c:tx>
          <c:spPr>
            <a:pattFill prst="pct30">
              <a:fgClr>
                <a:schemeClr val="accent1">
                  <a:lumMod val="75000"/>
                </a:schemeClr>
              </a:fgClr>
              <a:bgClr>
                <a:schemeClr val="bg1"/>
              </a:bgClr>
            </a:pattFill>
            <a:ln>
              <a:solidFill>
                <a:schemeClr val="accent1">
                  <a:lumMod val="75000"/>
                </a:schemeClr>
              </a:solidFill>
            </a:ln>
          </c:spPr>
          <c:invertIfNegative val="0"/>
          <c:cat>
            <c:strRef>
              <c:f>('Gini wage'!$B$1,'Gini wage'!$D$1,'Gini wage'!$F$1)</c:f>
              <c:strCache>
                <c:ptCount val="3"/>
                <c:pt idx="0">
                  <c:v>1998-99</c:v>
                </c:pt>
                <c:pt idx="1">
                  <c:v>2003-04</c:v>
                </c:pt>
                <c:pt idx="2">
                  <c:v>2009-10</c:v>
                </c:pt>
              </c:strCache>
            </c:strRef>
          </c:cat>
          <c:val>
            <c:numRef>
              <c:f>('Gini wage'!$C$5,'Gini wage'!$E$5,'Gini wage'!$G$5)</c:f>
              <c:numCache>
                <c:formatCode>General</c:formatCode>
                <c:ptCount val="3"/>
                <c:pt idx="0">
                  <c:v>8.5839999999999996</c:v>
                </c:pt>
                <c:pt idx="1">
                  <c:v>12.532</c:v>
                </c:pt>
                <c:pt idx="2">
                  <c:v>14.101000000000001</c:v>
                </c:pt>
              </c:numCache>
            </c:numRef>
          </c:val>
        </c:ser>
        <c:ser>
          <c:idx val="1"/>
          <c:order val="1"/>
          <c:tx>
            <c:v>Overlap</c:v>
          </c:tx>
          <c:spPr>
            <a:pattFill prst="lgCheck">
              <a:fgClr>
                <a:schemeClr val="accent1">
                  <a:lumMod val="75000"/>
                </a:schemeClr>
              </a:fgClr>
              <a:bgClr>
                <a:schemeClr val="bg1"/>
              </a:bgClr>
            </a:pattFill>
            <a:ln>
              <a:solidFill>
                <a:schemeClr val="accent1">
                  <a:lumMod val="75000"/>
                </a:schemeClr>
              </a:solidFill>
            </a:ln>
          </c:spPr>
          <c:invertIfNegative val="0"/>
          <c:cat>
            <c:strRef>
              <c:f>('Gini wage'!$B$1,'Gini wage'!$D$1,'Gini wage'!$F$1)</c:f>
              <c:strCache>
                <c:ptCount val="3"/>
                <c:pt idx="0">
                  <c:v>1998-99</c:v>
                </c:pt>
                <c:pt idx="1">
                  <c:v>2003-04</c:v>
                </c:pt>
                <c:pt idx="2">
                  <c:v>2009-10</c:v>
                </c:pt>
              </c:strCache>
            </c:strRef>
          </c:cat>
          <c:val>
            <c:numRef>
              <c:f>('Gini wage'!$C$6,'Gini wage'!$E$6,'Gini wage'!$G$6)</c:f>
              <c:numCache>
                <c:formatCode>General</c:formatCode>
                <c:ptCount val="3"/>
                <c:pt idx="0">
                  <c:v>40.786000000000001</c:v>
                </c:pt>
                <c:pt idx="1">
                  <c:v>36.804000000000002</c:v>
                </c:pt>
                <c:pt idx="2">
                  <c:v>35.689</c:v>
                </c:pt>
              </c:numCache>
            </c:numRef>
          </c:val>
        </c:ser>
        <c:ser>
          <c:idx val="2"/>
          <c:order val="2"/>
          <c:tx>
            <c:v>Within</c:v>
          </c:tx>
          <c:spPr>
            <a:solidFill>
              <a:schemeClr val="accent1">
                <a:lumMod val="75000"/>
              </a:schemeClr>
            </a:solidFill>
            <a:ln>
              <a:solidFill>
                <a:schemeClr val="accent1">
                  <a:lumMod val="75000"/>
                </a:schemeClr>
              </a:solidFill>
            </a:ln>
          </c:spPr>
          <c:invertIfNegative val="0"/>
          <c:cat>
            <c:strRef>
              <c:f>('Gini wage'!$B$1,'Gini wage'!$D$1,'Gini wage'!$F$1)</c:f>
              <c:strCache>
                <c:ptCount val="3"/>
                <c:pt idx="0">
                  <c:v>1998-99</c:v>
                </c:pt>
                <c:pt idx="1">
                  <c:v>2003-04</c:v>
                </c:pt>
                <c:pt idx="2">
                  <c:v>2009-10</c:v>
                </c:pt>
              </c:strCache>
            </c:strRef>
          </c:cat>
          <c:val>
            <c:numRef>
              <c:f>('Gini wage'!$C$7,'Gini wage'!$E$7,'Gini wage'!$G$7)</c:f>
              <c:numCache>
                <c:formatCode>General</c:formatCode>
                <c:ptCount val="3"/>
                <c:pt idx="0">
                  <c:v>50.63</c:v>
                </c:pt>
                <c:pt idx="1">
                  <c:v>50.664000000000001</c:v>
                </c:pt>
                <c:pt idx="2">
                  <c:v>50.21</c:v>
                </c:pt>
              </c:numCache>
            </c:numRef>
          </c:val>
        </c:ser>
        <c:dLbls>
          <c:showLegendKey val="0"/>
          <c:showVal val="0"/>
          <c:showCatName val="0"/>
          <c:showSerName val="0"/>
          <c:showPercent val="0"/>
          <c:showBubbleSize val="0"/>
        </c:dLbls>
        <c:gapWidth val="150"/>
        <c:axId val="249263232"/>
        <c:axId val="249264768"/>
      </c:barChart>
      <c:catAx>
        <c:axId val="249263232"/>
        <c:scaling>
          <c:orientation val="minMax"/>
        </c:scaling>
        <c:delete val="0"/>
        <c:axPos val="b"/>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49264768"/>
        <c:crosses val="autoZero"/>
        <c:auto val="1"/>
        <c:lblAlgn val="ctr"/>
        <c:lblOffset val="100"/>
        <c:noMultiLvlLbl val="0"/>
      </c:catAx>
      <c:valAx>
        <c:axId val="249264768"/>
        <c:scaling>
          <c:orientation val="minMax"/>
        </c:scaling>
        <c:delete val="0"/>
        <c:axPos val="l"/>
        <c:majorGridlines/>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49263232"/>
        <c:crosses val="autoZero"/>
        <c:crossBetween val="between"/>
      </c:valAx>
    </c:plotArea>
    <c:legend>
      <c:legendPos val="b"/>
      <c:overlay val="0"/>
      <c:txPr>
        <a:bodyPr/>
        <a:lstStyle/>
        <a:p>
          <a:pPr>
            <a:defRPr sz="9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939920634920635"/>
          <c:y val="5.1400554097404488E-2"/>
          <c:w val="0.83890977074909701"/>
          <c:h val="0.8326195683872849"/>
        </c:manualLayout>
      </c:layout>
      <c:lineChart>
        <c:grouping val="standard"/>
        <c:varyColors val="0"/>
        <c:ser>
          <c:idx val="1"/>
          <c:order val="0"/>
          <c:tx>
            <c:strRef>
              <c:f>'GE wage'!$C$31</c:f>
              <c:strCache>
                <c:ptCount val="1"/>
                <c:pt idx="0">
                  <c:v>GE(0)</c:v>
                </c:pt>
              </c:strCache>
            </c:strRef>
          </c:tx>
          <c:marker>
            <c:symbol val="none"/>
          </c:marker>
          <c:cat>
            <c:strRef>
              <c:f>'GE wage'!$A$32:$A$34</c:f>
              <c:strCache>
                <c:ptCount val="3"/>
                <c:pt idx="0">
                  <c:v>1998-99</c:v>
                </c:pt>
                <c:pt idx="1">
                  <c:v>2003-04</c:v>
                </c:pt>
                <c:pt idx="2">
                  <c:v>2009-10</c:v>
                </c:pt>
              </c:strCache>
            </c:strRef>
          </c:cat>
          <c:val>
            <c:numRef>
              <c:f>'GE wage'!$C$32:$C$34</c:f>
              <c:numCache>
                <c:formatCode>0.0</c:formatCode>
                <c:ptCount val="3"/>
                <c:pt idx="0">
                  <c:v>0.76655501159494988</c:v>
                </c:pt>
                <c:pt idx="1">
                  <c:v>1.6854289893786174</c:v>
                </c:pt>
                <c:pt idx="2">
                  <c:v>2.2763431648513031</c:v>
                </c:pt>
              </c:numCache>
            </c:numRef>
          </c:val>
          <c:smooth val="0"/>
        </c:ser>
        <c:ser>
          <c:idx val="2"/>
          <c:order val="1"/>
          <c:tx>
            <c:strRef>
              <c:f>'GE wage'!$D$31</c:f>
              <c:strCache>
                <c:ptCount val="1"/>
                <c:pt idx="0">
                  <c:v>GE(1)</c:v>
                </c:pt>
              </c:strCache>
            </c:strRef>
          </c:tx>
          <c:marker>
            <c:symbol val="none"/>
          </c:marker>
          <c:cat>
            <c:strRef>
              <c:f>'GE wage'!$A$32:$A$34</c:f>
              <c:strCache>
                <c:ptCount val="3"/>
                <c:pt idx="0">
                  <c:v>1998-99</c:v>
                </c:pt>
                <c:pt idx="1">
                  <c:v>2003-04</c:v>
                </c:pt>
                <c:pt idx="2">
                  <c:v>2009-10</c:v>
                </c:pt>
              </c:strCache>
            </c:strRef>
          </c:cat>
          <c:val>
            <c:numRef>
              <c:f>'GE wage'!$D$32:$D$34</c:f>
              <c:numCache>
                <c:formatCode>0.0</c:formatCode>
                <c:ptCount val="3"/>
                <c:pt idx="0">
                  <c:v>0.66484161126319907</c:v>
                </c:pt>
                <c:pt idx="1">
                  <c:v>1.3536379018612521</c:v>
                </c:pt>
                <c:pt idx="2">
                  <c:v>2.0267309377738827</c:v>
                </c:pt>
              </c:numCache>
            </c:numRef>
          </c:val>
          <c:smooth val="0"/>
        </c:ser>
        <c:ser>
          <c:idx val="0"/>
          <c:order val="2"/>
          <c:tx>
            <c:strRef>
              <c:f>'GE wage'!$B$31</c:f>
              <c:strCache>
                <c:ptCount val="1"/>
                <c:pt idx="0">
                  <c:v>GE(-1)</c:v>
                </c:pt>
              </c:strCache>
            </c:strRef>
          </c:tx>
          <c:spPr>
            <a:ln>
              <a:solidFill>
                <a:schemeClr val="accent1">
                  <a:lumMod val="75000"/>
                </a:schemeClr>
              </a:solidFill>
            </a:ln>
          </c:spPr>
          <c:marker>
            <c:symbol val="none"/>
          </c:marker>
          <c:cat>
            <c:strRef>
              <c:f>'GE wage'!$A$32:$A$34</c:f>
              <c:strCache>
                <c:ptCount val="3"/>
                <c:pt idx="0">
                  <c:v>1998-99</c:v>
                </c:pt>
                <c:pt idx="1">
                  <c:v>2003-04</c:v>
                </c:pt>
                <c:pt idx="2">
                  <c:v>2009-10</c:v>
                </c:pt>
              </c:strCache>
            </c:strRef>
          </c:cat>
          <c:val>
            <c:numRef>
              <c:f>'GE wage'!$B$32:$B$34</c:f>
              <c:numCache>
                <c:formatCode>0.0</c:formatCode>
                <c:ptCount val="3"/>
                <c:pt idx="0">
                  <c:v>0.4287705005895594</c:v>
                </c:pt>
                <c:pt idx="1">
                  <c:v>0.85648296657470968</c:v>
                </c:pt>
                <c:pt idx="2">
                  <c:v>1.3913108002819723</c:v>
                </c:pt>
              </c:numCache>
            </c:numRef>
          </c:val>
          <c:smooth val="0"/>
        </c:ser>
        <c:ser>
          <c:idx val="3"/>
          <c:order val="3"/>
          <c:tx>
            <c:strRef>
              <c:f>'GE wage'!$E$31</c:f>
              <c:strCache>
                <c:ptCount val="1"/>
                <c:pt idx="0">
                  <c:v>GE(2)</c:v>
                </c:pt>
              </c:strCache>
            </c:strRef>
          </c:tx>
          <c:marker>
            <c:symbol val="none"/>
          </c:marker>
          <c:cat>
            <c:strRef>
              <c:f>'GE wage'!$A$32:$A$34</c:f>
              <c:strCache>
                <c:ptCount val="3"/>
                <c:pt idx="0">
                  <c:v>1998-99</c:v>
                </c:pt>
                <c:pt idx="1">
                  <c:v>2003-04</c:v>
                </c:pt>
                <c:pt idx="2">
                  <c:v>2009-10</c:v>
                </c:pt>
              </c:strCache>
            </c:strRef>
          </c:cat>
          <c:val>
            <c:numRef>
              <c:f>'GE wage'!$E$32:$E$34</c:f>
              <c:numCache>
                <c:formatCode>0.0</c:formatCode>
                <c:ptCount val="3"/>
                <c:pt idx="0">
                  <c:v>0.27280083227372559</c:v>
                </c:pt>
                <c:pt idx="1">
                  <c:v>0.51380233262351771</c:v>
                </c:pt>
                <c:pt idx="2">
                  <c:v>1.1655897630812111</c:v>
                </c:pt>
              </c:numCache>
            </c:numRef>
          </c:val>
          <c:smooth val="0"/>
        </c:ser>
        <c:dLbls>
          <c:showLegendKey val="0"/>
          <c:showVal val="0"/>
          <c:showCatName val="0"/>
          <c:showSerName val="0"/>
          <c:showPercent val="0"/>
          <c:showBubbleSize val="0"/>
        </c:dLbls>
        <c:marker val="1"/>
        <c:smooth val="0"/>
        <c:axId val="249296000"/>
        <c:axId val="249297536"/>
      </c:lineChart>
      <c:catAx>
        <c:axId val="249296000"/>
        <c:scaling>
          <c:orientation val="minMax"/>
        </c:scaling>
        <c:delete val="0"/>
        <c:axPos val="b"/>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249297536"/>
        <c:crosses val="autoZero"/>
        <c:auto val="1"/>
        <c:lblAlgn val="ctr"/>
        <c:lblOffset val="100"/>
        <c:noMultiLvlLbl val="0"/>
      </c:catAx>
      <c:valAx>
        <c:axId val="249297536"/>
        <c:scaling>
          <c:orientation val="minMax"/>
        </c:scaling>
        <c:delete val="0"/>
        <c:axPos val="l"/>
        <c:majorGridlines/>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249296000"/>
        <c:crosses val="autoZero"/>
        <c:crossBetween val="between"/>
        <c:majorUnit val="1"/>
      </c:valAx>
    </c:plotArea>
    <c:plotVisOnly val="1"/>
    <c:dispBlanksAs val="gap"/>
    <c:showDLblsOverMax val="0"/>
  </c:chart>
  <c:spPr>
    <a:ln>
      <a:noFill/>
    </a:ln>
  </c:spPr>
  <c:externalData r:id="rId1">
    <c:autoUpdate val="0"/>
  </c:externalData>
  <c:userShapes r:id="rId2"/>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9345370370370376E-2"/>
          <c:y val="5.0925925925925923E-2"/>
          <c:w val="0.66901500000000003"/>
          <c:h val="0.85026975794692328"/>
        </c:manualLayout>
      </c:layout>
      <c:lineChart>
        <c:grouping val="standard"/>
        <c:varyColors val="0"/>
        <c:ser>
          <c:idx val="3"/>
          <c:order val="0"/>
          <c:tx>
            <c:v>Self-employed workers</c:v>
          </c:tx>
          <c:spPr>
            <a:ln w="22225">
              <a:solidFill>
                <a:srgbClr val="92D050"/>
              </a:solidFill>
            </a:ln>
          </c:spPr>
          <c:marker>
            <c:symbol val="diamond"/>
            <c:size val="7"/>
            <c:spPr>
              <a:solidFill>
                <a:srgbClr val="92D050"/>
              </a:solidFill>
              <a:ln>
                <a:solidFill>
                  <a:srgbClr val="92D050"/>
                </a:solidFill>
              </a:ln>
            </c:spPr>
          </c:marker>
          <c:cat>
            <c:strRef>
              <c:f>Sheet1!$A$3:$A$7</c:f>
              <c:strCache>
                <c:ptCount val="5"/>
                <c:pt idx="0">
                  <c:v>1988-89</c:v>
                </c:pt>
                <c:pt idx="1">
                  <c:v>1993-94</c:v>
                </c:pt>
                <c:pt idx="2">
                  <c:v>1998-99</c:v>
                </c:pt>
                <c:pt idx="3">
                  <c:v>2003-04</c:v>
                </c:pt>
                <c:pt idx="4">
                  <c:v>2009-10</c:v>
                </c:pt>
              </c:strCache>
            </c:strRef>
          </c:cat>
          <c:val>
            <c:numRef>
              <c:f>Sheet1!$J$3:$J$7</c:f>
              <c:numCache>
                <c:formatCode>0.0</c:formatCode>
                <c:ptCount val="5"/>
                <c:pt idx="0">
                  <c:v>8.0416666666666661</c:v>
                </c:pt>
                <c:pt idx="1">
                  <c:v>11.181102362204724</c:v>
                </c:pt>
                <c:pt idx="2">
                  <c:v>9.6086105675146776</c:v>
                </c:pt>
                <c:pt idx="3">
                  <c:v>10.045662100456621</c:v>
                </c:pt>
                <c:pt idx="4">
                  <c:v>15.902964959568733</c:v>
                </c:pt>
              </c:numCache>
            </c:numRef>
          </c:val>
          <c:smooth val="0"/>
        </c:ser>
        <c:ser>
          <c:idx val="2"/>
          <c:order val="1"/>
          <c:tx>
            <c:v>labour earnings</c:v>
          </c:tx>
          <c:spPr>
            <a:ln>
              <a:solidFill>
                <a:srgbClr val="7030A0"/>
              </a:solidFill>
            </a:ln>
          </c:spPr>
          <c:marker>
            <c:symbol val="none"/>
          </c:marker>
          <c:cat>
            <c:strRef>
              <c:f>Sheet1!$A$3:$A$7</c:f>
              <c:strCache>
                <c:ptCount val="5"/>
                <c:pt idx="0">
                  <c:v>1988-89</c:v>
                </c:pt>
                <c:pt idx="1">
                  <c:v>1993-94</c:v>
                </c:pt>
                <c:pt idx="2">
                  <c:v>1998-99</c:v>
                </c:pt>
                <c:pt idx="3">
                  <c:v>2003-04</c:v>
                </c:pt>
                <c:pt idx="4">
                  <c:v>2009-10</c:v>
                </c:pt>
              </c:strCache>
            </c:strRef>
          </c:cat>
          <c:val>
            <c:numRef>
              <c:f>Sheet1!$M$3:$M$7</c:f>
              <c:numCache>
                <c:formatCode>0.0</c:formatCode>
                <c:ptCount val="5"/>
                <c:pt idx="0">
                  <c:v>4.9633699633699635</c:v>
                </c:pt>
                <c:pt idx="1">
                  <c:v>5.5411954765751208</c:v>
                </c:pt>
                <c:pt idx="2">
                  <c:v>5.2885906040268456</c:v>
                </c:pt>
                <c:pt idx="3">
                  <c:v>6.1142857142857139</c:v>
                </c:pt>
                <c:pt idx="4">
                  <c:v>6.53781512605042</c:v>
                </c:pt>
              </c:numCache>
            </c:numRef>
          </c:val>
          <c:smooth val="0"/>
        </c:ser>
        <c:ser>
          <c:idx val="1"/>
          <c:order val="2"/>
          <c:tx>
            <c:v>Part-time workers</c:v>
          </c:tx>
          <c:spPr>
            <a:ln>
              <a:prstDash val="sysDot"/>
            </a:ln>
          </c:spPr>
          <c:marker>
            <c:symbol val="none"/>
          </c:marker>
          <c:cat>
            <c:strRef>
              <c:f>Sheet1!$A$3:$A$7</c:f>
              <c:strCache>
                <c:ptCount val="5"/>
                <c:pt idx="0">
                  <c:v>1988-89</c:v>
                </c:pt>
                <c:pt idx="1">
                  <c:v>1993-94</c:v>
                </c:pt>
                <c:pt idx="2">
                  <c:v>1998-99</c:v>
                </c:pt>
                <c:pt idx="3">
                  <c:v>2003-04</c:v>
                </c:pt>
                <c:pt idx="4">
                  <c:v>2009-10</c:v>
                </c:pt>
              </c:strCache>
            </c:strRef>
          </c:cat>
          <c:val>
            <c:numRef>
              <c:f>Sheet1!$G$3:$G$7</c:f>
              <c:numCache>
                <c:formatCode>0.0</c:formatCode>
                <c:ptCount val="5"/>
                <c:pt idx="0">
                  <c:v>4.8261758691206547</c:v>
                </c:pt>
                <c:pt idx="1">
                  <c:v>5.8908507223113968</c:v>
                </c:pt>
                <c:pt idx="2">
                  <c:v>5.0459770114942533</c:v>
                </c:pt>
                <c:pt idx="3">
                  <c:v>4.8524590163934427</c:v>
                </c:pt>
                <c:pt idx="4">
                  <c:v>6.0355029585798814</c:v>
                </c:pt>
              </c:numCache>
            </c:numRef>
          </c:val>
          <c:smooth val="0"/>
        </c:ser>
        <c:ser>
          <c:idx val="0"/>
          <c:order val="3"/>
          <c:tx>
            <c:v>Full-time workers</c:v>
          </c:tx>
          <c:spPr>
            <a:ln>
              <a:solidFill>
                <a:schemeClr val="accent1">
                  <a:lumMod val="75000"/>
                </a:schemeClr>
              </a:solidFill>
              <a:prstDash val="dash"/>
            </a:ln>
          </c:spPr>
          <c:marker>
            <c:symbol val="none"/>
          </c:marker>
          <c:cat>
            <c:strRef>
              <c:f>Sheet1!$A$3:$A$7</c:f>
              <c:strCache>
                <c:ptCount val="5"/>
                <c:pt idx="0">
                  <c:v>1988-89</c:v>
                </c:pt>
                <c:pt idx="1">
                  <c:v>1993-94</c:v>
                </c:pt>
                <c:pt idx="2">
                  <c:v>1998-99</c:v>
                </c:pt>
                <c:pt idx="3">
                  <c:v>2003-04</c:v>
                </c:pt>
                <c:pt idx="4">
                  <c:v>2009-10</c:v>
                </c:pt>
              </c:strCache>
            </c:strRef>
          </c:cat>
          <c:val>
            <c:numRef>
              <c:f>Sheet1!$D$3:$D$7</c:f>
              <c:numCache>
                <c:formatCode>0.0</c:formatCode>
                <c:ptCount val="5"/>
                <c:pt idx="0">
                  <c:v>3.7557603686635943</c:v>
                </c:pt>
                <c:pt idx="1">
                  <c:v>4.4869215291750502</c:v>
                </c:pt>
                <c:pt idx="2">
                  <c:v>4.2307692307692308</c:v>
                </c:pt>
                <c:pt idx="3">
                  <c:v>5.3857566765578637</c:v>
                </c:pt>
                <c:pt idx="4">
                  <c:v>5.4144241119483318</c:v>
                </c:pt>
              </c:numCache>
            </c:numRef>
          </c:val>
          <c:smooth val="0"/>
        </c:ser>
        <c:dLbls>
          <c:showLegendKey val="0"/>
          <c:showVal val="0"/>
          <c:showCatName val="0"/>
          <c:showSerName val="0"/>
          <c:showPercent val="0"/>
          <c:showBubbleSize val="0"/>
        </c:dLbls>
        <c:marker val="1"/>
        <c:smooth val="0"/>
        <c:axId val="249596160"/>
        <c:axId val="249614336"/>
      </c:lineChart>
      <c:catAx>
        <c:axId val="249596160"/>
        <c:scaling>
          <c:orientation val="minMax"/>
        </c:scaling>
        <c:delete val="0"/>
        <c:axPos val="b"/>
        <c:numFmt formatCode="General" sourceLinked="1"/>
        <c:majorTickMark val="out"/>
        <c:minorTickMark val="none"/>
        <c:tickLblPos val="nextTo"/>
        <c:crossAx val="249614336"/>
        <c:crosses val="autoZero"/>
        <c:auto val="1"/>
        <c:lblAlgn val="ctr"/>
        <c:lblOffset val="100"/>
        <c:noMultiLvlLbl val="0"/>
      </c:catAx>
      <c:valAx>
        <c:axId val="249614336"/>
        <c:scaling>
          <c:orientation val="minMax"/>
        </c:scaling>
        <c:delete val="0"/>
        <c:axPos val="l"/>
        <c:majorGridlines/>
        <c:numFmt formatCode="0" sourceLinked="0"/>
        <c:majorTickMark val="out"/>
        <c:minorTickMark val="none"/>
        <c:tickLblPos val="nextTo"/>
        <c:crossAx val="249596160"/>
        <c:crosses val="autoZero"/>
        <c:crossBetween val="between"/>
      </c:valAx>
    </c:plotArea>
    <c:legend>
      <c:legendPos val="r"/>
      <c:layout>
        <c:manualLayout>
          <c:xMode val="edge"/>
          <c:yMode val="edge"/>
          <c:x val="0.732249343832021"/>
          <c:y val="0.22067293671624386"/>
          <c:w val="0.267750656167979"/>
          <c:h val="0.57717264508603094"/>
        </c:manualLayout>
      </c:layout>
      <c:overlay val="0"/>
      <c:spPr>
        <a:solidFill>
          <a:schemeClr val="bg1"/>
        </a:solidFill>
      </c:sp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313814814814815"/>
          <c:y val="4.8506944444444443E-2"/>
          <c:w val="0.65311074074074071"/>
          <c:h val="0.85738194444444449"/>
        </c:manualLayout>
      </c:layout>
      <c:lineChart>
        <c:grouping val="standard"/>
        <c:varyColors val="0"/>
        <c:ser>
          <c:idx val="2"/>
          <c:order val="0"/>
          <c:tx>
            <c:strRef>
              <c:f>'ginis no 1 per cent'!$D$45</c:f>
              <c:strCache>
                <c:ptCount val="1"/>
                <c:pt idx="0">
                  <c:v>Self-employed workers</c:v>
                </c:pt>
              </c:strCache>
            </c:strRef>
          </c:tx>
          <c:spPr>
            <a:ln w="19050"/>
          </c:spPr>
          <c:marker>
            <c:symbol val="diamond"/>
            <c:size val="8"/>
          </c:marker>
          <c:cat>
            <c:strRef>
              <c:f>'ginis no 1 per cent'!$A$46:$A$50</c:f>
              <c:strCache>
                <c:ptCount val="5"/>
                <c:pt idx="0">
                  <c:v>1988-89</c:v>
                </c:pt>
                <c:pt idx="1">
                  <c:v>1993-94</c:v>
                </c:pt>
                <c:pt idx="2">
                  <c:v>1998-99</c:v>
                </c:pt>
                <c:pt idx="3">
                  <c:v>2003-04</c:v>
                </c:pt>
                <c:pt idx="4">
                  <c:v>2009-10</c:v>
                </c:pt>
              </c:strCache>
            </c:strRef>
          </c:cat>
          <c:val>
            <c:numRef>
              <c:f>'ginis no 1 per cent'!$D$46:$D$50</c:f>
              <c:numCache>
                <c:formatCode>0.0</c:formatCode>
                <c:ptCount val="5"/>
                <c:pt idx="0">
                  <c:v>5.1407155086579559</c:v>
                </c:pt>
                <c:pt idx="1">
                  <c:v>2.9413746941041561</c:v>
                </c:pt>
                <c:pt idx="2">
                  <c:v>2.7234652781494813</c:v>
                </c:pt>
                <c:pt idx="3">
                  <c:v>5.6332928153123243</c:v>
                </c:pt>
                <c:pt idx="4">
                  <c:v>9.2590578324030908</c:v>
                </c:pt>
              </c:numCache>
            </c:numRef>
          </c:val>
          <c:smooth val="0"/>
        </c:ser>
        <c:ser>
          <c:idx val="0"/>
          <c:order val="1"/>
          <c:tx>
            <c:strRef>
              <c:f>'ginis no 1 per cent'!$B$45</c:f>
              <c:strCache>
                <c:ptCount val="1"/>
                <c:pt idx="0">
                  <c:v>Full-time workers</c:v>
                </c:pt>
              </c:strCache>
            </c:strRef>
          </c:tx>
          <c:spPr>
            <a:ln>
              <a:solidFill>
                <a:schemeClr val="accent1">
                  <a:lumMod val="75000"/>
                </a:schemeClr>
              </a:solidFill>
              <a:prstDash val="dash"/>
            </a:ln>
          </c:spPr>
          <c:marker>
            <c:symbol val="none"/>
          </c:marker>
          <c:cat>
            <c:strRef>
              <c:f>'ginis no 1 per cent'!$A$46:$A$50</c:f>
              <c:strCache>
                <c:ptCount val="5"/>
                <c:pt idx="0">
                  <c:v>1988-89</c:v>
                </c:pt>
                <c:pt idx="1">
                  <c:v>1993-94</c:v>
                </c:pt>
                <c:pt idx="2">
                  <c:v>1998-99</c:v>
                </c:pt>
                <c:pt idx="3">
                  <c:v>2003-04</c:v>
                </c:pt>
                <c:pt idx="4">
                  <c:v>2009-10</c:v>
                </c:pt>
              </c:strCache>
            </c:strRef>
          </c:cat>
          <c:val>
            <c:numRef>
              <c:f>'ginis no 1 per cent'!$B$46:$B$50</c:f>
              <c:numCache>
                <c:formatCode>0.0</c:formatCode>
                <c:ptCount val="5"/>
                <c:pt idx="0">
                  <c:v>6.8804793199855316</c:v>
                </c:pt>
                <c:pt idx="1">
                  <c:v>8.7649307753516528</c:v>
                </c:pt>
                <c:pt idx="2">
                  <c:v>7.3740042976452456</c:v>
                </c:pt>
                <c:pt idx="3">
                  <c:v>9.8818134684502148</c:v>
                </c:pt>
                <c:pt idx="4">
                  <c:v>8.381997062606569</c:v>
                </c:pt>
              </c:numCache>
            </c:numRef>
          </c:val>
          <c:smooth val="0"/>
        </c:ser>
        <c:ser>
          <c:idx val="3"/>
          <c:order val="2"/>
          <c:tx>
            <c:strRef>
              <c:f>'ginis no 1 per cent'!$E$45</c:f>
              <c:strCache>
                <c:ptCount val="1"/>
                <c:pt idx="0">
                  <c:v>Labour income</c:v>
                </c:pt>
              </c:strCache>
            </c:strRef>
          </c:tx>
          <c:marker>
            <c:symbol val="none"/>
          </c:marker>
          <c:cat>
            <c:strRef>
              <c:f>'ginis no 1 per cent'!$A$46:$A$50</c:f>
              <c:strCache>
                <c:ptCount val="5"/>
                <c:pt idx="0">
                  <c:v>1988-89</c:v>
                </c:pt>
                <c:pt idx="1">
                  <c:v>1993-94</c:v>
                </c:pt>
                <c:pt idx="2">
                  <c:v>1998-99</c:v>
                </c:pt>
                <c:pt idx="3">
                  <c:v>2003-04</c:v>
                </c:pt>
                <c:pt idx="4">
                  <c:v>2009-10</c:v>
                </c:pt>
              </c:strCache>
            </c:strRef>
          </c:cat>
          <c:val>
            <c:numRef>
              <c:f>'ginis no 1 per cent'!$E$46:$E$50</c:f>
              <c:numCache>
                <c:formatCode>0.0</c:formatCode>
                <c:ptCount val="5"/>
                <c:pt idx="0">
                  <c:v>5.7937508470083783</c:v>
                </c:pt>
                <c:pt idx="1">
                  <c:v>5.6496892491868813</c:v>
                </c:pt>
                <c:pt idx="2">
                  <c:v>4.9330228989336096</c:v>
                </c:pt>
                <c:pt idx="3">
                  <c:v>6.5303526790626121</c:v>
                </c:pt>
                <c:pt idx="4">
                  <c:v>6.4837947822732067</c:v>
                </c:pt>
              </c:numCache>
            </c:numRef>
          </c:val>
          <c:smooth val="0"/>
        </c:ser>
        <c:ser>
          <c:idx val="1"/>
          <c:order val="3"/>
          <c:tx>
            <c:strRef>
              <c:f>'ginis no 1 per cent'!$C$45</c:f>
              <c:strCache>
                <c:ptCount val="1"/>
                <c:pt idx="0">
                  <c:v>Part-time workers</c:v>
                </c:pt>
              </c:strCache>
            </c:strRef>
          </c:tx>
          <c:spPr>
            <a:ln>
              <a:prstDash val="sysDot"/>
            </a:ln>
          </c:spPr>
          <c:marker>
            <c:symbol val="none"/>
          </c:marker>
          <c:cat>
            <c:strRef>
              <c:f>'ginis no 1 per cent'!$A$46:$A$50</c:f>
              <c:strCache>
                <c:ptCount val="5"/>
                <c:pt idx="0">
                  <c:v>1988-89</c:v>
                </c:pt>
                <c:pt idx="1">
                  <c:v>1993-94</c:v>
                </c:pt>
                <c:pt idx="2">
                  <c:v>1998-99</c:v>
                </c:pt>
                <c:pt idx="3">
                  <c:v>2003-04</c:v>
                </c:pt>
                <c:pt idx="4">
                  <c:v>2009-10</c:v>
                </c:pt>
              </c:strCache>
            </c:strRef>
          </c:cat>
          <c:val>
            <c:numRef>
              <c:f>'ginis no 1 per cent'!$C$46:$C$50</c:f>
              <c:numCache>
                <c:formatCode>0.0</c:formatCode>
                <c:ptCount val="5"/>
                <c:pt idx="0">
                  <c:v>3.7894818625451152</c:v>
                </c:pt>
                <c:pt idx="1">
                  <c:v>5.059388729811646</c:v>
                </c:pt>
                <c:pt idx="2">
                  <c:v>3.9985704655542444</c:v>
                </c:pt>
                <c:pt idx="3">
                  <c:v>3.7842254886741644</c:v>
                </c:pt>
                <c:pt idx="4">
                  <c:v>5.7323072418879804</c:v>
                </c:pt>
              </c:numCache>
            </c:numRef>
          </c:val>
          <c:smooth val="0"/>
        </c:ser>
        <c:dLbls>
          <c:showLegendKey val="0"/>
          <c:showVal val="0"/>
          <c:showCatName val="0"/>
          <c:showSerName val="0"/>
          <c:showPercent val="0"/>
          <c:showBubbleSize val="0"/>
        </c:dLbls>
        <c:marker val="1"/>
        <c:smooth val="0"/>
        <c:axId val="248129408"/>
        <c:axId val="248130944"/>
      </c:lineChart>
      <c:catAx>
        <c:axId val="248129408"/>
        <c:scaling>
          <c:orientation val="minMax"/>
        </c:scaling>
        <c:delete val="0"/>
        <c:axPos val="b"/>
        <c:numFmt formatCode="General" sourceLinked="1"/>
        <c:majorTickMark val="out"/>
        <c:minorTickMark val="none"/>
        <c:tickLblPos val="nextTo"/>
        <c:txPr>
          <a:bodyPr/>
          <a:lstStyle/>
          <a:p>
            <a:pPr>
              <a:defRPr sz="1000"/>
            </a:pPr>
            <a:endParaRPr lang="en-US"/>
          </a:p>
        </c:txPr>
        <c:crossAx val="248130944"/>
        <c:crosses val="autoZero"/>
        <c:auto val="1"/>
        <c:lblAlgn val="ctr"/>
        <c:lblOffset val="100"/>
        <c:noMultiLvlLbl val="0"/>
      </c:catAx>
      <c:valAx>
        <c:axId val="248130944"/>
        <c:scaling>
          <c:orientation val="minMax"/>
        </c:scaling>
        <c:delete val="0"/>
        <c:axPos val="l"/>
        <c:majorGridlines/>
        <c:numFmt formatCode="0" sourceLinked="0"/>
        <c:majorTickMark val="out"/>
        <c:minorTickMark val="none"/>
        <c:tickLblPos val="nextTo"/>
        <c:txPr>
          <a:bodyPr/>
          <a:lstStyle/>
          <a:p>
            <a:pPr>
              <a:defRPr sz="1000"/>
            </a:pPr>
            <a:endParaRPr lang="en-US"/>
          </a:p>
        </c:txPr>
        <c:crossAx val="248129408"/>
        <c:crosses val="autoZero"/>
        <c:crossBetween val="between"/>
      </c:valAx>
    </c:plotArea>
    <c:legend>
      <c:legendPos val="r"/>
      <c:layout>
        <c:manualLayout>
          <c:xMode val="edge"/>
          <c:yMode val="edge"/>
          <c:x val="0.71582339850359378"/>
          <c:y val="0.20121261578796587"/>
          <c:w val="0.2816211111111111"/>
          <c:h val="0.54526412847262273"/>
        </c:manualLayout>
      </c:layout>
      <c:overlay val="0"/>
      <c:spPr>
        <a:solidFill>
          <a:schemeClr val="bg1"/>
        </a:solidFill>
      </c:spPr>
      <c:txPr>
        <a:bodyPr/>
        <a:lstStyle/>
        <a:p>
          <a:pPr>
            <a:defRPr sz="1000"/>
          </a:pPr>
          <a:endParaRPr lang="en-US"/>
        </a:p>
      </c:txPr>
    </c:legend>
    <c:plotVisOnly val="1"/>
    <c:dispBlanksAs val="gap"/>
    <c:showDLblsOverMax val="0"/>
  </c:chart>
  <c:spPr>
    <a:ln>
      <a:noFill/>
    </a:ln>
  </c:spPr>
  <c:txPr>
    <a:bodyPr/>
    <a:lstStyle/>
    <a:p>
      <a:pPr>
        <a:defRPr sz="900">
          <a:latin typeface="Arial" pitchFamily="34" charset="0"/>
          <a:cs typeface="Arial" pitchFamily="34"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406834051403952"/>
          <c:y val="6.0599361823723649E-2"/>
          <c:w val="0.86374763531916998"/>
          <c:h val="0.79269153225806466"/>
        </c:manualLayout>
      </c:layout>
      <c:barChart>
        <c:barDir val="col"/>
        <c:grouping val="clustered"/>
        <c:varyColors val="0"/>
        <c:ser>
          <c:idx val="0"/>
          <c:order val="0"/>
          <c:spPr>
            <a:solidFill>
              <a:srgbClr val="4F81BD">
                <a:lumMod val="75000"/>
              </a:srgbClr>
            </a:solidFill>
            <a:ln>
              <a:solidFill>
                <a:srgbClr val="4F81BD">
                  <a:lumMod val="75000"/>
                </a:srgbClr>
              </a:solidFill>
            </a:ln>
          </c:spPr>
          <c:invertIfNegative val="0"/>
          <c:cat>
            <c:numRef>
              <c:f>Sheet1!$AJ$6:$AJ$15</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Sheet1!$AP$6:$AP$15</c:f>
              <c:numCache>
                <c:formatCode>#,##0.0</c:formatCode>
                <c:ptCount val="10"/>
                <c:pt idx="0">
                  <c:v>33.204591797259027</c:v>
                </c:pt>
                <c:pt idx="1">
                  <c:v>9.1257277023718384</c:v>
                </c:pt>
                <c:pt idx="2">
                  <c:v>14.651176477383867</c:v>
                </c:pt>
                <c:pt idx="3">
                  <c:v>16.526014095772979</c:v>
                </c:pt>
                <c:pt idx="4">
                  <c:v>20.517715455311016</c:v>
                </c:pt>
                <c:pt idx="5">
                  <c:v>24.018785702595697</c:v>
                </c:pt>
                <c:pt idx="6">
                  <c:v>29.866284093457768</c:v>
                </c:pt>
                <c:pt idx="7">
                  <c:v>35.42953027802735</c:v>
                </c:pt>
                <c:pt idx="8">
                  <c:v>43.909418674515734</c:v>
                </c:pt>
                <c:pt idx="9">
                  <c:v>66.675679039878844</c:v>
                </c:pt>
              </c:numCache>
            </c:numRef>
          </c:val>
        </c:ser>
        <c:dLbls>
          <c:showLegendKey val="0"/>
          <c:showVal val="0"/>
          <c:showCatName val="0"/>
          <c:showSerName val="0"/>
          <c:showPercent val="0"/>
          <c:showBubbleSize val="0"/>
        </c:dLbls>
        <c:gapWidth val="150"/>
        <c:axId val="191844736"/>
        <c:axId val="191846656"/>
      </c:barChart>
      <c:catAx>
        <c:axId val="191844736"/>
        <c:scaling>
          <c:orientation val="minMax"/>
        </c:scaling>
        <c:delete val="0"/>
        <c:axPos val="b"/>
        <c:title>
          <c:tx>
            <c:rich>
              <a:bodyPr/>
              <a:lstStyle/>
              <a:p>
                <a:pPr>
                  <a:defRPr/>
                </a:pPr>
                <a:r>
                  <a:rPr lang="en-AU" b="0"/>
                  <a:t>Decile</a:t>
                </a:r>
              </a:p>
            </c:rich>
          </c:tx>
          <c:layout/>
          <c:overlay val="0"/>
        </c:title>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191846656"/>
        <c:crosses val="autoZero"/>
        <c:auto val="1"/>
        <c:lblAlgn val="ctr"/>
        <c:lblOffset val="100"/>
        <c:noMultiLvlLbl val="0"/>
      </c:catAx>
      <c:valAx>
        <c:axId val="191846656"/>
        <c:scaling>
          <c:orientation val="minMax"/>
        </c:scaling>
        <c:delete val="0"/>
        <c:axPos val="l"/>
        <c:majorGridlines/>
        <c:numFmt formatCode="#,##0" sourceLinked="0"/>
        <c:majorTickMark val="out"/>
        <c:minorTickMark val="none"/>
        <c:tickLblPos val="nextTo"/>
        <c:spPr>
          <a:ln>
            <a:solidFill>
              <a:schemeClr val="tx1"/>
            </a:solidFill>
          </a:ln>
        </c:spPr>
        <c:txPr>
          <a:bodyPr/>
          <a:lstStyle/>
          <a:p>
            <a:pPr>
              <a:defRPr sz="900">
                <a:latin typeface="Arial" pitchFamily="34" charset="0"/>
                <a:cs typeface="Arial" pitchFamily="34" charset="0"/>
              </a:defRPr>
            </a:pPr>
            <a:endParaRPr lang="en-US"/>
          </a:p>
        </c:txPr>
        <c:crossAx val="191844736"/>
        <c:crosses val="autoZero"/>
        <c:crossBetween val="between"/>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'labour income'!$B$4</c:f>
              <c:strCache>
                <c:ptCount val="1"/>
                <c:pt idx="0">
                  <c:v>Full time</c:v>
                </c:pt>
              </c:strCache>
            </c:strRef>
          </c:tx>
          <c:spPr>
            <a:solidFill>
              <a:schemeClr val="accent1">
                <a:lumMod val="75000"/>
              </a:schemeClr>
            </a:solidFill>
            <a:ln>
              <a:solidFill>
                <a:schemeClr val="accent1">
                  <a:lumMod val="75000"/>
                </a:schemeClr>
              </a:solidFill>
            </a:ln>
          </c:spPr>
          <c:invertIfNegative val="0"/>
          <c:cat>
            <c:strRef>
              <c:f>('labour income'!$A$6:$A$15,'labour income'!$A$17)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('labour income'!$B$6:$B$15,'labour income'!$B$17)</c:f>
              <c:numCache>
                <c:formatCode>General</c:formatCode>
                <c:ptCount val="11"/>
                <c:pt idx="0">
                  <c:v>4.96</c:v>
                </c:pt>
                <c:pt idx="1">
                  <c:v>12.43</c:v>
                </c:pt>
                <c:pt idx="2">
                  <c:v>27.23</c:v>
                </c:pt>
                <c:pt idx="3">
                  <c:v>61.32</c:v>
                </c:pt>
                <c:pt idx="4">
                  <c:v>74.180000000000007</c:v>
                </c:pt>
                <c:pt idx="5">
                  <c:v>75.849999999999994</c:v>
                </c:pt>
                <c:pt idx="6">
                  <c:v>85.14</c:v>
                </c:pt>
                <c:pt idx="7">
                  <c:v>89.13</c:v>
                </c:pt>
                <c:pt idx="8">
                  <c:v>91.1</c:v>
                </c:pt>
                <c:pt idx="9">
                  <c:v>91.21</c:v>
                </c:pt>
                <c:pt idx="10">
                  <c:v>62.07</c:v>
                </c:pt>
              </c:numCache>
            </c:numRef>
          </c:val>
        </c:ser>
        <c:ser>
          <c:idx val="1"/>
          <c:order val="1"/>
          <c:tx>
            <c:strRef>
              <c:f>'labour income'!$C$4</c:f>
              <c:strCache>
                <c:ptCount val="1"/>
                <c:pt idx="0">
                  <c:v>Part time</c:v>
                </c:pt>
              </c:strCache>
            </c:strRef>
          </c:tx>
          <c:spPr>
            <a:pattFill prst="openDmnd">
              <a:fgClr>
                <a:schemeClr val="accent1">
                  <a:lumMod val="75000"/>
                </a:schemeClr>
              </a:fgClr>
              <a:bgClr>
                <a:schemeClr val="bg1"/>
              </a:bgClr>
            </a:pattFill>
            <a:ln>
              <a:solidFill>
                <a:schemeClr val="accent1">
                  <a:lumMod val="75000"/>
                </a:schemeClr>
              </a:solidFill>
            </a:ln>
          </c:spPr>
          <c:invertIfNegative val="0"/>
          <c:cat>
            <c:strRef>
              <c:f>('labour income'!$A$6:$A$15,'labour income'!$A$17)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('labour income'!$C$6:$C$15,'labour income'!$C$17)</c:f>
              <c:numCache>
                <c:formatCode>General</c:formatCode>
                <c:ptCount val="11"/>
                <c:pt idx="0">
                  <c:v>69.7</c:v>
                </c:pt>
                <c:pt idx="1">
                  <c:v>75.040000000000006</c:v>
                </c:pt>
                <c:pt idx="2">
                  <c:v>59.87</c:v>
                </c:pt>
                <c:pt idx="3">
                  <c:v>33.299999999999997</c:v>
                </c:pt>
                <c:pt idx="4">
                  <c:v>20.93</c:v>
                </c:pt>
                <c:pt idx="5">
                  <c:v>17.07</c:v>
                </c:pt>
                <c:pt idx="6">
                  <c:v>10</c:v>
                </c:pt>
                <c:pt idx="7">
                  <c:v>7.5</c:v>
                </c:pt>
                <c:pt idx="8">
                  <c:v>4.5599999999999996</c:v>
                </c:pt>
                <c:pt idx="9">
                  <c:v>3.93</c:v>
                </c:pt>
                <c:pt idx="10">
                  <c:v>29.57</c:v>
                </c:pt>
              </c:numCache>
            </c:numRef>
          </c:val>
        </c:ser>
        <c:ser>
          <c:idx val="2"/>
          <c:order val="2"/>
          <c:tx>
            <c:strRef>
              <c:f>'labour income'!$D$4</c:f>
              <c:strCache>
                <c:ptCount val="1"/>
                <c:pt idx="0">
                  <c:v>Self employed</c:v>
                </c:pt>
              </c:strCache>
            </c:strRef>
          </c:tx>
          <c:spPr>
            <a:pattFill prst="pct70">
              <a:fgClr>
                <a:schemeClr val="accent1">
                  <a:lumMod val="75000"/>
                </a:schemeClr>
              </a:fgClr>
              <a:bgClr>
                <a:schemeClr val="bg1"/>
              </a:bgClr>
            </a:pattFill>
            <a:ln>
              <a:solidFill>
                <a:schemeClr val="accent1">
                  <a:lumMod val="75000"/>
                </a:schemeClr>
              </a:solidFill>
            </a:ln>
          </c:spPr>
          <c:invertIfNegative val="0"/>
          <c:cat>
            <c:strRef>
              <c:f>('labour income'!$A$6:$A$15,'labour income'!$A$17)</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('labour income'!$D$6:$D$15,'labour income'!$D$17)</c:f>
              <c:numCache>
                <c:formatCode>General</c:formatCode>
                <c:ptCount val="11"/>
                <c:pt idx="0">
                  <c:v>25.34</c:v>
                </c:pt>
                <c:pt idx="1">
                  <c:v>12.53</c:v>
                </c:pt>
                <c:pt idx="2">
                  <c:v>12.9</c:v>
                </c:pt>
                <c:pt idx="3">
                  <c:v>5.38</c:v>
                </c:pt>
                <c:pt idx="4">
                  <c:v>4.88</c:v>
                </c:pt>
                <c:pt idx="5">
                  <c:v>7.08</c:v>
                </c:pt>
                <c:pt idx="6">
                  <c:v>4.87</c:v>
                </c:pt>
                <c:pt idx="7">
                  <c:v>3.37</c:v>
                </c:pt>
                <c:pt idx="8">
                  <c:v>4.3499999999999996</c:v>
                </c:pt>
                <c:pt idx="9">
                  <c:v>4.8600000000000003</c:v>
                </c:pt>
                <c:pt idx="10">
                  <c:v>8.35</c:v>
                </c:pt>
              </c:numCache>
            </c:numRef>
          </c:val>
        </c:ser>
        <c:dLbls>
          <c:showLegendKey val="0"/>
          <c:showVal val="0"/>
          <c:showCatName val="0"/>
          <c:showSerName val="0"/>
          <c:showPercent val="0"/>
          <c:showBubbleSize val="0"/>
        </c:dLbls>
        <c:gapWidth val="150"/>
        <c:overlap val="100"/>
        <c:axId val="191863424"/>
        <c:axId val="191865216"/>
      </c:barChart>
      <c:catAx>
        <c:axId val="191863424"/>
        <c:scaling>
          <c:orientation val="minMax"/>
        </c:scaling>
        <c:delete val="0"/>
        <c:axPos val="b"/>
        <c:majorTickMark val="out"/>
        <c:minorTickMark val="none"/>
        <c:tickLblPos val="nextTo"/>
        <c:crossAx val="191865216"/>
        <c:crosses val="autoZero"/>
        <c:auto val="1"/>
        <c:lblAlgn val="ctr"/>
        <c:lblOffset val="100"/>
        <c:noMultiLvlLbl val="0"/>
      </c:catAx>
      <c:valAx>
        <c:axId val="191865216"/>
        <c:scaling>
          <c:orientation val="minMax"/>
          <c:max val="100"/>
        </c:scaling>
        <c:delete val="0"/>
        <c:axPos val="l"/>
        <c:majorGridlines/>
        <c:numFmt formatCode="General" sourceLinked="1"/>
        <c:majorTickMark val="out"/>
        <c:minorTickMark val="none"/>
        <c:tickLblPos val="nextTo"/>
        <c:crossAx val="191863424"/>
        <c:crosses val="autoZero"/>
        <c:crossBetween val="between"/>
        <c:majorUnit val="20"/>
      </c:valAx>
    </c:plotArea>
    <c:legend>
      <c:legendPos val="r"/>
      <c:layout>
        <c:manualLayout>
          <c:xMode val="edge"/>
          <c:yMode val="edge"/>
          <c:x val="0.8030383333333333"/>
          <c:y val="0.20252083333333334"/>
          <c:w val="0.18285055555555554"/>
          <c:h val="0.53028194444444443"/>
        </c:manualLayout>
      </c:layout>
      <c:overlay val="0"/>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Arial" pitchFamily="34" charset="0"/>
                <a:cs typeface="Arial" pitchFamily="34" charset="0"/>
              </a:defRPr>
            </a:pPr>
            <a:r>
              <a:rPr lang="en-AU" sz="1000">
                <a:latin typeface="Arial" pitchFamily="34" charset="0"/>
                <a:cs typeface="Arial" pitchFamily="34" charset="0"/>
              </a:rPr>
              <a:t>FT worker income ($ per week)</a:t>
            </a:r>
          </a:p>
        </c:rich>
      </c:tx>
      <c:layout>
        <c:manualLayout>
          <c:xMode val="edge"/>
          <c:yMode val="edge"/>
          <c:x val="0.21178055555555556"/>
          <c:y val="1.5119047619047619E-2"/>
        </c:manualLayout>
      </c:layout>
      <c:overlay val="0"/>
    </c:title>
    <c:autoTitleDeleted val="0"/>
    <c:plotArea>
      <c:layout>
        <c:manualLayout>
          <c:layoutTarget val="inner"/>
          <c:xMode val="edge"/>
          <c:yMode val="edge"/>
          <c:x val="0.14179682539682539"/>
          <c:y val="0.1119063492063492"/>
          <c:w val="0.81284603174603176"/>
          <c:h val="0.78053809523809525"/>
        </c:manualLayout>
      </c:layout>
      <c:lineChart>
        <c:grouping val="standard"/>
        <c:varyColors val="0"/>
        <c:ser>
          <c:idx val="9"/>
          <c:order val="0"/>
          <c:tx>
            <c:v>10th decile</c:v>
          </c:tx>
          <c:spPr>
            <a:ln>
              <a:solidFill>
                <a:schemeClr val="accent1">
                  <a:lumMod val="75000"/>
                </a:schemeClr>
              </a:solidFill>
            </a:ln>
          </c:spPr>
          <c:marker>
            <c:symbol val="none"/>
          </c:marker>
          <c:cat>
            <c:strRef>
              <c:f>Sheet1!$B$5:$F$5</c:f>
              <c:strCache>
                <c:ptCount val="5"/>
                <c:pt idx="0">
                  <c:v>1988-89</c:v>
                </c:pt>
                <c:pt idx="1">
                  <c:v>1993-94</c:v>
                </c:pt>
                <c:pt idx="2">
                  <c:v>1998-99</c:v>
                </c:pt>
                <c:pt idx="3">
                  <c:v>2003-04</c:v>
                </c:pt>
                <c:pt idx="4">
                  <c:v>2009-10</c:v>
                </c:pt>
              </c:strCache>
            </c:strRef>
          </c:cat>
          <c:val>
            <c:numRef>
              <c:f>Sheet1!$B$15:$F$15</c:f>
              <c:numCache>
                <c:formatCode>#,##0.0</c:formatCode>
                <c:ptCount val="5"/>
                <c:pt idx="0">
                  <c:v>1937.1639</c:v>
                </c:pt>
                <c:pt idx="1">
                  <c:v>2117.8971000000001</c:v>
                </c:pt>
                <c:pt idx="2">
                  <c:v>2550.8216000000002</c:v>
                </c:pt>
                <c:pt idx="3">
                  <c:v>2829.3341999999998</c:v>
                </c:pt>
                <c:pt idx="4">
                  <c:v>3581.9906000000001</c:v>
                </c:pt>
              </c:numCache>
            </c:numRef>
          </c:val>
          <c:smooth val="0"/>
        </c:ser>
        <c:ser>
          <c:idx val="8"/>
          <c:order val="1"/>
          <c:tx>
            <c:v>9th decile</c:v>
          </c:tx>
          <c:spPr>
            <a:ln w="12700">
              <a:solidFill>
                <a:schemeClr val="tx1"/>
              </a:solidFill>
              <a:prstDash val="sysDash"/>
            </a:ln>
          </c:spPr>
          <c:marker>
            <c:symbol val="none"/>
          </c:marker>
          <c:cat>
            <c:strRef>
              <c:f>Sheet1!$B$5:$F$5</c:f>
              <c:strCache>
                <c:ptCount val="5"/>
                <c:pt idx="0">
                  <c:v>1988-89</c:v>
                </c:pt>
                <c:pt idx="1">
                  <c:v>1993-94</c:v>
                </c:pt>
                <c:pt idx="2">
                  <c:v>1998-99</c:v>
                </c:pt>
                <c:pt idx="3">
                  <c:v>2003-04</c:v>
                </c:pt>
                <c:pt idx="4">
                  <c:v>2009-10</c:v>
                </c:pt>
              </c:strCache>
            </c:strRef>
          </c:cat>
          <c:val>
            <c:numRef>
              <c:f>Sheet1!$B$14:$F$14</c:f>
              <c:numCache>
                <c:formatCode>#,##0.0</c:formatCode>
                <c:ptCount val="5"/>
                <c:pt idx="0">
                  <c:v>1307.8726999999999</c:v>
                </c:pt>
                <c:pt idx="1">
                  <c:v>1381.6949999999999</c:v>
                </c:pt>
                <c:pt idx="2">
                  <c:v>1575.5689</c:v>
                </c:pt>
                <c:pt idx="3">
                  <c:v>1657.0260000000001</c:v>
                </c:pt>
                <c:pt idx="4">
                  <c:v>2051.6632</c:v>
                </c:pt>
              </c:numCache>
            </c:numRef>
          </c:val>
          <c:smooth val="0"/>
        </c:ser>
        <c:ser>
          <c:idx val="7"/>
          <c:order val="2"/>
          <c:tx>
            <c:v>8th decile</c:v>
          </c:tx>
          <c:spPr>
            <a:ln w="12700">
              <a:solidFill>
                <a:schemeClr val="tx1"/>
              </a:solidFill>
              <a:prstDash val="sysDash"/>
            </a:ln>
          </c:spPr>
          <c:marker>
            <c:symbol val="none"/>
          </c:marker>
          <c:cat>
            <c:strRef>
              <c:f>Sheet1!$B$5:$F$5</c:f>
              <c:strCache>
                <c:ptCount val="5"/>
                <c:pt idx="0">
                  <c:v>1988-89</c:v>
                </c:pt>
                <c:pt idx="1">
                  <c:v>1993-94</c:v>
                </c:pt>
                <c:pt idx="2">
                  <c:v>1998-99</c:v>
                </c:pt>
                <c:pt idx="3">
                  <c:v>2003-04</c:v>
                </c:pt>
                <c:pt idx="4">
                  <c:v>2009-10</c:v>
                </c:pt>
              </c:strCache>
            </c:strRef>
          </c:cat>
          <c:val>
            <c:numRef>
              <c:f>Sheet1!$B$13:$F$13</c:f>
              <c:numCache>
                <c:formatCode>#,##0.0</c:formatCode>
                <c:ptCount val="5"/>
                <c:pt idx="0">
                  <c:v>1130.1052</c:v>
                </c:pt>
                <c:pt idx="1">
                  <c:v>1194.4991</c:v>
                </c:pt>
                <c:pt idx="2">
                  <c:v>1332.7999</c:v>
                </c:pt>
                <c:pt idx="3">
                  <c:v>1396.6849</c:v>
                </c:pt>
                <c:pt idx="4">
                  <c:v>1666.7669000000001</c:v>
                </c:pt>
              </c:numCache>
            </c:numRef>
          </c:val>
          <c:smooth val="0"/>
        </c:ser>
        <c:ser>
          <c:idx val="6"/>
          <c:order val="3"/>
          <c:tx>
            <c:v>7th decile</c:v>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Sheet1!$B$5:$F$5</c:f>
              <c:strCache>
                <c:ptCount val="5"/>
                <c:pt idx="0">
                  <c:v>1988-89</c:v>
                </c:pt>
                <c:pt idx="1">
                  <c:v>1993-94</c:v>
                </c:pt>
                <c:pt idx="2">
                  <c:v>1998-99</c:v>
                </c:pt>
                <c:pt idx="3">
                  <c:v>2003-04</c:v>
                </c:pt>
                <c:pt idx="4">
                  <c:v>2009-10</c:v>
                </c:pt>
              </c:strCache>
            </c:strRef>
          </c:cat>
          <c:val>
            <c:numRef>
              <c:f>Sheet1!$B$12:$F$12</c:f>
              <c:numCache>
                <c:formatCode>#,##0.0</c:formatCode>
                <c:ptCount val="5"/>
                <c:pt idx="0">
                  <c:v>1000.816</c:v>
                </c:pt>
                <c:pt idx="1">
                  <c:v>1047.3634999999999</c:v>
                </c:pt>
                <c:pt idx="2">
                  <c:v>1172.3516</c:v>
                </c:pt>
                <c:pt idx="3">
                  <c:v>1234.1065000000001</c:v>
                </c:pt>
                <c:pt idx="4">
                  <c:v>1437.7545</c:v>
                </c:pt>
              </c:numCache>
            </c:numRef>
          </c:val>
          <c:smooth val="0"/>
        </c:ser>
        <c:ser>
          <c:idx val="5"/>
          <c:order val="4"/>
          <c:tx>
            <c:v>6th decile</c:v>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Sheet1!$B$5:$F$5</c:f>
              <c:strCache>
                <c:ptCount val="5"/>
                <c:pt idx="0">
                  <c:v>1988-89</c:v>
                </c:pt>
                <c:pt idx="1">
                  <c:v>1993-94</c:v>
                </c:pt>
                <c:pt idx="2">
                  <c:v>1998-99</c:v>
                </c:pt>
                <c:pt idx="3">
                  <c:v>2003-04</c:v>
                </c:pt>
                <c:pt idx="4">
                  <c:v>2009-10</c:v>
                </c:pt>
              </c:strCache>
            </c:strRef>
          </c:cat>
          <c:val>
            <c:numRef>
              <c:f>Sheet1!$B$11:$F$11</c:f>
              <c:numCache>
                <c:formatCode>#,##0.0</c:formatCode>
                <c:ptCount val="5"/>
                <c:pt idx="0">
                  <c:v>895.59154999999998</c:v>
                </c:pt>
                <c:pt idx="1">
                  <c:v>928.82727</c:v>
                </c:pt>
                <c:pt idx="2">
                  <c:v>1043.8375000000001</c:v>
                </c:pt>
                <c:pt idx="3">
                  <c:v>1093.3910000000001</c:v>
                </c:pt>
                <c:pt idx="4">
                  <c:v>1248.4048</c:v>
                </c:pt>
              </c:numCache>
            </c:numRef>
          </c:val>
          <c:smooth val="0"/>
        </c:ser>
        <c:ser>
          <c:idx val="4"/>
          <c:order val="5"/>
          <c:tx>
            <c:v>5th decile</c:v>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Sheet1!$B$5:$F$5</c:f>
              <c:strCache>
                <c:ptCount val="5"/>
                <c:pt idx="0">
                  <c:v>1988-89</c:v>
                </c:pt>
                <c:pt idx="1">
                  <c:v>1993-94</c:v>
                </c:pt>
                <c:pt idx="2">
                  <c:v>1998-99</c:v>
                </c:pt>
                <c:pt idx="3">
                  <c:v>2003-04</c:v>
                </c:pt>
                <c:pt idx="4">
                  <c:v>2009-10</c:v>
                </c:pt>
              </c:strCache>
            </c:strRef>
          </c:cat>
          <c:val>
            <c:numRef>
              <c:f>Sheet1!$B$10:$F$10</c:f>
              <c:numCache>
                <c:formatCode>#,##0.0</c:formatCode>
                <c:ptCount val="5"/>
                <c:pt idx="0">
                  <c:v>811.70506</c:v>
                </c:pt>
                <c:pt idx="1">
                  <c:v>832.33861000000002</c:v>
                </c:pt>
                <c:pt idx="2">
                  <c:v>934.51837</c:v>
                </c:pt>
                <c:pt idx="3">
                  <c:v>973.60562000000004</c:v>
                </c:pt>
                <c:pt idx="4">
                  <c:v>1096.5409</c:v>
                </c:pt>
              </c:numCache>
            </c:numRef>
          </c:val>
          <c:smooth val="0"/>
        </c:ser>
        <c:ser>
          <c:idx val="3"/>
          <c:order val="6"/>
          <c:tx>
            <c:v>4th decile</c:v>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Sheet1!$B$5:$F$5</c:f>
              <c:strCache>
                <c:ptCount val="5"/>
                <c:pt idx="0">
                  <c:v>1988-89</c:v>
                </c:pt>
                <c:pt idx="1">
                  <c:v>1993-94</c:v>
                </c:pt>
                <c:pt idx="2">
                  <c:v>1998-99</c:v>
                </c:pt>
                <c:pt idx="3">
                  <c:v>2003-04</c:v>
                </c:pt>
                <c:pt idx="4">
                  <c:v>2009-10</c:v>
                </c:pt>
              </c:strCache>
            </c:strRef>
          </c:cat>
          <c:val>
            <c:numRef>
              <c:f>Sheet1!$B$9:$F$9</c:f>
              <c:numCache>
                <c:formatCode>#,##0.0</c:formatCode>
                <c:ptCount val="5"/>
                <c:pt idx="0">
                  <c:v>736.52612999999997</c:v>
                </c:pt>
                <c:pt idx="1">
                  <c:v>758.02542000000005</c:v>
                </c:pt>
                <c:pt idx="2">
                  <c:v>847.83549000000005</c:v>
                </c:pt>
                <c:pt idx="3">
                  <c:v>872.92456000000004</c:v>
                </c:pt>
                <c:pt idx="4">
                  <c:v>959.20793000000003</c:v>
                </c:pt>
              </c:numCache>
            </c:numRef>
          </c:val>
          <c:smooth val="0"/>
        </c:ser>
        <c:ser>
          <c:idx val="2"/>
          <c:order val="7"/>
          <c:tx>
            <c:v>3rd decile</c:v>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Sheet1!$B$5:$F$5</c:f>
              <c:strCache>
                <c:ptCount val="5"/>
                <c:pt idx="0">
                  <c:v>1988-89</c:v>
                </c:pt>
                <c:pt idx="1">
                  <c:v>1993-94</c:v>
                </c:pt>
                <c:pt idx="2">
                  <c:v>1998-99</c:v>
                </c:pt>
                <c:pt idx="3">
                  <c:v>2003-04</c:v>
                </c:pt>
                <c:pt idx="4">
                  <c:v>2009-10</c:v>
                </c:pt>
              </c:strCache>
            </c:strRef>
          </c:cat>
          <c:val>
            <c:numRef>
              <c:f>Sheet1!$B$8:$F$8</c:f>
              <c:numCache>
                <c:formatCode>#,##0.0</c:formatCode>
                <c:ptCount val="5"/>
                <c:pt idx="0">
                  <c:v>663.73796000000004</c:v>
                </c:pt>
                <c:pt idx="1">
                  <c:v>688.20694000000003</c:v>
                </c:pt>
                <c:pt idx="2">
                  <c:v>758.95988</c:v>
                </c:pt>
                <c:pt idx="3">
                  <c:v>784.30547999999999</c:v>
                </c:pt>
                <c:pt idx="4">
                  <c:v>846.83299</c:v>
                </c:pt>
              </c:numCache>
            </c:numRef>
          </c:val>
          <c:smooth val="0"/>
        </c:ser>
        <c:ser>
          <c:idx val="1"/>
          <c:order val="8"/>
          <c:tx>
            <c:v>2nd decile</c:v>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Sheet1!$B$5:$F$5</c:f>
              <c:strCache>
                <c:ptCount val="5"/>
                <c:pt idx="0">
                  <c:v>1988-89</c:v>
                </c:pt>
                <c:pt idx="1">
                  <c:v>1993-94</c:v>
                </c:pt>
                <c:pt idx="2">
                  <c:v>1998-99</c:v>
                </c:pt>
                <c:pt idx="3">
                  <c:v>2003-04</c:v>
                </c:pt>
                <c:pt idx="4">
                  <c:v>2009-10</c:v>
                </c:pt>
              </c:strCache>
            </c:strRef>
          </c:cat>
          <c:val>
            <c:numRef>
              <c:f>Sheet1!$B$7:$F$7</c:f>
              <c:numCache>
                <c:formatCode>#,##0.0</c:formatCode>
                <c:ptCount val="5"/>
                <c:pt idx="0">
                  <c:v>577.93364999999994</c:v>
                </c:pt>
                <c:pt idx="1">
                  <c:v>609.43425000000002</c:v>
                </c:pt>
                <c:pt idx="2">
                  <c:v>655.78080999999997</c:v>
                </c:pt>
                <c:pt idx="3">
                  <c:v>676.69433000000004</c:v>
                </c:pt>
                <c:pt idx="4">
                  <c:v>733.53664000000003</c:v>
                </c:pt>
              </c:numCache>
            </c:numRef>
          </c:val>
          <c:smooth val="0"/>
        </c:ser>
        <c:ser>
          <c:idx val="0"/>
          <c:order val="9"/>
          <c:tx>
            <c:v>1st Decile</c:v>
          </c:tx>
          <c:spPr>
            <a:ln>
              <a:solidFill>
                <a:srgbClr val="C00000"/>
              </a:solidFill>
            </a:ln>
          </c:spPr>
          <c:marker>
            <c:symbol val="none"/>
          </c:marker>
          <c:cat>
            <c:strRef>
              <c:f>Sheet1!$B$5:$F$5</c:f>
              <c:strCache>
                <c:ptCount val="5"/>
                <c:pt idx="0">
                  <c:v>1988-89</c:v>
                </c:pt>
                <c:pt idx="1">
                  <c:v>1993-94</c:v>
                </c:pt>
                <c:pt idx="2">
                  <c:v>1998-99</c:v>
                </c:pt>
                <c:pt idx="3">
                  <c:v>2003-04</c:v>
                </c:pt>
                <c:pt idx="4">
                  <c:v>2009-10</c:v>
                </c:pt>
              </c:strCache>
            </c:strRef>
          </c:cat>
          <c:val>
            <c:numRef>
              <c:f>Sheet1!$B$6:$F$6</c:f>
              <c:numCache>
                <c:formatCode>#,##0.0</c:formatCode>
                <c:ptCount val="5"/>
                <c:pt idx="0">
                  <c:v>359.57724000000002</c:v>
                </c:pt>
                <c:pt idx="1">
                  <c:v>391.25990999999999</c:v>
                </c:pt>
                <c:pt idx="2">
                  <c:v>420.31274999999999</c:v>
                </c:pt>
                <c:pt idx="3">
                  <c:v>445.18946999999997</c:v>
                </c:pt>
                <c:pt idx="4">
                  <c:v>491.91259000000002</c:v>
                </c:pt>
              </c:numCache>
            </c:numRef>
          </c:val>
          <c:smooth val="0"/>
        </c:ser>
        <c:dLbls>
          <c:showLegendKey val="0"/>
          <c:showVal val="0"/>
          <c:showCatName val="0"/>
          <c:showSerName val="0"/>
          <c:showPercent val="0"/>
          <c:showBubbleSize val="0"/>
        </c:dLbls>
        <c:marker val="1"/>
        <c:smooth val="0"/>
        <c:axId val="191900672"/>
        <c:axId val="191906560"/>
      </c:lineChart>
      <c:catAx>
        <c:axId val="191900672"/>
        <c:scaling>
          <c:orientation val="minMax"/>
        </c:scaling>
        <c:delete val="0"/>
        <c:axPos val="b"/>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191906560"/>
        <c:crosses val="autoZero"/>
        <c:auto val="1"/>
        <c:lblAlgn val="ctr"/>
        <c:lblOffset val="100"/>
        <c:noMultiLvlLbl val="0"/>
      </c:catAx>
      <c:valAx>
        <c:axId val="191906560"/>
        <c:scaling>
          <c:orientation val="minMax"/>
        </c:scaling>
        <c:delete val="0"/>
        <c:axPos val="l"/>
        <c:majorGridlines/>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191900672"/>
        <c:crossesAt val="1"/>
        <c:crossBetween val="between"/>
      </c:valAx>
    </c:plotArea>
    <c:plotVisOnly val="1"/>
    <c:dispBlanksAs val="gap"/>
    <c:showDLblsOverMax val="0"/>
  </c:chart>
  <c:spPr>
    <a:ln>
      <a:noFill/>
    </a:ln>
  </c:sp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nSpc>
                <a:spcPts val="1100"/>
              </a:lnSpc>
              <a:defRPr sz="1000">
                <a:latin typeface="Arial" pitchFamily="34" charset="0"/>
                <a:cs typeface="Arial" pitchFamily="34" charset="0"/>
              </a:defRPr>
            </a:pPr>
            <a:r>
              <a:rPr lang="en-AU" sz="1000">
                <a:latin typeface="Arial" pitchFamily="34" charset="0"/>
                <a:cs typeface="Arial" pitchFamily="34" charset="0"/>
              </a:rPr>
              <a:t>% change FT </a:t>
            </a:r>
            <a:r>
              <a:rPr lang="en-AU" sz="1000" baseline="0">
                <a:latin typeface="Arial" pitchFamily="34" charset="0"/>
                <a:cs typeface="Arial" pitchFamily="34" charset="0"/>
              </a:rPr>
              <a:t>worker income, 1988-89 to 2009-10</a:t>
            </a:r>
            <a:endParaRPr lang="en-AU" sz="1000">
              <a:latin typeface="Arial" pitchFamily="34" charset="0"/>
              <a:cs typeface="Arial" pitchFamily="34" charset="0"/>
            </a:endParaRPr>
          </a:p>
        </c:rich>
      </c:tx>
      <c:layout>
        <c:manualLayout>
          <c:xMode val="edge"/>
          <c:yMode val="edge"/>
          <c:x val="0.20816412517198532"/>
          <c:y val="0"/>
        </c:manualLayout>
      </c:layout>
      <c:overlay val="0"/>
    </c:title>
    <c:autoTitleDeleted val="0"/>
    <c:plotArea>
      <c:layout>
        <c:manualLayout>
          <c:layoutTarget val="inner"/>
          <c:xMode val="edge"/>
          <c:yMode val="edge"/>
          <c:x val="0.12221074330983066"/>
          <c:y val="0.11791814833629667"/>
          <c:w val="0.90389337135327208"/>
          <c:h val="0.72409489990221809"/>
        </c:manualLayout>
      </c:layout>
      <c:barChart>
        <c:barDir val="col"/>
        <c:grouping val="clustered"/>
        <c:varyColors val="0"/>
        <c:ser>
          <c:idx val="0"/>
          <c:order val="0"/>
          <c:spPr>
            <a:solidFill>
              <a:srgbClr val="4F81BD">
                <a:lumMod val="75000"/>
              </a:srgbClr>
            </a:solidFill>
            <a:ln>
              <a:solidFill>
                <a:srgbClr val="4F81BD">
                  <a:lumMod val="75000"/>
                </a:srgbClr>
              </a:solidFill>
            </a:ln>
          </c:spPr>
          <c:invertIfNegative val="0"/>
          <c:cat>
            <c:numRef>
              <c:f>Sheet1!$A$6:$A$15</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Sheet1!$G$6:$G$15</c:f>
              <c:numCache>
                <c:formatCode>#,##0.0</c:formatCode>
                <c:ptCount val="10"/>
                <c:pt idx="0">
                  <c:v>36.803038479298635</c:v>
                </c:pt>
                <c:pt idx="1">
                  <c:v>26.924023198856844</c:v>
                </c:pt>
                <c:pt idx="2">
                  <c:v>27.585438988603268</c:v>
                </c:pt>
                <c:pt idx="3">
                  <c:v>30.234066508950619</c:v>
                </c:pt>
                <c:pt idx="4">
                  <c:v>35.091051422052239</c:v>
                </c:pt>
                <c:pt idx="5">
                  <c:v>39.394437118126007</c:v>
                </c:pt>
                <c:pt idx="6">
                  <c:v>43.658224888490992</c:v>
                </c:pt>
                <c:pt idx="7">
                  <c:v>47.487764855873607</c:v>
                </c:pt>
                <c:pt idx="8">
                  <c:v>56.870251974829053</c:v>
                </c:pt>
                <c:pt idx="9">
                  <c:v>84.909010538550717</c:v>
                </c:pt>
              </c:numCache>
            </c:numRef>
          </c:val>
        </c:ser>
        <c:dLbls>
          <c:showLegendKey val="0"/>
          <c:showVal val="0"/>
          <c:showCatName val="0"/>
          <c:showSerName val="0"/>
          <c:showPercent val="0"/>
          <c:showBubbleSize val="0"/>
        </c:dLbls>
        <c:gapWidth val="150"/>
        <c:axId val="191924480"/>
        <c:axId val="191934848"/>
      </c:barChart>
      <c:catAx>
        <c:axId val="191924480"/>
        <c:scaling>
          <c:orientation val="minMax"/>
        </c:scaling>
        <c:delete val="0"/>
        <c:axPos val="b"/>
        <c:title>
          <c:tx>
            <c:rich>
              <a:bodyPr/>
              <a:lstStyle/>
              <a:p>
                <a:pPr>
                  <a:defRPr/>
                </a:pPr>
                <a:r>
                  <a:rPr lang="en-AU" b="0"/>
                  <a:t>Decile</a:t>
                </a:r>
              </a:p>
            </c:rich>
          </c:tx>
          <c:overlay val="0"/>
        </c:title>
        <c:numFmt formatCode="General" sourceLinked="1"/>
        <c:majorTickMark val="out"/>
        <c:minorTickMark val="none"/>
        <c:tickLblPos val="nextTo"/>
        <c:txPr>
          <a:bodyPr/>
          <a:lstStyle/>
          <a:p>
            <a:pPr>
              <a:defRPr sz="900"/>
            </a:pPr>
            <a:endParaRPr lang="en-US"/>
          </a:p>
        </c:txPr>
        <c:crossAx val="191934848"/>
        <c:crosses val="autoZero"/>
        <c:auto val="1"/>
        <c:lblAlgn val="ctr"/>
        <c:lblOffset val="100"/>
        <c:noMultiLvlLbl val="0"/>
      </c:catAx>
      <c:valAx>
        <c:axId val="191934848"/>
        <c:scaling>
          <c:orientation val="minMax"/>
        </c:scaling>
        <c:delete val="0"/>
        <c:axPos val="l"/>
        <c:majorGridlines/>
        <c:numFmt formatCode="0" sourceLinked="0"/>
        <c:majorTickMark val="out"/>
        <c:minorTickMark val="none"/>
        <c:tickLblPos val="nextTo"/>
        <c:spPr>
          <a:ln>
            <a:solidFill>
              <a:schemeClr val="tx1"/>
            </a:solidFill>
          </a:ln>
        </c:spPr>
        <c:txPr>
          <a:bodyPr/>
          <a:lstStyle/>
          <a:p>
            <a:pPr>
              <a:defRPr sz="900"/>
            </a:pPr>
            <a:endParaRPr lang="en-US"/>
          </a:p>
        </c:txPr>
        <c:crossAx val="191924480"/>
        <c:crosses val="autoZero"/>
        <c:crossBetween val="between"/>
        <c:majorUnit val="20"/>
      </c:valAx>
      <c:spPr>
        <a:noFill/>
        <a:ln>
          <a:noFill/>
        </a:ln>
      </c:spPr>
    </c:plotArea>
    <c:plotVisOnly val="1"/>
    <c:dispBlanksAs val="gap"/>
    <c:showDLblsOverMax val="0"/>
  </c:chart>
  <c:spPr>
    <a:ln>
      <a:noFill/>
    </a:ln>
  </c:spPr>
  <c:txPr>
    <a:bodyPr/>
    <a:lstStyle/>
    <a:p>
      <a:pPr>
        <a:defRPr baseline="0">
          <a:latin typeface="Arial" pitchFamily="34" charset="0"/>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latin typeface="Arial" pitchFamily="34" charset="0"/>
                <a:cs typeface="Arial" pitchFamily="34" charset="0"/>
              </a:defRPr>
            </a:pPr>
            <a:r>
              <a:rPr lang="en-US" sz="1000">
                <a:latin typeface="Arial" pitchFamily="34" charset="0"/>
                <a:cs typeface="Arial" pitchFamily="34" charset="0"/>
              </a:rPr>
              <a:t>PT worker income ($ per week)</a:t>
            </a:r>
          </a:p>
        </c:rich>
      </c:tx>
      <c:layout>
        <c:manualLayout>
          <c:xMode val="edge"/>
          <c:yMode val="edge"/>
          <c:x val="0.16706587301587303"/>
          <c:y val="2.0158730158730157E-2"/>
        </c:manualLayout>
      </c:layout>
      <c:overlay val="0"/>
    </c:title>
    <c:autoTitleDeleted val="0"/>
    <c:plotArea>
      <c:layout>
        <c:manualLayout>
          <c:layoutTarget val="inner"/>
          <c:xMode val="edge"/>
          <c:yMode val="edge"/>
          <c:x val="0.13675714285714285"/>
          <c:y val="0.1145015873015873"/>
          <c:w val="0.83803777172004823"/>
          <c:h val="0.77794285714285716"/>
        </c:manualLayout>
      </c:layout>
      <c:lineChart>
        <c:grouping val="standard"/>
        <c:varyColors val="0"/>
        <c:ser>
          <c:idx val="9"/>
          <c:order val="0"/>
          <c:tx>
            <c:strRef>
              <c:f>Sheet1!$H$15</c:f>
              <c:strCache>
                <c:ptCount val="1"/>
                <c:pt idx="0">
                  <c:v>10th decile</c:v>
                </c:pt>
              </c:strCache>
            </c:strRef>
          </c:tx>
          <c:spPr>
            <a:ln>
              <a:solidFill>
                <a:schemeClr val="accent1">
                  <a:lumMod val="75000"/>
                </a:schemeClr>
              </a:solidFill>
            </a:ln>
          </c:spPr>
          <c:marker>
            <c:symbol val="none"/>
          </c:marker>
          <c:cat>
            <c:strRef>
              <c:f>Sheet1!$I$5:$M$5</c:f>
              <c:strCache>
                <c:ptCount val="5"/>
                <c:pt idx="0">
                  <c:v>1988-89</c:v>
                </c:pt>
                <c:pt idx="1">
                  <c:v>1993-94</c:v>
                </c:pt>
                <c:pt idx="2">
                  <c:v>1998-99</c:v>
                </c:pt>
                <c:pt idx="3">
                  <c:v>2003-04</c:v>
                </c:pt>
                <c:pt idx="4">
                  <c:v>2009-10</c:v>
                </c:pt>
              </c:strCache>
            </c:strRef>
          </c:cat>
          <c:val>
            <c:numRef>
              <c:f>Sheet1!$I$15:$M$15</c:f>
              <c:numCache>
                <c:formatCode>#,##0.0</c:formatCode>
                <c:ptCount val="5"/>
                <c:pt idx="0">
                  <c:v>984.36936000000003</c:v>
                </c:pt>
                <c:pt idx="1">
                  <c:v>1011.9109999999999</c:v>
                </c:pt>
                <c:pt idx="2">
                  <c:v>1105.539</c:v>
                </c:pt>
                <c:pt idx="3">
                  <c:v>1225.5696</c:v>
                </c:pt>
                <c:pt idx="4">
                  <c:v>1520.0372</c:v>
                </c:pt>
              </c:numCache>
            </c:numRef>
          </c:val>
          <c:smooth val="0"/>
        </c:ser>
        <c:ser>
          <c:idx val="8"/>
          <c:order val="1"/>
          <c:tx>
            <c:strRef>
              <c:f>Sheet1!$H$14</c:f>
              <c:strCache>
                <c:ptCount val="1"/>
                <c:pt idx="0">
                  <c:v>9th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Sheet1!$I$5:$M$5</c:f>
              <c:strCache>
                <c:ptCount val="5"/>
                <c:pt idx="0">
                  <c:v>1988-89</c:v>
                </c:pt>
                <c:pt idx="1">
                  <c:v>1993-94</c:v>
                </c:pt>
                <c:pt idx="2">
                  <c:v>1998-99</c:v>
                </c:pt>
                <c:pt idx="3">
                  <c:v>2003-04</c:v>
                </c:pt>
                <c:pt idx="4">
                  <c:v>2009-10</c:v>
                </c:pt>
              </c:strCache>
            </c:strRef>
          </c:cat>
          <c:val>
            <c:numRef>
              <c:f>Sheet1!$I$14:$M$14</c:f>
              <c:numCache>
                <c:formatCode>#,##0.0</c:formatCode>
                <c:ptCount val="5"/>
                <c:pt idx="0">
                  <c:v>619.53164000000004</c:v>
                </c:pt>
                <c:pt idx="1">
                  <c:v>613.43273999999997</c:v>
                </c:pt>
                <c:pt idx="2">
                  <c:v>703.10050999999999</c:v>
                </c:pt>
                <c:pt idx="3">
                  <c:v>778.52602999999999</c:v>
                </c:pt>
                <c:pt idx="4">
                  <c:v>877.89283999999998</c:v>
                </c:pt>
              </c:numCache>
            </c:numRef>
          </c:val>
          <c:smooth val="0"/>
        </c:ser>
        <c:ser>
          <c:idx val="7"/>
          <c:order val="2"/>
          <c:tx>
            <c:strRef>
              <c:f>Sheet1!$H$13</c:f>
              <c:strCache>
                <c:ptCount val="1"/>
                <c:pt idx="0">
                  <c:v>8th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Sheet1!$I$5:$M$5</c:f>
              <c:strCache>
                <c:ptCount val="5"/>
                <c:pt idx="0">
                  <c:v>1988-89</c:v>
                </c:pt>
                <c:pt idx="1">
                  <c:v>1993-94</c:v>
                </c:pt>
                <c:pt idx="2">
                  <c:v>1998-99</c:v>
                </c:pt>
                <c:pt idx="3">
                  <c:v>2003-04</c:v>
                </c:pt>
                <c:pt idx="4">
                  <c:v>2009-10</c:v>
                </c:pt>
              </c:strCache>
            </c:strRef>
          </c:cat>
          <c:val>
            <c:numRef>
              <c:f>Sheet1!$I$13:$M$13</c:f>
              <c:numCache>
                <c:formatCode>#,##0.0</c:formatCode>
                <c:ptCount val="5"/>
                <c:pt idx="0">
                  <c:v>507.36493000000002</c:v>
                </c:pt>
                <c:pt idx="1">
                  <c:v>511.52001000000001</c:v>
                </c:pt>
                <c:pt idx="2">
                  <c:v>560.78895</c:v>
                </c:pt>
                <c:pt idx="3">
                  <c:v>630.21096999999997</c:v>
                </c:pt>
                <c:pt idx="4">
                  <c:v>701.07363999999995</c:v>
                </c:pt>
              </c:numCache>
            </c:numRef>
          </c:val>
          <c:smooth val="0"/>
        </c:ser>
        <c:ser>
          <c:idx val="6"/>
          <c:order val="3"/>
          <c:tx>
            <c:strRef>
              <c:f>Sheet1!$H$12</c:f>
              <c:strCache>
                <c:ptCount val="1"/>
                <c:pt idx="0">
                  <c:v>7th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Sheet1!$I$5:$M$5</c:f>
              <c:strCache>
                <c:ptCount val="5"/>
                <c:pt idx="0">
                  <c:v>1988-89</c:v>
                </c:pt>
                <c:pt idx="1">
                  <c:v>1993-94</c:v>
                </c:pt>
                <c:pt idx="2">
                  <c:v>1998-99</c:v>
                </c:pt>
                <c:pt idx="3">
                  <c:v>2003-04</c:v>
                </c:pt>
                <c:pt idx="4">
                  <c:v>2009-10</c:v>
                </c:pt>
              </c:strCache>
            </c:strRef>
          </c:cat>
          <c:val>
            <c:numRef>
              <c:f>Sheet1!$I$12:$M$12</c:f>
              <c:numCache>
                <c:formatCode>#,##0.0</c:formatCode>
                <c:ptCount val="5"/>
                <c:pt idx="0">
                  <c:v>431.11538000000002</c:v>
                </c:pt>
                <c:pt idx="1">
                  <c:v>423.75249000000002</c:v>
                </c:pt>
                <c:pt idx="2">
                  <c:v>464.67603000000003</c:v>
                </c:pt>
                <c:pt idx="3">
                  <c:v>523.19475999999997</c:v>
                </c:pt>
                <c:pt idx="4">
                  <c:v>596.52734999999996</c:v>
                </c:pt>
              </c:numCache>
            </c:numRef>
          </c:val>
          <c:smooth val="0"/>
        </c:ser>
        <c:ser>
          <c:idx val="5"/>
          <c:order val="4"/>
          <c:tx>
            <c:strRef>
              <c:f>Sheet1!$H$11</c:f>
              <c:strCache>
                <c:ptCount val="1"/>
                <c:pt idx="0">
                  <c:v>6th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Sheet1!$I$5:$M$5</c:f>
              <c:strCache>
                <c:ptCount val="5"/>
                <c:pt idx="0">
                  <c:v>1988-89</c:v>
                </c:pt>
                <c:pt idx="1">
                  <c:v>1993-94</c:v>
                </c:pt>
                <c:pt idx="2">
                  <c:v>1998-99</c:v>
                </c:pt>
                <c:pt idx="3">
                  <c:v>2003-04</c:v>
                </c:pt>
                <c:pt idx="4">
                  <c:v>2009-10</c:v>
                </c:pt>
              </c:strCache>
            </c:strRef>
          </c:cat>
          <c:val>
            <c:numRef>
              <c:f>Sheet1!$I$11:$M$11</c:f>
              <c:numCache>
                <c:formatCode>#,##0.0</c:formatCode>
                <c:ptCount val="5"/>
                <c:pt idx="0">
                  <c:v>357.98545000000001</c:v>
                </c:pt>
                <c:pt idx="1">
                  <c:v>344.82087000000001</c:v>
                </c:pt>
                <c:pt idx="2">
                  <c:v>383.05914999999999</c:v>
                </c:pt>
                <c:pt idx="3">
                  <c:v>434.76488999999998</c:v>
                </c:pt>
                <c:pt idx="4">
                  <c:v>497.34095000000002</c:v>
                </c:pt>
              </c:numCache>
            </c:numRef>
          </c:val>
          <c:smooth val="0"/>
        </c:ser>
        <c:ser>
          <c:idx val="4"/>
          <c:order val="5"/>
          <c:tx>
            <c:strRef>
              <c:f>Sheet1!$H$10</c:f>
              <c:strCache>
                <c:ptCount val="1"/>
                <c:pt idx="0">
                  <c:v>5th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Sheet1!$I$5:$M$5</c:f>
              <c:strCache>
                <c:ptCount val="5"/>
                <c:pt idx="0">
                  <c:v>1988-89</c:v>
                </c:pt>
                <c:pt idx="1">
                  <c:v>1993-94</c:v>
                </c:pt>
                <c:pt idx="2">
                  <c:v>1998-99</c:v>
                </c:pt>
                <c:pt idx="3">
                  <c:v>2003-04</c:v>
                </c:pt>
                <c:pt idx="4">
                  <c:v>2009-10</c:v>
                </c:pt>
              </c:strCache>
            </c:strRef>
          </c:cat>
          <c:val>
            <c:numRef>
              <c:f>Sheet1!$I$10:$M$10</c:f>
              <c:numCache>
                <c:formatCode>#,##0.0</c:formatCode>
                <c:ptCount val="5"/>
                <c:pt idx="0">
                  <c:v>282.49986999999999</c:v>
                </c:pt>
                <c:pt idx="1">
                  <c:v>270.47073</c:v>
                </c:pt>
                <c:pt idx="2">
                  <c:v>306.99489</c:v>
                </c:pt>
                <c:pt idx="3">
                  <c:v>350.77811000000003</c:v>
                </c:pt>
                <c:pt idx="4">
                  <c:v>413.94801999999999</c:v>
                </c:pt>
              </c:numCache>
            </c:numRef>
          </c:val>
          <c:smooth val="0"/>
        </c:ser>
        <c:ser>
          <c:idx val="3"/>
          <c:order val="6"/>
          <c:tx>
            <c:strRef>
              <c:f>Sheet1!$H$9</c:f>
              <c:strCache>
                <c:ptCount val="1"/>
                <c:pt idx="0">
                  <c:v>4th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Sheet1!$I$5:$M$5</c:f>
              <c:strCache>
                <c:ptCount val="5"/>
                <c:pt idx="0">
                  <c:v>1988-89</c:v>
                </c:pt>
                <c:pt idx="1">
                  <c:v>1993-94</c:v>
                </c:pt>
                <c:pt idx="2">
                  <c:v>1998-99</c:v>
                </c:pt>
                <c:pt idx="3">
                  <c:v>2003-04</c:v>
                </c:pt>
                <c:pt idx="4">
                  <c:v>2009-10</c:v>
                </c:pt>
              </c:strCache>
            </c:strRef>
          </c:cat>
          <c:val>
            <c:numRef>
              <c:f>Sheet1!$I$9:$M$9</c:f>
              <c:numCache>
                <c:formatCode>#,##0.0</c:formatCode>
                <c:ptCount val="5"/>
                <c:pt idx="0">
                  <c:v>211.07271</c:v>
                </c:pt>
                <c:pt idx="1">
                  <c:v>197.56558999999999</c:v>
                </c:pt>
                <c:pt idx="2">
                  <c:v>231.24250000000001</c:v>
                </c:pt>
                <c:pt idx="3">
                  <c:v>265.39172000000002</c:v>
                </c:pt>
                <c:pt idx="4">
                  <c:v>328.54818999999998</c:v>
                </c:pt>
              </c:numCache>
            </c:numRef>
          </c:val>
          <c:smooth val="0"/>
        </c:ser>
        <c:ser>
          <c:idx val="2"/>
          <c:order val="7"/>
          <c:tx>
            <c:strRef>
              <c:f>Sheet1!$H$8</c:f>
              <c:strCache>
                <c:ptCount val="1"/>
                <c:pt idx="0">
                  <c:v>3rd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Sheet1!$I$5:$M$5</c:f>
              <c:strCache>
                <c:ptCount val="5"/>
                <c:pt idx="0">
                  <c:v>1988-89</c:v>
                </c:pt>
                <c:pt idx="1">
                  <c:v>1993-94</c:v>
                </c:pt>
                <c:pt idx="2">
                  <c:v>1998-99</c:v>
                </c:pt>
                <c:pt idx="3">
                  <c:v>2003-04</c:v>
                </c:pt>
                <c:pt idx="4">
                  <c:v>2009-10</c:v>
                </c:pt>
              </c:strCache>
            </c:strRef>
          </c:cat>
          <c:val>
            <c:numRef>
              <c:f>Sheet1!$I$8:$M$8</c:f>
              <c:numCache>
                <c:formatCode>#,##0.0</c:formatCode>
                <c:ptCount val="5"/>
                <c:pt idx="0">
                  <c:v>149.09708000000001</c:v>
                </c:pt>
                <c:pt idx="1">
                  <c:v>138.69355999999999</c:v>
                </c:pt>
                <c:pt idx="2">
                  <c:v>159.89877999999999</c:v>
                </c:pt>
                <c:pt idx="3">
                  <c:v>182.45003</c:v>
                </c:pt>
                <c:pt idx="4">
                  <c:v>237.37654000000001</c:v>
                </c:pt>
              </c:numCache>
            </c:numRef>
          </c:val>
          <c:smooth val="0"/>
        </c:ser>
        <c:ser>
          <c:idx val="1"/>
          <c:order val="8"/>
          <c:tx>
            <c:strRef>
              <c:f>Sheet1!$H$7</c:f>
              <c:strCache>
                <c:ptCount val="1"/>
                <c:pt idx="0">
                  <c:v>2nd decile</c:v>
                </c:pt>
              </c:strCache>
            </c:strRef>
          </c:tx>
          <c:spPr>
            <a:ln w="12700" cap="rnd" cmpd="sng" algn="ctr">
              <a:solidFill>
                <a:sysClr val="windowText" lastClr="000000">
                  <a:lumMod val="100000"/>
                </a:sysClr>
              </a:solidFill>
              <a:prstDash val="sysDash"/>
              <a:round/>
              <a:headEnd type="none" w="med" len="med"/>
              <a:tailEnd type="none" w="med" len="med"/>
            </a:ln>
          </c:spPr>
          <c:marker>
            <c:symbol val="none"/>
          </c:marker>
          <c:cat>
            <c:strRef>
              <c:f>Sheet1!$I$5:$M$5</c:f>
              <c:strCache>
                <c:ptCount val="5"/>
                <c:pt idx="0">
                  <c:v>1988-89</c:v>
                </c:pt>
                <c:pt idx="1">
                  <c:v>1993-94</c:v>
                </c:pt>
                <c:pt idx="2">
                  <c:v>1998-99</c:v>
                </c:pt>
                <c:pt idx="3">
                  <c:v>2003-04</c:v>
                </c:pt>
                <c:pt idx="4">
                  <c:v>2009-10</c:v>
                </c:pt>
              </c:strCache>
            </c:strRef>
          </c:cat>
          <c:val>
            <c:numRef>
              <c:f>Sheet1!$I$7:$M$7</c:f>
              <c:numCache>
                <c:formatCode>#,##0.0</c:formatCode>
                <c:ptCount val="5"/>
                <c:pt idx="0">
                  <c:v>93.095952999999994</c:v>
                </c:pt>
                <c:pt idx="1">
                  <c:v>85.777725000000004</c:v>
                </c:pt>
                <c:pt idx="2">
                  <c:v>103.46683</c:v>
                </c:pt>
                <c:pt idx="3">
                  <c:v>119.99160000000001</c:v>
                </c:pt>
                <c:pt idx="4">
                  <c:v>146.39950999999999</c:v>
                </c:pt>
              </c:numCache>
            </c:numRef>
          </c:val>
          <c:smooth val="0"/>
        </c:ser>
        <c:ser>
          <c:idx val="0"/>
          <c:order val="9"/>
          <c:tx>
            <c:strRef>
              <c:f>Sheet1!$H$6</c:f>
              <c:strCache>
                <c:ptCount val="1"/>
                <c:pt idx="0">
                  <c:v>1st decile</c:v>
                </c:pt>
              </c:strCache>
            </c:strRef>
          </c:tx>
          <c:spPr>
            <a:ln>
              <a:solidFill>
                <a:srgbClr val="C00000"/>
              </a:solidFill>
            </a:ln>
          </c:spPr>
          <c:marker>
            <c:symbol val="none"/>
          </c:marker>
          <c:cat>
            <c:strRef>
              <c:f>Sheet1!$I$5:$M$5</c:f>
              <c:strCache>
                <c:ptCount val="5"/>
                <c:pt idx="0">
                  <c:v>1988-89</c:v>
                </c:pt>
                <c:pt idx="1">
                  <c:v>1993-94</c:v>
                </c:pt>
                <c:pt idx="2">
                  <c:v>1998-99</c:v>
                </c:pt>
                <c:pt idx="3">
                  <c:v>2003-04</c:v>
                </c:pt>
                <c:pt idx="4">
                  <c:v>2009-10</c:v>
                </c:pt>
              </c:strCache>
            </c:strRef>
          </c:cat>
          <c:val>
            <c:numRef>
              <c:f>Sheet1!$I$6:$M$6</c:f>
              <c:numCache>
                <c:formatCode>#,##0.0</c:formatCode>
                <c:ptCount val="5"/>
                <c:pt idx="0">
                  <c:v>42.929608999999999</c:v>
                </c:pt>
                <c:pt idx="1">
                  <c:v>35.458754999999996</c:v>
                </c:pt>
                <c:pt idx="2">
                  <c:v>46.472551000000003</c:v>
                </c:pt>
                <c:pt idx="3">
                  <c:v>55.429529000000002</c:v>
                </c:pt>
                <c:pt idx="4">
                  <c:v>72.660505999999998</c:v>
                </c:pt>
              </c:numCache>
            </c:numRef>
          </c:val>
          <c:smooth val="0"/>
        </c:ser>
        <c:dLbls>
          <c:showLegendKey val="0"/>
          <c:showVal val="0"/>
          <c:showCatName val="0"/>
          <c:showSerName val="0"/>
          <c:showPercent val="0"/>
          <c:showBubbleSize val="0"/>
        </c:dLbls>
        <c:marker val="1"/>
        <c:smooth val="0"/>
        <c:axId val="191966208"/>
        <c:axId val="191972096"/>
      </c:lineChart>
      <c:catAx>
        <c:axId val="191966208"/>
        <c:scaling>
          <c:orientation val="minMax"/>
        </c:scaling>
        <c:delete val="0"/>
        <c:axPos val="b"/>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191972096"/>
        <c:crosses val="autoZero"/>
        <c:auto val="1"/>
        <c:lblAlgn val="ctr"/>
        <c:lblOffset val="100"/>
        <c:noMultiLvlLbl val="0"/>
      </c:catAx>
      <c:valAx>
        <c:axId val="191972096"/>
        <c:scaling>
          <c:orientation val="minMax"/>
        </c:scaling>
        <c:delete val="0"/>
        <c:axPos val="l"/>
        <c:majorGridlines/>
        <c:numFmt formatCode="#,##0" sourceLinked="0"/>
        <c:majorTickMark val="out"/>
        <c:minorTickMark val="none"/>
        <c:tickLblPos val="nextTo"/>
        <c:txPr>
          <a:bodyPr/>
          <a:lstStyle/>
          <a:p>
            <a:pPr>
              <a:defRPr sz="900">
                <a:latin typeface="Arial" pitchFamily="34" charset="0"/>
                <a:cs typeface="Arial" pitchFamily="34" charset="0"/>
              </a:defRPr>
            </a:pPr>
            <a:endParaRPr lang="en-US"/>
          </a:p>
        </c:txPr>
        <c:crossAx val="191966208"/>
        <c:crosses val="autoZero"/>
        <c:crossBetween val="between"/>
      </c:valAx>
    </c:plotArea>
    <c:plotVisOnly val="1"/>
    <c:dispBlanksAs val="gap"/>
    <c:showDLblsOverMax val="0"/>
  </c:chart>
  <c:spPr>
    <a:ln>
      <a:noFill/>
    </a:ln>
  </c:spPr>
  <c:txPr>
    <a:bodyPr/>
    <a:lstStyle/>
    <a:p>
      <a:pPr>
        <a:defRPr sz="800"/>
      </a:pPr>
      <a:endParaRPr lang="en-US"/>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latin typeface="Arial" pitchFamily="34" charset="0"/>
                <a:cs typeface="Arial" pitchFamily="34" charset="0"/>
              </a:defRPr>
            </a:pPr>
            <a:r>
              <a:rPr lang="en-AU" sz="1000">
                <a:latin typeface="Arial" pitchFamily="34" charset="0"/>
                <a:cs typeface="Arial" pitchFamily="34" charset="0"/>
              </a:rPr>
              <a:t>% change PT worker income, 1988-89 to 2009-10</a:t>
            </a:r>
          </a:p>
        </c:rich>
      </c:tx>
      <c:layout>
        <c:manualLayout>
          <c:xMode val="edge"/>
          <c:yMode val="edge"/>
          <c:x val="0.22002020182784487"/>
          <c:y val="1.1906273812544023E-6"/>
        </c:manualLayout>
      </c:layout>
      <c:overlay val="0"/>
    </c:title>
    <c:autoTitleDeleted val="0"/>
    <c:plotArea>
      <c:layout>
        <c:manualLayout>
          <c:layoutTarget val="inner"/>
          <c:xMode val="edge"/>
          <c:yMode val="edge"/>
          <c:x val="0.12203833011439608"/>
          <c:y val="0.12710582296164594"/>
          <c:w val="0.87134663722590233"/>
          <c:h val="0.7091350982701965"/>
        </c:manualLayout>
      </c:layout>
      <c:barChart>
        <c:barDir val="col"/>
        <c:grouping val="clustered"/>
        <c:varyColors val="0"/>
        <c:ser>
          <c:idx val="0"/>
          <c:order val="0"/>
          <c:spPr>
            <a:solidFill>
              <a:srgbClr val="4F81BD">
                <a:lumMod val="75000"/>
              </a:srgbClr>
            </a:solidFill>
          </c:spPr>
          <c:invertIfNegative val="0"/>
          <c:cat>
            <c:numRef>
              <c:f>Sheet1!$H$6:$H$15</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Sheet1!$N$6:$N$15</c:f>
              <c:numCache>
                <c:formatCode>#,##0.0</c:formatCode>
                <c:ptCount val="10"/>
                <c:pt idx="0">
                  <c:v>69.254991351074267</c:v>
                </c:pt>
                <c:pt idx="1">
                  <c:v>57.256578059843271</c:v>
                </c:pt>
                <c:pt idx="2">
                  <c:v>59.209382236057202</c:v>
                </c:pt>
                <c:pt idx="3">
                  <c:v>55.656403899869375</c:v>
                </c:pt>
                <c:pt idx="4">
                  <c:v>46.530339996262654</c:v>
                </c:pt>
                <c:pt idx="5">
                  <c:v>38.927699435829027</c:v>
                </c:pt>
                <c:pt idx="6">
                  <c:v>38.368376001802559</c:v>
                </c:pt>
                <c:pt idx="7">
                  <c:v>38.179365294325713</c:v>
                </c:pt>
                <c:pt idx="8">
                  <c:v>41.702664290075631</c:v>
                </c:pt>
                <c:pt idx="9">
                  <c:v>54.417362198270773</c:v>
                </c:pt>
              </c:numCache>
            </c:numRef>
          </c:val>
        </c:ser>
        <c:dLbls>
          <c:showLegendKey val="0"/>
          <c:showVal val="0"/>
          <c:showCatName val="0"/>
          <c:showSerName val="0"/>
          <c:showPercent val="0"/>
          <c:showBubbleSize val="0"/>
        </c:dLbls>
        <c:gapWidth val="150"/>
        <c:axId val="192005632"/>
        <c:axId val="192007552"/>
      </c:barChart>
      <c:catAx>
        <c:axId val="192005632"/>
        <c:scaling>
          <c:orientation val="minMax"/>
        </c:scaling>
        <c:delete val="0"/>
        <c:axPos val="b"/>
        <c:title>
          <c:tx>
            <c:rich>
              <a:bodyPr/>
              <a:lstStyle/>
              <a:p>
                <a:pPr>
                  <a:defRPr/>
                </a:pPr>
                <a:r>
                  <a:rPr lang="en-AU" b="0"/>
                  <a:t>Decile</a:t>
                </a:r>
              </a:p>
            </c:rich>
          </c:tx>
          <c:overlay val="0"/>
        </c:title>
        <c:numFmt formatCode="#,##0" sourceLinked="0"/>
        <c:majorTickMark val="out"/>
        <c:minorTickMark val="none"/>
        <c:tickLblPos val="nextTo"/>
        <c:txPr>
          <a:bodyPr/>
          <a:lstStyle/>
          <a:p>
            <a:pPr>
              <a:defRPr sz="900"/>
            </a:pPr>
            <a:endParaRPr lang="en-US"/>
          </a:p>
        </c:txPr>
        <c:crossAx val="192007552"/>
        <c:crosses val="autoZero"/>
        <c:auto val="1"/>
        <c:lblAlgn val="ctr"/>
        <c:lblOffset val="100"/>
        <c:noMultiLvlLbl val="0"/>
      </c:catAx>
      <c:valAx>
        <c:axId val="192007552"/>
        <c:scaling>
          <c:orientation val="minMax"/>
          <c:max val="100"/>
        </c:scaling>
        <c:delete val="0"/>
        <c:axPos val="l"/>
        <c:majorGridlines/>
        <c:numFmt formatCode="#,##0" sourceLinked="0"/>
        <c:majorTickMark val="out"/>
        <c:minorTickMark val="none"/>
        <c:tickLblPos val="nextTo"/>
        <c:spPr>
          <a:ln>
            <a:solidFill>
              <a:schemeClr val="tx1"/>
            </a:solidFill>
          </a:ln>
        </c:spPr>
        <c:txPr>
          <a:bodyPr/>
          <a:lstStyle/>
          <a:p>
            <a:pPr>
              <a:defRPr sz="900"/>
            </a:pPr>
            <a:endParaRPr lang="en-US"/>
          </a:p>
        </c:txPr>
        <c:crossAx val="192005632"/>
        <c:crosses val="autoZero"/>
        <c:crossBetween val="between"/>
        <c:majorUnit val="20"/>
      </c:valAx>
      <c:spPr>
        <a:noFill/>
        <a:ln>
          <a:noFill/>
        </a:ln>
      </c:spPr>
    </c:plotArea>
    <c:plotVisOnly val="1"/>
    <c:dispBlanksAs val="gap"/>
    <c:showDLblsOverMax val="0"/>
  </c:chart>
  <c:spPr>
    <a:ln>
      <a:noFill/>
    </a:ln>
  </c:spPr>
  <c:txPr>
    <a:bodyPr/>
    <a:lstStyle/>
    <a:p>
      <a:pPr>
        <a:defRPr baseline="0">
          <a:latin typeface="Arial" pitchFamily="34" charset="0"/>
        </a:defRPr>
      </a:pPr>
      <a:endParaRPr lang="en-US"/>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0.40065</cdr:x>
      <cdr:y>0.15497</cdr:y>
    </cdr:from>
    <cdr:to>
      <cdr:x>0.70682</cdr:x>
      <cdr:y>0.24946</cdr:y>
    </cdr:to>
    <cdr:sp macro="" textlink="">
      <cdr:nvSpPr>
        <cdr:cNvPr id="2" name="TextBox 1"/>
        <cdr:cNvSpPr txBox="1"/>
      </cdr:nvSpPr>
      <cdr:spPr>
        <a:xfrm xmlns:a="http://schemas.openxmlformats.org/drawingml/2006/main">
          <a:off x="1009650" y="390525"/>
          <a:ext cx="771525" cy="2381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a:latin typeface="Arial" pitchFamily="34" charset="0"/>
              <a:cs typeface="Arial" pitchFamily="34" charset="0"/>
            </a:rPr>
            <a:t>10th</a:t>
          </a:r>
          <a:r>
            <a:rPr lang="en-AU" sz="800"/>
            <a:t> </a:t>
          </a:r>
          <a:r>
            <a:rPr lang="en-AU" sz="900">
              <a:latin typeface="Arial" pitchFamily="34" charset="0"/>
              <a:cs typeface="Arial" pitchFamily="34" charset="0"/>
            </a:rPr>
            <a:t>percentile</a:t>
          </a:r>
        </a:p>
      </cdr:txBody>
    </cdr:sp>
  </cdr:relSizeAnchor>
  <cdr:relSizeAnchor xmlns:cdr="http://schemas.openxmlformats.org/drawingml/2006/chartDrawing">
    <cdr:from>
      <cdr:x>0.68918</cdr:x>
      <cdr:y>0.73453</cdr:y>
    </cdr:from>
    <cdr:to>
      <cdr:x>0.99534</cdr:x>
      <cdr:y>0.80131</cdr:y>
    </cdr:to>
    <cdr:sp macro="" textlink="">
      <cdr:nvSpPr>
        <cdr:cNvPr id="3" name="TextBox 1"/>
        <cdr:cNvSpPr txBox="1"/>
      </cdr:nvSpPr>
      <cdr:spPr>
        <a:xfrm xmlns:a="http://schemas.openxmlformats.org/drawingml/2006/main">
          <a:off x="1736725" y="1851025"/>
          <a:ext cx="771525" cy="168275"/>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1st percentile</a:t>
          </a:r>
        </a:p>
      </cdr:txBody>
    </cdr:sp>
  </cdr:relSizeAnchor>
  <cdr:relSizeAnchor xmlns:cdr="http://schemas.openxmlformats.org/drawingml/2006/chartDrawing">
    <cdr:from>
      <cdr:x>0.60098</cdr:x>
      <cdr:y>0.22679</cdr:y>
    </cdr:from>
    <cdr:to>
      <cdr:x>0.71815</cdr:x>
      <cdr:y>0.24568</cdr:y>
    </cdr:to>
    <cdr:cxnSp macro="">
      <cdr:nvCxnSpPr>
        <cdr:cNvPr id="5" name="Straight Connector 4"/>
        <cdr:cNvCxnSpPr/>
      </cdr:nvCxnSpPr>
      <cdr:spPr>
        <a:xfrm xmlns:a="http://schemas.openxmlformats.org/drawingml/2006/main">
          <a:off x="1514475" y="571500"/>
          <a:ext cx="295275" cy="47625"/>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0.73453</cdr:x>
      <cdr:y>0.79753</cdr:y>
    </cdr:from>
    <cdr:to>
      <cdr:x>0.75217</cdr:x>
      <cdr:y>0.81769</cdr:y>
    </cdr:to>
    <cdr:cxnSp macro="">
      <cdr:nvCxnSpPr>
        <cdr:cNvPr id="6" name="Straight Connector 5"/>
        <cdr:cNvCxnSpPr/>
      </cdr:nvCxnSpPr>
      <cdr:spPr>
        <a:xfrm xmlns:a="http://schemas.openxmlformats.org/drawingml/2006/main" flipV="1">
          <a:off x="1851025" y="2009775"/>
          <a:ext cx="44450" cy="5080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0.xml><?xml version="1.0" encoding="utf-8"?>
<c:userShapes xmlns:c="http://schemas.openxmlformats.org/drawingml/2006/chart">
  <cdr:relSizeAnchor xmlns:cdr="http://schemas.openxmlformats.org/drawingml/2006/chartDrawing">
    <cdr:from>
      <cdr:x>0.48507</cdr:x>
      <cdr:y>0.43216</cdr:y>
    </cdr:from>
    <cdr:to>
      <cdr:x>0.85927</cdr:x>
      <cdr:y>0.49263</cdr:y>
    </cdr:to>
    <cdr:sp macro="" textlink="">
      <cdr:nvSpPr>
        <cdr:cNvPr id="2" name="TextBox 1"/>
        <cdr:cNvSpPr txBox="1"/>
      </cdr:nvSpPr>
      <cdr:spPr>
        <a:xfrm xmlns:a="http://schemas.openxmlformats.org/drawingml/2006/main">
          <a:off x="1222375" y="1089032"/>
          <a:ext cx="942984" cy="152385"/>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Market </a:t>
          </a:r>
          <a:r>
            <a:rPr lang="en-AU" sz="900" baseline="0">
              <a:latin typeface="Arial" pitchFamily="34" charset="0"/>
              <a:cs typeface="Arial" pitchFamily="34" charset="0"/>
            </a:rPr>
            <a:t>income</a:t>
          </a:r>
          <a:endParaRPr lang="en-AU" sz="900">
            <a:latin typeface="Arial" pitchFamily="34" charset="0"/>
            <a:cs typeface="Arial" pitchFamily="34" charset="0"/>
          </a:endParaRPr>
        </a:p>
      </cdr:txBody>
    </cdr:sp>
  </cdr:relSizeAnchor>
  <cdr:relSizeAnchor xmlns:cdr="http://schemas.openxmlformats.org/drawingml/2006/chartDrawing">
    <cdr:from>
      <cdr:x>0.51531</cdr:x>
      <cdr:y>0.69295</cdr:y>
    </cdr:from>
    <cdr:to>
      <cdr:x>0.8895</cdr:x>
      <cdr:y>0.75343</cdr:y>
    </cdr:to>
    <cdr:sp macro="" textlink="">
      <cdr:nvSpPr>
        <cdr:cNvPr id="3" name="TextBox 1"/>
        <cdr:cNvSpPr txBox="1"/>
      </cdr:nvSpPr>
      <cdr:spPr>
        <a:xfrm xmlns:a="http://schemas.openxmlformats.org/drawingml/2006/main">
          <a:off x="1298581" y="1746245"/>
          <a:ext cx="942958" cy="152409"/>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Labour income</a:t>
          </a:r>
        </a:p>
      </cdr:txBody>
    </cdr:sp>
  </cdr:relSizeAnchor>
  <cdr:relSizeAnchor xmlns:cdr="http://schemas.openxmlformats.org/drawingml/2006/chartDrawing">
    <cdr:from>
      <cdr:x>0.26206</cdr:x>
      <cdr:y>0.08442</cdr:y>
    </cdr:from>
    <cdr:to>
      <cdr:x>0.70304</cdr:x>
      <cdr:y>0.15497</cdr:y>
    </cdr:to>
    <cdr:sp macro="" textlink="">
      <cdr:nvSpPr>
        <cdr:cNvPr id="4" name="TextBox 1"/>
        <cdr:cNvSpPr txBox="1"/>
      </cdr:nvSpPr>
      <cdr:spPr>
        <a:xfrm xmlns:a="http://schemas.openxmlformats.org/drawingml/2006/main">
          <a:off x="660394" y="212737"/>
          <a:ext cx="1111255" cy="177788"/>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Capital</a:t>
          </a:r>
          <a:r>
            <a:rPr lang="en-AU" sz="900" baseline="0">
              <a:latin typeface="Arial" pitchFamily="34" charset="0"/>
              <a:cs typeface="Arial" pitchFamily="34" charset="0"/>
            </a:rPr>
            <a:t> &amp; other</a:t>
          </a:r>
          <a:r>
            <a:rPr lang="en-AU" sz="900">
              <a:latin typeface="Arial" pitchFamily="34" charset="0"/>
              <a:cs typeface="Arial" pitchFamily="34" charset="0"/>
            </a:rPr>
            <a:t> income</a:t>
          </a:r>
        </a:p>
      </cdr:txBody>
    </cdr:sp>
  </cdr:relSizeAnchor>
  <cdr:relSizeAnchor xmlns:cdr="http://schemas.openxmlformats.org/drawingml/2006/chartDrawing">
    <cdr:from>
      <cdr:x>0.54909</cdr:x>
      <cdr:y>0.1641</cdr:y>
    </cdr:from>
    <cdr:to>
      <cdr:x>0.64691</cdr:x>
      <cdr:y>0.23668</cdr:y>
    </cdr:to>
    <cdr:cxnSp macro="">
      <cdr:nvCxnSpPr>
        <cdr:cNvPr id="6" name="Straight Connector 5"/>
        <cdr:cNvCxnSpPr/>
      </cdr:nvCxnSpPr>
      <cdr:spPr>
        <a:xfrm xmlns:a="http://schemas.openxmlformats.org/drawingml/2006/main">
          <a:off x="1383527" y="413468"/>
          <a:ext cx="246491" cy="18288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0.65639</cdr:x>
      <cdr:y>0.50525</cdr:y>
    </cdr:from>
    <cdr:to>
      <cdr:x>0.69425</cdr:x>
      <cdr:y>0.5838</cdr:y>
    </cdr:to>
    <cdr:cxnSp macro="">
      <cdr:nvCxnSpPr>
        <cdr:cNvPr id="7" name="Straight Connector 6"/>
        <cdr:cNvCxnSpPr/>
      </cdr:nvCxnSpPr>
      <cdr:spPr>
        <a:xfrm xmlns:a="http://schemas.openxmlformats.org/drawingml/2006/main">
          <a:off x="1653897" y="1273075"/>
          <a:ext cx="95391" cy="197916"/>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0.67722</cdr:x>
      <cdr:y>0.64946</cdr:y>
    </cdr:from>
    <cdr:to>
      <cdr:x>0.7062</cdr:x>
      <cdr:y>0.70868</cdr:y>
    </cdr:to>
    <cdr:cxnSp macro="">
      <cdr:nvCxnSpPr>
        <cdr:cNvPr id="8" name="Straight Connector 7"/>
        <cdr:cNvCxnSpPr/>
      </cdr:nvCxnSpPr>
      <cdr:spPr>
        <a:xfrm xmlns:a="http://schemas.openxmlformats.org/drawingml/2006/main">
          <a:off x="1706367" y="1636439"/>
          <a:ext cx="73020" cy="149215"/>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1.xml><?xml version="1.0" encoding="utf-8"?>
<c:userShapes xmlns:c="http://schemas.openxmlformats.org/drawingml/2006/chart">
  <cdr:relSizeAnchor xmlns:cdr="http://schemas.openxmlformats.org/drawingml/2006/chartDrawing">
    <cdr:from>
      <cdr:x>0.7189</cdr:x>
      <cdr:y>0.42602</cdr:y>
    </cdr:from>
    <cdr:to>
      <cdr:x>0.9714</cdr:x>
      <cdr:y>0.58065</cdr:y>
    </cdr:to>
    <cdr:sp macro="" textlink="">
      <cdr:nvSpPr>
        <cdr:cNvPr id="2" name="TextBox 1"/>
        <cdr:cNvSpPr txBox="1"/>
      </cdr:nvSpPr>
      <cdr:spPr>
        <a:xfrm xmlns:a="http://schemas.openxmlformats.org/drawingml/2006/main">
          <a:off x="1811398" y="1073426"/>
          <a:ext cx="636219" cy="389614"/>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none" rtlCol="0"/>
        <a:lstStyle xmlns:a="http://schemas.openxmlformats.org/drawingml/2006/main"/>
        <a:p xmlns:a="http://schemas.openxmlformats.org/drawingml/2006/main">
          <a:r>
            <a:rPr lang="en-AU" sz="900">
              <a:latin typeface="Arial" pitchFamily="34" charset="0"/>
              <a:cs typeface="Arial" pitchFamily="34" charset="0"/>
            </a:rPr>
            <a:t>95th </a:t>
          </a:r>
        </a:p>
        <a:p xmlns:a="http://schemas.openxmlformats.org/drawingml/2006/main">
          <a:r>
            <a:rPr lang="en-AU" sz="900">
              <a:latin typeface="Arial" pitchFamily="34" charset="0"/>
              <a:cs typeface="Arial" pitchFamily="34" charset="0"/>
            </a:rPr>
            <a:t>percentile</a:t>
          </a:r>
        </a:p>
      </cdr:txBody>
    </cdr:sp>
  </cdr:relSizeAnchor>
  <cdr:relSizeAnchor xmlns:cdr="http://schemas.openxmlformats.org/drawingml/2006/chartDrawing">
    <cdr:from>
      <cdr:x>0.52358</cdr:x>
      <cdr:y>0.76262</cdr:y>
    </cdr:from>
    <cdr:to>
      <cdr:x>0.69367</cdr:x>
      <cdr:y>0.8939</cdr:y>
    </cdr:to>
    <cdr:sp macro="" textlink="">
      <cdr:nvSpPr>
        <cdr:cNvPr id="4" name="TextBox 1"/>
        <cdr:cNvSpPr txBox="1"/>
      </cdr:nvSpPr>
      <cdr:spPr>
        <a:xfrm xmlns:a="http://schemas.openxmlformats.org/drawingml/2006/main">
          <a:off x="1461211" y="1922031"/>
          <a:ext cx="474691" cy="330867"/>
        </a:xfrm>
        <a:prstGeom xmlns:a="http://schemas.openxmlformats.org/drawingml/2006/main" prst="rect">
          <a:avLst/>
        </a:prstGeom>
        <a:noFill xmlns:a="http://schemas.openxmlformats.org/drawingml/2006/main"/>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60th </a:t>
          </a:r>
        </a:p>
        <a:p xmlns:a="http://schemas.openxmlformats.org/drawingml/2006/main">
          <a:r>
            <a:rPr lang="en-AU" sz="900">
              <a:latin typeface="Arial" pitchFamily="34" charset="0"/>
              <a:cs typeface="Arial" pitchFamily="34" charset="0"/>
            </a:rPr>
            <a:t>percentile</a:t>
          </a:r>
        </a:p>
      </cdr:txBody>
    </cdr:sp>
  </cdr:relSizeAnchor>
  <cdr:relSizeAnchor xmlns:cdr="http://schemas.openxmlformats.org/drawingml/2006/chartDrawing">
    <cdr:from>
      <cdr:x>0.76733</cdr:x>
      <cdr:y>0.62379</cdr:y>
    </cdr:from>
    <cdr:to>
      <cdr:x>0.9465</cdr:x>
      <cdr:y>0.74523</cdr:y>
    </cdr:to>
    <cdr:sp macro="" textlink="">
      <cdr:nvSpPr>
        <cdr:cNvPr id="5" name="TextBox 1"/>
        <cdr:cNvSpPr txBox="1"/>
      </cdr:nvSpPr>
      <cdr:spPr>
        <a:xfrm xmlns:a="http://schemas.openxmlformats.org/drawingml/2006/main">
          <a:off x="1933415" y="1571762"/>
          <a:ext cx="451451" cy="305990"/>
        </a:xfrm>
        <a:prstGeom xmlns:a="http://schemas.openxmlformats.org/drawingml/2006/main" prst="rect">
          <a:avLst/>
        </a:prstGeom>
        <a:noFill xmlns:a="http://schemas.openxmlformats.org/drawingml/2006/main"/>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90th </a:t>
          </a:r>
        </a:p>
        <a:p xmlns:a="http://schemas.openxmlformats.org/drawingml/2006/main">
          <a:r>
            <a:rPr lang="en-AU" sz="900">
              <a:latin typeface="Arial" pitchFamily="34" charset="0"/>
              <a:cs typeface="Arial" pitchFamily="34" charset="0"/>
            </a:rPr>
            <a:t>percentile</a:t>
          </a:r>
        </a:p>
      </cdr:txBody>
    </cdr:sp>
  </cdr:relSizeAnchor>
  <cdr:relSizeAnchor xmlns:cdr="http://schemas.openxmlformats.org/drawingml/2006/chartDrawing">
    <cdr:from>
      <cdr:x>0.49354</cdr:x>
      <cdr:y>0.13048</cdr:y>
    </cdr:from>
    <cdr:to>
      <cdr:x>0.73657</cdr:x>
      <cdr:y>0.26961</cdr:y>
    </cdr:to>
    <cdr:sp macro="" textlink="">
      <cdr:nvSpPr>
        <cdr:cNvPr id="6" name="TextBox 1"/>
        <cdr:cNvSpPr txBox="1"/>
      </cdr:nvSpPr>
      <cdr:spPr>
        <a:xfrm xmlns:a="http://schemas.openxmlformats.org/drawingml/2006/main">
          <a:off x="1243567" y="328764"/>
          <a:ext cx="612358" cy="350563"/>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99</a:t>
          </a:r>
          <a:r>
            <a:rPr lang="en-AU" sz="900" baseline="0">
              <a:latin typeface="Arial" pitchFamily="34" charset="0"/>
              <a:cs typeface="Arial" pitchFamily="34" charset="0"/>
            </a:rPr>
            <a:t>th</a:t>
          </a:r>
        </a:p>
        <a:p xmlns:a="http://schemas.openxmlformats.org/drawingml/2006/main">
          <a:r>
            <a:rPr lang="en-AU" sz="900" baseline="0">
              <a:latin typeface="Arial" pitchFamily="34" charset="0"/>
              <a:cs typeface="Arial" pitchFamily="34" charset="0"/>
            </a:rPr>
            <a:t>percentile</a:t>
          </a:r>
          <a:endParaRPr lang="en-AU" sz="900">
            <a:latin typeface="Arial" pitchFamily="34" charset="0"/>
            <a:cs typeface="Arial" pitchFamily="34" charset="0"/>
          </a:endParaRPr>
        </a:p>
      </cdr:txBody>
    </cdr:sp>
  </cdr:relSizeAnchor>
  <cdr:relSizeAnchor xmlns:cdr="http://schemas.openxmlformats.org/drawingml/2006/chartDrawing">
    <cdr:from>
      <cdr:x>0.7133</cdr:x>
      <cdr:y>0.26836</cdr:y>
    </cdr:from>
    <cdr:to>
      <cdr:x>0.79208</cdr:x>
      <cdr:y>0.31557</cdr:y>
    </cdr:to>
    <cdr:cxnSp macro="">
      <cdr:nvCxnSpPr>
        <cdr:cNvPr id="8" name="Straight Connector 7"/>
        <cdr:cNvCxnSpPr/>
      </cdr:nvCxnSpPr>
      <cdr:spPr>
        <a:xfrm xmlns:a="http://schemas.openxmlformats.org/drawingml/2006/main">
          <a:off x="1797292" y="676181"/>
          <a:ext cx="198486" cy="118950"/>
        </a:xfrm>
        <a:prstGeom xmlns:a="http://schemas.openxmlformats.org/drawingml/2006/main" prst="line">
          <a:avLst/>
        </a:prstGeom>
        <a:ln xmlns:a="http://schemas.openxmlformats.org/drawingml/2006/main">
          <a:solidFill>
            <a:sysClr val="windowText" lastClr="0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0.73896</cdr:x>
      <cdr:y>0.5554</cdr:y>
    </cdr:from>
    <cdr:to>
      <cdr:x>0.78576</cdr:x>
      <cdr:y>0.66781</cdr:y>
    </cdr:to>
    <cdr:cxnSp macro="">
      <cdr:nvCxnSpPr>
        <cdr:cNvPr id="9" name="Straight Connector 8"/>
        <cdr:cNvCxnSpPr/>
      </cdr:nvCxnSpPr>
      <cdr:spPr>
        <a:xfrm xmlns:a="http://schemas.openxmlformats.org/drawingml/2006/main" flipH="1">
          <a:off x="1861935" y="1399430"/>
          <a:ext cx="117940" cy="283226"/>
        </a:xfrm>
        <a:prstGeom xmlns:a="http://schemas.openxmlformats.org/drawingml/2006/main" prst="line">
          <a:avLst/>
        </a:prstGeom>
        <a:ln xmlns:a="http://schemas.openxmlformats.org/drawingml/2006/main">
          <a:solidFill>
            <a:sysClr val="windowText" lastClr="0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0.71634</cdr:x>
      <cdr:y>0.72581</cdr:y>
    </cdr:from>
    <cdr:to>
      <cdr:x>0.78892</cdr:x>
      <cdr:y>0.76999</cdr:y>
    </cdr:to>
    <cdr:cxnSp macro="">
      <cdr:nvCxnSpPr>
        <cdr:cNvPr id="10" name="Straight Connector 9"/>
        <cdr:cNvCxnSpPr/>
      </cdr:nvCxnSpPr>
      <cdr:spPr>
        <a:xfrm xmlns:a="http://schemas.openxmlformats.org/drawingml/2006/main" flipH="1">
          <a:off x="1804947" y="1828800"/>
          <a:ext cx="182879" cy="111318"/>
        </a:xfrm>
        <a:prstGeom xmlns:a="http://schemas.openxmlformats.org/drawingml/2006/main" prst="line">
          <a:avLst/>
        </a:prstGeom>
        <a:ln xmlns:a="http://schemas.openxmlformats.org/drawingml/2006/main">
          <a:solidFill>
            <a:sysClr val="windowText" lastClr="0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0.7295</cdr:x>
      <cdr:y>0.84288</cdr:y>
    </cdr:from>
    <cdr:to>
      <cdr:x>0.79523</cdr:x>
      <cdr:y>0.8899</cdr:y>
    </cdr:to>
    <cdr:cxnSp macro="">
      <cdr:nvCxnSpPr>
        <cdr:cNvPr id="14" name="Straight Connector 13"/>
        <cdr:cNvCxnSpPr/>
      </cdr:nvCxnSpPr>
      <cdr:spPr>
        <a:xfrm xmlns:a="http://schemas.openxmlformats.org/drawingml/2006/main" flipH="1" flipV="1">
          <a:off x="1838107" y="2123788"/>
          <a:ext cx="165622" cy="118480"/>
        </a:xfrm>
        <a:prstGeom xmlns:a="http://schemas.openxmlformats.org/drawingml/2006/main" prst="line">
          <a:avLst/>
        </a:prstGeom>
        <a:ln xmlns:a="http://schemas.openxmlformats.org/drawingml/2006/main">
          <a:solidFill>
            <a:sysClr val="windowText" lastClr="0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2.xml><?xml version="1.0" encoding="utf-8"?>
<c:userShapes xmlns:c="http://schemas.openxmlformats.org/drawingml/2006/chart">
  <cdr:relSizeAnchor xmlns:cdr="http://schemas.openxmlformats.org/drawingml/2006/chartDrawing">
    <cdr:from>
      <cdr:x>0.81302</cdr:x>
      <cdr:y>0.3344</cdr:y>
    </cdr:from>
    <cdr:to>
      <cdr:x>1</cdr:x>
      <cdr:y>0.44484</cdr:y>
    </cdr:to>
    <cdr:sp macro="" textlink="">
      <cdr:nvSpPr>
        <cdr:cNvPr id="2" name="Text Box 2"/>
        <cdr:cNvSpPr txBox="1">
          <a:spLocks xmlns:a="http://schemas.openxmlformats.org/drawingml/2006/main" noChangeArrowheads="1"/>
        </cdr:cNvSpPr>
      </cdr:nvSpPr>
      <cdr:spPr bwMode="auto">
        <a:xfrm xmlns:a="http://schemas.openxmlformats.org/drawingml/2006/main">
          <a:off x="2178657" y="842783"/>
          <a:ext cx="500933" cy="278351"/>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n-AU" sz="900">
              <a:latin typeface="Arial" pitchFamily="34" charset="0"/>
              <a:cs typeface="Arial" pitchFamily="34" charset="0"/>
            </a:rPr>
            <a:t>GE(0</a:t>
          </a:r>
          <a:r>
            <a:rPr lang="en-AU"/>
            <a:t>)</a:t>
          </a:r>
        </a:p>
      </cdr:txBody>
    </cdr:sp>
  </cdr:relSizeAnchor>
  <cdr:relSizeAnchor xmlns:cdr="http://schemas.openxmlformats.org/drawingml/2006/chartDrawing">
    <cdr:from>
      <cdr:x>0.81025</cdr:x>
      <cdr:y>0.45744</cdr:y>
    </cdr:from>
    <cdr:to>
      <cdr:x>1</cdr:x>
      <cdr:y>0.57409</cdr:y>
    </cdr:to>
    <cdr:sp macro="" textlink="">
      <cdr:nvSpPr>
        <cdr:cNvPr id="3" name="Text Box 2"/>
        <cdr:cNvSpPr txBox="1">
          <a:spLocks xmlns:a="http://schemas.openxmlformats.org/drawingml/2006/main" noChangeArrowheads="1"/>
        </cdr:cNvSpPr>
      </cdr:nvSpPr>
      <cdr:spPr bwMode="auto">
        <a:xfrm xmlns:a="http://schemas.openxmlformats.org/drawingml/2006/main">
          <a:off x="2170706" y="1152884"/>
          <a:ext cx="508359" cy="29400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n-AU" sz="900">
              <a:latin typeface="Arial" pitchFamily="34" charset="0"/>
              <a:cs typeface="Arial" pitchFamily="34" charset="0"/>
            </a:rPr>
            <a:t>GE(2)</a:t>
          </a:r>
        </a:p>
      </cdr:txBody>
    </cdr:sp>
  </cdr:relSizeAnchor>
  <cdr:relSizeAnchor xmlns:cdr="http://schemas.openxmlformats.org/drawingml/2006/chartDrawing">
    <cdr:from>
      <cdr:x>0.78947</cdr:x>
      <cdr:y>0.6448</cdr:y>
    </cdr:from>
    <cdr:to>
      <cdr:x>1</cdr:x>
      <cdr:y>0.73509</cdr:y>
    </cdr:to>
    <cdr:sp macro="" textlink="">
      <cdr:nvSpPr>
        <cdr:cNvPr id="4" name="Text Box 1"/>
        <cdr:cNvSpPr txBox="1">
          <a:spLocks xmlns:a="http://schemas.openxmlformats.org/drawingml/2006/main" noChangeArrowheads="1"/>
        </cdr:cNvSpPr>
      </cdr:nvSpPr>
      <cdr:spPr bwMode="auto">
        <a:xfrm xmlns:a="http://schemas.openxmlformats.org/drawingml/2006/main">
          <a:off x="2115572" y="1625104"/>
          <a:ext cx="564018" cy="227551"/>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n-AU" sz="900">
              <a:latin typeface="Arial" pitchFamily="34" charset="0"/>
              <a:cs typeface="Arial" pitchFamily="34" charset="0"/>
            </a:rPr>
            <a:t>GE(-1)</a:t>
          </a:r>
        </a:p>
      </cdr:txBody>
    </cdr:sp>
  </cdr:relSizeAnchor>
</c:userShapes>
</file>

<file path=word/drawings/drawing13.xml><?xml version="1.0" encoding="utf-8"?>
<c:userShapes xmlns:c="http://schemas.openxmlformats.org/drawingml/2006/chart">
  <cdr:relSizeAnchor xmlns:cdr="http://schemas.openxmlformats.org/drawingml/2006/chartDrawing">
    <cdr:from>
      <cdr:x>0.79531</cdr:x>
      <cdr:y>0.18612</cdr:y>
    </cdr:from>
    <cdr:to>
      <cdr:x>1</cdr:x>
      <cdr:y>0.30277</cdr:y>
    </cdr:to>
    <cdr:sp macro="" textlink="">
      <cdr:nvSpPr>
        <cdr:cNvPr id="2" name="Text Box 2"/>
        <cdr:cNvSpPr txBox="1">
          <a:spLocks xmlns:a="http://schemas.openxmlformats.org/drawingml/2006/main" noChangeArrowheads="1"/>
        </cdr:cNvSpPr>
      </cdr:nvSpPr>
      <cdr:spPr bwMode="auto">
        <a:xfrm xmlns:a="http://schemas.openxmlformats.org/drawingml/2006/main">
          <a:off x="2067947" y="469071"/>
          <a:ext cx="532130" cy="29400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n-AU" sz="900">
              <a:latin typeface="Arial" pitchFamily="34" charset="0"/>
              <a:cs typeface="Arial" pitchFamily="34" charset="0"/>
            </a:rPr>
            <a:t>GE(0)</a:t>
          </a:r>
        </a:p>
      </cdr:txBody>
    </cdr:sp>
  </cdr:relSizeAnchor>
  <cdr:relSizeAnchor xmlns:cdr="http://schemas.openxmlformats.org/drawingml/2006/chartDrawing">
    <cdr:from>
      <cdr:x>0.79531</cdr:x>
      <cdr:y>0.2599</cdr:y>
    </cdr:from>
    <cdr:to>
      <cdr:x>1</cdr:x>
      <cdr:y>0.37656</cdr:y>
    </cdr:to>
    <cdr:sp macro="" textlink="">
      <cdr:nvSpPr>
        <cdr:cNvPr id="3" name="Text Box 2"/>
        <cdr:cNvSpPr txBox="1">
          <a:spLocks xmlns:a="http://schemas.openxmlformats.org/drawingml/2006/main" noChangeArrowheads="1"/>
        </cdr:cNvSpPr>
      </cdr:nvSpPr>
      <cdr:spPr bwMode="auto">
        <a:xfrm xmlns:a="http://schemas.openxmlformats.org/drawingml/2006/main">
          <a:off x="2067947" y="655042"/>
          <a:ext cx="532130" cy="29400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n-AU" sz="900">
              <a:latin typeface="Arial" pitchFamily="34" charset="0"/>
              <a:cs typeface="Arial" pitchFamily="34" charset="0"/>
            </a:rPr>
            <a:t>GE(1)</a:t>
          </a:r>
        </a:p>
      </cdr:txBody>
    </cdr:sp>
  </cdr:relSizeAnchor>
  <cdr:relSizeAnchor xmlns:cdr="http://schemas.openxmlformats.org/drawingml/2006/chartDrawing">
    <cdr:from>
      <cdr:x>0.77613</cdr:x>
      <cdr:y>0.42203</cdr:y>
    </cdr:from>
    <cdr:to>
      <cdr:x>1</cdr:x>
      <cdr:y>0.53869</cdr:y>
    </cdr:to>
    <cdr:sp macro="" textlink="">
      <cdr:nvSpPr>
        <cdr:cNvPr id="4" name="Text Box 1"/>
        <cdr:cNvSpPr txBox="1">
          <a:spLocks xmlns:a="http://schemas.openxmlformats.org/drawingml/2006/main" noChangeArrowheads="1"/>
        </cdr:cNvSpPr>
      </cdr:nvSpPr>
      <cdr:spPr bwMode="auto">
        <a:xfrm xmlns:a="http://schemas.openxmlformats.org/drawingml/2006/main">
          <a:off x="2018086" y="1063652"/>
          <a:ext cx="581991" cy="29400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n-AU" sz="900">
              <a:latin typeface="Arial" pitchFamily="34" charset="0"/>
              <a:cs typeface="Arial" pitchFamily="34" charset="0"/>
            </a:rPr>
            <a:t>GE(-1)</a:t>
          </a:r>
        </a:p>
      </cdr:txBody>
    </cdr:sp>
  </cdr:relSizeAnchor>
  <cdr:relSizeAnchor xmlns:cdr="http://schemas.openxmlformats.org/drawingml/2006/chartDrawing">
    <cdr:from>
      <cdr:x>0.79531</cdr:x>
      <cdr:y>0.49775</cdr:y>
    </cdr:from>
    <cdr:to>
      <cdr:x>1</cdr:x>
      <cdr:y>0.6144</cdr:y>
    </cdr:to>
    <cdr:sp macro="" textlink="">
      <cdr:nvSpPr>
        <cdr:cNvPr id="5" name="Text Box 1"/>
        <cdr:cNvSpPr txBox="1">
          <a:spLocks xmlns:a="http://schemas.openxmlformats.org/drawingml/2006/main" noChangeArrowheads="1"/>
        </cdr:cNvSpPr>
      </cdr:nvSpPr>
      <cdr:spPr bwMode="auto">
        <a:xfrm xmlns:a="http://schemas.openxmlformats.org/drawingml/2006/main">
          <a:off x="2067947" y="1254482"/>
          <a:ext cx="532130" cy="29400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n-AU" sz="900">
              <a:latin typeface="Arial" pitchFamily="34" charset="0"/>
              <a:cs typeface="Arial" pitchFamily="34" charset="0"/>
            </a:rPr>
            <a:t>GE(2)</a:t>
          </a:r>
        </a:p>
      </cdr:txBody>
    </cdr:sp>
  </cdr:relSizeAnchor>
</c:userShapes>
</file>

<file path=word/drawings/drawing2.xml><?xml version="1.0" encoding="utf-8"?>
<c:userShapes xmlns:c="http://schemas.openxmlformats.org/drawingml/2006/chart">
  <cdr:relSizeAnchor xmlns:cdr="http://schemas.openxmlformats.org/drawingml/2006/chartDrawing">
    <cdr:from>
      <cdr:x>0.43089</cdr:x>
      <cdr:y>0.20411</cdr:y>
    </cdr:from>
    <cdr:to>
      <cdr:x>0.79375</cdr:x>
      <cdr:y>0.2986</cdr:y>
    </cdr:to>
    <cdr:sp macro="" textlink="">
      <cdr:nvSpPr>
        <cdr:cNvPr id="2" name="TextBox 1"/>
        <cdr:cNvSpPr txBox="1"/>
      </cdr:nvSpPr>
      <cdr:spPr>
        <a:xfrm xmlns:a="http://schemas.openxmlformats.org/drawingml/2006/main">
          <a:off x="1085855" y="514357"/>
          <a:ext cx="914407" cy="23811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a:latin typeface="Arial" pitchFamily="34" charset="0"/>
              <a:cs typeface="Arial" pitchFamily="34" charset="0"/>
            </a:rPr>
            <a:t>10th decile</a:t>
          </a:r>
        </a:p>
      </cdr:txBody>
    </cdr:sp>
  </cdr:relSizeAnchor>
  <cdr:relSizeAnchor xmlns:cdr="http://schemas.openxmlformats.org/drawingml/2006/chartDrawing">
    <cdr:from>
      <cdr:x>0.63714</cdr:x>
      <cdr:y>0.80376</cdr:y>
    </cdr:from>
    <cdr:to>
      <cdr:x>1</cdr:x>
      <cdr:y>0.89825</cdr:y>
    </cdr:to>
    <cdr:sp macro="" textlink="">
      <cdr:nvSpPr>
        <cdr:cNvPr id="3" name="TextBox 1"/>
        <cdr:cNvSpPr txBox="1"/>
      </cdr:nvSpPr>
      <cdr:spPr>
        <a:xfrm xmlns:a="http://schemas.openxmlformats.org/drawingml/2006/main">
          <a:off x="1656752" y="2025734"/>
          <a:ext cx="943324" cy="23814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1st decile</a:t>
          </a:r>
        </a:p>
      </cdr:txBody>
    </cdr:sp>
  </cdr:relSizeAnchor>
  <cdr:relSizeAnchor xmlns:cdr="http://schemas.openxmlformats.org/drawingml/2006/chartDrawing">
    <cdr:from>
      <cdr:x>0.6539</cdr:x>
      <cdr:y>0.26836</cdr:y>
    </cdr:from>
    <cdr:to>
      <cdr:x>0.73705</cdr:x>
      <cdr:y>0.3175</cdr:y>
    </cdr:to>
    <cdr:cxnSp macro="">
      <cdr:nvCxnSpPr>
        <cdr:cNvPr id="5" name="Straight Connector 4"/>
        <cdr:cNvCxnSpPr/>
      </cdr:nvCxnSpPr>
      <cdr:spPr>
        <a:xfrm xmlns:a="http://schemas.openxmlformats.org/drawingml/2006/main">
          <a:off x="1647828" y="676267"/>
          <a:ext cx="209547" cy="123833"/>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0.65465</cdr:x>
      <cdr:y>0.81514</cdr:y>
    </cdr:from>
    <cdr:to>
      <cdr:x>0.67229</cdr:x>
      <cdr:y>0.8479</cdr:y>
    </cdr:to>
    <cdr:cxnSp macro="">
      <cdr:nvCxnSpPr>
        <cdr:cNvPr id="6" name="Straight Connector 5"/>
        <cdr:cNvCxnSpPr/>
      </cdr:nvCxnSpPr>
      <cdr:spPr>
        <a:xfrm xmlns:a="http://schemas.openxmlformats.org/drawingml/2006/main">
          <a:off x="1701899" y="2054402"/>
          <a:ext cx="45858" cy="82564"/>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0.32632</cdr:x>
      <cdr:y>0.22048</cdr:y>
    </cdr:from>
    <cdr:to>
      <cdr:x>0.68917</cdr:x>
      <cdr:y>0.31498</cdr:y>
    </cdr:to>
    <cdr:sp macro="" textlink="">
      <cdr:nvSpPr>
        <cdr:cNvPr id="2" name="TextBox 1"/>
        <cdr:cNvSpPr txBox="1"/>
      </cdr:nvSpPr>
      <cdr:spPr>
        <a:xfrm xmlns:a="http://schemas.openxmlformats.org/drawingml/2006/main">
          <a:off x="822335" y="555613"/>
          <a:ext cx="914382" cy="23814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baseline="0">
              <a:latin typeface="Arial" pitchFamily="34" charset="0"/>
            </a:rPr>
            <a:t>10th decile</a:t>
          </a:r>
        </a:p>
      </cdr:txBody>
    </cdr:sp>
  </cdr:relSizeAnchor>
  <cdr:relSizeAnchor xmlns:cdr="http://schemas.openxmlformats.org/drawingml/2006/chartDrawing">
    <cdr:from>
      <cdr:x>0.63174</cdr:x>
      <cdr:y>0.26045</cdr:y>
    </cdr:from>
    <cdr:to>
      <cdr:x>0.68844</cdr:x>
      <cdr:y>0.29069</cdr:y>
    </cdr:to>
    <cdr:cxnSp macro="">
      <cdr:nvCxnSpPr>
        <cdr:cNvPr id="3" name="Straight Connector 2"/>
        <cdr:cNvCxnSpPr/>
      </cdr:nvCxnSpPr>
      <cdr:spPr>
        <a:xfrm xmlns:a="http://schemas.openxmlformats.org/drawingml/2006/main">
          <a:off x="1642323" y="629458"/>
          <a:ext cx="147403" cy="73085"/>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4.xml><?xml version="1.0" encoding="utf-8"?>
<c:userShapes xmlns:c="http://schemas.openxmlformats.org/drawingml/2006/chart">
  <cdr:relSizeAnchor xmlns:cdr="http://schemas.openxmlformats.org/drawingml/2006/chartDrawing">
    <cdr:from>
      <cdr:x>0.44542</cdr:x>
      <cdr:y>0.18816</cdr:y>
    </cdr:from>
    <cdr:to>
      <cdr:x>0.70874</cdr:x>
      <cdr:y>0.28265</cdr:y>
    </cdr:to>
    <cdr:sp macro="" textlink="">
      <cdr:nvSpPr>
        <cdr:cNvPr id="2" name="TextBox 1"/>
        <cdr:cNvSpPr txBox="1"/>
      </cdr:nvSpPr>
      <cdr:spPr>
        <a:xfrm xmlns:a="http://schemas.openxmlformats.org/drawingml/2006/main">
          <a:off x="1168706" y="459288"/>
          <a:ext cx="690904" cy="23064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10th decile</a:t>
          </a:r>
        </a:p>
      </cdr:txBody>
    </cdr:sp>
  </cdr:relSizeAnchor>
  <cdr:relSizeAnchor xmlns:cdr="http://schemas.openxmlformats.org/drawingml/2006/chartDrawing">
    <cdr:from>
      <cdr:x>0.70306</cdr:x>
      <cdr:y>0.23563</cdr:y>
    </cdr:from>
    <cdr:to>
      <cdr:x>0.85399</cdr:x>
      <cdr:y>0.23647</cdr:y>
    </cdr:to>
    <cdr:cxnSp macro="">
      <cdr:nvCxnSpPr>
        <cdr:cNvPr id="3" name="Straight Connector 2"/>
        <cdr:cNvCxnSpPr/>
      </cdr:nvCxnSpPr>
      <cdr:spPr>
        <a:xfrm xmlns:a="http://schemas.openxmlformats.org/drawingml/2006/main" flipV="1">
          <a:off x="1844703" y="575147"/>
          <a:ext cx="396000" cy="2062"/>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0.36209</cdr:x>
      <cdr:y>0.78002</cdr:y>
    </cdr:from>
    <cdr:to>
      <cdr:x>0.72495</cdr:x>
      <cdr:y>0.87452</cdr:y>
    </cdr:to>
    <cdr:sp macro="" textlink="">
      <cdr:nvSpPr>
        <cdr:cNvPr id="4" name="TextBox 1"/>
        <cdr:cNvSpPr txBox="1"/>
      </cdr:nvSpPr>
      <cdr:spPr>
        <a:xfrm xmlns:a="http://schemas.openxmlformats.org/drawingml/2006/main">
          <a:off x="950049" y="1971836"/>
          <a:ext cx="952080" cy="23889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1st decile</a:t>
          </a:r>
        </a:p>
      </cdr:txBody>
    </cdr:sp>
  </cdr:relSizeAnchor>
  <cdr:relSizeAnchor xmlns:cdr="http://schemas.openxmlformats.org/drawingml/2006/chartDrawing">
    <cdr:from>
      <cdr:x>0.60306</cdr:x>
      <cdr:y>0.82409</cdr:y>
    </cdr:from>
    <cdr:to>
      <cdr:x>0.65458</cdr:x>
      <cdr:y>0.83728</cdr:y>
    </cdr:to>
    <cdr:cxnSp macro="">
      <cdr:nvCxnSpPr>
        <cdr:cNvPr id="5" name="Straight Connector 4"/>
        <cdr:cNvCxnSpPr/>
      </cdr:nvCxnSpPr>
      <cdr:spPr>
        <a:xfrm xmlns:a="http://schemas.openxmlformats.org/drawingml/2006/main">
          <a:off x="1582310" y="2083242"/>
          <a:ext cx="135203" cy="33345"/>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5.xml><?xml version="1.0" encoding="utf-8"?>
<c:userShapes xmlns:c="http://schemas.openxmlformats.org/drawingml/2006/chart">
  <cdr:relSizeAnchor xmlns:cdr="http://schemas.openxmlformats.org/drawingml/2006/chartDrawing">
    <cdr:from>
      <cdr:x>0.36049</cdr:x>
      <cdr:y>0.60192</cdr:y>
    </cdr:from>
    <cdr:to>
      <cdr:x>0.44875</cdr:x>
      <cdr:y>0.76729</cdr:y>
    </cdr:to>
    <cdr:sp macro="" textlink="">
      <cdr:nvSpPr>
        <cdr:cNvPr id="14" name="TextBox 1"/>
        <cdr:cNvSpPr txBox="1"/>
      </cdr:nvSpPr>
      <cdr:spPr>
        <a:xfrm xmlns:a="http://schemas.openxmlformats.org/drawingml/2006/main">
          <a:off x="2027212" y="1733542"/>
          <a:ext cx="496327" cy="476265"/>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1988 </a:t>
          </a:r>
        </a:p>
        <a:p xmlns:a="http://schemas.openxmlformats.org/drawingml/2006/main">
          <a:r>
            <a:rPr lang="en-AU" sz="900">
              <a:latin typeface="Arial" pitchFamily="34" charset="0"/>
              <a:cs typeface="Arial" pitchFamily="34" charset="0"/>
            </a:rPr>
            <a:t>mode</a:t>
          </a:r>
        </a:p>
        <a:p xmlns:a="http://schemas.openxmlformats.org/drawingml/2006/main">
          <a:r>
            <a:rPr lang="en-AU" sz="900">
              <a:latin typeface="Arial" pitchFamily="34" charset="0"/>
              <a:cs typeface="Arial" pitchFamily="34" charset="0"/>
            </a:rPr>
            <a:t>$728</a:t>
          </a:r>
        </a:p>
      </cdr:txBody>
    </cdr:sp>
  </cdr:relSizeAnchor>
  <cdr:relSizeAnchor xmlns:cdr="http://schemas.openxmlformats.org/drawingml/2006/chartDrawing">
    <cdr:from>
      <cdr:x>0.52362</cdr:x>
      <cdr:y>0.59597</cdr:y>
    </cdr:from>
    <cdr:to>
      <cdr:x>0.5827</cdr:x>
      <cdr:y>0.77136</cdr:y>
    </cdr:to>
    <cdr:sp macro="" textlink="">
      <cdr:nvSpPr>
        <cdr:cNvPr id="18" name="TextBox 1"/>
        <cdr:cNvSpPr txBox="1"/>
      </cdr:nvSpPr>
      <cdr:spPr>
        <a:xfrm xmlns:a="http://schemas.openxmlformats.org/drawingml/2006/main">
          <a:off x="2944558" y="1716394"/>
          <a:ext cx="332235" cy="505123"/>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2009</a:t>
          </a:r>
        </a:p>
        <a:p xmlns:a="http://schemas.openxmlformats.org/drawingml/2006/main">
          <a:r>
            <a:rPr lang="en-AU" sz="900">
              <a:latin typeface="Arial" pitchFamily="34" charset="0"/>
              <a:cs typeface="Arial" pitchFamily="34" charset="0"/>
            </a:rPr>
            <a:t>mode</a:t>
          </a:r>
        </a:p>
        <a:p xmlns:a="http://schemas.openxmlformats.org/drawingml/2006/main">
          <a:r>
            <a:rPr lang="en-AU" sz="900">
              <a:latin typeface="Arial" pitchFamily="34" charset="0"/>
              <a:cs typeface="Arial" pitchFamily="34" charset="0"/>
            </a:rPr>
            <a:t>$842</a:t>
          </a:r>
        </a:p>
      </cdr:txBody>
    </cdr:sp>
  </cdr:relSizeAnchor>
  <cdr:relSizeAnchor xmlns:cdr="http://schemas.openxmlformats.org/drawingml/2006/chartDrawing">
    <cdr:from>
      <cdr:x>0.56458</cdr:x>
      <cdr:y>0.28392</cdr:y>
    </cdr:from>
    <cdr:to>
      <cdr:x>0.88664</cdr:x>
      <cdr:y>0.41621</cdr:y>
    </cdr:to>
    <cdr:sp macro="" textlink="">
      <cdr:nvSpPr>
        <cdr:cNvPr id="10" name="TextBox 1"/>
        <cdr:cNvSpPr txBox="1"/>
      </cdr:nvSpPr>
      <cdr:spPr>
        <a:xfrm xmlns:a="http://schemas.openxmlformats.org/drawingml/2006/main">
          <a:off x="3174873" y="817702"/>
          <a:ext cx="1811095" cy="380995"/>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Proportion</a:t>
          </a:r>
          <a:r>
            <a:rPr lang="en-AU" sz="900" baseline="0">
              <a:latin typeface="Arial" pitchFamily="34" charset="0"/>
              <a:cs typeface="Arial" pitchFamily="34" charset="0"/>
            </a:rPr>
            <a:t> of people earning $1200 </a:t>
          </a:r>
        </a:p>
        <a:p xmlns:a="http://schemas.openxmlformats.org/drawingml/2006/main">
          <a:r>
            <a:rPr lang="en-AU" sz="900" baseline="0">
              <a:latin typeface="Arial" pitchFamily="34" charset="0"/>
              <a:cs typeface="Arial" pitchFamily="34" charset="0"/>
            </a:rPr>
            <a:t>is roughly the same in 1988 and 2009</a:t>
          </a:r>
          <a:endParaRPr lang="en-AU" sz="900">
            <a:latin typeface="Arial" pitchFamily="34" charset="0"/>
            <a:cs typeface="Arial" pitchFamily="34" charset="0"/>
          </a:endParaRPr>
        </a:p>
      </cdr:txBody>
    </cdr:sp>
  </cdr:relSizeAnchor>
  <cdr:relSizeAnchor xmlns:cdr="http://schemas.openxmlformats.org/drawingml/2006/chartDrawing">
    <cdr:from>
      <cdr:x>0.57749</cdr:x>
      <cdr:y>0.40731</cdr:y>
    </cdr:from>
    <cdr:to>
      <cdr:x>0.65164</cdr:x>
      <cdr:y>0.51711</cdr:y>
    </cdr:to>
    <cdr:cxnSp macro="">
      <cdr:nvCxnSpPr>
        <cdr:cNvPr id="11" name="Straight Connector 10"/>
        <cdr:cNvCxnSpPr/>
      </cdr:nvCxnSpPr>
      <cdr:spPr>
        <a:xfrm xmlns:a="http://schemas.openxmlformats.org/drawingml/2006/main" flipH="1">
          <a:off x="3247514" y="1173043"/>
          <a:ext cx="416980" cy="316224"/>
        </a:xfrm>
        <a:prstGeom xmlns:a="http://schemas.openxmlformats.org/drawingml/2006/main" prst="line">
          <a:avLst/>
        </a:prstGeom>
        <a:ln xmlns:a="http://schemas.openxmlformats.org/drawingml/2006/main">
          <a:solidFill>
            <a:sysClr val="windowText" lastClr="00000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6.xml><?xml version="1.0" encoding="utf-8"?>
<c:userShapes xmlns:c="http://schemas.openxmlformats.org/drawingml/2006/chart">
  <cdr:relSizeAnchor xmlns:cdr="http://schemas.openxmlformats.org/drawingml/2006/chartDrawing">
    <cdr:from>
      <cdr:x>0.59209</cdr:x>
      <cdr:y>0.58935</cdr:y>
    </cdr:from>
    <cdr:to>
      <cdr:x>0.78473</cdr:x>
      <cdr:y>0.67919</cdr:y>
    </cdr:to>
    <cdr:sp macro="" textlink="">
      <cdr:nvSpPr>
        <cdr:cNvPr id="4" name="TextBox 3"/>
        <cdr:cNvSpPr txBox="1"/>
      </cdr:nvSpPr>
      <cdr:spPr>
        <a:xfrm xmlns:a="http://schemas.openxmlformats.org/drawingml/2006/main">
          <a:off x="1661832" y="1527634"/>
          <a:ext cx="540679" cy="232872"/>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none" rtlCol="0"/>
        <a:lstStyle xmlns:a="http://schemas.openxmlformats.org/drawingml/2006/main"/>
        <a:p xmlns:a="http://schemas.openxmlformats.org/drawingml/2006/main">
          <a:r>
            <a:rPr lang="en-AU" sz="900">
              <a:latin typeface="Arial" pitchFamily="34" charset="0"/>
              <a:cs typeface="Arial" pitchFamily="34" charset="0"/>
            </a:rPr>
            <a:t>2009-10</a:t>
          </a:r>
        </a:p>
      </cdr:txBody>
    </cdr:sp>
  </cdr:relSizeAnchor>
  <cdr:relSizeAnchor xmlns:cdr="http://schemas.openxmlformats.org/drawingml/2006/chartDrawing">
    <cdr:from>
      <cdr:x>0.60718</cdr:x>
      <cdr:y>0.64222</cdr:y>
    </cdr:from>
    <cdr:to>
      <cdr:x>0.6438</cdr:x>
      <cdr:y>0.69116</cdr:y>
    </cdr:to>
    <cdr:cxnSp macro="">
      <cdr:nvCxnSpPr>
        <cdr:cNvPr id="6" name="Straight Connector 5"/>
        <cdr:cNvCxnSpPr/>
      </cdr:nvCxnSpPr>
      <cdr:spPr>
        <a:xfrm xmlns:a="http://schemas.openxmlformats.org/drawingml/2006/main" flipH="1">
          <a:off x="1704166" y="1664683"/>
          <a:ext cx="102781" cy="126856"/>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0.14206</cdr:x>
      <cdr:y>0.0728</cdr:y>
    </cdr:from>
    <cdr:to>
      <cdr:x>0.27197</cdr:x>
      <cdr:y>0.15665</cdr:y>
    </cdr:to>
    <cdr:sp macro="" textlink="">
      <cdr:nvSpPr>
        <cdr:cNvPr id="8" name="TextBox 1"/>
        <cdr:cNvSpPr txBox="1"/>
      </cdr:nvSpPr>
      <cdr:spPr>
        <a:xfrm xmlns:a="http://schemas.openxmlformats.org/drawingml/2006/main">
          <a:off x="398733" y="182879"/>
          <a:ext cx="364593" cy="210641"/>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900">
              <a:latin typeface="Arial" pitchFamily="34" charset="0"/>
              <a:cs typeface="Arial" pitchFamily="34" charset="0"/>
            </a:rPr>
            <a:t>1988-89</a:t>
          </a:r>
        </a:p>
      </cdr:txBody>
    </cdr:sp>
  </cdr:relSizeAnchor>
  <cdr:relSizeAnchor xmlns:cdr="http://schemas.openxmlformats.org/drawingml/2006/chartDrawing">
    <cdr:from>
      <cdr:x>0.25569</cdr:x>
      <cdr:y>0.1342</cdr:y>
    </cdr:from>
    <cdr:to>
      <cdr:x>0.28811</cdr:x>
      <cdr:y>0.19664</cdr:y>
    </cdr:to>
    <cdr:cxnSp macro="">
      <cdr:nvCxnSpPr>
        <cdr:cNvPr id="9" name="Straight Connector 8"/>
        <cdr:cNvCxnSpPr/>
      </cdr:nvCxnSpPr>
      <cdr:spPr>
        <a:xfrm xmlns:a="http://schemas.openxmlformats.org/drawingml/2006/main">
          <a:off x="717643" y="347856"/>
          <a:ext cx="90993" cy="161849"/>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7.xml><?xml version="1.0" encoding="utf-8"?>
<c:userShapes xmlns:c="http://schemas.openxmlformats.org/drawingml/2006/chart">
  <cdr:relSizeAnchor xmlns:cdr="http://schemas.openxmlformats.org/drawingml/2006/chartDrawing">
    <cdr:from>
      <cdr:x>0.67737</cdr:x>
      <cdr:y>0.64868</cdr:y>
    </cdr:from>
    <cdr:to>
      <cdr:x>0.82676</cdr:x>
      <cdr:y>0.73852</cdr:y>
    </cdr:to>
    <cdr:sp macro="" textlink="">
      <cdr:nvSpPr>
        <cdr:cNvPr id="4" name="TextBox 3"/>
        <cdr:cNvSpPr txBox="1"/>
      </cdr:nvSpPr>
      <cdr:spPr>
        <a:xfrm xmlns:a="http://schemas.openxmlformats.org/drawingml/2006/main">
          <a:off x="1706961" y="1634685"/>
          <a:ext cx="376463" cy="226397"/>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none" rtlCol="0"/>
        <a:lstStyle xmlns:a="http://schemas.openxmlformats.org/drawingml/2006/main"/>
        <a:p xmlns:a="http://schemas.openxmlformats.org/drawingml/2006/main">
          <a:r>
            <a:rPr lang="en-AU" sz="900">
              <a:latin typeface="Arial" pitchFamily="34" charset="0"/>
              <a:cs typeface="Arial" pitchFamily="34" charset="0"/>
            </a:rPr>
            <a:t>2009</a:t>
          </a:r>
        </a:p>
      </cdr:txBody>
    </cdr:sp>
  </cdr:relSizeAnchor>
  <cdr:relSizeAnchor xmlns:cdr="http://schemas.openxmlformats.org/drawingml/2006/chartDrawing">
    <cdr:from>
      <cdr:x>0.66575</cdr:x>
      <cdr:y>0.71382</cdr:y>
    </cdr:from>
    <cdr:to>
      <cdr:x>0.71361</cdr:x>
      <cdr:y>0.73983</cdr:y>
    </cdr:to>
    <cdr:cxnSp macro="">
      <cdr:nvCxnSpPr>
        <cdr:cNvPr id="6" name="Straight Connector 5"/>
        <cdr:cNvCxnSpPr/>
      </cdr:nvCxnSpPr>
      <cdr:spPr>
        <a:xfrm xmlns:a="http://schemas.openxmlformats.org/drawingml/2006/main" flipH="1">
          <a:off x="1677698" y="1798837"/>
          <a:ext cx="120608" cy="65545"/>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0.44904</cdr:x>
      <cdr:y>0.44355</cdr:y>
    </cdr:from>
    <cdr:to>
      <cdr:x>0.56898</cdr:x>
      <cdr:y>0.50649</cdr:y>
    </cdr:to>
    <cdr:sp macro="" textlink="">
      <cdr:nvSpPr>
        <cdr:cNvPr id="8" name="TextBox 1"/>
        <cdr:cNvSpPr txBox="1"/>
      </cdr:nvSpPr>
      <cdr:spPr>
        <a:xfrm xmlns:a="http://schemas.openxmlformats.org/drawingml/2006/main">
          <a:off x="1131578" y="1117739"/>
          <a:ext cx="302249" cy="158611"/>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900">
              <a:latin typeface="Arial" pitchFamily="34" charset="0"/>
              <a:cs typeface="Arial" pitchFamily="34" charset="0"/>
            </a:rPr>
            <a:t>1988</a:t>
          </a:r>
        </a:p>
      </cdr:txBody>
    </cdr:sp>
  </cdr:relSizeAnchor>
  <cdr:relSizeAnchor xmlns:cdr="http://schemas.openxmlformats.org/drawingml/2006/chartDrawing">
    <cdr:from>
      <cdr:x>0.3999</cdr:x>
      <cdr:y>0.51153</cdr:y>
    </cdr:from>
    <cdr:to>
      <cdr:x>0.49389</cdr:x>
      <cdr:y>0.54001</cdr:y>
    </cdr:to>
    <cdr:cxnSp macro="">
      <cdr:nvCxnSpPr>
        <cdr:cNvPr id="9" name="Straight Connector 8"/>
        <cdr:cNvCxnSpPr/>
      </cdr:nvCxnSpPr>
      <cdr:spPr>
        <a:xfrm xmlns:a="http://schemas.openxmlformats.org/drawingml/2006/main" flipH="1">
          <a:off x="1007737" y="1289056"/>
          <a:ext cx="236866" cy="7176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8.xml><?xml version="1.0" encoding="utf-8"?>
<c:userShapes xmlns:c="http://schemas.openxmlformats.org/drawingml/2006/chart">
  <cdr:relSizeAnchor xmlns:cdr="http://schemas.openxmlformats.org/drawingml/2006/chartDrawing">
    <cdr:from>
      <cdr:x>0.19096</cdr:x>
      <cdr:y>0.35177</cdr:y>
    </cdr:from>
    <cdr:to>
      <cdr:x>0.39382</cdr:x>
      <cdr:y>0.49584</cdr:y>
    </cdr:to>
    <cdr:sp macro="" textlink="">
      <cdr:nvSpPr>
        <cdr:cNvPr id="2" name="TextBox 1"/>
        <cdr:cNvSpPr txBox="1"/>
      </cdr:nvSpPr>
      <cdr:spPr>
        <a:xfrm xmlns:a="http://schemas.openxmlformats.org/drawingml/2006/main">
          <a:off x="401121" y="886354"/>
          <a:ext cx="426124" cy="363010"/>
        </a:xfrm>
        <a:prstGeom xmlns:a="http://schemas.openxmlformats.org/drawingml/2006/main" prst="rect">
          <a:avLst/>
        </a:prstGeom>
        <a:noFill xmlns:a="http://schemas.openxmlformats.org/drawingml/2006/main"/>
      </cdr:spPr>
      <cdr:txBody>
        <a:bodyPr xmlns:a="http://schemas.openxmlformats.org/drawingml/2006/main" vertOverflow="clip" wrap="none" rtlCol="0"/>
        <a:lstStyle xmlns:a="http://schemas.openxmlformats.org/drawingml/2006/main"/>
        <a:p xmlns:a="http://schemas.openxmlformats.org/drawingml/2006/main">
          <a:pPr algn="ctr"/>
          <a:r>
            <a:rPr lang="en-AU" sz="900">
              <a:solidFill>
                <a:schemeClr val="bg1"/>
              </a:solidFill>
              <a:effectLst/>
              <a:latin typeface="Arial" pitchFamily="34" charset="0"/>
              <a:cs typeface="Arial" pitchFamily="34" charset="0"/>
            </a:rPr>
            <a:t>Mixed</a:t>
          </a:r>
        </a:p>
        <a:p xmlns:a="http://schemas.openxmlformats.org/drawingml/2006/main">
          <a:pPr algn="ctr"/>
          <a:r>
            <a:rPr lang="en-AU" sz="900">
              <a:solidFill>
                <a:schemeClr val="bg1"/>
              </a:solidFill>
              <a:effectLst/>
              <a:latin typeface="Arial" pitchFamily="34" charset="0"/>
              <a:cs typeface="Arial" pitchFamily="34" charset="0"/>
            </a:rPr>
            <a:t>38.4</a:t>
          </a:r>
        </a:p>
      </cdr:txBody>
    </cdr:sp>
  </cdr:relSizeAnchor>
  <cdr:relSizeAnchor xmlns:cdr="http://schemas.openxmlformats.org/drawingml/2006/chartDrawing">
    <cdr:from>
      <cdr:x>0.35363</cdr:x>
      <cdr:y>0.60905</cdr:y>
    </cdr:from>
    <cdr:to>
      <cdr:x>0.65864</cdr:x>
      <cdr:y>0.81133</cdr:y>
    </cdr:to>
    <cdr:sp macro="" textlink="">
      <cdr:nvSpPr>
        <cdr:cNvPr id="3" name="TextBox 1"/>
        <cdr:cNvSpPr txBox="1"/>
      </cdr:nvSpPr>
      <cdr:spPr>
        <a:xfrm xmlns:a="http://schemas.openxmlformats.org/drawingml/2006/main">
          <a:off x="742828" y="1534603"/>
          <a:ext cx="640699" cy="509698"/>
        </a:xfrm>
        <a:prstGeom xmlns:a="http://schemas.openxmlformats.org/drawingml/2006/main" prst="rect">
          <a:avLst/>
        </a:prstGeom>
        <a:noFill xmlns:a="http://schemas.openxmlformats.org/drawingml/2006/main"/>
        <a:effectLst xmlns:a="http://schemas.openxmlformats.org/drawingml/2006/main">
          <a:glow rad="63500">
            <a:schemeClr val="accent6">
              <a:satMod val="175000"/>
              <a:alpha val="42000"/>
            </a:schemeClr>
          </a:glow>
        </a:effectLst>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lnSpc>
              <a:spcPts val="1000"/>
            </a:lnSpc>
          </a:pPr>
          <a:r>
            <a:rPr lang="en-AU" sz="900" spc="-30" baseline="0">
              <a:solidFill>
                <a:schemeClr val="bg1"/>
              </a:solidFill>
              <a:effectLst/>
              <a:latin typeface="Arial" pitchFamily="34" charset="0"/>
              <a:cs typeface="Arial" pitchFamily="34" charset="0"/>
            </a:rPr>
            <a:t>Capital &amp; </a:t>
          </a:r>
          <a:br>
            <a:rPr lang="en-AU" sz="900" spc="-30" baseline="0">
              <a:solidFill>
                <a:schemeClr val="bg1"/>
              </a:solidFill>
              <a:effectLst/>
              <a:latin typeface="Arial" pitchFamily="34" charset="0"/>
              <a:cs typeface="Arial" pitchFamily="34" charset="0"/>
            </a:rPr>
          </a:br>
          <a:r>
            <a:rPr lang="en-AU" sz="900" spc="-30" baseline="0">
              <a:solidFill>
                <a:schemeClr val="bg1"/>
              </a:solidFill>
              <a:effectLst/>
              <a:latin typeface="Arial" pitchFamily="34" charset="0"/>
              <a:cs typeface="Arial" pitchFamily="34" charset="0"/>
            </a:rPr>
            <a:t>other </a:t>
          </a:r>
        </a:p>
        <a:p xmlns:a="http://schemas.openxmlformats.org/drawingml/2006/main">
          <a:pPr algn="ctr">
            <a:lnSpc>
              <a:spcPts val="1000"/>
            </a:lnSpc>
          </a:pPr>
          <a:r>
            <a:rPr lang="en-AU" sz="900" spc="-30" baseline="0">
              <a:solidFill>
                <a:schemeClr val="bg1"/>
              </a:solidFill>
              <a:effectLst/>
              <a:latin typeface="Arial" pitchFamily="34" charset="0"/>
              <a:cs typeface="Arial" pitchFamily="34" charset="0"/>
            </a:rPr>
            <a:t>income only</a:t>
          </a:r>
        </a:p>
        <a:p xmlns:a="http://schemas.openxmlformats.org/drawingml/2006/main">
          <a:pPr algn="ctr">
            <a:lnSpc>
              <a:spcPts val="1000"/>
            </a:lnSpc>
          </a:pPr>
          <a:r>
            <a:rPr lang="en-AU" sz="900" spc="-30" baseline="0">
              <a:solidFill>
                <a:schemeClr val="bg1"/>
              </a:solidFill>
              <a:effectLst/>
              <a:latin typeface="Arial" pitchFamily="34" charset="0"/>
              <a:cs typeface="Arial" pitchFamily="34" charset="0"/>
            </a:rPr>
            <a:t>24.1</a:t>
          </a:r>
        </a:p>
      </cdr:txBody>
    </cdr:sp>
  </cdr:relSizeAnchor>
  <cdr:relSizeAnchor xmlns:cdr="http://schemas.openxmlformats.org/drawingml/2006/chartDrawing">
    <cdr:from>
      <cdr:x>0.61176</cdr:x>
      <cdr:y>0.30862</cdr:y>
    </cdr:from>
    <cdr:to>
      <cdr:x>0.83756</cdr:x>
      <cdr:y>0.55624</cdr:y>
    </cdr:to>
    <cdr:sp macro="" textlink="">
      <cdr:nvSpPr>
        <cdr:cNvPr id="4" name="TextBox 1"/>
        <cdr:cNvSpPr txBox="1"/>
      </cdr:nvSpPr>
      <cdr:spPr>
        <a:xfrm xmlns:a="http://schemas.openxmlformats.org/drawingml/2006/main">
          <a:off x="1285047" y="777634"/>
          <a:ext cx="474311" cy="623923"/>
        </a:xfrm>
        <a:prstGeom xmlns:a="http://schemas.openxmlformats.org/drawingml/2006/main" prst="rect">
          <a:avLst/>
        </a:prstGeom>
        <a:noFill xmlns:a="http://schemas.openxmlformats.org/drawingml/2006/main"/>
        <a:effectLst xmlns:a="http://schemas.openxmlformats.org/drawingml/2006/main">
          <a:glow rad="152400">
            <a:schemeClr val="bg1">
              <a:alpha val="85000"/>
            </a:schemeClr>
          </a:glow>
        </a:effectLst>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900">
              <a:solidFill>
                <a:schemeClr val="bg1"/>
              </a:solidFill>
              <a:effectLst/>
              <a:latin typeface="Arial" pitchFamily="34" charset="0"/>
              <a:cs typeface="Arial" pitchFamily="34" charset="0"/>
            </a:rPr>
            <a:t>Labour </a:t>
          </a:r>
        </a:p>
        <a:p xmlns:a="http://schemas.openxmlformats.org/drawingml/2006/main">
          <a:pPr algn="ctr"/>
          <a:r>
            <a:rPr lang="en-AU" sz="900">
              <a:solidFill>
                <a:schemeClr val="bg1"/>
              </a:solidFill>
              <a:effectLst/>
              <a:latin typeface="Arial" pitchFamily="34" charset="0"/>
              <a:cs typeface="Arial" pitchFamily="34" charset="0"/>
            </a:rPr>
            <a:t>income</a:t>
          </a:r>
        </a:p>
        <a:p xmlns:a="http://schemas.openxmlformats.org/drawingml/2006/main">
          <a:pPr algn="ctr"/>
          <a:r>
            <a:rPr lang="en-AU" sz="900">
              <a:solidFill>
                <a:schemeClr val="bg1"/>
              </a:solidFill>
              <a:effectLst/>
              <a:latin typeface="Arial" pitchFamily="34" charset="0"/>
              <a:cs typeface="Arial" pitchFamily="34" charset="0"/>
            </a:rPr>
            <a:t>only</a:t>
          </a:r>
        </a:p>
        <a:p xmlns:a="http://schemas.openxmlformats.org/drawingml/2006/main">
          <a:pPr algn="ctr"/>
          <a:r>
            <a:rPr lang="en-AU" sz="900">
              <a:solidFill>
                <a:schemeClr val="bg1"/>
              </a:solidFill>
              <a:effectLst/>
              <a:latin typeface="Arial" pitchFamily="34" charset="0"/>
              <a:cs typeface="Arial" pitchFamily="34" charset="0"/>
            </a:rPr>
            <a:t>37.6</a:t>
          </a:r>
        </a:p>
        <a:p xmlns:a="http://schemas.openxmlformats.org/drawingml/2006/main">
          <a:endParaRPr lang="en-AU" sz="800"/>
        </a:p>
      </cdr:txBody>
    </cdr:sp>
  </cdr:relSizeAnchor>
</c:userShapes>
</file>

<file path=word/drawings/drawing9.xml><?xml version="1.0" encoding="utf-8"?>
<c:userShapes xmlns:c="http://schemas.openxmlformats.org/drawingml/2006/chart">
  <cdr:relSizeAnchor xmlns:cdr="http://schemas.openxmlformats.org/drawingml/2006/chartDrawing">
    <cdr:from>
      <cdr:x>0.41577</cdr:x>
      <cdr:y>0.61988</cdr:y>
    </cdr:from>
    <cdr:to>
      <cdr:x>0.78997</cdr:x>
      <cdr:y>0.78241</cdr:y>
    </cdr:to>
    <cdr:sp macro="" textlink="">
      <cdr:nvSpPr>
        <cdr:cNvPr id="2" name="TextBox 1"/>
        <cdr:cNvSpPr txBox="1"/>
      </cdr:nvSpPr>
      <cdr:spPr>
        <a:xfrm xmlns:a="http://schemas.openxmlformats.org/drawingml/2006/main">
          <a:off x="1047743" y="1562101"/>
          <a:ext cx="942984" cy="409576"/>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none" rtlCol="0"/>
        <a:lstStyle xmlns:a="http://schemas.openxmlformats.org/drawingml/2006/main"/>
        <a:p xmlns:a="http://schemas.openxmlformats.org/drawingml/2006/main">
          <a:r>
            <a:rPr lang="en-AU" sz="900">
              <a:latin typeface="Arial" pitchFamily="34" charset="0"/>
              <a:cs typeface="Arial" pitchFamily="34" charset="0"/>
            </a:rPr>
            <a:t>Capital &amp; other</a:t>
          </a:r>
          <a:endParaRPr lang="en-AU" sz="900" baseline="0">
            <a:latin typeface="Arial" pitchFamily="34" charset="0"/>
            <a:cs typeface="Arial" pitchFamily="34" charset="0"/>
          </a:endParaRPr>
        </a:p>
        <a:p xmlns:a="http://schemas.openxmlformats.org/drawingml/2006/main">
          <a:r>
            <a:rPr lang="en-AU" sz="900" baseline="0">
              <a:latin typeface="Arial" pitchFamily="34" charset="0"/>
              <a:cs typeface="Arial" pitchFamily="34" charset="0"/>
            </a:rPr>
            <a:t>76% increase</a:t>
          </a:r>
          <a:endParaRPr lang="en-AU" sz="900">
            <a:latin typeface="Arial" pitchFamily="34" charset="0"/>
            <a:cs typeface="Arial" pitchFamily="34" charset="0"/>
          </a:endParaRPr>
        </a:p>
      </cdr:txBody>
    </cdr:sp>
  </cdr:relSizeAnchor>
  <cdr:relSizeAnchor xmlns:cdr="http://schemas.openxmlformats.org/drawingml/2006/chartDrawing">
    <cdr:from>
      <cdr:x>0.26206</cdr:x>
      <cdr:y>0.09198</cdr:y>
    </cdr:from>
    <cdr:to>
      <cdr:x>0.63626</cdr:x>
      <cdr:y>0.22679</cdr:y>
    </cdr:to>
    <cdr:sp macro="" textlink="">
      <cdr:nvSpPr>
        <cdr:cNvPr id="3" name="TextBox 1"/>
        <cdr:cNvSpPr txBox="1"/>
      </cdr:nvSpPr>
      <cdr:spPr>
        <a:xfrm xmlns:a="http://schemas.openxmlformats.org/drawingml/2006/main">
          <a:off x="660391" y="231787"/>
          <a:ext cx="942984" cy="339721"/>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Labour</a:t>
          </a:r>
          <a:r>
            <a:rPr lang="en-AU" sz="900" baseline="0">
              <a:latin typeface="Arial" pitchFamily="34" charset="0"/>
              <a:cs typeface="Arial" pitchFamily="34" charset="0"/>
            </a:rPr>
            <a:t> income</a:t>
          </a:r>
        </a:p>
        <a:p xmlns:a="http://schemas.openxmlformats.org/drawingml/2006/main">
          <a:r>
            <a:rPr lang="en-AU" sz="900" baseline="0">
              <a:latin typeface="Arial" pitchFamily="34" charset="0"/>
              <a:cs typeface="Arial" pitchFamily="34" charset="0"/>
            </a:rPr>
            <a:t>38% increase</a:t>
          </a:r>
          <a:endParaRPr lang="en-AU" sz="900">
            <a:latin typeface="Arial" pitchFamily="34" charset="0"/>
            <a:cs typeface="Arial" pitchFamily="34" charset="0"/>
          </a:endParaRPr>
        </a:p>
      </cdr:txBody>
    </cdr:sp>
  </cdr:relSizeAnchor>
  <cdr:relSizeAnchor xmlns:cdr="http://schemas.openxmlformats.org/drawingml/2006/chartDrawing">
    <cdr:from>
      <cdr:x>0.58712</cdr:x>
      <cdr:y>0.41577</cdr:y>
    </cdr:from>
    <cdr:to>
      <cdr:x>0.96132</cdr:x>
      <cdr:y>0.56822</cdr:y>
    </cdr:to>
    <cdr:sp macro="" textlink="">
      <cdr:nvSpPr>
        <cdr:cNvPr id="4" name="TextBox 1"/>
        <cdr:cNvSpPr txBox="1"/>
      </cdr:nvSpPr>
      <cdr:spPr>
        <a:xfrm xmlns:a="http://schemas.openxmlformats.org/drawingml/2006/main">
          <a:off x="1479542" y="1047746"/>
          <a:ext cx="942984" cy="384174"/>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Market </a:t>
          </a:r>
          <a:r>
            <a:rPr lang="en-AU" sz="900" baseline="0">
              <a:latin typeface="Arial" pitchFamily="34" charset="0"/>
              <a:cs typeface="Arial" pitchFamily="34" charset="0"/>
            </a:rPr>
            <a:t>income</a:t>
          </a:r>
        </a:p>
        <a:p xmlns:a="http://schemas.openxmlformats.org/drawingml/2006/main">
          <a:r>
            <a:rPr lang="en-AU" sz="900" baseline="0">
              <a:latin typeface="Arial" pitchFamily="34" charset="0"/>
              <a:cs typeface="Arial" pitchFamily="34" charset="0"/>
            </a:rPr>
            <a:t>43% increase</a:t>
          </a:r>
          <a:endParaRPr lang="en-AU" sz="900">
            <a:latin typeface="Arial" pitchFamily="34" charset="0"/>
            <a:cs typeface="Arial" pitchFamily="34" charset="0"/>
          </a:endParaRPr>
        </a:p>
      </cdr:txBody>
    </cdr:sp>
  </cdr:relSizeAnchor>
  <cdr:relSizeAnchor xmlns:cdr="http://schemas.openxmlformats.org/drawingml/2006/chartDrawing">
    <cdr:from>
      <cdr:x>0.51405</cdr:x>
      <cdr:y>0.21545</cdr:y>
    </cdr:from>
    <cdr:to>
      <cdr:x>0.61988</cdr:x>
      <cdr:y>0.26837</cdr:y>
    </cdr:to>
    <cdr:cxnSp macro="">
      <cdr:nvCxnSpPr>
        <cdr:cNvPr id="6" name="Straight Connector 5"/>
        <cdr:cNvCxnSpPr/>
      </cdr:nvCxnSpPr>
      <cdr:spPr>
        <a:xfrm xmlns:a="http://schemas.openxmlformats.org/drawingml/2006/main">
          <a:off x="1295405" y="542929"/>
          <a:ext cx="266692" cy="133358"/>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0.65138</cdr:x>
      <cdr:y>0.37923</cdr:y>
    </cdr:from>
    <cdr:to>
      <cdr:x>0.70304</cdr:x>
      <cdr:y>0.43089</cdr:y>
    </cdr:to>
    <cdr:cxnSp macro="">
      <cdr:nvCxnSpPr>
        <cdr:cNvPr id="7" name="Straight Connector 6"/>
        <cdr:cNvCxnSpPr/>
      </cdr:nvCxnSpPr>
      <cdr:spPr>
        <a:xfrm xmlns:a="http://schemas.openxmlformats.org/drawingml/2006/main">
          <a:off x="1641475" y="955663"/>
          <a:ext cx="130175" cy="130187"/>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0.61358</cdr:x>
      <cdr:y>0.74965</cdr:y>
    </cdr:from>
    <cdr:to>
      <cdr:x>0.72123</cdr:x>
      <cdr:y>0.81417</cdr:y>
    </cdr:to>
    <cdr:cxnSp macro="">
      <cdr:nvCxnSpPr>
        <cdr:cNvPr id="9" name="Straight Connector 8"/>
        <cdr:cNvCxnSpPr/>
      </cdr:nvCxnSpPr>
      <cdr:spPr>
        <a:xfrm xmlns:a="http://schemas.openxmlformats.org/drawingml/2006/main">
          <a:off x="1589663" y="1888878"/>
          <a:ext cx="278893" cy="162559"/>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23B5C-6A68-4BED-BCDB-435228323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TotalTime>
  <Pages>29</Pages>
  <Words>6989</Words>
  <Characters>37976</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Individual income</vt:lpstr>
    </vt:vector>
  </TitlesOfParts>
  <Company>Productivity Commission</Company>
  <LinksUpToDate>false</LinksUpToDate>
  <CharactersWithSpaces>44876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income</dc:title>
  <dc:subject>The distribution of income in Australia</dc:subject>
  <dc:creator>Productivity Commission</dc:creator>
  <dc:description>2.</dc:description>
  <cp:lastModifiedBy>Louise Jordan</cp:lastModifiedBy>
  <cp:revision>3</cp:revision>
  <cp:lastPrinted>2013-03-20T22:16:00Z</cp:lastPrinted>
  <dcterms:created xsi:type="dcterms:W3CDTF">2013-03-20T22:12:00Z</dcterms:created>
  <dcterms:modified xsi:type="dcterms:W3CDTF">2013-03-20T22:18:00Z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171204379</vt:i4>
  </property>
  <property fmtid="{D5CDD505-2E9C-101B-9397-08002B2CF9AE}" pid="3" name="_NewReviewCycle">
    <vt:lpwstr/>
  </property>
  <property fmtid="{D5CDD505-2E9C-101B-9397-08002B2CF9AE}" pid="4" name="_EmailSubject">
    <vt:lpwstr>web files - income distribution - SWP</vt:lpwstr>
  </property>
  <property fmtid="{D5CDD505-2E9C-101B-9397-08002B2CF9AE}" pid="5" name="_AuthorEmail">
    <vt:lpwstr>maps@pc.gov.au</vt:lpwstr>
  </property>
  <property fmtid="{D5CDD505-2E9C-101B-9397-08002B2CF9AE}" pid="6" name="_AuthorEmailDisplayName">
    <vt:lpwstr>MAPS</vt:lpwstr>
  </property>
</Properties>
</file>