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charts/chart3.xml" ContentType="application/vnd.openxmlformats-officedocument.drawingml.chart+xml"/>
  <Override PartName="/word/charts/chart4.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10DD0" w:rsidP="00610DD0">
      <w:pPr>
        <w:pStyle w:val="Chapter"/>
        <w:ind w:left="907" w:hanging="907"/>
      </w:pPr>
      <w:bookmarkStart w:id="0" w:name="ChapterNumber"/>
      <w:r>
        <w:t>4</w:t>
      </w:r>
      <w:bookmarkEnd w:id="0"/>
      <w:r>
        <w:tab/>
      </w:r>
      <w:bookmarkStart w:id="1" w:name="ChapterTitle"/>
      <w:r>
        <w:t>Australian trends in perspective</w:t>
      </w:r>
      <w:bookmarkEnd w:id="1"/>
    </w:p>
    <w:p w:rsidR="00374774" w:rsidRDefault="00374774">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4774">
        <w:tc>
          <w:tcPr>
            <w:tcW w:w="8771" w:type="dxa"/>
            <w:tcBorders>
              <w:top w:val="single" w:sz="6" w:space="0" w:color="auto"/>
              <w:bottom w:val="nil"/>
            </w:tcBorders>
          </w:tcPr>
          <w:p w:rsidR="00374774" w:rsidRDefault="00374774">
            <w:pPr>
              <w:pStyle w:val="BoxTitle"/>
            </w:pPr>
            <w:r>
              <w:t>Key points</w:t>
            </w:r>
          </w:p>
        </w:tc>
      </w:tr>
      <w:tr w:rsidR="00374774" w:rsidTr="00374774">
        <w:trPr>
          <w:cantSplit/>
          <w:trHeight w:val="800"/>
        </w:trPr>
        <w:tc>
          <w:tcPr>
            <w:tcW w:w="8771" w:type="dxa"/>
            <w:tcBorders>
              <w:top w:val="nil"/>
              <w:left w:val="single" w:sz="6" w:space="0" w:color="auto"/>
              <w:right w:val="single" w:sz="6" w:space="0" w:color="auto"/>
            </w:tcBorders>
          </w:tcPr>
          <w:p w:rsidR="00374774" w:rsidRDefault="008D1DC4" w:rsidP="00BF68E6">
            <w:pPr>
              <w:pStyle w:val="BoxListBullet"/>
            </w:pPr>
            <w:r>
              <w:t>In 2008, t</w:t>
            </w:r>
            <w:r w:rsidR="00374774">
              <w:t>he OECD f</w:t>
            </w:r>
            <w:r>
              <w:t>ound</w:t>
            </w:r>
            <w:r w:rsidR="00374774">
              <w:t xml:space="preserve"> that measured income inequality in Australia </w:t>
            </w:r>
            <w:r>
              <w:t>was</w:t>
            </w:r>
            <w:r w:rsidR="00374774">
              <w:t xml:space="preserve"> above </w:t>
            </w:r>
            <w:r>
              <w:t xml:space="preserve">the OECD </w:t>
            </w:r>
            <w:r w:rsidR="00374774">
              <w:t>average</w:t>
            </w:r>
            <w:r>
              <w:t>.</w:t>
            </w:r>
            <w:r w:rsidR="00374774">
              <w:t xml:space="preserve"> </w:t>
            </w:r>
          </w:p>
          <w:p w:rsidR="00283961" w:rsidRDefault="000F7F46" w:rsidP="00283961">
            <w:pPr>
              <w:pStyle w:val="BoxListBullet2"/>
            </w:pPr>
            <w:r>
              <w:t>Measured inequality</w:t>
            </w:r>
            <w:r w:rsidR="00374774">
              <w:t xml:space="preserve"> </w:t>
            </w:r>
            <w:r w:rsidR="008D1DC4">
              <w:t>wa</w:t>
            </w:r>
            <w:r w:rsidR="00374774">
              <w:t>s similar to other English-speaking nations</w:t>
            </w:r>
            <w:r>
              <w:t xml:space="preserve"> — slightly above New Zealand and Canada</w:t>
            </w:r>
            <w:r w:rsidR="009E644C">
              <w:t>, but less than in the United States</w:t>
            </w:r>
            <w:r w:rsidR="009067D8">
              <w:t>.</w:t>
            </w:r>
          </w:p>
          <w:p w:rsidR="00B9385D" w:rsidRDefault="00B9385D" w:rsidP="00EB2145">
            <w:pPr>
              <w:pStyle w:val="BoxListBullet"/>
            </w:pPr>
            <w:r>
              <w:t>Australia has had considerably higher levels of real income growth across this distribution than that seen in other OECD countries.</w:t>
            </w:r>
          </w:p>
          <w:p w:rsidR="00B9385D" w:rsidRDefault="000F7F46">
            <w:pPr>
              <w:pStyle w:val="BoxListBullet2"/>
            </w:pPr>
            <w:r>
              <w:t>R</w:t>
            </w:r>
            <w:r w:rsidR="00B9385D">
              <w:t>eal equivalised disposable household income for the top decile grew by 4.5 per cent over the last 20 years, while the bottom decil</w:t>
            </w:r>
            <w:r w:rsidR="00CD1CFE">
              <w:t>e grew by 3 per cent</w:t>
            </w:r>
            <w:r w:rsidR="00B9385D">
              <w:t>.</w:t>
            </w:r>
          </w:p>
          <w:p w:rsidR="00B9385D" w:rsidRDefault="00B9385D" w:rsidP="00EB2145">
            <w:pPr>
              <w:pStyle w:val="BoxListBullet"/>
            </w:pPr>
            <w:r>
              <w:t>The difficulties in estimating inequality consistently within one country are amplified when making international c</w:t>
            </w:r>
            <w:bookmarkStart w:id="3" w:name="_GoBack"/>
            <w:bookmarkEnd w:id="3"/>
            <w:r>
              <w:t>omparisons. Concepts of income, different years of analysis and varying business cycles will all influence trends.</w:t>
            </w:r>
          </w:p>
          <w:p w:rsidR="00B9385D" w:rsidRDefault="00B9385D">
            <w:pPr>
              <w:pStyle w:val="BoxListBullet2"/>
            </w:pPr>
            <w:r>
              <w:t xml:space="preserve">Despite these difficulties, international comparisons of broad trends can be insightful. In particular they can highlight where the Australian experience is a reflection of developments in </w:t>
            </w:r>
            <w:r w:rsidR="000F7F46">
              <w:t>other</w:t>
            </w:r>
            <w:r>
              <w:t xml:space="preserve"> economies, and where the experience differs.</w:t>
            </w:r>
          </w:p>
          <w:p w:rsidR="00374774" w:rsidRDefault="00374774" w:rsidP="00BF68E6">
            <w:pPr>
              <w:pStyle w:val="BoxListBullet"/>
            </w:pPr>
            <w:r>
              <w:t xml:space="preserve">Comparisons between the </w:t>
            </w:r>
            <w:r w:rsidR="009067D8">
              <w:t xml:space="preserve">trends </w:t>
            </w:r>
            <w:r w:rsidR="00893D88">
              <w:t xml:space="preserve">in proximate factors </w:t>
            </w:r>
            <w:r w:rsidR="009067D8">
              <w:t>identified by the O</w:t>
            </w:r>
            <w:r>
              <w:t>ECD</w:t>
            </w:r>
            <w:r w:rsidR="00B9385D">
              <w:t xml:space="preserve"> from the mid</w:t>
            </w:r>
            <w:r w:rsidR="00B9385D">
              <w:noBreakHyphen/>
              <w:t>1980s to late</w:t>
            </w:r>
            <w:r w:rsidR="00B9385D">
              <w:noBreakHyphen/>
              <w:t>2000s</w:t>
            </w:r>
            <w:r>
              <w:t xml:space="preserve"> and those in this study</w:t>
            </w:r>
            <w:r w:rsidR="00B9385D">
              <w:t xml:space="preserve"> over a similar time period (1988-89 to 2009-10)</w:t>
            </w:r>
            <w:r>
              <w:t xml:space="preserve"> reveal some similarities and </w:t>
            </w:r>
            <w:r w:rsidR="00AF6AAC">
              <w:t xml:space="preserve">some </w:t>
            </w:r>
            <w:r>
              <w:t>differences</w:t>
            </w:r>
            <w:r w:rsidR="000F7F46">
              <w:t>.</w:t>
            </w:r>
          </w:p>
          <w:p w:rsidR="00374774" w:rsidRDefault="000F7F46" w:rsidP="00BF68E6">
            <w:pPr>
              <w:pStyle w:val="BoxListBullet2"/>
            </w:pPr>
            <w:r>
              <w:t>F</w:t>
            </w:r>
            <w:r w:rsidR="00374774">
              <w:t xml:space="preserve">or individuals, increases in full-time earnings, hourly wage dispersion, and the share of part-time </w:t>
            </w:r>
            <w:r w:rsidR="009067D8">
              <w:t>work</w:t>
            </w:r>
            <w:r w:rsidR="00374774">
              <w:t xml:space="preserve"> has increased measured inequality in Australia and most OECD countries</w:t>
            </w:r>
          </w:p>
          <w:p w:rsidR="00CC11C4" w:rsidRDefault="000F7F46" w:rsidP="00BF68E6">
            <w:pPr>
              <w:pStyle w:val="BoxListBullet2"/>
            </w:pPr>
            <w:r>
              <w:t>F</w:t>
            </w:r>
            <w:r w:rsidR="008D1DC4">
              <w:t xml:space="preserve">or households, </w:t>
            </w:r>
            <w:r w:rsidR="003963C4">
              <w:t xml:space="preserve">although </w:t>
            </w:r>
            <w:r w:rsidR="00500A57">
              <w:t xml:space="preserve">the measures </w:t>
            </w:r>
            <w:r w:rsidR="00893D88">
              <w:t xml:space="preserve">used </w:t>
            </w:r>
            <w:r w:rsidR="00500A57">
              <w:t xml:space="preserve">are </w:t>
            </w:r>
            <w:r w:rsidR="003963C4">
              <w:t xml:space="preserve">not strictly comparable, </w:t>
            </w:r>
            <w:r w:rsidR="00CC11C4">
              <w:t xml:space="preserve">it appears the </w:t>
            </w:r>
            <w:r w:rsidR="00500A57">
              <w:t xml:space="preserve">equalising </w:t>
            </w:r>
            <w:r w:rsidR="00CC11C4">
              <w:t>impact of rising employment</w:t>
            </w:r>
            <w:r w:rsidR="00500A57">
              <w:t xml:space="preserve"> </w:t>
            </w:r>
            <w:r w:rsidR="00CC11C4">
              <w:t xml:space="preserve">has been stronger in Australia than other OECD countries. In Australia, rising employment (particularly in lower incomes deciles) has offset increases in individual labour force earnings inequality. In contrast, in most OECD countries </w:t>
            </w:r>
            <w:r>
              <w:t xml:space="preserve">increases </w:t>
            </w:r>
            <w:r w:rsidR="00CC11C4">
              <w:t xml:space="preserve">in individual labour force earnings </w:t>
            </w:r>
            <w:r>
              <w:t xml:space="preserve">inequality </w:t>
            </w:r>
            <w:r w:rsidR="00CC11C4">
              <w:t xml:space="preserve">have tended to be larger than offsetting employment effects, </w:t>
            </w:r>
            <w:r w:rsidR="00767B85">
              <w:t xml:space="preserve">and </w:t>
            </w:r>
            <w:r w:rsidR="00CC11C4">
              <w:t>are cited as a key driver of rising household inequality.</w:t>
            </w:r>
          </w:p>
          <w:p w:rsidR="00374774" w:rsidRDefault="00374774">
            <w:pPr>
              <w:pStyle w:val="BoxListBullet"/>
              <w:rPr>
                <w:szCs w:val="24"/>
              </w:rPr>
            </w:pPr>
            <w:r>
              <w:t xml:space="preserve">Further work is required to understand the factors </w:t>
            </w:r>
            <w:r w:rsidR="000F7F46">
              <w:t>underlying</w:t>
            </w:r>
            <w:r>
              <w:t xml:space="preserve"> change</w:t>
            </w:r>
            <w:r w:rsidR="0037408A">
              <w:t>s</w:t>
            </w:r>
            <w:r>
              <w:t xml:space="preserve"> in relative wages </w:t>
            </w:r>
            <w:r w:rsidR="0037408A">
              <w:t xml:space="preserve">and participation rates, and </w:t>
            </w:r>
            <w:r>
              <w:t>the impacts of government policies on changes in Australia’s distribution of income.</w:t>
            </w:r>
          </w:p>
        </w:tc>
      </w:tr>
      <w:tr w:rsidR="00374774">
        <w:trPr>
          <w:cantSplit/>
        </w:trPr>
        <w:tc>
          <w:tcPr>
            <w:tcW w:w="8771" w:type="dxa"/>
            <w:tcBorders>
              <w:top w:val="nil"/>
              <w:left w:val="single" w:sz="6" w:space="0" w:color="auto"/>
              <w:bottom w:val="single" w:sz="6" w:space="0" w:color="auto"/>
              <w:right w:val="single" w:sz="6" w:space="0" w:color="auto"/>
            </w:tcBorders>
          </w:tcPr>
          <w:p w:rsidR="00374774" w:rsidRDefault="00374774">
            <w:pPr>
              <w:pStyle w:val="Box"/>
              <w:spacing w:before="0" w:line="120" w:lineRule="exact"/>
            </w:pPr>
          </w:p>
        </w:tc>
      </w:tr>
      <w:tr w:rsidR="00374774" w:rsidRPr="000863A5">
        <w:tc>
          <w:tcPr>
            <w:tcW w:w="8771" w:type="dxa"/>
            <w:tcBorders>
              <w:top w:val="nil"/>
              <w:left w:val="nil"/>
              <w:bottom w:val="nil"/>
              <w:right w:val="nil"/>
            </w:tcBorders>
          </w:tcPr>
          <w:p w:rsidR="00374774" w:rsidRPr="00626D32" w:rsidRDefault="00374774" w:rsidP="00374774">
            <w:pPr>
              <w:pStyle w:val="BoxSpaceBelow"/>
            </w:pPr>
          </w:p>
        </w:tc>
      </w:tr>
    </w:tbl>
    <w:p w:rsidR="009B05FD" w:rsidRDefault="003A361B" w:rsidP="001A6495">
      <w:pPr>
        <w:pStyle w:val="BodyText"/>
      </w:pPr>
      <w:r>
        <w:t>Changes</w:t>
      </w:r>
      <w:r w:rsidR="00EE646C">
        <w:t xml:space="preserve"> in the distribution of individual and household incomes have been identified in chapters 2 and 3</w:t>
      </w:r>
      <w:r w:rsidR="00EC1E8D">
        <w:t xml:space="preserve"> of this report</w:t>
      </w:r>
      <w:r w:rsidR="00F42D42">
        <w:t>.</w:t>
      </w:r>
      <w:r w:rsidR="009B05FD">
        <w:t xml:space="preserve"> </w:t>
      </w:r>
      <w:r w:rsidR="00EC1E8D">
        <w:t xml:space="preserve">In this chapter, the degree to which </w:t>
      </w:r>
      <w:r w:rsidR="00EE646C">
        <w:t>these</w:t>
      </w:r>
      <w:r w:rsidR="00EC1E8D">
        <w:t xml:space="preserve"> </w:t>
      </w:r>
      <w:r>
        <w:t>change</w:t>
      </w:r>
      <w:r w:rsidR="00EC1E8D">
        <w:t>s</w:t>
      </w:r>
      <w:r w:rsidR="00EE646C">
        <w:t xml:space="preserve"> are </w:t>
      </w:r>
      <w:r w:rsidR="00AF6AAC">
        <w:t>mirrored in</w:t>
      </w:r>
      <w:r w:rsidR="00A470E9">
        <w:t xml:space="preserve"> </w:t>
      </w:r>
      <w:r w:rsidR="00EE646C">
        <w:t>other OECD countries</w:t>
      </w:r>
      <w:r w:rsidR="00EC1E8D">
        <w:t xml:space="preserve"> is explored and areas for </w:t>
      </w:r>
      <w:r w:rsidR="00EC1E8D">
        <w:lastRenderedPageBreak/>
        <w:t>further work suggested.</w:t>
      </w:r>
      <w:r w:rsidR="00893D88">
        <w:t xml:space="preserve"> </w:t>
      </w:r>
      <w:r w:rsidR="005A24E9">
        <w:t xml:space="preserve">As the OECD </w:t>
      </w:r>
      <w:r w:rsidR="00DC21B4">
        <w:t>conducts</w:t>
      </w:r>
      <w:r w:rsidR="005A24E9">
        <w:t xml:space="preserve"> its analysis and </w:t>
      </w:r>
      <w:r w:rsidR="00DC21B4">
        <w:t xml:space="preserve">country </w:t>
      </w:r>
      <w:r w:rsidR="005A24E9">
        <w:t xml:space="preserve">comparisons </w:t>
      </w:r>
      <w:r w:rsidR="00DC21B4">
        <w:t>using estimated Gini coefficients</w:t>
      </w:r>
      <w:r w:rsidR="002E5EA8">
        <w:t>,</w:t>
      </w:r>
      <w:r w:rsidR="00DC21B4">
        <w:t xml:space="preserve"> the chapter follows this approach.</w:t>
      </w:r>
    </w:p>
    <w:p w:rsidR="005A24E9" w:rsidRDefault="005A24E9" w:rsidP="005A24E9">
      <w:pPr>
        <w:pStyle w:val="BodyText"/>
      </w:pPr>
      <w:r>
        <w:t xml:space="preserve">The difficulties in estimating inequality consistently within one country are amplified when making international comparisons. Concepts of income, differences in the years analysed and varying business cycles will all influence trends. In addition to understanding the broader growth context, care is needed to ensure the same income measures are being compared across countries. </w:t>
      </w:r>
      <w:r w:rsidR="002E5EA8">
        <w:t>The broad OECD comparisons</w:t>
      </w:r>
      <w:r>
        <w:t xml:space="preserve"> are based around comparisons of equivalised disposable household income. Yet, as the analysis in chapter 3 demonstrated, in-kind benefits can make a major contribution to the final income of household members.</w:t>
      </w:r>
    </w:p>
    <w:p w:rsidR="005A24E9" w:rsidRPr="007D4323" w:rsidRDefault="005A24E9" w:rsidP="005A24E9">
      <w:pPr>
        <w:pStyle w:val="BodyText"/>
      </w:pPr>
      <w:r w:rsidRPr="00BF68E6">
        <w:t>Another problem is accessing data for a common year. If th</w:t>
      </w:r>
      <w:r>
        <w:t>ese are</w:t>
      </w:r>
      <w:r w:rsidRPr="00BF68E6">
        <w:t xml:space="preserve"> not available the validity of the comparison can be limited where there have been major global events</w:t>
      </w:r>
      <w:r w:rsidR="00F65592">
        <w:t>,</w:t>
      </w:r>
      <w:r w:rsidRPr="00BF68E6">
        <w:t xml:space="preserve"> such as the global financial crisis</w:t>
      </w:r>
      <w:r w:rsidR="00F65592">
        <w:t xml:space="preserve">, that affect </w:t>
      </w:r>
      <w:r w:rsidRPr="00BF68E6">
        <w:t xml:space="preserve">. The OECD attempt to overcome differences in the availability of data across countries by categorising years into groups, late-2000s </w:t>
      </w:r>
      <w:r w:rsidR="00A6419E">
        <w:t xml:space="preserve">and </w:t>
      </w:r>
      <w:r w:rsidRPr="00BF68E6">
        <w:t>mid-2000s</w:t>
      </w:r>
      <w:r w:rsidR="00A6419E">
        <w:t xml:space="preserve"> </w:t>
      </w:r>
      <w:r w:rsidRPr="00BF68E6">
        <w:t>for example. Within each time period the actual survey year varies between countries, Australia’s late</w:t>
      </w:r>
      <w:r w:rsidR="002E5EA8">
        <w:t>-2000s data comes from the 2007</w:t>
      </w:r>
      <w:r w:rsidR="002E5EA8">
        <w:noBreakHyphen/>
      </w:r>
      <w:r w:rsidRPr="00BF68E6">
        <w:t xml:space="preserve">08 SIH and Japan’s data </w:t>
      </w:r>
      <w:r>
        <w:t>are</w:t>
      </w:r>
      <w:r w:rsidRPr="00BF68E6">
        <w:t xml:space="preserve"> from a 2006 survey, both years pre-date the global financial crisis</w:t>
      </w:r>
      <w:r>
        <w:t>. O</w:t>
      </w:r>
      <w:r w:rsidRPr="00BF68E6">
        <w:t xml:space="preserve">n the other hand New Zealand’s data </w:t>
      </w:r>
      <w:r>
        <w:t>are</w:t>
      </w:r>
      <w:r w:rsidRPr="00BF68E6">
        <w:t xml:space="preserve"> from 2008-09, </w:t>
      </w:r>
      <w:r w:rsidR="002E5EA8">
        <w:t>a crisis year</w:t>
      </w:r>
      <w:r w:rsidRPr="00BF68E6">
        <w:t>.</w:t>
      </w:r>
      <w:r>
        <w:t xml:space="preserve"> </w:t>
      </w:r>
    </w:p>
    <w:p w:rsidR="005A24E9" w:rsidRDefault="005A24E9" w:rsidP="005A24E9">
      <w:pPr>
        <w:pStyle w:val="BodyText"/>
      </w:pPr>
      <w:r>
        <w:t xml:space="preserve">On a different note, the timing of the survey instrument relative to a country’s business cycle can also affect the distribution of income, so it may not be relevant to compare the same year if countries are at a very different point in the cycle. </w:t>
      </w:r>
    </w:p>
    <w:p w:rsidR="005A24E9" w:rsidRDefault="005A24E9" w:rsidP="001A6495">
      <w:pPr>
        <w:pStyle w:val="BodyText"/>
      </w:pPr>
      <w:r>
        <w:t>Despite these difficulties, international comparisons of broad trends can be insightful. In particular</w:t>
      </w:r>
      <w:r w:rsidR="002E5EA8">
        <w:t>,</w:t>
      </w:r>
      <w:r>
        <w:t xml:space="preserve"> they can highlight where the Australian experience </w:t>
      </w:r>
      <w:r w:rsidR="002E5EA8">
        <w:t>parallels</w:t>
      </w:r>
      <w:r>
        <w:t xml:space="preserve"> developments in most developed economies, and where the experience differs. This comparison is most useful for examining the factors that can </w:t>
      </w:r>
      <w:r w:rsidR="0046280E">
        <w:t>affect</w:t>
      </w:r>
      <w:r>
        <w:t xml:space="preserve"> the distribution of income. The next two sections compare the broad trends in these proximate factors (that underlie broader distributional changes) for OECD countries with those found in this study for Australia. Trends observed in the HES data in this study are compared against those identified </w:t>
      </w:r>
      <w:r w:rsidR="009A5D78">
        <w:t xml:space="preserve">in the OECD’s 2011 </w:t>
      </w:r>
      <w:r w:rsidR="009A5D78" w:rsidRPr="00872BEF">
        <w:rPr>
          <w:i/>
        </w:rPr>
        <w:t>Divided We Stand</w:t>
      </w:r>
      <w:r w:rsidR="009A5D78">
        <w:t xml:space="preserve"> report</w:t>
      </w:r>
      <w:r>
        <w:t>.</w:t>
      </w:r>
    </w:p>
    <w:p w:rsidR="001A6A1E" w:rsidRDefault="00610DD0" w:rsidP="001A6A1E">
      <w:pPr>
        <w:pStyle w:val="Heading2"/>
      </w:pPr>
      <w:r>
        <w:t>4.</w:t>
      </w:r>
      <w:r w:rsidR="00D7751A">
        <w:rPr>
          <w:noProof/>
        </w:rPr>
        <w:t>1</w:t>
      </w:r>
      <w:r w:rsidR="001A6A1E">
        <w:tab/>
      </w:r>
      <w:r w:rsidR="00C67B70">
        <w:t>The wider context for comparison</w:t>
      </w:r>
    </w:p>
    <w:p w:rsidR="00686B6E" w:rsidRPr="00C67B70" w:rsidRDefault="00686B6E" w:rsidP="001A6495">
      <w:pPr>
        <w:pStyle w:val="Heading4"/>
      </w:pPr>
      <w:r>
        <w:t>Australia’s current position</w:t>
      </w:r>
    </w:p>
    <w:p w:rsidR="003A7E22" w:rsidRDefault="00573F80" w:rsidP="003A7E22">
      <w:pPr>
        <w:pStyle w:val="BodyText"/>
      </w:pPr>
      <w:r>
        <w:t>Based on OECD estimates, in 2008</w:t>
      </w:r>
      <w:r w:rsidR="003A7E22">
        <w:t xml:space="preserve"> Australia’s distribution of household income </w:t>
      </w:r>
      <w:r w:rsidR="00F111A9">
        <w:t>(</w:t>
      </w:r>
      <w:r w:rsidR="00F111A9" w:rsidRPr="00B42DB8">
        <w:t xml:space="preserve">based on </w:t>
      </w:r>
      <w:r w:rsidR="00F111A9">
        <w:t>equivalised</w:t>
      </w:r>
      <w:r w:rsidR="00F111A9" w:rsidRPr="00B42DB8">
        <w:t xml:space="preserve"> disposable household income</w:t>
      </w:r>
      <w:r w:rsidR="00F111A9">
        <w:t xml:space="preserve">) </w:t>
      </w:r>
      <w:r w:rsidR="003A7E22">
        <w:t>was more unequal</w:t>
      </w:r>
      <w:r w:rsidR="00887FB0">
        <w:t xml:space="preserve"> than most </w:t>
      </w:r>
      <w:r w:rsidR="00887FB0">
        <w:lastRenderedPageBreak/>
        <w:t xml:space="preserve">other OECD countries. </w:t>
      </w:r>
      <w:r>
        <w:t>Australia had</w:t>
      </w:r>
      <w:r w:rsidR="00887FB0">
        <w:t xml:space="preserve"> a</w:t>
      </w:r>
      <w:r w:rsidR="00F111A9">
        <w:t xml:space="preserve"> Gini coefficient</w:t>
      </w:r>
      <w:r w:rsidR="00887FB0">
        <w:t xml:space="preserve"> of</w:t>
      </w:r>
      <w:r w:rsidR="00F111A9">
        <w:t xml:space="preserve"> 0.336</w:t>
      </w:r>
      <w:r w:rsidR="003A7E22">
        <w:t xml:space="preserve"> </w:t>
      </w:r>
      <w:r w:rsidR="00887FB0">
        <w:t>compared to</w:t>
      </w:r>
      <w:r w:rsidR="003A7E22">
        <w:t xml:space="preserve"> the OECD average of 0.31</w:t>
      </w:r>
      <w:r w:rsidR="00F111A9">
        <w:t>5</w:t>
      </w:r>
      <w:r w:rsidR="003A7E22">
        <w:t xml:space="preserve"> (</w:t>
      </w:r>
      <w:r w:rsidR="00F111A9">
        <w:t>figure </w:t>
      </w:r>
      <w:r w:rsidR="00A470E9">
        <w:t>4.1</w:t>
      </w:r>
      <w:r w:rsidR="00F111A9">
        <w:t>)</w:t>
      </w:r>
      <w:r w:rsidR="00AF6AAC">
        <w:rPr>
          <w:rStyle w:val="FootnoteReference"/>
        </w:rPr>
        <w:footnoteReference w:id="1"/>
      </w:r>
      <w:r w:rsidR="003A7E22">
        <w:t xml:space="preserve">. </w:t>
      </w:r>
      <w:r w:rsidR="00887FB0">
        <w:t xml:space="preserve">This </w:t>
      </w:r>
      <w:r w:rsidR="00A43289">
        <w:t>was not unusual for</w:t>
      </w:r>
      <w:r>
        <w:t xml:space="preserve"> the English-speaking countries</w:t>
      </w:r>
      <w:r w:rsidR="00887FB0">
        <w:t xml:space="preserve"> — </w:t>
      </w:r>
      <w:r w:rsidR="00A43289">
        <w:t>Australia’s Gini coeffi</w:t>
      </w:r>
      <w:r w:rsidR="00686B6E">
        <w:t>ci</w:t>
      </w:r>
      <w:r w:rsidR="00887FB0">
        <w:t>ent wa</w:t>
      </w:r>
      <w:r w:rsidR="00A43289">
        <w:t xml:space="preserve">s below that of </w:t>
      </w:r>
      <w:r w:rsidR="003A7E22">
        <w:t xml:space="preserve">Great Britain and the </w:t>
      </w:r>
      <w:r w:rsidR="00EB14C6">
        <w:t>United States</w:t>
      </w:r>
      <w:r w:rsidR="00A43289">
        <w:t>, and slightly above New Zealand and Canada</w:t>
      </w:r>
      <w:r w:rsidR="003A7E22">
        <w:t xml:space="preserve"> (Ireland is the exception as it is below the OECD average). </w:t>
      </w:r>
    </w:p>
    <w:p w:rsidR="003A7E22" w:rsidRDefault="003A7E22" w:rsidP="003A7E22">
      <w:pPr>
        <w:pStyle w:val="FigureTitle"/>
      </w:pPr>
      <w:r>
        <w:rPr>
          <w:b w:val="0"/>
        </w:rPr>
        <w:t xml:space="preserve">Figure </w:t>
      </w:r>
      <w:bookmarkStart w:id="4" w:name="OLE_LINK3"/>
      <w:r w:rsidR="00610DD0">
        <w:rPr>
          <w:b w:val="0"/>
        </w:rPr>
        <w:t>4.</w:t>
      </w:r>
      <w:r w:rsidR="00D7751A">
        <w:rPr>
          <w:b w:val="0"/>
          <w:noProof/>
        </w:rPr>
        <w:t>1</w:t>
      </w:r>
      <w:bookmarkEnd w:id="4"/>
      <w:r>
        <w:tab/>
        <w:t>Household Gini coefficients of selected OECD countries</w:t>
      </w:r>
      <w:r w:rsidR="001A6495">
        <w:t xml:space="preserve">, </w:t>
      </w:r>
      <w:r w:rsidR="00242FBC">
        <w:t>late</w:t>
      </w:r>
      <w:r w:rsidR="00981A0C">
        <w:noBreakHyphen/>
      </w:r>
      <w:r w:rsidR="00242FBC">
        <w:t>2000s</w:t>
      </w:r>
    </w:p>
    <w:p w:rsidR="00242FBC" w:rsidRPr="00242FBC" w:rsidRDefault="00242FBC" w:rsidP="00242FBC">
      <w:pPr>
        <w:pStyle w:val="Subtitle"/>
      </w:pPr>
      <w:r>
        <w:t>Gini coefficient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A7E22" w:rsidTr="003A7E22">
        <w:tc>
          <w:tcPr>
            <w:tcW w:w="8777" w:type="dxa"/>
          </w:tcPr>
          <w:p w:rsidR="003A7E22" w:rsidRDefault="00242FBC" w:rsidP="003A7E22">
            <w:pPr>
              <w:pStyle w:val="Figure"/>
            </w:pPr>
            <w:r>
              <w:rPr>
                <w:noProof/>
              </w:rPr>
              <w:drawing>
                <wp:inline distT="0" distB="0" distL="0" distR="0" wp14:anchorId="2BDE58FA" wp14:editId="0C084045">
                  <wp:extent cx="5693434" cy="2760453"/>
                  <wp:effectExtent l="0" t="0" r="2540" b="1905"/>
                  <wp:docPr id="3" name="Chart 3" descr="Depicts the Gini coefficient for OECD countries. Australia had a Gini coefficient of 0.336 compared to the OECD average of 0.315. This was not unusual for the English-speaking countries — Australia’s Gini coefficient was below that of Great Britain and the United States, and slightly above New Zealand and Canada (Ireland is the exception as it is below the OECD average)." title="Figure 4.1 Household Gini coefficients of selected OECD countries, late 2000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A7E22" w:rsidRDefault="003A7E22" w:rsidP="003A7E22">
      <w:pPr>
        <w:pStyle w:val="Source"/>
      </w:pPr>
      <w:r>
        <w:rPr>
          <w:i/>
        </w:rPr>
        <w:t>Data source</w:t>
      </w:r>
      <w:r w:rsidRPr="00167F06">
        <w:t xml:space="preserve">: </w:t>
      </w:r>
      <w:r w:rsidR="00242FBC">
        <w:t>OECD (2012a</w:t>
      </w:r>
      <w:r>
        <w:t xml:space="preserve">). </w:t>
      </w:r>
    </w:p>
    <w:p w:rsidR="00E063A5" w:rsidRPr="0076198E" w:rsidRDefault="00E063A5" w:rsidP="001A6495">
      <w:pPr>
        <w:pStyle w:val="BodyText"/>
        <w:rPr>
          <w:rStyle w:val="DraftingNote"/>
          <w:b w:val="0"/>
          <w:color w:val="auto"/>
          <w:sz w:val="26"/>
          <w:u w:val="none"/>
        </w:rPr>
      </w:pPr>
      <w:r w:rsidRPr="00BF68E6">
        <w:t xml:space="preserve">Australia </w:t>
      </w:r>
      <w:r w:rsidR="00500A57">
        <w:t>achieves</w:t>
      </w:r>
      <w:r w:rsidR="00500A57" w:rsidRPr="00BF68E6">
        <w:t xml:space="preserve"> </w:t>
      </w:r>
      <w:r w:rsidRPr="00BF68E6">
        <w:t>a relatively large reduction in</w:t>
      </w:r>
      <w:r w:rsidR="00DA6DCA" w:rsidRPr="00BF68E6">
        <w:t xml:space="preserve"> market income</w:t>
      </w:r>
      <w:r w:rsidRPr="00BF68E6">
        <w:t xml:space="preserve"> inequality from </w:t>
      </w:r>
      <w:r w:rsidR="00DA6DCA" w:rsidRPr="00BF68E6">
        <w:t>direct government payments</w:t>
      </w:r>
      <w:r w:rsidR="00DD3908">
        <w:t>, reducing the Gini coefficient by 0.097</w:t>
      </w:r>
      <w:r w:rsidR="0097390D">
        <w:t xml:space="preserve"> (about 20 per cent)</w:t>
      </w:r>
      <w:r w:rsidR="00DD3908">
        <w:t>,</w:t>
      </w:r>
      <w:r w:rsidRPr="00BF68E6">
        <w:t xml:space="preserve"> compared to most other OECD</w:t>
      </w:r>
      <w:r w:rsidR="00A470E9">
        <w:t xml:space="preserve"> countries</w:t>
      </w:r>
      <w:r w:rsidR="00DD3908">
        <w:t xml:space="preserve"> </w:t>
      </w:r>
      <w:r w:rsidR="00A470E9">
        <w:t>(</w:t>
      </w:r>
      <w:r w:rsidR="00DD3908">
        <w:t xml:space="preserve">with the average </w:t>
      </w:r>
      <w:r w:rsidR="00A470E9">
        <w:t xml:space="preserve">reduction </w:t>
      </w:r>
      <w:r w:rsidR="00DD3908">
        <w:t>being 0.078</w:t>
      </w:r>
      <w:r w:rsidR="002810FB">
        <w:t xml:space="preserve"> or 17 per cent</w:t>
      </w:r>
      <w:r w:rsidR="00A470E9">
        <w:t>)</w:t>
      </w:r>
      <w:r w:rsidR="0097390D">
        <w:t xml:space="preserve"> (OECD 2008)</w:t>
      </w:r>
      <w:r w:rsidR="00A470E9">
        <w:t xml:space="preserve">. At the same time, it has </w:t>
      </w:r>
      <w:r w:rsidRPr="00BF68E6">
        <w:t xml:space="preserve">one of the lowest levels of </w:t>
      </w:r>
      <w:r w:rsidR="00893D88">
        <w:t xml:space="preserve">transfer </w:t>
      </w:r>
      <w:r w:rsidR="00DA6DCA" w:rsidRPr="00BF68E6">
        <w:t>payments</w:t>
      </w:r>
      <w:r w:rsidRPr="00BF68E6">
        <w:t xml:space="preserve"> as a proportion of household disposable</w:t>
      </w:r>
      <w:r w:rsidR="0076198E" w:rsidRPr="00BF68E6">
        <w:t xml:space="preserve"> </w:t>
      </w:r>
      <w:r w:rsidR="00DA6DCA" w:rsidRPr="00BF68E6">
        <w:t>income</w:t>
      </w:r>
      <w:r w:rsidR="00DD3908">
        <w:t>, 14</w:t>
      </w:r>
      <w:r w:rsidR="0046280E">
        <w:t> </w:t>
      </w:r>
      <w:r w:rsidR="00DD3908">
        <w:t>per</w:t>
      </w:r>
      <w:r w:rsidR="0046280E">
        <w:t> </w:t>
      </w:r>
      <w:r w:rsidR="00DD3908">
        <w:t>cent</w:t>
      </w:r>
      <w:r w:rsidR="00DA6DCA">
        <w:t xml:space="preserve"> </w:t>
      </w:r>
      <w:r w:rsidR="00DD3908">
        <w:t>of household disposable income compared to 21</w:t>
      </w:r>
      <w:r w:rsidR="0046280E">
        <w:t> </w:t>
      </w:r>
      <w:r w:rsidR="00DD3908">
        <w:t>per</w:t>
      </w:r>
      <w:r w:rsidR="0046280E">
        <w:t> </w:t>
      </w:r>
      <w:r w:rsidR="00DD3908">
        <w:t xml:space="preserve">cent </w:t>
      </w:r>
      <w:r w:rsidR="0076198E" w:rsidRPr="00BF68E6">
        <w:t>(OECD 2008)</w:t>
      </w:r>
      <w:r w:rsidRPr="00BF68E6">
        <w:t xml:space="preserve">. </w:t>
      </w:r>
      <w:r w:rsidR="00A470E9">
        <w:t xml:space="preserve">These features coincide as </w:t>
      </w:r>
      <w:r w:rsidRPr="00BF68E6">
        <w:t>a result of Australia having one of the most progressively targeted cash transfer systems</w:t>
      </w:r>
      <w:r w:rsidR="00A470E9">
        <w:t xml:space="preserve"> in the OECD (Whiteford 2010)</w:t>
      </w:r>
      <w:r w:rsidRPr="00BF68E6">
        <w:t xml:space="preserve">. </w:t>
      </w:r>
      <w:r w:rsidR="0076198E" w:rsidRPr="00BF68E6">
        <w:t xml:space="preserve">In-kind transfers (such as </w:t>
      </w:r>
      <w:r w:rsidR="0046280E">
        <w:t>government supported</w:t>
      </w:r>
      <w:r w:rsidR="0046280E" w:rsidRPr="00BF68E6">
        <w:t xml:space="preserve"> </w:t>
      </w:r>
      <w:r w:rsidR="0076198E" w:rsidRPr="00BF68E6">
        <w:t>health and education services) reduce Australia’s Gini coefficient by a further 17</w:t>
      </w:r>
      <w:r w:rsidR="0046280E">
        <w:t> </w:t>
      </w:r>
      <w:r w:rsidR="0076198E" w:rsidRPr="00BF68E6">
        <w:t>per</w:t>
      </w:r>
      <w:r w:rsidR="0046280E">
        <w:t> </w:t>
      </w:r>
      <w:r w:rsidR="0076198E" w:rsidRPr="00BF68E6">
        <w:t xml:space="preserve">cent </w:t>
      </w:r>
      <w:r w:rsidR="009E644C">
        <w:t xml:space="preserve">(a reduction of 0.052) </w:t>
      </w:r>
      <w:r w:rsidR="0076198E" w:rsidRPr="00BF68E6">
        <w:t xml:space="preserve">which is slightly less than the OECD average inequality reduction of 20 per cent </w:t>
      </w:r>
      <w:r w:rsidR="009E644C">
        <w:t xml:space="preserve">(reducing the OECD Gini by 0.059) </w:t>
      </w:r>
      <w:r w:rsidR="0076198E" w:rsidRPr="00BF68E6">
        <w:t>(OECD 2011)</w:t>
      </w:r>
      <w:r w:rsidR="00500A57">
        <w:rPr>
          <w:rStyle w:val="FootnoteReference"/>
        </w:rPr>
        <w:footnoteReference w:id="2"/>
      </w:r>
      <w:r w:rsidR="0076198E" w:rsidRPr="00BF68E6">
        <w:t>.</w:t>
      </w:r>
    </w:p>
    <w:p w:rsidR="00686B6E" w:rsidRDefault="00686B6E" w:rsidP="00EB2145">
      <w:pPr>
        <w:pStyle w:val="Heading4"/>
        <w:spacing w:before="360"/>
      </w:pPr>
      <w:r>
        <w:lastRenderedPageBreak/>
        <w:t xml:space="preserve">Recent </w:t>
      </w:r>
      <w:r w:rsidR="00500A57">
        <w:t>changes</w:t>
      </w:r>
    </w:p>
    <w:p w:rsidR="009A188E" w:rsidRDefault="00573F80" w:rsidP="003A7E22">
      <w:pPr>
        <w:pStyle w:val="BodyText"/>
      </w:pPr>
      <w:r>
        <w:t>After being relatively stable between 1988-89 and 2003-04</w:t>
      </w:r>
      <w:r w:rsidR="00EB14C6">
        <w:t>, h</w:t>
      </w:r>
      <w:r w:rsidR="009A188E">
        <w:t xml:space="preserve">ousehold income inequality in Australia has </w:t>
      </w:r>
      <w:r w:rsidR="00DD718D">
        <w:t>increased (to 2009-10)</w:t>
      </w:r>
      <w:r w:rsidR="009A188E">
        <w:t xml:space="preserve">. </w:t>
      </w:r>
      <w:r w:rsidR="00DD718D">
        <w:t>These</w:t>
      </w:r>
      <w:r w:rsidR="00EB14C6">
        <w:t xml:space="preserve"> changes observed in the 2000s have been </w:t>
      </w:r>
      <w:r w:rsidR="0046280E">
        <w:t xml:space="preserve">substantial </w:t>
      </w:r>
      <w:r w:rsidR="00EB14C6">
        <w:t xml:space="preserve">by international standards, with </w:t>
      </w:r>
      <w:r w:rsidR="009A188E">
        <w:t xml:space="preserve">Australia’s Gini coefficient </w:t>
      </w:r>
      <w:r w:rsidR="00EB14C6">
        <w:t>growing</w:t>
      </w:r>
      <w:r w:rsidR="009A188E">
        <w:t xml:space="preserve"> faster than most other OECD countries (figure </w:t>
      </w:r>
      <w:r w:rsidR="00A470E9">
        <w:t>4.2</w:t>
      </w:r>
      <w:r w:rsidR="009A188E">
        <w:t xml:space="preserve">). </w:t>
      </w:r>
      <w:r w:rsidR="00002053">
        <w:t xml:space="preserve">The HES data used in this study shows the same trend, albeit with a smaller change in the Gini coefficient. </w:t>
      </w:r>
    </w:p>
    <w:p w:rsidR="003A7E22" w:rsidRDefault="003A7E22" w:rsidP="003A7E22">
      <w:pPr>
        <w:pStyle w:val="FigureTitle"/>
      </w:pPr>
      <w:bookmarkStart w:id="5" w:name="OLE_LINK4"/>
      <w:r>
        <w:rPr>
          <w:b w:val="0"/>
        </w:rPr>
        <w:t xml:space="preserve">Figure </w:t>
      </w:r>
      <w:bookmarkStart w:id="6" w:name="OLE_LINK5"/>
      <w:r w:rsidR="00610DD0">
        <w:rPr>
          <w:b w:val="0"/>
        </w:rPr>
        <w:t>4.</w:t>
      </w:r>
      <w:r w:rsidR="00D7751A">
        <w:rPr>
          <w:b w:val="0"/>
          <w:noProof/>
        </w:rPr>
        <w:t>2</w:t>
      </w:r>
      <w:bookmarkEnd w:id="5"/>
      <w:bookmarkEnd w:id="6"/>
      <w:r>
        <w:tab/>
        <w:t>Change in household Gini coefficient</w:t>
      </w:r>
      <w:r w:rsidR="00CE0CEA">
        <w:t>,</w:t>
      </w:r>
      <w:r>
        <w:t xml:space="preserve"> OECD countries, 2000 to 2008</w:t>
      </w:r>
    </w:p>
    <w:p w:rsidR="003A7E22" w:rsidRDefault="003A7E22" w:rsidP="003A7E22">
      <w:pPr>
        <w:pStyle w:val="Subtitle"/>
      </w:pPr>
      <w:r>
        <w:t>Gini coefficient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A7E22" w:rsidTr="00242FBC">
        <w:tc>
          <w:tcPr>
            <w:tcW w:w="8777" w:type="dxa"/>
          </w:tcPr>
          <w:p w:rsidR="003A7E22" w:rsidRDefault="00242FBC" w:rsidP="003A7E22">
            <w:pPr>
              <w:pStyle w:val="Figure"/>
            </w:pPr>
            <w:r>
              <w:rPr>
                <w:noProof/>
              </w:rPr>
              <w:drawing>
                <wp:inline distT="0" distB="0" distL="0" distR="0" wp14:anchorId="33965B8D" wp14:editId="2A430AD0">
                  <wp:extent cx="5400136" cy="2725947"/>
                  <wp:effectExtent l="0" t="0" r="0" b="0"/>
                  <wp:docPr id="2" name="Chart 2" descr="Depicts the change in the Gini coefficient between 2000 and 2008 for OECD countries. Australia’s Gini coefficient grew faster than most other OECD countries. " title="Figure 4.2 Change in household Gini coefficient, OECD countries, 2000 to 20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A7E22" w:rsidRDefault="003A7E22" w:rsidP="003A7E22">
      <w:pPr>
        <w:pStyle w:val="Source"/>
      </w:pPr>
      <w:r>
        <w:rPr>
          <w:i/>
        </w:rPr>
        <w:t>Data source</w:t>
      </w:r>
      <w:r w:rsidRPr="00167F06">
        <w:t xml:space="preserve">: </w:t>
      </w:r>
      <w:r>
        <w:t xml:space="preserve">OECD (2011). </w:t>
      </w:r>
    </w:p>
    <w:p w:rsidR="00931ECE" w:rsidRDefault="00931ECE" w:rsidP="001A6495">
      <w:pPr>
        <w:pStyle w:val="Heading4"/>
      </w:pPr>
      <w:r>
        <w:t>The broader context of income growth</w:t>
      </w:r>
    </w:p>
    <w:p w:rsidR="00931ECE" w:rsidRDefault="00931ECE" w:rsidP="00931ECE">
      <w:pPr>
        <w:pStyle w:val="BodyText"/>
      </w:pPr>
      <w:r>
        <w:t xml:space="preserve">The changing shape of the distribution of income, and associated changes in measures of inequality, </w:t>
      </w:r>
      <w:r w:rsidR="0046280E">
        <w:t>should</w:t>
      </w:r>
      <w:r>
        <w:t xml:space="preserve"> be seen in the context of overall growth in real incomes. While most OECD countries experienced real income growth over the past decade, the performance of the Australian economy stands out. From 19</w:t>
      </w:r>
      <w:r w:rsidR="002810FB">
        <w:t>95</w:t>
      </w:r>
      <w:r>
        <w:t xml:space="preserve"> to </w:t>
      </w:r>
      <w:r w:rsidR="002810FB">
        <w:t xml:space="preserve">the </w:t>
      </w:r>
      <w:r>
        <w:t>late 2000s Australia experienced overall</w:t>
      </w:r>
      <w:r w:rsidR="00DD3908">
        <w:t xml:space="preserve"> equivalised disposable</w:t>
      </w:r>
      <w:r>
        <w:t xml:space="preserve"> household </w:t>
      </w:r>
      <w:r>
        <w:lastRenderedPageBreak/>
        <w:t>income growth of over 3.5 per cent compared with the OECD average</w:t>
      </w:r>
      <w:r w:rsidR="002810FB">
        <w:t xml:space="preserve"> (between the mid-1980s and late 2000s)</w:t>
      </w:r>
      <w:r>
        <w:t xml:space="preserve"> of 1.7 per cent (OECD 2011).</w:t>
      </w:r>
    </w:p>
    <w:p w:rsidR="00DD718D" w:rsidRDefault="00931ECE" w:rsidP="00931ECE">
      <w:pPr>
        <w:pStyle w:val="BodyText"/>
      </w:pPr>
      <w:r>
        <w:t xml:space="preserve">In Australia, like most OECD countries, over the past two decades the </w:t>
      </w:r>
      <w:r w:rsidR="00DD718D">
        <w:t xml:space="preserve">rise in inequality is the result of </w:t>
      </w:r>
      <w:r w:rsidR="00893D88">
        <w:t xml:space="preserve">households in </w:t>
      </w:r>
      <w:r w:rsidR="00DD718D">
        <w:t xml:space="preserve">the </w:t>
      </w:r>
      <w:r>
        <w:t>top decile</w:t>
      </w:r>
      <w:r w:rsidR="00A470E9">
        <w:t>s</w:t>
      </w:r>
      <w:r>
        <w:t xml:space="preserve"> </w:t>
      </w:r>
      <w:r w:rsidR="00DD718D">
        <w:t>experiencing</w:t>
      </w:r>
      <w:r>
        <w:t xml:space="preserve"> faster growth in income </w:t>
      </w:r>
      <w:r w:rsidR="00DD718D">
        <w:t>than the bottom decile</w:t>
      </w:r>
      <w:r w:rsidR="00A470E9">
        <w:t>s</w:t>
      </w:r>
      <w:r w:rsidR="00DD718D">
        <w:t xml:space="preserve">. </w:t>
      </w:r>
      <w:r w:rsidR="00A470E9">
        <w:t>For example, a</w:t>
      </w:r>
      <w:r>
        <w:t xml:space="preserve">verage growth in real household disposable income for the top decile earners was 1.9 per cent in OECD countries, while the bottom decile experienced lower income growth of around 1.3 per cent (OECD 2011). </w:t>
      </w:r>
      <w:r w:rsidR="00A470E9">
        <w:t>Again, t</w:t>
      </w:r>
      <w:r w:rsidR="00DD718D">
        <w:t>he key difference with regard to Australia is its considerably stronger record of growth</w:t>
      </w:r>
      <w:r w:rsidR="00A470E9">
        <w:t xml:space="preserve"> across the distribution</w:t>
      </w:r>
      <w:r w:rsidR="00DD718D">
        <w:t xml:space="preserve"> — real </w:t>
      </w:r>
      <w:r w:rsidR="001A6495">
        <w:t xml:space="preserve">equivalised </w:t>
      </w:r>
      <w:r w:rsidR="00DD718D">
        <w:t>disposable household income for the top decile grew by 4.5 per cent over the last 20 years, while the bottom decile grew by 3 per cent (OECD 2011).</w:t>
      </w:r>
    </w:p>
    <w:p w:rsidR="00931ECE" w:rsidRDefault="00A470E9" w:rsidP="00931ECE">
      <w:pPr>
        <w:pStyle w:val="BodyText"/>
      </w:pPr>
      <w:r>
        <w:t xml:space="preserve">When the </w:t>
      </w:r>
      <w:r w:rsidR="00002053">
        <w:t>differen</w:t>
      </w:r>
      <w:r w:rsidR="00893D88">
        <w:t>t</w:t>
      </w:r>
      <w:r w:rsidR="00002053">
        <w:t xml:space="preserve"> income growth rates </w:t>
      </w:r>
      <w:r w:rsidR="00DD718D">
        <w:t xml:space="preserve">between the top and bottom income deciles </w:t>
      </w:r>
      <w:r>
        <w:t xml:space="preserve">are plotted against overall </w:t>
      </w:r>
      <w:r w:rsidR="00DD718D">
        <w:t>income growth</w:t>
      </w:r>
      <w:r w:rsidR="00002053">
        <w:t xml:space="preserve">, </w:t>
      </w:r>
      <w:r w:rsidR="00AF6AAC">
        <w:t>Australia is also</w:t>
      </w:r>
      <w:r w:rsidR="00C83820">
        <w:t xml:space="preserve"> </w:t>
      </w:r>
      <w:r w:rsidR="00DD718D">
        <w:t xml:space="preserve">an </w:t>
      </w:r>
      <w:r w:rsidR="00AF6AAC">
        <w:t xml:space="preserve">outlier </w:t>
      </w:r>
      <w:r>
        <w:t>(figure 4.3</w:t>
      </w:r>
      <w:r w:rsidR="00002053">
        <w:t>)</w:t>
      </w:r>
      <w:r w:rsidR="00844F22">
        <w:t>. Other</w:t>
      </w:r>
      <w:r w:rsidR="00931ECE">
        <w:t xml:space="preserve"> notable outliers </w:t>
      </w:r>
      <w:r w:rsidR="00844F22">
        <w:t>are</w:t>
      </w:r>
      <w:r w:rsidR="00931ECE">
        <w:t xml:space="preserve"> </w:t>
      </w:r>
      <w:r w:rsidR="00844F22">
        <w:t xml:space="preserve">Spain and Ireland which </w:t>
      </w:r>
      <w:r w:rsidR="00A34205">
        <w:t xml:space="preserve">had </w:t>
      </w:r>
      <w:r w:rsidR="00844F22">
        <w:t xml:space="preserve">both </w:t>
      </w:r>
      <w:r w:rsidR="00BA67A5">
        <w:t>high overall household income growth</w:t>
      </w:r>
      <w:r w:rsidR="00DB1A88">
        <w:t xml:space="preserve"> between </w:t>
      </w:r>
      <w:r w:rsidR="00CD5E15">
        <w:t xml:space="preserve">the </w:t>
      </w:r>
      <w:r w:rsidR="004F6BDA">
        <w:t>mid-1980s</w:t>
      </w:r>
      <w:r w:rsidR="00DB1A88">
        <w:t xml:space="preserve"> and 2008</w:t>
      </w:r>
      <w:r w:rsidR="00BA67A5">
        <w:t xml:space="preserve"> but </w:t>
      </w:r>
      <w:r w:rsidR="00A34205">
        <w:t>with incomes for households in the bottom decile growing f</w:t>
      </w:r>
      <w:r w:rsidR="00BA67A5">
        <w:t>aster than for those in the top</w:t>
      </w:r>
      <w:r w:rsidR="00C81A83">
        <w:t>.</w:t>
      </w:r>
      <w:r w:rsidR="00844F22">
        <w:t xml:space="preserve"> Greece and Portugal, </w:t>
      </w:r>
      <w:r w:rsidR="00931ECE">
        <w:t xml:space="preserve">along with Chile, </w:t>
      </w:r>
      <w:r w:rsidR="00844F22">
        <w:t xml:space="preserve">also </w:t>
      </w:r>
      <w:r w:rsidR="00931ECE">
        <w:t>experienced income growth in the bottom decile that e</w:t>
      </w:r>
      <w:r w:rsidR="00844F22">
        <w:t>xceeded that of the top decile.</w:t>
      </w:r>
    </w:p>
    <w:p w:rsidR="00573F80" w:rsidRDefault="00573F80" w:rsidP="00573F80">
      <w:pPr>
        <w:pStyle w:val="FigureTitle"/>
      </w:pPr>
      <w:r>
        <w:rPr>
          <w:b w:val="0"/>
        </w:rPr>
        <w:t xml:space="preserve">Figure </w:t>
      </w:r>
      <w:bookmarkStart w:id="7" w:name="OLE_LINK6"/>
      <w:r w:rsidR="00610DD0">
        <w:rPr>
          <w:b w:val="0"/>
        </w:rPr>
        <w:t>4.</w:t>
      </w:r>
      <w:r w:rsidR="00D7751A">
        <w:rPr>
          <w:b w:val="0"/>
          <w:noProof/>
        </w:rPr>
        <w:t>3</w:t>
      </w:r>
      <w:bookmarkEnd w:id="7"/>
      <w:r>
        <w:tab/>
        <w:t>Overall household income growth versus growth differences between the top and bottom deciles</w:t>
      </w:r>
      <w:r w:rsidR="000170F0">
        <w:t>,</w:t>
      </w:r>
      <w:r>
        <w:t xml:space="preserve"> OECD countries</w:t>
      </w:r>
      <w:r w:rsidR="00541CE5">
        <w:t>, mid-1980s to late 2000s</w:t>
      </w:r>
    </w:p>
    <w:p w:rsidR="00573F80" w:rsidRDefault="00C81A6B" w:rsidP="00573F80">
      <w:pPr>
        <w:pStyle w:val="Subtitle"/>
      </w:pPr>
      <w:r>
        <w:t>Per</w:t>
      </w:r>
      <w:r w:rsidR="00A6419E">
        <w:t xml:space="preserve"> </w:t>
      </w:r>
      <w:r>
        <w:t>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73F80" w:rsidTr="00410797">
        <w:tc>
          <w:tcPr>
            <w:tcW w:w="8777" w:type="dxa"/>
          </w:tcPr>
          <w:p w:rsidR="00573F80" w:rsidRDefault="00410797" w:rsidP="00002053">
            <w:pPr>
              <w:pStyle w:val="Figure"/>
            </w:pPr>
            <w:r>
              <w:rPr>
                <w:noProof/>
              </w:rPr>
              <w:drawing>
                <wp:inline distT="0" distB="0" distL="0" distR="0" wp14:anchorId="69029830" wp14:editId="23956658">
                  <wp:extent cx="5503652" cy="2717321"/>
                  <wp:effectExtent l="0" t="0" r="1905" b="6985"/>
                  <wp:docPr id="9" name="Chart 9" descr="Depicts the relationship between the difference in income growth between the top and bottom decile and average annual household income growth. More details can be found within text immediately before this image." title="Figure 4.3 Overall household income growth versus growth differences between the top and bottom deciles, OECD countries, mid-1980s to late 2000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573F80" w:rsidRDefault="00573F80" w:rsidP="00DD718D">
      <w:pPr>
        <w:pStyle w:val="Source"/>
      </w:pPr>
      <w:r>
        <w:rPr>
          <w:i/>
        </w:rPr>
        <w:t>Data source</w:t>
      </w:r>
      <w:r w:rsidRPr="00167F06">
        <w:t xml:space="preserve">: </w:t>
      </w:r>
      <w:r w:rsidR="00DD718D">
        <w:t xml:space="preserve">OECD (2011). </w:t>
      </w:r>
    </w:p>
    <w:p w:rsidR="009B05FD" w:rsidRDefault="00610DD0" w:rsidP="00C76CA8">
      <w:pPr>
        <w:pStyle w:val="Heading2"/>
      </w:pPr>
      <w:r>
        <w:lastRenderedPageBreak/>
        <w:t>4.</w:t>
      </w:r>
      <w:r w:rsidR="00D7751A">
        <w:rPr>
          <w:noProof/>
        </w:rPr>
        <w:t>2</w:t>
      </w:r>
      <w:r w:rsidR="00C76CA8">
        <w:tab/>
      </w:r>
      <w:r w:rsidR="004B6AA3">
        <w:t>Are the t</w:t>
      </w:r>
      <w:r w:rsidR="00C76CA8">
        <w:t>rends</w:t>
      </w:r>
      <w:r w:rsidR="00541CE5">
        <w:t xml:space="preserve"> observed</w:t>
      </w:r>
      <w:r w:rsidR="00C76CA8">
        <w:t xml:space="preserve"> in </w:t>
      </w:r>
      <w:r w:rsidR="004B6AA3">
        <w:t>Australia observed internationally?</w:t>
      </w:r>
    </w:p>
    <w:p w:rsidR="00A33343" w:rsidRDefault="004B6AA3" w:rsidP="00A33343">
      <w:pPr>
        <w:pStyle w:val="Heading3"/>
      </w:pPr>
      <w:r>
        <w:t>Individual earnings</w:t>
      </w:r>
      <w:r w:rsidR="00500A57">
        <w:t xml:space="preserve"> in Australia</w:t>
      </w:r>
    </w:p>
    <w:p w:rsidR="009B05FD" w:rsidRDefault="008E1D17" w:rsidP="00120072">
      <w:pPr>
        <w:pStyle w:val="BodyText"/>
      </w:pPr>
      <w:r>
        <w:t xml:space="preserve">In Australia, </w:t>
      </w:r>
      <w:r w:rsidR="00EA4ADB">
        <w:t>the largest component of individual market earnings is derived from labour force earnings</w:t>
      </w:r>
      <w:r w:rsidR="00EB14C6">
        <w:t xml:space="preserve"> </w:t>
      </w:r>
      <w:r>
        <w:t>—</w:t>
      </w:r>
      <w:r w:rsidR="00EA4ADB">
        <w:t xml:space="preserve"> </w:t>
      </w:r>
      <w:r>
        <w:t>account</w:t>
      </w:r>
      <w:r w:rsidR="00EB14C6">
        <w:t>ing</w:t>
      </w:r>
      <w:r>
        <w:t xml:space="preserve"> for, </w:t>
      </w:r>
      <w:r w:rsidR="00EA4ADB">
        <w:t xml:space="preserve">on average, </w:t>
      </w:r>
      <w:r w:rsidR="0012139F" w:rsidRPr="0012139F">
        <w:t>93</w:t>
      </w:r>
      <w:r w:rsidR="00EA4ADB">
        <w:t xml:space="preserve"> per cent of </w:t>
      </w:r>
      <w:r w:rsidR="00C81A6B">
        <w:t>market income</w:t>
      </w:r>
      <w:r w:rsidR="00EA4ADB">
        <w:t xml:space="preserve"> </w:t>
      </w:r>
      <w:r w:rsidR="007133FF">
        <w:t>between 1988-89 and 2009-10</w:t>
      </w:r>
      <w:r w:rsidR="00EA4ADB">
        <w:t xml:space="preserve">. </w:t>
      </w:r>
    </w:p>
    <w:p w:rsidR="00FC7C94" w:rsidRDefault="00EA4ADB" w:rsidP="00120072">
      <w:pPr>
        <w:pStyle w:val="BodyText"/>
      </w:pPr>
      <w:r w:rsidRPr="00EA4ADB">
        <w:t xml:space="preserve">Over </w:t>
      </w:r>
      <w:r w:rsidR="005D524F">
        <w:t>this period</w:t>
      </w:r>
      <w:r w:rsidRPr="00EA4ADB">
        <w:t>, average real labour incomes have</w:t>
      </w:r>
      <w:r w:rsidR="006C3A66">
        <w:t xml:space="preserve"> </w:t>
      </w:r>
      <w:r w:rsidRPr="00EA4ADB">
        <w:t xml:space="preserve">increased </w:t>
      </w:r>
      <w:r w:rsidR="001560F8">
        <w:t>significantly</w:t>
      </w:r>
      <w:r w:rsidRPr="00EA4ADB">
        <w:t>, from around</w:t>
      </w:r>
      <w:r w:rsidR="007133FF">
        <w:t xml:space="preserve"> (AUD)</w:t>
      </w:r>
      <w:r w:rsidRPr="00EA4ADB">
        <w:t xml:space="preserve"> </w:t>
      </w:r>
      <w:r w:rsidR="007133FF">
        <w:t>$</w:t>
      </w:r>
      <w:r w:rsidRPr="00EA4ADB">
        <w:t>800 per week in 1988</w:t>
      </w:r>
      <w:r w:rsidR="006C3A66">
        <w:t>-89</w:t>
      </w:r>
      <w:r w:rsidRPr="00EA4ADB">
        <w:t xml:space="preserve"> to </w:t>
      </w:r>
      <w:r w:rsidR="007133FF">
        <w:t>$1</w:t>
      </w:r>
      <w:r w:rsidRPr="00EA4ADB">
        <w:t>100 per week in 2009</w:t>
      </w:r>
      <w:r w:rsidR="006C3A66">
        <w:t>-10</w:t>
      </w:r>
      <w:r w:rsidRPr="00EA4ADB">
        <w:t xml:space="preserve"> </w:t>
      </w:r>
      <w:r w:rsidR="006C3A66">
        <w:t xml:space="preserve">— </w:t>
      </w:r>
      <w:r w:rsidR="007133FF">
        <w:t>an increase of</w:t>
      </w:r>
      <w:r w:rsidR="006C3A66">
        <w:t xml:space="preserve"> 40</w:t>
      </w:r>
      <w:r w:rsidR="007133FF">
        <w:t> </w:t>
      </w:r>
      <w:r w:rsidR="006C3A66">
        <w:t>per</w:t>
      </w:r>
      <w:r w:rsidR="007133FF">
        <w:t> </w:t>
      </w:r>
      <w:r w:rsidR="006C3A66">
        <w:t>cent</w:t>
      </w:r>
      <w:r w:rsidR="008E1D17">
        <w:t xml:space="preserve"> in real terms</w:t>
      </w:r>
      <w:r w:rsidR="006C3A66">
        <w:t xml:space="preserve">. </w:t>
      </w:r>
      <w:r w:rsidR="007133FF">
        <w:t>A</w:t>
      </w:r>
      <w:r w:rsidR="00FC7C94">
        <w:t xml:space="preserve">verage labour incomes </w:t>
      </w:r>
      <w:r w:rsidR="00E4594D">
        <w:t xml:space="preserve">have </w:t>
      </w:r>
      <w:r w:rsidR="00FC7C94">
        <w:t>grow</w:t>
      </w:r>
      <w:r w:rsidR="00E4594D">
        <w:t>n</w:t>
      </w:r>
      <w:r w:rsidR="00FC7C94">
        <w:t xml:space="preserve"> faster at the top of the distribution than at the bottom. </w:t>
      </w:r>
      <w:r w:rsidR="007133FF">
        <w:t>T</w:t>
      </w:r>
      <w:r w:rsidR="008E1D17">
        <w:t xml:space="preserve">his finding masks some fundamental </w:t>
      </w:r>
      <w:r w:rsidR="00E4594D">
        <w:t xml:space="preserve">trends </w:t>
      </w:r>
      <w:r w:rsidR="008E1D17">
        <w:t xml:space="preserve">in </w:t>
      </w:r>
      <w:r w:rsidR="004C5DD0">
        <w:t xml:space="preserve">Australia’s </w:t>
      </w:r>
      <w:r w:rsidR="008E1D17">
        <w:t>labour income story</w:t>
      </w:r>
      <w:r w:rsidR="00323AF8">
        <w:t>:</w:t>
      </w:r>
    </w:p>
    <w:p w:rsidR="00FC7C94" w:rsidRDefault="00EB179C" w:rsidP="00FC7C94">
      <w:pPr>
        <w:pStyle w:val="ListBullet"/>
      </w:pPr>
      <w:r w:rsidRPr="00246B38">
        <w:rPr>
          <w:i/>
        </w:rPr>
        <w:t>Full-time workers</w:t>
      </w:r>
      <w:r>
        <w:t xml:space="preserve">: </w:t>
      </w:r>
      <w:r w:rsidR="0012139F">
        <w:t>Representing around 62 per cent of workers in 2009-10</w:t>
      </w:r>
      <w:r w:rsidR="008E1D17">
        <w:t xml:space="preserve"> (</w:t>
      </w:r>
      <w:r w:rsidR="00EB14C6" w:rsidRPr="00EB14C6">
        <w:t>68</w:t>
      </w:r>
      <w:r w:rsidR="008E1D17">
        <w:t> per cent in 1988-89)</w:t>
      </w:r>
      <w:r w:rsidR="00323AF8">
        <w:t>, i</w:t>
      </w:r>
      <w:r w:rsidR="0012139F">
        <w:t xml:space="preserve">ncome growth </w:t>
      </w:r>
      <w:r w:rsidR="00893D88">
        <w:t>is the result of</w:t>
      </w:r>
      <w:r w:rsidR="0012139F">
        <w:t xml:space="preserve"> increase</w:t>
      </w:r>
      <w:r w:rsidR="00323AF8">
        <w:t>s in</w:t>
      </w:r>
      <w:r w:rsidR="0012139F">
        <w:t xml:space="preserve"> hourly wage</w:t>
      </w:r>
      <w:r w:rsidR="00323AF8">
        <w:t>s</w:t>
      </w:r>
      <w:r w:rsidR="001560F8">
        <w:t xml:space="preserve"> which have also become more disperse</w:t>
      </w:r>
      <w:r w:rsidR="00B80E81">
        <w:t>d</w:t>
      </w:r>
      <w:r>
        <w:t>.</w:t>
      </w:r>
    </w:p>
    <w:p w:rsidR="00EB179C" w:rsidRDefault="00246B38" w:rsidP="00FC7C94">
      <w:pPr>
        <w:pStyle w:val="ListBullet"/>
      </w:pPr>
      <w:r w:rsidRPr="00246B38">
        <w:rPr>
          <w:i/>
        </w:rPr>
        <w:t>Part-time workers</w:t>
      </w:r>
      <w:r>
        <w:t xml:space="preserve">: </w:t>
      </w:r>
      <w:r w:rsidR="00D96845">
        <w:t>Representing around 30 per cent of workers in 2009-10</w:t>
      </w:r>
      <w:r w:rsidR="008E1D17">
        <w:t xml:space="preserve"> (</w:t>
      </w:r>
      <w:r w:rsidR="00EB14C6">
        <w:t>19</w:t>
      </w:r>
      <w:r w:rsidR="008E1D17">
        <w:t> per cent in 1988-89)</w:t>
      </w:r>
      <w:r w:rsidR="00D96845">
        <w:t>,</w:t>
      </w:r>
      <w:r w:rsidR="006E5E5D">
        <w:t xml:space="preserve"> income growth </w:t>
      </w:r>
      <w:r w:rsidR="00893D88">
        <w:t>is the result of</w:t>
      </w:r>
      <w:r w:rsidR="006E5E5D">
        <w:t xml:space="preserve"> increases in both hours worked and hourly wages</w:t>
      </w:r>
      <w:r w:rsidR="004844D8">
        <w:t>.</w:t>
      </w:r>
      <w:r w:rsidR="006E5E5D">
        <w:t xml:space="preserve"> </w:t>
      </w:r>
      <w:r w:rsidR="00B80E81">
        <w:t>However, m</w:t>
      </w:r>
      <w:r w:rsidR="004844D8">
        <w:t>easured inequality</w:t>
      </w:r>
      <w:r w:rsidR="00FB2EAC">
        <w:t xml:space="preserve"> within this group</w:t>
      </w:r>
      <w:r w:rsidR="004844D8">
        <w:t xml:space="preserve"> has been relatively stable over time. </w:t>
      </w:r>
    </w:p>
    <w:p w:rsidR="004844D8" w:rsidRDefault="004844D8" w:rsidP="00FC7C94">
      <w:pPr>
        <w:pStyle w:val="ListBullet"/>
      </w:pPr>
      <w:r w:rsidRPr="004844D8">
        <w:rPr>
          <w:i/>
        </w:rPr>
        <w:t>Self-employed workers</w:t>
      </w:r>
      <w:r>
        <w:t xml:space="preserve">: </w:t>
      </w:r>
      <w:r w:rsidR="00D96845">
        <w:t>Representing around 8 per cent of workers in 2009-10</w:t>
      </w:r>
      <w:r w:rsidR="00A33343">
        <w:t xml:space="preserve"> (</w:t>
      </w:r>
      <w:r w:rsidR="00EB14C6">
        <w:t>13</w:t>
      </w:r>
      <w:r w:rsidR="00A33343">
        <w:t> per cent in 1988-89)</w:t>
      </w:r>
      <w:r w:rsidR="00D96845">
        <w:t xml:space="preserve"> s</w:t>
      </w:r>
      <w:r>
        <w:t xml:space="preserve">elf-employed workers (those who own an incorporated business) </w:t>
      </w:r>
      <w:r w:rsidR="00B80E81">
        <w:t>have the greatest</w:t>
      </w:r>
      <w:r w:rsidR="00FB2EAC">
        <w:t xml:space="preserve"> and most volatile income dispersion</w:t>
      </w:r>
      <w:r>
        <w:t xml:space="preserve">. </w:t>
      </w:r>
      <w:r w:rsidR="001560F8">
        <w:t xml:space="preserve">This has been </w:t>
      </w:r>
      <w:r w:rsidR="00893D88">
        <w:t>consistent</w:t>
      </w:r>
      <w:r w:rsidR="001560F8">
        <w:t xml:space="preserve"> through time despite the falling relative size of this group.</w:t>
      </w:r>
    </w:p>
    <w:p w:rsidR="000D7730" w:rsidRDefault="007133FF" w:rsidP="00120072">
      <w:pPr>
        <w:pStyle w:val="BodyText"/>
      </w:pPr>
      <w:r>
        <w:t>Analysis of</w:t>
      </w:r>
      <w:r w:rsidR="00F641CE">
        <w:t xml:space="preserve"> HES data suggest</w:t>
      </w:r>
      <w:r>
        <w:t>s</w:t>
      </w:r>
      <w:r w:rsidR="00F641CE">
        <w:t xml:space="preserve"> rising </w:t>
      </w:r>
      <w:r w:rsidR="00EB14C6">
        <w:t>inequality</w:t>
      </w:r>
      <w:r w:rsidR="00F641CE">
        <w:t xml:space="preserve"> of individual market income has been largely </w:t>
      </w:r>
      <w:r w:rsidR="00CD5E15">
        <w:t>due to</w:t>
      </w:r>
      <w:r w:rsidR="00A33343">
        <w:t xml:space="preserve"> the greater dispersion of </w:t>
      </w:r>
      <w:r w:rsidR="00F641CE">
        <w:t xml:space="preserve">hourly </w:t>
      </w:r>
      <w:r w:rsidR="00A33343">
        <w:t xml:space="preserve">full-time </w:t>
      </w:r>
      <w:r w:rsidR="00F641CE">
        <w:t>wages (</w:t>
      </w:r>
      <w:r w:rsidR="00CD5E15">
        <w:t xml:space="preserve">measured </w:t>
      </w:r>
      <w:r w:rsidR="00F641CE">
        <w:t xml:space="preserve">inequality has been stable among part-time workers and </w:t>
      </w:r>
      <w:r w:rsidR="00234069">
        <w:t>no clear trend is evident among the self-employed)</w:t>
      </w:r>
      <w:r w:rsidR="00A33343">
        <w:t>.</w:t>
      </w:r>
      <w:r w:rsidR="00CF4FAC">
        <w:t xml:space="preserve"> </w:t>
      </w:r>
      <w:r w:rsidR="003A361B">
        <w:t>The increasing share of part-</w:t>
      </w:r>
      <w:r w:rsidR="001560F8">
        <w:t>time workers has also contributed to the rise in labour income inequality</w:t>
      </w:r>
      <w:r w:rsidR="000D7730">
        <w:t xml:space="preserve"> amongst workers</w:t>
      </w:r>
      <w:r w:rsidR="001560F8">
        <w:t>.</w:t>
      </w:r>
      <w:r w:rsidR="00234069">
        <w:t xml:space="preserve"> </w:t>
      </w:r>
    </w:p>
    <w:p w:rsidR="00077351" w:rsidRDefault="000D7730" w:rsidP="00120072">
      <w:pPr>
        <w:pStyle w:val="BodyText"/>
      </w:pPr>
      <w:r>
        <w:t>C</w:t>
      </w:r>
      <w:r w:rsidR="00077351">
        <w:t xml:space="preserve">apital </w:t>
      </w:r>
      <w:r w:rsidR="002D6268">
        <w:t xml:space="preserve">&amp; </w:t>
      </w:r>
      <w:r w:rsidR="006B04A5">
        <w:t xml:space="preserve">other </w:t>
      </w:r>
      <w:r w:rsidR="00077351">
        <w:t>income</w:t>
      </w:r>
      <w:r>
        <w:t>, the other component of market income,</w:t>
      </w:r>
      <w:r w:rsidR="00234069">
        <w:t xml:space="preserve"> </w:t>
      </w:r>
      <w:r w:rsidR="00077351">
        <w:t xml:space="preserve">is highly concentrated and has become more </w:t>
      </w:r>
      <w:r w:rsidR="00893D88">
        <w:t xml:space="preserve">so </w:t>
      </w:r>
      <w:r w:rsidR="00077351">
        <w:t xml:space="preserve">over time. </w:t>
      </w:r>
      <w:r w:rsidR="006B04A5">
        <w:t>However, it is a small proportion of overall individual market income, accounting for around 6.5 per cent in 2009-10</w:t>
      </w:r>
      <w:r w:rsidR="00B956AA">
        <w:t>,</w:t>
      </w:r>
      <w:r w:rsidR="006B04A5">
        <w:t xml:space="preserve"> </w:t>
      </w:r>
      <w:r w:rsidR="00B80E81">
        <w:t xml:space="preserve">and contributes </w:t>
      </w:r>
      <w:r w:rsidR="00234069">
        <w:t xml:space="preserve">relatively </w:t>
      </w:r>
      <w:r w:rsidR="006B04A5">
        <w:t>little to the overall increase in ine</w:t>
      </w:r>
      <w:r w:rsidR="00D96845">
        <w:t>quality.</w:t>
      </w:r>
    </w:p>
    <w:p w:rsidR="00A33343" w:rsidRDefault="00F26FB4" w:rsidP="004B6AA3">
      <w:pPr>
        <w:pStyle w:val="Heading4"/>
      </w:pPr>
      <w:r>
        <w:lastRenderedPageBreak/>
        <w:t>Do</w:t>
      </w:r>
      <w:r w:rsidR="00CF4ED3">
        <w:t>es the</w:t>
      </w:r>
      <w:r w:rsidR="00A33343">
        <w:t xml:space="preserve"> Australian </w:t>
      </w:r>
      <w:r w:rsidR="00CF4ED3">
        <w:t>experience</w:t>
      </w:r>
      <w:r w:rsidR="00A33343">
        <w:t xml:space="preserve"> </w:t>
      </w:r>
      <w:r>
        <w:t xml:space="preserve">reflect international </w:t>
      </w:r>
      <w:r w:rsidR="00B80E81">
        <w:t>developments</w:t>
      </w:r>
      <w:r w:rsidR="00A33343">
        <w:t>?</w:t>
      </w:r>
    </w:p>
    <w:p w:rsidR="00F76D6D" w:rsidRPr="00BF68E6" w:rsidRDefault="00357696" w:rsidP="00BC28DE">
      <w:pPr>
        <w:pStyle w:val="BodyText"/>
        <w:rPr>
          <w:i/>
        </w:rPr>
      </w:pPr>
      <w:r w:rsidRPr="00BF68E6">
        <w:t>According</w:t>
      </w:r>
      <w:r w:rsidR="00A434F7" w:rsidRPr="00BF68E6">
        <w:t xml:space="preserve"> to the OECD (2011)</w:t>
      </w:r>
      <w:r w:rsidR="008D1DC4">
        <w:t>,</w:t>
      </w:r>
      <w:r w:rsidR="00A434F7" w:rsidRPr="00BF68E6">
        <w:t xml:space="preserve"> </w:t>
      </w:r>
      <w:r w:rsidR="00CD5E15">
        <w:t xml:space="preserve">measured </w:t>
      </w:r>
      <w:r w:rsidR="00273BC2" w:rsidRPr="00BF68E6">
        <w:t>labour earnings</w:t>
      </w:r>
      <w:r w:rsidR="00F76D6D" w:rsidRPr="00BF68E6">
        <w:t xml:space="preserve"> inequality has </w:t>
      </w:r>
      <w:r w:rsidR="00A434F7" w:rsidRPr="00BF68E6">
        <w:t>been increasing</w:t>
      </w:r>
      <w:r w:rsidR="00F76D6D" w:rsidRPr="00BF68E6">
        <w:t xml:space="preserve"> </w:t>
      </w:r>
      <w:r w:rsidR="00AF6AAC">
        <w:t>for</w:t>
      </w:r>
      <w:r w:rsidR="00F76D6D" w:rsidRPr="00BF68E6">
        <w:t xml:space="preserve"> workers in all OECD countries between mid-1980s and mid</w:t>
      </w:r>
      <w:r w:rsidR="00166BB9" w:rsidRPr="00BF68E6">
        <w:t>-</w:t>
      </w:r>
      <w:r w:rsidR="00F76D6D" w:rsidRPr="00BF68E6">
        <w:t xml:space="preserve">2000s </w:t>
      </w:r>
      <w:r w:rsidR="008D1DC4">
        <w:t>(</w:t>
      </w:r>
      <w:r w:rsidR="00F76D6D" w:rsidRPr="00BF68E6">
        <w:t>Denmark, Hungary and Ireland</w:t>
      </w:r>
      <w:r w:rsidR="008D1DC4">
        <w:t xml:space="preserve"> were the exceptions)</w:t>
      </w:r>
      <w:r w:rsidR="00F76D6D" w:rsidRPr="00BF68E6">
        <w:t>.</w:t>
      </w:r>
      <w:r w:rsidR="00F76D6D" w:rsidRPr="00BF68E6">
        <w:rPr>
          <w:i/>
        </w:rPr>
        <w:t xml:space="preserve"> </w:t>
      </w:r>
      <w:r w:rsidR="00A434F7" w:rsidRPr="00BF68E6">
        <w:t xml:space="preserve">The increase in market income inequality observed in Australia reflects this international trend, however some of the underlying </w:t>
      </w:r>
      <w:r w:rsidR="00CD5E15">
        <w:t>sources of change</w:t>
      </w:r>
      <w:r w:rsidR="00CD5E15" w:rsidRPr="00BF68E6">
        <w:t xml:space="preserve"> </w:t>
      </w:r>
      <w:r w:rsidR="00A434F7" w:rsidRPr="00BF68E6">
        <w:t>differ.</w:t>
      </w:r>
    </w:p>
    <w:p w:rsidR="0058480F" w:rsidRPr="00BF68E6" w:rsidRDefault="00A434F7">
      <w:pPr>
        <w:pStyle w:val="BodyText"/>
      </w:pPr>
      <w:r w:rsidRPr="00BF68E6">
        <w:t>F</w:t>
      </w:r>
      <w:r w:rsidR="00BE5673" w:rsidRPr="00074390">
        <w:t xml:space="preserve">or most countries, increases in the dispersion of hourly wages for all worker sub-groups had the greatest impact on overall </w:t>
      </w:r>
      <w:r w:rsidRPr="00BF68E6">
        <w:t>earnings</w:t>
      </w:r>
      <w:r w:rsidR="00BE5673" w:rsidRPr="00074390">
        <w:t xml:space="preserve"> inequality</w:t>
      </w:r>
      <w:r w:rsidRPr="00BF68E6">
        <w:t xml:space="preserve"> (OECD 2011)</w:t>
      </w:r>
      <w:r w:rsidR="00BE5673" w:rsidRPr="00074390">
        <w:t xml:space="preserve">. </w:t>
      </w:r>
      <w:r w:rsidRPr="00BF68E6">
        <w:t>From</w:t>
      </w:r>
      <w:r w:rsidR="00E77D9D" w:rsidRPr="00074390">
        <w:t xml:space="preserve"> </w:t>
      </w:r>
      <w:r w:rsidR="00F26FB4" w:rsidRPr="00074390">
        <w:t xml:space="preserve">the </w:t>
      </w:r>
      <w:r w:rsidR="00E77D9D" w:rsidRPr="005A73DC">
        <w:t>mid-</w:t>
      </w:r>
      <w:r w:rsidR="00F26FB4" w:rsidRPr="005A73DC">
        <w:t xml:space="preserve">1980s to the </w:t>
      </w:r>
      <w:r w:rsidR="00E77D9D" w:rsidRPr="005A73DC">
        <w:t>mid-</w:t>
      </w:r>
      <w:r w:rsidR="00F26FB4" w:rsidRPr="005A73DC">
        <w:t>2000s</w:t>
      </w:r>
      <w:r w:rsidR="00CD5E15">
        <w:t>,</w:t>
      </w:r>
      <w:r w:rsidR="00F26FB4" w:rsidRPr="005A73DC">
        <w:t xml:space="preserve"> </w:t>
      </w:r>
      <w:r w:rsidR="00A33343" w:rsidRPr="005A73DC">
        <w:t xml:space="preserve">the distribution </w:t>
      </w:r>
      <w:r w:rsidR="003E3798" w:rsidRPr="005A73DC">
        <w:t>o</w:t>
      </w:r>
      <w:r w:rsidR="00A33343" w:rsidRPr="005A73DC">
        <w:t xml:space="preserve">f </w:t>
      </w:r>
      <w:r w:rsidR="003E3798" w:rsidRPr="005A73DC">
        <w:t xml:space="preserve">individual </w:t>
      </w:r>
      <w:r w:rsidR="00A33343" w:rsidRPr="005A73DC">
        <w:t xml:space="preserve">wages </w:t>
      </w:r>
      <w:r w:rsidR="00F26FB4" w:rsidRPr="005A73DC">
        <w:t xml:space="preserve">for all earners </w:t>
      </w:r>
      <w:r w:rsidR="003E3798" w:rsidRPr="005A73DC">
        <w:t>became more unequal</w:t>
      </w:r>
      <w:r w:rsidR="00502B93" w:rsidRPr="005A73DC">
        <w:t xml:space="preserve"> </w:t>
      </w:r>
      <w:r w:rsidR="00A33343" w:rsidRPr="005A73DC">
        <w:t xml:space="preserve">— wages for the </w:t>
      </w:r>
      <w:r w:rsidR="00F26FB4" w:rsidRPr="005A73DC">
        <w:t xml:space="preserve">highest </w:t>
      </w:r>
      <w:r w:rsidR="00A33343" w:rsidRPr="005A73DC">
        <w:t xml:space="preserve">paid 10 per cent grew faster than for the </w:t>
      </w:r>
      <w:r w:rsidR="00F26FB4" w:rsidRPr="005A73DC">
        <w:t xml:space="preserve">lowest </w:t>
      </w:r>
      <w:r w:rsidR="00A33343" w:rsidRPr="005A73DC">
        <w:t>paid 10 per cent</w:t>
      </w:r>
      <w:r w:rsidR="006B6FF2" w:rsidRPr="005A73DC">
        <w:t xml:space="preserve"> for 16 out of 23 OECD countries,</w:t>
      </w:r>
      <w:r w:rsidRPr="00BF68E6">
        <w:t xml:space="preserve"> </w:t>
      </w:r>
      <w:r w:rsidR="00AF6AAC">
        <w:t xml:space="preserve">five </w:t>
      </w:r>
      <w:r w:rsidR="00E62118">
        <w:t xml:space="preserve">countries </w:t>
      </w:r>
      <w:r w:rsidR="00AF6AAC">
        <w:t>had no significant difference in wage growth for these groups and</w:t>
      </w:r>
      <w:r w:rsidR="00DA6CEA" w:rsidRPr="00074390">
        <w:t xml:space="preserve"> only </w:t>
      </w:r>
      <w:r w:rsidR="00AF6AAC">
        <w:t>France and Spain experienced</w:t>
      </w:r>
      <w:r w:rsidR="00DA6CEA" w:rsidRPr="005A73DC">
        <w:t xml:space="preserve"> a decline in wage dispersion</w:t>
      </w:r>
      <w:r w:rsidR="00E10B0D" w:rsidRPr="005A73DC">
        <w:t xml:space="preserve"> </w:t>
      </w:r>
      <w:r w:rsidR="006B6FF2" w:rsidRPr="005A73DC">
        <w:t>(OECD 2011).</w:t>
      </w:r>
      <w:r w:rsidR="00A33343" w:rsidRPr="005A73DC">
        <w:t xml:space="preserve"> </w:t>
      </w:r>
    </w:p>
    <w:p w:rsidR="001123C5" w:rsidRPr="00BF68E6" w:rsidRDefault="00AC5E2D">
      <w:pPr>
        <w:pStyle w:val="BodyText"/>
      </w:pPr>
      <w:r>
        <w:t xml:space="preserve">The evidence is less clear as </w:t>
      </w:r>
      <w:r w:rsidR="00B80E81">
        <w:t xml:space="preserve">to </w:t>
      </w:r>
      <w:r>
        <w:t>the impact of different employment categories on distributional trends. T</w:t>
      </w:r>
      <w:r w:rsidR="00E7618C" w:rsidRPr="00BF68E6">
        <w:t xml:space="preserve">he OECD (2011) </w:t>
      </w:r>
      <w:r w:rsidR="001D7684" w:rsidRPr="00BF68E6">
        <w:t>outlined</w:t>
      </w:r>
      <w:r w:rsidR="008C21DF" w:rsidRPr="00BF68E6">
        <w:t xml:space="preserve"> </w:t>
      </w:r>
      <w:r w:rsidR="00767501" w:rsidRPr="00BF68E6">
        <w:t xml:space="preserve">some </w:t>
      </w:r>
      <w:r w:rsidR="008C21DF" w:rsidRPr="00BF68E6">
        <w:t xml:space="preserve">changes in </w:t>
      </w:r>
      <w:r w:rsidR="00F45B60" w:rsidRPr="00BF68E6">
        <w:t>the dispersion</w:t>
      </w:r>
      <w:r w:rsidR="008C21DF" w:rsidRPr="00BF68E6">
        <w:t xml:space="preserve"> of income amongst full-time, full and part-time</w:t>
      </w:r>
      <w:r w:rsidR="001D7684" w:rsidRPr="00BF68E6">
        <w:t>,</w:t>
      </w:r>
      <w:r w:rsidR="00113AB7" w:rsidRPr="008E34B4">
        <w:t xml:space="preserve"> and all worker</w:t>
      </w:r>
      <w:r w:rsidR="008C21DF" w:rsidRPr="00BF68E6">
        <w:t xml:space="preserve"> </w:t>
      </w:r>
      <w:r w:rsidR="001D7684" w:rsidRPr="00BF68E6">
        <w:t xml:space="preserve">sub groups </w:t>
      </w:r>
      <w:r w:rsidR="008C21DF" w:rsidRPr="00BF68E6">
        <w:t>in OECD countries</w:t>
      </w:r>
      <w:r w:rsidR="008C21DF" w:rsidRPr="00BF68E6">
        <w:rPr>
          <w:rStyle w:val="FootnoteReference"/>
        </w:rPr>
        <w:footnoteReference w:id="3"/>
      </w:r>
      <w:r w:rsidR="008C21DF" w:rsidRPr="00BF68E6">
        <w:t>. Their analy</w:t>
      </w:r>
      <w:r>
        <w:t>sis suggested</w:t>
      </w:r>
      <w:r w:rsidR="00767501" w:rsidRPr="00BF68E6">
        <w:t xml:space="preserve"> that, for most countries, the dispersion of income for full-time workers increased between the mid-1980s to mid-2000s, </w:t>
      </w:r>
      <w:r w:rsidR="00F45B60" w:rsidRPr="00BF68E6">
        <w:t>however, the impact</w:t>
      </w:r>
      <w:r w:rsidR="00767501" w:rsidRPr="00BF68E6">
        <w:t xml:space="preserve"> of adding in part</w:t>
      </w:r>
      <w:r w:rsidR="008D1DC4">
        <w:t>-</w:t>
      </w:r>
      <w:r w:rsidR="00767501" w:rsidRPr="00BF68E6">
        <w:t>time workers</w:t>
      </w:r>
      <w:r w:rsidR="00F45B60" w:rsidRPr="00BF68E6">
        <w:t xml:space="preserve"> varies considerably across countries.</w:t>
      </w:r>
      <w:r w:rsidR="001D7684" w:rsidRPr="00BF68E6">
        <w:t xml:space="preserve"> For example, </w:t>
      </w:r>
      <w:r w:rsidR="008C3336" w:rsidRPr="00074390">
        <w:t>in Germany and the Netherlands</w:t>
      </w:r>
      <w:r w:rsidR="001D7684" w:rsidRPr="005A73DC">
        <w:t xml:space="preserve"> earnings inequality increased by </w:t>
      </w:r>
      <w:r w:rsidR="00CD5E15">
        <w:t>more</w:t>
      </w:r>
      <w:r w:rsidR="001D7684" w:rsidRPr="005A73DC">
        <w:t xml:space="preserve"> when part-timers were included </w:t>
      </w:r>
      <w:r w:rsidR="00CD5E15">
        <w:t>than when</w:t>
      </w:r>
      <w:r w:rsidR="00113AB7">
        <w:t xml:space="preserve"> </w:t>
      </w:r>
      <w:r w:rsidR="008C3336" w:rsidRPr="005A73DC">
        <w:t xml:space="preserve">full-timers </w:t>
      </w:r>
      <w:r w:rsidR="00CD5E15">
        <w:t>were analysed</w:t>
      </w:r>
      <w:r w:rsidR="00CD5E15" w:rsidRPr="005A73DC">
        <w:t xml:space="preserve"> </w:t>
      </w:r>
      <w:r w:rsidR="008C3336" w:rsidRPr="005A73DC">
        <w:t>alone</w:t>
      </w:r>
      <w:r w:rsidR="00893D88">
        <w:t>.</w:t>
      </w:r>
      <w:r w:rsidR="001D7684" w:rsidRPr="005A73DC">
        <w:t xml:space="preserve"> </w:t>
      </w:r>
      <w:r w:rsidR="00893D88">
        <w:t xml:space="preserve">This is in contrast to the </w:t>
      </w:r>
      <w:r w:rsidR="00893D88" w:rsidRPr="005A73DC">
        <w:t>English-speaking countries</w:t>
      </w:r>
      <w:r w:rsidR="00893D88">
        <w:t>, where i</w:t>
      </w:r>
      <w:r w:rsidR="001D7684" w:rsidRPr="005A73DC">
        <w:t>ncrease</w:t>
      </w:r>
      <w:r w:rsidR="00E62118">
        <w:t>s</w:t>
      </w:r>
      <w:r w:rsidR="001D7684" w:rsidRPr="005A73DC">
        <w:t xml:space="preserve"> in earnings inequality among</w:t>
      </w:r>
      <w:r w:rsidR="00A6419E">
        <w:t xml:space="preserve"> full-timers and part-timers were</w:t>
      </w:r>
      <w:r w:rsidR="001D7684" w:rsidRPr="005A73DC">
        <w:t xml:space="preserve"> lower than for full-timers alone </w:t>
      </w:r>
      <w:r w:rsidR="00113AB7">
        <w:t>(OECD 2011)</w:t>
      </w:r>
      <w:r w:rsidR="001D7684" w:rsidRPr="005A73DC">
        <w:t xml:space="preserve">. </w:t>
      </w:r>
      <w:r w:rsidR="00F45B60" w:rsidRPr="00BF68E6">
        <w:t>Because the dispersion of part-time income</w:t>
      </w:r>
      <w:r w:rsidR="001D7684" w:rsidRPr="00BF68E6">
        <w:t xml:space="preserve"> alone</w:t>
      </w:r>
      <w:r w:rsidR="00F45B60" w:rsidRPr="00BF68E6">
        <w:t xml:space="preserve"> is not reported</w:t>
      </w:r>
      <w:r w:rsidR="00CD5E15">
        <w:t>,</w:t>
      </w:r>
      <w:r w:rsidR="00F45B60" w:rsidRPr="00BF68E6">
        <w:t xml:space="preserve"> it is not possible to </w:t>
      </w:r>
      <w:r w:rsidR="008C3336" w:rsidRPr="00BF68E6">
        <w:t>determine</w:t>
      </w:r>
      <w:r w:rsidR="00F45B60" w:rsidRPr="00BF68E6">
        <w:t xml:space="preserve"> whether </w:t>
      </w:r>
      <w:r w:rsidR="008C3336" w:rsidRPr="00BF68E6">
        <w:t xml:space="preserve">trends are </w:t>
      </w:r>
      <w:r w:rsidR="00284891">
        <w:t>due to</w:t>
      </w:r>
      <w:r w:rsidR="008C3336" w:rsidRPr="00BF68E6">
        <w:t xml:space="preserve"> changing income </w:t>
      </w:r>
      <w:r w:rsidR="00F45B60" w:rsidRPr="00BF68E6">
        <w:t>dispersion amongst part-timers</w:t>
      </w:r>
      <w:r w:rsidR="00E62118">
        <w:t>,</w:t>
      </w:r>
      <w:r w:rsidR="00F45B60" w:rsidRPr="00BF68E6">
        <w:t xml:space="preserve"> changing ratios of part-time to full-time workers</w:t>
      </w:r>
      <w:r w:rsidR="00E62118">
        <w:t>,</w:t>
      </w:r>
      <w:r w:rsidR="001D7684" w:rsidRPr="00BF68E6">
        <w:t xml:space="preserve"> or a combination of both</w:t>
      </w:r>
      <w:r w:rsidR="00F45B60" w:rsidRPr="00BF68E6">
        <w:t>.</w:t>
      </w:r>
    </w:p>
    <w:p w:rsidR="00BD33E2" w:rsidRDefault="004B6AA3" w:rsidP="00BD33E2">
      <w:pPr>
        <w:pStyle w:val="Heading3"/>
      </w:pPr>
      <w:r>
        <w:t>Household earnings</w:t>
      </w:r>
      <w:r w:rsidR="00B80E81">
        <w:t xml:space="preserve"> in Australia</w:t>
      </w:r>
    </w:p>
    <w:p w:rsidR="004B6AA3" w:rsidRDefault="00811F29" w:rsidP="00120072">
      <w:pPr>
        <w:pStyle w:val="BodyText"/>
      </w:pPr>
      <w:r>
        <w:t>Overall, labour income growth has been the domina</w:t>
      </w:r>
      <w:r w:rsidR="007947C9">
        <w:t>n</w:t>
      </w:r>
      <w:r>
        <w:t xml:space="preserve">t </w:t>
      </w:r>
      <w:r w:rsidR="00284891">
        <w:t>contributor to</w:t>
      </w:r>
      <w:r>
        <w:t xml:space="preserve"> change</w:t>
      </w:r>
      <w:r w:rsidR="00284891">
        <w:t>s</w:t>
      </w:r>
      <w:r w:rsidR="005A06BD">
        <w:t xml:space="preserve"> in </w:t>
      </w:r>
      <w:r w:rsidR="00B80E81">
        <w:t xml:space="preserve">Australian </w:t>
      </w:r>
      <w:r w:rsidR="005A06BD">
        <w:t>household income</w:t>
      </w:r>
      <w:r w:rsidR="009F2AC8">
        <w:t>s</w:t>
      </w:r>
      <w:r>
        <w:t>, account</w:t>
      </w:r>
      <w:r w:rsidR="005D524F">
        <w:t>ing on average</w:t>
      </w:r>
      <w:r>
        <w:t xml:space="preserve"> for at least 50 per cent of </w:t>
      </w:r>
      <w:r w:rsidR="005A06BD">
        <w:t xml:space="preserve">the </w:t>
      </w:r>
      <w:r w:rsidRPr="005D524F">
        <w:rPr>
          <w:i/>
        </w:rPr>
        <w:t>change</w:t>
      </w:r>
      <w:r>
        <w:t xml:space="preserve"> </w:t>
      </w:r>
      <w:r w:rsidR="005D524F">
        <w:t xml:space="preserve">in </w:t>
      </w:r>
      <w:r w:rsidR="00284891">
        <w:t xml:space="preserve">household </w:t>
      </w:r>
      <w:r w:rsidR="005D524F">
        <w:t xml:space="preserve">incomes between survey periods </w:t>
      </w:r>
      <w:r>
        <w:t>observed over the past 20 years</w:t>
      </w:r>
      <w:r w:rsidR="00D96845">
        <w:t xml:space="preserve"> (and 75 per cent of the change in i</w:t>
      </w:r>
      <w:r w:rsidR="00E67907">
        <w:t xml:space="preserve">ncome </w:t>
      </w:r>
      <w:r w:rsidR="00284891">
        <w:t>over</w:t>
      </w:r>
      <w:r w:rsidR="00E67907">
        <w:t xml:space="preserve"> the period as a whole)</w:t>
      </w:r>
      <w:r>
        <w:t xml:space="preserve">. </w:t>
      </w:r>
      <w:r w:rsidR="00284891">
        <w:t xml:space="preserve">On the </w:t>
      </w:r>
      <w:r w:rsidR="00284891">
        <w:lastRenderedPageBreak/>
        <w:t>other hand, changes in household structure (type and partnering) have not contributed to the recent trends in the distribution, d</w:t>
      </w:r>
      <w:r w:rsidR="00EE646C">
        <w:t xml:space="preserve">espite </w:t>
      </w:r>
      <w:r w:rsidR="003A361B">
        <w:t>their</w:t>
      </w:r>
      <w:r w:rsidR="00EE646C">
        <w:t xml:space="preserve"> importance in explaining the </w:t>
      </w:r>
      <w:r w:rsidR="00284891">
        <w:t xml:space="preserve">overall </w:t>
      </w:r>
      <w:r w:rsidR="00EE646C">
        <w:t>distribution of household incomes</w:t>
      </w:r>
      <w:r w:rsidR="00284891">
        <w:t>.</w:t>
      </w:r>
    </w:p>
    <w:p w:rsidR="00A60A5B" w:rsidRDefault="00284891" w:rsidP="00120072">
      <w:pPr>
        <w:pStyle w:val="BodyText"/>
      </w:pPr>
      <w:r>
        <w:t>Growth in households’ l</w:t>
      </w:r>
      <w:r w:rsidR="00811F29">
        <w:t xml:space="preserve">abour income </w:t>
      </w:r>
      <w:r w:rsidR="00B80E81">
        <w:t xml:space="preserve">in Australia </w:t>
      </w:r>
      <w:r w:rsidR="00811F29">
        <w:t>has</w:t>
      </w:r>
      <w:r w:rsidR="00787CA6">
        <w:t xml:space="preserve"> mainly</w:t>
      </w:r>
      <w:r w:rsidR="00811F29">
        <w:t xml:space="preserve"> </w:t>
      </w:r>
      <w:r w:rsidR="00787CA6">
        <w:t>been the result of</w:t>
      </w:r>
      <w:r w:rsidR="00811F29">
        <w:t xml:space="preserve"> two broad effects</w:t>
      </w:r>
      <w:r>
        <w:t>.</w:t>
      </w:r>
    </w:p>
    <w:p w:rsidR="00811F29" w:rsidRDefault="00284891" w:rsidP="00811F29">
      <w:pPr>
        <w:pStyle w:val="ListBullet"/>
      </w:pPr>
      <w:r>
        <w:t>F</w:t>
      </w:r>
      <w:r w:rsidR="00811F29">
        <w:t xml:space="preserve">or low income households, increased </w:t>
      </w:r>
      <w:r w:rsidR="00302D69">
        <w:t xml:space="preserve">employment </w:t>
      </w:r>
      <w:r w:rsidR="00EB14C6">
        <w:t xml:space="preserve">by household members </w:t>
      </w:r>
      <w:r w:rsidR="00811F29">
        <w:t>ha</w:t>
      </w:r>
      <w:r w:rsidR="004C5DD0">
        <w:t>ve</w:t>
      </w:r>
      <w:r w:rsidR="00811F29">
        <w:t xml:space="preserve"> increased labour earnings</w:t>
      </w:r>
      <w:r w:rsidR="005A06BD">
        <w:t>. T</w:t>
      </w:r>
      <w:r w:rsidR="00065071">
        <w:t>he proportion of jobless households has also fallen</w:t>
      </w:r>
      <w:r>
        <w:t>.</w:t>
      </w:r>
    </w:p>
    <w:p w:rsidR="00811F29" w:rsidRDefault="00284891" w:rsidP="00811F29">
      <w:pPr>
        <w:pStyle w:val="ListBullet"/>
      </w:pPr>
      <w:r>
        <w:t>F</w:t>
      </w:r>
      <w:r w:rsidR="00811F29">
        <w:t>o</w:t>
      </w:r>
      <w:r w:rsidR="001A6495">
        <w:t>r households with high incomes</w:t>
      </w:r>
      <w:r w:rsidR="00811F29">
        <w:t xml:space="preserve">, higher labour earnings appear to be driven primarily by higher wages. </w:t>
      </w:r>
    </w:p>
    <w:p w:rsidR="000759C7" w:rsidRDefault="003A361B" w:rsidP="00120072">
      <w:pPr>
        <w:pStyle w:val="BodyText"/>
      </w:pPr>
      <w:r>
        <w:t>O</w:t>
      </w:r>
      <w:r w:rsidR="00074390">
        <w:t>f these two effects, the impact of e</w:t>
      </w:r>
      <w:r w:rsidR="00E96ADE">
        <w:t xml:space="preserve">mployment growth has </w:t>
      </w:r>
      <w:r w:rsidR="00820571">
        <w:t>dominated</w:t>
      </w:r>
      <w:r w:rsidR="00E96ADE">
        <w:t xml:space="preserve"> the </w:t>
      </w:r>
      <w:r w:rsidR="00EF7275">
        <w:t xml:space="preserve">impact of wage trends on </w:t>
      </w:r>
      <w:r w:rsidR="00E96ADE">
        <w:t xml:space="preserve">household </w:t>
      </w:r>
      <w:r w:rsidR="000759C7" w:rsidRPr="00BF68E6">
        <w:rPr>
          <w:i/>
        </w:rPr>
        <w:t>labour</w:t>
      </w:r>
      <w:r w:rsidR="000759C7">
        <w:t xml:space="preserve"> income</w:t>
      </w:r>
      <w:r w:rsidR="00074390">
        <w:t xml:space="preserve">, causing </w:t>
      </w:r>
      <w:r w:rsidR="00284891">
        <w:t xml:space="preserve">measured </w:t>
      </w:r>
      <w:r w:rsidR="00B80E81">
        <w:t>inequality</w:t>
      </w:r>
      <w:r w:rsidR="00074390">
        <w:t xml:space="preserve"> to fall. </w:t>
      </w:r>
    </w:p>
    <w:p w:rsidR="00A60A5B" w:rsidRDefault="004B6AA3" w:rsidP="00120072">
      <w:pPr>
        <w:pStyle w:val="BodyText"/>
      </w:pPr>
      <w:r>
        <w:t xml:space="preserve">Despite </w:t>
      </w:r>
      <w:r w:rsidR="004C5DD0">
        <w:t>falling levels of household labour income inequality</w:t>
      </w:r>
      <w:r>
        <w:t xml:space="preserve">, household </w:t>
      </w:r>
      <w:r w:rsidRPr="00BF68E6">
        <w:rPr>
          <w:i/>
        </w:rPr>
        <w:t>market</w:t>
      </w:r>
      <w:r>
        <w:t xml:space="preserve"> income inequality has recently risen. This is a result of changes in capital </w:t>
      </w:r>
      <w:r w:rsidR="002D6268">
        <w:t xml:space="preserve">&amp; </w:t>
      </w:r>
      <w:r>
        <w:t>other income, particular</w:t>
      </w:r>
      <w:r w:rsidR="004C5DD0">
        <w:t>ly</w:t>
      </w:r>
      <w:r>
        <w:t xml:space="preserve"> for </w:t>
      </w:r>
      <w:r w:rsidR="005F721D">
        <w:t>households in the 10</w:t>
      </w:r>
      <w:r w:rsidR="005F721D" w:rsidRPr="005F721D">
        <w:rPr>
          <w:vertAlign w:val="superscript"/>
        </w:rPr>
        <w:t>th</w:t>
      </w:r>
      <w:r w:rsidR="005F721D">
        <w:t xml:space="preserve"> (gross) income decile</w:t>
      </w:r>
      <w:r>
        <w:t>.</w:t>
      </w:r>
      <w:r w:rsidR="005F721D">
        <w:t xml:space="preserve"> </w:t>
      </w:r>
      <w:r>
        <w:t>B</w:t>
      </w:r>
      <w:r w:rsidR="000759C7">
        <w:t xml:space="preserve">etween 2003-04 and 2009-10, average capital </w:t>
      </w:r>
      <w:r w:rsidR="002D6268">
        <w:t xml:space="preserve">&amp; </w:t>
      </w:r>
      <w:r w:rsidR="000759C7">
        <w:t>other income in the 10</w:t>
      </w:r>
      <w:r w:rsidR="000759C7" w:rsidRPr="000759C7">
        <w:rPr>
          <w:vertAlign w:val="superscript"/>
        </w:rPr>
        <w:t>th</w:t>
      </w:r>
      <w:r w:rsidR="000759C7">
        <w:t xml:space="preserve"> decile more than doubled. </w:t>
      </w:r>
      <w:r w:rsidR="004C5DD0">
        <w:t>T</w:t>
      </w:r>
      <w:r w:rsidR="00E30D60">
        <w:t>his shift has</w:t>
      </w:r>
      <w:r w:rsidR="000759C7">
        <w:t xml:space="preserve"> </w:t>
      </w:r>
      <w:r w:rsidR="005D524F">
        <w:t xml:space="preserve">been responsible for much of the increase </w:t>
      </w:r>
      <w:r w:rsidR="000759C7">
        <w:t>in equivalised final earnings</w:t>
      </w:r>
      <w:r w:rsidR="000759C7" w:rsidRPr="000759C7">
        <w:t xml:space="preserve"> </w:t>
      </w:r>
      <w:r w:rsidR="005D524F">
        <w:t xml:space="preserve">inequality </w:t>
      </w:r>
      <w:r w:rsidR="001A6495">
        <w:t>over this period</w:t>
      </w:r>
      <w:r w:rsidR="000759C7">
        <w:t xml:space="preserve">. </w:t>
      </w:r>
    </w:p>
    <w:p w:rsidR="005F721D" w:rsidRDefault="004C5DD0" w:rsidP="00120072">
      <w:pPr>
        <w:pStyle w:val="BodyText"/>
      </w:pPr>
      <w:r>
        <w:t>Australian g</w:t>
      </w:r>
      <w:r w:rsidR="000759C7">
        <w:t xml:space="preserve">overnment </w:t>
      </w:r>
      <w:r w:rsidR="005A06BD">
        <w:t xml:space="preserve">tax and transfer </w:t>
      </w:r>
      <w:r w:rsidR="000759C7">
        <w:t>polic</w:t>
      </w:r>
      <w:r w:rsidR="00074390">
        <w:t>ies</w:t>
      </w:r>
      <w:r w:rsidR="000759C7">
        <w:t xml:space="preserve"> further shape the distribution of </w:t>
      </w:r>
      <w:r w:rsidR="005A06BD">
        <w:t xml:space="preserve">final household </w:t>
      </w:r>
      <w:r w:rsidR="000759C7">
        <w:t>income</w:t>
      </w:r>
      <w:r w:rsidR="000A61B3">
        <w:t xml:space="preserve"> and </w:t>
      </w:r>
      <w:r w:rsidR="00E30D60">
        <w:t>significantly reduc</w:t>
      </w:r>
      <w:r w:rsidR="000A61B3">
        <w:t>e</w:t>
      </w:r>
      <w:r w:rsidR="00E30D60">
        <w:t xml:space="preserve"> </w:t>
      </w:r>
      <w:r w:rsidR="00065071">
        <w:t xml:space="preserve">measured </w:t>
      </w:r>
      <w:r w:rsidR="001A6495">
        <w:t xml:space="preserve">equivalised </w:t>
      </w:r>
      <w:r w:rsidR="00E30D60">
        <w:t xml:space="preserve">market income </w:t>
      </w:r>
      <w:r w:rsidR="00065071">
        <w:t>inequality</w:t>
      </w:r>
      <w:r w:rsidR="00AC5E2D">
        <w:t xml:space="preserve"> (figure 4.4</w:t>
      </w:r>
      <w:r w:rsidR="00E30D60">
        <w:t>).</w:t>
      </w:r>
    </w:p>
    <w:p w:rsidR="00423D25" w:rsidRDefault="00423D25" w:rsidP="00423D25">
      <w:pPr>
        <w:pStyle w:val="ListBullet"/>
      </w:pPr>
      <w:r>
        <w:t xml:space="preserve">Direct government benefits have increased for recipient households, </w:t>
      </w:r>
      <w:r w:rsidR="00E30D60">
        <w:t>b</w:t>
      </w:r>
      <w:r w:rsidR="000A27CE">
        <w:t>ut the proportion of household</w:t>
      </w:r>
      <w:r w:rsidR="005A06BD">
        <w:t>s</w:t>
      </w:r>
      <w:r w:rsidR="000A27CE">
        <w:t xml:space="preserve"> receiving benefits has fallen consistent with increasing</w:t>
      </w:r>
      <w:r w:rsidR="005D524F">
        <w:t xml:space="preserve"> workforce</w:t>
      </w:r>
      <w:r w:rsidR="000A27CE">
        <w:t xml:space="preserve"> </w:t>
      </w:r>
      <w:r w:rsidR="005D524F">
        <w:t>employment</w:t>
      </w:r>
      <w:r w:rsidR="000A27CE">
        <w:t xml:space="preserve">. </w:t>
      </w:r>
      <w:r w:rsidR="00E30D60">
        <w:t>This has lessened the impact direct payment</w:t>
      </w:r>
      <w:r w:rsidR="000A61B3">
        <w:t>s</w:t>
      </w:r>
      <w:r w:rsidR="00E30D60">
        <w:t xml:space="preserve"> have on </w:t>
      </w:r>
      <w:r w:rsidR="001A6495">
        <w:t xml:space="preserve">lowering </w:t>
      </w:r>
      <w:r w:rsidR="00E30D60">
        <w:t>measured inequality</w:t>
      </w:r>
      <w:r w:rsidR="001A6495">
        <w:t xml:space="preserve"> </w:t>
      </w:r>
      <w:r w:rsidR="00E30D60">
        <w:t xml:space="preserve">— </w:t>
      </w:r>
      <w:r w:rsidR="00065071">
        <w:t>payments lowered inequality of equivalised market income by 23 per cent in 2009-10 compared with 28 per cent in 1993-94.</w:t>
      </w:r>
    </w:p>
    <w:p w:rsidR="000A27CE" w:rsidRDefault="000A27CE" w:rsidP="00423D25">
      <w:pPr>
        <w:pStyle w:val="ListBullet"/>
      </w:pPr>
      <w:r>
        <w:t>Indirect government benefits have risen in real terms and are evenly allocated across the income distribution</w:t>
      </w:r>
      <w:r w:rsidR="00E30D60">
        <w:t>.</w:t>
      </w:r>
      <w:r>
        <w:t xml:space="preserve"> </w:t>
      </w:r>
      <w:r w:rsidR="001A6495">
        <w:t>T</w:t>
      </w:r>
      <w:r>
        <w:t>h</w:t>
      </w:r>
      <w:r w:rsidR="00E30D60">
        <w:t>e</w:t>
      </w:r>
      <w:r>
        <w:t xml:space="preserve"> </w:t>
      </w:r>
      <w:r w:rsidR="00E30D60">
        <w:t>payments effect on reducing market income inequality has increased over time —</w:t>
      </w:r>
      <w:r w:rsidR="00E96ADE">
        <w:t xml:space="preserve"> </w:t>
      </w:r>
      <w:r w:rsidR="00065071">
        <w:t>lower</w:t>
      </w:r>
      <w:r w:rsidR="00E96ADE">
        <w:t>ing</w:t>
      </w:r>
      <w:r w:rsidR="00065071">
        <w:t xml:space="preserve"> inequality of equivalised market in</w:t>
      </w:r>
      <w:r w:rsidR="00E30D60">
        <w:t xml:space="preserve">come by 17 per cent in 2009-10 </w:t>
      </w:r>
      <w:r w:rsidR="00065071">
        <w:t>compared with 15 per cent in 1993-94.</w:t>
      </w:r>
    </w:p>
    <w:p w:rsidR="000A27CE" w:rsidRDefault="00E30D60" w:rsidP="00E67907">
      <w:pPr>
        <w:pStyle w:val="ListBullet"/>
      </w:pPr>
      <w:r>
        <w:t>The share of income paid as</w:t>
      </w:r>
      <w:r w:rsidR="000A27CE">
        <w:t xml:space="preserve"> direct taxes have fallen over time, with </w:t>
      </w:r>
      <w:r w:rsidR="005A06BD">
        <w:t xml:space="preserve">the </w:t>
      </w:r>
      <w:r w:rsidR="000A27CE">
        <w:t xml:space="preserve">largest falls seen for those in higher income deciles while </w:t>
      </w:r>
      <w:r w:rsidR="00E62118">
        <w:t xml:space="preserve">the </w:t>
      </w:r>
      <w:r>
        <w:t xml:space="preserve">share of </w:t>
      </w:r>
      <w:r w:rsidR="000A27CE">
        <w:t>indirect taxes ha</w:t>
      </w:r>
      <w:r>
        <w:t>s</w:t>
      </w:r>
      <w:r w:rsidR="000A27CE">
        <w:t xml:space="preserve"> increased. The changes to the tax system since 1988-89 have reduced the overall progressivity of the tax take</w:t>
      </w:r>
      <w:r w:rsidR="005D524F">
        <w:t>.</w:t>
      </w:r>
      <w:r w:rsidR="00E67907">
        <w:t xml:space="preserve"> </w:t>
      </w:r>
      <w:r w:rsidR="00E67907" w:rsidRPr="00E67907">
        <w:t>Direct taxes</w:t>
      </w:r>
      <w:r w:rsidR="00E67907">
        <w:t xml:space="preserve"> lowered inequality of equivalised market income by 9 per cent in 2009-10 compared with 10 per cent in 1993-94</w:t>
      </w:r>
      <w:r w:rsidR="00E62118">
        <w:t>.</w:t>
      </w:r>
      <w:r w:rsidR="00E67907">
        <w:t xml:space="preserve"> </w:t>
      </w:r>
      <w:r w:rsidR="00E62118">
        <w:t>I</w:t>
      </w:r>
      <w:r w:rsidR="00E67907" w:rsidRPr="00E67907">
        <w:t>ndirect taxes</w:t>
      </w:r>
      <w:r w:rsidR="00E67907">
        <w:t xml:space="preserve"> increased the equivalised market income Gini coefficient by 3 per cent in 2009-10 compared with 2 per cent in 1988-89.</w:t>
      </w:r>
    </w:p>
    <w:p w:rsidR="001B42AA" w:rsidRDefault="001B42AA">
      <w:pPr>
        <w:pStyle w:val="FigureTitle"/>
      </w:pPr>
      <w:r>
        <w:rPr>
          <w:b w:val="0"/>
        </w:rPr>
        <w:lastRenderedPageBreak/>
        <w:t xml:space="preserve">Figure </w:t>
      </w:r>
      <w:bookmarkStart w:id="8" w:name="OLE_LINK1"/>
      <w:r w:rsidR="00610DD0">
        <w:rPr>
          <w:b w:val="0"/>
        </w:rPr>
        <w:t>4.</w:t>
      </w:r>
      <w:r w:rsidR="00D7751A">
        <w:rPr>
          <w:b w:val="0"/>
          <w:noProof/>
        </w:rPr>
        <w:t>4</w:t>
      </w:r>
      <w:bookmarkEnd w:id="8"/>
      <w:r>
        <w:tab/>
      </w:r>
      <w:r w:rsidR="00EF7275">
        <w:t>C</w:t>
      </w:r>
      <w:r w:rsidR="005A06BD">
        <w:t xml:space="preserve">ontribution </w:t>
      </w:r>
      <w:r>
        <w:t xml:space="preserve">of </w:t>
      </w:r>
      <w:r w:rsidR="00EF7275">
        <w:t>taxes and transfers</w:t>
      </w:r>
      <w:r>
        <w:t xml:space="preserve"> </w:t>
      </w:r>
      <w:r w:rsidR="005A06BD">
        <w:t xml:space="preserve">to the difference between </w:t>
      </w:r>
      <w:r>
        <w:t xml:space="preserve">inequality </w:t>
      </w:r>
      <w:r w:rsidR="005A06BD">
        <w:t xml:space="preserve">of </w:t>
      </w:r>
      <w:r>
        <w:t>equivalised market and final income</w:t>
      </w:r>
      <w:r w:rsidR="00EF7275">
        <w:t>, Australia</w:t>
      </w:r>
      <w:r>
        <w:t xml:space="preserve"> </w:t>
      </w:r>
    </w:p>
    <w:p w:rsidR="001B42AA" w:rsidRDefault="005A06BD">
      <w:pPr>
        <w:pStyle w:val="Subtitle"/>
      </w:pPr>
      <w:r>
        <w:t>1988-89 to 2009-10, p</w:t>
      </w:r>
      <w:r w:rsidR="001B42AA">
        <w:t>er cent of fall in Gini coefficient</w:t>
      </w:r>
      <w: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B42AA" w:rsidTr="00930FF3">
        <w:tc>
          <w:tcPr>
            <w:tcW w:w="8777" w:type="dxa"/>
          </w:tcPr>
          <w:p w:rsidR="001B42AA" w:rsidRDefault="00930FF3">
            <w:pPr>
              <w:pStyle w:val="Figure"/>
            </w:pPr>
            <w:r>
              <w:rPr>
                <w:noProof/>
              </w:rPr>
              <w:drawing>
                <wp:inline distT="0" distB="0" distL="0" distR="0" wp14:anchorId="35840FF1" wp14:editId="26645F74">
                  <wp:extent cx="5512279" cy="2743200"/>
                  <wp:effectExtent l="0" t="0" r="0" b="0"/>
                  <wp:docPr id="1" name="Chart 1" descr="Depicts the per cent change in the Gini coefficient estimate for household income when different forms of income are included - ranging from market to final household income. More details can be found within text immediately before this image." title="Figure 4.4 Contribution of taxes and transfers to the difference between inequality of equivalised market and final income,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1B42AA" w:rsidRDefault="001B42AA">
      <w:pPr>
        <w:pStyle w:val="Source"/>
      </w:pPr>
      <w:r>
        <w:rPr>
          <w:i/>
        </w:rPr>
        <w:t>Data source</w:t>
      </w:r>
      <w:r w:rsidRPr="00167F06">
        <w:t xml:space="preserve">: </w:t>
      </w:r>
      <w:r w:rsidR="005D524F">
        <w:t xml:space="preserve">Author </w:t>
      </w:r>
      <w:r w:rsidR="005C6671">
        <w:t>estimates based on ABS (Household Expenditure Survey, cat. no. 6503.0, confidentialised unit record files).</w:t>
      </w:r>
    </w:p>
    <w:p w:rsidR="00065071" w:rsidRDefault="00A66641" w:rsidP="00EE646C">
      <w:pPr>
        <w:pStyle w:val="Heading4"/>
      </w:pPr>
      <w:r>
        <w:t>Do</w:t>
      </w:r>
      <w:r w:rsidR="009F472F">
        <w:t>es</w:t>
      </w:r>
      <w:r>
        <w:t xml:space="preserve"> </w:t>
      </w:r>
      <w:r w:rsidR="009F472F">
        <w:t xml:space="preserve">the </w:t>
      </w:r>
      <w:r>
        <w:t xml:space="preserve">Australian </w:t>
      </w:r>
      <w:r w:rsidR="009F472F">
        <w:t>experience</w:t>
      </w:r>
      <w:r>
        <w:t xml:space="preserve"> reflect international </w:t>
      </w:r>
      <w:r w:rsidR="004C5DD0">
        <w:t>developments</w:t>
      </w:r>
      <w:r>
        <w:t>?</w:t>
      </w:r>
    </w:p>
    <w:p w:rsidR="00256E7E" w:rsidRPr="009F2AC8" w:rsidRDefault="001D4557" w:rsidP="00BF68E6">
      <w:pPr>
        <w:pStyle w:val="BodyText"/>
      </w:pPr>
      <w:r w:rsidRPr="008E34B4">
        <w:t>B</w:t>
      </w:r>
      <w:r w:rsidR="00044702" w:rsidRPr="008E34B4">
        <w:t>etween the mid-1980s to mid-2000s</w:t>
      </w:r>
      <w:r w:rsidRPr="008E34B4">
        <w:t>, the OECD (2011)</w:t>
      </w:r>
      <w:r w:rsidRPr="00EC1E8D">
        <w:t xml:space="preserve"> found that</w:t>
      </w:r>
      <w:r w:rsidR="004D4FCF" w:rsidRPr="009F2AC8">
        <w:t xml:space="preserve"> </w:t>
      </w:r>
      <w:r w:rsidR="00256E7E" w:rsidRPr="009F2AC8">
        <w:t>household earnings inequalit</w:t>
      </w:r>
      <w:r w:rsidR="00E62118">
        <w:t xml:space="preserve">y increased in most countries. </w:t>
      </w:r>
      <w:r w:rsidR="00787CA6">
        <w:t>Increasing l</w:t>
      </w:r>
      <w:r w:rsidR="000F3DCB" w:rsidRPr="009F2AC8">
        <w:t xml:space="preserve">abour income </w:t>
      </w:r>
      <w:r w:rsidR="00787CA6">
        <w:t xml:space="preserve">inequality </w:t>
      </w:r>
      <w:r w:rsidR="000F3DCB" w:rsidRPr="009F2AC8">
        <w:t>was</w:t>
      </w:r>
      <w:r w:rsidR="00256E7E" w:rsidRPr="009F2AC8">
        <w:t xml:space="preserve"> identified as </w:t>
      </w:r>
      <w:r w:rsidR="000F3DCB" w:rsidRPr="009F2AC8">
        <w:t xml:space="preserve">being the dominant </w:t>
      </w:r>
      <w:r w:rsidR="00787CA6">
        <w:t>source of</w:t>
      </w:r>
      <w:r w:rsidR="000F3DCB" w:rsidRPr="009F2AC8">
        <w:t xml:space="preserve"> </w:t>
      </w:r>
      <w:r w:rsidR="00787CA6">
        <w:t xml:space="preserve">growth in </w:t>
      </w:r>
      <w:r w:rsidR="000F3DCB" w:rsidRPr="009F2AC8">
        <w:t>household earnings inequality, with the m</w:t>
      </w:r>
      <w:r w:rsidR="00787CA6">
        <w:t>ajor</w:t>
      </w:r>
      <w:r w:rsidR="000F3DCB" w:rsidRPr="009F2AC8">
        <w:t xml:space="preserve"> </w:t>
      </w:r>
      <w:r w:rsidR="00787CA6">
        <w:t>change</w:t>
      </w:r>
      <w:r w:rsidR="00787CA6" w:rsidRPr="009F2AC8">
        <w:t xml:space="preserve"> </w:t>
      </w:r>
      <w:r w:rsidR="000F3DCB" w:rsidRPr="009F2AC8">
        <w:t>being</w:t>
      </w:r>
      <w:r w:rsidR="00872BEF">
        <w:t xml:space="preserve"> i</w:t>
      </w:r>
      <w:r w:rsidR="004D4FCF" w:rsidRPr="009F2AC8">
        <w:t>ncreasing dispersion in male earnings in 21 out of 23 countries studied</w:t>
      </w:r>
      <w:r w:rsidR="004D4FCF" w:rsidRPr="008E34B4">
        <w:t xml:space="preserve">. In ten countries, </w:t>
      </w:r>
      <w:r w:rsidR="00872BEF">
        <w:t xml:space="preserve">increased inequality </w:t>
      </w:r>
      <w:r w:rsidR="004D4FCF" w:rsidRPr="008E34B4">
        <w:t>was a result of growth in real earnings in the top decile combined with a decrease for the bottom dec</w:t>
      </w:r>
      <w:r w:rsidR="004D4FCF" w:rsidRPr="009F2AC8">
        <w:t>ile (OECD 2011).</w:t>
      </w:r>
      <w:r w:rsidR="000166C8">
        <w:t xml:space="preserve"> </w:t>
      </w:r>
      <w:r w:rsidR="00872BEF">
        <w:t>This, howe</w:t>
      </w:r>
      <w:r w:rsidR="00AC5E2D">
        <w:t>ve</w:t>
      </w:r>
      <w:r w:rsidR="00872BEF">
        <w:t>r, was partly offset by i</w:t>
      </w:r>
      <w:r w:rsidR="004D4FCF" w:rsidRPr="009F2AC8">
        <w:t xml:space="preserve">ncreasing female employment </w:t>
      </w:r>
      <w:r w:rsidR="00872BEF">
        <w:t xml:space="preserve">levels for </w:t>
      </w:r>
      <w:r w:rsidR="004D4FCF" w:rsidRPr="009F2AC8">
        <w:t>20 out of</w:t>
      </w:r>
      <w:r w:rsidR="00872BEF">
        <w:t xml:space="preserve"> </w:t>
      </w:r>
      <w:r w:rsidR="004D4FCF" w:rsidRPr="009F2AC8">
        <w:t xml:space="preserve">23 </w:t>
      </w:r>
      <w:r w:rsidR="00872BEF">
        <w:t xml:space="preserve">OECD </w:t>
      </w:r>
      <w:r w:rsidR="004D4FCF" w:rsidRPr="009F2AC8">
        <w:t>countries</w:t>
      </w:r>
      <w:r w:rsidR="00281622" w:rsidRPr="008E34B4">
        <w:t>. I</w:t>
      </w:r>
      <w:r w:rsidR="004D4FCF" w:rsidRPr="008E34B4">
        <w:t>n 14 of the countries</w:t>
      </w:r>
      <w:r w:rsidR="004D4FCF" w:rsidRPr="00EC1E8D">
        <w:t xml:space="preserve"> studied</w:t>
      </w:r>
      <w:r w:rsidR="00787CA6">
        <w:t>,</w:t>
      </w:r>
      <w:r w:rsidR="004D4FCF" w:rsidRPr="009F2AC8">
        <w:t xml:space="preserve"> female employment increased by more than ten percentage points (OECD 2011).</w:t>
      </w:r>
    </w:p>
    <w:p w:rsidR="00AC5E2D" w:rsidRDefault="00256E7E" w:rsidP="00E5670F">
      <w:pPr>
        <w:pStyle w:val="BodyText"/>
      </w:pPr>
      <w:r w:rsidRPr="009F2AC8">
        <w:t xml:space="preserve">The OECD </w:t>
      </w:r>
      <w:r w:rsidR="00113AB7">
        <w:t xml:space="preserve">(2011) </w:t>
      </w:r>
      <w:r w:rsidRPr="008E34B4">
        <w:t xml:space="preserve">found that for </w:t>
      </w:r>
      <w:r w:rsidR="00E62118">
        <w:t>most of the countries examined, the</w:t>
      </w:r>
      <w:r w:rsidR="00E62118" w:rsidRPr="009F2AC8">
        <w:t xml:space="preserve"> growing spread in male labour earnings</w:t>
      </w:r>
      <w:r w:rsidR="00E62118" w:rsidRPr="00BF68E6">
        <w:t xml:space="preserve"> </w:t>
      </w:r>
      <w:r w:rsidR="00E62118">
        <w:t xml:space="preserve">resulted in </w:t>
      </w:r>
      <w:r w:rsidRPr="008E34B4">
        <w:t>increases in household income inequality</w:t>
      </w:r>
      <w:r w:rsidR="00E62118">
        <w:t>.</w:t>
      </w:r>
      <w:r w:rsidRPr="009F2AC8">
        <w:t xml:space="preserve"> The Australian experience differs in this respect. </w:t>
      </w:r>
      <w:r w:rsidR="00E62118">
        <w:t>W</w:t>
      </w:r>
      <w:r w:rsidRPr="009F2AC8">
        <w:t>hile individual labour earnings have become more spread</w:t>
      </w:r>
      <w:r w:rsidR="00AC5E2D">
        <w:t xml:space="preserve"> </w:t>
      </w:r>
      <w:r w:rsidR="00E62118">
        <w:t xml:space="preserve">in Australia </w:t>
      </w:r>
      <w:r w:rsidR="00AC5E2D">
        <w:t>(and</w:t>
      </w:r>
      <w:r w:rsidR="00E62118">
        <w:t>,</w:t>
      </w:r>
      <w:r w:rsidR="00AC5E2D">
        <w:t xml:space="preserve"> as with other OECD countries</w:t>
      </w:r>
      <w:r w:rsidR="00E62118">
        <w:t>,</w:t>
      </w:r>
      <w:r w:rsidR="00AC5E2D">
        <w:t xml:space="preserve"> more-so for men than women)</w:t>
      </w:r>
      <w:r w:rsidRPr="009F2AC8">
        <w:t xml:space="preserve">, increases in employment have meant that at the household level, inequality in household labour earnings has recently fallen. </w:t>
      </w:r>
    </w:p>
    <w:p w:rsidR="00B33D7D" w:rsidRDefault="00AC5E2D" w:rsidP="00E5670F">
      <w:pPr>
        <w:pStyle w:val="BodyText"/>
      </w:pPr>
      <w:r>
        <w:t>However,</w:t>
      </w:r>
      <w:r w:rsidR="00256E7E" w:rsidRPr="009F2AC8">
        <w:t xml:space="preserve"> there is a</w:t>
      </w:r>
      <w:r w:rsidR="008044A7" w:rsidRPr="00BF68E6">
        <w:t xml:space="preserve"> major</w:t>
      </w:r>
      <w:r w:rsidR="007C136A" w:rsidRPr="008E34B4">
        <w:t xml:space="preserve"> difference between the OECD </w:t>
      </w:r>
      <w:r w:rsidR="00787CA6">
        <w:t xml:space="preserve">(2011) </w:t>
      </w:r>
      <w:r w:rsidR="007C136A" w:rsidRPr="008E34B4">
        <w:t>analysis and the analys</w:t>
      </w:r>
      <w:r w:rsidR="00256E7E" w:rsidRPr="009F2AC8">
        <w:t>is undertaken for this report</w:t>
      </w:r>
      <w:r w:rsidR="003963C4">
        <w:t>.</w:t>
      </w:r>
      <w:r w:rsidR="00256E7E" w:rsidRPr="009F2AC8">
        <w:t xml:space="preserve"> </w:t>
      </w:r>
      <w:r w:rsidR="003963C4">
        <w:t>T</w:t>
      </w:r>
      <w:r w:rsidR="007C136A" w:rsidRPr="009F2AC8">
        <w:t xml:space="preserve">he OECD restricted the sample of households to those with at least one earner. </w:t>
      </w:r>
      <w:r w:rsidR="00475A33" w:rsidRPr="009F2AC8">
        <w:t>The OECD (2011) states that t</w:t>
      </w:r>
      <w:r w:rsidR="007C136A" w:rsidRPr="009F2AC8">
        <w:t xml:space="preserve">rends in earnings </w:t>
      </w:r>
      <w:r w:rsidR="007C136A" w:rsidRPr="009F2AC8">
        <w:lastRenderedPageBreak/>
        <w:t xml:space="preserve">inequality among </w:t>
      </w:r>
      <w:r w:rsidR="007C136A" w:rsidRPr="00BF68E6">
        <w:rPr>
          <w:i/>
        </w:rPr>
        <w:t>all</w:t>
      </w:r>
      <w:r w:rsidR="007C136A" w:rsidRPr="008E34B4">
        <w:t xml:space="preserve"> households </w:t>
      </w:r>
      <w:r w:rsidR="00475A33" w:rsidRPr="008E34B4">
        <w:t xml:space="preserve">would </w:t>
      </w:r>
      <w:r w:rsidR="007C136A" w:rsidRPr="008E34B4">
        <w:t>depend more strongly on changes in the proportion of non-working households</w:t>
      </w:r>
      <w:r w:rsidR="00E62118">
        <w:t>, compared to trends for</w:t>
      </w:r>
      <w:r w:rsidR="00475A33" w:rsidRPr="009F2AC8">
        <w:t xml:space="preserve"> households with at least one earner</w:t>
      </w:r>
      <w:r w:rsidR="00B33D7D" w:rsidRPr="009F2AC8">
        <w:t>.</w:t>
      </w:r>
    </w:p>
    <w:p w:rsidR="00017154" w:rsidRDefault="001D4557" w:rsidP="00887FB0">
      <w:pPr>
        <w:pStyle w:val="BodyText"/>
      </w:pPr>
      <w:r>
        <w:t>Although increas</w:t>
      </w:r>
      <w:r w:rsidR="003A361B">
        <w:t>es in inequality were predominant</w:t>
      </w:r>
      <w:r>
        <w:t>ly driven by labour earnings in most OECD countries</w:t>
      </w:r>
      <w:r w:rsidR="00C00D06">
        <w:t>,</w:t>
      </w:r>
      <w:r>
        <w:t xml:space="preserve"> the</w:t>
      </w:r>
      <w:r w:rsidR="00651EB7">
        <w:t xml:space="preserve"> increas</w:t>
      </w:r>
      <w:r w:rsidR="00787CA6">
        <w:t>ed</w:t>
      </w:r>
      <w:r>
        <w:t xml:space="preserve"> concentration of </w:t>
      </w:r>
      <w:r w:rsidR="006B2D47">
        <w:t xml:space="preserve">capital income </w:t>
      </w:r>
      <w:r>
        <w:t>has contributed to the trend</w:t>
      </w:r>
      <w:r w:rsidR="00017154">
        <w:t xml:space="preserve"> of rising </w:t>
      </w:r>
      <w:r w:rsidR="00651EB7">
        <w:t xml:space="preserve">income </w:t>
      </w:r>
      <w:r w:rsidR="00017154">
        <w:t>inequality</w:t>
      </w:r>
      <w:r w:rsidR="00651EB7">
        <w:t xml:space="preserve"> across almost all OECD countries studied (OECD 2011)</w:t>
      </w:r>
      <w:r w:rsidR="006B2D47">
        <w:t>.</w:t>
      </w:r>
      <w:r w:rsidR="00651EB7">
        <w:t xml:space="preserve"> C</w:t>
      </w:r>
      <w:r w:rsidR="00D8126B">
        <w:t xml:space="preserve">apital income share in total income was modest </w:t>
      </w:r>
      <w:r w:rsidR="00CF4ED3">
        <w:t>in most countries</w:t>
      </w:r>
      <w:r>
        <w:t xml:space="preserve"> </w:t>
      </w:r>
      <w:r w:rsidR="00002053">
        <w:t>and</w:t>
      </w:r>
      <w:r w:rsidR="00D8126B">
        <w:t xml:space="preserve"> similar to Australia </w:t>
      </w:r>
      <w:r w:rsidR="00CF4ED3">
        <w:t xml:space="preserve">at </w:t>
      </w:r>
      <w:r w:rsidR="00D8126B">
        <w:t>around 7 per cent</w:t>
      </w:r>
      <w:r w:rsidR="00230C9B">
        <w:t>.</w:t>
      </w:r>
      <w:r w:rsidR="00D8126B">
        <w:t xml:space="preserve"> </w:t>
      </w:r>
      <w:r w:rsidR="00230C9B">
        <w:t>As a share of household disposable income, capital income increased (from a very small base) in more than two-thirds of OECD countries over the last 30 years (OECD 2011)</w:t>
      </w:r>
      <w:r w:rsidR="00B47809">
        <w:t>. T</w:t>
      </w:r>
      <w:r w:rsidR="00230C9B">
        <w:t>his increase</w:t>
      </w:r>
      <w:r w:rsidR="00D8126B">
        <w:t xml:space="preserve"> p</w:t>
      </w:r>
      <w:r w:rsidR="00CF4ED3">
        <w:t>redomina</w:t>
      </w:r>
      <w:r w:rsidR="003A361B">
        <w:t>n</w:t>
      </w:r>
      <w:r w:rsidR="00CF4ED3">
        <w:t>tly accrued to households at</w:t>
      </w:r>
      <w:r w:rsidR="00D8126B">
        <w:t xml:space="preserve"> </w:t>
      </w:r>
      <w:r>
        <w:t xml:space="preserve">the top </w:t>
      </w:r>
      <w:r w:rsidR="00D8126B">
        <w:t>of the income distribution</w:t>
      </w:r>
      <w:r w:rsidR="00230C9B">
        <w:t xml:space="preserve"> (countries which experienced no increase in the share of capital income also experienced increases in the concentration of capital in higher income households)</w:t>
      </w:r>
      <w:r w:rsidR="00D8126B">
        <w:t xml:space="preserve">. </w:t>
      </w:r>
    </w:p>
    <w:p w:rsidR="009F2AC8" w:rsidRDefault="00CE553E" w:rsidP="00230C9B">
      <w:pPr>
        <w:pStyle w:val="BodyText"/>
      </w:pPr>
      <w:r>
        <w:t xml:space="preserve">The strong </w:t>
      </w:r>
      <w:r w:rsidR="00787CA6">
        <w:t>redistributive effect of</w:t>
      </w:r>
      <w:r w:rsidR="001137CA">
        <w:t xml:space="preserve"> taxes across many OECD countries </w:t>
      </w:r>
      <w:r>
        <w:t xml:space="preserve">remained broadly at the same level between the mid-1980s and mid-1990s but became slightly weaker </w:t>
      </w:r>
      <w:r w:rsidR="001137CA">
        <w:t>b</w:t>
      </w:r>
      <w:r w:rsidR="00227B9A">
        <w:t>etween the mid-1990s and mid-</w:t>
      </w:r>
      <w:r w:rsidR="001137CA">
        <w:t>2000s (OECD 2011)</w:t>
      </w:r>
      <w:r>
        <w:t>.</w:t>
      </w:r>
      <w:r w:rsidR="001137CA">
        <w:t xml:space="preserve"> </w:t>
      </w:r>
      <w:r w:rsidR="00227B9A">
        <w:t>E</w:t>
      </w:r>
      <w:r w:rsidR="00E62118">
        <w:t>xperiences varied</w:t>
      </w:r>
      <w:r w:rsidR="001137CA">
        <w:t xml:space="preserve"> across countries. In Australia, Finland, Israel, Sweden and the United Kingdom, the equalising effect of direct taxes weakened </w:t>
      </w:r>
      <w:r w:rsidR="00D64A65">
        <w:t xml:space="preserve">steadily </w:t>
      </w:r>
      <w:r w:rsidR="001137CA">
        <w:t>over the past 20 years.</w:t>
      </w:r>
      <w:r w:rsidR="006E5DB4">
        <w:t xml:space="preserve"> According to the OECD (2011)</w:t>
      </w:r>
      <w:r w:rsidR="00787CA6">
        <w:t>,</w:t>
      </w:r>
      <w:r w:rsidR="006E5DB4">
        <w:t xml:space="preserve"> the key factor </w:t>
      </w:r>
      <w:r w:rsidR="00787CA6">
        <w:t xml:space="preserve">behind </w:t>
      </w:r>
      <w:r w:rsidR="006E5DB4">
        <w:t xml:space="preserve">this decline was a </w:t>
      </w:r>
      <w:r w:rsidR="00787CA6">
        <w:t xml:space="preserve">reduction </w:t>
      </w:r>
      <w:r w:rsidR="006E5DB4">
        <w:t>in the share of direct taxes in total income</w:t>
      </w:r>
      <w:r>
        <w:t xml:space="preserve">. </w:t>
      </w:r>
    </w:p>
    <w:p w:rsidR="006B2D47" w:rsidRDefault="009F2AC8" w:rsidP="00887FB0">
      <w:pPr>
        <w:pStyle w:val="BodyText"/>
      </w:pPr>
      <w:r>
        <w:t xml:space="preserve">The OECD </w:t>
      </w:r>
      <w:r w:rsidR="00113AB7">
        <w:t xml:space="preserve">(2011) also </w:t>
      </w:r>
      <w:r>
        <w:t xml:space="preserve">found that </w:t>
      </w:r>
      <w:r w:rsidR="00D64A65">
        <w:t xml:space="preserve">reductions in </w:t>
      </w:r>
      <w:r>
        <w:t>income i</w:t>
      </w:r>
      <w:r w:rsidR="00CE553E">
        <w:t>nequality</w:t>
      </w:r>
      <w:r w:rsidR="00D64A65">
        <w:t xml:space="preserve"> due to</w:t>
      </w:r>
      <w:r w:rsidR="00CE553E">
        <w:t xml:space="preserve"> direct government payments increased between the mid-1980s and the mid-1990s for many OECD countries</w:t>
      </w:r>
      <w:r w:rsidR="00230C9B">
        <w:t xml:space="preserve">, </w:t>
      </w:r>
      <w:r w:rsidR="00CE553E">
        <w:t>but then decreased</w:t>
      </w:r>
      <w:r w:rsidR="00230C9B">
        <w:t xml:space="preserve"> in the subsequent decade. These contrasting developments may be explained by </w:t>
      </w:r>
      <w:r w:rsidR="00787CA6">
        <w:t xml:space="preserve">changes </w:t>
      </w:r>
      <w:r w:rsidR="00E62118">
        <w:t>such as</w:t>
      </w:r>
      <w:r w:rsidR="00230C9B">
        <w:t xml:space="preserve"> </w:t>
      </w:r>
      <w:r w:rsidR="00E62118">
        <w:t>changing</w:t>
      </w:r>
      <w:r w:rsidR="00230C9B">
        <w:t xml:space="preserve"> unemployment and thus unemployment</w:t>
      </w:r>
      <w:r w:rsidR="00CE553E">
        <w:t xml:space="preserve"> benefits</w:t>
      </w:r>
      <w:r w:rsidR="00230C9B">
        <w:t xml:space="preserve"> or by discrete policy changes</w:t>
      </w:r>
      <w:r>
        <w:t xml:space="preserve">. </w:t>
      </w:r>
      <w:r w:rsidR="00BF7DB3">
        <w:t xml:space="preserve">As in most other OECD countries, the </w:t>
      </w:r>
      <w:r w:rsidR="000F11E6">
        <w:t xml:space="preserve">redistributive </w:t>
      </w:r>
      <w:r w:rsidR="00BF7DB3">
        <w:t>impact of direct government payments and taxes has fallen in Australia</w:t>
      </w:r>
      <w:r w:rsidR="00CE553E">
        <w:t xml:space="preserve"> over the last decade</w:t>
      </w:r>
      <w:r w:rsidR="00BF7DB3">
        <w:t>. However, when indirect benefits</w:t>
      </w:r>
      <w:r w:rsidR="00787CA6">
        <w:t xml:space="preserve"> (</w:t>
      </w:r>
      <w:r w:rsidR="00227B9A">
        <w:t>in-</w:t>
      </w:r>
      <w:r w:rsidR="00787CA6">
        <w:t>kind</w:t>
      </w:r>
      <w:r w:rsidR="00227B9A">
        <w:t xml:space="preserve"> services</w:t>
      </w:r>
      <w:r w:rsidR="00787CA6">
        <w:t>)</w:t>
      </w:r>
      <w:r w:rsidR="00BF7DB3">
        <w:t xml:space="preserve"> are taken into account, the impact of government redistribution on </w:t>
      </w:r>
      <w:r w:rsidR="000F11E6">
        <w:t xml:space="preserve">measured </w:t>
      </w:r>
      <w:r w:rsidR="00BF7DB3">
        <w:t>household income inequality has remained fairly stable. Combined, government taxes and transfers reduced market inequality in Australia by 48, 51, 52 and 51 per cent in 1988-89, 1993-94, 1998-99 and 2003-04 respectively</w:t>
      </w:r>
      <w:r w:rsidR="00D64A65">
        <w:t>.</w:t>
      </w:r>
      <w:r w:rsidR="00BF7DB3">
        <w:t xml:space="preserve"> </w:t>
      </w:r>
      <w:r w:rsidR="00D64A65">
        <w:t>It was</w:t>
      </w:r>
      <w:r w:rsidR="00BF7DB3">
        <w:t xml:space="preserve"> 49 per cent in 2009-10. </w:t>
      </w:r>
      <w:r w:rsidR="00EE646C">
        <w:t xml:space="preserve">Australia’s tax and transfer system remains one of the most progressive systems </w:t>
      </w:r>
      <w:r w:rsidR="008C2AEB">
        <w:t>among</w:t>
      </w:r>
      <w:r w:rsidR="00EE646C">
        <w:t xml:space="preserve"> OECD</w:t>
      </w:r>
      <w:r w:rsidR="008C2AEB">
        <w:t xml:space="preserve"> countries</w:t>
      </w:r>
      <w:r w:rsidR="00EE646C">
        <w:t>.</w:t>
      </w:r>
    </w:p>
    <w:p w:rsidR="00BD33E2" w:rsidRDefault="00243AAE" w:rsidP="00BD33E2">
      <w:pPr>
        <w:pStyle w:val="BodyText"/>
      </w:pPr>
      <w:r w:rsidRPr="008E34B4">
        <w:t>On average</w:t>
      </w:r>
      <w:r w:rsidR="008C2AEB">
        <w:t>,</w:t>
      </w:r>
      <w:r w:rsidRPr="008E34B4">
        <w:t xml:space="preserve"> for the 23 OECD countries studied, the share of workers married to a person in the same earn</w:t>
      </w:r>
      <w:r w:rsidRPr="009F2AC8">
        <w:t>ings decile grew from about six per cent in the mid-1980s to eight per cent in the mid-2000s. Luxembourg stood out with the largest increase: the proportion of husbands and wives in the same earnings deciles increas</w:t>
      </w:r>
      <w:r w:rsidR="002C64C4">
        <w:t>ed</w:t>
      </w:r>
      <w:r w:rsidRPr="009F2AC8">
        <w:t xml:space="preserve"> from 2.3 per cent in 1985 to 7.4 per cent in 2004</w:t>
      </w:r>
      <w:r w:rsidR="000F11E6">
        <w:t>.</w:t>
      </w:r>
      <w:r w:rsidR="008044A7" w:rsidRPr="00BF68E6">
        <w:t xml:space="preserve"> </w:t>
      </w:r>
      <w:r w:rsidR="000F11E6">
        <w:t>T</w:t>
      </w:r>
      <w:r w:rsidR="008044A7" w:rsidRPr="00BF68E6">
        <w:t xml:space="preserve">he Czech Republic and Finland were the </w:t>
      </w:r>
      <w:r w:rsidR="008044A7" w:rsidRPr="00BF68E6">
        <w:lastRenderedPageBreak/>
        <w:t>only countries which did not display this trend</w:t>
      </w:r>
      <w:r w:rsidRPr="008E34B4">
        <w:t xml:space="preserve"> (OECD 2011).The dominant trend with respect to </w:t>
      </w:r>
      <w:r w:rsidR="006B2D47" w:rsidRPr="009F2AC8">
        <w:t>household structure</w:t>
      </w:r>
      <w:r w:rsidR="000F11E6">
        <w:t xml:space="preserve">, </w:t>
      </w:r>
      <w:r w:rsidR="000F11E6" w:rsidRPr="009F2AC8">
        <w:t>observed in all OECD countries</w:t>
      </w:r>
      <w:r w:rsidR="000F11E6">
        <w:t>,</w:t>
      </w:r>
      <w:r w:rsidRPr="009F2AC8">
        <w:t xml:space="preserve"> has been the</w:t>
      </w:r>
      <w:r w:rsidR="006B2D47" w:rsidRPr="009F2AC8">
        <w:t xml:space="preserve"> increase in single headed households</w:t>
      </w:r>
      <w:r w:rsidR="000F11E6">
        <w:t>, which</w:t>
      </w:r>
      <w:r w:rsidR="00E62118">
        <w:t xml:space="preserve"> r</w:t>
      </w:r>
      <w:r w:rsidR="000F11E6">
        <w:t>ose</w:t>
      </w:r>
      <w:r w:rsidRPr="009F2AC8">
        <w:t xml:space="preserve"> by an average of five per cent</w:t>
      </w:r>
      <w:r w:rsidR="00777D52" w:rsidRPr="009F2AC8">
        <w:t xml:space="preserve"> from the mid-1980s to the mid-1990s</w:t>
      </w:r>
      <w:r w:rsidRPr="009F2AC8">
        <w:t xml:space="preserve"> (OECD 2011).</w:t>
      </w:r>
      <w:r w:rsidR="00777D52" w:rsidRPr="009F2AC8">
        <w:t xml:space="preserve"> </w:t>
      </w:r>
      <w:r w:rsidRPr="009F2AC8">
        <w:t xml:space="preserve">The OECD found that these demographic factors, in particular assortative mating, contributed positively to increased household earnings inequality in most countries, but had much more modest impact compared to the labour market. </w:t>
      </w:r>
      <w:r w:rsidR="00BF7DB3" w:rsidRPr="009F2AC8">
        <w:t xml:space="preserve">In Australia, </w:t>
      </w:r>
      <w:r w:rsidR="00777D52" w:rsidRPr="009F2AC8">
        <w:t xml:space="preserve">these compositional shifts </w:t>
      </w:r>
      <w:r w:rsidR="00AC5E2D">
        <w:t xml:space="preserve">do not appear to </w:t>
      </w:r>
      <w:r w:rsidR="00D64A65">
        <w:t xml:space="preserve">have </w:t>
      </w:r>
      <w:r w:rsidR="00777D52" w:rsidRPr="009F2AC8">
        <w:t xml:space="preserve">contributed to the recent </w:t>
      </w:r>
      <w:r w:rsidR="00AC5E2D">
        <w:t xml:space="preserve">(since 2003) </w:t>
      </w:r>
      <w:r w:rsidR="00777D52" w:rsidRPr="009F2AC8">
        <w:t>increase in household income inequality.</w:t>
      </w:r>
    </w:p>
    <w:p w:rsidR="009B05FD" w:rsidRDefault="00610DD0" w:rsidP="009B05FD">
      <w:pPr>
        <w:pStyle w:val="Heading2"/>
      </w:pPr>
      <w:r>
        <w:t>4.</w:t>
      </w:r>
      <w:r w:rsidR="00D7751A">
        <w:rPr>
          <w:noProof/>
        </w:rPr>
        <w:t>3</w:t>
      </w:r>
      <w:r w:rsidR="009B05FD">
        <w:tab/>
        <w:t>Areas for further work</w:t>
      </w:r>
    </w:p>
    <w:p w:rsidR="00F27A05" w:rsidRDefault="00F27A05" w:rsidP="00F27A05">
      <w:pPr>
        <w:pStyle w:val="BodyText"/>
      </w:pPr>
      <w:r>
        <w:t xml:space="preserve">This paper has </w:t>
      </w:r>
      <w:r w:rsidR="000F11E6">
        <w:t>described</w:t>
      </w:r>
      <w:r>
        <w:t xml:space="preserve"> the proximate </w:t>
      </w:r>
      <w:r w:rsidR="000F11E6">
        <w:t xml:space="preserve">factors that </w:t>
      </w:r>
      <w:r w:rsidR="002C64C4">
        <w:t xml:space="preserve">have </w:t>
      </w:r>
      <w:r w:rsidR="008C2AEB">
        <w:t>led to</w:t>
      </w:r>
      <w:r w:rsidR="00083250">
        <w:t xml:space="preserve"> changes in</w:t>
      </w:r>
      <w:r w:rsidR="002C64C4">
        <w:t xml:space="preserve"> </w:t>
      </w:r>
      <w:r>
        <w:t xml:space="preserve">the distribution of income in Australia. </w:t>
      </w:r>
      <w:r w:rsidR="00E62118">
        <w:t>What it</w:t>
      </w:r>
      <w:r>
        <w:t xml:space="preserve"> does not attempt to do is to identify the underlying factors that have </w:t>
      </w:r>
      <w:r w:rsidR="008C2AEB">
        <w:t xml:space="preserve">caused </w:t>
      </w:r>
      <w:r>
        <w:t xml:space="preserve">the changes in relative wages, participation rates, and </w:t>
      </w:r>
      <w:r w:rsidR="00227B9A">
        <w:t>government</w:t>
      </w:r>
      <w:r w:rsidR="00083250">
        <w:t xml:space="preserve"> transfers</w:t>
      </w:r>
      <w:r w:rsidR="00321D27">
        <w:t xml:space="preserve"> (work has been done by the OECD, see box </w:t>
      </w:r>
      <w:r w:rsidR="00A77B5D">
        <w:t>4.1</w:t>
      </w:r>
      <w:r w:rsidR="00321D27">
        <w:t>)</w:t>
      </w:r>
      <w:r>
        <w:t xml:space="preserve">. </w:t>
      </w:r>
    </w:p>
    <w:p w:rsidR="00321D27" w:rsidRDefault="00321D2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1D27">
        <w:tc>
          <w:tcPr>
            <w:tcW w:w="8771" w:type="dxa"/>
            <w:tcBorders>
              <w:top w:val="single" w:sz="6" w:space="0" w:color="auto"/>
              <w:bottom w:val="nil"/>
            </w:tcBorders>
          </w:tcPr>
          <w:p w:rsidR="00321D27" w:rsidRDefault="00321D27" w:rsidP="00321D27">
            <w:pPr>
              <w:pStyle w:val="BoxTitle"/>
            </w:pPr>
            <w:r>
              <w:rPr>
                <w:b w:val="0"/>
              </w:rPr>
              <w:t xml:space="preserve">Box </w:t>
            </w:r>
            <w:bookmarkStart w:id="9" w:name="OLE_LINK2"/>
            <w:r w:rsidR="00610DD0">
              <w:rPr>
                <w:b w:val="0"/>
              </w:rPr>
              <w:t>4.</w:t>
            </w:r>
            <w:r w:rsidR="00D7751A">
              <w:rPr>
                <w:b w:val="0"/>
                <w:noProof/>
              </w:rPr>
              <w:t>1</w:t>
            </w:r>
            <w:bookmarkEnd w:id="9"/>
            <w:r>
              <w:tab/>
              <w:t>OECD analysis of underlying factors explaining inequality</w:t>
            </w:r>
          </w:p>
        </w:tc>
      </w:tr>
      <w:tr w:rsidR="00321D27">
        <w:trPr>
          <w:cantSplit/>
        </w:trPr>
        <w:tc>
          <w:tcPr>
            <w:tcW w:w="8771" w:type="dxa"/>
            <w:tcBorders>
              <w:top w:val="nil"/>
              <w:left w:val="single" w:sz="6" w:space="0" w:color="auto"/>
              <w:bottom w:val="nil"/>
              <w:right w:val="single" w:sz="6" w:space="0" w:color="auto"/>
            </w:tcBorders>
          </w:tcPr>
          <w:p w:rsidR="00321D27" w:rsidRDefault="00321D27" w:rsidP="00EB2145">
            <w:pPr>
              <w:pStyle w:val="Box"/>
              <w:spacing w:line="280" w:lineRule="exact"/>
            </w:pPr>
            <w:r>
              <w:t>The OECD (2011) explored some of the underlying causal factors at play. It analysed the extent to which the following economic changes explained the growth in income inequality in member nations</w:t>
            </w:r>
            <w:r w:rsidR="00FF7119">
              <w:t xml:space="preserve"> to draw the following conclusions</w:t>
            </w:r>
            <w:r>
              <w:t>:</w:t>
            </w:r>
          </w:p>
          <w:p w:rsidR="00321D27" w:rsidRDefault="00321D27" w:rsidP="00EB2145">
            <w:pPr>
              <w:pStyle w:val="BoxListBullet"/>
              <w:spacing w:line="280" w:lineRule="exact"/>
            </w:pPr>
            <w:r>
              <w:t>Increased globalisation, measured as increased trade integration (through trade flows) and financial openness did not have a significant effect of either wage inequality or employment trends in OECD countries.</w:t>
            </w:r>
          </w:p>
          <w:p w:rsidR="00321D27" w:rsidRDefault="00321D27" w:rsidP="00EB2145">
            <w:pPr>
              <w:pStyle w:val="BoxListBullet"/>
              <w:spacing w:line="280" w:lineRule="exact"/>
            </w:pPr>
            <w:r>
              <w:t xml:space="preserve">Increased financial flows and technological change did have significant effects on wage dispersion. Greater foreign direct investment was associated with greater wage dispersion in the upper half of the distribution, while technical change increased overall dispersion. These findings suggest that skill biased technical change is an important determinant of growing wage inequality. </w:t>
            </w:r>
          </w:p>
          <w:p w:rsidR="00321D27" w:rsidRDefault="00321D27" w:rsidP="00EB2145">
            <w:pPr>
              <w:pStyle w:val="BoxListBullet"/>
              <w:spacing w:line="280" w:lineRule="exact"/>
            </w:pPr>
            <w:r>
              <w:t>Regulatory reforms were found to play a role in increasing employment levels and increasing wage dispersion. Reforms which strengthen competition in goods and services markets were found to increase employment levels. Lower unemployment benefit replacement rates also increased employment levels. Counter to these effects, the OECD found that reduced employment protection legislation decreased employment levels. However, all changes also increased wage dispersion as they encouraged lower skilled workers to join the workforce.</w:t>
            </w:r>
          </w:p>
        </w:tc>
      </w:tr>
      <w:tr w:rsidR="00321D27">
        <w:trPr>
          <w:cantSplit/>
        </w:trPr>
        <w:tc>
          <w:tcPr>
            <w:tcW w:w="8771" w:type="dxa"/>
            <w:tcBorders>
              <w:top w:val="nil"/>
              <w:left w:val="single" w:sz="6" w:space="0" w:color="auto"/>
              <w:bottom w:val="nil"/>
              <w:right w:val="single" w:sz="6" w:space="0" w:color="auto"/>
            </w:tcBorders>
          </w:tcPr>
          <w:p w:rsidR="00321D27" w:rsidRDefault="00321D27" w:rsidP="00321D27">
            <w:pPr>
              <w:pStyle w:val="BoxSource"/>
            </w:pPr>
            <w:r>
              <w:rPr>
                <w:i/>
              </w:rPr>
              <w:t>Source</w:t>
            </w:r>
            <w:r w:rsidRPr="00167F06">
              <w:t xml:space="preserve">: </w:t>
            </w:r>
            <w:r>
              <w:t>OECD (2011)</w:t>
            </w:r>
          </w:p>
        </w:tc>
      </w:tr>
      <w:tr w:rsidR="00321D27">
        <w:trPr>
          <w:cantSplit/>
        </w:trPr>
        <w:tc>
          <w:tcPr>
            <w:tcW w:w="8771" w:type="dxa"/>
            <w:tcBorders>
              <w:top w:val="nil"/>
              <w:left w:val="single" w:sz="6" w:space="0" w:color="auto"/>
              <w:bottom w:val="single" w:sz="6" w:space="0" w:color="auto"/>
              <w:right w:val="single" w:sz="6" w:space="0" w:color="auto"/>
            </w:tcBorders>
          </w:tcPr>
          <w:p w:rsidR="00321D27" w:rsidRDefault="00321D27">
            <w:pPr>
              <w:pStyle w:val="Box"/>
              <w:spacing w:before="0" w:line="120" w:lineRule="exact"/>
            </w:pPr>
          </w:p>
        </w:tc>
      </w:tr>
      <w:tr w:rsidR="00321D27" w:rsidRPr="000863A5">
        <w:tc>
          <w:tcPr>
            <w:tcW w:w="8771" w:type="dxa"/>
            <w:tcBorders>
              <w:top w:val="nil"/>
              <w:left w:val="nil"/>
              <w:bottom w:val="nil"/>
              <w:right w:val="nil"/>
            </w:tcBorders>
          </w:tcPr>
          <w:p w:rsidR="00321D27" w:rsidRPr="00626D32" w:rsidRDefault="00321D27" w:rsidP="00E4594D">
            <w:pPr>
              <w:pStyle w:val="BoxSpaceBelow"/>
            </w:pPr>
          </w:p>
        </w:tc>
      </w:tr>
    </w:tbl>
    <w:p w:rsidR="000D7730" w:rsidRDefault="000D7730" w:rsidP="00E328AA">
      <w:pPr>
        <w:pStyle w:val="BodyText"/>
      </w:pPr>
    </w:p>
    <w:p w:rsidR="00E328AA" w:rsidRPr="009B05FD" w:rsidRDefault="00E328AA" w:rsidP="00E328AA">
      <w:pPr>
        <w:pStyle w:val="BodyText"/>
      </w:pPr>
      <w:r>
        <w:lastRenderedPageBreak/>
        <w:t>Further research would help to identify the underlying causes of the observed shifts in these proximate factors for Australia.</w:t>
      </w:r>
    </w:p>
    <w:p w:rsidR="00E328AA" w:rsidRDefault="00E328AA" w:rsidP="00E328AA">
      <w:pPr>
        <w:pStyle w:val="ListBullet"/>
      </w:pPr>
      <w:r>
        <w:t xml:space="preserve">Analysis of the causal factors underlying changes in the dispersion of the hourly wages of full-time workers over the last 20 years in Australia. International research could usefully guide this undertaking. Whether the international influences hold in the Australian context could be explored, especially given the effects on labour and capital shares of the major terms of trade changes in recent years. The importance of regulatory, taxation and transfer policy changes could also be explored. </w:t>
      </w:r>
    </w:p>
    <w:p w:rsidR="00E328AA" w:rsidRDefault="00E328AA" w:rsidP="00E328AA">
      <w:pPr>
        <w:pStyle w:val="ListBullet"/>
      </w:pPr>
      <w:r>
        <w:t>More sophisticated and comprehensive decomposition analysis could provide valuable information about the origins of changes in inequality, namely whether changes are broad-based or the result of large changes in particular sub-groups. Brewer, Muriel and Wren-Lewis (2009) offer a useful model in this regard. They analysed inequality in Great Britain since 1968</w:t>
      </w:r>
      <w:r w:rsidR="000D7730">
        <w:t>.</w:t>
      </w:r>
      <w:r>
        <w:t xml:space="preserve"> </w:t>
      </w:r>
      <w:r w:rsidR="000D7730">
        <w:t>D</w:t>
      </w:r>
      <w:r>
        <w:t>ecomposition methods</w:t>
      </w:r>
      <w:r w:rsidR="000D7730">
        <w:t xml:space="preserve"> used</w:t>
      </w:r>
      <w:r>
        <w:t xml:space="preserve"> include: more detailed decompositions by subgroup and income; specifying decompositions such that they also provide estimates of the impact of changing population shares; and the use of factor (regression) based decomposition. Another useful example is provided by Jenkins and Van Kerm (2004). </w:t>
      </w:r>
    </w:p>
    <w:p w:rsidR="00EE7973" w:rsidRDefault="00F27A05" w:rsidP="00EE7973">
      <w:pPr>
        <w:pStyle w:val="ListBullet"/>
      </w:pPr>
      <w:r>
        <w:t xml:space="preserve">The use of HES data in this study has facilitated the examination of in-kind social transfers and the impact of indirect taxes. The data </w:t>
      </w:r>
      <w:r w:rsidR="00345FCF">
        <w:t>are</w:t>
      </w:r>
      <w:r>
        <w:t xml:space="preserve"> only available </w:t>
      </w:r>
      <w:r w:rsidR="00773454">
        <w:t>for</w:t>
      </w:r>
      <w:r>
        <w:t xml:space="preserve"> five points in time and so could be </w:t>
      </w:r>
      <w:r w:rsidR="00C702D4">
        <w:t xml:space="preserve">sensitive </w:t>
      </w:r>
      <w:r>
        <w:t xml:space="preserve">to </w:t>
      </w:r>
      <w:r w:rsidR="00C702D4">
        <w:t xml:space="preserve">periodic </w:t>
      </w:r>
      <w:r>
        <w:t>policy change</w:t>
      </w:r>
      <w:r w:rsidR="00C702D4">
        <w:t>,</w:t>
      </w:r>
      <w:r>
        <w:t xml:space="preserve"> </w:t>
      </w:r>
      <w:r w:rsidR="00C702D4">
        <w:t>making it less representative of the</w:t>
      </w:r>
      <w:r>
        <w:t xml:space="preserve"> experience</w:t>
      </w:r>
      <w:r w:rsidR="00C702D4">
        <w:t xml:space="preserve"> over the period</w:t>
      </w:r>
      <w:r>
        <w:t xml:space="preserve">. </w:t>
      </w:r>
      <w:r w:rsidR="008D1977">
        <w:t>While not including in-kind benefits, v</w:t>
      </w:r>
      <w:r>
        <w:t xml:space="preserve">alidation </w:t>
      </w:r>
      <w:r w:rsidR="008D1977">
        <w:t xml:space="preserve">of the broad trends </w:t>
      </w:r>
      <w:r>
        <w:t xml:space="preserve">using the more frequent Survey of Income and Housing data could </w:t>
      </w:r>
      <w:r w:rsidR="008C2AEB">
        <w:t xml:space="preserve">identify the extent of </w:t>
      </w:r>
      <w:r>
        <w:t>important ‘within period’ developments</w:t>
      </w:r>
      <w:r w:rsidR="00EE7973">
        <w:t>.</w:t>
      </w:r>
    </w:p>
    <w:p w:rsidR="009A188E" w:rsidRDefault="00EE7973" w:rsidP="00E328AA">
      <w:pPr>
        <w:pStyle w:val="ListBullet"/>
      </w:pPr>
      <w:r>
        <w:t xml:space="preserve">Own </w:t>
      </w:r>
      <w:r w:rsidR="002D3A71">
        <w:t>un</w:t>
      </w:r>
      <w:r>
        <w:t xml:space="preserve">incorporated businesses exhibit </w:t>
      </w:r>
      <w:r w:rsidR="002D3A71">
        <w:t>unique</w:t>
      </w:r>
      <w:r>
        <w:t xml:space="preserve"> patterns in the data (high volatility</w:t>
      </w:r>
      <w:r w:rsidR="004A6309">
        <w:t>,</w:t>
      </w:r>
      <w:r>
        <w:t xml:space="preserve"> negative income</w:t>
      </w:r>
      <w:r w:rsidR="008C2AEB">
        <w:t xml:space="preserve"> and</w:t>
      </w:r>
      <w:r>
        <w:t xml:space="preserve"> double peaked income distribution), and little research has been done on the small but significant group in the Australian context. Yet, the inclusion of this group has a considerable impact on measured inequality </w:t>
      </w:r>
      <w:r w:rsidR="008C1848">
        <w:t>levels</w:t>
      </w:r>
      <w:r>
        <w:t xml:space="preserve">. </w:t>
      </w:r>
      <w:r w:rsidR="00F725C0">
        <w:t>Better understanding of</w:t>
      </w:r>
      <w:r>
        <w:t xml:space="preserve"> the </w:t>
      </w:r>
      <w:r w:rsidR="008C2AEB">
        <w:t>factors influencing</w:t>
      </w:r>
      <w:r w:rsidR="002D3A71">
        <w:t xml:space="preserve"> small business</w:t>
      </w:r>
      <w:r>
        <w:t xml:space="preserve"> behaviour</w:t>
      </w:r>
      <w:r w:rsidR="00F725C0">
        <w:t xml:space="preserve"> is needed to interpret the effects of</w:t>
      </w:r>
      <w:r w:rsidR="008C2AEB">
        <w:t xml:space="preserve"> </w:t>
      </w:r>
      <w:r>
        <w:t>incorporat</w:t>
      </w:r>
      <w:r w:rsidR="00F725C0">
        <w:t>ing</w:t>
      </w:r>
      <w:r>
        <w:t xml:space="preserve"> this group into broader income data</w:t>
      </w:r>
      <w:r w:rsidR="00F725C0">
        <w:t>.</w:t>
      </w:r>
    </w:p>
    <w:sectPr w:rsidR="009A188E" w:rsidSect="00610DD0">
      <w:headerReference w:type="even" r:id="rId13"/>
      <w:headerReference w:type="default" r:id="rId14"/>
      <w:footerReference w:type="even" r:id="rId15"/>
      <w:footerReference w:type="default" r:id="rId16"/>
      <w:pgSz w:w="11907" w:h="16840" w:code="9"/>
      <w:pgMar w:top="1985" w:right="1304" w:bottom="1418" w:left="1814" w:header="1701" w:footer="567" w:gutter="0"/>
      <w:pgNumType w:start="9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3FF" w:rsidRDefault="007133FF">
      <w:r>
        <w:separator/>
      </w:r>
    </w:p>
  </w:endnote>
  <w:endnote w:type="continuationSeparator" w:id="0">
    <w:p w:rsidR="007133FF" w:rsidRDefault="0071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133FF">
      <w:trPr>
        <w:trHeight w:hRule="exact" w:val="740"/>
      </w:trPr>
      <w:tc>
        <w:tcPr>
          <w:tcW w:w="510" w:type="dxa"/>
          <w:tcBorders>
            <w:top w:val="single" w:sz="6" w:space="0" w:color="auto"/>
          </w:tcBorders>
        </w:tcPr>
        <w:p w:rsidR="007133FF" w:rsidRDefault="007133F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81ADC">
            <w:rPr>
              <w:rStyle w:val="PageNumber"/>
              <w:noProof/>
            </w:rPr>
            <w:t>110</w:t>
          </w:r>
          <w:r>
            <w:rPr>
              <w:rStyle w:val="PageNumber"/>
            </w:rPr>
            <w:fldChar w:fldCharType="end"/>
          </w:r>
        </w:p>
      </w:tc>
      <w:tc>
        <w:tcPr>
          <w:tcW w:w="1644" w:type="dxa"/>
          <w:tcBorders>
            <w:top w:val="single" w:sz="6" w:space="0" w:color="auto"/>
          </w:tcBorders>
        </w:tcPr>
        <w:p w:rsidR="007133FF" w:rsidRDefault="00481ADC" w:rsidP="0019293B">
          <w:pPr>
            <w:pStyle w:val="Footer"/>
          </w:pPr>
          <w:r>
            <w:fldChar w:fldCharType="begin"/>
          </w:r>
          <w:r>
            <w:instrText xml:space="preserve"> SUBJECT  \* MERGEFORMAT </w:instrText>
          </w:r>
          <w:r>
            <w:fldChar w:fldCharType="separate"/>
          </w:r>
          <w:r w:rsidR="007133FF">
            <w:t>The distribution of income in Australia</w:t>
          </w:r>
          <w:r>
            <w:fldChar w:fldCharType="end"/>
          </w:r>
        </w:p>
      </w:tc>
      <w:tc>
        <w:tcPr>
          <w:tcW w:w="6634" w:type="dxa"/>
        </w:tcPr>
        <w:p w:rsidR="007133FF" w:rsidRDefault="007133FF" w:rsidP="0019293B">
          <w:pPr>
            <w:pStyle w:val="Footer"/>
          </w:pPr>
        </w:p>
      </w:tc>
    </w:tr>
  </w:tbl>
  <w:p w:rsidR="007133FF" w:rsidRDefault="007133F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133FF">
      <w:trPr>
        <w:trHeight w:hRule="exact" w:val="740"/>
      </w:trPr>
      <w:tc>
        <w:tcPr>
          <w:tcW w:w="6634" w:type="dxa"/>
        </w:tcPr>
        <w:p w:rsidR="007133FF" w:rsidRDefault="007133FF">
          <w:pPr>
            <w:pStyle w:val="Footer"/>
            <w:ind w:right="360" w:firstLine="360"/>
          </w:pPr>
        </w:p>
      </w:tc>
      <w:tc>
        <w:tcPr>
          <w:tcW w:w="1644" w:type="dxa"/>
          <w:tcBorders>
            <w:top w:val="single" w:sz="6" w:space="0" w:color="auto"/>
          </w:tcBorders>
        </w:tcPr>
        <w:p w:rsidR="007133FF" w:rsidRDefault="00481ADC">
          <w:pPr>
            <w:pStyle w:val="Footer"/>
          </w:pPr>
          <w:r>
            <w:fldChar w:fldCharType="begin"/>
          </w:r>
          <w:r>
            <w:instrText xml:space="preserve"> TITLE  \* MERGEFORMAT </w:instrText>
          </w:r>
          <w:r>
            <w:fldChar w:fldCharType="separate"/>
          </w:r>
          <w:r w:rsidR="007133FF">
            <w:t>Trends in perspective</w:t>
          </w:r>
          <w:r>
            <w:fldChar w:fldCharType="end"/>
          </w:r>
        </w:p>
      </w:tc>
      <w:tc>
        <w:tcPr>
          <w:tcW w:w="510" w:type="dxa"/>
          <w:tcBorders>
            <w:top w:val="single" w:sz="6" w:space="0" w:color="auto"/>
          </w:tcBorders>
        </w:tcPr>
        <w:p w:rsidR="007133FF" w:rsidRDefault="007133FF">
          <w:pPr>
            <w:pStyle w:val="Footer"/>
            <w:jc w:val="right"/>
          </w:pPr>
          <w:r>
            <w:rPr>
              <w:rStyle w:val="PageNumber"/>
            </w:rPr>
            <w:fldChar w:fldCharType="begin"/>
          </w:r>
          <w:r>
            <w:rPr>
              <w:rStyle w:val="PageNumber"/>
            </w:rPr>
            <w:instrText xml:space="preserve">PAGE  </w:instrText>
          </w:r>
          <w:r>
            <w:rPr>
              <w:rStyle w:val="PageNumber"/>
            </w:rPr>
            <w:fldChar w:fldCharType="separate"/>
          </w:r>
          <w:r w:rsidR="00481ADC">
            <w:rPr>
              <w:rStyle w:val="PageNumber"/>
              <w:noProof/>
            </w:rPr>
            <w:t>99</w:t>
          </w:r>
          <w:r>
            <w:rPr>
              <w:rStyle w:val="PageNumber"/>
            </w:rPr>
            <w:fldChar w:fldCharType="end"/>
          </w:r>
        </w:p>
      </w:tc>
    </w:tr>
  </w:tbl>
  <w:p w:rsidR="007133FF" w:rsidRDefault="007133F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3FF" w:rsidRDefault="007133FF">
      <w:r>
        <w:separator/>
      </w:r>
    </w:p>
  </w:footnote>
  <w:footnote w:type="continuationSeparator" w:id="0">
    <w:p w:rsidR="007133FF" w:rsidRDefault="007133FF">
      <w:r>
        <w:continuationSeparator/>
      </w:r>
    </w:p>
  </w:footnote>
  <w:footnote w:id="1">
    <w:p w:rsidR="007133FF" w:rsidRDefault="007133FF">
      <w:pPr>
        <w:pStyle w:val="FootnoteText"/>
      </w:pPr>
      <w:r>
        <w:rPr>
          <w:rStyle w:val="FootnoteReference"/>
        </w:rPr>
        <w:footnoteRef/>
      </w:r>
      <w:r>
        <w:t xml:space="preserve"> Note that OECD figures are based on the SIH data.</w:t>
      </w:r>
    </w:p>
  </w:footnote>
  <w:footnote w:id="2">
    <w:p w:rsidR="007133FF" w:rsidRDefault="007133FF" w:rsidP="00194D6F">
      <w:pPr>
        <w:pStyle w:val="FootnoteText"/>
      </w:pPr>
      <w:r>
        <w:rPr>
          <w:rStyle w:val="FootnoteReference"/>
        </w:rPr>
        <w:footnoteRef/>
      </w:r>
      <w:r>
        <w:t xml:space="preserve"> </w:t>
      </w:r>
      <w:r w:rsidRPr="000170F0">
        <w:t>The OECD</w:t>
      </w:r>
      <w:r>
        <w:t xml:space="preserve"> (2011)</w:t>
      </w:r>
      <w:r w:rsidRPr="000170F0">
        <w:t xml:space="preserve"> uses two approaches to calculate the distribution of in</w:t>
      </w:r>
      <w:r w:rsidRPr="000170F0">
        <w:noBreakHyphen/>
        <w:t xml:space="preserve">kind transfers </w:t>
      </w:r>
      <w:r>
        <w:t>across households, the “actual consumption approach” which allocates the value of public services to the individuals that are actually using the service; and the “insurance value approach” which allocates an equal amount of a service to everybody sharing the same characteristics such as age and gender. Estimates for education, child care and social housing services are based on the actual consumption approach, while health and elderly care are based on the insurance value approach.</w:t>
      </w:r>
    </w:p>
  </w:footnote>
  <w:footnote w:id="3">
    <w:p w:rsidR="007133FF" w:rsidRDefault="007133FF">
      <w:pPr>
        <w:pStyle w:val="FootnoteText"/>
      </w:pPr>
      <w:r w:rsidRPr="005A73DC">
        <w:rPr>
          <w:rStyle w:val="FootnoteReference"/>
        </w:rPr>
        <w:footnoteRef/>
      </w:r>
      <w:r w:rsidRPr="00074390">
        <w:t xml:space="preserve"> </w:t>
      </w:r>
      <w:r>
        <w:tab/>
      </w:r>
      <w:r w:rsidRPr="00BF68E6">
        <w:t>There are a num</w:t>
      </w:r>
      <w:r w:rsidRPr="00074390">
        <w:t xml:space="preserve">ber of </w:t>
      </w:r>
      <w:r>
        <w:t>issues related to the comparability of the OECD</w:t>
      </w:r>
      <w:r w:rsidRPr="00074390">
        <w:t xml:space="preserve"> data</w:t>
      </w:r>
      <w:r>
        <w:t>:</w:t>
      </w:r>
      <w:r w:rsidRPr="00074390">
        <w:t xml:space="preserve"> </w:t>
      </w:r>
      <w:r>
        <w:t>t</w:t>
      </w:r>
      <w:r w:rsidRPr="00BF68E6">
        <w:t>he times periods over which the chang</w:t>
      </w:r>
      <w:r w:rsidRPr="00074390">
        <w:t>es are measured are not cons</w:t>
      </w:r>
      <w:r>
        <w:t>istent</w:t>
      </w:r>
      <w:r w:rsidRPr="00BF68E6">
        <w:t xml:space="preserve"> across countries</w:t>
      </w:r>
      <w:r>
        <w:t>.</w:t>
      </w:r>
      <w:r w:rsidRPr="00BF68E6">
        <w:t xml:space="preserve"> </w:t>
      </w:r>
      <w:r>
        <w:t>F</w:t>
      </w:r>
      <w:r w:rsidRPr="00BF68E6">
        <w:t>or example</w:t>
      </w:r>
      <w:r>
        <w:t>,</w:t>
      </w:r>
      <w:r w:rsidRPr="00BF68E6">
        <w:t xml:space="preserve"> the time period 1979</w:t>
      </w:r>
      <w:r w:rsidRPr="00BF68E6">
        <w:noBreakHyphen/>
        <w:t>2004 was</w:t>
      </w:r>
      <w:r>
        <w:t xml:space="preserve"> used for the United States</w:t>
      </w:r>
      <w:r w:rsidRPr="00074390">
        <w:t xml:space="preserve"> and 1995</w:t>
      </w:r>
      <w:r w:rsidRPr="00074390">
        <w:noBreakHyphen/>
        <w:t>2004 for Greece</w:t>
      </w:r>
      <w:r w:rsidRPr="00BF68E6">
        <w:t xml:space="preserve"> and roughly half of the countries have reported gross earnings and half net earnings.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133FF">
      <w:tc>
        <w:tcPr>
          <w:tcW w:w="2155" w:type="dxa"/>
          <w:tcBorders>
            <w:top w:val="single" w:sz="24" w:space="0" w:color="auto"/>
          </w:tcBorders>
        </w:tcPr>
        <w:p w:rsidR="007133FF" w:rsidRDefault="007133FF" w:rsidP="0019293B">
          <w:pPr>
            <w:pStyle w:val="HeaderEven"/>
          </w:pPr>
        </w:p>
      </w:tc>
      <w:tc>
        <w:tcPr>
          <w:tcW w:w="6634" w:type="dxa"/>
          <w:tcBorders>
            <w:top w:val="single" w:sz="6" w:space="0" w:color="auto"/>
          </w:tcBorders>
        </w:tcPr>
        <w:p w:rsidR="007133FF" w:rsidRDefault="007133FF" w:rsidP="0019293B">
          <w:pPr>
            <w:pStyle w:val="HeaderEven"/>
          </w:pPr>
        </w:p>
      </w:tc>
    </w:tr>
  </w:tbl>
  <w:p w:rsidR="007133FF" w:rsidRDefault="007133F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133FF">
      <w:tc>
        <w:tcPr>
          <w:tcW w:w="6634" w:type="dxa"/>
          <w:tcBorders>
            <w:top w:val="single" w:sz="6" w:space="0" w:color="auto"/>
          </w:tcBorders>
        </w:tcPr>
        <w:p w:rsidR="007133FF" w:rsidRDefault="007133FF" w:rsidP="00E669E2">
          <w:pPr>
            <w:pStyle w:val="HeaderOdd"/>
          </w:pPr>
        </w:p>
      </w:tc>
      <w:tc>
        <w:tcPr>
          <w:tcW w:w="2155" w:type="dxa"/>
          <w:tcBorders>
            <w:top w:val="single" w:sz="24" w:space="0" w:color="auto"/>
          </w:tcBorders>
        </w:tcPr>
        <w:p w:rsidR="007133FF" w:rsidRDefault="007133FF" w:rsidP="00E669E2">
          <w:pPr>
            <w:pStyle w:val="HeaderOdd"/>
          </w:pPr>
        </w:p>
      </w:tc>
    </w:tr>
  </w:tbl>
  <w:p w:rsidR="007133FF" w:rsidRDefault="007133F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80A532C"/>
    <w:multiLevelType w:val="hybridMultilevel"/>
    <w:tmpl w:val="2A18599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0"/>
  </w:num>
  <w:num w:numId="48">
    <w:abstractNumId w:val="31"/>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rends in perspective"/>
    <w:docVar w:name="ShortReportTitle" w:val="The distribution of income in Australia"/>
  </w:docVars>
  <w:rsids>
    <w:rsidRoot w:val="009B05FD"/>
    <w:rsid w:val="00002053"/>
    <w:rsid w:val="00014913"/>
    <w:rsid w:val="000166C8"/>
    <w:rsid w:val="000170F0"/>
    <w:rsid w:val="00017154"/>
    <w:rsid w:val="00021007"/>
    <w:rsid w:val="000227D5"/>
    <w:rsid w:val="000245AA"/>
    <w:rsid w:val="0003664B"/>
    <w:rsid w:val="0004111F"/>
    <w:rsid w:val="00044702"/>
    <w:rsid w:val="00044870"/>
    <w:rsid w:val="00051C14"/>
    <w:rsid w:val="000565B3"/>
    <w:rsid w:val="00065071"/>
    <w:rsid w:val="0007150B"/>
    <w:rsid w:val="00074390"/>
    <w:rsid w:val="000759C7"/>
    <w:rsid w:val="00077351"/>
    <w:rsid w:val="00083250"/>
    <w:rsid w:val="000938F5"/>
    <w:rsid w:val="00096E55"/>
    <w:rsid w:val="000A0AA0"/>
    <w:rsid w:val="000A27CE"/>
    <w:rsid w:val="000A61B3"/>
    <w:rsid w:val="000B601B"/>
    <w:rsid w:val="000C207E"/>
    <w:rsid w:val="000D7730"/>
    <w:rsid w:val="000F0035"/>
    <w:rsid w:val="000F11E6"/>
    <w:rsid w:val="000F3DCB"/>
    <w:rsid w:val="000F420B"/>
    <w:rsid w:val="000F7F46"/>
    <w:rsid w:val="00106C25"/>
    <w:rsid w:val="00110116"/>
    <w:rsid w:val="001123C5"/>
    <w:rsid w:val="001137CA"/>
    <w:rsid w:val="00113AB7"/>
    <w:rsid w:val="00120072"/>
    <w:rsid w:val="0012139F"/>
    <w:rsid w:val="00124825"/>
    <w:rsid w:val="00126EB8"/>
    <w:rsid w:val="001274D4"/>
    <w:rsid w:val="001363AA"/>
    <w:rsid w:val="001560F8"/>
    <w:rsid w:val="00166BB9"/>
    <w:rsid w:val="00174B90"/>
    <w:rsid w:val="00183E82"/>
    <w:rsid w:val="00186501"/>
    <w:rsid w:val="001878BB"/>
    <w:rsid w:val="00191AE0"/>
    <w:rsid w:val="0019293B"/>
    <w:rsid w:val="00194BF0"/>
    <w:rsid w:val="00194D6F"/>
    <w:rsid w:val="001A6495"/>
    <w:rsid w:val="001A6A1E"/>
    <w:rsid w:val="001B42AA"/>
    <w:rsid w:val="001C0865"/>
    <w:rsid w:val="001C3ABA"/>
    <w:rsid w:val="001D24EB"/>
    <w:rsid w:val="001D4557"/>
    <w:rsid w:val="001D6FFB"/>
    <w:rsid w:val="001D7684"/>
    <w:rsid w:val="001E7BE8"/>
    <w:rsid w:val="001F0248"/>
    <w:rsid w:val="001F3EB3"/>
    <w:rsid w:val="001F4F86"/>
    <w:rsid w:val="00200E11"/>
    <w:rsid w:val="00202C2C"/>
    <w:rsid w:val="00210076"/>
    <w:rsid w:val="002135AB"/>
    <w:rsid w:val="002144BE"/>
    <w:rsid w:val="0022078C"/>
    <w:rsid w:val="00227B9A"/>
    <w:rsid w:val="00230C9B"/>
    <w:rsid w:val="00234069"/>
    <w:rsid w:val="00242279"/>
    <w:rsid w:val="00242FBC"/>
    <w:rsid w:val="00243AAE"/>
    <w:rsid w:val="00245C82"/>
    <w:rsid w:val="00246B38"/>
    <w:rsid w:val="00256E7E"/>
    <w:rsid w:val="00273BC2"/>
    <w:rsid w:val="002810FB"/>
    <w:rsid w:val="00281622"/>
    <w:rsid w:val="00283961"/>
    <w:rsid w:val="00284891"/>
    <w:rsid w:val="00291B40"/>
    <w:rsid w:val="002A63A1"/>
    <w:rsid w:val="002B3AE4"/>
    <w:rsid w:val="002B4008"/>
    <w:rsid w:val="002C64C4"/>
    <w:rsid w:val="002D0E8E"/>
    <w:rsid w:val="002D3A71"/>
    <w:rsid w:val="002D6268"/>
    <w:rsid w:val="002E127C"/>
    <w:rsid w:val="002E5EA8"/>
    <w:rsid w:val="002F3B49"/>
    <w:rsid w:val="00301189"/>
    <w:rsid w:val="00302D69"/>
    <w:rsid w:val="00313C17"/>
    <w:rsid w:val="00315084"/>
    <w:rsid w:val="00321D27"/>
    <w:rsid w:val="00323AF8"/>
    <w:rsid w:val="00323E09"/>
    <w:rsid w:val="00333932"/>
    <w:rsid w:val="00333CD3"/>
    <w:rsid w:val="00345FCF"/>
    <w:rsid w:val="003518AA"/>
    <w:rsid w:val="00352165"/>
    <w:rsid w:val="00353182"/>
    <w:rsid w:val="003565D9"/>
    <w:rsid w:val="00357696"/>
    <w:rsid w:val="003602E1"/>
    <w:rsid w:val="0037026F"/>
    <w:rsid w:val="00371240"/>
    <w:rsid w:val="0037408A"/>
    <w:rsid w:val="00374731"/>
    <w:rsid w:val="00374774"/>
    <w:rsid w:val="00376E59"/>
    <w:rsid w:val="003919F9"/>
    <w:rsid w:val="003963C4"/>
    <w:rsid w:val="003A229E"/>
    <w:rsid w:val="003A361B"/>
    <w:rsid w:val="003A7E22"/>
    <w:rsid w:val="003B2464"/>
    <w:rsid w:val="003C38B5"/>
    <w:rsid w:val="003C5D99"/>
    <w:rsid w:val="003C7897"/>
    <w:rsid w:val="003E2F59"/>
    <w:rsid w:val="003E3798"/>
    <w:rsid w:val="003E3F1A"/>
    <w:rsid w:val="003E5D56"/>
    <w:rsid w:val="003E5D8F"/>
    <w:rsid w:val="003F0789"/>
    <w:rsid w:val="00401882"/>
    <w:rsid w:val="004100C8"/>
    <w:rsid w:val="00410797"/>
    <w:rsid w:val="00411DBD"/>
    <w:rsid w:val="00412ACE"/>
    <w:rsid w:val="00423D25"/>
    <w:rsid w:val="00431249"/>
    <w:rsid w:val="0043131C"/>
    <w:rsid w:val="00434C19"/>
    <w:rsid w:val="00450810"/>
    <w:rsid w:val="0046280E"/>
    <w:rsid w:val="00475A33"/>
    <w:rsid w:val="00477144"/>
    <w:rsid w:val="00481ADC"/>
    <w:rsid w:val="00482BBA"/>
    <w:rsid w:val="004844D8"/>
    <w:rsid w:val="00491380"/>
    <w:rsid w:val="0049459F"/>
    <w:rsid w:val="00496F4D"/>
    <w:rsid w:val="004A38DD"/>
    <w:rsid w:val="004A6309"/>
    <w:rsid w:val="004B28A0"/>
    <w:rsid w:val="004B43AE"/>
    <w:rsid w:val="004B6AA3"/>
    <w:rsid w:val="004C30ED"/>
    <w:rsid w:val="004C5DD0"/>
    <w:rsid w:val="004D1332"/>
    <w:rsid w:val="004D4FCF"/>
    <w:rsid w:val="004D5675"/>
    <w:rsid w:val="004F6BDA"/>
    <w:rsid w:val="00500A57"/>
    <w:rsid w:val="00502B93"/>
    <w:rsid w:val="00523482"/>
    <w:rsid w:val="00523639"/>
    <w:rsid w:val="00531FE5"/>
    <w:rsid w:val="005402FA"/>
    <w:rsid w:val="00541CE5"/>
    <w:rsid w:val="0056509A"/>
    <w:rsid w:val="00573F80"/>
    <w:rsid w:val="00583C39"/>
    <w:rsid w:val="0058480F"/>
    <w:rsid w:val="00587F28"/>
    <w:rsid w:val="005909CF"/>
    <w:rsid w:val="00591E71"/>
    <w:rsid w:val="005A06BD"/>
    <w:rsid w:val="005A0D41"/>
    <w:rsid w:val="005A24E9"/>
    <w:rsid w:val="005A73DC"/>
    <w:rsid w:val="005C0055"/>
    <w:rsid w:val="005C6671"/>
    <w:rsid w:val="005D36E9"/>
    <w:rsid w:val="005D524F"/>
    <w:rsid w:val="005F2B6F"/>
    <w:rsid w:val="005F71D1"/>
    <w:rsid w:val="005F721D"/>
    <w:rsid w:val="00605E87"/>
    <w:rsid w:val="00607BF1"/>
    <w:rsid w:val="00610DD0"/>
    <w:rsid w:val="00620D8C"/>
    <w:rsid w:val="006275E3"/>
    <w:rsid w:val="00630AFD"/>
    <w:rsid w:val="00630D4D"/>
    <w:rsid w:val="00632A74"/>
    <w:rsid w:val="0063499F"/>
    <w:rsid w:val="00651EB7"/>
    <w:rsid w:val="00671CFC"/>
    <w:rsid w:val="00686B6E"/>
    <w:rsid w:val="00696373"/>
    <w:rsid w:val="006A4655"/>
    <w:rsid w:val="006B04A5"/>
    <w:rsid w:val="006B2B3C"/>
    <w:rsid w:val="006B2D47"/>
    <w:rsid w:val="006B6FF2"/>
    <w:rsid w:val="006C1D81"/>
    <w:rsid w:val="006C3A66"/>
    <w:rsid w:val="006C7038"/>
    <w:rsid w:val="006E5DB4"/>
    <w:rsid w:val="006E5E5D"/>
    <w:rsid w:val="006E73EF"/>
    <w:rsid w:val="007133FF"/>
    <w:rsid w:val="00714D4D"/>
    <w:rsid w:val="00735336"/>
    <w:rsid w:val="00735967"/>
    <w:rsid w:val="007604BB"/>
    <w:rsid w:val="0076198E"/>
    <w:rsid w:val="00766573"/>
    <w:rsid w:val="00767501"/>
    <w:rsid w:val="00767B85"/>
    <w:rsid w:val="00773454"/>
    <w:rsid w:val="00777D52"/>
    <w:rsid w:val="00785232"/>
    <w:rsid w:val="00787CA6"/>
    <w:rsid w:val="007947C9"/>
    <w:rsid w:val="007A21EB"/>
    <w:rsid w:val="007A3945"/>
    <w:rsid w:val="007B1A93"/>
    <w:rsid w:val="007C136A"/>
    <w:rsid w:val="007C36C9"/>
    <w:rsid w:val="007D4323"/>
    <w:rsid w:val="007D6401"/>
    <w:rsid w:val="007E01E4"/>
    <w:rsid w:val="007E78D7"/>
    <w:rsid w:val="007F4CF6"/>
    <w:rsid w:val="007F7107"/>
    <w:rsid w:val="00800D4C"/>
    <w:rsid w:val="008044A7"/>
    <w:rsid w:val="0081030F"/>
    <w:rsid w:val="00811F29"/>
    <w:rsid w:val="00820571"/>
    <w:rsid w:val="0082087D"/>
    <w:rsid w:val="00831405"/>
    <w:rsid w:val="00835771"/>
    <w:rsid w:val="00842933"/>
    <w:rsid w:val="00844F22"/>
    <w:rsid w:val="0086082C"/>
    <w:rsid w:val="00864ADC"/>
    <w:rsid w:val="00872928"/>
    <w:rsid w:val="00872BEF"/>
    <w:rsid w:val="00880153"/>
    <w:rsid w:val="00880F97"/>
    <w:rsid w:val="0088133A"/>
    <w:rsid w:val="00887FB0"/>
    <w:rsid w:val="0089285E"/>
    <w:rsid w:val="00893D88"/>
    <w:rsid w:val="0089436C"/>
    <w:rsid w:val="00895503"/>
    <w:rsid w:val="008B0177"/>
    <w:rsid w:val="008C1848"/>
    <w:rsid w:val="008C21DF"/>
    <w:rsid w:val="008C2AEB"/>
    <w:rsid w:val="008C3336"/>
    <w:rsid w:val="008D1641"/>
    <w:rsid w:val="008D1977"/>
    <w:rsid w:val="008D1DC4"/>
    <w:rsid w:val="008D365C"/>
    <w:rsid w:val="008D7A25"/>
    <w:rsid w:val="008E1D17"/>
    <w:rsid w:val="008E34B4"/>
    <w:rsid w:val="009030BF"/>
    <w:rsid w:val="009067D8"/>
    <w:rsid w:val="0091032F"/>
    <w:rsid w:val="00913D8B"/>
    <w:rsid w:val="00914368"/>
    <w:rsid w:val="00930FF3"/>
    <w:rsid w:val="00931076"/>
    <w:rsid w:val="00931ECE"/>
    <w:rsid w:val="009345D9"/>
    <w:rsid w:val="00934B15"/>
    <w:rsid w:val="00940C87"/>
    <w:rsid w:val="00942B62"/>
    <w:rsid w:val="0095323B"/>
    <w:rsid w:val="00956A0C"/>
    <w:rsid w:val="00956BD9"/>
    <w:rsid w:val="00962489"/>
    <w:rsid w:val="0097390D"/>
    <w:rsid w:val="00981A0C"/>
    <w:rsid w:val="00990C2C"/>
    <w:rsid w:val="00991045"/>
    <w:rsid w:val="009A188E"/>
    <w:rsid w:val="009A5D78"/>
    <w:rsid w:val="009B05FD"/>
    <w:rsid w:val="009B1CCF"/>
    <w:rsid w:val="009E1844"/>
    <w:rsid w:val="009E644C"/>
    <w:rsid w:val="009F0D1B"/>
    <w:rsid w:val="009F2AC8"/>
    <w:rsid w:val="009F472F"/>
    <w:rsid w:val="009F696D"/>
    <w:rsid w:val="009F6BC6"/>
    <w:rsid w:val="00A17328"/>
    <w:rsid w:val="00A23A20"/>
    <w:rsid w:val="00A268B9"/>
    <w:rsid w:val="00A2703A"/>
    <w:rsid w:val="00A33343"/>
    <w:rsid w:val="00A33DFF"/>
    <w:rsid w:val="00A34205"/>
    <w:rsid w:val="00A35115"/>
    <w:rsid w:val="00A36D9A"/>
    <w:rsid w:val="00A43289"/>
    <w:rsid w:val="00A434F7"/>
    <w:rsid w:val="00A470E9"/>
    <w:rsid w:val="00A54095"/>
    <w:rsid w:val="00A554AB"/>
    <w:rsid w:val="00A556BC"/>
    <w:rsid w:val="00A57062"/>
    <w:rsid w:val="00A57C3A"/>
    <w:rsid w:val="00A60A5B"/>
    <w:rsid w:val="00A6419E"/>
    <w:rsid w:val="00A66641"/>
    <w:rsid w:val="00A73681"/>
    <w:rsid w:val="00A77B5D"/>
    <w:rsid w:val="00A77C58"/>
    <w:rsid w:val="00A92B53"/>
    <w:rsid w:val="00A94FA6"/>
    <w:rsid w:val="00AA49A0"/>
    <w:rsid w:val="00AA6710"/>
    <w:rsid w:val="00AB0681"/>
    <w:rsid w:val="00AC5E2D"/>
    <w:rsid w:val="00AD520B"/>
    <w:rsid w:val="00AE4B90"/>
    <w:rsid w:val="00AF6AAC"/>
    <w:rsid w:val="00B024CD"/>
    <w:rsid w:val="00B04B75"/>
    <w:rsid w:val="00B07941"/>
    <w:rsid w:val="00B10DCC"/>
    <w:rsid w:val="00B33D7D"/>
    <w:rsid w:val="00B425C3"/>
    <w:rsid w:val="00B440AD"/>
    <w:rsid w:val="00B47809"/>
    <w:rsid w:val="00B53E7E"/>
    <w:rsid w:val="00B6342E"/>
    <w:rsid w:val="00B7113F"/>
    <w:rsid w:val="00B80E81"/>
    <w:rsid w:val="00B9385D"/>
    <w:rsid w:val="00B956AA"/>
    <w:rsid w:val="00BA49A3"/>
    <w:rsid w:val="00BA67A5"/>
    <w:rsid w:val="00BA73B6"/>
    <w:rsid w:val="00BA7E27"/>
    <w:rsid w:val="00BB2603"/>
    <w:rsid w:val="00BB4FCD"/>
    <w:rsid w:val="00BB5C11"/>
    <w:rsid w:val="00BB7C68"/>
    <w:rsid w:val="00BC04E9"/>
    <w:rsid w:val="00BC28DE"/>
    <w:rsid w:val="00BD13EA"/>
    <w:rsid w:val="00BD33E2"/>
    <w:rsid w:val="00BE3808"/>
    <w:rsid w:val="00BE5673"/>
    <w:rsid w:val="00BF68E6"/>
    <w:rsid w:val="00BF7DB3"/>
    <w:rsid w:val="00C00D06"/>
    <w:rsid w:val="00C062E9"/>
    <w:rsid w:val="00C07B64"/>
    <w:rsid w:val="00C13721"/>
    <w:rsid w:val="00C14FE4"/>
    <w:rsid w:val="00C3066D"/>
    <w:rsid w:val="00C52416"/>
    <w:rsid w:val="00C543F4"/>
    <w:rsid w:val="00C6291C"/>
    <w:rsid w:val="00C633CB"/>
    <w:rsid w:val="00C64203"/>
    <w:rsid w:val="00C65EA7"/>
    <w:rsid w:val="00C67B70"/>
    <w:rsid w:val="00C702D4"/>
    <w:rsid w:val="00C736B7"/>
    <w:rsid w:val="00C76CA8"/>
    <w:rsid w:val="00C81A6B"/>
    <w:rsid w:val="00C81A83"/>
    <w:rsid w:val="00C81D4A"/>
    <w:rsid w:val="00C83820"/>
    <w:rsid w:val="00C8762C"/>
    <w:rsid w:val="00CA00F9"/>
    <w:rsid w:val="00CA2961"/>
    <w:rsid w:val="00CB50D7"/>
    <w:rsid w:val="00CB7177"/>
    <w:rsid w:val="00CC11C4"/>
    <w:rsid w:val="00CC1998"/>
    <w:rsid w:val="00CC4946"/>
    <w:rsid w:val="00CD1CFE"/>
    <w:rsid w:val="00CD5E15"/>
    <w:rsid w:val="00CE0CEA"/>
    <w:rsid w:val="00CE553E"/>
    <w:rsid w:val="00CF4ED3"/>
    <w:rsid w:val="00CF4FAC"/>
    <w:rsid w:val="00D17D93"/>
    <w:rsid w:val="00D270A4"/>
    <w:rsid w:val="00D31FE9"/>
    <w:rsid w:val="00D34E1B"/>
    <w:rsid w:val="00D376BA"/>
    <w:rsid w:val="00D41D77"/>
    <w:rsid w:val="00D45634"/>
    <w:rsid w:val="00D5568A"/>
    <w:rsid w:val="00D63D73"/>
    <w:rsid w:val="00D64452"/>
    <w:rsid w:val="00D64A65"/>
    <w:rsid w:val="00D66E1E"/>
    <w:rsid w:val="00D75722"/>
    <w:rsid w:val="00D7751A"/>
    <w:rsid w:val="00D8091F"/>
    <w:rsid w:val="00D80CF5"/>
    <w:rsid w:val="00D8126B"/>
    <w:rsid w:val="00D8771B"/>
    <w:rsid w:val="00D96845"/>
    <w:rsid w:val="00DA5BBA"/>
    <w:rsid w:val="00DA6CEA"/>
    <w:rsid w:val="00DA6DCA"/>
    <w:rsid w:val="00DB1A88"/>
    <w:rsid w:val="00DB26D2"/>
    <w:rsid w:val="00DB67C9"/>
    <w:rsid w:val="00DC0C95"/>
    <w:rsid w:val="00DC1032"/>
    <w:rsid w:val="00DC21B4"/>
    <w:rsid w:val="00DD3908"/>
    <w:rsid w:val="00DD6580"/>
    <w:rsid w:val="00DD718D"/>
    <w:rsid w:val="00E03A43"/>
    <w:rsid w:val="00E063A5"/>
    <w:rsid w:val="00E10B0D"/>
    <w:rsid w:val="00E17C72"/>
    <w:rsid w:val="00E21FC6"/>
    <w:rsid w:val="00E30D60"/>
    <w:rsid w:val="00E328AA"/>
    <w:rsid w:val="00E431A9"/>
    <w:rsid w:val="00E4594D"/>
    <w:rsid w:val="00E5670F"/>
    <w:rsid w:val="00E62118"/>
    <w:rsid w:val="00E669E2"/>
    <w:rsid w:val="00E67907"/>
    <w:rsid w:val="00E76135"/>
    <w:rsid w:val="00E7618C"/>
    <w:rsid w:val="00E77D9D"/>
    <w:rsid w:val="00E82F4F"/>
    <w:rsid w:val="00E96ADE"/>
    <w:rsid w:val="00EA4ADB"/>
    <w:rsid w:val="00EB14C6"/>
    <w:rsid w:val="00EB179C"/>
    <w:rsid w:val="00EB2145"/>
    <w:rsid w:val="00EB267B"/>
    <w:rsid w:val="00EC1E8D"/>
    <w:rsid w:val="00EC2844"/>
    <w:rsid w:val="00EC5500"/>
    <w:rsid w:val="00EE646C"/>
    <w:rsid w:val="00EE7973"/>
    <w:rsid w:val="00EF5494"/>
    <w:rsid w:val="00EF6C6C"/>
    <w:rsid w:val="00EF7275"/>
    <w:rsid w:val="00F056FC"/>
    <w:rsid w:val="00F10476"/>
    <w:rsid w:val="00F111A9"/>
    <w:rsid w:val="00F12F9D"/>
    <w:rsid w:val="00F135D8"/>
    <w:rsid w:val="00F23165"/>
    <w:rsid w:val="00F26350"/>
    <w:rsid w:val="00F26FB4"/>
    <w:rsid w:val="00F27A05"/>
    <w:rsid w:val="00F31299"/>
    <w:rsid w:val="00F3534A"/>
    <w:rsid w:val="00F42D42"/>
    <w:rsid w:val="00F45B60"/>
    <w:rsid w:val="00F51609"/>
    <w:rsid w:val="00F641CE"/>
    <w:rsid w:val="00F65592"/>
    <w:rsid w:val="00F725C0"/>
    <w:rsid w:val="00F76D6D"/>
    <w:rsid w:val="00F81006"/>
    <w:rsid w:val="00F85325"/>
    <w:rsid w:val="00FB2EAC"/>
    <w:rsid w:val="00FC7C94"/>
    <w:rsid w:val="00FD22B1"/>
    <w:rsid w:val="00FE5397"/>
    <w:rsid w:val="00FF71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0A5B"/>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A60A5B"/>
    <w:rPr>
      <w:sz w:val="26"/>
    </w:rPr>
  </w:style>
  <w:style w:type="character" w:customStyle="1" w:styleId="CommentTextChar">
    <w:name w:val="Comment Text Char"/>
    <w:basedOn w:val="DefaultParagraphFont"/>
    <w:link w:val="CommentText"/>
    <w:semiHidden/>
    <w:rsid w:val="00EB179C"/>
    <w:rPr>
      <w:szCs w:val="24"/>
    </w:rPr>
  </w:style>
  <w:style w:type="paragraph" w:styleId="CommentSubject">
    <w:name w:val="annotation subject"/>
    <w:basedOn w:val="CommentText"/>
    <w:next w:val="CommentText"/>
    <w:link w:val="CommentSubjectChar"/>
    <w:rsid w:val="00773454"/>
    <w:pPr>
      <w:spacing w:before="0" w:line="240" w:lineRule="auto"/>
      <w:ind w:left="0" w:firstLine="0"/>
    </w:pPr>
    <w:rPr>
      <w:b/>
      <w:bCs/>
      <w:szCs w:val="20"/>
    </w:rPr>
  </w:style>
  <w:style w:type="character" w:customStyle="1" w:styleId="CommentSubjectChar">
    <w:name w:val="Comment Subject Char"/>
    <w:basedOn w:val="CommentTextChar"/>
    <w:link w:val="CommentSubject"/>
    <w:rsid w:val="00773454"/>
    <w:rPr>
      <w:b/>
      <w:bCs/>
      <w:szCs w:val="24"/>
    </w:rPr>
  </w:style>
  <w:style w:type="paragraph" w:styleId="Revision">
    <w:name w:val="Revision"/>
    <w:hidden/>
    <w:uiPriority w:val="99"/>
    <w:semiHidden/>
    <w:rsid w:val="00E4594D"/>
    <w:rPr>
      <w:sz w:val="26"/>
      <w:szCs w:val="24"/>
    </w:rPr>
  </w:style>
  <w:style w:type="character" w:styleId="Hyperlink">
    <w:name w:val="Hyperlink"/>
    <w:basedOn w:val="DefaultParagraphFont"/>
    <w:rsid w:val="006B6FF2"/>
    <w:rPr>
      <w:color w:val="0000FF" w:themeColor="hyperlink"/>
      <w:u w:val="single"/>
    </w:rPr>
  </w:style>
  <w:style w:type="character" w:customStyle="1" w:styleId="Heading3Char">
    <w:name w:val="Heading 3 Char"/>
    <w:basedOn w:val="DefaultParagraphFont"/>
    <w:link w:val="Heading3"/>
    <w:rsid w:val="00AE4B90"/>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0A5B"/>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A60A5B"/>
    <w:rPr>
      <w:sz w:val="26"/>
    </w:rPr>
  </w:style>
  <w:style w:type="character" w:customStyle="1" w:styleId="CommentTextChar">
    <w:name w:val="Comment Text Char"/>
    <w:basedOn w:val="DefaultParagraphFont"/>
    <w:link w:val="CommentText"/>
    <w:semiHidden/>
    <w:rsid w:val="00EB179C"/>
    <w:rPr>
      <w:szCs w:val="24"/>
    </w:rPr>
  </w:style>
  <w:style w:type="paragraph" w:styleId="CommentSubject">
    <w:name w:val="annotation subject"/>
    <w:basedOn w:val="CommentText"/>
    <w:next w:val="CommentText"/>
    <w:link w:val="CommentSubjectChar"/>
    <w:rsid w:val="00773454"/>
    <w:pPr>
      <w:spacing w:before="0" w:line="240" w:lineRule="auto"/>
      <w:ind w:left="0" w:firstLine="0"/>
    </w:pPr>
    <w:rPr>
      <w:b/>
      <w:bCs/>
      <w:szCs w:val="20"/>
    </w:rPr>
  </w:style>
  <w:style w:type="character" w:customStyle="1" w:styleId="CommentSubjectChar">
    <w:name w:val="Comment Subject Char"/>
    <w:basedOn w:val="CommentTextChar"/>
    <w:link w:val="CommentSubject"/>
    <w:rsid w:val="00773454"/>
    <w:rPr>
      <w:b/>
      <w:bCs/>
      <w:szCs w:val="24"/>
    </w:rPr>
  </w:style>
  <w:style w:type="paragraph" w:styleId="Revision">
    <w:name w:val="Revision"/>
    <w:hidden/>
    <w:uiPriority w:val="99"/>
    <w:semiHidden/>
    <w:rsid w:val="00E4594D"/>
    <w:rPr>
      <w:sz w:val="26"/>
      <w:szCs w:val="24"/>
    </w:rPr>
  </w:style>
  <w:style w:type="character" w:styleId="Hyperlink">
    <w:name w:val="Hyperlink"/>
    <w:basedOn w:val="DefaultParagraphFont"/>
    <w:rsid w:val="006B6FF2"/>
    <w:rPr>
      <w:color w:val="0000FF" w:themeColor="hyperlink"/>
      <w:u w:val="single"/>
    </w:rPr>
  </w:style>
  <w:style w:type="character" w:customStyle="1" w:styleId="Heading3Char">
    <w:name w:val="Heading 3 Char"/>
    <w:basedOn w:val="DefaultParagraphFont"/>
    <w:link w:val="Heading3"/>
    <w:rsid w:val="00AE4B90"/>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950985437549722E-2"/>
          <c:y val="5.3623975022052239E-2"/>
          <c:w val="0.91588784225973541"/>
          <c:h val="0.63608726538723903"/>
        </c:manualLayout>
      </c:layout>
      <c:barChart>
        <c:barDir val="col"/>
        <c:grouping val="clustered"/>
        <c:varyColors val="0"/>
        <c:ser>
          <c:idx val="0"/>
          <c:order val="0"/>
          <c:spPr>
            <a:pattFill prst="pct30">
              <a:fgClr>
                <a:srgbClr val="4F81BD">
                  <a:lumMod val="75000"/>
                </a:srgbClr>
              </a:fgClr>
              <a:bgClr>
                <a:schemeClr val="bg1"/>
              </a:bgClr>
            </a:pattFill>
            <a:ln w="19050">
              <a:solidFill>
                <a:schemeClr val="accent1">
                  <a:lumMod val="75000"/>
                </a:schemeClr>
              </a:solidFill>
            </a:ln>
          </c:spPr>
          <c:invertIfNegative val="0"/>
          <c:dPt>
            <c:idx val="20"/>
            <c:invertIfNegative val="0"/>
            <c:bubble3D val="0"/>
            <c:spPr>
              <a:solidFill>
                <a:schemeClr val="accent1">
                  <a:lumMod val="75000"/>
                </a:schemeClr>
              </a:solidFill>
              <a:ln w="19050">
                <a:solidFill>
                  <a:schemeClr val="accent1">
                    <a:lumMod val="75000"/>
                  </a:schemeClr>
                </a:solidFill>
              </a:ln>
            </c:spPr>
          </c:dPt>
          <c:dPt>
            <c:idx val="26"/>
            <c:invertIfNegative val="0"/>
            <c:bubble3D val="0"/>
            <c:spPr>
              <a:solidFill>
                <a:srgbClr val="C00000"/>
              </a:solidFill>
              <a:ln w="19050">
                <a:solidFill>
                  <a:srgbClr val="C00000"/>
                </a:solidFill>
              </a:ln>
            </c:spPr>
          </c:dPt>
          <c:cat>
            <c:strRef>
              <c:f>'OECD.Stat export'!$A$8:$A$42</c:f>
              <c:strCache>
                <c:ptCount val="35"/>
                <c:pt idx="0">
                  <c:v>Slovenia</c:v>
                </c:pt>
                <c:pt idx="1">
                  <c:v>Denmark</c:v>
                </c:pt>
                <c:pt idx="2">
                  <c:v>Norway</c:v>
                </c:pt>
                <c:pt idx="3">
                  <c:v>Czech Republic</c:v>
                </c:pt>
                <c:pt idx="4">
                  <c:v>Slovak Republic</c:v>
                </c:pt>
                <c:pt idx="5">
                  <c:v>Belgium</c:v>
                </c:pt>
                <c:pt idx="6">
                  <c:v>Finland</c:v>
                </c:pt>
                <c:pt idx="7">
                  <c:v>Sweden</c:v>
                </c:pt>
                <c:pt idx="8">
                  <c:v>Austria</c:v>
                </c:pt>
                <c:pt idx="9">
                  <c:v>Hungary</c:v>
                </c:pt>
                <c:pt idx="10">
                  <c:v>Luxembourg</c:v>
                </c:pt>
                <c:pt idx="11">
                  <c:v>France</c:v>
                </c:pt>
                <c:pt idx="12">
                  <c:v>Ireland</c:v>
                </c:pt>
                <c:pt idx="13">
                  <c:v>Netherlands</c:v>
                </c:pt>
                <c:pt idx="14">
                  <c:v>Germany</c:v>
                </c:pt>
                <c:pt idx="15">
                  <c:v>Iceland</c:v>
                </c:pt>
                <c:pt idx="16">
                  <c:v>Switzerland</c:v>
                </c:pt>
                <c:pt idx="17">
                  <c:v>Poland</c:v>
                </c:pt>
                <c:pt idx="18">
                  <c:v>Greece</c:v>
                </c:pt>
                <c:pt idx="19">
                  <c:v>Korea</c:v>
                </c:pt>
                <c:pt idx="20">
                  <c:v>OECD Total</c:v>
                </c:pt>
                <c:pt idx="21">
                  <c:v>Estonia</c:v>
                </c:pt>
                <c:pt idx="22">
                  <c:v>Spain</c:v>
                </c:pt>
                <c:pt idx="23">
                  <c:v>Canada</c:v>
                </c:pt>
                <c:pt idx="24">
                  <c:v>Japan</c:v>
                </c:pt>
                <c:pt idx="25">
                  <c:v>New Zealand</c:v>
                </c:pt>
                <c:pt idx="26">
                  <c:v>Australia</c:v>
                </c:pt>
                <c:pt idx="27">
                  <c:v>Italy</c:v>
                </c:pt>
                <c:pt idx="28">
                  <c:v>United Kingdom</c:v>
                </c:pt>
                <c:pt idx="29">
                  <c:v>Portugal</c:v>
                </c:pt>
                <c:pt idx="30">
                  <c:v>Israel</c:v>
                </c:pt>
                <c:pt idx="31">
                  <c:v>United States</c:v>
                </c:pt>
                <c:pt idx="32">
                  <c:v>Turkey</c:v>
                </c:pt>
                <c:pt idx="33">
                  <c:v>Mexico</c:v>
                </c:pt>
                <c:pt idx="34">
                  <c:v>Chile</c:v>
                </c:pt>
              </c:strCache>
            </c:strRef>
          </c:cat>
          <c:val>
            <c:numRef>
              <c:f>'OECD.Stat export'!$P$8:$P$42</c:f>
              <c:numCache>
                <c:formatCode>General</c:formatCode>
                <c:ptCount val="35"/>
                <c:pt idx="0">
                  <c:v>0.23599999999999999</c:v>
                </c:pt>
                <c:pt idx="1">
                  <c:v>0.248</c:v>
                </c:pt>
                <c:pt idx="2">
                  <c:v>0.25</c:v>
                </c:pt>
                <c:pt idx="3">
                  <c:v>0.25600000000000001</c:v>
                </c:pt>
                <c:pt idx="4">
                  <c:v>0.25700000000000001</c:v>
                </c:pt>
                <c:pt idx="5">
                  <c:v>0.25900000000000001</c:v>
                </c:pt>
                <c:pt idx="6">
                  <c:v>0.25900000000000001</c:v>
                </c:pt>
                <c:pt idx="7">
                  <c:v>0.25900000000000001</c:v>
                </c:pt>
                <c:pt idx="8">
                  <c:v>0.26100000000000001</c:v>
                </c:pt>
                <c:pt idx="9">
                  <c:v>0.27200000000000002</c:v>
                </c:pt>
                <c:pt idx="10">
                  <c:v>0.28799999999999998</c:v>
                </c:pt>
                <c:pt idx="11">
                  <c:v>0.29299999999999998</c:v>
                </c:pt>
                <c:pt idx="12">
                  <c:v>0.29299999999999998</c:v>
                </c:pt>
                <c:pt idx="13">
                  <c:v>0.29399999999999998</c:v>
                </c:pt>
                <c:pt idx="14">
                  <c:v>0.29499999999999998</c:v>
                </c:pt>
                <c:pt idx="15">
                  <c:v>0.30099999999999999</c:v>
                </c:pt>
                <c:pt idx="16">
                  <c:v>0.30299999999999999</c:v>
                </c:pt>
                <c:pt idx="17">
                  <c:v>0.30499999999999999</c:v>
                </c:pt>
                <c:pt idx="18">
                  <c:v>0.307</c:v>
                </c:pt>
                <c:pt idx="19">
                  <c:v>0.314</c:v>
                </c:pt>
                <c:pt idx="20">
                  <c:v>0.314</c:v>
                </c:pt>
                <c:pt idx="21">
                  <c:v>0.315</c:v>
                </c:pt>
                <c:pt idx="22">
                  <c:v>0.317</c:v>
                </c:pt>
                <c:pt idx="23">
                  <c:v>0.32400000000000001</c:v>
                </c:pt>
                <c:pt idx="24">
                  <c:v>0.32900000000000001</c:v>
                </c:pt>
                <c:pt idx="25">
                  <c:v>0.33</c:v>
                </c:pt>
                <c:pt idx="26">
                  <c:v>0.33600000000000002</c:v>
                </c:pt>
                <c:pt idx="27">
                  <c:v>0.33700000000000002</c:v>
                </c:pt>
                <c:pt idx="28">
                  <c:v>0.34200000000000003</c:v>
                </c:pt>
                <c:pt idx="29">
                  <c:v>0.35299999999999998</c:v>
                </c:pt>
                <c:pt idx="30">
                  <c:v>0.371</c:v>
                </c:pt>
                <c:pt idx="31">
                  <c:v>0.378</c:v>
                </c:pt>
                <c:pt idx="32">
                  <c:v>0.40899999999999997</c:v>
                </c:pt>
                <c:pt idx="33">
                  <c:v>0.47599999999999998</c:v>
                </c:pt>
                <c:pt idx="34">
                  <c:v>0.49399999999999999</c:v>
                </c:pt>
              </c:numCache>
            </c:numRef>
          </c:val>
        </c:ser>
        <c:dLbls>
          <c:showLegendKey val="0"/>
          <c:showVal val="0"/>
          <c:showCatName val="0"/>
          <c:showSerName val="0"/>
          <c:showPercent val="0"/>
          <c:showBubbleSize val="0"/>
        </c:dLbls>
        <c:gapWidth val="150"/>
        <c:axId val="185111680"/>
        <c:axId val="185113216"/>
      </c:barChart>
      <c:catAx>
        <c:axId val="185111680"/>
        <c:scaling>
          <c:orientation val="minMax"/>
        </c:scaling>
        <c:delete val="0"/>
        <c:axPos val="b"/>
        <c:majorTickMark val="out"/>
        <c:minorTickMark val="none"/>
        <c:tickLblPos val="nextTo"/>
        <c:txPr>
          <a:bodyPr rot="-2700000"/>
          <a:lstStyle/>
          <a:p>
            <a:pPr>
              <a:defRPr sz="1000">
                <a:latin typeface="Arial" pitchFamily="34" charset="0"/>
                <a:cs typeface="Arial" pitchFamily="34" charset="0"/>
              </a:defRPr>
            </a:pPr>
            <a:endParaRPr lang="en-US"/>
          </a:p>
        </c:txPr>
        <c:crossAx val="185113216"/>
        <c:crosses val="autoZero"/>
        <c:auto val="1"/>
        <c:lblAlgn val="ctr"/>
        <c:lblOffset val="100"/>
        <c:tickLblSkip val="1"/>
        <c:noMultiLvlLbl val="0"/>
      </c:catAx>
      <c:valAx>
        <c:axId val="185113216"/>
        <c:scaling>
          <c:orientation val="minMax"/>
          <c:max val="0.5"/>
        </c:scaling>
        <c:delete val="0"/>
        <c:axPos val="l"/>
        <c:majorGridlines/>
        <c:numFmt formatCode="#,##0.00" sourceLinked="0"/>
        <c:majorTickMark val="out"/>
        <c:minorTickMark val="none"/>
        <c:tickLblPos val="nextTo"/>
        <c:txPr>
          <a:bodyPr/>
          <a:lstStyle/>
          <a:p>
            <a:pPr>
              <a:defRPr>
                <a:latin typeface="Arial" pitchFamily="34" charset="0"/>
                <a:cs typeface="Arial" pitchFamily="34" charset="0"/>
              </a:defRPr>
            </a:pPr>
            <a:endParaRPr lang="en-US"/>
          </a:p>
        </c:txPr>
        <c:crossAx val="185111680"/>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'time series'!$U$47</c:f>
              <c:strCache>
                <c:ptCount val="1"/>
                <c:pt idx="0">
                  <c:v>Change in Gini 2000 to 20008</c:v>
                </c:pt>
              </c:strCache>
            </c:strRef>
          </c:tx>
          <c:spPr>
            <a:pattFill prst="pct30">
              <a:fgClr>
                <a:srgbClr val="4F81BD">
                  <a:lumMod val="75000"/>
                </a:srgbClr>
              </a:fgClr>
              <a:bgClr>
                <a:sysClr val="window" lastClr="FFFFFF"/>
              </a:bgClr>
            </a:pattFill>
            <a:ln>
              <a:solidFill>
                <a:srgbClr val="4F81BD">
                  <a:lumMod val="75000"/>
                </a:srgbClr>
              </a:solidFill>
            </a:ln>
          </c:spPr>
          <c:invertIfNegative val="0"/>
          <c:dPt>
            <c:idx val="13"/>
            <c:invertIfNegative val="0"/>
            <c:bubble3D val="0"/>
            <c:spPr>
              <a:solidFill>
                <a:srgbClr val="4F81BD">
                  <a:lumMod val="75000"/>
                </a:srgbClr>
              </a:solidFill>
              <a:ln>
                <a:solidFill>
                  <a:srgbClr val="4F81BD">
                    <a:lumMod val="75000"/>
                  </a:srgbClr>
                </a:solidFill>
              </a:ln>
            </c:spPr>
          </c:dPt>
          <c:dPt>
            <c:idx val="20"/>
            <c:invertIfNegative val="0"/>
            <c:bubble3D val="0"/>
            <c:spPr>
              <a:solidFill>
                <a:srgbClr val="C00000"/>
              </a:solidFill>
              <a:ln>
                <a:solidFill>
                  <a:srgbClr val="C00000"/>
                </a:solidFill>
              </a:ln>
            </c:spPr>
          </c:dPt>
          <c:cat>
            <c:strRef>
              <c:f>'time series'!$T$48:$T$70</c:f>
              <c:strCache>
                <c:ptCount val="23"/>
                <c:pt idx="0">
                  <c:v>CHL</c:v>
                </c:pt>
                <c:pt idx="1">
                  <c:v>GRC</c:v>
                </c:pt>
                <c:pt idx="2">
                  <c:v>MEX</c:v>
                </c:pt>
                <c:pt idx="3">
                  <c:v>BEL</c:v>
                </c:pt>
                <c:pt idx="4">
                  <c:v>ESP</c:v>
                </c:pt>
                <c:pt idx="5">
                  <c:v>GBR</c:v>
                </c:pt>
                <c:pt idx="6">
                  <c:v>HUN</c:v>
                </c:pt>
                <c:pt idx="7">
                  <c:v>IRL</c:v>
                </c:pt>
                <c:pt idx="8">
                  <c:v>ITA  </c:v>
                </c:pt>
                <c:pt idx="9">
                  <c:v>NOR</c:v>
                </c:pt>
                <c:pt idx="10">
                  <c:v>PRT</c:v>
                </c:pt>
                <c:pt idx="11">
                  <c:v>NLD</c:v>
                </c:pt>
                <c:pt idx="12">
                  <c:v>FRA</c:v>
                </c:pt>
                <c:pt idx="13">
                  <c:v>OECD</c:v>
                </c:pt>
                <c:pt idx="14">
                  <c:v>CAN</c:v>
                </c:pt>
                <c:pt idx="15">
                  <c:v>AUT</c:v>
                </c:pt>
                <c:pt idx="16">
                  <c:v>FIN</c:v>
                </c:pt>
                <c:pt idx="17">
                  <c:v>SWE</c:v>
                </c:pt>
                <c:pt idx="18">
                  <c:v>USA </c:v>
                </c:pt>
                <c:pt idx="19">
                  <c:v>DNK</c:v>
                </c:pt>
                <c:pt idx="20">
                  <c:v>AUS</c:v>
                </c:pt>
                <c:pt idx="21">
                  <c:v>ISR</c:v>
                </c:pt>
                <c:pt idx="22">
                  <c:v>DEU</c:v>
                </c:pt>
              </c:strCache>
            </c:strRef>
          </c:cat>
          <c:val>
            <c:numRef>
              <c:f>'time series'!$U$48:$U$70</c:f>
              <c:numCache>
                <c:formatCode>General</c:formatCode>
                <c:ptCount val="23"/>
                <c:pt idx="0">
                  <c:v>-4.1370000000000018E-2</c:v>
                </c:pt>
                <c:pt idx="1">
                  <c:v>-3.7320086191395596E-2</c:v>
                </c:pt>
                <c:pt idx="2">
                  <c:v>-3.1047034094893511E-2</c:v>
                </c:pt>
                <c:pt idx="3">
                  <c:v>-2.9979605813544585E-2</c:v>
                </c:pt>
                <c:pt idx="4">
                  <c:v>-2.5388630399037826E-2</c:v>
                </c:pt>
                <c:pt idx="5">
                  <c:v>-2.1832093399999974E-2</c:v>
                </c:pt>
                <c:pt idx="6">
                  <c:v>-2.0299999999999985E-2</c:v>
                </c:pt>
                <c:pt idx="7">
                  <c:v>-1.04255194081328E-2</c:v>
                </c:pt>
                <c:pt idx="8">
                  <c:v>-6.5799999999999748E-3</c:v>
                </c:pt>
                <c:pt idx="9">
                  <c:v>-4.6299999999999952E-3</c:v>
                </c:pt>
                <c:pt idx="10">
                  <c:v>-3.1685149248912858E-3</c:v>
                </c:pt>
                <c:pt idx="11">
                  <c:v>2.3205468707430676E-3</c:v>
                </c:pt>
                <c:pt idx="12">
                  <c:v>4.0000000000000036E-3</c:v>
                </c:pt>
                <c:pt idx="13">
                  <c:v>4.8255745361209801E-3</c:v>
                </c:pt>
                <c:pt idx="14">
                  <c:v>5.146527600000006E-3</c:v>
                </c:pt>
                <c:pt idx="15">
                  <c:v>8.9302169129206188E-3</c:v>
                </c:pt>
                <c:pt idx="16">
                  <c:v>1.0680000000000023E-2</c:v>
                </c:pt>
                <c:pt idx="17">
                  <c:v>1.6199999999999992E-2</c:v>
                </c:pt>
                <c:pt idx="18">
                  <c:v>2.1619389000000044E-2</c:v>
                </c:pt>
                <c:pt idx="19">
                  <c:v>2.1699999999999997E-2</c:v>
                </c:pt>
                <c:pt idx="20">
                  <c:v>2.6000000000000023E-2</c:v>
                </c:pt>
                <c:pt idx="21">
                  <c:v>3.1079999999999997E-2</c:v>
                </c:pt>
                <c:pt idx="22">
                  <c:v>3.7610000000000032E-2</c:v>
                </c:pt>
              </c:numCache>
            </c:numRef>
          </c:val>
        </c:ser>
        <c:dLbls>
          <c:showLegendKey val="0"/>
          <c:showVal val="0"/>
          <c:showCatName val="0"/>
          <c:showSerName val="0"/>
          <c:showPercent val="0"/>
          <c:showBubbleSize val="0"/>
        </c:dLbls>
        <c:gapWidth val="150"/>
        <c:axId val="209192832"/>
        <c:axId val="209240064"/>
      </c:barChart>
      <c:catAx>
        <c:axId val="209192832"/>
        <c:scaling>
          <c:orientation val="minMax"/>
        </c:scaling>
        <c:delete val="0"/>
        <c:axPos val="b"/>
        <c:numFmt formatCode="General" sourceLinked="1"/>
        <c:majorTickMark val="out"/>
        <c:minorTickMark val="none"/>
        <c:tickLblPos val="nextTo"/>
        <c:spPr>
          <a:ln cmpd="sng"/>
          <a:effectLst/>
        </c:spPr>
        <c:txPr>
          <a:bodyPr rot="-2700000" vert="horz"/>
          <a:lstStyle/>
          <a:p>
            <a:pPr>
              <a:defRPr sz="900" b="0" baseline="0"/>
            </a:pPr>
            <a:endParaRPr lang="en-US"/>
          </a:p>
        </c:txPr>
        <c:crossAx val="209240064"/>
        <c:crosses val="autoZero"/>
        <c:auto val="1"/>
        <c:lblAlgn val="ctr"/>
        <c:lblOffset val="0"/>
        <c:noMultiLvlLbl val="0"/>
      </c:catAx>
      <c:valAx>
        <c:axId val="209240064"/>
        <c:scaling>
          <c:orientation val="minMax"/>
        </c:scaling>
        <c:delete val="0"/>
        <c:axPos val="l"/>
        <c:majorGridlines/>
        <c:numFmt formatCode="General" sourceLinked="1"/>
        <c:majorTickMark val="out"/>
        <c:minorTickMark val="none"/>
        <c:tickLblPos val="nextTo"/>
        <c:spPr>
          <a:ln>
            <a:solidFill>
              <a:schemeClr val="tx1"/>
            </a:solidFill>
          </a:ln>
        </c:spPr>
        <c:txPr>
          <a:bodyPr rot="0" vert="horz"/>
          <a:lstStyle/>
          <a:p>
            <a:pPr>
              <a:defRPr/>
            </a:pPr>
            <a:endParaRPr lang="en-US"/>
          </a:p>
        </c:txPr>
        <c:crossAx val="209192832"/>
        <c:crosses val="autoZero"/>
        <c:crossBetween val="between"/>
        <c:majorUnit val="2.0000000000000004E-2"/>
      </c:valAx>
      <c:spPr>
        <a:noFill/>
        <a:ln w="25400">
          <a:noFill/>
        </a:ln>
      </c:spPr>
    </c:plotArea>
    <c:plotVisOnly val="1"/>
    <c:dispBlanksAs val="gap"/>
    <c:showDLblsOverMax val="0"/>
  </c:chart>
  <c:spPr>
    <a:ln>
      <a:noFill/>
    </a:ln>
  </c:spPr>
  <c:txPr>
    <a:bodyPr/>
    <a:lstStyle/>
    <a:p>
      <a:pPr>
        <a:defRPr sz="900" b="0" i="0" u="none" strike="noStrike" baseline="0">
          <a:solidFill>
            <a:srgbClr val="000000"/>
          </a:solidFill>
          <a:latin typeface="Arial"/>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marker>
            <c:symbol val="square"/>
            <c:size val="7"/>
            <c:spPr>
              <a:solidFill>
                <a:schemeClr val="accent1">
                  <a:lumMod val="75000"/>
                </a:schemeClr>
              </a:solidFill>
            </c:spPr>
          </c:marker>
          <c:dPt>
            <c:idx val="0"/>
            <c:marker>
              <c:spPr>
                <a:solidFill>
                  <a:srgbClr val="C00000"/>
                </a:solidFill>
                <a:ln>
                  <a:solidFill>
                    <a:srgbClr val="C00000"/>
                  </a:solidFill>
                </a:ln>
              </c:spPr>
            </c:marker>
            <c:bubble3D val="0"/>
          </c:dPt>
          <c:dPt>
            <c:idx val="27"/>
            <c:marker>
              <c:spPr>
                <a:solidFill>
                  <a:schemeClr val="accent1">
                    <a:lumMod val="75000"/>
                  </a:schemeClr>
                </a:solidFill>
                <a:ln w="19050">
                  <a:solidFill>
                    <a:schemeClr val="tx1"/>
                  </a:solidFill>
                </a:ln>
              </c:spPr>
            </c:marker>
            <c:bubble3D val="0"/>
          </c:dPt>
          <c:dLbls>
            <c:dLbl>
              <c:idx val="0"/>
              <c:layout/>
              <c:tx>
                <c:rich>
                  <a:bodyPr/>
                  <a:lstStyle/>
                  <a:p>
                    <a:pPr>
                      <a:defRPr baseline="0">
                        <a:solidFill>
                          <a:schemeClr val="tx1"/>
                        </a:solidFill>
                        <a:latin typeface="Arial" pitchFamily="34" charset="0"/>
                        <a:cs typeface="Arial" pitchFamily="34" charset="0"/>
                      </a:defRPr>
                    </a:pPr>
                    <a:r>
                      <a:rPr lang="en-AU" b="1" baseline="0">
                        <a:solidFill>
                          <a:schemeClr val="tx1"/>
                        </a:solidFill>
                        <a:latin typeface="Arial" pitchFamily="34" charset="0"/>
                        <a:cs typeface="Arial" pitchFamily="34" charset="0"/>
                      </a:rPr>
                      <a:t>AUS</a:t>
                    </a:r>
                    <a:endParaRPr lang="en-AU" b="1">
                      <a:solidFill>
                        <a:schemeClr val="tx1"/>
                      </a:solidFill>
                    </a:endParaRPr>
                  </a:p>
                </c:rich>
              </c:tx>
              <c:spPr/>
              <c:showLegendKey val="0"/>
              <c:showVal val="1"/>
              <c:showCatName val="0"/>
              <c:showSerName val="0"/>
              <c:showPercent val="0"/>
              <c:showBubbleSize val="0"/>
            </c:dLbl>
            <c:dLbl>
              <c:idx val="1"/>
              <c:layout>
                <c:manualLayout>
                  <c:x val="-7.4926253687315637E-3"/>
                  <c:y val="6.2438544739429691E-3"/>
                </c:manualLayout>
              </c:layout>
              <c:tx>
                <c:rich>
                  <a:bodyPr/>
                  <a:lstStyle/>
                  <a:p>
                    <a:r>
                      <a:rPr lang="en-AU" baseline="0">
                        <a:solidFill>
                          <a:schemeClr val="tx1">
                            <a:lumMod val="65000"/>
                            <a:lumOff val="35000"/>
                          </a:schemeClr>
                        </a:solidFill>
                        <a:latin typeface="Arial" pitchFamily="34" charset="0"/>
                        <a:cs typeface="Arial" pitchFamily="34" charset="0"/>
                      </a:rPr>
                      <a:t>AUT</a:t>
                    </a:r>
                    <a:endParaRPr lang="en-AU"/>
                  </a:p>
                </c:rich>
              </c:tx>
              <c:showLegendKey val="0"/>
              <c:showVal val="1"/>
              <c:showCatName val="0"/>
              <c:showSerName val="0"/>
              <c:showPercent val="0"/>
              <c:showBubbleSize val="0"/>
            </c:dLbl>
            <c:dLbl>
              <c:idx val="2"/>
              <c:layout>
                <c:manualLayout>
                  <c:x val="-7.8955197132616495E-3"/>
                  <c:y val="3.0346475507765831E-2"/>
                </c:manualLayout>
              </c:layout>
              <c:tx>
                <c:rich>
                  <a:bodyPr/>
                  <a:lstStyle/>
                  <a:p>
                    <a:r>
                      <a:rPr lang="en-AU" baseline="0">
                        <a:solidFill>
                          <a:schemeClr val="tx1">
                            <a:lumMod val="65000"/>
                            <a:lumOff val="35000"/>
                          </a:schemeClr>
                        </a:solidFill>
                        <a:latin typeface="Arial" pitchFamily="34" charset="0"/>
                        <a:cs typeface="Arial" pitchFamily="34" charset="0"/>
                      </a:rPr>
                      <a:t>BEL</a:t>
                    </a:r>
                    <a:endParaRPr lang="en-AU"/>
                  </a:p>
                </c:rich>
              </c:tx>
              <c:showLegendKey val="0"/>
              <c:showVal val="1"/>
              <c:showCatName val="0"/>
              <c:showSerName val="0"/>
              <c:showPercent val="0"/>
              <c:showBubbleSize val="0"/>
            </c:dLbl>
            <c:dLbl>
              <c:idx val="3"/>
              <c:layout>
                <c:manualLayout>
                  <c:x val="-1.8066845878136201E-2"/>
                  <c:y val="-1.3830645161290322E-2"/>
                </c:manualLayout>
              </c:layout>
              <c:tx>
                <c:rich>
                  <a:bodyPr/>
                  <a:lstStyle/>
                  <a:p>
                    <a:r>
                      <a:rPr lang="en-AU" baseline="0">
                        <a:solidFill>
                          <a:schemeClr val="tx1">
                            <a:lumMod val="65000"/>
                            <a:lumOff val="35000"/>
                          </a:schemeClr>
                        </a:solidFill>
                        <a:latin typeface="Arial" pitchFamily="34" charset="0"/>
                        <a:cs typeface="Arial" pitchFamily="34" charset="0"/>
                      </a:rPr>
                      <a:t>CAN</a:t>
                    </a:r>
                    <a:endParaRPr lang="en-AU"/>
                  </a:p>
                </c:rich>
              </c:tx>
              <c:showLegendKey val="0"/>
              <c:showVal val="1"/>
              <c:showCatName val="0"/>
              <c:showSerName val="0"/>
              <c:showPercent val="0"/>
              <c:showBubbleSize val="0"/>
            </c:dLbl>
            <c:dLbl>
              <c:idx val="4"/>
              <c:layout/>
              <c:tx>
                <c:rich>
                  <a:bodyPr/>
                  <a:lstStyle/>
                  <a:p>
                    <a:r>
                      <a:rPr lang="en-AU" baseline="0">
                        <a:solidFill>
                          <a:schemeClr val="tx1">
                            <a:lumMod val="65000"/>
                            <a:lumOff val="35000"/>
                          </a:schemeClr>
                        </a:solidFill>
                        <a:latin typeface="Arial" pitchFamily="34" charset="0"/>
                        <a:cs typeface="Arial" pitchFamily="34" charset="0"/>
                      </a:rPr>
                      <a:t>CHL</a:t>
                    </a:r>
                    <a:endParaRPr lang="en-AU"/>
                  </a:p>
                </c:rich>
              </c:tx>
              <c:showLegendKey val="0"/>
              <c:showVal val="1"/>
              <c:showCatName val="0"/>
              <c:showSerName val="0"/>
              <c:showPercent val="0"/>
              <c:showBubbleSize val="0"/>
            </c:dLbl>
            <c:dLbl>
              <c:idx val="5"/>
              <c:layout/>
              <c:tx>
                <c:rich>
                  <a:bodyPr/>
                  <a:lstStyle/>
                  <a:p>
                    <a:r>
                      <a:rPr lang="en-AU" baseline="0">
                        <a:solidFill>
                          <a:schemeClr val="tx1">
                            <a:lumMod val="65000"/>
                            <a:lumOff val="35000"/>
                          </a:schemeClr>
                        </a:solidFill>
                        <a:latin typeface="Arial" pitchFamily="34" charset="0"/>
                        <a:cs typeface="Arial" pitchFamily="34" charset="0"/>
                      </a:rPr>
                      <a:t>CZE</a:t>
                    </a:r>
                    <a:endParaRPr lang="en-AU"/>
                  </a:p>
                </c:rich>
              </c:tx>
              <c:showLegendKey val="0"/>
              <c:showVal val="1"/>
              <c:showCatName val="0"/>
              <c:showSerName val="0"/>
              <c:showPercent val="0"/>
              <c:showBubbleSize val="0"/>
            </c:dLbl>
            <c:dLbl>
              <c:idx val="6"/>
              <c:layout>
                <c:manualLayout>
                  <c:x val="-1.2447491039426523E-2"/>
                  <c:y val="-2.3867682198327359E-2"/>
                </c:manualLayout>
              </c:layout>
              <c:tx>
                <c:rich>
                  <a:bodyPr/>
                  <a:lstStyle/>
                  <a:p>
                    <a:r>
                      <a:rPr lang="en-AU" baseline="0">
                        <a:solidFill>
                          <a:schemeClr val="tx1">
                            <a:lumMod val="65000"/>
                            <a:lumOff val="35000"/>
                          </a:schemeClr>
                        </a:solidFill>
                        <a:latin typeface="Arial" pitchFamily="34" charset="0"/>
                        <a:cs typeface="Arial" pitchFamily="34" charset="0"/>
                      </a:rPr>
                      <a:t>DNK</a:t>
                    </a:r>
                    <a:endParaRPr lang="en-AU"/>
                  </a:p>
                </c:rich>
              </c:tx>
              <c:showLegendKey val="0"/>
              <c:showVal val="1"/>
              <c:showCatName val="0"/>
              <c:showSerName val="0"/>
              <c:showPercent val="0"/>
              <c:showBubbleSize val="0"/>
            </c:dLbl>
            <c:dLbl>
              <c:idx val="7"/>
              <c:layout>
                <c:manualLayout>
                  <c:x val="-4.5519713261648748E-3"/>
                  <c:y val="0"/>
                </c:manualLayout>
              </c:layout>
              <c:tx>
                <c:rich>
                  <a:bodyPr/>
                  <a:lstStyle/>
                  <a:p>
                    <a:r>
                      <a:rPr lang="en-AU" baseline="0">
                        <a:solidFill>
                          <a:schemeClr val="tx1">
                            <a:lumMod val="65000"/>
                            <a:lumOff val="35000"/>
                          </a:schemeClr>
                        </a:solidFill>
                        <a:latin typeface="Arial" pitchFamily="34" charset="0"/>
                        <a:cs typeface="Arial" pitchFamily="34" charset="0"/>
                      </a:rPr>
                      <a:t>FIN</a:t>
                    </a:r>
                    <a:endParaRPr lang="en-AU"/>
                  </a:p>
                </c:rich>
              </c:tx>
              <c:showLegendKey val="0"/>
              <c:showVal val="1"/>
              <c:showCatName val="0"/>
              <c:showSerName val="0"/>
              <c:showPercent val="0"/>
              <c:showBubbleSize val="0"/>
            </c:dLbl>
            <c:dLbl>
              <c:idx val="8"/>
              <c:layout>
                <c:manualLayout>
                  <c:x val="-2.5035842293906811E-2"/>
                  <c:y val="-2.65531660692951E-2"/>
                </c:manualLayout>
              </c:layout>
              <c:tx>
                <c:rich>
                  <a:bodyPr/>
                  <a:lstStyle/>
                  <a:p>
                    <a:r>
                      <a:rPr lang="en-AU" baseline="0">
                        <a:solidFill>
                          <a:schemeClr val="tx1">
                            <a:lumMod val="65000"/>
                            <a:lumOff val="35000"/>
                          </a:schemeClr>
                        </a:solidFill>
                        <a:latin typeface="Arial" pitchFamily="34" charset="0"/>
                        <a:cs typeface="Arial" pitchFamily="34" charset="0"/>
                      </a:rPr>
                      <a:t>FRA</a:t>
                    </a:r>
                    <a:endParaRPr lang="en-AU"/>
                  </a:p>
                </c:rich>
              </c:tx>
              <c:showLegendKey val="0"/>
              <c:showVal val="1"/>
              <c:showCatName val="0"/>
              <c:showSerName val="0"/>
              <c:showPercent val="0"/>
              <c:showBubbleSize val="0"/>
            </c:dLbl>
            <c:dLbl>
              <c:idx val="9"/>
              <c:layout>
                <c:manualLayout>
                  <c:x val="-1.1832795698924731E-2"/>
                  <c:y val="-2.5612604540023894E-2"/>
                </c:manualLayout>
              </c:layout>
              <c:tx>
                <c:rich>
                  <a:bodyPr/>
                  <a:lstStyle/>
                  <a:p>
                    <a:r>
                      <a:rPr lang="en-AU" baseline="0">
                        <a:solidFill>
                          <a:schemeClr val="tx1">
                            <a:lumMod val="65000"/>
                            <a:lumOff val="35000"/>
                          </a:schemeClr>
                        </a:solidFill>
                        <a:latin typeface="Arial" pitchFamily="34" charset="0"/>
                        <a:cs typeface="Arial" pitchFamily="34" charset="0"/>
                      </a:rPr>
                      <a:t>DEU</a:t>
                    </a:r>
                    <a:endParaRPr lang="en-AU"/>
                  </a:p>
                </c:rich>
              </c:tx>
              <c:showLegendKey val="0"/>
              <c:showVal val="1"/>
              <c:showCatName val="0"/>
              <c:showSerName val="0"/>
              <c:showPercent val="0"/>
              <c:showBubbleSize val="0"/>
            </c:dLbl>
            <c:dLbl>
              <c:idx val="10"/>
              <c:layout/>
              <c:tx>
                <c:rich>
                  <a:bodyPr/>
                  <a:lstStyle/>
                  <a:p>
                    <a:r>
                      <a:rPr lang="en-AU" baseline="0">
                        <a:solidFill>
                          <a:schemeClr val="tx1">
                            <a:lumMod val="65000"/>
                            <a:lumOff val="35000"/>
                          </a:schemeClr>
                        </a:solidFill>
                        <a:latin typeface="Arial" pitchFamily="34" charset="0"/>
                        <a:cs typeface="Arial" pitchFamily="34" charset="0"/>
                      </a:rPr>
                      <a:t>GRC</a:t>
                    </a:r>
                    <a:endParaRPr lang="en-AU"/>
                  </a:p>
                </c:rich>
              </c:tx>
              <c:showLegendKey val="0"/>
              <c:showVal val="1"/>
              <c:showCatName val="0"/>
              <c:showSerName val="0"/>
              <c:showPercent val="0"/>
              <c:showBubbleSize val="0"/>
            </c:dLbl>
            <c:dLbl>
              <c:idx val="11"/>
              <c:layout>
                <c:manualLayout>
                  <c:x val="-4.5519713261648748E-3"/>
                  <c:y val="-3.7933094384707288E-3"/>
                </c:manualLayout>
              </c:layout>
              <c:tx>
                <c:rich>
                  <a:bodyPr/>
                  <a:lstStyle/>
                  <a:p>
                    <a:r>
                      <a:rPr lang="en-AU" baseline="0">
                        <a:solidFill>
                          <a:schemeClr val="tx1">
                            <a:lumMod val="65000"/>
                            <a:lumOff val="35000"/>
                          </a:schemeClr>
                        </a:solidFill>
                        <a:latin typeface="Arial" pitchFamily="34" charset="0"/>
                        <a:cs typeface="Arial" pitchFamily="34" charset="0"/>
                      </a:rPr>
                      <a:t>HUN</a:t>
                    </a:r>
                    <a:endParaRPr lang="en-AU"/>
                  </a:p>
                </c:rich>
              </c:tx>
              <c:showLegendKey val="0"/>
              <c:showVal val="1"/>
              <c:showCatName val="0"/>
              <c:showSerName val="0"/>
              <c:showPercent val="0"/>
              <c:showBubbleSize val="0"/>
            </c:dLbl>
            <c:dLbl>
              <c:idx val="12"/>
              <c:layout/>
              <c:tx>
                <c:rich>
                  <a:bodyPr/>
                  <a:lstStyle/>
                  <a:p>
                    <a:r>
                      <a:rPr lang="en-AU" baseline="0">
                        <a:solidFill>
                          <a:schemeClr val="tx1">
                            <a:lumMod val="65000"/>
                            <a:lumOff val="35000"/>
                          </a:schemeClr>
                        </a:solidFill>
                        <a:latin typeface="Arial" pitchFamily="34" charset="0"/>
                        <a:cs typeface="Arial" pitchFamily="34" charset="0"/>
                      </a:rPr>
                      <a:t>IRL</a:t>
                    </a:r>
                    <a:endParaRPr lang="en-AU"/>
                  </a:p>
                </c:rich>
              </c:tx>
              <c:showLegendKey val="0"/>
              <c:showVal val="1"/>
              <c:showCatName val="0"/>
              <c:showSerName val="0"/>
              <c:showPercent val="0"/>
              <c:showBubbleSize val="0"/>
            </c:dLbl>
            <c:dLbl>
              <c:idx val="13"/>
              <c:layout/>
              <c:tx>
                <c:rich>
                  <a:bodyPr/>
                  <a:lstStyle/>
                  <a:p>
                    <a:r>
                      <a:rPr lang="en-AU" baseline="0">
                        <a:solidFill>
                          <a:schemeClr val="tx1">
                            <a:lumMod val="65000"/>
                            <a:lumOff val="35000"/>
                          </a:schemeClr>
                        </a:solidFill>
                        <a:latin typeface="Arial" pitchFamily="34" charset="0"/>
                        <a:cs typeface="Arial" pitchFamily="34" charset="0"/>
                      </a:rPr>
                      <a:t>ISL</a:t>
                    </a:r>
                    <a:endParaRPr lang="en-AU"/>
                  </a:p>
                </c:rich>
              </c:tx>
              <c:showLegendKey val="0"/>
              <c:showVal val="1"/>
              <c:showCatName val="0"/>
              <c:showSerName val="0"/>
              <c:showPercent val="0"/>
              <c:showBubbleSize val="0"/>
            </c:dLbl>
            <c:dLbl>
              <c:idx val="14"/>
              <c:layout>
                <c:manualLayout>
                  <c:x val="-1.8469892473118279E-2"/>
                  <c:y val="2.6553166069295135E-2"/>
                </c:manualLayout>
              </c:layout>
              <c:tx>
                <c:rich>
                  <a:bodyPr/>
                  <a:lstStyle/>
                  <a:p>
                    <a:r>
                      <a:rPr lang="en-AU" baseline="0">
                        <a:solidFill>
                          <a:schemeClr val="tx1">
                            <a:lumMod val="65000"/>
                            <a:lumOff val="35000"/>
                          </a:schemeClr>
                        </a:solidFill>
                        <a:latin typeface="Arial" pitchFamily="34" charset="0"/>
                        <a:cs typeface="Arial" pitchFamily="34" charset="0"/>
                      </a:rPr>
                      <a:t>ITA</a:t>
                    </a:r>
                    <a:endParaRPr lang="en-AU"/>
                  </a:p>
                </c:rich>
              </c:tx>
              <c:showLegendKey val="0"/>
              <c:showVal val="1"/>
              <c:showCatName val="0"/>
              <c:showSerName val="0"/>
              <c:showPercent val="0"/>
              <c:showBubbleSize val="0"/>
            </c:dLbl>
            <c:dLbl>
              <c:idx val="15"/>
              <c:layout>
                <c:manualLayout>
                  <c:x val="-9.1039426523297495E-3"/>
                  <c:y val="0"/>
                </c:manualLayout>
              </c:layout>
              <c:tx>
                <c:rich>
                  <a:bodyPr/>
                  <a:lstStyle/>
                  <a:p>
                    <a:r>
                      <a:rPr lang="en-AU" baseline="0">
                        <a:solidFill>
                          <a:schemeClr val="tx1">
                            <a:lumMod val="65000"/>
                            <a:lumOff val="35000"/>
                          </a:schemeClr>
                        </a:solidFill>
                        <a:latin typeface="Arial" pitchFamily="34" charset="0"/>
                        <a:cs typeface="Arial" pitchFamily="34" charset="0"/>
                      </a:rPr>
                      <a:t>JPN</a:t>
                    </a:r>
                    <a:endParaRPr lang="en-AU"/>
                  </a:p>
                </c:rich>
              </c:tx>
              <c:showLegendKey val="0"/>
              <c:showVal val="1"/>
              <c:showCatName val="0"/>
              <c:showSerName val="0"/>
              <c:showPercent val="0"/>
              <c:showBubbleSize val="0"/>
            </c:dLbl>
            <c:dLbl>
              <c:idx val="16"/>
              <c:layout>
                <c:manualLayout>
                  <c:x val="-2.3709498207885305E-2"/>
                  <c:y val="3.2621266427718038E-2"/>
                </c:manualLayout>
              </c:layout>
              <c:tx>
                <c:rich>
                  <a:bodyPr/>
                  <a:lstStyle/>
                  <a:p>
                    <a:r>
                      <a:rPr lang="en-AU" baseline="0">
                        <a:solidFill>
                          <a:schemeClr val="tx1">
                            <a:lumMod val="65000"/>
                            <a:lumOff val="35000"/>
                          </a:schemeClr>
                        </a:solidFill>
                        <a:latin typeface="Arial" pitchFamily="34" charset="0"/>
                        <a:cs typeface="Arial" pitchFamily="34" charset="0"/>
                      </a:rPr>
                      <a:t>LUX</a:t>
                    </a:r>
                    <a:endParaRPr lang="en-AU"/>
                  </a:p>
                </c:rich>
              </c:tx>
              <c:showLegendKey val="0"/>
              <c:showVal val="1"/>
              <c:showCatName val="0"/>
              <c:showSerName val="0"/>
              <c:showPercent val="0"/>
              <c:showBubbleSize val="0"/>
            </c:dLbl>
            <c:dLbl>
              <c:idx val="17"/>
              <c:layout>
                <c:manualLayout>
                  <c:x val="-1.0171505376344085E-2"/>
                  <c:y val="1.7623655913978496E-2"/>
                </c:manualLayout>
              </c:layout>
              <c:tx>
                <c:rich>
                  <a:bodyPr/>
                  <a:lstStyle/>
                  <a:p>
                    <a:r>
                      <a:rPr lang="en-AU" baseline="0">
                        <a:solidFill>
                          <a:schemeClr val="tx1">
                            <a:lumMod val="65000"/>
                            <a:lumOff val="35000"/>
                          </a:schemeClr>
                        </a:solidFill>
                        <a:latin typeface="Arial" pitchFamily="34" charset="0"/>
                        <a:cs typeface="Arial" pitchFamily="34" charset="0"/>
                      </a:rPr>
                      <a:t>MEX</a:t>
                    </a:r>
                    <a:endParaRPr lang="en-AU"/>
                  </a:p>
                </c:rich>
              </c:tx>
              <c:showLegendKey val="0"/>
              <c:showVal val="1"/>
              <c:showCatName val="0"/>
              <c:showSerName val="0"/>
              <c:showPercent val="0"/>
              <c:showBubbleSize val="0"/>
            </c:dLbl>
            <c:dLbl>
              <c:idx val="18"/>
              <c:layout>
                <c:manualLayout>
                  <c:x val="-6.8279569892473121E-3"/>
                  <c:y val="0"/>
                </c:manualLayout>
              </c:layout>
              <c:tx>
                <c:rich>
                  <a:bodyPr/>
                  <a:lstStyle/>
                  <a:p>
                    <a:r>
                      <a:rPr lang="en-AU" baseline="0">
                        <a:solidFill>
                          <a:schemeClr val="tx1">
                            <a:lumMod val="65000"/>
                            <a:lumOff val="35000"/>
                          </a:schemeClr>
                        </a:solidFill>
                        <a:latin typeface="Arial" pitchFamily="34" charset="0"/>
                        <a:cs typeface="Arial" pitchFamily="34" charset="0"/>
                      </a:rPr>
                      <a:t>NLD</a:t>
                    </a:r>
                    <a:endParaRPr lang="en-AU"/>
                  </a:p>
                </c:rich>
              </c:tx>
              <c:showLegendKey val="0"/>
              <c:showVal val="1"/>
              <c:showCatName val="0"/>
              <c:showSerName val="0"/>
              <c:showPercent val="0"/>
              <c:showBubbleSize val="0"/>
            </c:dLbl>
            <c:dLbl>
              <c:idx val="19"/>
              <c:layout>
                <c:manualLayout>
                  <c:x val="-1.6193727598566309E-2"/>
                  <c:y val="-2.3867682198327359E-2"/>
                </c:manualLayout>
              </c:layout>
              <c:tx>
                <c:rich>
                  <a:bodyPr/>
                  <a:lstStyle/>
                  <a:p>
                    <a:r>
                      <a:rPr lang="en-AU" baseline="0">
                        <a:solidFill>
                          <a:schemeClr val="tx1">
                            <a:lumMod val="65000"/>
                            <a:lumOff val="35000"/>
                          </a:schemeClr>
                        </a:solidFill>
                        <a:latin typeface="Arial" pitchFamily="34" charset="0"/>
                        <a:cs typeface="Arial" pitchFamily="34" charset="0"/>
                      </a:rPr>
                      <a:t>NZL</a:t>
                    </a:r>
                    <a:endParaRPr lang="en-AU"/>
                  </a:p>
                </c:rich>
              </c:tx>
              <c:showLegendKey val="0"/>
              <c:showVal val="1"/>
              <c:showCatName val="0"/>
              <c:showSerName val="0"/>
              <c:showPercent val="0"/>
              <c:showBubbleSize val="0"/>
            </c:dLbl>
            <c:dLbl>
              <c:idx val="20"/>
              <c:layout>
                <c:manualLayout>
                  <c:x val="-6.8281362007168462E-3"/>
                  <c:y val="-1.1379928315412187E-2"/>
                </c:manualLayout>
              </c:layout>
              <c:tx>
                <c:rich>
                  <a:bodyPr/>
                  <a:lstStyle/>
                  <a:p>
                    <a:r>
                      <a:rPr lang="en-AU" baseline="0">
                        <a:solidFill>
                          <a:schemeClr val="tx1">
                            <a:lumMod val="65000"/>
                            <a:lumOff val="35000"/>
                          </a:schemeClr>
                        </a:solidFill>
                        <a:latin typeface="Arial" pitchFamily="34" charset="0"/>
                        <a:cs typeface="Arial" pitchFamily="34" charset="0"/>
                      </a:rPr>
                      <a:t>NOR</a:t>
                    </a:r>
                    <a:endParaRPr lang="en-AU"/>
                  </a:p>
                </c:rich>
              </c:tx>
              <c:showLegendKey val="0"/>
              <c:showVal val="1"/>
              <c:showCatName val="0"/>
              <c:showSerName val="0"/>
              <c:showPercent val="0"/>
              <c:showBubbleSize val="0"/>
            </c:dLbl>
            <c:dLbl>
              <c:idx val="21"/>
              <c:layout/>
              <c:tx>
                <c:rich>
                  <a:bodyPr/>
                  <a:lstStyle/>
                  <a:p>
                    <a:r>
                      <a:rPr lang="en-AU" baseline="0">
                        <a:solidFill>
                          <a:schemeClr val="tx1">
                            <a:lumMod val="65000"/>
                            <a:lumOff val="35000"/>
                          </a:schemeClr>
                        </a:solidFill>
                        <a:latin typeface="Arial" pitchFamily="34" charset="0"/>
                        <a:cs typeface="Arial" pitchFamily="34" charset="0"/>
                      </a:rPr>
                      <a:t>PRT</a:t>
                    </a:r>
                    <a:endParaRPr lang="en-AU"/>
                  </a:p>
                </c:rich>
              </c:tx>
              <c:showLegendKey val="0"/>
              <c:showVal val="1"/>
              <c:showCatName val="0"/>
              <c:showSerName val="0"/>
              <c:showPercent val="0"/>
              <c:showBubbleSize val="0"/>
            </c:dLbl>
            <c:dLbl>
              <c:idx val="22"/>
              <c:layout/>
              <c:tx>
                <c:rich>
                  <a:bodyPr/>
                  <a:lstStyle/>
                  <a:p>
                    <a:r>
                      <a:rPr lang="en-AU" baseline="0">
                        <a:solidFill>
                          <a:schemeClr val="tx1">
                            <a:lumMod val="65000"/>
                            <a:lumOff val="35000"/>
                          </a:schemeClr>
                        </a:solidFill>
                        <a:latin typeface="Arial" pitchFamily="34" charset="0"/>
                        <a:cs typeface="Arial" pitchFamily="34" charset="0"/>
                      </a:rPr>
                      <a:t>ESP</a:t>
                    </a:r>
                    <a:endParaRPr lang="en-AU"/>
                  </a:p>
                </c:rich>
              </c:tx>
              <c:showLegendKey val="0"/>
              <c:showVal val="1"/>
              <c:showCatName val="0"/>
              <c:showSerName val="0"/>
              <c:showPercent val="0"/>
              <c:showBubbleSize val="0"/>
            </c:dLbl>
            <c:dLbl>
              <c:idx val="23"/>
              <c:layout/>
              <c:tx>
                <c:rich>
                  <a:bodyPr/>
                  <a:lstStyle/>
                  <a:p>
                    <a:r>
                      <a:rPr lang="en-AU" baseline="0">
                        <a:solidFill>
                          <a:schemeClr val="tx1">
                            <a:lumMod val="65000"/>
                            <a:lumOff val="35000"/>
                          </a:schemeClr>
                        </a:solidFill>
                        <a:latin typeface="Arial" pitchFamily="34" charset="0"/>
                        <a:cs typeface="Arial" pitchFamily="34" charset="0"/>
                      </a:rPr>
                      <a:t>SWE</a:t>
                    </a:r>
                    <a:endParaRPr lang="en-AU"/>
                  </a:p>
                </c:rich>
              </c:tx>
              <c:showLegendKey val="0"/>
              <c:showVal val="1"/>
              <c:showCatName val="0"/>
              <c:showSerName val="0"/>
              <c:showPercent val="0"/>
              <c:showBubbleSize val="0"/>
            </c:dLbl>
            <c:dLbl>
              <c:idx val="24"/>
              <c:layout>
                <c:manualLayout>
                  <c:x val="-1.1379928315412187E-2"/>
                  <c:y val="0"/>
                </c:manualLayout>
              </c:layout>
              <c:tx>
                <c:rich>
                  <a:bodyPr/>
                  <a:lstStyle/>
                  <a:p>
                    <a:r>
                      <a:rPr lang="en-AU" baseline="0">
                        <a:solidFill>
                          <a:schemeClr val="tx1">
                            <a:lumMod val="65000"/>
                            <a:lumOff val="35000"/>
                          </a:schemeClr>
                        </a:solidFill>
                        <a:latin typeface="Arial" pitchFamily="34" charset="0"/>
                        <a:cs typeface="Arial" pitchFamily="34" charset="0"/>
                      </a:rPr>
                      <a:t>TUR</a:t>
                    </a:r>
                    <a:endParaRPr lang="en-AU"/>
                  </a:p>
                </c:rich>
              </c:tx>
              <c:showLegendKey val="0"/>
              <c:showVal val="1"/>
              <c:showCatName val="0"/>
              <c:showSerName val="0"/>
              <c:showPercent val="0"/>
              <c:showBubbleSize val="0"/>
            </c:dLbl>
            <c:dLbl>
              <c:idx val="25"/>
              <c:layout>
                <c:manualLayout>
                  <c:x val="-4.5519713261648748E-3"/>
                  <c:y val="-1.1379928315412187E-2"/>
                </c:manualLayout>
              </c:layout>
              <c:tx>
                <c:rich>
                  <a:bodyPr/>
                  <a:lstStyle/>
                  <a:p>
                    <a:r>
                      <a:rPr lang="en-AU" baseline="0">
                        <a:solidFill>
                          <a:schemeClr val="tx1">
                            <a:lumMod val="65000"/>
                            <a:lumOff val="35000"/>
                          </a:schemeClr>
                        </a:solidFill>
                        <a:latin typeface="Arial" pitchFamily="34" charset="0"/>
                        <a:cs typeface="Arial" pitchFamily="34" charset="0"/>
                      </a:rPr>
                      <a:t>UK</a:t>
                    </a:r>
                    <a:endParaRPr lang="en-AU"/>
                  </a:p>
                </c:rich>
              </c:tx>
              <c:showLegendKey val="0"/>
              <c:showVal val="1"/>
              <c:showCatName val="0"/>
              <c:showSerName val="0"/>
              <c:showPercent val="0"/>
              <c:showBubbleSize val="0"/>
            </c:dLbl>
            <c:dLbl>
              <c:idx val="26"/>
              <c:layout>
                <c:manualLayout>
                  <c:x val="-1.5120250896057348E-2"/>
                  <c:y val="2.7774193548387095E-2"/>
                </c:manualLayout>
              </c:layout>
              <c:tx>
                <c:rich>
                  <a:bodyPr/>
                  <a:lstStyle/>
                  <a:p>
                    <a:r>
                      <a:rPr lang="en-AU" baseline="0">
                        <a:solidFill>
                          <a:schemeClr val="tx1">
                            <a:lumMod val="65000"/>
                            <a:lumOff val="35000"/>
                          </a:schemeClr>
                        </a:solidFill>
                        <a:latin typeface="Arial" pitchFamily="34" charset="0"/>
                        <a:cs typeface="Arial" pitchFamily="34" charset="0"/>
                      </a:rPr>
                      <a:t>USA</a:t>
                    </a:r>
                    <a:endParaRPr lang="en-AU"/>
                  </a:p>
                </c:rich>
              </c:tx>
              <c:showLegendKey val="0"/>
              <c:showVal val="1"/>
              <c:showCatName val="0"/>
              <c:showSerName val="0"/>
              <c:showPercent val="0"/>
              <c:showBubbleSize val="0"/>
            </c:dLbl>
            <c:dLbl>
              <c:idx val="27"/>
              <c:layout>
                <c:manualLayout>
                  <c:x val="-6.8279569892473121E-3"/>
                  <c:y val="1.5173237753882915E-2"/>
                </c:manualLayout>
              </c:layout>
              <c:tx>
                <c:rich>
                  <a:bodyPr/>
                  <a:lstStyle/>
                  <a:p>
                    <a:r>
                      <a:rPr lang="en-AU" baseline="0">
                        <a:solidFill>
                          <a:schemeClr val="tx1"/>
                        </a:solidFill>
                        <a:latin typeface="Arial" pitchFamily="34" charset="0"/>
                        <a:cs typeface="Arial" pitchFamily="34" charset="0"/>
                      </a:rPr>
                      <a:t>OECD average</a:t>
                    </a:r>
                    <a:endParaRPr lang="en-AU">
                      <a:solidFill>
                        <a:schemeClr val="tx1"/>
                      </a:solidFill>
                    </a:endParaRPr>
                  </a:p>
                </c:rich>
              </c:tx>
              <c:showLegendKey val="0"/>
              <c:showVal val="1"/>
              <c:showCatName val="0"/>
              <c:showSerName val="0"/>
              <c:showPercent val="0"/>
              <c:showBubbleSize val="0"/>
            </c:dLbl>
            <c:txPr>
              <a:bodyPr/>
              <a:lstStyle/>
              <a:p>
                <a:pPr>
                  <a:defRPr baseline="0">
                    <a:solidFill>
                      <a:schemeClr val="tx1">
                        <a:lumMod val="65000"/>
                        <a:lumOff val="35000"/>
                      </a:schemeClr>
                    </a:solidFill>
                    <a:latin typeface="Arial" pitchFamily="34" charset="0"/>
                    <a:cs typeface="Arial" pitchFamily="34" charset="0"/>
                  </a:defRPr>
                </a:pPr>
                <a:endParaRPr lang="en-US"/>
              </a:p>
            </c:txPr>
            <c:showLegendKey val="0"/>
            <c:showVal val="0"/>
            <c:showCatName val="0"/>
            <c:showSerName val="0"/>
            <c:showPercent val="0"/>
            <c:showBubbleSize val="0"/>
          </c:dLbls>
          <c:xVal>
            <c:numRef>
              <c:f>Sheet1!$B$7:$B$34</c:f>
              <c:numCache>
                <c:formatCode>0.0</c:formatCode>
                <c:ptCount val="28"/>
                <c:pt idx="0">
                  <c:v>3.5583654834560718</c:v>
                </c:pt>
                <c:pt idx="1">
                  <c:v>1.2590941935514488</c:v>
                </c:pt>
                <c:pt idx="2">
                  <c:v>1.0937300327887622</c:v>
                </c:pt>
                <c:pt idx="3">
                  <c:v>1.0563601610448448</c:v>
                </c:pt>
                <c:pt idx="4">
                  <c:v>1.6669485693933339</c:v>
                </c:pt>
                <c:pt idx="5">
                  <c:v>2.6509540526322928</c:v>
                </c:pt>
                <c:pt idx="6">
                  <c:v>0.98267493656076788</c:v>
                </c:pt>
                <c:pt idx="7">
                  <c:v>1.7418790784076377</c:v>
                </c:pt>
                <c:pt idx="8">
                  <c:v>1.2151324133012009</c:v>
                </c:pt>
                <c:pt idx="9">
                  <c:v>0.9117751903794602</c:v>
                </c:pt>
                <c:pt idx="10">
                  <c:v>2.0596381844925293</c:v>
                </c:pt>
                <c:pt idx="11">
                  <c:v>0.55513822882551356</c:v>
                </c:pt>
                <c:pt idx="12">
                  <c:v>3.6297760210755259</c:v>
                </c:pt>
                <c:pt idx="13">
                  <c:v>2.2999999999999998</c:v>
                </c:pt>
                <c:pt idx="14">
                  <c:v>0.78880495597919431</c:v>
                </c:pt>
                <c:pt idx="15">
                  <c:v>0.31269019094282147</c:v>
                </c:pt>
                <c:pt idx="16">
                  <c:v>2.1646385115400513</c:v>
                </c:pt>
                <c:pt idx="17">
                  <c:v>1.4268120754228564</c:v>
                </c:pt>
                <c:pt idx="18">
                  <c:v>1.4404318433961061</c:v>
                </c:pt>
                <c:pt idx="19">
                  <c:v>1.5099699428411384</c:v>
                </c:pt>
                <c:pt idx="20">
                  <c:v>2.2598639929301667</c:v>
                </c:pt>
                <c:pt idx="21">
                  <c:v>2.019871144102988</c:v>
                </c:pt>
                <c:pt idx="22">
                  <c:v>3.1374718270008457</c:v>
                </c:pt>
                <c:pt idx="23">
                  <c:v>1.7791706949124242</c:v>
                </c:pt>
                <c:pt idx="24">
                  <c:v>0.49429142046168995</c:v>
                </c:pt>
                <c:pt idx="25">
                  <c:v>2.1104285191079208</c:v>
                </c:pt>
                <c:pt idx="26">
                  <c:v>0.85343776646409353</c:v>
                </c:pt>
                <c:pt idx="27">
                  <c:v>1.6659018307782101</c:v>
                </c:pt>
              </c:numCache>
            </c:numRef>
          </c:xVal>
          <c:yVal>
            <c:numRef>
              <c:f>Sheet1!$C$7:$C$34</c:f>
              <c:numCache>
                <c:formatCode>0.0</c:formatCode>
                <c:ptCount val="28"/>
                <c:pt idx="0">
                  <c:v>1.4899849925142261</c:v>
                </c:pt>
                <c:pt idx="1">
                  <c:v>0.58662374390939798</c:v>
                </c:pt>
                <c:pt idx="2">
                  <c:v>-0.47231508377927245</c:v>
                </c:pt>
                <c:pt idx="3">
                  <c:v>0.67884448947292952</c:v>
                </c:pt>
                <c:pt idx="4">
                  <c:v>-1.2687043991473912</c:v>
                </c:pt>
                <c:pt idx="5">
                  <c:v>1.1965291313712711</c:v>
                </c:pt>
                <c:pt idx="6">
                  <c:v>0.84756216035053455</c:v>
                </c:pt>
                <c:pt idx="7">
                  <c:v>1.3180421889669613</c:v>
                </c:pt>
                <c:pt idx="8">
                  <c:v>-0.30029818092682792</c:v>
                </c:pt>
                <c:pt idx="9">
                  <c:v>1.4447190379667685</c:v>
                </c:pt>
                <c:pt idx="10">
                  <c:v>-1.6362597508642107</c:v>
                </c:pt>
                <c:pt idx="11">
                  <c:v>0.17662280224619575</c:v>
                </c:pt>
                <c:pt idx="12">
                  <c:v>-1.3462836690367803</c:v>
                </c:pt>
                <c:pt idx="13">
                  <c:v>1.9999999999999998</c:v>
                </c:pt>
                <c:pt idx="14">
                  <c:v>0.87669166483304029</c:v>
                </c:pt>
                <c:pt idx="15">
                  <c:v>0.84809960506314619</c:v>
                </c:pt>
                <c:pt idx="16">
                  <c:v>1.3503371780439588</c:v>
                </c:pt>
                <c:pt idx="17">
                  <c:v>0.90437182061338106</c:v>
                </c:pt>
                <c:pt idx="18">
                  <c:v>1.119409986589881</c:v>
                </c:pt>
                <c:pt idx="19">
                  <c:v>1.3887571823876677</c:v>
                </c:pt>
                <c:pt idx="20">
                  <c:v>1.3183080537208625</c:v>
                </c:pt>
                <c:pt idx="21">
                  <c:v>-2.5395118434578743</c:v>
                </c:pt>
                <c:pt idx="22">
                  <c:v>-1.3892658063207475</c:v>
                </c:pt>
                <c:pt idx="23">
                  <c:v>1.9714883071658695</c:v>
                </c:pt>
                <c:pt idx="24">
                  <c:v>-0.6836463281451266</c:v>
                </c:pt>
                <c:pt idx="25">
                  <c:v>1.5205203601262207</c:v>
                </c:pt>
                <c:pt idx="26">
                  <c:v>1.3956304413379694</c:v>
                </c:pt>
                <c:pt idx="27">
                  <c:v>0.47393548462970547</c:v>
                </c:pt>
              </c:numCache>
            </c:numRef>
          </c:yVal>
          <c:smooth val="0"/>
        </c:ser>
        <c:dLbls>
          <c:showLegendKey val="0"/>
          <c:showVal val="0"/>
          <c:showCatName val="0"/>
          <c:showSerName val="0"/>
          <c:showPercent val="0"/>
          <c:showBubbleSize val="0"/>
        </c:dLbls>
        <c:axId val="244487296"/>
        <c:axId val="244489600"/>
      </c:scatterChart>
      <c:valAx>
        <c:axId val="244487296"/>
        <c:scaling>
          <c:orientation val="minMax"/>
        </c:scaling>
        <c:delete val="0"/>
        <c:axPos val="b"/>
        <c:title>
          <c:tx>
            <c:rich>
              <a:bodyPr/>
              <a:lstStyle/>
              <a:p>
                <a:pPr>
                  <a:defRPr sz="1000" b="0">
                    <a:latin typeface="Arial" pitchFamily="34" charset="0"/>
                    <a:cs typeface="Arial" pitchFamily="34" charset="0"/>
                  </a:defRPr>
                </a:pPr>
                <a:r>
                  <a:rPr lang="en-AU" sz="1000" b="0">
                    <a:latin typeface="Arial" pitchFamily="34" charset="0"/>
                    <a:cs typeface="Arial" pitchFamily="34" charset="0"/>
                  </a:rPr>
                  <a:t>Average annual household income growth</a:t>
                </a:r>
              </a:p>
            </c:rich>
          </c:tx>
          <c:layout/>
          <c:overlay val="0"/>
        </c:title>
        <c:numFmt formatCode="0.0" sourceLinked="1"/>
        <c:majorTickMark val="out"/>
        <c:minorTickMark val="none"/>
        <c:tickLblPos val="nextTo"/>
        <c:txPr>
          <a:bodyPr/>
          <a:lstStyle/>
          <a:p>
            <a:pPr>
              <a:defRPr>
                <a:latin typeface="Arial" pitchFamily="34" charset="0"/>
                <a:cs typeface="Arial" pitchFamily="34" charset="0"/>
              </a:defRPr>
            </a:pPr>
            <a:endParaRPr lang="en-US"/>
          </a:p>
        </c:txPr>
        <c:crossAx val="244489600"/>
        <c:crosses val="autoZero"/>
        <c:crossBetween val="midCat"/>
      </c:valAx>
      <c:valAx>
        <c:axId val="244489600"/>
        <c:scaling>
          <c:orientation val="minMax"/>
        </c:scaling>
        <c:delete val="0"/>
        <c:axPos val="l"/>
        <c:majorGridlines/>
        <c:title>
          <c:tx>
            <c:rich>
              <a:bodyPr rot="-5400000" vert="horz"/>
              <a:lstStyle/>
              <a:p>
                <a:pPr>
                  <a:defRPr sz="1000" b="0">
                    <a:latin typeface="Arial" pitchFamily="34" charset="0"/>
                    <a:cs typeface="Arial" pitchFamily="34" charset="0"/>
                  </a:defRPr>
                </a:pPr>
                <a:r>
                  <a:rPr lang="en-AU" sz="1000" b="0">
                    <a:latin typeface="Arial" pitchFamily="34" charset="0"/>
                    <a:cs typeface="Arial" pitchFamily="34" charset="0"/>
                  </a:rPr>
                  <a:t>Difference</a:t>
                </a:r>
                <a:r>
                  <a:rPr lang="en-AU" sz="1000" b="0" baseline="0">
                    <a:latin typeface="Arial" pitchFamily="34" charset="0"/>
                    <a:cs typeface="Arial" pitchFamily="34" charset="0"/>
                  </a:rPr>
                  <a:t> in income growth between top and bottom decile</a:t>
                </a:r>
                <a:endParaRPr lang="en-AU" sz="1000" b="0">
                  <a:latin typeface="Arial" pitchFamily="34" charset="0"/>
                  <a:cs typeface="Arial" pitchFamily="34" charset="0"/>
                </a:endParaRPr>
              </a:p>
            </c:rich>
          </c:tx>
          <c:layout/>
          <c:overlay val="0"/>
        </c:title>
        <c:numFmt formatCode="0.0" sourceLinked="1"/>
        <c:majorTickMark val="out"/>
        <c:minorTickMark val="none"/>
        <c:tickLblPos val="nextTo"/>
        <c:txPr>
          <a:bodyPr/>
          <a:lstStyle/>
          <a:p>
            <a:pPr>
              <a:defRPr>
                <a:latin typeface="Arial" pitchFamily="34" charset="0"/>
                <a:cs typeface="Arial" pitchFamily="34" charset="0"/>
              </a:defRPr>
            </a:pPr>
            <a:endParaRPr lang="en-US"/>
          </a:p>
        </c:txPr>
        <c:crossAx val="244487296"/>
        <c:crosses val="autoZero"/>
        <c:crossBetween val="midCat"/>
      </c:valAx>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532598404398617"/>
          <c:y val="4.8054729417818846E-2"/>
          <c:w val="0.73732316524617136"/>
          <c:h val="0.76109885377258868"/>
        </c:manualLayout>
      </c:layout>
      <c:barChart>
        <c:barDir val="col"/>
        <c:grouping val="clustered"/>
        <c:varyColors val="0"/>
        <c:ser>
          <c:idx val="0"/>
          <c:order val="0"/>
          <c:tx>
            <c:strRef>
              <c:f>'Ginis for Clinton'!$L$8</c:f>
              <c:strCache>
                <c:ptCount val="1"/>
                <c:pt idx="0">
                  <c:v>Direct benefits</c:v>
                </c:pt>
              </c:strCache>
            </c:strRef>
          </c:tx>
          <c:spPr>
            <a:pattFill prst="pct30">
              <a:fgClr>
                <a:schemeClr val="accent1">
                  <a:lumMod val="75000"/>
                </a:schemeClr>
              </a:fgClr>
              <a:bgClr>
                <a:schemeClr val="bg1"/>
              </a:bgClr>
            </a:pattFill>
            <a:ln>
              <a:solidFill>
                <a:schemeClr val="accent1">
                  <a:lumMod val="75000"/>
                </a:schemeClr>
              </a:solidFill>
            </a:ln>
          </c:spPr>
          <c:invertIfNegative val="0"/>
          <c:cat>
            <c:strRef>
              <c:f>'Ginis for Clinton'!$K$21:$K$25</c:f>
              <c:strCache>
                <c:ptCount val="5"/>
                <c:pt idx="0">
                  <c:v>1988-89</c:v>
                </c:pt>
                <c:pt idx="1">
                  <c:v>1993-94</c:v>
                </c:pt>
                <c:pt idx="2">
                  <c:v>1998-99</c:v>
                </c:pt>
                <c:pt idx="3">
                  <c:v>2003-04</c:v>
                </c:pt>
                <c:pt idx="4">
                  <c:v>2009-10</c:v>
                </c:pt>
              </c:strCache>
            </c:strRef>
          </c:cat>
          <c:val>
            <c:numRef>
              <c:f>'Ginis for Clinton'!$L$21:$L$25</c:f>
              <c:numCache>
                <c:formatCode>0.00</c:formatCode>
                <c:ptCount val="5"/>
                <c:pt idx="0">
                  <c:v>50.696479585369062</c:v>
                </c:pt>
                <c:pt idx="1">
                  <c:v>55.22085616709046</c:v>
                </c:pt>
                <c:pt idx="2">
                  <c:v>51.029959969723571</c:v>
                </c:pt>
                <c:pt idx="3">
                  <c:v>52.313110686321721</c:v>
                </c:pt>
                <c:pt idx="4">
                  <c:v>49.916080324839989</c:v>
                </c:pt>
              </c:numCache>
            </c:numRef>
          </c:val>
        </c:ser>
        <c:ser>
          <c:idx val="1"/>
          <c:order val="1"/>
          <c:tx>
            <c:strRef>
              <c:f>'Ginis for Clinton'!$M$8</c:f>
              <c:strCache>
                <c:ptCount val="1"/>
                <c:pt idx="0">
                  <c:v>Direct taxes</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'Ginis for Clinton'!$K$21:$K$25</c:f>
              <c:strCache>
                <c:ptCount val="5"/>
                <c:pt idx="0">
                  <c:v>1988-89</c:v>
                </c:pt>
                <c:pt idx="1">
                  <c:v>1993-94</c:v>
                </c:pt>
                <c:pt idx="2">
                  <c:v>1998-99</c:v>
                </c:pt>
                <c:pt idx="3">
                  <c:v>2003-04</c:v>
                </c:pt>
                <c:pt idx="4">
                  <c:v>2009-10</c:v>
                </c:pt>
              </c:strCache>
            </c:strRef>
          </c:cat>
          <c:val>
            <c:numRef>
              <c:f>'Ginis for Clinton'!$M$21:$M$25</c:f>
              <c:numCache>
                <c:formatCode>0.00</c:formatCode>
                <c:ptCount val="5"/>
                <c:pt idx="0">
                  <c:v>22.748013515993222</c:v>
                </c:pt>
                <c:pt idx="1">
                  <c:v>20.105076022295378</c:v>
                </c:pt>
                <c:pt idx="2">
                  <c:v>21.408635487165395</c:v>
                </c:pt>
                <c:pt idx="3">
                  <c:v>21.30292731905455</c:v>
                </c:pt>
                <c:pt idx="4">
                  <c:v>18.474525938699841</c:v>
                </c:pt>
              </c:numCache>
            </c:numRef>
          </c:val>
        </c:ser>
        <c:ser>
          <c:idx val="2"/>
          <c:order val="2"/>
          <c:tx>
            <c:strRef>
              <c:f>'Ginis for Clinton'!$N$8</c:f>
              <c:strCache>
                <c:ptCount val="1"/>
                <c:pt idx="0">
                  <c:v>Indirect benefits</c:v>
                </c:pt>
              </c:strCache>
            </c:strRef>
          </c:tx>
          <c:spPr>
            <a:pattFill prst="pct75">
              <a:fgClr>
                <a:schemeClr val="accent1">
                  <a:lumMod val="75000"/>
                </a:schemeClr>
              </a:fgClr>
              <a:bgClr>
                <a:schemeClr val="bg1"/>
              </a:bgClr>
            </a:pattFill>
            <a:ln>
              <a:solidFill>
                <a:schemeClr val="accent1">
                  <a:lumMod val="75000"/>
                </a:schemeClr>
              </a:solidFill>
            </a:ln>
          </c:spPr>
          <c:invertIfNegative val="0"/>
          <c:cat>
            <c:strRef>
              <c:f>'Ginis for Clinton'!$K$21:$K$25</c:f>
              <c:strCache>
                <c:ptCount val="5"/>
                <c:pt idx="0">
                  <c:v>1988-89</c:v>
                </c:pt>
                <c:pt idx="1">
                  <c:v>1993-94</c:v>
                </c:pt>
                <c:pt idx="2">
                  <c:v>1998-99</c:v>
                </c:pt>
                <c:pt idx="3">
                  <c:v>2003-04</c:v>
                </c:pt>
                <c:pt idx="4">
                  <c:v>2009-10</c:v>
                </c:pt>
              </c:strCache>
            </c:strRef>
          </c:cat>
          <c:val>
            <c:numRef>
              <c:f>'Ginis for Clinton'!$N$21:$N$25</c:f>
              <c:numCache>
                <c:formatCode>0.00</c:formatCode>
                <c:ptCount val="5"/>
                <c:pt idx="0">
                  <c:v>30.402730401884703</c:v>
                </c:pt>
                <c:pt idx="1">
                  <c:v>28.894439506351237</c:v>
                </c:pt>
                <c:pt idx="2">
                  <c:v>31.740838624998879</c:v>
                </c:pt>
                <c:pt idx="3">
                  <c:v>32.540890774095324</c:v>
                </c:pt>
                <c:pt idx="4">
                  <c:v>37.410984178689368</c:v>
                </c:pt>
              </c:numCache>
            </c:numRef>
          </c:val>
        </c:ser>
        <c:ser>
          <c:idx val="3"/>
          <c:order val="3"/>
          <c:tx>
            <c:strRef>
              <c:f>'Ginis for Clinton'!$O$8</c:f>
              <c:strCache>
                <c:ptCount val="1"/>
                <c:pt idx="0">
                  <c:v>Indirect taxes</c:v>
                </c:pt>
              </c:strCache>
            </c:strRef>
          </c:tx>
          <c:spPr>
            <a:solidFill>
              <a:schemeClr val="accent1">
                <a:lumMod val="75000"/>
              </a:schemeClr>
            </a:solidFill>
            <a:ln>
              <a:solidFill>
                <a:schemeClr val="accent1">
                  <a:lumMod val="75000"/>
                </a:schemeClr>
              </a:solidFill>
            </a:ln>
          </c:spPr>
          <c:invertIfNegative val="0"/>
          <c:cat>
            <c:strRef>
              <c:f>'Ginis for Clinton'!$K$21:$K$25</c:f>
              <c:strCache>
                <c:ptCount val="5"/>
                <c:pt idx="0">
                  <c:v>1988-89</c:v>
                </c:pt>
                <c:pt idx="1">
                  <c:v>1993-94</c:v>
                </c:pt>
                <c:pt idx="2">
                  <c:v>1998-99</c:v>
                </c:pt>
                <c:pt idx="3">
                  <c:v>2003-04</c:v>
                </c:pt>
                <c:pt idx="4">
                  <c:v>2009-10</c:v>
                </c:pt>
              </c:strCache>
            </c:strRef>
          </c:cat>
          <c:val>
            <c:numRef>
              <c:f>'Ginis for Clinton'!$O$21:$O$25</c:f>
              <c:numCache>
                <c:formatCode>0.00</c:formatCode>
                <c:ptCount val="5"/>
                <c:pt idx="0">
                  <c:v>-3.8472235032469873</c:v>
                </c:pt>
                <c:pt idx="1">
                  <c:v>-4.2203716957370681</c:v>
                </c:pt>
                <c:pt idx="2">
                  <c:v>-4.1794340818878322</c:v>
                </c:pt>
                <c:pt idx="3">
                  <c:v>-6.1569287794716052</c:v>
                </c:pt>
                <c:pt idx="4">
                  <c:v>-5.8015904422291973</c:v>
                </c:pt>
              </c:numCache>
            </c:numRef>
          </c:val>
        </c:ser>
        <c:dLbls>
          <c:showLegendKey val="0"/>
          <c:showVal val="0"/>
          <c:showCatName val="0"/>
          <c:showSerName val="0"/>
          <c:showPercent val="0"/>
          <c:showBubbleSize val="0"/>
        </c:dLbls>
        <c:gapWidth val="150"/>
        <c:axId val="270604928"/>
        <c:axId val="270616064"/>
      </c:barChart>
      <c:lineChart>
        <c:grouping val="standard"/>
        <c:varyColors val="0"/>
        <c:ser>
          <c:idx val="4"/>
          <c:order val="4"/>
          <c:tx>
            <c:v>Change from market to final</c:v>
          </c:tx>
          <c:spPr>
            <a:ln>
              <a:noFill/>
            </a:ln>
          </c:spPr>
          <c:marker>
            <c:symbol val="circle"/>
            <c:size val="5"/>
            <c:spPr>
              <a:solidFill>
                <a:srgbClr val="C00000"/>
              </a:solidFill>
              <a:ln>
                <a:solidFill>
                  <a:srgbClr val="C00000"/>
                </a:solidFill>
              </a:ln>
            </c:spPr>
          </c:marker>
          <c:val>
            <c:numRef>
              <c:f>'Ginis for Clinton'!$K$3:$K$7</c:f>
              <c:numCache>
                <c:formatCode>0.000</c:formatCode>
                <c:ptCount val="5"/>
                <c:pt idx="0">
                  <c:v>0.22703177999999999</c:v>
                </c:pt>
                <c:pt idx="1">
                  <c:v>0.26796217999999999</c:v>
                </c:pt>
                <c:pt idx="2">
                  <c:v>0.26849926999999996</c:v>
                </c:pt>
                <c:pt idx="3">
                  <c:v>0.24903844999999997</c:v>
                </c:pt>
                <c:pt idx="4">
                  <c:v>0.23390224000000004</c:v>
                </c:pt>
              </c:numCache>
            </c:numRef>
          </c:val>
          <c:smooth val="0"/>
        </c:ser>
        <c:dLbls>
          <c:showLegendKey val="0"/>
          <c:showVal val="0"/>
          <c:showCatName val="0"/>
          <c:showSerName val="0"/>
          <c:showPercent val="0"/>
          <c:showBubbleSize val="0"/>
        </c:dLbls>
        <c:marker val="1"/>
        <c:smooth val="0"/>
        <c:axId val="33031680"/>
        <c:axId val="270617984"/>
      </c:lineChart>
      <c:catAx>
        <c:axId val="270604928"/>
        <c:scaling>
          <c:orientation val="minMax"/>
        </c:scaling>
        <c:delete val="0"/>
        <c:axPos val="b"/>
        <c:numFmt formatCode="General" sourceLinked="1"/>
        <c:majorTickMark val="out"/>
        <c:minorTickMark val="none"/>
        <c:tickLblPos val="nextTo"/>
        <c:crossAx val="270616064"/>
        <c:crosses val="autoZero"/>
        <c:auto val="1"/>
        <c:lblAlgn val="ctr"/>
        <c:lblOffset val="250"/>
        <c:noMultiLvlLbl val="0"/>
      </c:catAx>
      <c:valAx>
        <c:axId val="270616064"/>
        <c:scaling>
          <c:orientation val="minMax"/>
        </c:scaling>
        <c:delete val="0"/>
        <c:axPos val="l"/>
        <c:majorGridlines/>
        <c:title>
          <c:tx>
            <c:rich>
              <a:bodyPr rot="-5400000" vert="horz"/>
              <a:lstStyle/>
              <a:p>
                <a:pPr>
                  <a:defRPr b="0"/>
                </a:pPr>
                <a:r>
                  <a:rPr lang="en-AU" b="0"/>
                  <a:t>Per cent change in Gini</a:t>
                </a:r>
              </a:p>
            </c:rich>
          </c:tx>
          <c:layout/>
          <c:overlay val="0"/>
        </c:title>
        <c:numFmt formatCode="General" sourceLinked="0"/>
        <c:majorTickMark val="out"/>
        <c:minorTickMark val="none"/>
        <c:tickLblPos val="nextTo"/>
        <c:crossAx val="270604928"/>
        <c:crosses val="autoZero"/>
        <c:crossBetween val="between"/>
      </c:valAx>
      <c:valAx>
        <c:axId val="270617984"/>
        <c:scaling>
          <c:orientation val="minMax"/>
          <c:max val="0.30000000000000004"/>
          <c:min val="-5.000000000000001E-2"/>
        </c:scaling>
        <c:delete val="0"/>
        <c:axPos val="r"/>
        <c:title>
          <c:tx>
            <c:rich>
              <a:bodyPr rot="-5400000" vert="horz"/>
              <a:lstStyle/>
              <a:p>
                <a:pPr>
                  <a:defRPr b="0"/>
                </a:pPr>
                <a:r>
                  <a:rPr lang="en-AU" b="0"/>
                  <a:t>Absolute fall in Gini from market to final</a:t>
                </a:r>
              </a:p>
            </c:rich>
          </c:tx>
          <c:layout>
            <c:manualLayout>
              <c:xMode val="edge"/>
              <c:yMode val="edge"/>
              <c:x val="0.93778816348011418"/>
              <c:y val="8.321322392220952E-2"/>
            </c:manualLayout>
          </c:layout>
          <c:overlay val="0"/>
        </c:title>
        <c:numFmt formatCode="0.000" sourceLinked="1"/>
        <c:majorTickMark val="out"/>
        <c:minorTickMark val="none"/>
        <c:tickLblPos val="nextTo"/>
        <c:crossAx val="33031680"/>
        <c:crosses val="max"/>
        <c:crossBetween val="between"/>
        <c:majorUnit val="5.000000000000001E-2"/>
      </c:valAx>
      <c:catAx>
        <c:axId val="33031680"/>
        <c:scaling>
          <c:orientation val="minMax"/>
        </c:scaling>
        <c:delete val="1"/>
        <c:axPos val="b"/>
        <c:majorTickMark val="out"/>
        <c:minorTickMark val="none"/>
        <c:tickLblPos val="nextTo"/>
        <c:crossAx val="270617984"/>
        <c:crosses val="autoZero"/>
        <c:auto val="1"/>
        <c:lblAlgn val="ctr"/>
        <c:lblOffset val="100"/>
        <c:noMultiLvlLbl val="0"/>
      </c:catAx>
    </c:plotArea>
    <c:legend>
      <c:legendPos val="b"/>
      <c:layout>
        <c:manualLayout>
          <c:xMode val="edge"/>
          <c:yMode val="edge"/>
          <c:x val="2.2074898603644699E-2"/>
          <c:y val="0.84847731189564612"/>
          <c:w val="0.96513402169955476"/>
          <c:h val="0.14717715443076987"/>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BA00F-0EA0-4F97-95E8-2ABA5407A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1370</TotalTime>
  <Pages>12</Pages>
  <Words>3892</Words>
  <Characters>21629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Trends in perspective</vt:lpstr>
    </vt:vector>
  </TitlesOfParts>
  <Company>Productivity Commission</Company>
  <LinksUpToDate>false</LinksUpToDate>
  <CharactersWithSpaces>25471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in perspective</dc:title>
  <dc:subject>The distribution of income in Australia</dc:subject>
  <dc:creator>Productivity Commission</dc:creator>
  <cp:keywords/>
  <dc:description>4.</dc:description>
  <cp:lastModifiedBy>Jared Greenville</cp:lastModifiedBy>
  <cp:revision>73</cp:revision>
  <cp:lastPrinted>2012-12-21T01:10:00Z</cp:lastPrinted>
  <dcterms:created xsi:type="dcterms:W3CDTF">2012-12-13T22:57:00Z</dcterms:created>
  <dcterms:modified xsi:type="dcterms:W3CDTF">2013-03-20T05:25:00Z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-1606051981</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