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459E3" w:rsidP="00A459E3">
      <w:pPr>
        <w:pStyle w:val="Chapter"/>
        <w:ind w:left="907" w:hanging="907"/>
      </w:pPr>
      <w:bookmarkStart w:id="0" w:name="_AppendixNotByChapter"/>
      <w:bookmarkStart w:id="1" w:name="ChapterNumber"/>
      <w:bookmarkEnd w:id="0"/>
      <w:r>
        <w:t>B</w:t>
      </w:r>
      <w:bookmarkEnd w:id="1"/>
      <w:r>
        <w:tab/>
      </w:r>
      <w:bookmarkStart w:id="2" w:name="ChapterTitle"/>
      <w:r>
        <w:t>Data and related issues</w:t>
      </w:r>
      <w:bookmarkEnd w:id="2"/>
    </w:p>
    <w:p w:rsidR="00DC13B5" w:rsidRPr="00442364" w:rsidRDefault="004422CB" w:rsidP="00DC13B5">
      <w:pPr>
        <w:pStyle w:val="BodyText"/>
      </w:pPr>
      <w:bookmarkStart w:id="3" w:name="begin"/>
      <w:bookmarkEnd w:id="3"/>
      <w:r>
        <w:t>The data for the analysis in this paper has been drawn from various Household Expenditure Surveys (</w:t>
      </w:r>
      <w:proofErr w:type="spellStart"/>
      <w:r>
        <w:t>HESs</w:t>
      </w:r>
      <w:proofErr w:type="spellEnd"/>
      <w:r>
        <w:t xml:space="preserve">) collected by the Australian Bureau of Statistics (ABS). </w:t>
      </w:r>
      <w:r w:rsidR="000545F7">
        <w:t>Through this survey, t</w:t>
      </w:r>
      <w:r w:rsidR="00DC13B5">
        <w:t>he ABS</w:t>
      </w:r>
      <w:r w:rsidR="000545F7">
        <w:t xml:space="preserve"> </w:t>
      </w:r>
      <w:r w:rsidR="00022B6C">
        <w:t xml:space="preserve">collects data on </w:t>
      </w:r>
      <w:r w:rsidR="00DC13B5">
        <w:t>household’s spending</w:t>
      </w:r>
      <w:r w:rsidR="00D409F9">
        <w:t>, in total and by compone</w:t>
      </w:r>
      <w:r w:rsidR="002C5808">
        <w:t>nt</w:t>
      </w:r>
      <w:r w:rsidR="00022B6C">
        <w:t>,</w:t>
      </w:r>
      <w:r w:rsidR="00DC13B5">
        <w:t xml:space="preserve"> forms of income and other household characteristics. The survey was first conducted in 1974-75</w:t>
      </w:r>
      <w:r w:rsidR="000545F7">
        <w:t>. F</w:t>
      </w:r>
      <w:r w:rsidR="00DC13B5">
        <w:t>or this report</w:t>
      </w:r>
      <w:r w:rsidR="007D6EBB">
        <w:t>,</w:t>
      </w:r>
      <w:r w:rsidR="00DC13B5">
        <w:t xml:space="preserve"> </w:t>
      </w:r>
      <w:r w:rsidR="000545F7">
        <w:t xml:space="preserve">five </w:t>
      </w:r>
      <w:r w:rsidR="00DC13B5">
        <w:t>surveys conducted from 1988</w:t>
      </w:r>
      <w:r w:rsidR="000545F7">
        <w:t>-89</w:t>
      </w:r>
      <w:r w:rsidR="00DC13B5">
        <w:t xml:space="preserve"> </w:t>
      </w:r>
      <w:r w:rsidR="000545F7">
        <w:t xml:space="preserve">to 2009-10 have been </w:t>
      </w:r>
      <w:r w:rsidR="00DC13B5">
        <w:t>used (</w:t>
      </w:r>
      <w:r w:rsidR="000545F7">
        <w:t>the</w:t>
      </w:r>
      <w:r w:rsidR="00DC13B5">
        <w:t xml:space="preserve"> 1988-89, 1993-94, 1998-99, 2003-04 and 2009-10</w:t>
      </w:r>
      <w:r w:rsidR="000545F7">
        <w:t xml:space="preserve"> surveys</w:t>
      </w:r>
      <w:r w:rsidR="00DC13B5">
        <w:t>). Over this time sample sizes have varied from below 7000 to over 9000.</w:t>
      </w:r>
    </w:p>
    <w:p w:rsidR="000545F7" w:rsidRDefault="00DC13B5" w:rsidP="00DC13B5">
      <w:pPr>
        <w:pStyle w:val="BodyText"/>
      </w:pPr>
      <w:r>
        <w:t xml:space="preserve">The ABS has made numerous changes to the </w:t>
      </w:r>
      <w:proofErr w:type="spellStart"/>
      <w:r>
        <w:t>HES</w:t>
      </w:r>
      <w:proofErr w:type="spellEnd"/>
      <w:r>
        <w:t xml:space="preserve"> since its introduction as it attempts to improve the quality of the survey and its estimates. These changes mean that estimates of many of the variables collected may not be consistent over time. Of importance to this study are changes that may impact on the measurement of household income as these have the potential </w:t>
      </w:r>
      <w:r w:rsidR="002C5808">
        <w:t xml:space="preserve">to </w:t>
      </w:r>
      <w:r w:rsidR="000545F7">
        <w:t>influence observed</w:t>
      </w:r>
      <w:r>
        <w:t xml:space="preserve"> changes</w:t>
      </w:r>
      <w:r w:rsidR="000545F7">
        <w:t xml:space="preserve"> and therefore trends</w:t>
      </w:r>
      <w:r>
        <w:t xml:space="preserve"> in incomes</w:t>
      </w:r>
      <w:r w:rsidR="002C5808">
        <w:t xml:space="preserve"> and their distribution</w:t>
      </w:r>
      <w:r>
        <w:t xml:space="preserve"> from one survey period to the next</w:t>
      </w:r>
      <w:r w:rsidR="000545F7">
        <w:t xml:space="preserve">. This can create uncertainty surrounding the robustness of observed distributional trends and may even </w:t>
      </w:r>
      <w:r>
        <w:t xml:space="preserve">misrepresent </w:t>
      </w:r>
      <w:r w:rsidR="000545F7">
        <w:t xml:space="preserve">changes in summary statistics of </w:t>
      </w:r>
      <w:r>
        <w:t xml:space="preserve">inequality over time. </w:t>
      </w:r>
    </w:p>
    <w:p w:rsidR="00FE41B0" w:rsidRDefault="00FE41B0" w:rsidP="00DC13B5">
      <w:pPr>
        <w:pStyle w:val="BodyText"/>
      </w:pPr>
      <w:r w:rsidRPr="00F45752">
        <w:t xml:space="preserve">Many of the </w:t>
      </w:r>
      <w:r>
        <w:t xml:space="preserve">changes to income surveys </w:t>
      </w:r>
      <w:r w:rsidRPr="00F45752">
        <w:t xml:space="preserve">in the </w:t>
      </w:r>
      <w:proofErr w:type="spellStart"/>
      <w:r w:rsidRPr="00F45752">
        <w:t>2000s</w:t>
      </w:r>
      <w:proofErr w:type="spellEnd"/>
      <w:r w:rsidRPr="00F45752">
        <w:t xml:space="preserve"> have impacted on estimates of income </w:t>
      </w:r>
      <w:r>
        <w:t xml:space="preserve">— significantly for some groups. Changes have been made to capture newer forms of income such as salary sacrifice benefits and provide for a better accounting of investment and own-business income. Such changes are likely to provide a more complete account of incomes at the top of the distribution, raising measured dispersion of income over time. Thus, it is likely that, in part, some of the </w:t>
      </w:r>
      <w:r w:rsidRPr="00F45752">
        <w:t xml:space="preserve">upward trend in inequality in the mid to late </w:t>
      </w:r>
      <w:proofErr w:type="spellStart"/>
      <w:r w:rsidRPr="00F45752">
        <w:t>2000s</w:t>
      </w:r>
      <w:proofErr w:type="spellEnd"/>
      <w:r w:rsidRPr="00F45752">
        <w:t xml:space="preserve"> </w:t>
      </w:r>
      <w:r w:rsidRPr="008D2677">
        <w:t>reflects better measurement of income rather than underlying changes</w:t>
      </w:r>
      <w:r w:rsidRPr="00F45752">
        <w:t xml:space="preserve">. </w:t>
      </w:r>
      <w:r>
        <w:t xml:space="preserve">This influence has led some researchers to question the reliability of estimates obtained from surveys such as the </w:t>
      </w:r>
      <w:proofErr w:type="spellStart"/>
      <w:r>
        <w:t>HES</w:t>
      </w:r>
      <w:proofErr w:type="spellEnd"/>
      <w:r>
        <w:t xml:space="preserve">. </w:t>
      </w:r>
    </w:p>
    <w:p w:rsidR="00CD26A7" w:rsidRDefault="00CD26A7" w:rsidP="00DC13B5">
      <w:pPr>
        <w:pStyle w:val="BodyText"/>
      </w:pPr>
      <w:r>
        <w:t xml:space="preserve">While it is likely that changes in survey design and data collection have influenced measured income and trends in summary measures of </w:t>
      </w:r>
      <w:r w:rsidR="002C5808">
        <w:t xml:space="preserve">income </w:t>
      </w:r>
      <w:r>
        <w:t xml:space="preserve">dispersion such as the </w:t>
      </w:r>
      <w:proofErr w:type="spellStart"/>
      <w:r>
        <w:t>Gini</w:t>
      </w:r>
      <w:proofErr w:type="spellEnd"/>
      <w:r>
        <w:t xml:space="preserve"> coefficient, it is unlikely that they have had a pervasive impact on the trends observed in the distribution of income across the entire population (as depicted in the Annex to chapter 3). Therefore, given the nature of the analysis presented in this </w:t>
      </w:r>
      <w:r w:rsidRPr="00F72B7B">
        <w:t xml:space="preserve">paper, the </w:t>
      </w:r>
      <w:proofErr w:type="spellStart"/>
      <w:r w:rsidRPr="00F72B7B">
        <w:t>HES</w:t>
      </w:r>
      <w:proofErr w:type="spellEnd"/>
      <w:r w:rsidRPr="00F72B7B">
        <w:t xml:space="preserve"> represents a </w:t>
      </w:r>
      <w:r w:rsidR="00B150BF" w:rsidRPr="00F72B7B">
        <w:t xml:space="preserve">reasonably </w:t>
      </w:r>
      <w:r w:rsidRPr="00F72B7B">
        <w:t>robust information source from which</w:t>
      </w:r>
      <w:r>
        <w:t xml:space="preserve"> trends in the distribution of income can be explored. Nevert</w:t>
      </w:r>
      <w:r w:rsidR="00BE67C2">
        <w:t xml:space="preserve">heless, the major </w:t>
      </w:r>
      <w:r w:rsidR="00BE67C2">
        <w:lastRenderedPageBreak/>
        <w:t xml:space="preserve">changes in </w:t>
      </w:r>
      <w:r>
        <w:t xml:space="preserve">survey design are canvassed in this appendix as they will impact statistics such as the </w:t>
      </w:r>
      <w:proofErr w:type="spellStart"/>
      <w:r>
        <w:t>Gini</w:t>
      </w:r>
      <w:proofErr w:type="spellEnd"/>
      <w:r>
        <w:t xml:space="preserve"> coefficient. </w:t>
      </w:r>
    </w:p>
    <w:p w:rsidR="00CD26A7" w:rsidRPr="00F45752" w:rsidRDefault="00CD26A7" w:rsidP="00DC13B5">
      <w:pPr>
        <w:pStyle w:val="BodyText"/>
      </w:pPr>
      <w:r>
        <w:t>Further, researchers such as Wilkins (</w:t>
      </w:r>
      <w:r w:rsidR="009C5F1A">
        <w:t>2013</w:t>
      </w:r>
      <w:r>
        <w:t xml:space="preserve">) have found that different data sources paint a different picture of </w:t>
      </w:r>
      <w:r w:rsidR="002C5808">
        <w:t xml:space="preserve">income </w:t>
      </w:r>
      <w:r>
        <w:t>inequality and its trends in Australia. These is</w:t>
      </w:r>
      <w:r w:rsidR="007076DB">
        <w:t>sues are also discussed briefly</w:t>
      </w:r>
      <w:r>
        <w:t xml:space="preserve"> in this appendix. </w:t>
      </w:r>
    </w:p>
    <w:p w:rsidR="00DC13B5" w:rsidRDefault="00A459E3" w:rsidP="00DB12EE">
      <w:pPr>
        <w:pStyle w:val="Heading2"/>
        <w:spacing w:before="560"/>
      </w:pPr>
      <w:proofErr w:type="spellStart"/>
      <w:r>
        <w:t>B.</w:t>
      </w:r>
      <w:r>
        <w:rPr>
          <w:noProof/>
        </w:rPr>
        <w:t>1</w:t>
      </w:r>
      <w:proofErr w:type="spellEnd"/>
      <w:r w:rsidR="00CD26A7">
        <w:tab/>
        <w:t xml:space="preserve">How has the </w:t>
      </w:r>
      <w:proofErr w:type="spellStart"/>
      <w:r w:rsidR="00CD26A7">
        <w:t>HES</w:t>
      </w:r>
      <w:proofErr w:type="spellEnd"/>
      <w:r w:rsidR="00DC13B5">
        <w:t xml:space="preserve"> changed?</w:t>
      </w:r>
    </w:p>
    <w:p w:rsidR="00FE41B0" w:rsidRDefault="00FE41B0" w:rsidP="00FE41B0">
      <w:pPr>
        <w:pStyle w:val="BodyText"/>
        <w:spacing w:before="220"/>
      </w:pPr>
      <w:r>
        <w:t xml:space="preserve">The </w:t>
      </w:r>
      <w:proofErr w:type="spellStart"/>
      <w:r>
        <w:t>ABS’s</w:t>
      </w:r>
      <w:proofErr w:type="spellEnd"/>
      <w:r>
        <w:t xml:space="preserve"> survey methodology has been evolving since the introduction of the </w:t>
      </w:r>
      <w:proofErr w:type="spellStart"/>
      <w:r>
        <w:t>HES</w:t>
      </w:r>
      <w:proofErr w:type="spellEnd"/>
      <w:r>
        <w:t xml:space="preserve"> in the </w:t>
      </w:r>
      <w:proofErr w:type="spellStart"/>
      <w:r>
        <w:t>1970s</w:t>
      </w:r>
      <w:proofErr w:type="spellEnd"/>
      <w:r>
        <w:t>. The most significant of the changes to income were introduced in the 2003-04 and 2009-10 surveys. Box </w:t>
      </w:r>
      <w:proofErr w:type="spellStart"/>
      <w:r w:rsidR="00A459E3">
        <w:t>B.1</w:t>
      </w:r>
      <w:proofErr w:type="spellEnd"/>
      <w:r>
        <w:t xml:space="preserve"> summarises the changes to the </w:t>
      </w:r>
      <w:proofErr w:type="spellStart"/>
      <w:r>
        <w:t>ABS’s</w:t>
      </w:r>
      <w:proofErr w:type="spellEnd"/>
      <w:r>
        <w:t xml:space="preserve"> survey methodology that have influenced income measurement.</w:t>
      </w:r>
    </w:p>
    <w:p w:rsidR="00ED2E98" w:rsidRDefault="00ED2E98" w:rsidP="00ED2E98">
      <w:pPr>
        <w:pStyle w:val="Heading3"/>
      </w:pPr>
      <w:r>
        <w:t>The impact of changes in 2003-04</w:t>
      </w:r>
    </w:p>
    <w:p w:rsidR="00ED2E98" w:rsidRDefault="00ED2E98" w:rsidP="00ED2E98">
      <w:pPr>
        <w:pStyle w:val="BodyText"/>
      </w:pPr>
      <w:r>
        <w:t xml:space="preserve">In 2003-04, the </w:t>
      </w:r>
      <w:proofErr w:type="spellStart"/>
      <w:r>
        <w:t>HES</w:t>
      </w:r>
      <w:proofErr w:type="spellEnd"/>
      <w:r>
        <w:t xml:space="preserve"> was combined with the </w:t>
      </w:r>
      <w:proofErr w:type="spellStart"/>
      <w:r>
        <w:t>ABS’s</w:t>
      </w:r>
      <w:proofErr w:type="spellEnd"/>
      <w:r>
        <w:t xml:space="preserve"> Survey of Income and Housing (</w:t>
      </w:r>
      <w:proofErr w:type="spellStart"/>
      <w:r>
        <w:t>SIH</w:t>
      </w:r>
      <w:proofErr w:type="spellEnd"/>
      <w:r>
        <w:t xml:space="preserve">), increasing the length of the survey for participants and consequently increasing non-response (and possibly response bias). The integration of the surveys also resulted in an expansion in the information collected on wealth in the </w:t>
      </w:r>
      <w:proofErr w:type="spellStart"/>
      <w:r>
        <w:t>HES</w:t>
      </w:r>
      <w:proofErr w:type="spellEnd"/>
      <w:r>
        <w:t xml:space="preserve">, from an estimation of owner-occupied dwellings and some household loans to a more comprehensive range of assets and liabilities as per the </w:t>
      </w:r>
      <w:proofErr w:type="spellStart"/>
      <w:r>
        <w:t>SIH</w:t>
      </w:r>
      <w:proofErr w:type="spellEnd"/>
      <w:r>
        <w:t>. The process of providing more detailed information on these items has been assessed by the ABS to have improved the accuracy of reported income from them.</w:t>
      </w:r>
    </w:p>
    <w:p w:rsidR="00ED2E98" w:rsidRDefault="00ED2E98" w:rsidP="00ED2E98">
      <w:pPr>
        <w:pStyle w:val="BodyText"/>
      </w:pPr>
      <w:r>
        <w:t xml:space="preserve">The most significant change occurring in the 2003-04 </w:t>
      </w:r>
      <w:proofErr w:type="spellStart"/>
      <w:r>
        <w:t>HES</w:t>
      </w:r>
      <w:proofErr w:type="spellEnd"/>
      <w:r>
        <w:t xml:space="preserve"> was in the measurement of income from investments and own unincorporated businesses. Previously, these income streams were estimated based on reported income for the previous financial year. From 2003-04, the data have been measured using respondents’ estimates of expected income in the current financial year. According to the ABS, this improves the data significantly, with the year-on-year movements between current and previous year income from these two items now aligning more closely with the related national accounts items. However, the change causes a clear break in the data series, and it is uncertain whether the difference between the two methodologies would remain constant over time. </w:t>
      </w:r>
      <w:r w:rsidR="00FE41B0" w:rsidRPr="008D2677">
        <w:t>This raises the question of whether this has simply caused a point shift in the data, or whether the impact varies over time, for example in relation to changes in the business cycle (ABS 2006).</w:t>
      </w:r>
    </w:p>
    <w:p w:rsidR="00DC13B5" w:rsidRDefault="00DC13B5" w:rsidP="00DB12EE">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C13B5" w:rsidTr="00CD7248">
        <w:tc>
          <w:tcPr>
            <w:tcW w:w="8771" w:type="dxa"/>
            <w:tcBorders>
              <w:top w:val="single" w:sz="6" w:space="0" w:color="auto"/>
              <w:bottom w:val="nil"/>
            </w:tcBorders>
          </w:tcPr>
          <w:p w:rsidR="00DC13B5" w:rsidRDefault="00DC13B5" w:rsidP="00CD7248">
            <w:pPr>
              <w:pStyle w:val="BoxTitle"/>
            </w:pPr>
            <w:r>
              <w:rPr>
                <w:b w:val="0"/>
              </w:rPr>
              <w:t xml:space="preserve">Box </w:t>
            </w:r>
            <w:bookmarkStart w:id="4" w:name="OLE_LINK2"/>
            <w:proofErr w:type="spellStart"/>
            <w:r w:rsidR="00A459E3">
              <w:rPr>
                <w:b w:val="0"/>
              </w:rPr>
              <w:t>B.</w:t>
            </w:r>
            <w:r w:rsidR="00A459E3">
              <w:rPr>
                <w:b w:val="0"/>
                <w:noProof/>
              </w:rPr>
              <w:t>1</w:t>
            </w:r>
            <w:bookmarkEnd w:id="4"/>
            <w:proofErr w:type="spellEnd"/>
            <w:r>
              <w:tab/>
              <w:t xml:space="preserve">Summary of changes to income measurement in </w:t>
            </w:r>
            <w:proofErr w:type="spellStart"/>
            <w:r>
              <w:t>HES</w:t>
            </w:r>
            <w:proofErr w:type="spellEnd"/>
          </w:p>
        </w:tc>
      </w:tr>
      <w:tr w:rsidR="00DC13B5" w:rsidTr="00CD7248">
        <w:trPr>
          <w:cantSplit/>
        </w:trPr>
        <w:tc>
          <w:tcPr>
            <w:tcW w:w="8771" w:type="dxa"/>
            <w:tcBorders>
              <w:top w:val="nil"/>
              <w:left w:val="single" w:sz="6" w:space="0" w:color="auto"/>
              <w:bottom w:val="nil"/>
              <w:right w:val="single" w:sz="6" w:space="0" w:color="auto"/>
            </w:tcBorders>
          </w:tcPr>
          <w:p w:rsidR="00D52FB7" w:rsidRDefault="00D52FB7" w:rsidP="00D52FB7">
            <w:pPr>
              <w:pStyle w:val="BoxListBullet"/>
              <w:numPr>
                <w:ilvl w:val="0"/>
                <w:numId w:val="0"/>
              </w:numPr>
              <w:ind w:left="284" w:hanging="284"/>
            </w:pPr>
            <w:r>
              <w:t>2003-04</w:t>
            </w:r>
          </w:p>
          <w:p w:rsidR="00D52FB7" w:rsidRDefault="00D52FB7" w:rsidP="00D52FB7">
            <w:pPr>
              <w:pStyle w:val="BoxListBullet"/>
            </w:pPr>
            <w:r>
              <w:t>Change in measurement of current income from own unincorporated business and investments from reported income for the previous financial year to respondents' estimates of expected income in the current financial year.</w:t>
            </w:r>
          </w:p>
          <w:p w:rsidR="00D52FB7" w:rsidRPr="00507702" w:rsidRDefault="00D52FB7" w:rsidP="00D52FB7">
            <w:pPr>
              <w:pStyle w:val="BoxListBullet"/>
            </w:pPr>
            <w:r w:rsidRPr="00507702">
              <w:t>Inclusion in employment income of all salary sacrificed income and non-cash benefits received from employers.</w:t>
            </w:r>
          </w:p>
          <w:p w:rsidR="00D52FB7" w:rsidRPr="00507702" w:rsidRDefault="00D52FB7" w:rsidP="00D52FB7">
            <w:pPr>
              <w:pStyle w:val="BoxListBullet"/>
            </w:pPr>
            <w:r w:rsidRPr="00507702">
              <w:t>Collection of a more detailed range of income items and information on all assets and liabilities of respondents.</w:t>
            </w:r>
          </w:p>
          <w:p w:rsidR="00D52FB7" w:rsidRDefault="00D52FB7" w:rsidP="00D52FB7">
            <w:pPr>
              <w:pStyle w:val="Box"/>
            </w:pPr>
            <w:r>
              <w:t>2009-10</w:t>
            </w:r>
          </w:p>
          <w:p w:rsidR="00D52FB7" w:rsidRDefault="00D52FB7" w:rsidP="00D52FB7">
            <w:pPr>
              <w:pStyle w:val="BoxListBullet"/>
            </w:pPr>
            <w:r>
              <w:t>Questions added to the survey on the amount of ‘additional’ overtime respondents expect to earn in the given year (in addition to ‘usual’ overtime).</w:t>
            </w:r>
          </w:p>
          <w:p w:rsidR="00D52FB7" w:rsidRDefault="00D52FB7" w:rsidP="00D52FB7">
            <w:pPr>
              <w:pStyle w:val="BoxListBullet"/>
            </w:pPr>
            <w:r>
              <w:t>Netting off of interest paid from interest earned on borrowed funds to purchase shares or units in trusts, previously only gross interest earned was recorded for investments other than rental properties.</w:t>
            </w:r>
          </w:p>
          <w:p w:rsidR="00D52FB7" w:rsidRPr="00507702" w:rsidRDefault="00D52FB7" w:rsidP="00D52FB7">
            <w:pPr>
              <w:pStyle w:val="BoxListBullet"/>
            </w:pPr>
            <w:r w:rsidRPr="00507702">
              <w:t>Inclusion of termination payments and workers’ compensation lump sums, with an upper boundary of three months wages.</w:t>
            </w:r>
          </w:p>
          <w:p w:rsidR="00D52FB7" w:rsidRPr="00507702" w:rsidRDefault="00D52FB7" w:rsidP="00D52FB7">
            <w:pPr>
              <w:pStyle w:val="BoxListBullet"/>
            </w:pPr>
            <w:r w:rsidRPr="00507702">
              <w:t>Inclusion of irregular bonuses in employment income (in addition to regular bonuses)</w:t>
            </w:r>
          </w:p>
          <w:p w:rsidR="00DC13B5" w:rsidRDefault="00D52FB7" w:rsidP="007D6EBB">
            <w:pPr>
              <w:pStyle w:val="BoxListBullet"/>
            </w:pPr>
            <w:r>
              <w:t xml:space="preserve">Expansion of family financial support from </w:t>
            </w:r>
            <w:r w:rsidRPr="00507702">
              <w:t xml:space="preserve">regular cash payments, mainly </w:t>
            </w:r>
            <w:r w:rsidRPr="001E46B8">
              <w:t>child and spousal support</w:t>
            </w:r>
            <w:r>
              <w:t xml:space="preserve">, to also include other forms of financial </w:t>
            </w:r>
            <w:r w:rsidRPr="00507702">
              <w:t>support</w:t>
            </w:r>
            <w:r>
              <w:t xml:space="preserve"> including goods, services, rent, education (capital transfers, </w:t>
            </w:r>
            <w:r w:rsidR="007D6EBB">
              <w:t>such as</w:t>
            </w:r>
            <w:r>
              <w:t xml:space="preserve"> cars</w:t>
            </w:r>
            <w:r w:rsidR="007D6EBB">
              <w:t xml:space="preserve"> for example</w:t>
            </w:r>
            <w:r>
              <w:t>, remain excluded).</w:t>
            </w:r>
          </w:p>
        </w:tc>
      </w:tr>
      <w:tr w:rsidR="00DC13B5" w:rsidTr="00CD7248">
        <w:trPr>
          <w:cantSplit/>
        </w:trPr>
        <w:tc>
          <w:tcPr>
            <w:tcW w:w="8771" w:type="dxa"/>
            <w:tcBorders>
              <w:top w:val="nil"/>
              <w:left w:val="single" w:sz="6" w:space="0" w:color="auto"/>
              <w:bottom w:val="nil"/>
              <w:right w:val="single" w:sz="6" w:space="0" w:color="auto"/>
            </w:tcBorders>
          </w:tcPr>
          <w:p w:rsidR="00DC13B5" w:rsidRDefault="00DC13B5" w:rsidP="00ED2E98">
            <w:pPr>
              <w:pStyle w:val="BoxSource"/>
              <w:spacing w:before="160"/>
              <w:rPr>
                <w:i/>
              </w:rPr>
            </w:pPr>
            <w:r>
              <w:rPr>
                <w:i/>
              </w:rPr>
              <w:t>Sources</w:t>
            </w:r>
            <w:r w:rsidRPr="00167F06">
              <w:t xml:space="preserve">: </w:t>
            </w:r>
            <w:r>
              <w:t>ABS (</w:t>
            </w:r>
            <w:r w:rsidR="00ED2E98">
              <w:t xml:space="preserve">2006, </w:t>
            </w:r>
            <w:proofErr w:type="spellStart"/>
            <w:r w:rsidR="00ED2E98">
              <w:t>2012a</w:t>
            </w:r>
            <w:proofErr w:type="spellEnd"/>
            <w:r>
              <w:t>).</w:t>
            </w:r>
          </w:p>
        </w:tc>
      </w:tr>
      <w:tr w:rsidR="00DC13B5" w:rsidTr="00CD7248">
        <w:trPr>
          <w:cantSplit/>
        </w:trPr>
        <w:tc>
          <w:tcPr>
            <w:tcW w:w="8771" w:type="dxa"/>
            <w:tcBorders>
              <w:top w:val="nil"/>
              <w:left w:val="single" w:sz="6" w:space="0" w:color="auto"/>
              <w:bottom w:val="single" w:sz="6" w:space="0" w:color="auto"/>
              <w:right w:val="single" w:sz="6" w:space="0" w:color="auto"/>
            </w:tcBorders>
          </w:tcPr>
          <w:p w:rsidR="00DC13B5" w:rsidRDefault="00DC13B5" w:rsidP="00CD7248">
            <w:pPr>
              <w:pStyle w:val="Box"/>
              <w:spacing w:before="0" w:line="120" w:lineRule="exact"/>
            </w:pPr>
          </w:p>
        </w:tc>
      </w:tr>
      <w:tr w:rsidR="00DC13B5" w:rsidRPr="000863A5" w:rsidTr="00CD7248">
        <w:tc>
          <w:tcPr>
            <w:tcW w:w="8771" w:type="dxa"/>
            <w:tcBorders>
              <w:top w:val="nil"/>
              <w:left w:val="nil"/>
              <w:bottom w:val="nil"/>
              <w:right w:val="nil"/>
            </w:tcBorders>
          </w:tcPr>
          <w:p w:rsidR="00DC13B5" w:rsidRPr="000863A5" w:rsidRDefault="00DC13B5" w:rsidP="00CD7248">
            <w:pPr>
              <w:pStyle w:val="Box"/>
              <w:keepNext w:val="0"/>
              <w:spacing w:before="60" w:after="60" w:line="80" w:lineRule="exact"/>
              <w:rPr>
                <w:b/>
                <w:sz w:val="14"/>
              </w:rPr>
            </w:pPr>
          </w:p>
        </w:tc>
      </w:tr>
    </w:tbl>
    <w:p w:rsidR="00ED2E98" w:rsidRDefault="00ED2E98" w:rsidP="00ED2E98">
      <w:pPr>
        <w:pStyle w:val="BodyText"/>
        <w:spacing w:before="200"/>
      </w:pPr>
      <w:r>
        <w:t xml:space="preserve">The ABS provides estimates of income based on both the new and old collection methods. Summary estimates of gross income </w:t>
      </w:r>
      <w:r w:rsidR="007D6EBB">
        <w:t xml:space="preserve">for all households </w:t>
      </w:r>
      <w:r>
        <w:t xml:space="preserve">and </w:t>
      </w:r>
      <w:r w:rsidR="007D6EBB">
        <w:t xml:space="preserve">household earnings from an own unincorporated business, hereafter termed </w:t>
      </w:r>
      <w:r>
        <w:t xml:space="preserve">self-employed </w:t>
      </w:r>
      <w:r w:rsidR="007D6EBB">
        <w:t xml:space="preserve">household income, </w:t>
      </w:r>
      <w:r>
        <w:t xml:space="preserve">using both the old and </w:t>
      </w:r>
      <w:r w:rsidR="007D6EBB">
        <w:t xml:space="preserve">new </w:t>
      </w:r>
      <w:r>
        <w:t xml:space="preserve">2003-04 basis indicate that the impact of the changes on gross household income are small (gross household income is made up of employee income, income from own unincorporated businesses, direct government payments and other sources) (table </w:t>
      </w:r>
      <w:proofErr w:type="spellStart"/>
      <w:r w:rsidR="00A459E3">
        <w:t>B.1</w:t>
      </w:r>
      <w:proofErr w:type="spellEnd"/>
      <w:r>
        <w:t xml:space="preserve">). However, the impact of the changes on </w:t>
      </w:r>
      <w:r w:rsidR="007D6EBB">
        <w:t>self-employed household</w:t>
      </w:r>
      <w:r>
        <w:t xml:space="preserve"> income </w:t>
      </w:r>
      <w:r w:rsidR="007D6EBB">
        <w:t>are</w:t>
      </w:r>
      <w:r>
        <w:t xml:space="preserve"> larger. </w:t>
      </w:r>
    </w:p>
    <w:p w:rsidR="00105FB6" w:rsidRDefault="00B070E5" w:rsidP="00DC13B5">
      <w:pPr>
        <w:pStyle w:val="BodyText"/>
      </w:pPr>
      <w:r>
        <w:t>The changes reduce</w:t>
      </w:r>
      <w:r w:rsidR="00105FB6">
        <w:t xml:space="preserve"> both</w:t>
      </w:r>
      <w:r>
        <w:t xml:space="preserve"> the mean and median </w:t>
      </w:r>
      <w:r w:rsidR="00D3291E">
        <w:t>self-employed earnings</w:t>
      </w:r>
      <w:r>
        <w:t xml:space="preserve"> </w:t>
      </w:r>
      <w:r w:rsidR="00105FB6">
        <w:t xml:space="preserve">and </w:t>
      </w:r>
      <w:r>
        <w:t xml:space="preserve">its standard deviation. </w:t>
      </w:r>
      <w:r w:rsidR="00105FB6">
        <w:t xml:space="preserve">One possible explanation for the reduction in the standard deviation is the reduction in the number of households reporting negative </w:t>
      </w:r>
      <w:r w:rsidR="00D032C0">
        <w:t xml:space="preserve">self-employment </w:t>
      </w:r>
      <w:r w:rsidR="00105FB6">
        <w:t xml:space="preserve">incomes. This </w:t>
      </w:r>
      <w:r w:rsidR="000D19A9">
        <w:t xml:space="preserve">effect </w:t>
      </w:r>
      <w:r w:rsidR="00105FB6">
        <w:t xml:space="preserve">can be seen more clearly in figure </w:t>
      </w:r>
      <w:proofErr w:type="spellStart"/>
      <w:r w:rsidR="00A459E3">
        <w:t>B.1</w:t>
      </w:r>
      <w:proofErr w:type="spellEnd"/>
      <w:r w:rsidR="00ED2E98">
        <w:t xml:space="preserve"> (left panel)</w:t>
      </w:r>
      <w:r w:rsidR="000D19A9">
        <w:t>.</w:t>
      </w:r>
      <w:r w:rsidR="00105FB6">
        <w:t xml:space="preserve"> </w:t>
      </w:r>
      <w:r w:rsidR="00ED2E98">
        <w:t>S</w:t>
      </w:r>
      <w:r w:rsidR="00105FB6">
        <w:t xml:space="preserve">ome negative self-employment income under the old definition (the </w:t>
      </w:r>
      <w:r w:rsidR="00FF54F6">
        <w:t xml:space="preserve">dotted </w:t>
      </w:r>
      <w:r w:rsidR="00105FB6">
        <w:t xml:space="preserve">line), appears to have been shifted to slightly positive income under the new definition (the </w:t>
      </w:r>
      <w:r w:rsidR="00FF54F6">
        <w:t xml:space="preserve">solid </w:t>
      </w:r>
      <w:r w:rsidR="00105FB6">
        <w:t>line)</w:t>
      </w:r>
      <w:r w:rsidR="00D3291E">
        <w:t>, as reflected in the higher peak of the solid line next to the y-axis.</w:t>
      </w:r>
    </w:p>
    <w:p w:rsidR="001A4077" w:rsidRDefault="001A4077">
      <w:pPr>
        <w:pStyle w:val="TableTitle"/>
      </w:pPr>
      <w:r>
        <w:rPr>
          <w:b w:val="0"/>
        </w:rPr>
        <w:lastRenderedPageBreak/>
        <w:t xml:space="preserve">Table </w:t>
      </w:r>
      <w:bookmarkStart w:id="5" w:name="OLE_LINK3"/>
      <w:proofErr w:type="spellStart"/>
      <w:r w:rsidR="00A459E3">
        <w:rPr>
          <w:b w:val="0"/>
        </w:rPr>
        <w:t>B.</w:t>
      </w:r>
      <w:r w:rsidR="00A459E3">
        <w:rPr>
          <w:b w:val="0"/>
          <w:noProof/>
        </w:rPr>
        <w:t>1</w:t>
      </w:r>
      <w:bookmarkEnd w:id="5"/>
      <w:proofErr w:type="spellEnd"/>
      <w:r>
        <w:tab/>
      </w:r>
      <w:r w:rsidR="00816A69">
        <w:t>Impact of survey changes on gross and self-employed household income</w:t>
      </w:r>
      <w:r w:rsidR="008E1F56">
        <w:t xml:space="preserve"> in 2003-04</w:t>
      </w:r>
    </w:p>
    <w:p w:rsidR="001A4077" w:rsidRDefault="001A4077">
      <w:pPr>
        <w:pStyle w:val="Subtitle"/>
      </w:pPr>
      <w:r>
        <w:t>2003-04 dollars</w:t>
      </w:r>
    </w:p>
    <w:tbl>
      <w:tblPr>
        <w:tblW w:w="5000" w:type="pct"/>
        <w:tblCellMar>
          <w:left w:w="0" w:type="dxa"/>
          <w:right w:w="0" w:type="dxa"/>
        </w:tblCellMar>
        <w:tblLook w:val="0000" w:firstRow="0" w:lastRow="0" w:firstColumn="0" w:lastColumn="0" w:noHBand="0" w:noVBand="0"/>
      </w:tblPr>
      <w:tblGrid>
        <w:gridCol w:w="1842"/>
        <w:gridCol w:w="1702"/>
        <w:gridCol w:w="1607"/>
        <w:gridCol w:w="98"/>
        <w:gridCol w:w="1833"/>
        <w:gridCol w:w="1707"/>
      </w:tblGrid>
      <w:tr w:rsidR="001A4077" w:rsidTr="00F05404">
        <w:tc>
          <w:tcPr>
            <w:tcW w:w="1048" w:type="pct"/>
            <w:tcBorders>
              <w:top w:val="single" w:sz="4" w:space="0" w:color="auto"/>
            </w:tcBorders>
            <w:shd w:val="clear" w:color="auto" w:fill="auto"/>
          </w:tcPr>
          <w:p w:rsidR="001A4077" w:rsidRDefault="001A4077" w:rsidP="001A4077">
            <w:pPr>
              <w:pStyle w:val="TableColumnHeading"/>
              <w:jc w:val="left"/>
            </w:pPr>
          </w:p>
        </w:tc>
        <w:tc>
          <w:tcPr>
            <w:tcW w:w="1882" w:type="pct"/>
            <w:gridSpan w:val="2"/>
            <w:tcBorders>
              <w:top w:val="single" w:sz="6" w:space="0" w:color="auto"/>
              <w:bottom w:val="single" w:sz="6" w:space="0" w:color="auto"/>
            </w:tcBorders>
            <w:shd w:val="clear" w:color="auto" w:fill="auto"/>
          </w:tcPr>
          <w:p w:rsidR="001A4077" w:rsidRDefault="001A4077" w:rsidP="001A4077">
            <w:pPr>
              <w:pStyle w:val="TableColumnHeading"/>
            </w:pPr>
            <w:r>
              <w:t>Gross household income</w:t>
            </w:r>
          </w:p>
        </w:tc>
        <w:tc>
          <w:tcPr>
            <w:tcW w:w="56" w:type="pct"/>
            <w:tcBorders>
              <w:top w:val="single" w:sz="4" w:space="0" w:color="auto"/>
            </w:tcBorders>
            <w:shd w:val="clear" w:color="auto" w:fill="auto"/>
          </w:tcPr>
          <w:p w:rsidR="001A4077" w:rsidRDefault="001A4077" w:rsidP="001A4077">
            <w:pPr>
              <w:pStyle w:val="TableColumnHeading"/>
            </w:pPr>
          </w:p>
        </w:tc>
        <w:tc>
          <w:tcPr>
            <w:tcW w:w="2014" w:type="pct"/>
            <w:gridSpan w:val="2"/>
            <w:tcBorders>
              <w:top w:val="single" w:sz="6" w:space="0" w:color="auto"/>
              <w:bottom w:val="single" w:sz="6" w:space="0" w:color="auto"/>
            </w:tcBorders>
            <w:shd w:val="clear" w:color="auto" w:fill="auto"/>
          </w:tcPr>
          <w:p w:rsidR="001A4077" w:rsidRDefault="001A4077" w:rsidP="001A4077">
            <w:pPr>
              <w:pStyle w:val="TableColumnHeading"/>
              <w:ind w:right="28"/>
            </w:pPr>
            <w:r>
              <w:t>Self-employed earnings</w:t>
            </w:r>
          </w:p>
        </w:tc>
      </w:tr>
      <w:tr w:rsidR="001A4077" w:rsidTr="00F05404">
        <w:tc>
          <w:tcPr>
            <w:tcW w:w="1048" w:type="pct"/>
            <w:tcBorders>
              <w:bottom w:val="single" w:sz="6" w:space="0" w:color="auto"/>
            </w:tcBorders>
            <w:shd w:val="clear" w:color="auto" w:fill="auto"/>
          </w:tcPr>
          <w:p w:rsidR="001A4077" w:rsidRDefault="001A4077" w:rsidP="001A4077">
            <w:pPr>
              <w:pStyle w:val="TableColumnHeading"/>
              <w:jc w:val="left"/>
            </w:pPr>
            <w:r>
              <w:t>Summary statistic</w:t>
            </w:r>
          </w:p>
        </w:tc>
        <w:tc>
          <w:tcPr>
            <w:tcW w:w="968" w:type="pct"/>
            <w:tcBorders>
              <w:top w:val="single" w:sz="6" w:space="0" w:color="auto"/>
              <w:bottom w:val="single" w:sz="6" w:space="0" w:color="auto"/>
            </w:tcBorders>
            <w:shd w:val="clear" w:color="auto" w:fill="auto"/>
          </w:tcPr>
          <w:p w:rsidR="001A4077" w:rsidRDefault="001A4077" w:rsidP="001A4077">
            <w:pPr>
              <w:pStyle w:val="TableColumnHeading"/>
            </w:pPr>
            <w:r>
              <w:t xml:space="preserve">Previous </w:t>
            </w:r>
            <w:proofErr w:type="spellStart"/>
            <w:r>
              <w:t>HES</w:t>
            </w:r>
            <w:proofErr w:type="spellEnd"/>
            <w:r>
              <w:t xml:space="preserve"> basis</w:t>
            </w:r>
          </w:p>
        </w:tc>
        <w:tc>
          <w:tcPr>
            <w:tcW w:w="914" w:type="pct"/>
            <w:tcBorders>
              <w:top w:val="single" w:sz="6" w:space="0" w:color="auto"/>
              <w:bottom w:val="single" w:sz="6" w:space="0" w:color="auto"/>
            </w:tcBorders>
            <w:shd w:val="clear" w:color="auto" w:fill="auto"/>
          </w:tcPr>
          <w:p w:rsidR="001A4077" w:rsidRDefault="001A4077" w:rsidP="001A4077">
            <w:pPr>
              <w:pStyle w:val="TableColumnHeading"/>
            </w:pPr>
            <w:r>
              <w:t xml:space="preserve">2003-04 </w:t>
            </w:r>
            <w:proofErr w:type="spellStart"/>
            <w:r>
              <w:t>HES</w:t>
            </w:r>
            <w:proofErr w:type="spellEnd"/>
            <w:r>
              <w:t xml:space="preserve"> basis</w:t>
            </w:r>
          </w:p>
        </w:tc>
        <w:tc>
          <w:tcPr>
            <w:tcW w:w="56" w:type="pct"/>
            <w:tcBorders>
              <w:bottom w:val="single" w:sz="6" w:space="0" w:color="auto"/>
            </w:tcBorders>
            <w:shd w:val="clear" w:color="auto" w:fill="auto"/>
          </w:tcPr>
          <w:p w:rsidR="001A4077" w:rsidRDefault="001A4077" w:rsidP="001A4077">
            <w:pPr>
              <w:pStyle w:val="TableColumnHeading"/>
            </w:pPr>
          </w:p>
        </w:tc>
        <w:tc>
          <w:tcPr>
            <w:tcW w:w="1043" w:type="pct"/>
            <w:tcBorders>
              <w:top w:val="single" w:sz="6" w:space="0" w:color="auto"/>
              <w:bottom w:val="single" w:sz="6" w:space="0" w:color="auto"/>
            </w:tcBorders>
            <w:shd w:val="clear" w:color="auto" w:fill="auto"/>
          </w:tcPr>
          <w:p w:rsidR="003C3ACA" w:rsidRDefault="001A4077" w:rsidP="00EA1067">
            <w:pPr>
              <w:pStyle w:val="TableColumnHeading"/>
            </w:pPr>
            <w:r>
              <w:t xml:space="preserve">Previous </w:t>
            </w:r>
            <w:proofErr w:type="spellStart"/>
            <w:r>
              <w:t>HES</w:t>
            </w:r>
            <w:proofErr w:type="spellEnd"/>
            <w:r>
              <w:t xml:space="preserve"> basis</w:t>
            </w:r>
          </w:p>
        </w:tc>
        <w:tc>
          <w:tcPr>
            <w:tcW w:w="971" w:type="pct"/>
            <w:tcBorders>
              <w:top w:val="single" w:sz="6" w:space="0" w:color="auto"/>
              <w:bottom w:val="single" w:sz="6" w:space="0" w:color="auto"/>
            </w:tcBorders>
            <w:shd w:val="clear" w:color="auto" w:fill="auto"/>
          </w:tcPr>
          <w:p w:rsidR="003C3ACA" w:rsidRDefault="001A4077" w:rsidP="001A4077">
            <w:pPr>
              <w:pStyle w:val="TableColumnHeading"/>
              <w:ind w:right="28"/>
            </w:pPr>
            <w:r>
              <w:t xml:space="preserve">2003-04 </w:t>
            </w:r>
            <w:proofErr w:type="spellStart"/>
            <w:r>
              <w:t>HES</w:t>
            </w:r>
            <w:proofErr w:type="spellEnd"/>
            <w:r>
              <w:t xml:space="preserve"> basis</w:t>
            </w:r>
          </w:p>
        </w:tc>
      </w:tr>
      <w:tr w:rsidR="001A4077" w:rsidTr="00F05404">
        <w:tc>
          <w:tcPr>
            <w:tcW w:w="1048" w:type="pct"/>
          </w:tcPr>
          <w:p w:rsidR="001A4077" w:rsidRDefault="00816A69" w:rsidP="001A4077">
            <w:pPr>
              <w:pStyle w:val="TableBodyText"/>
              <w:jc w:val="left"/>
            </w:pPr>
            <w:r>
              <w:t>Mean</w:t>
            </w:r>
          </w:p>
        </w:tc>
        <w:tc>
          <w:tcPr>
            <w:tcW w:w="968" w:type="pct"/>
          </w:tcPr>
          <w:p w:rsidR="001A4077" w:rsidRDefault="001D7007" w:rsidP="001A4077">
            <w:pPr>
              <w:pStyle w:val="TableBodyText"/>
            </w:pPr>
            <w:r>
              <w:t>1</w:t>
            </w:r>
            <w:r w:rsidR="007D6EBB">
              <w:t> </w:t>
            </w:r>
            <w:r>
              <w:t>124</w:t>
            </w:r>
          </w:p>
        </w:tc>
        <w:tc>
          <w:tcPr>
            <w:tcW w:w="914" w:type="pct"/>
          </w:tcPr>
          <w:p w:rsidR="001A4077" w:rsidRDefault="001D7007" w:rsidP="001A4077">
            <w:pPr>
              <w:pStyle w:val="TableBodyText"/>
            </w:pPr>
            <w:r>
              <w:t>1</w:t>
            </w:r>
            <w:r w:rsidR="007D6EBB">
              <w:t> </w:t>
            </w:r>
            <w:r>
              <w:t>126</w:t>
            </w:r>
          </w:p>
        </w:tc>
        <w:tc>
          <w:tcPr>
            <w:tcW w:w="1099" w:type="pct"/>
            <w:gridSpan w:val="2"/>
          </w:tcPr>
          <w:p w:rsidR="001A4077" w:rsidRDefault="001D7007" w:rsidP="001A4077">
            <w:pPr>
              <w:pStyle w:val="TableBodyText"/>
            </w:pPr>
            <w:r>
              <w:t>648</w:t>
            </w:r>
          </w:p>
        </w:tc>
        <w:tc>
          <w:tcPr>
            <w:tcW w:w="971" w:type="pct"/>
          </w:tcPr>
          <w:p w:rsidR="001A4077" w:rsidRDefault="001D7007" w:rsidP="001A4077">
            <w:pPr>
              <w:pStyle w:val="TableBodyText"/>
              <w:ind w:right="28"/>
            </w:pPr>
            <w:r>
              <w:t>609</w:t>
            </w:r>
          </w:p>
        </w:tc>
      </w:tr>
      <w:tr w:rsidR="00816A69" w:rsidTr="00F05404">
        <w:tc>
          <w:tcPr>
            <w:tcW w:w="1048" w:type="pct"/>
            <w:shd w:val="clear" w:color="auto" w:fill="auto"/>
          </w:tcPr>
          <w:p w:rsidR="001A4077" w:rsidRDefault="00816A69" w:rsidP="001A4077">
            <w:pPr>
              <w:pStyle w:val="TableBodyText"/>
              <w:jc w:val="left"/>
            </w:pPr>
            <w:r>
              <w:t>Median</w:t>
            </w:r>
          </w:p>
        </w:tc>
        <w:tc>
          <w:tcPr>
            <w:tcW w:w="968" w:type="pct"/>
            <w:shd w:val="clear" w:color="auto" w:fill="auto"/>
          </w:tcPr>
          <w:p w:rsidR="001A4077" w:rsidRDefault="001D7007" w:rsidP="001A4077">
            <w:pPr>
              <w:pStyle w:val="TableBodyText"/>
            </w:pPr>
            <w:r>
              <w:t>921</w:t>
            </w:r>
          </w:p>
        </w:tc>
        <w:tc>
          <w:tcPr>
            <w:tcW w:w="914" w:type="pct"/>
            <w:shd w:val="clear" w:color="auto" w:fill="auto"/>
          </w:tcPr>
          <w:p w:rsidR="001A4077" w:rsidRDefault="001D7007" w:rsidP="001A4077">
            <w:pPr>
              <w:pStyle w:val="TableBodyText"/>
            </w:pPr>
            <w:r>
              <w:t>928</w:t>
            </w:r>
          </w:p>
        </w:tc>
        <w:tc>
          <w:tcPr>
            <w:tcW w:w="1099" w:type="pct"/>
            <w:gridSpan w:val="2"/>
            <w:shd w:val="clear" w:color="auto" w:fill="auto"/>
          </w:tcPr>
          <w:p w:rsidR="001A4077" w:rsidRDefault="001D7007" w:rsidP="001A4077">
            <w:pPr>
              <w:pStyle w:val="TableBodyText"/>
            </w:pPr>
            <w:r>
              <w:t>464</w:t>
            </w:r>
          </w:p>
        </w:tc>
        <w:tc>
          <w:tcPr>
            <w:tcW w:w="971" w:type="pct"/>
            <w:shd w:val="clear" w:color="auto" w:fill="auto"/>
          </w:tcPr>
          <w:p w:rsidR="001A4077" w:rsidRDefault="001D7007" w:rsidP="001A4077">
            <w:pPr>
              <w:pStyle w:val="TableBodyText"/>
              <w:ind w:right="28"/>
            </w:pPr>
            <w:r>
              <w:t>400</w:t>
            </w:r>
          </w:p>
        </w:tc>
      </w:tr>
      <w:tr w:rsidR="00816A69" w:rsidTr="00F05404">
        <w:tc>
          <w:tcPr>
            <w:tcW w:w="1048" w:type="pct"/>
            <w:shd w:val="clear" w:color="auto" w:fill="auto"/>
          </w:tcPr>
          <w:p w:rsidR="00816A69" w:rsidRDefault="00816A69" w:rsidP="001A4077">
            <w:pPr>
              <w:pStyle w:val="TableBodyText"/>
              <w:jc w:val="left"/>
            </w:pPr>
            <w:r>
              <w:t>Standard deviation</w:t>
            </w:r>
          </w:p>
        </w:tc>
        <w:tc>
          <w:tcPr>
            <w:tcW w:w="968" w:type="pct"/>
            <w:shd w:val="clear" w:color="auto" w:fill="auto"/>
          </w:tcPr>
          <w:p w:rsidR="00816A69" w:rsidRDefault="001D7007" w:rsidP="001A4077">
            <w:pPr>
              <w:pStyle w:val="TableBodyText"/>
            </w:pPr>
            <w:r>
              <w:t>954</w:t>
            </w:r>
          </w:p>
        </w:tc>
        <w:tc>
          <w:tcPr>
            <w:tcW w:w="914" w:type="pct"/>
            <w:shd w:val="clear" w:color="auto" w:fill="auto"/>
          </w:tcPr>
          <w:p w:rsidR="00816A69" w:rsidRDefault="001D7007" w:rsidP="001A4077">
            <w:pPr>
              <w:pStyle w:val="TableBodyText"/>
            </w:pPr>
            <w:r>
              <w:t>919</w:t>
            </w:r>
          </w:p>
        </w:tc>
        <w:tc>
          <w:tcPr>
            <w:tcW w:w="1099" w:type="pct"/>
            <w:gridSpan w:val="2"/>
            <w:shd w:val="clear" w:color="auto" w:fill="auto"/>
          </w:tcPr>
          <w:p w:rsidR="00816A69" w:rsidRDefault="001D7007" w:rsidP="001A4077">
            <w:pPr>
              <w:pStyle w:val="TableBodyText"/>
            </w:pPr>
            <w:r>
              <w:t>1150</w:t>
            </w:r>
          </w:p>
        </w:tc>
        <w:tc>
          <w:tcPr>
            <w:tcW w:w="971" w:type="pct"/>
            <w:shd w:val="clear" w:color="auto" w:fill="auto"/>
          </w:tcPr>
          <w:p w:rsidR="00816A69" w:rsidRDefault="001D7007" w:rsidP="001A4077">
            <w:pPr>
              <w:pStyle w:val="TableBodyText"/>
              <w:ind w:right="28"/>
            </w:pPr>
            <w:r>
              <w:t>975</w:t>
            </w:r>
          </w:p>
        </w:tc>
      </w:tr>
      <w:tr w:rsidR="00816A69" w:rsidTr="00F05404">
        <w:tc>
          <w:tcPr>
            <w:tcW w:w="1048" w:type="pct"/>
            <w:tcBorders>
              <w:bottom w:val="single" w:sz="6" w:space="0" w:color="auto"/>
            </w:tcBorders>
            <w:shd w:val="clear" w:color="auto" w:fill="auto"/>
          </w:tcPr>
          <w:p w:rsidR="00816A69" w:rsidRDefault="00816A69" w:rsidP="001A4077">
            <w:pPr>
              <w:pStyle w:val="TableBodyText"/>
              <w:jc w:val="left"/>
            </w:pPr>
            <w:proofErr w:type="spellStart"/>
            <w:r>
              <w:t>Gini</w:t>
            </w:r>
            <w:proofErr w:type="spellEnd"/>
            <w:r>
              <w:t xml:space="preserve"> coefficient</w:t>
            </w:r>
          </w:p>
        </w:tc>
        <w:tc>
          <w:tcPr>
            <w:tcW w:w="968" w:type="pct"/>
            <w:tcBorders>
              <w:bottom w:val="single" w:sz="6" w:space="0" w:color="auto"/>
            </w:tcBorders>
            <w:shd w:val="clear" w:color="auto" w:fill="auto"/>
          </w:tcPr>
          <w:p w:rsidR="00816A69" w:rsidRDefault="0046459F" w:rsidP="001A4077">
            <w:pPr>
              <w:pStyle w:val="TableBodyText"/>
            </w:pPr>
            <w:r>
              <w:t>0.41</w:t>
            </w:r>
          </w:p>
        </w:tc>
        <w:tc>
          <w:tcPr>
            <w:tcW w:w="914" w:type="pct"/>
            <w:tcBorders>
              <w:bottom w:val="single" w:sz="6" w:space="0" w:color="auto"/>
            </w:tcBorders>
            <w:shd w:val="clear" w:color="auto" w:fill="auto"/>
          </w:tcPr>
          <w:p w:rsidR="00816A69" w:rsidRDefault="0046459F" w:rsidP="001A4077">
            <w:pPr>
              <w:pStyle w:val="TableBodyText"/>
            </w:pPr>
            <w:r>
              <w:t>0.40</w:t>
            </w:r>
          </w:p>
        </w:tc>
        <w:tc>
          <w:tcPr>
            <w:tcW w:w="1099" w:type="pct"/>
            <w:gridSpan w:val="2"/>
            <w:tcBorders>
              <w:bottom w:val="single" w:sz="6" w:space="0" w:color="auto"/>
            </w:tcBorders>
            <w:shd w:val="clear" w:color="auto" w:fill="auto"/>
          </w:tcPr>
          <w:p w:rsidR="00816A69" w:rsidRDefault="001D7007" w:rsidP="001A4077">
            <w:pPr>
              <w:pStyle w:val="TableBodyText"/>
            </w:pPr>
            <w:r>
              <w:t>0.72</w:t>
            </w:r>
          </w:p>
        </w:tc>
        <w:tc>
          <w:tcPr>
            <w:tcW w:w="971" w:type="pct"/>
            <w:tcBorders>
              <w:bottom w:val="single" w:sz="6" w:space="0" w:color="auto"/>
            </w:tcBorders>
            <w:shd w:val="clear" w:color="auto" w:fill="auto"/>
          </w:tcPr>
          <w:p w:rsidR="00816A69" w:rsidRDefault="001D7007" w:rsidP="001A4077">
            <w:pPr>
              <w:pStyle w:val="TableBodyText"/>
              <w:ind w:right="28"/>
            </w:pPr>
            <w:r>
              <w:t>0.68</w:t>
            </w:r>
          </w:p>
        </w:tc>
      </w:tr>
    </w:tbl>
    <w:p w:rsidR="001A4077" w:rsidRDefault="001A4077" w:rsidP="001A4077">
      <w:pPr>
        <w:pStyle w:val="Note"/>
      </w:pPr>
      <w:r w:rsidRPr="001A4077">
        <w:rPr>
          <w:rStyle w:val="NoteLabel"/>
        </w:rPr>
        <w:t>a</w:t>
      </w:r>
      <w:r>
        <w:t xml:space="preserve"> </w:t>
      </w:r>
      <w:r w:rsidR="00816A69">
        <w:t xml:space="preserve">Self-employed is defined as those with </w:t>
      </w:r>
      <w:r w:rsidR="00816A69" w:rsidRPr="005755D3">
        <w:t>non-zero earnings from own unincorporated businesses</w:t>
      </w:r>
      <w:r w:rsidRPr="005755D3">
        <w:t>.</w:t>
      </w:r>
    </w:p>
    <w:p w:rsidR="001A4077" w:rsidRPr="001A4077" w:rsidRDefault="001A4077" w:rsidP="001A4077">
      <w:pPr>
        <w:pStyle w:val="Source"/>
      </w:pPr>
      <w:r>
        <w:rPr>
          <w:i/>
        </w:rPr>
        <w:t>Source</w:t>
      </w:r>
      <w:r>
        <w:t>:</w:t>
      </w:r>
      <w:r w:rsidR="00816A69">
        <w:t xml:space="preserve"> </w:t>
      </w:r>
      <w:r w:rsidR="00ED2E98">
        <w:t xml:space="preserve">Author estimates based on ABS (Household Expenditure Survey, cat. no. 6503.0, </w:t>
      </w:r>
      <w:proofErr w:type="spellStart"/>
      <w:r w:rsidR="00ED2E98">
        <w:t>confidentialised</w:t>
      </w:r>
      <w:proofErr w:type="spellEnd"/>
      <w:r w:rsidR="00ED2E98">
        <w:t xml:space="preserve"> unit record files).</w:t>
      </w:r>
    </w:p>
    <w:p w:rsidR="00ED2E98" w:rsidRDefault="00FF54F6" w:rsidP="00972740">
      <w:pPr>
        <w:pStyle w:val="BodyText"/>
        <w:spacing w:before="120"/>
      </w:pPr>
      <w:r>
        <w:t xml:space="preserve">The reason for little change in gross household income stemming from the revised measurement of own unincorporated business income is that </w:t>
      </w:r>
      <w:r w:rsidR="00D032C0">
        <w:t xml:space="preserve">only </w:t>
      </w:r>
      <w:r>
        <w:t>around</w:t>
      </w:r>
      <w:r w:rsidR="00D032C0">
        <w:t xml:space="preserve"> 8 per cent</w:t>
      </w:r>
      <w:r w:rsidR="002C13AF">
        <w:rPr>
          <w:rStyle w:val="FootnoteReference"/>
        </w:rPr>
        <w:footnoteReference w:id="1"/>
      </w:r>
      <w:r w:rsidR="00D032C0">
        <w:t xml:space="preserve"> of</w:t>
      </w:r>
      <w:r w:rsidR="00050E3F">
        <w:t xml:space="preserve"> households earn i</w:t>
      </w:r>
      <w:r w:rsidR="00D032C0">
        <w:t xml:space="preserve">ncome from </w:t>
      </w:r>
      <w:r>
        <w:t>this source</w:t>
      </w:r>
      <w:r w:rsidR="001A5B68">
        <w:t xml:space="preserve">. </w:t>
      </w:r>
      <w:r>
        <w:t>In terms of the distribution</w:t>
      </w:r>
      <w:r w:rsidR="00050E3F">
        <w:t xml:space="preserve">, it is difficult to </w:t>
      </w:r>
      <w:r>
        <w:t xml:space="preserve">observe </w:t>
      </w:r>
      <w:r w:rsidR="00050E3F">
        <w:t xml:space="preserve">the </w:t>
      </w:r>
      <w:r>
        <w:t xml:space="preserve">impact (figure </w:t>
      </w:r>
      <w:proofErr w:type="spellStart"/>
      <w:r w:rsidR="00A459E3">
        <w:t>B.1</w:t>
      </w:r>
      <w:proofErr w:type="spellEnd"/>
      <w:r>
        <w:t xml:space="preserve">, </w:t>
      </w:r>
      <w:r w:rsidR="000E5E21">
        <w:t>right hand</w:t>
      </w:r>
      <w:r>
        <w:t xml:space="preserve"> panel)</w:t>
      </w:r>
      <w:r w:rsidR="00050E3F">
        <w:t>.</w:t>
      </w:r>
    </w:p>
    <w:p w:rsidR="00816A69" w:rsidRDefault="00816A69" w:rsidP="00972740">
      <w:pPr>
        <w:pStyle w:val="FigureTitle"/>
        <w:spacing w:before="120"/>
      </w:pPr>
      <w:r>
        <w:rPr>
          <w:b w:val="0"/>
        </w:rPr>
        <w:t xml:space="preserve">Figure </w:t>
      </w:r>
      <w:bookmarkStart w:id="6" w:name="OLE_LINK4"/>
      <w:proofErr w:type="spellStart"/>
      <w:r w:rsidR="00A459E3">
        <w:rPr>
          <w:b w:val="0"/>
        </w:rPr>
        <w:t>B.</w:t>
      </w:r>
      <w:r w:rsidR="00A459E3">
        <w:rPr>
          <w:b w:val="0"/>
          <w:noProof/>
        </w:rPr>
        <w:t>1</w:t>
      </w:r>
      <w:bookmarkEnd w:id="6"/>
      <w:proofErr w:type="spellEnd"/>
      <w:r>
        <w:tab/>
        <w:t>Distribution of gross and self-employed household income, old and new basis</w:t>
      </w:r>
      <w:r w:rsidR="008E1F56">
        <w:t xml:space="preserve"> in 2003-04</w:t>
      </w:r>
      <w:bookmarkStart w:id="7" w:name="_GoBack"/>
      <w:bookmarkEnd w:id="7"/>
    </w:p>
    <w:p w:rsidR="00816A69" w:rsidRDefault="008E1F56">
      <w:pPr>
        <w:pStyle w:val="Subtitle"/>
      </w:pPr>
      <w:r>
        <w:t>Proportion of households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816A69" w:rsidTr="00B01157">
        <w:tc>
          <w:tcPr>
            <w:tcW w:w="4388" w:type="dxa"/>
          </w:tcPr>
          <w:p w:rsidR="00816A69" w:rsidRDefault="005E510B" w:rsidP="000E5E21">
            <w:pPr>
              <w:pStyle w:val="TableColumnHeading"/>
              <w:jc w:val="center"/>
            </w:pPr>
            <w:r>
              <w:t>Self-employed earnings</w:t>
            </w:r>
            <w:r>
              <w:br/>
            </w:r>
            <w:r w:rsidR="00B01157">
              <w:rPr>
                <w:noProof/>
              </w:rPr>
              <w:drawing>
                <wp:inline distT="0" distB="0" distL="0" distR="0" wp14:anchorId="35F1856F" wp14:editId="0D98BFC1">
                  <wp:extent cx="2880000" cy="2880000"/>
                  <wp:effectExtent l="0" t="0" r="0" b="0"/>
                  <wp:docPr id="2" name="Chart 2" descr="Left panel depicts the distribution of self-employed earnings. More details can be found within the text immediately before this image." title="Figure B.1 Distribution of gross and self-employed household income, old and new basis in 2003-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t xml:space="preserve"> </w:t>
            </w:r>
          </w:p>
        </w:tc>
        <w:tc>
          <w:tcPr>
            <w:tcW w:w="4389" w:type="dxa"/>
          </w:tcPr>
          <w:p w:rsidR="00816A69" w:rsidRDefault="005E510B" w:rsidP="00BA210A">
            <w:pPr>
              <w:pStyle w:val="TableColumnHeading"/>
              <w:jc w:val="center"/>
            </w:pPr>
            <w:r>
              <w:t>Gross income</w:t>
            </w:r>
            <w:r w:rsidR="00B01157">
              <w:rPr>
                <w:noProof/>
              </w:rPr>
              <w:t xml:space="preserve"> </w:t>
            </w:r>
            <w:r w:rsidR="00B01157">
              <w:rPr>
                <w:noProof/>
              </w:rPr>
              <w:drawing>
                <wp:inline distT="0" distB="0" distL="0" distR="0" wp14:anchorId="38010D14" wp14:editId="1B5F9A6D">
                  <wp:extent cx="3265761" cy="2880000"/>
                  <wp:effectExtent l="0" t="0" r="0" b="0"/>
                  <wp:docPr id="1" name="Chart 1" descr="Right panel depicts the distribution of gross income. More details can be found within the text immediately before this image." title="Figure B.1 Distribution of gross and self-employed household income, old and new basis in 2003-0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Del="005E510B">
              <w:rPr>
                <w:noProof/>
              </w:rPr>
              <w:t xml:space="preserve"> </w:t>
            </w:r>
          </w:p>
        </w:tc>
      </w:tr>
    </w:tbl>
    <w:p w:rsidR="00816A69" w:rsidRDefault="00816A69" w:rsidP="00972740">
      <w:pPr>
        <w:pStyle w:val="Source"/>
        <w:spacing w:after="0"/>
      </w:pPr>
      <w:r>
        <w:rPr>
          <w:i/>
        </w:rPr>
        <w:t>Data source</w:t>
      </w:r>
      <w:r w:rsidRPr="00167F06">
        <w:t xml:space="preserve">: </w:t>
      </w:r>
      <w:r w:rsidR="00F72B7B">
        <w:t xml:space="preserve">Author estimates based on ABS (Household Expenditure Survey, cat. no. 6503.0, </w:t>
      </w:r>
      <w:proofErr w:type="spellStart"/>
      <w:r w:rsidR="00F72B7B">
        <w:t>confidentialised</w:t>
      </w:r>
      <w:proofErr w:type="spellEnd"/>
      <w:r w:rsidR="00F72B7B">
        <w:t xml:space="preserve"> unit record files).</w:t>
      </w:r>
      <w:r>
        <w:t xml:space="preserve"> </w:t>
      </w:r>
    </w:p>
    <w:p w:rsidR="001A4077" w:rsidRDefault="001A4077" w:rsidP="001A4077">
      <w:pPr>
        <w:pStyle w:val="Heading3"/>
      </w:pPr>
      <w:r>
        <w:lastRenderedPageBreak/>
        <w:t>The impact of changes in 2009-10</w:t>
      </w:r>
    </w:p>
    <w:p w:rsidR="00DC13B5" w:rsidRDefault="00DC13B5" w:rsidP="00DC13B5">
      <w:pPr>
        <w:pStyle w:val="BodyText"/>
      </w:pPr>
      <w:r>
        <w:t xml:space="preserve">In the 2009-10 </w:t>
      </w:r>
      <w:proofErr w:type="spellStart"/>
      <w:r>
        <w:t>HES</w:t>
      </w:r>
      <w:proofErr w:type="spellEnd"/>
      <w:r w:rsidR="006D0329">
        <w:t>,</w:t>
      </w:r>
      <w:r>
        <w:t xml:space="preserve"> the concept of household income was altered to </w:t>
      </w:r>
      <w:r w:rsidR="00A8478D">
        <w:t xml:space="preserve">comprise </w:t>
      </w:r>
      <w:r>
        <w:t>all current receipts, whether monetary or in kind, that are intended to support current consumption</w:t>
      </w:r>
      <w:r w:rsidR="00651C41">
        <w:t>.</w:t>
      </w:r>
      <w:r>
        <w:t xml:space="preserve"> </w:t>
      </w:r>
      <w:r w:rsidR="00651C41">
        <w:t xml:space="preserve">In </w:t>
      </w:r>
      <w:r>
        <w:t>previous</w:t>
      </w:r>
      <w:r w:rsidR="00651C41">
        <w:t xml:space="preserve"> surveys,</w:t>
      </w:r>
      <w:r>
        <w:t xml:space="preserve"> income was limited to regular cash income only. Employment income was expanded to include all payments received by individuals as a result of their current or former involvement in paid employment. These include non-cash benefits, bonuses, termination payments and payments for irregular overtime, and the inclusion of lump sum workers’ compensation receipts.</w:t>
      </w:r>
    </w:p>
    <w:p w:rsidR="00DC13B5" w:rsidRDefault="00DC13B5" w:rsidP="00DC13B5">
      <w:pPr>
        <w:pStyle w:val="BodyText"/>
      </w:pPr>
      <w:r>
        <w:t>A wider range of data on financial support received from family members resident outside the household was also included. In addition to regular payments previously collected, financial support was extended to include other forms of financial support, including goods and services received which were purchased by others</w:t>
      </w:r>
      <w:r w:rsidR="00651C41">
        <w:t xml:space="preserve"> such as</w:t>
      </w:r>
      <w:r>
        <w:t xml:space="preserve"> rent, education, food, clothing, car registration and utilities. Capital transfers, such as the purchase of property or cars, remain excluded.</w:t>
      </w:r>
    </w:p>
    <w:p w:rsidR="00DC13B5" w:rsidRDefault="00DC13B5" w:rsidP="00DC13B5">
      <w:pPr>
        <w:pStyle w:val="BodyText"/>
      </w:pPr>
      <w:r>
        <w:t>Some changes were also made to investment income; netting out of interest paid from income earned on money borrowed to purchase shares or units in trusts, and the reclassification of income earned as a silent partner in a partnership and some private trust income as investment income rather than unincorporated business income.</w:t>
      </w:r>
    </w:p>
    <w:p w:rsidR="008E1F56" w:rsidRDefault="00700C07" w:rsidP="00DC13B5">
      <w:pPr>
        <w:pStyle w:val="BodyText"/>
      </w:pPr>
      <w:r>
        <w:t>The</w:t>
      </w:r>
      <w:r w:rsidR="008E1F56">
        <w:t xml:space="preserve"> impact of these changes can been seen by examining the differences between the new income estimates compared to those obtained using the previous method. </w:t>
      </w:r>
      <w:r>
        <w:t>While</w:t>
      </w:r>
      <w:r w:rsidR="008E1F56">
        <w:t xml:space="preserve"> the 2009-10 </w:t>
      </w:r>
      <w:proofErr w:type="spellStart"/>
      <w:r w:rsidR="008E1F56">
        <w:t>HES</w:t>
      </w:r>
      <w:proofErr w:type="spellEnd"/>
      <w:r w:rsidR="008E1F56">
        <w:t xml:space="preserve"> does not have comparable estimates on a pre-2003-04</w:t>
      </w:r>
      <w:r w:rsidR="007C3E7A">
        <w:t xml:space="preserve"> nor a 2003-04</w:t>
      </w:r>
      <w:r w:rsidR="008E1F56">
        <w:t xml:space="preserve"> basis, differences between the 200</w:t>
      </w:r>
      <w:r w:rsidR="00846507">
        <w:t>5</w:t>
      </w:r>
      <w:r w:rsidR="008E1F56">
        <w:t>-0</w:t>
      </w:r>
      <w:r w:rsidR="00846507">
        <w:t>6</w:t>
      </w:r>
      <w:r w:rsidR="008E1F56">
        <w:t xml:space="preserve"> and 2009-10 methods can be explored</w:t>
      </w:r>
      <w:r w:rsidR="007C3E7A">
        <w:t xml:space="preserve">, although there is a small difference in the measurement of wages and salaries between the 2003-04 </w:t>
      </w:r>
      <w:proofErr w:type="spellStart"/>
      <w:r w:rsidR="007C3E7A">
        <w:t>HES</w:t>
      </w:r>
      <w:proofErr w:type="spellEnd"/>
      <w:r w:rsidR="007C3E7A">
        <w:t>/</w:t>
      </w:r>
      <w:proofErr w:type="spellStart"/>
      <w:r w:rsidR="007C3E7A">
        <w:t>SIH</w:t>
      </w:r>
      <w:proofErr w:type="spellEnd"/>
      <w:r w:rsidR="007C3E7A">
        <w:t xml:space="preserve"> and the 2005-06 </w:t>
      </w:r>
      <w:proofErr w:type="spellStart"/>
      <w:r w:rsidR="007C3E7A">
        <w:t>SIH</w:t>
      </w:r>
      <w:proofErr w:type="spellEnd"/>
      <w:r w:rsidR="007D6EBB">
        <w:t>.</w:t>
      </w:r>
      <w:r w:rsidR="002542A5">
        <w:rPr>
          <w:rStyle w:val="FootnoteReference"/>
        </w:rPr>
        <w:footnoteReference w:id="2"/>
      </w:r>
      <w:r w:rsidR="00D25019">
        <w:t xml:space="preserve"> </w:t>
      </w:r>
      <w:r w:rsidR="008E1F56">
        <w:t xml:space="preserve">Summary statistics for gross household income (table </w:t>
      </w:r>
      <w:proofErr w:type="spellStart"/>
      <w:r w:rsidR="00A459E3">
        <w:t>B.2</w:t>
      </w:r>
      <w:proofErr w:type="spellEnd"/>
      <w:r w:rsidR="008E1F56">
        <w:t xml:space="preserve">) indicate </w:t>
      </w:r>
      <w:r w:rsidR="00846507">
        <w:t xml:space="preserve">that the changes made in the 2009-10 </w:t>
      </w:r>
      <w:proofErr w:type="spellStart"/>
      <w:r w:rsidR="00846507">
        <w:t>HES</w:t>
      </w:r>
      <w:proofErr w:type="spellEnd"/>
      <w:r w:rsidR="00846507">
        <w:t xml:space="preserve"> have slightly increased income on average, raising both the mean and median incomes</w:t>
      </w:r>
      <w:r w:rsidR="008E1F56">
        <w:t xml:space="preserve"> </w:t>
      </w:r>
      <w:r w:rsidR="00F24B68">
        <w:t>by less than five per cent, and</w:t>
      </w:r>
      <w:r w:rsidR="00846507">
        <w:t xml:space="preserve"> also increasing the standard deviation and </w:t>
      </w:r>
      <w:proofErr w:type="spellStart"/>
      <w:r w:rsidR="00846507">
        <w:t>Gini</w:t>
      </w:r>
      <w:proofErr w:type="spellEnd"/>
      <w:r w:rsidR="00846507">
        <w:t xml:space="preserve"> coefficient a little.</w:t>
      </w:r>
    </w:p>
    <w:p w:rsidR="008E1F56" w:rsidRDefault="008E1F56">
      <w:pPr>
        <w:pStyle w:val="TableTitle"/>
      </w:pPr>
      <w:r>
        <w:rPr>
          <w:b w:val="0"/>
        </w:rPr>
        <w:lastRenderedPageBreak/>
        <w:t xml:space="preserve">Table </w:t>
      </w:r>
      <w:bookmarkStart w:id="8" w:name="OLE_LINK5"/>
      <w:proofErr w:type="spellStart"/>
      <w:r w:rsidR="00A459E3">
        <w:rPr>
          <w:b w:val="0"/>
        </w:rPr>
        <w:t>B.</w:t>
      </w:r>
      <w:r w:rsidR="00A459E3">
        <w:rPr>
          <w:b w:val="0"/>
          <w:noProof/>
        </w:rPr>
        <w:t>2</w:t>
      </w:r>
      <w:bookmarkEnd w:id="8"/>
      <w:proofErr w:type="spellEnd"/>
      <w:r>
        <w:tab/>
        <w:t>Impact of survey changes on gross and self-e</w:t>
      </w:r>
      <w:r w:rsidR="004E0523">
        <w:t>mployed household income in 2009-10</w:t>
      </w:r>
    </w:p>
    <w:p w:rsidR="008E1F56" w:rsidRDefault="008E1F56">
      <w:pPr>
        <w:pStyle w:val="Subtitle"/>
      </w:pPr>
      <w:r>
        <w:t>2009-10 dollars</w:t>
      </w:r>
    </w:p>
    <w:tbl>
      <w:tblPr>
        <w:tblW w:w="5000" w:type="pct"/>
        <w:tblCellMar>
          <w:left w:w="0" w:type="dxa"/>
          <w:right w:w="0" w:type="dxa"/>
        </w:tblCellMar>
        <w:tblLook w:val="0000" w:firstRow="0" w:lastRow="0" w:firstColumn="0" w:lastColumn="0" w:noHBand="0" w:noVBand="0"/>
      </w:tblPr>
      <w:tblGrid>
        <w:gridCol w:w="2866"/>
        <w:gridCol w:w="2957"/>
        <w:gridCol w:w="2957"/>
        <w:gridCol w:w="9"/>
      </w:tblGrid>
      <w:tr w:rsidR="006B4E74" w:rsidTr="006B4E74">
        <w:tc>
          <w:tcPr>
            <w:tcW w:w="1631" w:type="pct"/>
            <w:tcBorders>
              <w:top w:val="single" w:sz="4" w:space="0" w:color="auto"/>
            </w:tcBorders>
            <w:shd w:val="clear" w:color="auto" w:fill="auto"/>
          </w:tcPr>
          <w:p w:rsidR="006B4E74" w:rsidRDefault="006B4E74" w:rsidP="002C13AF">
            <w:pPr>
              <w:pStyle w:val="TableColumnHeading"/>
              <w:jc w:val="left"/>
            </w:pPr>
          </w:p>
        </w:tc>
        <w:tc>
          <w:tcPr>
            <w:tcW w:w="3364" w:type="pct"/>
            <w:gridSpan w:val="2"/>
            <w:tcBorders>
              <w:top w:val="single" w:sz="6" w:space="0" w:color="auto"/>
              <w:bottom w:val="single" w:sz="6" w:space="0" w:color="auto"/>
            </w:tcBorders>
            <w:shd w:val="clear" w:color="auto" w:fill="auto"/>
            <w:vAlign w:val="center"/>
          </w:tcPr>
          <w:p w:rsidR="006B4E74" w:rsidRDefault="006B4E74" w:rsidP="006B4E74">
            <w:pPr>
              <w:pStyle w:val="TableColumnHeading"/>
              <w:jc w:val="center"/>
            </w:pPr>
            <w:r>
              <w:t>Gross household income</w:t>
            </w:r>
          </w:p>
        </w:tc>
        <w:tc>
          <w:tcPr>
            <w:tcW w:w="5" w:type="pct"/>
            <w:tcBorders>
              <w:top w:val="single" w:sz="4" w:space="0" w:color="auto"/>
            </w:tcBorders>
            <w:shd w:val="clear" w:color="auto" w:fill="auto"/>
          </w:tcPr>
          <w:p w:rsidR="006B4E74" w:rsidRDefault="006B4E74" w:rsidP="002C13AF">
            <w:pPr>
              <w:pStyle w:val="TableColumnHeading"/>
            </w:pPr>
          </w:p>
        </w:tc>
      </w:tr>
      <w:tr w:rsidR="006B4E74" w:rsidTr="006B4E74">
        <w:tc>
          <w:tcPr>
            <w:tcW w:w="1631" w:type="pct"/>
            <w:tcBorders>
              <w:bottom w:val="single" w:sz="6" w:space="0" w:color="auto"/>
            </w:tcBorders>
            <w:shd w:val="clear" w:color="auto" w:fill="auto"/>
          </w:tcPr>
          <w:p w:rsidR="006B4E74" w:rsidRDefault="006B4E74" w:rsidP="002C13AF">
            <w:pPr>
              <w:pStyle w:val="TableColumnHeading"/>
              <w:jc w:val="left"/>
            </w:pPr>
            <w:r>
              <w:t>Summary statistic</w:t>
            </w:r>
          </w:p>
        </w:tc>
        <w:tc>
          <w:tcPr>
            <w:tcW w:w="1682" w:type="pct"/>
            <w:tcBorders>
              <w:top w:val="single" w:sz="6" w:space="0" w:color="auto"/>
              <w:bottom w:val="single" w:sz="6" w:space="0" w:color="auto"/>
            </w:tcBorders>
            <w:shd w:val="clear" w:color="auto" w:fill="auto"/>
          </w:tcPr>
          <w:p w:rsidR="006B4E74" w:rsidRDefault="006B4E74" w:rsidP="002C13AF">
            <w:pPr>
              <w:pStyle w:val="TableColumnHeading"/>
            </w:pPr>
            <w:r>
              <w:t xml:space="preserve">2005-06 </w:t>
            </w:r>
            <w:proofErr w:type="spellStart"/>
            <w:r>
              <w:t>HES</w:t>
            </w:r>
            <w:proofErr w:type="spellEnd"/>
            <w:r>
              <w:t xml:space="preserve"> basis</w:t>
            </w:r>
          </w:p>
        </w:tc>
        <w:tc>
          <w:tcPr>
            <w:tcW w:w="1682" w:type="pct"/>
            <w:tcBorders>
              <w:top w:val="single" w:sz="6" w:space="0" w:color="auto"/>
              <w:bottom w:val="single" w:sz="6" w:space="0" w:color="auto"/>
            </w:tcBorders>
            <w:shd w:val="clear" w:color="auto" w:fill="auto"/>
          </w:tcPr>
          <w:p w:rsidR="006B4E74" w:rsidRDefault="006B4E74" w:rsidP="002C13AF">
            <w:pPr>
              <w:pStyle w:val="TableColumnHeading"/>
            </w:pPr>
            <w:r>
              <w:t xml:space="preserve">2009-10 </w:t>
            </w:r>
            <w:proofErr w:type="spellStart"/>
            <w:r>
              <w:t>HES</w:t>
            </w:r>
            <w:proofErr w:type="spellEnd"/>
            <w:r>
              <w:t xml:space="preserve"> basis</w:t>
            </w:r>
          </w:p>
        </w:tc>
        <w:tc>
          <w:tcPr>
            <w:tcW w:w="5" w:type="pct"/>
            <w:tcBorders>
              <w:bottom w:val="single" w:sz="6" w:space="0" w:color="auto"/>
            </w:tcBorders>
            <w:shd w:val="clear" w:color="auto" w:fill="auto"/>
          </w:tcPr>
          <w:p w:rsidR="006B4E74" w:rsidRDefault="006B4E74" w:rsidP="002C13AF">
            <w:pPr>
              <w:pStyle w:val="TableColumnHeading"/>
            </w:pPr>
          </w:p>
        </w:tc>
      </w:tr>
      <w:tr w:rsidR="006B4E74" w:rsidTr="006B4E74">
        <w:trPr>
          <w:gridAfter w:val="1"/>
          <w:wAfter w:w="5" w:type="pct"/>
        </w:trPr>
        <w:tc>
          <w:tcPr>
            <w:tcW w:w="1631" w:type="pct"/>
          </w:tcPr>
          <w:p w:rsidR="006B4E74" w:rsidRDefault="006B4E74" w:rsidP="002C13AF">
            <w:pPr>
              <w:pStyle w:val="TableBodyText"/>
              <w:jc w:val="left"/>
            </w:pPr>
            <w:r>
              <w:t>Mean</w:t>
            </w:r>
          </w:p>
        </w:tc>
        <w:tc>
          <w:tcPr>
            <w:tcW w:w="1682" w:type="pct"/>
          </w:tcPr>
          <w:p w:rsidR="006B4E74" w:rsidRDefault="006B4E74" w:rsidP="002C13AF">
            <w:pPr>
              <w:pStyle w:val="TableBodyText"/>
            </w:pPr>
            <w:r>
              <w:t>1</w:t>
            </w:r>
            <w:r w:rsidR="007D6EBB">
              <w:t> </w:t>
            </w:r>
            <w:r>
              <w:t>619</w:t>
            </w:r>
          </w:p>
        </w:tc>
        <w:tc>
          <w:tcPr>
            <w:tcW w:w="1682" w:type="pct"/>
          </w:tcPr>
          <w:p w:rsidR="006B4E74" w:rsidRDefault="006B4E74" w:rsidP="002C13AF">
            <w:pPr>
              <w:pStyle w:val="TableBodyText"/>
            </w:pPr>
            <w:r>
              <w:t>1</w:t>
            </w:r>
            <w:r w:rsidR="007D6EBB">
              <w:t> </w:t>
            </w:r>
            <w:r>
              <w:t>684</w:t>
            </w:r>
          </w:p>
        </w:tc>
      </w:tr>
      <w:tr w:rsidR="006B4E74" w:rsidTr="006B4E74">
        <w:trPr>
          <w:gridAfter w:val="1"/>
          <w:wAfter w:w="5" w:type="pct"/>
        </w:trPr>
        <w:tc>
          <w:tcPr>
            <w:tcW w:w="1631" w:type="pct"/>
            <w:shd w:val="clear" w:color="auto" w:fill="auto"/>
          </w:tcPr>
          <w:p w:rsidR="006B4E74" w:rsidRDefault="006B4E74" w:rsidP="002C13AF">
            <w:pPr>
              <w:pStyle w:val="TableBodyText"/>
              <w:jc w:val="left"/>
            </w:pPr>
            <w:r>
              <w:t>Median</w:t>
            </w:r>
          </w:p>
        </w:tc>
        <w:tc>
          <w:tcPr>
            <w:tcW w:w="1682" w:type="pct"/>
            <w:shd w:val="clear" w:color="auto" w:fill="auto"/>
          </w:tcPr>
          <w:p w:rsidR="006B4E74" w:rsidRDefault="006B4E74" w:rsidP="002C13AF">
            <w:pPr>
              <w:pStyle w:val="TableBodyText"/>
            </w:pPr>
            <w:r>
              <w:t>1</w:t>
            </w:r>
            <w:r w:rsidR="007D6EBB">
              <w:t> </w:t>
            </w:r>
            <w:r>
              <w:t>287</w:t>
            </w:r>
          </w:p>
        </w:tc>
        <w:tc>
          <w:tcPr>
            <w:tcW w:w="1682" w:type="pct"/>
            <w:shd w:val="clear" w:color="auto" w:fill="auto"/>
          </w:tcPr>
          <w:p w:rsidR="006B4E74" w:rsidRDefault="006B4E74" w:rsidP="002C13AF">
            <w:pPr>
              <w:pStyle w:val="TableBodyText"/>
            </w:pPr>
            <w:r>
              <w:t>1</w:t>
            </w:r>
            <w:r w:rsidR="007D6EBB">
              <w:t> </w:t>
            </w:r>
            <w:r>
              <w:t>316</w:t>
            </w:r>
          </w:p>
        </w:tc>
      </w:tr>
      <w:tr w:rsidR="006B4E74" w:rsidTr="006B4E74">
        <w:trPr>
          <w:gridAfter w:val="1"/>
          <w:wAfter w:w="5" w:type="pct"/>
        </w:trPr>
        <w:tc>
          <w:tcPr>
            <w:tcW w:w="1631" w:type="pct"/>
            <w:shd w:val="clear" w:color="auto" w:fill="auto"/>
          </w:tcPr>
          <w:p w:rsidR="006B4E74" w:rsidRDefault="006B4E74" w:rsidP="002C13AF">
            <w:pPr>
              <w:pStyle w:val="TableBodyText"/>
              <w:jc w:val="left"/>
            </w:pPr>
            <w:r>
              <w:t>Standard deviation</w:t>
            </w:r>
          </w:p>
        </w:tc>
        <w:tc>
          <w:tcPr>
            <w:tcW w:w="1682" w:type="pct"/>
            <w:shd w:val="clear" w:color="auto" w:fill="auto"/>
          </w:tcPr>
          <w:p w:rsidR="006B4E74" w:rsidRDefault="006B4E74" w:rsidP="002C13AF">
            <w:pPr>
              <w:pStyle w:val="TableBodyText"/>
            </w:pPr>
            <w:r>
              <w:t>1</w:t>
            </w:r>
            <w:r w:rsidR="007D6EBB">
              <w:t> </w:t>
            </w:r>
            <w:r>
              <w:t>607</w:t>
            </w:r>
          </w:p>
        </w:tc>
        <w:tc>
          <w:tcPr>
            <w:tcW w:w="1682" w:type="pct"/>
            <w:shd w:val="clear" w:color="auto" w:fill="auto"/>
          </w:tcPr>
          <w:p w:rsidR="006B4E74" w:rsidRDefault="006B4E74" w:rsidP="002C13AF">
            <w:pPr>
              <w:pStyle w:val="TableBodyText"/>
            </w:pPr>
            <w:r>
              <w:t>1</w:t>
            </w:r>
            <w:r w:rsidR="007D6EBB">
              <w:t> </w:t>
            </w:r>
            <w:r>
              <w:t>689</w:t>
            </w:r>
          </w:p>
        </w:tc>
      </w:tr>
      <w:tr w:rsidR="006B4E74" w:rsidTr="006B4E74">
        <w:trPr>
          <w:gridAfter w:val="1"/>
          <w:wAfter w:w="5" w:type="pct"/>
        </w:trPr>
        <w:tc>
          <w:tcPr>
            <w:tcW w:w="1631" w:type="pct"/>
            <w:tcBorders>
              <w:bottom w:val="single" w:sz="6" w:space="0" w:color="auto"/>
            </w:tcBorders>
            <w:shd w:val="clear" w:color="auto" w:fill="auto"/>
          </w:tcPr>
          <w:p w:rsidR="006B4E74" w:rsidRDefault="006B4E74" w:rsidP="002C13AF">
            <w:pPr>
              <w:pStyle w:val="TableBodyText"/>
              <w:jc w:val="left"/>
            </w:pPr>
            <w:proofErr w:type="spellStart"/>
            <w:r>
              <w:t>Gini</w:t>
            </w:r>
            <w:proofErr w:type="spellEnd"/>
            <w:r>
              <w:t xml:space="preserve"> coefficient</w:t>
            </w:r>
          </w:p>
        </w:tc>
        <w:tc>
          <w:tcPr>
            <w:tcW w:w="1682" w:type="pct"/>
            <w:tcBorders>
              <w:bottom w:val="single" w:sz="6" w:space="0" w:color="auto"/>
            </w:tcBorders>
            <w:shd w:val="clear" w:color="auto" w:fill="auto"/>
          </w:tcPr>
          <w:p w:rsidR="006B4E74" w:rsidRDefault="006B4E74" w:rsidP="002C13AF">
            <w:pPr>
              <w:pStyle w:val="TableBodyText"/>
            </w:pPr>
            <w:r>
              <w:t>0.42</w:t>
            </w:r>
          </w:p>
        </w:tc>
        <w:tc>
          <w:tcPr>
            <w:tcW w:w="1682" w:type="pct"/>
            <w:tcBorders>
              <w:bottom w:val="single" w:sz="6" w:space="0" w:color="auto"/>
            </w:tcBorders>
            <w:shd w:val="clear" w:color="auto" w:fill="auto"/>
          </w:tcPr>
          <w:p w:rsidR="006B4E74" w:rsidRDefault="006B4E74" w:rsidP="002C13AF">
            <w:pPr>
              <w:pStyle w:val="TableBodyText"/>
            </w:pPr>
            <w:r>
              <w:t>0.43</w:t>
            </w:r>
          </w:p>
        </w:tc>
      </w:tr>
    </w:tbl>
    <w:p w:rsidR="002C13AF" w:rsidRDefault="002C13AF" w:rsidP="002C13AF">
      <w:pPr>
        <w:pStyle w:val="Note"/>
      </w:pPr>
      <w:r w:rsidRPr="001A4077">
        <w:rPr>
          <w:rStyle w:val="NoteLabel"/>
        </w:rPr>
        <w:t>a</w:t>
      </w:r>
      <w:r>
        <w:t xml:space="preserve"> Self-employed is defined as those with </w:t>
      </w:r>
      <w:r w:rsidRPr="005755D3">
        <w:t>non-zero earnings from own unincorporated businesses.</w:t>
      </w:r>
    </w:p>
    <w:p w:rsidR="002C13AF" w:rsidRPr="001A4077" w:rsidRDefault="002C13AF" w:rsidP="002C13AF">
      <w:pPr>
        <w:pStyle w:val="Source"/>
      </w:pPr>
      <w:r>
        <w:rPr>
          <w:i/>
        </w:rPr>
        <w:t>Source</w:t>
      </w:r>
      <w:r>
        <w:t xml:space="preserve">: </w:t>
      </w:r>
      <w:r w:rsidR="00F72B7B">
        <w:t xml:space="preserve">Author estimates based on ABS (Household Expenditure Survey, cat. no. 6503.0, </w:t>
      </w:r>
      <w:proofErr w:type="spellStart"/>
      <w:r w:rsidR="00F72B7B">
        <w:t>confidentialised</w:t>
      </w:r>
      <w:proofErr w:type="spellEnd"/>
      <w:r w:rsidR="00F72B7B">
        <w:t xml:space="preserve"> unit record files).</w:t>
      </w:r>
    </w:p>
    <w:p w:rsidR="00CC6406" w:rsidRDefault="008E1F56" w:rsidP="00DC13B5">
      <w:pPr>
        <w:pStyle w:val="BodyText"/>
      </w:pPr>
      <w:r>
        <w:t xml:space="preserve">The </w:t>
      </w:r>
      <w:r w:rsidR="00846507">
        <w:t xml:space="preserve">difference between the 2005-06 definitions and 2009-10 appear to be negligible for </w:t>
      </w:r>
      <w:r w:rsidR="00F810EC">
        <w:t>lower income earners (those earning less than $1000 per week)</w:t>
      </w:r>
      <w:r w:rsidR="00C05208">
        <w:t xml:space="preserve"> (figure </w:t>
      </w:r>
      <w:proofErr w:type="spellStart"/>
      <w:r w:rsidR="00A459E3">
        <w:t>B.2</w:t>
      </w:r>
      <w:proofErr w:type="spellEnd"/>
      <w:r w:rsidR="00C05208">
        <w:t>)</w:t>
      </w:r>
      <w:r w:rsidR="00FF54F6">
        <w:t>.</w:t>
      </w:r>
      <w:r w:rsidR="008C1A35">
        <w:t xml:space="preserve"> </w:t>
      </w:r>
      <w:r w:rsidR="00FF54F6">
        <w:t>T</w:t>
      </w:r>
      <w:r w:rsidR="00CC6406">
        <w:t xml:space="preserve">he 2009-10 changes create </w:t>
      </w:r>
      <w:r w:rsidR="00FF54F6">
        <w:t>some change</w:t>
      </w:r>
      <w:r w:rsidR="00CC6406">
        <w:t xml:space="preserve"> in the distribution for higher earners</w:t>
      </w:r>
      <w:r w:rsidR="00C05208">
        <w:t>.</w:t>
      </w:r>
    </w:p>
    <w:p w:rsidR="008E1F56" w:rsidRDefault="008E1F56">
      <w:pPr>
        <w:pStyle w:val="FigureTitle"/>
      </w:pPr>
      <w:r>
        <w:rPr>
          <w:b w:val="0"/>
        </w:rPr>
        <w:t xml:space="preserve">Figure </w:t>
      </w:r>
      <w:bookmarkStart w:id="9" w:name="OLE_LINK6"/>
      <w:proofErr w:type="spellStart"/>
      <w:r w:rsidR="00A459E3">
        <w:rPr>
          <w:b w:val="0"/>
        </w:rPr>
        <w:t>B.</w:t>
      </w:r>
      <w:r w:rsidR="00A459E3">
        <w:rPr>
          <w:b w:val="0"/>
          <w:noProof/>
        </w:rPr>
        <w:t>2</w:t>
      </w:r>
      <w:bookmarkEnd w:id="9"/>
      <w:proofErr w:type="spellEnd"/>
      <w:r>
        <w:tab/>
        <w:t>Distribution of gross household income, old and new basis in 2009-10</w:t>
      </w:r>
    </w:p>
    <w:p w:rsidR="008E1F56" w:rsidRDefault="008E1F56">
      <w:pPr>
        <w:pStyle w:val="Subtitle"/>
      </w:pPr>
      <w:r>
        <w:t>Proportion of households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E1F56" w:rsidTr="00B01157">
        <w:tc>
          <w:tcPr>
            <w:tcW w:w="8777" w:type="dxa"/>
          </w:tcPr>
          <w:p w:rsidR="008E1F56" w:rsidRDefault="00B01157">
            <w:pPr>
              <w:pStyle w:val="Figure"/>
            </w:pPr>
            <w:r>
              <w:rPr>
                <w:noProof/>
              </w:rPr>
              <w:drawing>
                <wp:inline distT="0" distB="0" distL="0" distR="0" wp14:anchorId="3DB3F920" wp14:editId="3C691CF0">
                  <wp:extent cx="4580626" cy="3157268"/>
                  <wp:effectExtent l="0" t="0" r="0" b="5080"/>
                  <wp:docPr id="6" name="Chart 6" descr="Depicts the distribution of self-employed earnings. More details can be found within the text immediately before this image." title="Figure B.2 Distribution of gross household income, old and new basis in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8E1F56" w:rsidRDefault="008E1F56">
      <w:pPr>
        <w:pStyle w:val="Source"/>
      </w:pPr>
      <w:r>
        <w:rPr>
          <w:i/>
        </w:rPr>
        <w:t>Data source</w:t>
      </w:r>
      <w:r w:rsidRPr="00167F06">
        <w:t xml:space="preserve">: </w:t>
      </w:r>
      <w:r w:rsidR="00F72B7B">
        <w:t xml:space="preserve">Author estimates based on ABS (Household Expenditure Survey, cat. no. 6503.0, </w:t>
      </w:r>
      <w:proofErr w:type="spellStart"/>
      <w:r w:rsidR="00F72B7B">
        <w:t>confidentialised</w:t>
      </w:r>
      <w:proofErr w:type="spellEnd"/>
      <w:r w:rsidR="00F72B7B">
        <w:t xml:space="preserve"> unit record files).</w:t>
      </w:r>
      <w:r>
        <w:t xml:space="preserve"> </w:t>
      </w:r>
    </w:p>
    <w:p w:rsidR="00DC13B5" w:rsidRDefault="00A459E3" w:rsidP="008E1F56">
      <w:pPr>
        <w:pStyle w:val="Heading2"/>
      </w:pPr>
      <w:proofErr w:type="spellStart"/>
      <w:r>
        <w:lastRenderedPageBreak/>
        <w:t>B.</w:t>
      </w:r>
      <w:r>
        <w:rPr>
          <w:noProof/>
        </w:rPr>
        <w:t>2</w:t>
      </w:r>
      <w:proofErr w:type="spellEnd"/>
      <w:r w:rsidR="008E1F56">
        <w:tab/>
      </w:r>
      <w:r w:rsidR="00DC13B5">
        <w:t>Differences between data sources</w:t>
      </w:r>
    </w:p>
    <w:p w:rsidR="00DC13B5" w:rsidRDefault="00DC13B5" w:rsidP="00DC13B5">
      <w:pPr>
        <w:pStyle w:val="BodyText"/>
      </w:pPr>
      <w:r>
        <w:t xml:space="preserve">Differences in survey methodology and definitions of income result in inconsistencies not only within the </w:t>
      </w:r>
      <w:proofErr w:type="spellStart"/>
      <w:r>
        <w:t>HES</w:t>
      </w:r>
      <w:proofErr w:type="spellEnd"/>
      <w:r>
        <w:t xml:space="preserve"> series over time but also when comparing measures of income distribution across different data series.</w:t>
      </w:r>
    </w:p>
    <w:p w:rsidR="00AC32CC" w:rsidRDefault="00E3560A" w:rsidP="00DC13B5">
      <w:pPr>
        <w:pStyle w:val="BodyText"/>
      </w:pPr>
      <w:r>
        <w:t>As noted i</w:t>
      </w:r>
      <w:r w:rsidR="00AC32CC">
        <w:t xml:space="preserve">n this paper, information on income was obtained from </w:t>
      </w:r>
      <w:r>
        <w:t xml:space="preserve">the </w:t>
      </w:r>
      <w:r w:rsidR="00AC32CC">
        <w:t xml:space="preserve">ABS </w:t>
      </w:r>
      <w:proofErr w:type="spellStart"/>
      <w:r>
        <w:t>HES</w:t>
      </w:r>
      <w:proofErr w:type="spellEnd"/>
      <w:r>
        <w:t xml:space="preserve"> </w:t>
      </w:r>
      <w:r w:rsidR="00AC32CC">
        <w:t xml:space="preserve">surveys, however, other sources of income information exist. The HILDA survey, for example, has been used by other researchers to explore trends in the distribution of income in Australia over time. </w:t>
      </w:r>
      <w:r w:rsidR="00AC7D22">
        <w:t xml:space="preserve">Estimates </w:t>
      </w:r>
      <w:r>
        <w:t>using the HILDA</w:t>
      </w:r>
      <w:r w:rsidR="00AC7D22">
        <w:t xml:space="preserve"> survey</w:t>
      </w:r>
      <w:r>
        <w:t xml:space="preserve"> data are likely to</w:t>
      </w:r>
      <w:r w:rsidR="00AC7D22">
        <w:t xml:space="preserve"> differ from those obtained using ABS data</w:t>
      </w:r>
      <w:r>
        <w:t xml:space="preserve"> due to differences in survey design</w:t>
      </w:r>
      <w:r w:rsidR="00AC7D22">
        <w:t xml:space="preserve">. Further, some researchers have found inconsistencies in observed trends amongst data collected by the ABS depending on whether it is reported on an annual or weekly basis. These differences are </w:t>
      </w:r>
      <w:r>
        <w:t>outlined below</w:t>
      </w:r>
      <w:r w:rsidR="00AC7D22">
        <w:t xml:space="preserve">. </w:t>
      </w:r>
    </w:p>
    <w:p w:rsidR="00AC7D22" w:rsidRDefault="00AC7D22" w:rsidP="002242DF">
      <w:pPr>
        <w:pStyle w:val="Heading3"/>
        <w:spacing w:before="480"/>
      </w:pPr>
      <w:r>
        <w:t>Weekly, annual and HILDA based estimates of inequality</w:t>
      </w:r>
    </w:p>
    <w:p w:rsidR="00DC13B5" w:rsidRDefault="00DC13B5" w:rsidP="00DC13B5">
      <w:pPr>
        <w:pStyle w:val="BodyText"/>
      </w:pPr>
      <w:r>
        <w:t xml:space="preserve">In the </w:t>
      </w:r>
      <w:proofErr w:type="spellStart"/>
      <w:r>
        <w:t>SIH</w:t>
      </w:r>
      <w:proofErr w:type="spellEnd"/>
      <w:r>
        <w:t xml:space="preserve"> </w:t>
      </w:r>
      <w:r w:rsidR="00BC59FE">
        <w:t xml:space="preserve">(and </w:t>
      </w:r>
      <w:proofErr w:type="spellStart"/>
      <w:r w:rsidR="00BC59FE">
        <w:t>HES</w:t>
      </w:r>
      <w:proofErr w:type="spellEnd"/>
      <w:r w:rsidR="00BC59FE">
        <w:t xml:space="preserve">) </w:t>
      </w:r>
      <w:r>
        <w:t>income is measured in two ways</w:t>
      </w:r>
      <w:r w:rsidR="00112757">
        <w:t xml:space="preserve"> —</w:t>
      </w:r>
      <w:r>
        <w:t xml:space="preserve"> weekly income is calculated from reported current income </w:t>
      </w:r>
      <w:r w:rsidR="00112757">
        <w:t>(</w:t>
      </w:r>
      <w:r>
        <w:t>that is the income received at the time the data was collected</w:t>
      </w:r>
      <w:r w:rsidR="00112757">
        <w:t>)</w:t>
      </w:r>
      <w:r>
        <w:t xml:space="preserve"> and annual income </w:t>
      </w:r>
      <w:r w:rsidR="00112757">
        <w:t>(</w:t>
      </w:r>
      <w:r>
        <w:t>calculated from previous financial year data</w:t>
      </w:r>
      <w:r w:rsidR="00112757">
        <w:t>)</w:t>
      </w:r>
      <w:r>
        <w:t xml:space="preserve">. </w:t>
      </w:r>
      <w:r w:rsidR="00112757">
        <w:t>I</w:t>
      </w:r>
      <w:r w:rsidR="00BC59FE">
        <w:t xml:space="preserve">n the </w:t>
      </w:r>
      <w:proofErr w:type="spellStart"/>
      <w:r w:rsidR="00BC59FE">
        <w:t>SIH</w:t>
      </w:r>
      <w:proofErr w:type="spellEnd"/>
      <w:r w:rsidR="00112757">
        <w:t>,</w:t>
      </w:r>
      <w:r>
        <w:t xml:space="preserve"> the two series show different changes in</w:t>
      </w:r>
      <w:r w:rsidR="00112757">
        <w:t xml:space="preserve"> income</w:t>
      </w:r>
      <w:r>
        <w:t xml:space="preserve"> inequality between 2002-03 and </w:t>
      </w:r>
      <w:r w:rsidR="00BC59FE">
        <w:t>2005</w:t>
      </w:r>
      <w:r>
        <w:t>-</w:t>
      </w:r>
      <w:r w:rsidR="00BC59FE">
        <w:t>06. Overall</w:t>
      </w:r>
      <w:r w:rsidR="00112757">
        <w:t>,</w:t>
      </w:r>
      <w:r>
        <w:t xml:space="preserve"> the weekly series </w:t>
      </w:r>
      <w:r w:rsidR="00BC59FE">
        <w:t xml:space="preserve">suggests </w:t>
      </w:r>
      <w:r>
        <w:t>very little overall change in</w:t>
      </w:r>
      <w:r w:rsidR="00112757">
        <w:t xml:space="preserve"> household </w:t>
      </w:r>
      <w:proofErr w:type="spellStart"/>
      <w:r w:rsidR="00112757">
        <w:t>equivalised</w:t>
      </w:r>
      <w:proofErr w:type="spellEnd"/>
      <w:r w:rsidR="00112757">
        <w:t xml:space="preserve"> income</w:t>
      </w:r>
      <w:r>
        <w:t xml:space="preserve"> inequality whereas the annual series </w:t>
      </w:r>
      <w:r w:rsidR="00BC59FE">
        <w:t xml:space="preserve">suggests </w:t>
      </w:r>
      <w:r>
        <w:t>a large increase in</w:t>
      </w:r>
      <w:r w:rsidR="00112757">
        <w:t xml:space="preserve"> income</w:t>
      </w:r>
      <w:r>
        <w:t xml:space="preserve"> inequality (figure</w:t>
      </w:r>
      <w:r w:rsidR="00651C41">
        <w:t> </w:t>
      </w:r>
      <w:proofErr w:type="spellStart"/>
      <w:r w:rsidR="00A459E3">
        <w:t>B.3</w:t>
      </w:r>
      <w:proofErr w:type="spellEnd"/>
      <w:r>
        <w:t>).</w:t>
      </w:r>
      <w:r w:rsidR="00AC7D22">
        <w:rPr>
          <w:rStyle w:val="FootnoteReference"/>
        </w:rPr>
        <w:footnoteReference w:id="3"/>
      </w:r>
    </w:p>
    <w:p w:rsidR="00B00FFE" w:rsidRPr="00B00FFE" w:rsidRDefault="00B00FFE" w:rsidP="00A35BD5">
      <w:pPr>
        <w:pStyle w:val="BodyText"/>
      </w:pPr>
      <w:r w:rsidRPr="00B00FFE">
        <w:t xml:space="preserve">When income data from the HILDA survey is included in the comparison, the general trend in estimated income inequality appears consistent with results from the weekly </w:t>
      </w:r>
      <w:proofErr w:type="spellStart"/>
      <w:r w:rsidRPr="00B00FFE">
        <w:t>SIH</w:t>
      </w:r>
      <w:proofErr w:type="spellEnd"/>
      <w:r w:rsidRPr="00B00FFE">
        <w:t xml:space="preserve"> data series, although with less variation from year to year. The HILDA survey methodology has remained consistent over time avoiding the sampling problems with ABS data discussed above. However, HILDA is a longitudinal study, surveying the same households every year, which exposes it to different biases in regard to assessing changes in the distribution of income relative to the </w:t>
      </w:r>
      <w:proofErr w:type="spellStart"/>
      <w:r w:rsidRPr="00B00FFE">
        <w:t>SIH</w:t>
      </w:r>
      <w:proofErr w:type="spellEnd"/>
      <w:r w:rsidRPr="00B00FFE">
        <w:t xml:space="preserve"> and </w:t>
      </w:r>
      <w:proofErr w:type="spellStart"/>
      <w:r w:rsidRPr="00B00FFE">
        <w:t>HES</w:t>
      </w:r>
      <w:proofErr w:type="spellEnd"/>
      <w:r w:rsidRPr="00B00FFE">
        <w:t>. HILDA may not take into account some demographic changes in the population which could change the structure of the labour market and ultimately the overall distribution of household earnings. For example, immigrants entering Australia over the survey period could not enter the sa</w:t>
      </w:r>
      <w:r w:rsidR="00B150BF">
        <w:t>mple between years 2001 and 2010 (unless they joined a household with original sample members)</w:t>
      </w:r>
      <w:r w:rsidRPr="00B00FFE">
        <w:t xml:space="preserve"> as only households selected in wave 1 could be reinterviewed in this period. </w:t>
      </w:r>
      <w:r w:rsidRPr="00F72B7B">
        <w:t xml:space="preserve">Further, the </w:t>
      </w:r>
      <w:proofErr w:type="spellStart"/>
      <w:r w:rsidRPr="00F72B7B">
        <w:t>SIH</w:t>
      </w:r>
      <w:proofErr w:type="spellEnd"/>
      <w:r w:rsidRPr="00F72B7B">
        <w:t xml:space="preserve"> and HILDA surveys </w:t>
      </w:r>
      <w:r w:rsidR="00B150BF" w:rsidRPr="00F72B7B">
        <w:t>have different designs. One focuses on income while</w:t>
      </w:r>
      <w:r w:rsidRPr="00F72B7B">
        <w:t xml:space="preserve"> </w:t>
      </w:r>
      <w:r w:rsidRPr="00F72B7B">
        <w:lastRenderedPageBreak/>
        <w:t xml:space="preserve">the other </w:t>
      </w:r>
      <w:r w:rsidR="00B150BF" w:rsidRPr="00F72B7B">
        <w:t>covers a wider range of topics</w:t>
      </w:r>
      <w:r w:rsidRPr="00B00FFE">
        <w:t xml:space="preserve">. Given this, it is likely that both question design, coverage of topics and benchmark data against which household weights are generated will differ. These factors will influence the results of any summary statistics such as the </w:t>
      </w:r>
      <w:proofErr w:type="spellStart"/>
      <w:r w:rsidRPr="00B00FFE">
        <w:t>Gini</w:t>
      </w:r>
      <w:proofErr w:type="spellEnd"/>
      <w:r w:rsidRPr="00B00FFE">
        <w:t xml:space="preserve"> coefficient.</w:t>
      </w:r>
    </w:p>
    <w:p w:rsidR="00DC13B5" w:rsidRDefault="00DC13B5" w:rsidP="002242DF">
      <w:pPr>
        <w:pStyle w:val="FigureTitle"/>
        <w:spacing w:before="240"/>
      </w:pPr>
      <w:r>
        <w:rPr>
          <w:b w:val="0"/>
        </w:rPr>
        <w:t xml:space="preserve">Figure </w:t>
      </w:r>
      <w:bookmarkStart w:id="10" w:name="OLE_LINK1"/>
      <w:proofErr w:type="spellStart"/>
      <w:r w:rsidR="00A459E3">
        <w:rPr>
          <w:b w:val="0"/>
        </w:rPr>
        <w:t>B.</w:t>
      </w:r>
      <w:r w:rsidR="00A459E3">
        <w:rPr>
          <w:b w:val="0"/>
          <w:noProof/>
        </w:rPr>
        <w:t>3</w:t>
      </w:r>
      <w:bookmarkEnd w:id="10"/>
      <w:proofErr w:type="spellEnd"/>
      <w:r>
        <w:tab/>
      </w:r>
      <w:proofErr w:type="spellStart"/>
      <w:r w:rsidRPr="002706DE">
        <w:rPr>
          <w:lang w:val="en-US"/>
        </w:rPr>
        <w:t>Gini</w:t>
      </w:r>
      <w:proofErr w:type="spellEnd"/>
      <w:r w:rsidRPr="002706DE">
        <w:rPr>
          <w:lang w:val="en-US"/>
        </w:rPr>
        <w:t xml:space="preserve"> coefficient for </w:t>
      </w:r>
      <w:proofErr w:type="spellStart"/>
      <w:r w:rsidRPr="002706DE">
        <w:rPr>
          <w:lang w:val="en-US"/>
        </w:rPr>
        <w:t>equivalised</w:t>
      </w:r>
      <w:proofErr w:type="spellEnd"/>
      <w:r w:rsidRPr="002706DE">
        <w:rPr>
          <w:lang w:val="en-US"/>
        </w:rPr>
        <w:t xml:space="preserve"> disposable household income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C13B5" w:rsidTr="00CD7248">
        <w:tc>
          <w:tcPr>
            <w:tcW w:w="8777" w:type="dxa"/>
          </w:tcPr>
          <w:p w:rsidR="00DC13B5" w:rsidRDefault="00DC13B5" w:rsidP="00CD7248">
            <w:pPr>
              <w:pStyle w:val="Figure"/>
            </w:pPr>
            <w:r w:rsidRPr="00523AFE">
              <w:rPr>
                <w:noProof/>
              </w:rPr>
              <w:drawing>
                <wp:inline distT="0" distB="0" distL="0" distR="0" wp14:anchorId="2787F4A3" wp14:editId="25C0D5B4">
                  <wp:extent cx="4986068" cy="3122762"/>
                  <wp:effectExtent l="0" t="0" r="5080" b="1905"/>
                  <wp:docPr id="20" name="Chart 13" descr="Depicts Gini coefficient estimates over time making use of ABS SIH data (annual and weekly income series) and HILDA data. Trends identified using HILDA data are inconsistent with those identified using ABS data. " title="Figure B.3 Gini coefficient for equivalised disposable household inco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DC13B5" w:rsidRDefault="002242DF" w:rsidP="002242DF">
      <w:pPr>
        <w:pStyle w:val="Note"/>
        <w:rPr>
          <w:i/>
        </w:rPr>
      </w:pPr>
      <w:r w:rsidRPr="002242DF">
        <w:rPr>
          <w:rStyle w:val="NoteLabel"/>
        </w:rPr>
        <w:t>a</w:t>
      </w:r>
      <w:r w:rsidRPr="002242DF">
        <w:rPr>
          <w:vertAlign w:val="superscript"/>
        </w:rPr>
        <w:t xml:space="preserve"> </w:t>
      </w:r>
      <w:r w:rsidR="00112757">
        <w:t>P</w:t>
      </w:r>
      <w:r w:rsidR="00DC13B5" w:rsidRPr="0064785B">
        <w:t>re</w:t>
      </w:r>
      <w:r w:rsidR="00B01157">
        <w:t>-</w:t>
      </w:r>
      <w:r w:rsidR="00DC13B5" w:rsidRPr="0064785B">
        <w:t xml:space="preserve">2007 basis, estimates were adjusted for some changes in methodology over time, see </w:t>
      </w:r>
      <w:r w:rsidR="00112757">
        <w:t>Wilkins (</w:t>
      </w:r>
      <w:r w:rsidR="009C5F1A">
        <w:t>2013</w:t>
      </w:r>
      <w:r w:rsidR="00DC13B5" w:rsidRPr="0064785B">
        <w:t>) for more detail.</w:t>
      </w:r>
    </w:p>
    <w:p w:rsidR="00DC13B5" w:rsidRDefault="00DC13B5" w:rsidP="00DC13B5">
      <w:pPr>
        <w:pStyle w:val="Source"/>
      </w:pPr>
      <w:r>
        <w:rPr>
          <w:i/>
        </w:rPr>
        <w:t>Data source</w:t>
      </w:r>
      <w:r w:rsidRPr="00167F06">
        <w:t xml:space="preserve">: </w:t>
      </w:r>
      <w:r>
        <w:t xml:space="preserve">Wilkins </w:t>
      </w:r>
      <w:r w:rsidR="00754528">
        <w:t>(</w:t>
      </w:r>
      <w:r w:rsidR="009C5F1A">
        <w:t>2013</w:t>
      </w:r>
      <w:r w:rsidR="00754528">
        <w:t>)</w:t>
      </w:r>
      <w:r>
        <w:t xml:space="preserve">. </w:t>
      </w:r>
    </w:p>
    <w:p w:rsidR="00A35BD5" w:rsidRDefault="00A35BD5" w:rsidP="00A35BD5">
      <w:pPr>
        <w:pStyle w:val="BodyText"/>
      </w:pPr>
      <w:r>
        <w:t xml:space="preserve">The key lesson from these data comparisons is that differences in survey methodology and definitions of income can result in different estimates of </w:t>
      </w:r>
      <w:r w:rsidR="00112757">
        <w:t xml:space="preserve">income </w:t>
      </w:r>
      <w:r>
        <w:t xml:space="preserve">inequality. </w:t>
      </w:r>
      <w:r w:rsidR="002908B4">
        <w:t xml:space="preserve">Estimates of </w:t>
      </w:r>
      <w:r w:rsidR="00BC59FE">
        <w:t xml:space="preserve">year-on-year changes </w:t>
      </w:r>
      <w:r>
        <w:t xml:space="preserve">in the </w:t>
      </w:r>
      <w:proofErr w:type="spellStart"/>
      <w:r>
        <w:t>Gini</w:t>
      </w:r>
      <w:proofErr w:type="spellEnd"/>
      <w:r>
        <w:t xml:space="preserve"> coefficient </w:t>
      </w:r>
      <w:r w:rsidR="00BC59FE">
        <w:t xml:space="preserve">are </w:t>
      </w:r>
      <w:r>
        <w:t xml:space="preserve">not consistent over different data series making it difficult to determine what exactly has happened to income inequality in Australia using this statistic alone. </w:t>
      </w:r>
      <w:r w:rsidR="00FE41B0" w:rsidRPr="00F45752">
        <w:t>According to Wilkins (</w:t>
      </w:r>
      <w:r w:rsidR="00FE41B0">
        <w:t>2013</w:t>
      </w:r>
      <w:r w:rsidR="00FE41B0" w:rsidRPr="00F45752">
        <w:t>)</w:t>
      </w:r>
      <w:r w:rsidR="00FE41B0">
        <w:t xml:space="preserve"> close analysis of changes in distribution of employment, wages and investment income and other decomposition analysis may yield more reliable information on the changes in income distribution in Australia over this period compared to simple headline measures such as the </w:t>
      </w:r>
      <w:proofErr w:type="spellStart"/>
      <w:r w:rsidR="00FE41B0">
        <w:t>Gini</w:t>
      </w:r>
      <w:proofErr w:type="spellEnd"/>
      <w:r w:rsidR="00FE41B0">
        <w:t xml:space="preserve"> coefficient.</w:t>
      </w:r>
    </w:p>
    <w:p w:rsidR="00A35BD5" w:rsidRPr="00A35BD5" w:rsidRDefault="00A35BD5" w:rsidP="00A35BD5">
      <w:pPr>
        <w:pStyle w:val="BodyText"/>
      </w:pPr>
    </w:p>
    <w:sectPr w:rsidR="00A35BD5" w:rsidRPr="00A35BD5" w:rsidSect="00A459E3">
      <w:headerReference w:type="even" r:id="rId13"/>
      <w:headerReference w:type="default" r:id="rId14"/>
      <w:footerReference w:type="even" r:id="rId15"/>
      <w:footerReference w:type="default" r:id="rId16"/>
      <w:pgSz w:w="11907" w:h="16840" w:code="9"/>
      <w:pgMar w:top="1985" w:right="1304" w:bottom="1418" w:left="1814" w:header="1701" w:footer="567" w:gutter="0"/>
      <w:pgNumType w:start="11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9AE" w:rsidRDefault="007619AE">
      <w:r>
        <w:separator/>
      </w:r>
    </w:p>
  </w:endnote>
  <w:endnote w:type="continuationSeparator" w:id="0">
    <w:p w:rsidR="007619AE" w:rsidRDefault="0076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619AE">
      <w:trPr>
        <w:trHeight w:hRule="exact" w:val="740"/>
      </w:trPr>
      <w:tc>
        <w:tcPr>
          <w:tcW w:w="510" w:type="dxa"/>
          <w:tcBorders>
            <w:top w:val="single" w:sz="6" w:space="0" w:color="auto"/>
          </w:tcBorders>
        </w:tcPr>
        <w:p w:rsidR="007619AE" w:rsidRDefault="007619A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20048">
            <w:rPr>
              <w:rStyle w:val="PageNumber"/>
              <w:noProof/>
            </w:rPr>
            <w:t>120</w:t>
          </w:r>
          <w:r>
            <w:rPr>
              <w:rStyle w:val="PageNumber"/>
            </w:rPr>
            <w:fldChar w:fldCharType="end"/>
          </w:r>
        </w:p>
      </w:tc>
      <w:tc>
        <w:tcPr>
          <w:tcW w:w="1644" w:type="dxa"/>
          <w:tcBorders>
            <w:top w:val="single" w:sz="6" w:space="0" w:color="auto"/>
          </w:tcBorders>
        </w:tcPr>
        <w:p w:rsidR="007619AE" w:rsidRDefault="00020048" w:rsidP="0019293B">
          <w:pPr>
            <w:pStyle w:val="Footer"/>
          </w:pPr>
          <w:r>
            <w:fldChar w:fldCharType="begin"/>
          </w:r>
          <w:r>
            <w:instrText xml:space="preserve"> SUBJECT  \* MERGEFORMAT </w:instrText>
          </w:r>
          <w:r>
            <w:fldChar w:fldCharType="separate"/>
          </w:r>
          <w:r w:rsidR="00A459E3">
            <w:t>The distribution of income in Australia</w:t>
          </w:r>
          <w:r>
            <w:fldChar w:fldCharType="end"/>
          </w:r>
        </w:p>
      </w:tc>
      <w:tc>
        <w:tcPr>
          <w:tcW w:w="6634" w:type="dxa"/>
        </w:tcPr>
        <w:p w:rsidR="007619AE" w:rsidRDefault="007619AE" w:rsidP="0019293B">
          <w:pPr>
            <w:pStyle w:val="Footer"/>
          </w:pPr>
        </w:p>
      </w:tc>
    </w:tr>
  </w:tbl>
  <w:p w:rsidR="007619AE" w:rsidRDefault="007619A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619AE">
      <w:trPr>
        <w:trHeight w:hRule="exact" w:val="740"/>
      </w:trPr>
      <w:tc>
        <w:tcPr>
          <w:tcW w:w="6634" w:type="dxa"/>
        </w:tcPr>
        <w:p w:rsidR="007619AE" w:rsidRDefault="007619AE">
          <w:pPr>
            <w:pStyle w:val="Footer"/>
            <w:ind w:right="360" w:firstLine="360"/>
          </w:pPr>
        </w:p>
      </w:tc>
      <w:tc>
        <w:tcPr>
          <w:tcW w:w="1644" w:type="dxa"/>
          <w:tcBorders>
            <w:top w:val="single" w:sz="6" w:space="0" w:color="auto"/>
          </w:tcBorders>
        </w:tcPr>
        <w:p w:rsidR="007619AE" w:rsidRDefault="00020048">
          <w:pPr>
            <w:pStyle w:val="Footer"/>
          </w:pPr>
          <w:r>
            <w:fldChar w:fldCharType="begin"/>
          </w:r>
          <w:r>
            <w:instrText xml:space="preserve"> TITLE  \* MERGEFORMAT </w:instrText>
          </w:r>
          <w:r>
            <w:fldChar w:fldCharType="separate"/>
          </w:r>
          <w:r w:rsidR="00A459E3">
            <w:t>Data and related issues</w:t>
          </w:r>
          <w:r>
            <w:fldChar w:fldCharType="end"/>
          </w:r>
        </w:p>
      </w:tc>
      <w:tc>
        <w:tcPr>
          <w:tcW w:w="510" w:type="dxa"/>
          <w:tcBorders>
            <w:top w:val="single" w:sz="6" w:space="0" w:color="auto"/>
          </w:tcBorders>
        </w:tcPr>
        <w:p w:rsidR="007619AE" w:rsidRDefault="007619AE">
          <w:pPr>
            <w:pStyle w:val="Footer"/>
            <w:jc w:val="right"/>
          </w:pPr>
          <w:r>
            <w:rPr>
              <w:rStyle w:val="PageNumber"/>
            </w:rPr>
            <w:fldChar w:fldCharType="begin"/>
          </w:r>
          <w:r>
            <w:rPr>
              <w:rStyle w:val="PageNumber"/>
            </w:rPr>
            <w:instrText xml:space="preserve">PAGE  </w:instrText>
          </w:r>
          <w:r>
            <w:rPr>
              <w:rStyle w:val="PageNumber"/>
            </w:rPr>
            <w:fldChar w:fldCharType="separate"/>
          </w:r>
          <w:r w:rsidR="00020048">
            <w:rPr>
              <w:rStyle w:val="PageNumber"/>
              <w:noProof/>
            </w:rPr>
            <w:t>121</w:t>
          </w:r>
          <w:r>
            <w:rPr>
              <w:rStyle w:val="PageNumber"/>
            </w:rPr>
            <w:fldChar w:fldCharType="end"/>
          </w:r>
        </w:p>
      </w:tc>
    </w:tr>
  </w:tbl>
  <w:p w:rsidR="007619AE" w:rsidRDefault="007619A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9AE" w:rsidRDefault="007619AE">
      <w:r>
        <w:separator/>
      </w:r>
    </w:p>
  </w:footnote>
  <w:footnote w:type="continuationSeparator" w:id="0">
    <w:p w:rsidR="007619AE" w:rsidRDefault="007619AE">
      <w:r>
        <w:continuationSeparator/>
      </w:r>
    </w:p>
  </w:footnote>
  <w:footnote w:id="1">
    <w:p w:rsidR="007619AE" w:rsidRDefault="007619AE">
      <w:pPr>
        <w:pStyle w:val="FootnoteText"/>
      </w:pPr>
      <w:r>
        <w:rPr>
          <w:rStyle w:val="FootnoteReference"/>
        </w:rPr>
        <w:footnoteRef/>
      </w:r>
      <w:r>
        <w:t xml:space="preserve"> Share differs between 2003-04 and previous measurement basis.</w:t>
      </w:r>
    </w:p>
  </w:footnote>
  <w:footnote w:id="2">
    <w:p w:rsidR="007619AE" w:rsidRDefault="007619AE">
      <w:pPr>
        <w:pStyle w:val="FootnoteText"/>
      </w:pPr>
      <w:r>
        <w:rPr>
          <w:rStyle w:val="FootnoteReference"/>
        </w:rPr>
        <w:footnoteRef/>
      </w:r>
      <w:r>
        <w:t xml:space="preserve"> Previously estimates included only some salary sacrificed amounts, this was changed to all amounts being included.</w:t>
      </w:r>
    </w:p>
  </w:footnote>
  <w:footnote w:id="3">
    <w:p w:rsidR="007619AE" w:rsidRDefault="007619AE">
      <w:pPr>
        <w:pStyle w:val="FootnoteText"/>
      </w:pPr>
      <w:r>
        <w:rPr>
          <w:rStyle w:val="FootnoteReference"/>
        </w:rPr>
        <w:footnoteRef/>
      </w:r>
      <w:r>
        <w:t xml:space="preserve"> </w:t>
      </w:r>
      <w:r>
        <w:tab/>
        <w:t xml:space="preserve">Summary estimates from the </w:t>
      </w:r>
      <w:proofErr w:type="spellStart"/>
      <w:r>
        <w:t>SIH</w:t>
      </w:r>
      <w:proofErr w:type="spellEnd"/>
      <w:r>
        <w:t xml:space="preserve"> used to provide a more comparable time series to HILDA data than what could be obtained from </w:t>
      </w:r>
      <w:proofErr w:type="spellStart"/>
      <w:r>
        <w:t>HES</w:t>
      </w:r>
      <w:proofErr w:type="spellEnd"/>
      <w:r>
        <w:t xml:space="preserve"> data.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619AE">
      <w:tc>
        <w:tcPr>
          <w:tcW w:w="2155" w:type="dxa"/>
          <w:tcBorders>
            <w:top w:val="single" w:sz="24" w:space="0" w:color="auto"/>
          </w:tcBorders>
        </w:tcPr>
        <w:p w:rsidR="007619AE" w:rsidRDefault="007619AE" w:rsidP="0019293B">
          <w:pPr>
            <w:pStyle w:val="HeaderEven"/>
          </w:pPr>
        </w:p>
      </w:tc>
      <w:tc>
        <w:tcPr>
          <w:tcW w:w="6634" w:type="dxa"/>
          <w:tcBorders>
            <w:top w:val="single" w:sz="6" w:space="0" w:color="auto"/>
          </w:tcBorders>
        </w:tcPr>
        <w:p w:rsidR="007619AE" w:rsidRDefault="007619AE" w:rsidP="0019293B">
          <w:pPr>
            <w:pStyle w:val="HeaderEven"/>
          </w:pPr>
        </w:p>
      </w:tc>
    </w:tr>
  </w:tbl>
  <w:p w:rsidR="007619AE" w:rsidRDefault="007619A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619AE">
      <w:tc>
        <w:tcPr>
          <w:tcW w:w="6634" w:type="dxa"/>
          <w:tcBorders>
            <w:top w:val="single" w:sz="6" w:space="0" w:color="auto"/>
          </w:tcBorders>
        </w:tcPr>
        <w:p w:rsidR="007619AE" w:rsidRDefault="007619AE" w:rsidP="00E669E2">
          <w:pPr>
            <w:pStyle w:val="HeaderOdd"/>
          </w:pPr>
        </w:p>
      </w:tc>
      <w:tc>
        <w:tcPr>
          <w:tcW w:w="2155" w:type="dxa"/>
          <w:tcBorders>
            <w:top w:val="single" w:sz="24" w:space="0" w:color="auto"/>
          </w:tcBorders>
        </w:tcPr>
        <w:p w:rsidR="007619AE" w:rsidRDefault="007619AE" w:rsidP="00E669E2">
          <w:pPr>
            <w:pStyle w:val="HeaderOdd"/>
          </w:pPr>
        </w:p>
      </w:tc>
    </w:tr>
  </w:tbl>
  <w:p w:rsidR="007619AE" w:rsidRDefault="007619A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Data and related issues"/>
    <w:docVar w:name="ShortReportTitle" w:val="The distribution of income in Australia"/>
  </w:docVars>
  <w:rsids>
    <w:rsidRoot w:val="00DC13B5"/>
    <w:rsid w:val="00020048"/>
    <w:rsid w:val="000227D5"/>
    <w:rsid w:val="00022B6C"/>
    <w:rsid w:val="000245AA"/>
    <w:rsid w:val="0003664B"/>
    <w:rsid w:val="0004111F"/>
    <w:rsid w:val="00050E3F"/>
    <w:rsid w:val="000545F7"/>
    <w:rsid w:val="000565B3"/>
    <w:rsid w:val="0007150B"/>
    <w:rsid w:val="000938F5"/>
    <w:rsid w:val="00096E55"/>
    <w:rsid w:val="000B29B5"/>
    <w:rsid w:val="000B601B"/>
    <w:rsid w:val="000C06CF"/>
    <w:rsid w:val="000C207E"/>
    <w:rsid w:val="000C530A"/>
    <w:rsid w:val="000D19A9"/>
    <w:rsid w:val="000E5E21"/>
    <w:rsid w:val="000F0035"/>
    <w:rsid w:val="000F420B"/>
    <w:rsid w:val="00105FB6"/>
    <w:rsid w:val="00110116"/>
    <w:rsid w:val="00112757"/>
    <w:rsid w:val="00120072"/>
    <w:rsid w:val="00126EB8"/>
    <w:rsid w:val="001274D4"/>
    <w:rsid w:val="001363AA"/>
    <w:rsid w:val="00183E82"/>
    <w:rsid w:val="001878BB"/>
    <w:rsid w:val="00191AE0"/>
    <w:rsid w:val="0019293B"/>
    <w:rsid w:val="001A4077"/>
    <w:rsid w:val="001A5B68"/>
    <w:rsid w:val="001C0865"/>
    <w:rsid w:val="001C3ABA"/>
    <w:rsid w:val="001D7007"/>
    <w:rsid w:val="001E06D7"/>
    <w:rsid w:val="001E26A1"/>
    <w:rsid w:val="001E7BE8"/>
    <w:rsid w:val="001F0248"/>
    <w:rsid w:val="001F3EB3"/>
    <w:rsid w:val="001F4F86"/>
    <w:rsid w:val="00202C2C"/>
    <w:rsid w:val="002135AB"/>
    <w:rsid w:val="002144BE"/>
    <w:rsid w:val="002242DF"/>
    <w:rsid w:val="00242279"/>
    <w:rsid w:val="00245C82"/>
    <w:rsid w:val="002542A5"/>
    <w:rsid w:val="002908B4"/>
    <w:rsid w:val="00291B40"/>
    <w:rsid w:val="002B4008"/>
    <w:rsid w:val="002C13AF"/>
    <w:rsid w:val="002C5808"/>
    <w:rsid w:val="002C7FF2"/>
    <w:rsid w:val="002D0E8E"/>
    <w:rsid w:val="002E646D"/>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3ACA"/>
    <w:rsid w:val="003C5D99"/>
    <w:rsid w:val="003E2F59"/>
    <w:rsid w:val="003F0789"/>
    <w:rsid w:val="00401882"/>
    <w:rsid w:val="004100C8"/>
    <w:rsid w:val="00411DBD"/>
    <w:rsid w:val="00412ACE"/>
    <w:rsid w:val="00416834"/>
    <w:rsid w:val="004179D2"/>
    <w:rsid w:val="00431249"/>
    <w:rsid w:val="00434C19"/>
    <w:rsid w:val="004422CB"/>
    <w:rsid w:val="00450810"/>
    <w:rsid w:val="0046459F"/>
    <w:rsid w:val="0047525F"/>
    <w:rsid w:val="00477144"/>
    <w:rsid w:val="00491380"/>
    <w:rsid w:val="0049459F"/>
    <w:rsid w:val="004A38DD"/>
    <w:rsid w:val="004B43AE"/>
    <w:rsid w:val="004C30ED"/>
    <w:rsid w:val="004D5675"/>
    <w:rsid w:val="004E0523"/>
    <w:rsid w:val="004E3D34"/>
    <w:rsid w:val="00523639"/>
    <w:rsid w:val="00531FE5"/>
    <w:rsid w:val="005330DD"/>
    <w:rsid w:val="005402FA"/>
    <w:rsid w:val="005755D3"/>
    <w:rsid w:val="00583C39"/>
    <w:rsid w:val="00587F28"/>
    <w:rsid w:val="005909CF"/>
    <w:rsid w:val="00591E71"/>
    <w:rsid w:val="005A0D41"/>
    <w:rsid w:val="005A602A"/>
    <w:rsid w:val="005E510B"/>
    <w:rsid w:val="005F43B9"/>
    <w:rsid w:val="00607BF1"/>
    <w:rsid w:val="00615685"/>
    <w:rsid w:val="00630D4D"/>
    <w:rsid w:val="00632A74"/>
    <w:rsid w:val="00651C41"/>
    <w:rsid w:val="00696214"/>
    <w:rsid w:val="00696C0D"/>
    <w:rsid w:val="006A4655"/>
    <w:rsid w:val="006B2B3C"/>
    <w:rsid w:val="006B4E74"/>
    <w:rsid w:val="006C1D81"/>
    <w:rsid w:val="006C7038"/>
    <w:rsid w:val="006D0329"/>
    <w:rsid w:val="006E73EF"/>
    <w:rsid w:val="00700C07"/>
    <w:rsid w:val="00706877"/>
    <w:rsid w:val="007076DB"/>
    <w:rsid w:val="00714D4D"/>
    <w:rsid w:val="00754528"/>
    <w:rsid w:val="007604BB"/>
    <w:rsid w:val="007619AE"/>
    <w:rsid w:val="00785232"/>
    <w:rsid w:val="007968C9"/>
    <w:rsid w:val="007A21EB"/>
    <w:rsid w:val="007B1A93"/>
    <w:rsid w:val="007C36C9"/>
    <w:rsid w:val="007C3E7A"/>
    <w:rsid w:val="007D6401"/>
    <w:rsid w:val="007D6EBB"/>
    <w:rsid w:val="007E01E4"/>
    <w:rsid w:val="007F7107"/>
    <w:rsid w:val="00800D4C"/>
    <w:rsid w:val="0081030F"/>
    <w:rsid w:val="00816A69"/>
    <w:rsid w:val="0082087D"/>
    <w:rsid w:val="00835771"/>
    <w:rsid w:val="00842933"/>
    <w:rsid w:val="00846507"/>
    <w:rsid w:val="0086082C"/>
    <w:rsid w:val="00864ADC"/>
    <w:rsid w:val="00880153"/>
    <w:rsid w:val="00880F97"/>
    <w:rsid w:val="0088133A"/>
    <w:rsid w:val="0089285E"/>
    <w:rsid w:val="0089436C"/>
    <w:rsid w:val="008B1B82"/>
    <w:rsid w:val="008C1A35"/>
    <w:rsid w:val="008D2677"/>
    <w:rsid w:val="008D365C"/>
    <w:rsid w:val="008E1F56"/>
    <w:rsid w:val="009030BF"/>
    <w:rsid w:val="0091032F"/>
    <w:rsid w:val="00914368"/>
    <w:rsid w:val="00931076"/>
    <w:rsid w:val="009345D9"/>
    <w:rsid w:val="00934B15"/>
    <w:rsid w:val="00940C87"/>
    <w:rsid w:val="00942B62"/>
    <w:rsid w:val="0095323B"/>
    <w:rsid w:val="00956A0C"/>
    <w:rsid w:val="00956BD9"/>
    <w:rsid w:val="00962489"/>
    <w:rsid w:val="00966098"/>
    <w:rsid w:val="00972740"/>
    <w:rsid w:val="00983E59"/>
    <w:rsid w:val="00990C2C"/>
    <w:rsid w:val="009C5F1A"/>
    <w:rsid w:val="009E1844"/>
    <w:rsid w:val="009F0D1B"/>
    <w:rsid w:val="009F696D"/>
    <w:rsid w:val="009F6BC6"/>
    <w:rsid w:val="00A17328"/>
    <w:rsid w:val="00A23A20"/>
    <w:rsid w:val="00A268B9"/>
    <w:rsid w:val="00A2703A"/>
    <w:rsid w:val="00A33DFF"/>
    <w:rsid w:val="00A35115"/>
    <w:rsid w:val="00A35BD5"/>
    <w:rsid w:val="00A36D9A"/>
    <w:rsid w:val="00A459E3"/>
    <w:rsid w:val="00A50029"/>
    <w:rsid w:val="00A554AB"/>
    <w:rsid w:val="00A57062"/>
    <w:rsid w:val="00A8478D"/>
    <w:rsid w:val="00A92B53"/>
    <w:rsid w:val="00A94FA6"/>
    <w:rsid w:val="00AA49A0"/>
    <w:rsid w:val="00AA6710"/>
    <w:rsid w:val="00AB0681"/>
    <w:rsid w:val="00AC32CC"/>
    <w:rsid w:val="00AC7545"/>
    <w:rsid w:val="00AC7D22"/>
    <w:rsid w:val="00AD520B"/>
    <w:rsid w:val="00B00FFE"/>
    <w:rsid w:val="00B01157"/>
    <w:rsid w:val="00B04B3A"/>
    <w:rsid w:val="00B070E5"/>
    <w:rsid w:val="00B150BF"/>
    <w:rsid w:val="00B425C3"/>
    <w:rsid w:val="00B440AD"/>
    <w:rsid w:val="00B53E7E"/>
    <w:rsid w:val="00B6342E"/>
    <w:rsid w:val="00B7113F"/>
    <w:rsid w:val="00B872BB"/>
    <w:rsid w:val="00BA210A"/>
    <w:rsid w:val="00BA73B6"/>
    <w:rsid w:val="00BA7E27"/>
    <w:rsid w:val="00BB2603"/>
    <w:rsid w:val="00BB4FCD"/>
    <w:rsid w:val="00BB5AC0"/>
    <w:rsid w:val="00BC04E9"/>
    <w:rsid w:val="00BC59FE"/>
    <w:rsid w:val="00BD13EA"/>
    <w:rsid w:val="00BE3808"/>
    <w:rsid w:val="00BE67C2"/>
    <w:rsid w:val="00C05208"/>
    <w:rsid w:val="00C062E9"/>
    <w:rsid w:val="00C06E5E"/>
    <w:rsid w:val="00C07B64"/>
    <w:rsid w:val="00C13721"/>
    <w:rsid w:val="00C14FE4"/>
    <w:rsid w:val="00C3066D"/>
    <w:rsid w:val="00C52416"/>
    <w:rsid w:val="00C543F4"/>
    <w:rsid w:val="00C6291C"/>
    <w:rsid w:val="00C633CB"/>
    <w:rsid w:val="00C736B7"/>
    <w:rsid w:val="00C81D4A"/>
    <w:rsid w:val="00C8671C"/>
    <w:rsid w:val="00C8762C"/>
    <w:rsid w:val="00CA00F9"/>
    <w:rsid w:val="00CA2961"/>
    <w:rsid w:val="00CB50D7"/>
    <w:rsid w:val="00CB7177"/>
    <w:rsid w:val="00CC1998"/>
    <w:rsid w:val="00CC4946"/>
    <w:rsid w:val="00CC6406"/>
    <w:rsid w:val="00CD26A7"/>
    <w:rsid w:val="00CD6AAD"/>
    <w:rsid w:val="00CD7248"/>
    <w:rsid w:val="00CF144C"/>
    <w:rsid w:val="00D032C0"/>
    <w:rsid w:val="00D0417E"/>
    <w:rsid w:val="00D25019"/>
    <w:rsid w:val="00D270A4"/>
    <w:rsid w:val="00D31FE9"/>
    <w:rsid w:val="00D3291E"/>
    <w:rsid w:val="00D34E1B"/>
    <w:rsid w:val="00D35814"/>
    <w:rsid w:val="00D376BA"/>
    <w:rsid w:val="00D409F9"/>
    <w:rsid w:val="00D45634"/>
    <w:rsid w:val="00D52FB7"/>
    <w:rsid w:val="00D5568A"/>
    <w:rsid w:val="00D63D73"/>
    <w:rsid w:val="00D64452"/>
    <w:rsid w:val="00D66E1E"/>
    <w:rsid w:val="00D75722"/>
    <w:rsid w:val="00D80CF5"/>
    <w:rsid w:val="00DA5BBA"/>
    <w:rsid w:val="00DB12EE"/>
    <w:rsid w:val="00DB26D2"/>
    <w:rsid w:val="00DB67C9"/>
    <w:rsid w:val="00DC0C95"/>
    <w:rsid w:val="00DC13B5"/>
    <w:rsid w:val="00DD6580"/>
    <w:rsid w:val="00E17C72"/>
    <w:rsid w:val="00E21FC6"/>
    <w:rsid w:val="00E3560A"/>
    <w:rsid w:val="00E431A9"/>
    <w:rsid w:val="00E669E2"/>
    <w:rsid w:val="00E76135"/>
    <w:rsid w:val="00E82F4F"/>
    <w:rsid w:val="00EA1067"/>
    <w:rsid w:val="00EC2844"/>
    <w:rsid w:val="00EC5500"/>
    <w:rsid w:val="00ED2E98"/>
    <w:rsid w:val="00EF6C6C"/>
    <w:rsid w:val="00F05404"/>
    <w:rsid w:val="00F056FC"/>
    <w:rsid w:val="00F10476"/>
    <w:rsid w:val="00F135D8"/>
    <w:rsid w:val="00F2209E"/>
    <w:rsid w:val="00F24B68"/>
    <w:rsid w:val="00F31299"/>
    <w:rsid w:val="00F3534A"/>
    <w:rsid w:val="00F51609"/>
    <w:rsid w:val="00F54729"/>
    <w:rsid w:val="00F62377"/>
    <w:rsid w:val="00F72B7B"/>
    <w:rsid w:val="00F81006"/>
    <w:rsid w:val="00F810EC"/>
    <w:rsid w:val="00F85325"/>
    <w:rsid w:val="00FB5F38"/>
    <w:rsid w:val="00FD22B1"/>
    <w:rsid w:val="00FD62DD"/>
    <w:rsid w:val="00FE41B0"/>
    <w:rsid w:val="00FE5397"/>
    <w:rsid w:val="00FF54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C13B5"/>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DC13B5"/>
    <w:pPr>
      <w:keepNext/>
      <w:spacing w:before="360" w:line="80" w:lineRule="exact"/>
      <w:jc w:val="left"/>
    </w:pPr>
  </w:style>
  <w:style w:type="paragraph" w:styleId="CommentSubject">
    <w:name w:val="annotation subject"/>
    <w:basedOn w:val="CommentText"/>
    <w:next w:val="CommentText"/>
    <w:link w:val="CommentSubjectChar"/>
    <w:rsid w:val="00CD26A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26A7"/>
    <w:rPr>
      <w:szCs w:val="24"/>
    </w:rPr>
  </w:style>
  <w:style w:type="character" w:customStyle="1" w:styleId="CommentSubjectChar">
    <w:name w:val="Comment Subject Char"/>
    <w:basedOn w:val="CommentTextChar"/>
    <w:link w:val="CommentSubject"/>
    <w:rsid w:val="00CD26A7"/>
    <w:rPr>
      <w:b/>
      <w:bCs/>
      <w:szCs w:val="24"/>
    </w:rPr>
  </w:style>
  <w:style w:type="character" w:customStyle="1" w:styleId="BodyTextChar">
    <w:name w:val="Body Text Char"/>
    <w:basedOn w:val="DefaultParagraphFont"/>
    <w:link w:val="BodyText"/>
    <w:uiPriority w:val="99"/>
    <w:rsid w:val="00B00FFE"/>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C13B5"/>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DC13B5"/>
    <w:pPr>
      <w:keepNext/>
      <w:spacing w:before="360" w:line="80" w:lineRule="exact"/>
      <w:jc w:val="left"/>
    </w:pPr>
  </w:style>
  <w:style w:type="paragraph" w:styleId="CommentSubject">
    <w:name w:val="annotation subject"/>
    <w:basedOn w:val="CommentText"/>
    <w:next w:val="CommentText"/>
    <w:link w:val="CommentSubjectChar"/>
    <w:rsid w:val="00CD26A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26A7"/>
    <w:rPr>
      <w:szCs w:val="24"/>
    </w:rPr>
  </w:style>
  <w:style w:type="character" w:customStyle="1" w:styleId="CommentSubjectChar">
    <w:name w:val="Comment Subject Char"/>
    <w:basedOn w:val="CommentTextChar"/>
    <w:link w:val="CommentSubject"/>
    <w:rsid w:val="00CD26A7"/>
    <w:rPr>
      <w:b/>
      <w:bCs/>
      <w:szCs w:val="24"/>
    </w:rPr>
  </w:style>
  <w:style w:type="character" w:customStyle="1" w:styleId="BodyTextChar">
    <w:name w:val="Body Text Char"/>
    <w:basedOn w:val="DefaultParagraphFont"/>
    <w:link w:val="BodyText"/>
    <w:uiPriority w:val="99"/>
    <w:rsid w:val="00B00FFE"/>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1364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99027777777778"/>
          <c:y val="5.336875E-2"/>
          <c:w val="0.79283680555555558"/>
          <c:h val="0.66124513888888892"/>
        </c:manualLayout>
      </c:layout>
      <c:scatterChart>
        <c:scatterStyle val="smoothMarker"/>
        <c:varyColors val="0"/>
        <c:ser>
          <c:idx val="0"/>
          <c:order val="0"/>
          <c:tx>
            <c:strRef>
              <c:f>'Business inome'!$C$1</c:f>
              <c:strCache>
                <c:ptCount val="1"/>
                <c:pt idx="0">
                  <c:v>Self-employment income - new basis</c:v>
                </c:pt>
              </c:strCache>
            </c:strRef>
          </c:tx>
          <c:spPr>
            <a:ln w="19050">
              <a:solidFill>
                <a:srgbClr val="4F81BD">
                  <a:lumMod val="75000"/>
                </a:srgbClr>
              </a:solidFill>
            </a:ln>
          </c:spPr>
          <c:marker>
            <c:symbol val="none"/>
          </c:marker>
          <c:xVal>
            <c:numRef>
              <c:f>'Business inome'!$A$2:$A$4099</c:f>
              <c:numCache>
                <c:formatCode>General</c:formatCode>
                <c:ptCount val="4098"/>
                <c:pt idx="0">
                  <c:v>-524</c:v>
                </c:pt>
                <c:pt idx="1">
                  <c:v>-410.5102</c:v>
                </c:pt>
                <c:pt idx="2">
                  <c:v>-297.02041000000003</c:v>
                </c:pt>
                <c:pt idx="3">
                  <c:v>-183.53061</c:v>
                </c:pt>
                <c:pt idx="4">
                  <c:v>-70.040816000000007</c:v>
                </c:pt>
                <c:pt idx="5">
                  <c:v>43.448979999999999</c:v>
                </c:pt>
                <c:pt idx="6">
                  <c:v>156.93878000000001</c:v>
                </c:pt>
                <c:pt idx="7">
                  <c:v>270.42856999999998</c:v>
                </c:pt>
                <c:pt idx="8">
                  <c:v>383.91836999999998</c:v>
                </c:pt>
                <c:pt idx="9">
                  <c:v>497.40816000000001</c:v>
                </c:pt>
                <c:pt idx="10">
                  <c:v>610.89796000000001</c:v>
                </c:pt>
                <c:pt idx="11">
                  <c:v>724.38775999999996</c:v>
                </c:pt>
                <c:pt idx="12">
                  <c:v>837.87755000000004</c:v>
                </c:pt>
                <c:pt idx="13">
                  <c:v>951.36734999999999</c:v>
                </c:pt>
                <c:pt idx="14">
                  <c:v>1064.8570999999999</c:v>
                </c:pt>
                <c:pt idx="15">
                  <c:v>1178.3469</c:v>
                </c:pt>
                <c:pt idx="16">
                  <c:v>1291.8367000000001</c:v>
                </c:pt>
                <c:pt idx="17">
                  <c:v>1405.3264999999999</c:v>
                </c:pt>
                <c:pt idx="18">
                  <c:v>1518.8163</c:v>
                </c:pt>
                <c:pt idx="19">
                  <c:v>1632.3061</c:v>
                </c:pt>
                <c:pt idx="20">
                  <c:v>1745.7959000000001</c:v>
                </c:pt>
                <c:pt idx="21">
                  <c:v>1859.2856999999999</c:v>
                </c:pt>
                <c:pt idx="22">
                  <c:v>1972.7755</c:v>
                </c:pt>
                <c:pt idx="23">
                  <c:v>2086.2653</c:v>
                </c:pt>
                <c:pt idx="24">
                  <c:v>2199.7550999999999</c:v>
                </c:pt>
                <c:pt idx="25">
                  <c:v>2313.2449000000001</c:v>
                </c:pt>
                <c:pt idx="26">
                  <c:v>2426.7347</c:v>
                </c:pt>
                <c:pt idx="27">
                  <c:v>2540.2244999999998</c:v>
                </c:pt>
                <c:pt idx="28">
                  <c:v>2653.7143000000001</c:v>
                </c:pt>
                <c:pt idx="29">
                  <c:v>2767.2040999999999</c:v>
                </c:pt>
                <c:pt idx="30">
                  <c:v>2880.6939000000002</c:v>
                </c:pt>
                <c:pt idx="31">
                  <c:v>2994.1837</c:v>
                </c:pt>
                <c:pt idx="32">
                  <c:v>3107.6734999999999</c:v>
                </c:pt>
                <c:pt idx="33">
                  <c:v>3221.1633000000002</c:v>
                </c:pt>
                <c:pt idx="34">
                  <c:v>3334.6531</c:v>
                </c:pt>
                <c:pt idx="35">
                  <c:v>3448.1428999999998</c:v>
                </c:pt>
                <c:pt idx="36">
                  <c:v>3561.6327000000001</c:v>
                </c:pt>
                <c:pt idx="37">
                  <c:v>3675.1224000000002</c:v>
                </c:pt>
                <c:pt idx="38">
                  <c:v>3788.6122</c:v>
                </c:pt>
                <c:pt idx="39">
                  <c:v>3902.1019999999999</c:v>
                </c:pt>
                <c:pt idx="40">
                  <c:v>4015.5918000000001</c:v>
                </c:pt>
                <c:pt idx="41">
                  <c:v>4129.0816000000004</c:v>
                </c:pt>
                <c:pt idx="42">
                  <c:v>4242.5713999999998</c:v>
                </c:pt>
                <c:pt idx="43">
                  <c:v>4356.0612000000001</c:v>
                </c:pt>
                <c:pt idx="44">
                  <c:v>4469.5510000000004</c:v>
                </c:pt>
                <c:pt idx="45">
                  <c:v>4583.0407999999998</c:v>
                </c:pt>
                <c:pt idx="46">
                  <c:v>4696.5306</c:v>
                </c:pt>
                <c:pt idx="47">
                  <c:v>4810.0204000000003</c:v>
                </c:pt>
                <c:pt idx="48">
                  <c:v>4923.5101999999997</c:v>
                </c:pt>
                <c:pt idx="49">
                  <c:v>5037</c:v>
                </c:pt>
              </c:numCache>
            </c:numRef>
          </c:xVal>
          <c:yVal>
            <c:numRef>
              <c:f>'Business inome'!$B$2:$B$4099</c:f>
              <c:numCache>
                <c:formatCode>General</c:formatCode>
                <c:ptCount val="4098"/>
                <c:pt idx="0">
                  <c:v>9.5850000000000004E-4</c:v>
                </c:pt>
                <c:pt idx="1">
                  <c:v>3.9420000000000002E-3</c:v>
                </c:pt>
                <c:pt idx="2">
                  <c:v>4.6974999999999994E-3</c:v>
                </c:pt>
                <c:pt idx="3">
                  <c:v>4.7134999999999998E-3</c:v>
                </c:pt>
                <c:pt idx="4">
                  <c:v>2.4895499999999997E-2</c:v>
                </c:pt>
                <c:pt idx="5">
                  <c:v>6.2109999999999999E-2</c:v>
                </c:pt>
                <c:pt idx="6">
                  <c:v>5.3317999999999997E-2</c:v>
                </c:pt>
                <c:pt idx="7">
                  <c:v>2.9929000000000001E-2</c:v>
                </c:pt>
                <c:pt idx="8">
                  <c:v>3.7990499999999996E-2</c:v>
                </c:pt>
                <c:pt idx="9">
                  <c:v>3.1852499999999999E-2</c:v>
                </c:pt>
                <c:pt idx="10">
                  <c:v>3.322E-2</c:v>
                </c:pt>
                <c:pt idx="11">
                  <c:v>2.9961000000000002E-2</c:v>
                </c:pt>
                <c:pt idx="12">
                  <c:v>2.1191499999999999E-2</c:v>
                </c:pt>
                <c:pt idx="13">
                  <c:v>2.1691999999999999E-2</c:v>
                </c:pt>
                <c:pt idx="14">
                  <c:v>8.5249999999999996E-3</c:v>
                </c:pt>
                <c:pt idx="15">
                  <c:v>1.439E-2</c:v>
                </c:pt>
                <c:pt idx="16">
                  <c:v>6.9195000000000003E-3</c:v>
                </c:pt>
                <c:pt idx="17">
                  <c:v>4.4809999999999997E-3</c:v>
                </c:pt>
                <c:pt idx="18">
                  <c:v>5.9189999999999998E-3</c:v>
                </c:pt>
                <c:pt idx="19">
                  <c:v>3.3739999999999998E-3</c:v>
                </c:pt>
                <c:pt idx="20">
                  <c:v>3.6424999999999999E-3</c:v>
                </c:pt>
                <c:pt idx="21">
                  <c:v>4.9445000000000001E-3</c:v>
                </c:pt>
                <c:pt idx="22">
                  <c:v>4.4889999999999999E-3</c:v>
                </c:pt>
                <c:pt idx="23">
                  <c:v>3.2009999999999999E-3</c:v>
                </c:pt>
                <c:pt idx="24">
                  <c:v>3.6310000000000001E-3</c:v>
                </c:pt>
                <c:pt idx="25">
                  <c:v>8.1750000000000008E-4</c:v>
                </c:pt>
                <c:pt idx="26">
                  <c:v>5.7350000000000001E-4</c:v>
                </c:pt>
                <c:pt idx="27">
                  <c:v>9.4649999999999997E-4</c:v>
                </c:pt>
                <c:pt idx="28">
                  <c:v>8.1700000000000002E-4</c:v>
                </c:pt>
                <c:pt idx="29">
                  <c:v>0</c:v>
                </c:pt>
                <c:pt idx="30">
                  <c:v>3.9415000000000001E-4</c:v>
                </c:pt>
                <c:pt idx="31">
                  <c:v>8.1000000000000006E-4</c:v>
                </c:pt>
                <c:pt idx="32">
                  <c:v>6.1650000000000008E-4</c:v>
                </c:pt>
                <c:pt idx="33">
                  <c:v>1.6130000000000001E-3</c:v>
                </c:pt>
                <c:pt idx="34">
                  <c:v>1.5699999999999998E-3</c:v>
                </c:pt>
                <c:pt idx="35">
                  <c:v>0</c:v>
                </c:pt>
                <c:pt idx="36">
                  <c:v>3.5379999999999998E-4</c:v>
                </c:pt>
                <c:pt idx="37">
                  <c:v>4.2990000000000007E-6</c:v>
                </c:pt>
                <c:pt idx="38">
                  <c:v>1.4354999999999999E-4</c:v>
                </c:pt>
                <c:pt idx="39">
                  <c:v>8.8100000000000006E-4</c:v>
                </c:pt>
                <c:pt idx="40">
                  <c:v>2.6964999999999997E-4</c:v>
                </c:pt>
                <c:pt idx="41">
                  <c:v>1.9790000000000001E-4</c:v>
                </c:pt>
                <c:pt idx="42">
                  <c:v>0</c:v>
                </c:pt>
                <c:pt idx="43">
                  <c:v>2.5015000000000004E-4</c:v>
                </c:pt>
                <c:pt idx="44">
                  <c:v>4.6565000000000002E-4</c:v>
                </c:pt>
                <c:pt idx="45">
                  <c:v>4.3684999999999997E-4</c:v>
                </c:pt>
                <c:pt idx="46">
                  <c:v>1.5705E-4</c:v>
                </c:pt>
                <c:pt idx="47">
                  <c:v>0</c:v>
                </c:pt>
                <c:pt idx="48">
                  <c:v>4.0345000000000002E-4</c:v>
                </c:pt>
                <c:pt idx="49">
                  <c:v>4.7639999999999998E-4</c:v>
                </c:pt>
              </c:numCache>
            </c:numRef>
          </c:yVal>
          <c:smooth val="1"/>
        </c:ser>
        <c:ser>
          <c:idx val="1"/>
          <c:order val="1"/>
          <c:tx>
            <c:strRef>
              <c:f>'Business inome'!$F$1</c:f>
              <c:strCache>
                <c:ptCount val="1"/>
                <c:pt idx="0">
                  <c:v>Self-employment income - old basis</c:v>
                </c:pt>
              </c:strCache>
            </c:strRef>
          </c:tx>
          <c:spPr>
            <a:ln w="19050">
              <a:solidFill>
                <a:srgbClr val="C00000"/>
              </a:solidFill>
              <a:prstDash val="dash"/>
            </a:ln>
          </c:spPr>
          <c:marker>
            <c:symbol val="none"/>
          </c:marker>
          <c:xVal>
            <c:numRef>
              <c:f>'Business inome'!$D$2:$D$51</c:f>
              <c:numCache>
                <c:formatCode>General</c:formatCode>
                <c:ptCount val="50"/>
                <c:pt idx="0">
                  <c:v>-451</c:v>
                </c:pt>
                <c:pt idx="1">
                  <c:v>-344.95918</c:v>
                </c:pt>
                <c:pt idx="2">
                  <c:v>-238.91837000000001</c:v>
                </c:pt>
                <c:pt idx="3">
                  <c:v>-132.87755000000001</c:v>
                </c:pt>
                <c:pt idx="4">
                  <c:v>-26.836735000000001</c:v>
                </c:pt>
                <c:pt idx="5">
                  <c:v>79.204082</c:v>
                </c:pt>
                <c:pt idx="6">
                  <c:v>185.2449</c:v>
                </c:pt>
                <c:pt idx="7">
                  <c:v>291.28570999999999</c:v>
                </c:pt>
                <c:pt idx="8">
                  <c:v>397.32652999999999</c:v>
                </c:pt>
                <c:pt idx="9">
                  <c:v>503.36734999999999</c:v>
                </c:pt>
                <c:pt idx="10">
                  <c:v>609.40815999999995</c:v>
                </c:pt>
                <c:pt idx="11">
                  <c:v>715.44898000000001</c:v>
                </c:pt>
                <c:pt idx="12">
                  <c:v>821.48979999999995</c:v>
                </c:pt>
                <c:pt idx="13">
                  <c:v>927.53061000000002</c:v>
                </c:pt>
                <c:pt idx="14">
                  <c:v>1033.5714</c:v>
                </c:pt>
                <c:pt idx="15">
                  <c:v>1139.6122</c:v>
                </c:pt>
                <c:pt idx="16">
                  <c:v>1245.6531</c:v>
                </c:pt>
                <c:pt idx="17">
                  <c:v>1351.6939</c:v>
                </c:pt>
                <c:pt idx="18">
                  <c:v>1457.7347</c:v>
                </c:pt>
                <c:pt idx="19">
                  <c:v>1563.7755</c:v>
                </c:pt>
                <c:pt idx="20">
                  <c:v>1669.8163</c:v>
                </c:pt>
                <c:pt idx="21">
                  <c:v>1775.8570999999999</c:v>
                </c:pt>
                <c:pt idx="22">
                  <c:v>1881.8979999999999</c:v>
                </c:pt>
                <c:pt idx="23">
                  <c:v>1987.9387999999999</c:v>
                </c:pt>
                <c:pt idx="24">
                  <c:v>2093.9796000000001</c:v>
                </c:pt>
                <c:pt idx="25">
                  <c:v>2200.0203999999999</c:v>
                </c:pt>
                <c:pt idx="26">
                  <c:v>2306.0612000000001</c:v>
                </c:pt>
                <c:pt idx="27">
                  <c:v>2412.1019999999999</c:v>
                </c:pt>
                <c:pt idx="28">
                  <c:v>2518.1428999999998</c:v>
                </c:pt>
                <c:pt idx="29">
                  <c:v>2624.1837</c:v>
                </c:pt>
                <c:pt idx="30">
                  <c:v>2730.2244999999998</c:v>
                </c:pt>
                <c:pt idx="31">
                  <c:v>2836.2653</c:v>
                </c:pt>
                <c:pt idx="32">
                  <c:v>2942.3060999999998</c:v>
                </c:pt>
                <c:pt idx="33">
                  <c:v>3048.3469</c:v>
                </c:pt>
                <c:pt idx="34">
                  <c:v>3154.3878</c:v>
                </c:pt>
                <c:pt idx="35">
                  <c:v>3260.4286000000002</c:v>
                </c:pt>
                <c:pt idx="36">
                  <c:v>3366.4694</c:v>
                </c:pt>
                <c:pt idx="37">
                  <c:v>3472.5102000000002</c:v>
                </c:pt>
                <c:pt idx="38">
                  <c:v>3578.5509999999999</c:v>
                </c:pt>
                <c:pt idx="39">
                  <c:v>3684.5918000000001</c:v>
                </c:pt>
                <c:pt idx="40">
                  <c:v>3790.6327000000001</c:v>
                </c:pt>
                <c:pt idx="41">
                  <c:v>3896.6734999999999</c:v>
                </c:pt>
                <c:pt idx="42">
                  <c:v>4002.7143000000001</c:v>
                </c:pt>
                <c:pt idx="43">
                  <c:v>4108.7551000000003</c:v>
                </c:pt>
                <c:pt idx="44">
                  <c:v>4214.7959000000001</c:v>
                </c:pt>
                <c:pt idx="45">
                  <c:v>4320.8366999999998</c:v>
                </c:pt>
                <c:pt idx="46">
                  <c:v>4426.8775999999998</c:v>
                </c:pt>
                <c:pt idx="47">
                  <c:v>4532.9183999999996</c:v>
                </c:pt>
                <c:pt idx="48">
                  <c:v>4638.9592000000002</c:v>
                </c:pt>
                <c:pt idx="49">
                  <c:v>4745</c:v>
                </c:pt>
              </c:numCache>
            </c:numRef>
          </c:xVal>
          <c:yVal>
            <c:numRef>
              <c:f>'Business inome'!$E$2:$E$51</c:f>
              <c:numCache>
                <c:formatCode>General</c:formatCode>
                <c:ptCount val="50"/>
                <c:pt idx="0">
                  <c:v>2.1355000000000002E-3</c:v>
                </c:pt>
                <c:pt idx="1">
                  <c:v>7.1514999999999999E-3</c:v>
                </c:pt>
                <c:pt idx="2">
                  <c:v>8.1370000000000001E-3</c:v>
                </c:pt>
                <c:pt idx="3">
                  <c:v>1.6893999999999999E-2</c:v>
                </c:pt>
                <c:pt idx="4">
                  <c:v>3.9723999999999995E-2</c:v>
                </c:pt>
                <c:pt idx="5">
                  <c:v>4.63065E-2</c:v>
                </c:pt>
                <c:pt idx="6">
                  <c:v>3.7399500000000002E-2</c:v>
                </c:pt>
                <c:pt idx="7">
                  <c:v>3.3843499999999999E-2</c:v>
                </c:pt>
                <c:pt idx="8">
                  <c:v>3.6913499999999995E-2</c:v>
                </c:pt>
                <c:pt idx="9">
                  <c:v>3.4900500000000001E-2</c:v>
                </c:pt>
                <c:pt idx="10">
                  <c:v>2.9170999999999999E-2</c:v>
                </c:pt>
                <c:pt idx="11">
                  <c:v>2.9293500000000004E-2</c:v>
                </c:pt>
                <c:pt idx="12">
                  <c:v>2.4098500000000002E-2</c:v>
                </c:pt>
                <c:pt idx="13">
                  <c:v>1.7953E-2</c:v>
                </c:pt>
                <c:pt idx="14">
                  <c:v>1.9601E-2</c:v>
                </c:pt>
                <c:pt idx="15">
                  <c:v>1.2333499999999999E-2</c:v>
                </c:pt>
                <c:pt idx="16">
                  <c:v>1.2419500000000002E-2</c:v>
                </c:pt>
                <c:pt idx="17">
                  <c:v>8.0599999999999995E-3</c:v>
                </c:pt>
                <c:pt idx="18">
                  <c:v>4.5799999999999999E-3</c:v>
                </c:pt>
                <c:pt idx="19">
                  <c:v>4.3070000000000001E-3</c:v>
                </c:pt>
                <c:pt idx="20">
                  <c:v>3.6554999999999999E-3</c:v>
                </c:pt>
                <c:pt idx="21">
                  <c:v>2.7004999999999998E-3</c:v>
                </c:pt>
                <c:pt idx="22">
                  <c:v>7.3569999999999998E-3</c:v>
                </c:pt>
                <c:pt idx="23">
                  <c:v>4.3835000000000002E-3</c:v>
                </c:pt>
                <c:pt idx="24">
                  <c:v>2.1290000000000002E-3</c:v>
                </c:pt>
                <c:pt idx="25">
                  <c:v>3.8124999999999999E-3</c:v>
                </c:pt>
                <c:pt idx="26">
                  <c:v>2.7920000000000002E-3</c:v>
                </c:pt>
                <c:pt idx="27">
                  <c:v>2.3960000000000001E-3</c:v>
                </c:pt>
                <c:pt idx="28">
                  <c:v>1.3319999999999999E-3</c:v>
                </c:pt>
                <c:pt idx="29">
                  <c:v>1.4145E-3</c:v>
                </c:pt>
                <c:pt idx="30">
                  <c:v>9.77E-4</c:v>
                </c:pt>
                <c:pt idx="31">
                  <c:v>1.3030000000000001E-3</c:v>
                </c:pt>
                <c:pt idx="32">
                  <c:v>1.3944999999999999E-3</c:v>
                </c:pt>
                <c:pt idx="33">
                  <c:v>1.0530000000000001E-3</c:v>
                </c:pt>
                <c:pt idx="34">
                  <c:v>1.9480000000000001E-3</c:v>
                </c:pt>
                <c:pt idx="35">
                  <c:v>1.2689999999999999E-3</c:v>
                </c:pt>
                <c:pt idx="36">
                  <c:v>2.9224999999999998E-4</c:v>
                </c:pt>
                <c:pt idx="37">
                  <c:v>0</c:v>
                </c:pt>
                <c:pt idx="38">
                  <c:v>0</c:v>
                </c:pt>
                <c:pt idx="39">
                  <c:v>4.661E-4</c:v>
                </c:pt>
                <c:pt idx="40">
                  <c:v>9.7499999999999996E-4</c:v>
                </c:pt>
                <c:pt idx="41">
                  <c:v>0</c:v>
                </c:pt>
                <c:pt idx="42">
                  <c:v>0</c:v>
                </c:pt>
                <c:pt idx="43">
                  <c:v>2.0899999999999998E-4</c:v>
                </c:pt>
                <c:pt idx="44">
                  <c:v>1.0865E-3</c:v>
                </c:pt>
                <c:pt idx="45">
                  <c:v>2.9085E-4</c:v>
                </c:pt>
                <c:pt idx="46">
                  <c:v>5.5099999999999995E-4</c:v>
                </c:pt>
                <c:pt idx="47">
                  <c:v>5.0599999999999994E-4</c:v>
                </c:pt>
                <c:pt idx="48">
                  <c:v>6.0000000000000006E-4</c:v>
                </c:pt>
                <c:pt idx="49">
                  <c:v>6.4099999999999997E-4</c:v>
                </c:pt>
              </c:numCache>
            </c:numRef>
          </c:yVal>
          <c:smooth val="1"/>
        </c:ser>
        <c:dLbls>
          <c:showLegendKey val="0"/>
          <c:showVal val="0"/>
          <c:showCatName val="0"/>
          <c:showSerName val="0"/>
          <c:showPercent val="0"/>
          <c:showBubbleSize val="0"/>
        </c:dLbls>
        <c:axId val="212326656"/>
        <c:axId val="222686208"/>
      </c:scatterChart>
      <c:valAx>
        <c:axId val="212326656"/>
        <c:scaling>
          <c:orientation val="minMax"/>
          <c:max val="5000"/>
          <c:min val="-500"/>
        </c:scaling>
        <c:delete val="0"/>
        <c:axPos val="b"/>
        <c:numFmt formatCode="General" sourceLinked="1"/>
        <c:majorTickMark val="out"/>
        <c:minorTickMark val="none"/>
        <c:tickLblPos val="nextTo"/>
        <c:crossAx val="222686208"/>
        <c:crosses val="autoZero"/>
        <c:crossBetween val="midCat"/>
      </c:valAx>
      <c:valAx>
        <c:axId val="222686208"/>
        <c:scaling>
          <c:orientation val="minMax"/>
          <c:min val="0"/>
        </c:scaling>
        <c:delete val="0"/>
        <c:axPos val="l"/>
        <c:majorGridlines>
          <c:spPr>
            <a:ln>
              <a:solidFill>
                <a:schemeClr val="bg1">
                  <a:lumMod val="50000"/>
                </a:schemeClr>
              </a:solidFill>
            </a:ln>
          </c:spPr>
        </c:majorGridlines>
        <c:numFmt formatCode="General" sourceLinked="1"/>
        <c:majorTickMark val="out"/>
        <c:minorTickMark val="none"/>
        <c:tickLblPos val="low"/>
        <c:crossAx val="212326656"/>
        <c:crosses val="autoZero"/>
        <c:crossBetween val="midCat"/>
      </c:valAx>
    </c:plotArea>
    <c:legend>
      <c:legendPos val="b"/>
      <c:layout/>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599027777777778"/>
          <c:y val="5.336875E-2"/>
          <c:w val="0.79283680555555558"/>
          <c:h val="0.66124513888888892"/>
        </c:manualLayout>
      </c:layout>
      <c:scatterChart>
        <c:scatterStyle val="smoothMarker"/>
        <c:varyColors val="0"/>
        <c:ser>
          <c:idx val="0"/>
          <c:order val="0"/>
          <c:tx>
            <c:strRef>
              <c:f>'Total income'!$F$1</c:f>
              <c:strCache>
                <c:ptCount val="1"/>
                <c:pt idx="0">
                  <c:v>Gross income- new basis</c:v>
                </c:pt>
              </c:strCache>
            </c:strRef>
          </c:tx>
          <c:spPr>
            <a:ln w="19050">
              <a:solidFill>
                <a:schemeClr val="accent1">
                  <a:lumMod val="75000"/>
                </a:schemeClr>
              </a:solidFill>
            </a:ln>
          </c:spPr>
          <c:marker>
            <c:symbol val="none"/>
          </c:marker>
          <c:xVal>
            <c:numRef>
              <c:f>'Total income'!$D$2:$D$6958</c:f>
              <c:numCache>
                <c:formatCode>General</c:formatCode>
                <c:ptCount val="6957"/>
                <c:pt idx="0">
                  <c:v>-49</c:v>
                </c:pt>
                <c:pt idx="1">
                  <c:v>54.326531000000003</c:v>
                </c:pt>
                <c:pt idx="2">
                  <c:v>157.65306000000001</c:v>
                </c:pt>
                <c:pt idx="3">
                  <c:v>260.97958999999997</c:v>
                </c:pt>
                <c:pt idx="4">
                  <c:v>364.30612000000002</c:v>
                </c:pt>
                <c:pt idx="5">
                  <c:v>467.63265000000001</c:v>
                </c:pt>
                <c:pt idx="6">
                  <c:v>570.95917999999995</c:v>
                </c:pt>
                <c:pt idx="7">
                  <c:v>674.28570999999999</c:v>
                </c:pt>
                <c:pt idx="8">
                  <c:v>777.61224000000004</c:v>
                </c:pt>
                <c:pt idx="9">
                  <c:v>880.93877999999995</c:v>
                </c:pt>
                <c:pt idx="10">
                  <c:v>984.26531</c:v>
                </c:pt>
                <c:pt idx="11">
                  <c:v>1087.5917999999999</c:v>
                </c:pt>
                <c:pt idx="12">
                  <c:v>1190.9184</c:v>
                </c:pt>
                <c:pt idx="13">
                  <c:v>1294.2448999999999</c:v>
                </c:pt>
                <c:pt idx="14">
                  <c:v>1397.5714</c:v>
                </c:pt>
                <c:pt idx="15">
                  <c:v>1500.8979999999999</c:v>
                </c:pt>
                <c:pt idx="16">
                  <c:v>1604.2245</c:v>
                </c:pt>
                <c:pt idx="17">
                  <c:v>1707.5509999999999</c:v>
                </c:pt>
                <c:pt idx="18">
                  <c:v>1810.8776</c:v>
                </c:pt>
                <c:pt idx="19">
                  <c:v>1914.2040999999999</c:v>
                </c:pt>
                <c:pt idx="20">
                  <c:v>2017.5306</c:v>
                </c:pt>
                <c:pt idx="21">
                  <c:v>2120.8571000000002</c:v>
                </c:pt>
                <c:pt idx="22">
                  <c:v>2224.1837</c:v>
                </c:pt>
                <c:pt idx="23">
                  <c:v>2327.5102000000002</c:v>
                </c:pt>
                <c:pt idx="24">
                  <c:v>2430.8366999999998</c:v>
                </c:pt>
                <c:pt idx="25">
                  <c:v>2534.1633000000002</c:v>
                </c:pt>
                <c:pt idx="26">
                  <c:v>2637.4897999999998</c:v>
                </c:pt>
                <c:pt idx="27">
                  <c:v>2740.8163</c:v>
                </c:pt>
                <c:pt idx="28">
                  <c:v>2844.1428999999998</c:v>
                </c:pt>
                <c:pt idx="29">
                  <c:v>2947.4694</c:v>
                </c:pt>
                <c:pt idx="30">
                  <c:v>3050.7959000000001</c:v>
                </c:pt>
                <c:pt idx="31">
                  <c:v>3154.1224000000002</c:v>
                </c:pt>
                <c:pt idx="32">
                  <c:v>3257.4490000000001</c:v>
                </c:pt>
                <c:pt idx="33">
                  <c:v>3360.7755000000002</c:v>
                </c:pt>
                <c:pt idx="34">
                  <c:v>3464.1019999999999</c:v>
                </c:pt>
                <c:pt idx="35">
                  <c:v>3567.4286000000002</c:v>
                </c:pt>
                <c:pt idx="36">
                  <c:v>3670.7550999999999</c:v>
                </c:pt>
                <c:pt idx="37">
                  <c:v>3774.0816</c:v>
                </c:pt>
                <c:pt idx="38">
                  <c:v>3877.4081999999999</c:v>
                </c:pt>
                <c:pt idx="39">
                  <c:v>3980.7347</c:v>
                </c:pt>
                <c:pt idx="40">
                  <c:v>4084.0612000000001</c:v>
                </c:pt>
                <c:pt idx="41">
                  <c:v>4187.3878000000004</c:v>
                </c:pt>
                <c:pt idx="42">
                  <c:v>4290.7142999999996</c:v>
                </c:pt>
                <c:pt idx="43">
                  <c:v>4394.0407999999998</c:v>
                </c:pt>
                <c:pt idx="44">
                  <c:v>4497.3672999999999</c:v>
                </c:pt>
                <c:pt idx="45">
                  <c:v>4600.6939000000002</c:v>
                </c:pt>
                <c:pt idx="46">
                  <c:v>4704.0204000000003</c:v>
                </c:pt>
                <c:pt idx="47">
                  <c:v>4807.3468999999996</c:v>
                </c:pt>
                <c:pt idx="48">
                  <c:v>4910.6734999999999</c:v>
                </c:pt>
                <c:pt idx="49">
                  <c:v>5014</c:v>
                </c:pt>
              </c:numCache>
            </c:numRef>
          </c:xVal>
          <c:yVal>
            <c:numRef>
              <c:f>'Total income'!$E$2:$E$6958</c:f>
              <c:numCache>
                <c:formatCode>General</c:formatCode>
                <c:ptCount val="6957"/>
                <c:pt idx="0">
                  <c:v>1.3235E-3</c:v>
                </c:pt>
                <c:pt idx="1">
                  <c:v>3.5379999999999995E-3</c:v>
                </c:pt>
                <c:pt idx="2">
                  <c:v>1.9033499999999998E-2</c:v>
                </c:pt>
                <c:pt idx="3">
                  <c:v>3.7628500000000002E-2</c:v>
                </c:pt>
                <c:pt idx="4">
                  <c:v>3.53645E-2</c:v>
                </c:pt>
                <c:pt idx="5">
                  <c:v>3.86395E-2</c:v>
                </c:pt>
                <c:pt idx="6">
                  <c:v>3.0683499999999999E-2</c:v>
                </c:pt>
                <c:pt idx="7">
                  <c:v>2.6675000000000001E-2</c:v>
                </c:pt>
                <c:pt idx="8">
                  <c:v>2.4774999999999998E-2</c:v>
                </c:pt>
                <c:pt idx="9">
                  <c:v>2.5624500000000001E-2</c:v>
                </c:pt>
                <c:pt idx="10">
                  <c:v>2.5790500000000001E-2</c:v>
                </c:pt>
                <c:pt idx="11">
                  <c:v>2.3544000000000002E-2</c:v>
                </c:pt>
                <c:pt idx="12">
                  <c:v>2.21535E-2</c:v>
                </c:pt>
                <c:pt idx="13">
                  <c:v>2.07285E-2</c:v>
                </c:pt>
                <c:pt idx="14">
                  <c:v>1.7829500000000002E-2</c:v>
                </c:pt>
                <c:pt idx="15">
                  <c:v>1.6657499999999999E-2</c:v>
                </c:pt>
                <c:pt idx="16">
                  <c:v>1.4376499999999999E-2</c:v>
                </c:pt>
                <c:pt idx="17">
                  <c:v>1.315E-2</c:v>
                </c:pt>
                <c:pt idx="18">
                  <c:v>1.1903500000000001E-2</c:v>
                </c:pt>
                <c:pt idx="19">
                  <c:v>1.0505500000000001E-2</c:v>
                </c:pt>
                <c:pt idx="20">
                  <c:v>9.0425000000000002E-3</c:v>
                </c:pt>
                <c:pt idx="21">
                  <c:v>7.0870000000000004E-3</c:v>
                </c:pt>
                <c:pt idx="22">
                  <c:v>6.1774999999999998E-3</c:v>
                </c:pt>
                <c:pt idx="23">
                  <c:v>6.0460000000000002E-3</c:v>
                </c:pt>
                <c:pt idx="24">
                  <c:v>5.1329999999999995E-3</c:v>
                </c:pt>
                <c:pt idx="25">
                  <c:v>4.6134999999999995E-3</c:v>
                </c:pt>
                <c:pt idx="26">
                  <c:v>3.7784999999999997E-3</c:v>
                </c:pt>
                <c:pt idx="27">
                  <c:v>3.2150000000000004E-3</c:v>
                </c:pt>
                <c:pt idx="28">
                  <c:v>2.4255000000000001E-3</c:v>
                </c:pt>
                <c:pt idx="29">
                  <c:v>2.0105000000000001E-3</c:v>
                </c:pt>
                <c:pt idx="30">
                  <c:v>1.6595E-3</c:v>
                </c:pt>
                <c:pt idx="31">
                  <c:v>1.6455E-3</c:v>
                </c:pt>
                <c:pt idx="32">
                  <c:v>1.5335000000000001E-3</c:v>
                </c:pt>
                <c:pt idx="33">
                  <c:v>1.3760000000000001E-3</c:v>
                </c:pt>
                <c:pt idx="34">
                  <c:v>1.0499999999999999E-3</c:v>
                </c:pt>
                <c:pt idx="35">
                  <c:v>9.4399999999999996E-4</c:v>
                </c:pt>
                <c:pt idx="36">
                  <c:v>8.4900000000000004E-4</c:v>
                </c:pt>
                <c:pt idx="37">
                  <c:v>6.4150000000000003E-4</c:v>
                </c:pt>
                <c:pt idx="38">
                  <c:v>4.6190000000000001E-4</c:v>
                </c:pt>
                <c:pt idx="39">
                  <c:v>5.2399999999999994E-4</c:v>
                </c:pt>
                <c:pt idx="40">
                  <c:v>5.3850000000000002E-4</c:v>
                </c:pt>
                <c:pt idx="41">
                  <c:v>4.5695000000000002E-4</c:v>
                </c:pt>
                <c:pt idx="42">
                  <c:v>2.9739999999999996E-4</c:v>
                </c:pt>
                <c:pt idx="43">
                  <c:v>5.8699999999999996E-4</c:v>
                </c:pt>
                <c:pt idx="44">
                  <c:v>4.617E-4</c:v>
                </c:pt>
                <c:pt idx="45">
                  <c:v>2.3095E-4</c:v>
                </c:pt>
                <c:pt idx="46">
                  <c:v>2.8105000000000003E-4</c:v>
                </c:pt>
                <c:pt idx="47">
                  <c:v>1.7165E-4</c:v>
                </c:pt>
                <c:pt idx="48">
                  <c:v>1.6395E-4</c:v>
                </c:pt>
                <c:pt idx="49">
                  <c:v>1.2205E-4</c:v>
                </c:pt>
              </c:numCache>
            </c:numRef>
          </c:yVal>
          <c:smooth val="1"/>
        </c:ser>
        <c:ser>
          <c:idx val="1"/>
          <c:order val="1"/>
          <c:tx>
            <c:strRef>
              <c:f>'Total income'!$C$1</c:f>
              <c:strCache>
                <c:ptCount val="1"/>
                <c:pt idx="0">
                  <c:v>Gross income - old basis</c:v>
                </c:pt>
              </c:strCache>
            </c:strRef>
          </c:tx>
          <c:spPr>
            <a:ln w="19050">
              <a:solidFill>
                <a:srgbClr val="C00000"/>
              </a:solidFill>
              <a:prstDash val="dash"/>
            </a:ln>
          </c:spPr>
          <c:marker>
            <c:symbol val="none"/>
          </c:marker>
          <c:xVal>
            <c:numRef>
              <c:f>'Total income'!$A$2:$A$51</c:f>
              <c:numCache>
                <c:formatCode>General</c:formatCode>
                <c:ptCount val="50"/>
                <c:pt idx="0">
                  <c:v>-49.5</c:v>
                </c:pt>
                <c:pt idx="1">
                  <c:v>54.183672999999999</c:v>
                </c:pt>
                <c:pt idx="2">
                  <c:v>157.86734999999999</c:v>
                </c:pt>
                <c:pt idx="3">
                  <c:v>261.55101999999999</c:v>
                </c:pt>
                <c:pt idx="4">
                  <c:v>365.23469</c:v>
                </c:pt>
                <c:pt idx="5">
                  <c:v>468.91836999999998</c:v>
                </c:pt>
                <c:pt idx="6">
                  <c:v>572.60203999999999</c:v>
                </c:pt>
                <c:pt idx="7">
                  <c:v>676.28570999999999</c:v>
                </c:pt>
                <c:pt idx="8">
                  <c:v>779.96938999999998</c:v>
                </c:pt>
                <c:pt idx="9">
                  <c:v>883.65305999999998</c:v>
                </c:pt>
                <c:pt idx="10">
                  <c:v>987.33672999999999</c:v>
                </c:pt>
                <c:pt idx="11">
                  <c:v>1091.0204000000001</c:v>
                </c:pt>
                <c:pt idx="12">
                  <c:v>1194.7040999999999</c:v>
                </c:pt>
                <c:pt idx="13">
                  <c:v>1298.3878</c:v>
                </c:pt>
                <c:pt idx="14">
                  <c:v>1402.0714</c:v>
                </c:pt>
                <c:pt idx="15">
                  <c:v>1505.7551000000001</c:v>
                </c:pt>
                <c:pt idx="16">
                  <c:v>1609.4387999999999</c:v>
                </c:pt>
                <c:pt idx="17">
                  <c:v>1713.1224</c:v>
                </c:pt>
                <c:pt idx="18">
                  <c:v>1816.8061</c:v>
                </c:pt>
                <c:pt idx="19">
                  <c:v>1920.4898000000001</c:v>
                </c:pt>
                <c:pt idx="20">
                  <c:v>2024.1735000000001</c:v>
                </c:pt>
                <c:pt idx="21">
                  <c:v>2127.8571000000002</c:v>
                </c:pt>
                <c:pt idx="22">
                  <c:v>2231.5408000000002</c:v>
                </c:pt>
                <c:pt idx="23">
                  <c:v>2335.2244999999998</c:v>
                </c:pt>
                <c:pt idx="24">
                  <c:v>2438.9081999999999</c:v>
                </c:pt>
                <c:pt idx="25">
                  <c:v>2542.5918000000001</c:v>
                </c:pt>
                <c:pt idx="26">
                  <c:v>2646.2755000000002</c:v>
                </c:pt>
                <c:pt idx="27">
                  <c:v>2749.9591999999998</c:v>
                </c:pt>
                <c:pt idx="28">
                  <c:v>2853.6428999999998</c:v>
                </c:pt>
                <c:pt idx="29">
                  <c:v>2957.3265000000001</c:v>
                </c:pt>
                <c:pt idx="30">
                  <c:v>3061.0102000000002</c:v>
                </c:pt>
                <c:pt idx="31">
                  <c:v>3164.6939000000002</c:v>
                </c:pt>
                <c:pt idx="32">
                  <c:v>3268.3775999999998</c:v>
                </c:pt>
                <c:pt idx="33">
                  <c:v>3372.0612000000001</c:v>
                </c:pt>
                <c:pt idx="34">
                  <c:v>3475.7449000000001</c:v>
                </c:pt>
                <c:pt idx="35">
                  <c:v>3579.4286000000002</c:v>
                </c:pt>
                <c:pt idx="36">
                  <c:v>3683.1122</c:v>
                </c:pt>
                <c:pt idx="37">
                  <c:v>3786.7959000000001</c:v>
                </c:pt>
                <c:pt idx="38">
                  <c:v>3890.4796000000001</c:v>
                </c:pt>
                <c:pt idx="39">
                  <c:v>3994.1633000000002</c:v>
                </c:pt>
                <c:pt idx="40">
                  <c:v>4097.8468999999996</c:v>
                </c:pt>
                <c:pt idx="41">
                  <c:v>4201.5306</c:v>
                </c:pt>
                <c:pt idx="42">
                  <c:v>4305.2142999999996</c:v>
                </c:pt>
                <c:pt idx="43">
                  <c:v>4408.8980000000001</c:v>
                </c:pt>
                <c:pt idx="44">
                  <c:v>4512.5816000000004</c:v>
                </c:pt>
                <c:pt idx="45">
                  <c:v>4616.2653</c:v>
                </c:pt>
                <c:pt idx="46">
                  <c:v>4719.9489999999996</c:v>
                </c:pt>
                <c:pt idx="47">
                  <c:v>4823.6327000000001</c:v>
                </c:pt>
                <c:pt idx="48">
                  <c:v>4927.3163000000004</c:v>
                </c:pt>
                <c:pt idx="49">
                  <c:v>5031</c:v>
                </c:pt>
              </c:numCache>
            </c:numRef>
          </c:xVal>
          <c:yVal>
            <c:numRef>
              <c:f>'Total income'!$B$2:$B$51</c:f>
              <c:numCache>
                <c:formatCode>General</c:formatCode>
                <c:ptCount val="50"/>
                <c:pt idx="0">
                  <c:v>1.2570000000000001E-3</c:v>
                </c:pt>
                <c:pt idx="1">
                  <c:v>3.7725000000000002E-3</c:v>
                </c:pt>
                <c:pt idx="2">
                  <c:v>1.9751999999999999E-2</c:v>
                </c:pt>
                <c:pt idx="3">
                  <c:v>3.8008999999999994E-2</c:v>
                </c:pt>
                <c:pt idx="4">
                  <c:v>3.5848999999999999E-2</c:v>
                </c:pt>
                <c:pt idx="5">
                  <c:v>3.8615499999999997E-2</c:v>
                </c:pt>
                <c:pt idx="6">
                  <c:v>3.0263000000000002E-2</c:v>
                </c:pt>
                <c:pt idx="7">
                  <c:v>2.6262500000000001E-2</c:v>
                </c:pt>
                <c:pt idx="8">
                  <c:v>2.4448999999999999E-2</c:v>
                </c:pt>
                <c:pt idx="9">
                  <c:v>2.5350999999999999E-2</c:v>
                </c:pt>
                <c:pt idx="10">
                  <c:v>2.5019000000000003E-2</c:v>
                </c:pt>
                <c:pt idx="11">
                  <c:v>2.3597E-2</c:v>
                </c:pt>
                <c:pt idx="12">
                  <c:v>2.1958000000000002E-2</c:v>
                </c:pt>
                <c:pt idx="13">
                  <c:v>2.0208E-2</c:v>
                </c:pt>
                <c:pt idx="14">
                  <c:v>1.74845E-2</c:v>
                </c:pt>
                <c:pt idx="15">
                  <c:v>1.6684999999999998E-2</c:v>
                </c:pt>
                <c:pt idx="16">
                  <c:v>1.5051E-2</c:v>
                </c:pt>
                <c:pt idx="17">
                  <c:v>1.2938000000000002E-2</c:v>
                </c:pt>
                <c:pt idx="18">
                  <c:v>1.1833E-2</c:v>
                </c:pt>
                <c:pt idx="19">
                  <c:v>1.0093E-2</c:v>
                </c:pt>
                <c:pt idx="20">
                  <c:v>8.8979999999999997E-3</c:v>
                </c:pt>
                <c:pt idx="21">
                  <c:v>6.3344999999999999E-3</c:v>
                </c:pt>
                <c:pt idx="22">
                  <c:v>5.9715000000000002E-3</c:v>
                </c:pt>
                <c:pt idx="23">
                  <c:v>5.6680000000000003E-3</c:v>
                </c:pt>
                <c:pt idx="24">
                  <c:v>5.0739999999999995E-3</c:v>
                </c:pt>
                <c:pt idx="25">
                  <c:v>5.3100000000000005E-3</c:v>
                </c:pt>
                <c:pt idx="26">
                  <c:v>4.3755E-3</c:v>
                </c:pt>
                <c:pt idx="27">
                  <c:v>3.107E-3</c:v>
                </c:pt>
                <c:pt idx="28">
                  <c:v>2.1015000000000001E-3</c:v>
                </c:pt>
                <c:pt idx="29">
                  <c:v>1.9884999999999998E-3</c:v>
                </c:pt>
                <c:pt idx="30">
                  <c:v>2.1129999999999999E-3</c:v>
                </c:pt>
                <c:pt idx="31">
                  <c:v>1.5840000000000001E-3</c:v>
                </c:pt>
                <c:pt idx="32">
                  <c:v>1.261E-3</c:v>
                </c:pt>
                <c:pt idx="33">
                  <c:v>1.155E-3</c:v>
                </c:pt>
                <c:pt idx="34">
                  <c:v>8.8550000000000011E-4</c:v>
                </c:pt>
                <c:pt idx="35">
                  <c:v>8.6000000000000009E-4</c:v>
                </c:pt>
                <c:pt idx="36">
                  <c:v>6.5649999999999997E-4</c:v>
                </c:pt>
                <c:pt idx="37">
                  <c:v>4.7334999999999999E-4</c:v>
                </c:pt>
                <c:pt idx="38">
                  <c:v>6.535E-4</c:v>
                </c:pt>
                <c:pt idx="39">
                  <c:v>6.0549999999999992E-4</c:v>
                </c:pt>
                <c:pt idx="40">
                  <c:v>2.6504999999999996E-4</c:v>
                </c:pt>
                <c:pt idx="41">
                  <c:v>3.1869999999999999E-4</c:v>
                </c:pt>
                <c:pt idx="42">
                  <c:v>5.0599999999999994E-4</c:v>
                </c:pt>
                <c:pt idx="43">
                  <c:v>5.2800000000000004E-4</c:v>
                </c:pt>
                <c:pt idx="44">
                  <c:v>3.546E-4</c:v>
                </c:pt>
                <c:pt idx="45">
                  <c:v>2.8735000000000002E-4</c:v>
                </c:pt>
                <c:pt idx="46">
                  <c:v>4.3000000000000004E-4</c:v>
                </c:pt>
                <c:pt idx="47">
                  <c:v>3.0889999999999997E-4</c:v>
                </c:pt>
                <c:pt idx="48">
                  <c:v>2.878E-4</c:v>
                </c:pt>
                <c:pt idx="49">
                  <c:v>1.2320000000000001E-4</c:v>
                </c:pt>
              </c:numCache>
            </c:numRef>
          </c:yVal>
          <c:smooth val="1"/>
        </c:ser>
        <c:dLbls>
          <c:showLegendKey val="0"/>
          <c:showVal val="0"/>
          <c:showCatName val="0"/>
          <c:showSerName val="0"/>
          <c:showPercent val="0"/>
          <c:showBubbleSize val="0"/>
        </c:dLbls>
        <c:axId val="206021760"/>
        <c:axId val="206023296"/>
      </c:scatterChart>
      <c:valAx>
        <c:axId val="206021760"/>
        <c:scaling>
          <c:orientation val="minMax"/>
          <c:max val="5000"/>
          <c:min val="-500"/>
        </c:scaling>
        <c:delete val="0"/>
        <c:axPos val="b"/>
        <c:numFmt formatCode="General" sourceLinked="1"/>
        <c:majorTickMark val="out"/>
        <c:minorTickMark val="none"/>
        <c:tickLblPos val="nextTo"/>
        <c:crossAx val="206023296"/>
        <c:crosses val="autoZero"/>
        <c:crossBetween val="midCat"/>
      </c:valAx>
      <c:valAx>
        <c:axId val="206023296"/>
        <c:scaling>
          <c:orientation val="minMax"/>
        </c:scaling>
        <c:delete val="0"/>
        <c:axPos val="l"/>
        <c:majorGridlines>
          <c:spPr>
            <a:ln>
              <a:solidFill>
                <a:schemeClr val="bg1">
                  <a:lumMod val="50000"/>
                </a:schemeClr>
              </a:solidFill>
            </a:ln>
          </c:spPr>
        </c:majorGridlines>
        <c:numFmt formatCode="General" sourceLinked="1"/>
        <c:majorTickMark val="out"/>
        <c:minorTickMark val="none"/>
        <c:tickLblPos val="low"/>
        <c:crossAx val="206021760"/>
        <c:crosses val="autoZero"/>
        <c:crossBetween val="midCat"/>
      </c:valAx>
    </c:plotArea>
    <c:legend>
      <c:legendPos val="b"/>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944893464092383"/>
          <c:y val="2.6899003270140238E-2"/>
          <c:w val="0.84302774176436657"/>
          <c:h val="0.7865005441413272"/>
        </c:manualLayout>
      </c:layout>
      <c:scatterChart>
        <c:scatterStyle val="smoothMarker"/>
        <c:varyColors val="0"/>
        <c:ser>
          <c:idx val="0"/>
          <c:order val="0"/>
          <c:tx>
            <c:strRef>
              <c:f>'09-10 Total'!$C$1</c:f>
              <c:strCache>
                <c:ptCount val="1"/>
                <c:pt idx="0">
                  <c:v>Gross income - 09/10 basis</c:v>
                </c:pt>
              </c:strCache>
            </c:strRef>
          </c:tx>
          <c:spPr>
            <a:ln w="19050">
              <a:solidFill>
                <a:srgbClr val="C00000"/>
              </a:solidFill>
            </a:ln>
          </c:spPr>
          <c:marker>
            <c:symbol val="none"/>
          </c:marker>
          <c:xVal>
            <c:numRef>
              <c:f>'09-10 Total'!$A$2:$A$9775</c:f>
              <c:numCache>
                <c:formatCode>General</c:formatCode>
                <c:ptCount val="9774"/>
                <c:pt idx="0">
                  <c:v>-49</c:v>
                </c:pt>
                <c:pt idx="1">
                  <c:v>54.934491000000001</c:v>
                </c:pt>
                <c:pt idx="2">
                  <c:v>158.86897999999999</c:v>
                </c:pt>
                <c:pt idx="3">
                  <c:v>262.80347</c:v>
                </c:pt>
                <c:pt idx="4">
                  <c:v>366.73795999999999</c:v>
                </c:pt>
                <c:pt idx="5">
                  <c:v>470.67245000000003</c:v>
                </c:pt>
                <c:pt idx="6">
                  <c:v>574.60694000000001</c:v>
                </c:pt>
                <c:pt idx="7">
                  <c:v>678.54142999999999</c:v>
                </c:pt>
                <c:pt idx="8">
                  <c:v>782.47591999999997</c:v>
                </c:pt>
                <c:pt idx="9">
                  <c:v>886.41042000000004</c:v>
                </c:pt>
                <c:pt idx="10">
                  <c:v>990.34491000000003</c:v>
                </c:pt>
                <c:pt idx="11">
                  <c:v>1094.2793999999999</c:v>
                </c:pt>
                <c:pt idx="12">
                  <c:v>1198.2139</c:v>
                </c:pt>
                <c:pt idx="13">
                  <c:v>1302.1484</c:v>
                </c:pt>
                <c:pt idx="14">
                  <c:v>1406.0829000000001</c:v>
                </c:pt>
                <c:pt idx="15">
                  <c:v>1510.0174</c:v>
                </c:pt>
                <c:pt idx="16">
                  <c:v>1613.9518</c:v>
                </c:pt>
                <c:pt idx="17">
                  <c:v>1717.8862999999999</c:v>
                </c:pt>
                <c:pt idx="18">
                  <c:v>1821.8208</c:v>
                </c:pt>
                <c:pt idx="19">
                  <c:v>1925.7553</c:v>
                </c:pt>
                <c:pt idx="20">
                  <c:v>2029.6898000000001</c:v>
                </c:pt>
                <c:pt idx="21">
                  <c:v>2133.6242999999999</c:v>
                </c:pt>
                <c:pt idx="22">
                  <c:v>2237.5587999999998</c:v>
                </c:pt>
                <c:pt idx="23">
                  <c:v>2341.4933000000001</c:v>
                </c:pt>
                <c:pt idx="24">
                  <c:v>2445.4277999999999</c:v>
                </c:pt>
                <c:pt idx="25">
                  <c:v>2549.3622999999998</c:v>
                </c:pt>
                <c:pt idx="26">
                  <c:v>2653.2968000000001</c:v>
                </c:pt>
                <c:pt idx="27">
                  <c:v>2757.2312000000002</c:v>
                </c:pt>
                <c:pt idx="28">
                  <c:v>2861.1657</c:v>
                </c:pt>
                <c:pt idx="29">
                  <c:v>2965.1001999999999</c:v>
                </c:pt>
                <c:pt idx="30">
                  <c:v>3069.0347000000002</c:v>
                </c:pt>
                <c:pt idx="31">
                  <c:v>3172.9692</c:v>
                </c:pt>
                <c:pt idx="32">
                  <c:v>3276.9036999999998</c:v>
                </c:pt>
                <c:pt idx="33">
                  <c:v>3380.8382000000001</c:v>
                </c:pt>
                <c:pt idx="34">
                  <c:v>3484.7727</c:v>
                </c:pt>
                <c:pt idx="35">
                  <c:v>3588.7071999999998</c:v>
                </c:pt>
                <c:pt idx="36">
                  <c:v>3692.6417000000001</c:v>
                </c:pt>
                <c:pt idx="37">
                  <c:v>3796.5762</c:v>
                </c:pt>
                <c:pt idx="38">
                  <c:v>3900.5106000000001</c:v>
                </c:pt>
                <c:pt idx="39">
                  <c:v>4004.4450999999999</c:v>
                </c:pt>
                <c:pt idx="40">
                  <c:v>4108.3796000000002</c:v>
                </c:pt>
                <c:pt idx="41">
                  <c:v>4212.3140999999996</c:v>
                </c:pt>
                <c:pt idx="42">
                  <c:v>4316.2485999999999</c:v>
                </c:pt>
                <c:pt idx="43">
                  <c:v>4420.1831000000002</c:v>
                </c:pt>
                <c:pt idx="44">
                  <c:v>4524.1175999999996</c:v>
                </c:pt>
                <c:pt idx="45">
                  <c:v>4628.0520999999999</c:v>
                </c:pt>
                <c:pt idx="46">
                  <c:v>4731.9866000000002</c:v>
                </c:pt>
                <c:pt idx="47">
                  <c:v>4835.9210999999996</c:v>
                </c:pt>
                <c:pt idx="48">
                  <c:v>4939.8554999999997</c:v>
                </c:pt>
                <c:pt idx="49">
                  <c:v>5043.79</c:v>
                </c:pt>
              </c:numCache>
            </c:numRef>
          </c:xVal>
          <c:yVal>
            <c:numRef>
              <c:f>'09-10 Total'!$B$2:$B$9775</c:f>
              <c:numCache>
                <c:formatCode>General</c:formatCode>
                <c:ptCount val="9774"/>
                <c:pt idx="0">
                  <c:v>1.2285E-3</c:v>
                </c:pt>
                <c:pt idx="1">
                  <c:v>3.6054999999999998E-3</c:v>
                </c:pt>
                <c:pt idx="2">
                  <c:v>4.5995000000000003E-3</c:v>
                </c:pt>
                <c:pt idx="3">
                  <c:v>1.88685E-2</c:v>
                </c:pt>
                <c:pt idx="4">
                  <c:v>3.0216999999999997E-2</c:v>
                </c:pt>
                <c:pt idx="5">
                  <c:v>2.39825E-2</c:v>
                </c:pt>
                <c:pt idx="6">
                  <c:v>2.9929499999999998E-2</c:v>
                </c:pt>
                <c:pt idx="7">
                  <c:v>2.5418499999999997E-2</c:v>
                </c:pt>
                <c:pt idx="8">
                  <c:v>2.3064999999999999E-2</c:v>
                </c:pt>
                <c:pt idx="9">
                  <c:v>2.0230500000000002E-2</c:v>
                </c:pt>
                <c:pt idx="10">
                  <c:v>1.7547500000000001E-2</c:v>
                </c:pt>
                <c:pt idx="11">
                  <c:v>1.8169500000000002E-2</c:v>
                </c:pt>
                <c:pt idx="12">
                  <c:v>1.81125E-2</c:v>
                </c:pt>
                <c:pt idx="13">
                  <c:v>1.75085E-2</c:v>
                </c:pt>
                <c:pt idx="14">
                  <c:v>1.5882500000000001E-2</c:v>
                </c:pt>
                <c:pt idx="15">
                  <c:v>1.7160999999999999E-2</c:v>
                </c:pt>
                <c:pt idx="16">
                  <c:v>1.58365E-2</c:v>
                </c:pt>
                <c:pt idx="17">
                  <c:v>1.5138E-2</c:v>
                </c:pt>
                <c:pt idx="18">
                  <c:v>1.4434499999999999E-2</c:v>
                </c:pt>
                <c:pt idx="19">
                  <c:v>1.2683E-2</c:v>
                </c:pt>
                <c:pt idx="20">
                  <c:v>1.09815E-2</c:v>
                </c:pt>
                <c:pt idx="21">
                  <c:v>1.0706500000000001E-2</c:v>
                </c:pt>
                <c:pt idx="22">
                  <c:v>1.1228E-2</c:v>
                </c:pt>
                <c:pt idx="23">
                  <c:v>9.9605000000000006E-3</c:v>
                </c:pt>
                <c:pt idx="24">
                  <c:v>8.8915000000000001E-3</c:v>
                </c:pt>
                <c:pt idx="25">
                  <c:v>8.6995000000000006E-3</c:v>
                </c:pt>
                <c:pt idx="26">
                  <c:v>7.2059999999999997E-3</c:v>
                </c:pt>
                <c:pt idx="27">
                  <c:v>6.4264999999999999E-3</c:v>
                </c:pt>
                <c:pt idx="28">
                  <c:v>6.0085E-3</c:v>
                </c:pt>
                <c:pt idx="29">
                  <c:v>6.5859999999999998E-3</c:v>
                </c:pt>
                <c:pt idx="30">
                  <c:v>5.7834999999999996E-3</c:v>
                </c:pt>
                <c:pt idx="31">
                  <c:v>5.287E-3</c:v>
                </c:pt>
                <c:pt idx="32">
                  <c:v>4.3019999999999994E-3</c:v>
                </c:pt>
                <c:pt idx="33">
                  <c:v>3.5905000000000004E-3</c:v>
                </c:pt>
                <c:pt idx="34">
                  <c:v>3.8985000000000001E-3</c:v>
                </c:pt>
                <c:pt idx="35">
                  <c:v>3.5155E-3</c:v>
                </c:pt>
                <c:pt idx="36">
                  <c:v>3.3000000000000004E-3</c:v>
                </c:pt>
                <c:pt idx="37">
                  <c:v>2.9729999999999999E-3</c:v>
                </c:pt>
                <c:pt idx="38">
                  <c:v>3.0360000000000001E-3</c:v>
                </c:pt>
                <c:pt idx="39">
                  <c:v>2.8895000000000001E-3</c:v>
                </c:pt>
                <c:pt idx="40">
                  <c:v>2.0330000000000001E-3</c:v>
                </c:pt>
                <c:pt idx="41">
                  <c:v>2.019E-3</c:v>
                </c:pt>
                <c:pt idx="42">
                  <c:v>1.8629999999999999E-3</c:v>
                </c:pt>
                <c:pt idx="43">
                  <c:v>1.5345000000000001E-3</c:v>
                </c:pt>
                <c:pt idx="44">
                  <c:v>1.0964999999999998E-3</c:v>
                </c:pt>
                <c:pt idx="45">
                  <c:v>1.1869999999999999E-3</c:v>
                </c:pt>
                <c:pt idx="46">
                  <c:v>7.6799999999999991E-4</c:v>
                </c:pt>
                <c:pt idx="47">
                  <c:v>8.6200000000000003E-4</c:v>
                </c:pt>
                <c:pt idx="48">
                  <c:v>8.83E-4</c:v>
                </c:pt>
                <c:pt idx="49">
                  <c:v>2.5010000000000001E-4</c:v>
                </c:pt>
              </c:numCache>
            </c:numRef>
          </c:yVal>
          <c:smooth val="1"/>
        </c:ser>
        <c:ser>
          <c:idx val="1"/>
          <c:order val="1"/>
          <c:tx>
            <c:strRef>
              <c:f>'09-10 Total'!$F$1</c:f>
              <c:strCache>
                <c:ptCount val="1"/>
                <c:pt idx="0">
                  <c:v>Gross income - 05/06 basis</c:v>
                </c:pt>
              </c:strCache>
            </c:strRef>
          </c:tx>
          <c:spPr>
            <a:ln w="19050">
              <a:solidFill>
                <a:srgbClr val="4F81BD">
                  <a:lumMod val="75000"/>
                </a:srgbClr>
              </a:solidFill>
              <a:prstDash val="dash"/>
            </a:ln>
          </c:spPr>
          <c:marker>
            <c:symbol val="none"/>
          </c:marker>
          <c:xVal>
            <c:numRef>
              <c:f>'09-10 Total'!$D$2:$D$51</c:f>
              <c:numCache>
                <c:formatCode>General</c:formatCode>
                <c:ptCount val="50"/>
                <c:pt idx="0">
                  <c:v>-49</c:v>
                </c:pt>
                <c:pt idx="1">
                  <c:v>54.404895000000003</c:v>
                </c:pt>
                <c:pt idx="2">
                  <c:v>157.80978999999999</c:v>
                </c:pt>
                <c:pt idx="3">
                  <c:v>261.21467999999999</c:v>
                </c:pt>
                <c:pt idx="4">
                  <c:v>364.61957999999998</c:v>
                </c:pt>
                <c:pt idx="5">
                  <c:v>468.02447000000001</c:v>
                </c:pt>
                <c:pt idx="6">
                  <c:v>571.42936999999995</c:v>
                </c:pt>
                <c:pt idx="7">
                  <c:v>674.83425999999997</c:v>
                </c:pt>
                <c:pt idx="8">
                  <c:v>778.23915999999997</c:v>
                </c:pt>
                <c:pt idx="9">
                  <c:v>881.64404999999999</c:v>
                </c:pt>
                <c:pt idx="10">
                  <c:v>985.04894999999999</c:v>
                </c:pt>
                <c:pt idx="11">
                  <c:v>1088.4538</c:v>
                </c:pt>
                <c:pt idx="12">
                  <c:v>1191.8587</c:v>
                </c:pt>
                <c:pt idx="13">
                  <c:v>1295.2636</c:v>
                </c:pt>
                <c:pt idx="14">
                  <c:v>1398.6685</c:v>
                </c:pt>
                <c:pt idx="15">
                  <c:v>1502.0734</c:v>
                </c:pt>
                <c:pt idx="16">
                  <c:v>1605.4783</c:v>
                </c:pt>
                <c:pt idx="17">
                  <c:v>1708.8832</c:v>
                </c:pt>
                <c:pt idx="18">
                  <c:v>1812.2881</c:v>
                </c:pt>
                <c:pt idx="19">
                  <c:v>1915.693</c:v>
                </c:pt>
                <c:pt idx="20">
                  <c:v>2019.0979</c:v>
                </c:pt>
                <c:pt idx="21">
                  <c:v>2122.5028000000002</c:v>
                </c:pt>
                <c:pt idx="22">
                  <c:v>2225.9077000000002</c:v>
                </c:pt>
                <c:pt idx="23">
                  <c:v>2329.3126000000002</c:v>
                </c:pt>
                <c:pt idx="24">
                  <c:v>2432.7175000000002</c:v>
                </c:pt>
                <c:pt idx="25">
                  <c:v>2536.1224000000002</c:v>
                </c:pt>
                <c:pt idx="26">
                  <c:v>2639.5273000000002</c:v>
                </c:pt>
                <c:pt idx="27">
                  <c:v>2742.9322000000002</c:v>
                </c:pt>
                <c:pt idx="28">
                  <c:v>2846.3371000000002</c:v>
                </c:pt>
                <c:pt idx="29">
                  <c:v>2949.7419</c:v>
                </c:pt>
                <c:pt idx="30">
                  <c:v>3053.1468</c:v>
                </c:pt>
                <c:pt idx="31">
                  <c:v>3156.5517</c:v>
                </c:pt>
                <c:pt idx="32">
                  <c:v>3259.9566</c:v>
                </c:pt>
                <c:pt idx="33">
                  <c:v>3363.3615</c:v>
                </c:pt>
                <c:pt idx="34">
                  <c:v>3466.7664</c:v>
                </c:pt>
                <c:pt idx="35">
                  <c:v>3570.1713</c:v>
                </c:pt>
                <c:pt idx="36">
                  <c:v>3673.5762</c:v>
                </c:pt>
                <c:pt idx="37">
                  <c:v>3776.9811</c:v>
                </c:pt>
                <c:pt idx="38">
                  <c:v>3880.386</c:v>
                </c:pt>
                <c:pt idx="39">
                  <c:v>3983.7909</c:v>
                </c:pt>
                <c:pt idx="40">
                  <c:v>4087.1958</c:v>
                </c:pt>
                <c:pt idx="41">
                  <c:v>4190.6007</c:v>
                </c:pt>
                <c:pt idx="42">
                  <c:v>4294.0056000000004</c:v>
                </c:pt>
                <c:pt idx="43">
                  <c:v>4397.4105</c:v>
                </c:pt>
                <c:pt idx="44">
                  <c:v>4500.8154000000004</c:v>
                </c:pt>
                <c:pt idx="45">
                  <c:v>4604.2203</c:v>
                </c:pt>
                <c:pt idx="46">
                  <c:v>4707.6252000000004</c:v>
                </c:pt>
                <c:pt idx="47">
                  <c:v>4811.0300999999999</c:v>
                </c:pt>
                <c:pt idx="48">
                  <c:v>4914.4349000000002</c:v>
                </c:pt>
                <c:pt idx="49">
                  <c:v>5017.8397999999997</c:v>
                </c:pt>
              </c:numCache>
            </c:numRef>
          </c:xVal>
          <c:yVal>
            <c:numRef>
              <c:f>'09-10 Total'!$E$2:$E$51</c:f>
              <c:numCache>
                <c:formatCode>General</c:formatCode>
                <c:ptCount val="50"/>
                <c:pt idx="0">
                  <c:v>1.1715E-3</c:v>
                </c:pt>
                <c:pt idx="1">
                  <c:v>3.5595000000000002E-3</c:v>
                </c:pt>
                <c:pt idx="2">
                  <c:v>4.5925000000000002E-3</c:v>
                </c:pt>
                <c:pt idx="3">
                  <c:v>1.8501500000000001E-2</c:v>
                </c:pt>
                <c:pt idx="4">
                  <c:v>3.0268E-2</c:v>
                </c:pt>
                <c:pt idx="5">
                  <c:v>2.4108500000000001E-2</c:v>
                </c:pt>
                <c:pt idx="6">
                  <c:v>3.0449999999999998E-2</c:v>
                </c:pt>
                <c:pt idx="7">
                  <c:v>2.5597999999999999E-2</c:v>
                </c:pt>
                <c:pt idx="8">
                  <c:v>2.3542499999999997E-2</c:v>
                </c:pt>
                <c:pt idx="9">
                  <c:v>2.1217E-2</c:v>
                </c:pt>
                <c:pt idx="10">
                  <c:v>1.8213500000000001E-2</c:v>
                </c:pt>
                <c:pt idx="11">
                  <c:v>1.8159999999999999E-2</c:v>
                </c:pt>
                <c:pt idx="12">
                  <c:v>1.898E-2</c:v>
                </c:pt>
                <c:pt idx="13">
                  <c:v>1.8709E-2</c:v>
                </c:pt>
                <c:pt idx="14">
                  <c:v>1.6730999999999999E-2</c:v>
                </c:pt>
                <c:pt idx="15">
                  <c:v>1.7082E-2</c:v>
                </c:pt>
                <c:pt idx="16">
                  <c:v>1.63775E-2</c:v>
                </c:pt>
                <c:pt idx="17">
                  <c:v>1.5238E-2</c:v>
                </c:pt>
                <c:pt idx="18">
                  <c:v>1.4101000000000001E-2</c:v>
                </c:pt>
                <c:pt idx="19">
                  <c:v>1.2735E-2</c:v>
                </c:pt>
                <c:pt idx="20">
                  <c:v>1.2397999999999999E-2</c:v>
                </c:pt>
                <c:pt idx="21">
                  <c:v>1.13875E-2</c:v>
                </c:pt>
                <c:pt idx="22">
                  <c:v>1.1283E-2</c:v>
                </c:pt>
                <c:pt idx="23">
                  <c:v>9.3299999999999998E-3</c:v>
                </c:pt>
                <c:pt idx="24">
                  <c:v>9.3109999999999998E-3</c:v>
                </c:pt>
                <c:pt idx="25">
                  <c:v>8.8925000000000011E-3</c:v>
                </c:pt>
                <c:pt idx="26">
                  <c:v>6.3570000000000007E-3</c:v>
                </c:pt>
                <c:pt idx="27">
                  <c:v>7.2625000000000007E-3</c:v>
                </c:pt>
                <c:pt idx="28">
                  <c:v>6.2870000000000001E-3</c:v>
                </c:pt>
                <c:pt idx="29">
                  <c:v>6.2730000000000008E-3</c:v>
                </c:pt>
                <c:pt idx="30">
                  <c:v>5.7534999999999999E-3</c:v>
                </c:pt>
                <c:pt idx="31">
                  <c:v>3.9944999999999998E-3</c:v>
                </c:pt>
                <c:pt idx="32">
                  <c:v>3.2950000000000002E-3</c:v>
                </c:pt>
                <c:pt idx="33">
                  <c:v>3.8579999999999999E-3</c:v>
                </c:pt>
                <c:pt idx="34">
                  <c:v>3.9864999999999996E-3</c:v>
                </c:pt>
                <c:pt idx="35">
                  <c:v>3.7719999999999997E-3</c:v>
                </c:pt>
                <c:pt idx="36">
                  <c:v>3.0979999999999996E-3</c:v>
                </c:pt>
                <c:pt idx="37">
                  <c:v>2.8580000000000003E-3</c:v>
                </c:pt>
                <c:pt idx="38">
                  <c:v>2.6865000000000001E-3</c:v>
                </c:pt>
                <c:pt idx="39">
                  <c:v>2.3005E-3</c:v>
                </c:pt>
                <c:pt idx="40">
                  <c:v>1.3845000000000001E-3</c:v>
                </c:pt>
                <c:pt idx="41">
                  <c:v>1.3864999999999999E-3</c:v>
                </c:pt>
                <c:pt idx="42">
                  <c:v>1.323E-3</c:v>
                </c:pt>
                <c:pt idx="43">
                  <c:v>1.2225000000000001E-3</c:v>
                </c:pt>
                <c:pt idx="44">
                  <c:v>1.1770000000000001E-3</c:v>
                </c:pt>
                <c:pt idx="45">
                  <c:v>1.2005E-3</c:v>
                </c:pt>
                <c:pt idx="46">
                  <c:v>1.1919999999999999E-3</c:v>
                </c:pt>
                <c:pt idx="47">
                  <c:v>1.0220000000000001E-3</c:v>
                </c:pt>
                <c:pt idx="48">
                  <c:v>7.4549999999999996E-4</c:v>
                </c:pt>
                <c:pt idx="49">
                  <c:v>2.564E-4</c:v>
                </c:pt>
              </c:numCache>
            </c:numRef>
          </c:yVal>
          <c:smooth val="1"/>
        </c:ser>
        <c:dLbls>
          <c:showLegendKey val="0"/>
          <c:showVal val="0"/>
          <c:showCatName val="0"/>
          <c:showSerName val="0"/>
          <c:showPercent val="0"/>
          <c:showBubbleSize val="0"/>
        </c:dLbls>
        <c:axId val="206039680"/>
        <c:axId val="206041472"/>
      </c:scatterChart>
      <c:valAx>
        <c:axId val="206039680"/>
        <c:scaling>
          <c:orientation val="minMax"/>
          <c:max val="5000"/>
          <c:min val="-500"/>
        </c:scaling>
        <c:delete val="0"/>
        <c:axPos val="b"/>
        <c:numFmt formatCode="General" sourceLinked="1"/>
        <c:majorTickMark val="out"/>
        <c:minorTickMark val="none"/>
        <c:tickLblPos val="nextTo"/>
        <c:crossAx val="206041472"/>
        <c:crosses val="autoZero"/>
        <c:crossBetween val="midCat"/>
      </c:valAx>
      <c:valAx>
        <c:axId val="206041472"/>
        <c:scaling>
          <c:orientation val="minMax"/>
        </c:scaling>
        <c:delete val="0"/>
        <c:axPos val="l"/>
        <c:majorGridlines>
          <c:spPr>
            <a:ln>
              <a:solidFill>
                <a:schemeClr val="bg1">
                  <a:lumMod val="50000"/>
                </a:schemeClr>
              </a:solidFill>
            </a:ln>
          </c:spPr>
        </c:majorGridlines>
        <c:numFmt formatCode="General" sourceLinked="1"/>
        <c:majorTickMark val="out"/>
        <c:minorTickMark val="none"/>
        <c:tickLblPos val="low"/>
        <c:crossAx val="206039680"/>
        <c:crosses val="autoZero"/>
        <c:crossBetween val="midCat"/>
      </c:valAx>
    </c:plotArea>
    <c:legend>
      <c:legendPos val="b"/>
      <c:layout/>
      <c:overlay val="0"/>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028014821739187E-2"/>
          <c:y val="4.5865256348203855E-2"/>
          <c:w val="0.88494781564812586"/>
          <c:h val="0.7870445879422493"/>
        </c:manualLayout>
      </c:layout>
      <c:lineChart>
        <c:grouping val="standard"/>
        <c:varyColors val="0"/>
        <c:ser>
          <c:idx val="0"/>
          <c:order val="0"/>
          <c:tx>
            <c:v>ABS weekly</c:v>
          </c:tx>
          <c:spPr>
            <a:ln>
              <a:solidFill>
                <a:schemeClr val="accent1">
                  <a:lumMod val="75000"/>
                </a:schemeClr>
              </a:solidFill>
              <a:prstDash val="lgDash"/>
            </a:ln>
          </c:spPr>
          <c:marker>
            <c:symbol val="none"/>
          </c:marker>
          <c:cat>
            <c:strRef>
              <c:f>'HH eq disp comparisons'!$A$234:$A$250</c:f>
              <c:strCache>
                <c:ptCount val="17"/>
                <c:pt idx="0">
                  <c:v>1993-94</c:v>
                </c:pt>
                <c:pt idx="1">
                  <c:v>1994-95</c:v>
                </c:pt>
                <c:pt idx="2">
                  <c:v>1995-96</c:v>
                </c:pt>
                <c:pt idx="3">
                  <c:v>1996-97</c:v>
                </c:pt>
                <c:pt idx="4">
                  <c:v>1997-98</c:v>
                </c:pt>
                <c:pt idx="5">
                  <c:v>1998-99</c:v>
                </c:pt>
                <c:pt idx="6">
                  <c:v>1999-2000</c:v>
                </c:pt>
                <c:pt idx="7">
                  <c:v>2000-01</c:v>
                </c:pt>
                <c:pt idx="8">
                  <c:v>2001-02</c:v>
                </c:pt>
                <c:pt idx="9">
                  <c:v>2002-03</c:v>
                </c:pt>
                <c:pt idx="10">
                  <c:v>2003-04</c:v>
                </c:pt>
                <c:pt idx="11">
                  <c:v>2004-05</c:v>
                </c:pt>
                <c:pt idx="12">
                  <c:v>2005-06</c:v>
                </c:pt>
                <c:pt idx="13">
                  <c:v>2006-07</c:v>
                </c:pt>
                <c:pt idx="14">
                  <c:v>2007-08</c:v>
                </c:pt>
                <c:pt idx="15">
                  <c:v>2008-09</c:v>
                </c:pt>
                <c:pt idx="16">
                  <c:v>2009-10</c:v>
                </c:pt>
              </c:strCache>
            </c:strRef>
          </c:cat>
          <c:val>
            <c:numRef>
              <c:f>'HH eq disp comparisons'!$N$234:$N$250</c:f>
              <c:numCache>
                <c:formatCode>0.000</c:formatCode>
                <c:ptCount val="17"/>
                <c:pt idx="1">
                  <c:v>0.30173286000000032</c:v>
                </c:pt>
                <c:pt idx="2">
                  <c:v>0.29509722000000005</c:v>
                </c:pt>
                <c:pt idx="3">
                  <c:v>0.29128145</c:v>
                </c:pt>
                <c:pt idx="4">
                  <c:v>0.30281152000000094</c:v>
                </c:pt>
                <c:pt idx="5">
                  <c:v>0.30658920000000106</c:v>
                </c:pt>
                <c:pt idx="6">
                  <c:v>0.31036688000000212</c:v>
                </c:pt>
                <c:pt idx="7">
                  <c:v>0.31120680000000106</c:v>
                </c:pt>
                <c:pt idx="8">
                  <c:v>0.30980983500000148</c:v>
                </c:pt>
                <c:pt idx="9">
                  <c:v>0.30841287000000212</c:v>
                </c:pt>
                <c:pt idx="10">
                  <c:v>0.29301837000000142</c:v>
                </c:pt>
                <c:pt idx="11">
                  <c:v>0.29941808500000189</c:v>
                </c:pt>
                <c:pt idx="12">
                  <c:v>0.30581780000000142</c:v>
                </c:pt>
                <c:pt idx="13">
                  <c:v>0.31381948500000212</c:v>
                </c:pt>
                <c:pt idx="14">
                  <c:v>0.32182117000000177</c:v>
                </c:pt>
                <c:pt idx="15">
                  <c:v>0.31737122000000106</c:v>
                </c:pt>
                <c:pt idx="16">
                  <c:v>0.31292127000000142</c:v>
                </c:pt>
              </c:numCache>
            </c:numRef>
          </c:val>
          <c:smooth val="0"/>
        </c:ser>
        <c:ser>
          <c:idx val="1"/>
          <c:order val="1"/>
          <c:tx>
            <c:v>ABS annual</c:v>
          </c:tx>
          <c:spPr>
            <a:ln>
              <a:solidFill>
                <a:srgbClr val="C00000"/>
              </a:solidFill>
            </a:ln>
          </c:spPr>
          <c:marker>
            <c:symbol val="none"/>
          </c:marker>
          <c:cat>
            <c:strRef>
              <c:f>'HH eq disp comparisons'!$A$234:$A$250</c:f>
              <c:strCache>
                <c:ptCount val="17"/>
                <c:pt idx="0">
                  <c:v>1993-94</c:v>
                </c:pt>
                <c:pt idx="1">
                  <c:v>1994-95</c:v>
                </c:pt>
                <c:pt idx="2">
                  <c:v>1995-96</c:v>
                </c:pt>
                <c:pt idx="3">
                  <c:v>1996-97</c:v>
                </c:pt>
                <c:pt idx="4">
                  <c:v>1997-98</c:v>
                </c:pt>
                <c:pt idx="5">
                  <c:v>1998-99</c:v>
                </c:pt>
                <c:pt idx="6">
                  <c:v>1999-2000</c:v>
                </c:pt>
                <c:pt idx="7">
                  <c:v>2000-01</c:v>
                </c:pt>
                <c:pt idx="8">
                  <c:v>2001-02</c:v>
                </c:pt>
                <c:pt idx="9">
                  <c:v>2002-03</c:v>
                </c:pt>
                <c:pt idx="10">
                  <c:v>2003-04</c:v>
                </c:pt>
                <c:pt idx="11">
                  <c:v>2004-05</c:v>
                </c:pt>
                <c:pt idx="12">
                  <c:v>2005-06</c:v>
                </c:pt>
                <c:pt idx="13">
                  <c:v>2006-07</c:v>
                </c:pt>
                <c:pt idx="14">
                  <c:v>2007-08</c:v>
                </c:pt>
                <c:pt idx="15">
                  <c:v>2008-09</c:v>
                </c:pt>
                <c:pt idx="16">
                  <c:v>2009-10</c:v>
                </c:pt>
              </c:strCache>
            </c:strRef>
          </c:cat>
          <c:val>
            <c:numRef>
              <c:f>'HH eq disp comparisons'!$F$234:$F$250</c:f>
              <c:numCache>
                <c:formatCode>0.000</c:formatCode>
                <c:ptCount val="17"/>
                <c:pt idx="0">
                  <c:v>0.30375823000000002</c:v>
                </c:pt>
                <c:pt idx="1">
                  <c:v>0.30141366000000147</c:v>
                </c:pt>
                <c:pt idx="2">
                  <c:v>0.30213654000000001</c:v>
                </c:pt>
                <c:pt idx="3">
                  <c:v>0.30684285000000094</c:v>
                </c:pt>
                <c:pt idx="4">
                  <c:v>0.30968407500000195</c:v>
                </c:pt>
                <c:pt idx="5">
                  <c:v>0.31252530000000106</c:v>
                </c:pt>
                <c:pt idx="6">
                  <c:v>0.31163044000000001</c:v>
                </c:pt>
                <c:pt idx="7">
                  <c:v>0.31179032000000001</c:v>
                </c:pt>
                <c:pt idx="8">
                  <c:v>0.31195020000000107</c:v>
                </c:pt>
                <c:pt idx="9">
                  <c:v>0.31185242000000124</c:v>
                </c:pt>
                <c:pt idx="10">
                  <c:v>0.31753393500000032</c:v>
                </c:pt>
                <c:pt idx="11">
                  <c:v>0.32321545000000002</c:v>
                </c:pt>
                <c:pt idx="12">
                  <c:v>0.33672327000000124</c:v>
                </c:pt>
                <c:pt idx="13">
                  <c:v>0.35023108999999997</c:v>
                </c:pt>
                <c:pt idx="14">
                  <c:v>0.34325546500000031</c:v>
                </c:pt>
                <c:pt idx="15">
                  <c:v>0.33627984000000088</c:v>
                </c:pt>
              </c:numCache>
            </c:numRef>
          </c:val>
          <c:smooth val="0"/>
        </c:ser>
        <c:ser>
          <c:idx val="2"/>
          <c:order val="2"/>
          <c:tx>
            <c:v>HILDA</c:v>
          </c:tx>
          <c:spPr>
            <a:ln>
              <a:prstDash val="sysDash"/>
            </a:ln>
          </c:spPr>
          <c:marker>
            <c:symbol val="none"/>
          </c:marker>
          <c:cat>
            <c:strRef>
              <c:f>'HH eq disp comparisons'!$A$234:$A$250</c:f>
              <c:strCache>
                <c:ptCount val="17"/>
                <c:pt idx="0">
                  <c:v>1993-94</c:v>
                </c:pt>
                <c:pt idx="1">
                  <c:v>1994-95</c:v>
                </c:pt>
                <c:pt idx="2">
                  <c:v>1995-96</c:v>
                </c:pt>
                <c:pt idx="3">
                  <c:v>1996-97</c:v>
                </c:pt>
                <c:pt idx="4">
                  <c:v>1997-98</c:v>
                </c:pt>
                <c:pt idx="5">
                  <c:v>1998-99</c:v>
                </c:pt>
                <c:pt idx="6">
                  <c:v>1999-2000</c:v>
                </c:pt>
                <c:pt idx="7">
                  <c:v>2000-01</c:v>
                </c:pt>
                <c:pt idx="8">
                  <c:v>2001-02</c:v>
                </c:pt>
                <c:pt idx="9">
                  <c:v>2002-03</c:v>
                </c:pt>
                <c:pt idx="10">
                  <c:v>2003-04</c:v>
                </c:pt>
                <c:pt idx="11">
                  <c:v>2004-05</c:v>
                </c:pt>
                <c:pt idx="12">
                  <c:v>2005-06</c:v>
                </c:pt>
                <c:pt idx="13">
                  <c:v>2006-07</c:v>
                </c:pt>
                <c:pt idx="14">
                  <c:v>2007-08</c:v>
                </c:pt>
                <c:pt idx="15">
                  <c:v>2008-09</c:v>
                </c:pt>
                <c:pt idx="16">
                  <c:v>2009-10</c:v>
                </c:pt>
              </c:strCache>
            </c:strRef>
          </c:cat>
          <c:val>
            <c:numRef>
              <c:f>'HH eq disp comparisons'!$R$234:$R$250</c:f>
              <c:numCache>
                <c:formatCode>General</c:formatCode>
                <c:ptCount val="17"/>
                <c:pt idx="7" formatCode="0.000">
                  <c:v>0.31283286000000166</c:v>
                </c:pt>
                <c:pt idx="8" formatCode="0.000">
                  <c:v>0.31105260000000107</c:v>
                </c:pt>
                <c:pt idx="9" formatCode="0.000">
                  <c:v>0.30509895000000031</c:v>
                </c:pt>
                <c:pt idx="10" formatCode="0.000">
                  <c:v>0.30517451000000106</c:v>
                </c:pt>
                <c:pt idx="11" formatCode="0.000">
                  <c:v>0.30151741000000032</c:v>
                </c:pt>
                <c:pt idx="12" formatCode="0.000">
                  <c:v>0.30490224000000032</c:v>
                </c:pt>
                <c:pt idx="13" formatCode="0.000">
                  <c:v>0.31426546000000088</c:v>
                </c:pt>
                <c:pt idx="14" formatCode="0.000">
                  <c:v>0.30859600000000031</c:v>
                </c:pt>
                <c:pt idx="15" formatCode="0.000">
                  <c:v>0.30213852000000002</c:v>
                </c:pt>
                <c:pt idx="16" formatCode="0.000">
                  <c:v>0.31100041000000106</c:v>
                </c:pt>
              </c:numCache>
            </c:numRef>
          </c:val>
          <c:smooth val="0"/>
        </c:ser>
        <c:dLbls>
          <c:showLegendKey val="0"/>
          <c:showVal val="0"/>
          <c:showCatName val="0"/>
          <c:showSerName val="0"/>
          <c:showPercent val="0"/>
          <c:showBubbleSize val="0"/>
        </c:dLbls>
        <c:marker val="1"/>
        <c:smooth val="0"/>
        <c:axId val="206645120"/>
        <c:axId val="206646656"/>
      </c:lineChart>
      <c:catAx>
        <c:axId val="206645120"/>
        <c:scaling>
          <c:orientation val="minMax"/>
        </c:scaling>
        <c:delete val="0"/>
        <c:axPos val="b"/>
        <c:majorTickMark val="out"/>
        <c:minorTickMark val="none"/>
        <c:tickLblPos val="nextTo"/>
        <c:crossAx val="206646656"/>
        <c:crosses val="autoZero"/>
        <c:auto val="1"/>
        <c:lblAlgn val="ctr"/>
        <c:lblOffset val="100"/>
        <c:noMultiLvlLbl val="0"/>
      </c:catAx>
      <c:valAx>
        <c:axId val="206646656"/>
        <c:scaling>
          <c:orientation val="minMax"/>
          <c:max val="0.35500000000000032"/>
          <c:min val="0.27"/>
        </c:scaling>
        <c:delete val="0"/>
        <c:axPos val="l"/>
        <c:numFmt formatCode="0.000" sourceLinked="1"/>
        <c:majorTickMark val="out"/>
        <c:minorTickMark val="none"/>
        <c:tickLblPos val="nextTo"/>
        <c:crossAx val="206645120"/>
        <c:crosses val="autoZero"/>
        <c:crossBetween val="between"/>
      </c:valAx>
    </c:plotArea>
    <c:legend>
      <c:legendPos val="r"/>
      <c:layout>
        <c:manualLayout>
          <c:xMode val="edge"/>
          <c:yMode val="edge"/>
          <c:x val="0.71892822159665692"/>
          <c:y val="0.58297053929881704"/>
          <c:w val="0.22048014587847578"/>
          <c:h val="0.21342890405935377"/>
        </c:manualLayout>
      </c:layout>
      <c:overlay val="0"/>
    </c:legend>
    <c:plotVisOnly val="1"/>
    <c:dispBlanksAs val="gap"/>
    <c:showDLblsOverMax val="0"/>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0.90914</cdr:x>
      <cdr:y>0.63023</cdr:y>
    </cdr:from>
    <cdr:to>
      <cdr:x>0.96194</cdr:x>
      <cdr:y>0.70453</cdr:y>
    </cdr:to>
    <cdr:sp macro="" textlink="">
      <cdr:nvSpPr>
        <cdr:cNvPr id="2" name="Text Box 1"/>
        <cdr:cNvSpPr txBox="1"/>
      </cdr:nvSpPr>
      <cdr:spPr>
        <a:xfrm xmlns:a="http://schemas.openxmlformats.org/drawingml/2006/main">
          <a:off x="4532982" y="1967759"/>
          <a:ext cx="263262" cy="2319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a</a:t>
          </a:r>
        </a:p>
      </cdr:txBody>
    </cdr:sp>
  </cdr:relSizeAnchor>
  <cdr:relSizeAnchor xmlns:cdr="http://schemas.openxmlformats.org/drawingml/2006/chartDrawing">
    <cdr:from>
      <cdr:x>0.96167</cdr:x>
      <cdr:y>0.7026</cdr:y>
    </cdr:from>
    <cdr:to>
      <cdr:x>1</cdr:x>
      <cdr:y>0.75148</cdr:y>
    </cdr:to>
    <cdr:sp macro="" textlink="">
      <cdr:nvSpPr>
        <cdr:cNvPr id="3" name="Text Box 1"/>
        <cdr:cNvSpPr txBox="1"/>
      </cdr:nvSpPr>
      <cdr:spPr>
        <a:xfrm xmlns:a="http://schemas.openxmlformats.org/drawingml/2006/main">
          <a:off x="4620760" y="2193720"/>
          <a:ext cx="184153" cy="152618"/>
        </a:xfrm>
        <a:prstGeom xmlns:a="http://schemas.openxmlformats.org/drawingml/2006/main" prst="rect">
          <a:avLst/>
        </a:prstGeom>
      </cdr:spPr>
    </cdr:sp>
  </cdr:relSizeAnchor>
  <cdr:relSizeAnchor xmlns:cdr="http://schemas.openxmlformats.org/drawingml/2006/chartDrawing">
    <cdr:from>
      <cdr:x>0.91199</cdr:x>
      <cdr:y>0.56047</cdr:y>
    </cdr:from>
    <cdr:to>
      <cdr:x>0.95033</cdr:x>
      <cdr:y>0.60935</cdr:y>
    </cdr:to>
    <cdr:sp macro="" textlink="">
      <cdr:nvSpPr>
        <cdr:cNvPr id="4" name="Text Box 1"/>
        <cdr:cNvSpPr txBox="1"/>
      </cdr:nvSpPr>
      <cdr:spPr>
        <a:xfrm xmlns:a="http://schemas.openxmlformats.org/drawingml/2006/main">
          <a:off x="4547193" y="1749958"/>
          <a:ext cx="191164" cy="15261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a:t>a</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37B9A-1BB3-4ECC-8251-58D9FEF53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128</TotalTime>
  <Pages>8</Pages>
  <Words>2382</Words>
  <Characters>13066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Data and related issues</vt:lpstr>
    </vt:vector>
  </TitlesOfParts>
  <Company>Productivity Commission</Company>
  <LinksUpToDate>false</LinksUpToDate>
  <CharactersWithSpaces>15418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and related issues</dc:title>
  <dc:subject>The distribution of income in Australia</dc:subject>
  <dc:creator>Productivity Commission</dc:creator>
  <cp:keywords/>
  <dc:description>B.</dc:description>
  <cp:lastModifiedBy>Jared Greenville</cp:lastModifiedBy>
  <cp:revision>54</cp:revision>
  <cp:lastPrinted>2012-12-21T00:23:00Z</cp:lastPrinted>
  <dcterms:created xsi:type="dcterms:W3CDTF">2012-10-31T03:08:00Z</dcterms:created>
  <dcterms:modified xsi:type="dcterms:W3CDTF">2013-03-20T05:21:00Z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1429737360</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