
<file path=[Content_Types].xml><?xml version="1.0" encoding="utf-8"?>
<Types xmlns="http://schemas.openxmlformats.org/package/2006/content-types">
  <Default Extension="rels" ContentType="application/vnd.openxmlformats-package.relationships+xml"/>
  <Default Extension="xml" ContentType="application/xml"/>
  <Override PartName="/word/drawings/drawing1.xml" ContentType="application/vnd.openxmlformats-officedocument.drawingml.chartshapes+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charts/chart6.xml" ContentType="application/vnd.openxmlformats-officedocument.drawingml.chart+xml"/>
  <Override PartName="/word/theme/theme1.xml" ContentType="application/vnd.openxmlformats-officedocument.theme+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settings.xml" ContentType="application/vnd.openxmlformats-officedocument.wordprocessingml.settings+xml"/>
  <Override PartName="/word/stylesWithEffects.xml" ContentType="application/vnd.ms-word.stylesWithEffects+xml"/>
  <Override PartName="/customXml/itemProps1.xml" ContentType="application/vnd.openxmlformats-officedocument.customXmlPropertie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0B2BFE" w:rsidP="000B2BFE">
      <w:pPr>
        <w:pStyle w:val="Chapter"/>
        <w:ind w:left="907" w:hanging="907"/>
      </w:pPr>
      <w:bookmarkStart w:id="0" w:name="_AppendixNotByChapter"/>
      <w:bookmarkStart w:id="1" w:name="ChapterNumber"/>
      <w:bookmarkStart w:id="2" w:name="_GoBack"/>
      <w:bookmarkEnd w:id="0"/>
      <w:r>
        <w:t>C</w:t>
      </w:r>
      <w:bookmarkEnd w:id="1"/>
      <w:r>
        <w:tab/>
      </w:r>
      <w:bookmarkStart w:id="3" w:name="ChapterTitle"/>
      <w:r>
        <w:t>How does Australia compare internationally?</w:t>
      </w:r>
      <w:bookmarkEnd w:id="3"/>
    </w:p>
    <w:p w:rsidR="0070236E" w:rsidRDefault="00112BC1" w:rsidP="001133FC">
      <w:pPr>
        <w:pStyle w:val="BodyText"/>
      </w:pPr>
      <w:bookmarkStart w:id="4" w:name="begin"/>
      <w:bookmarkEnd w:id="4"/>
      <w:r>
        <w:t xml:space="preserve">The dispersion of </w:t>
      </w:r>
      <w:r w:rsidR="00647C5B">
        <w:t xml:space="preserve">measured </w:t>
      </w:r>
      <w:r>
        <w:t>income</w:t>
      </w:r>
      <w:r w:rsidR="001133FC">
        <w:t xml:space="preserve"> and levels of </w:t>
      </w:r>
      <w:r w:rsidR="00647C5B">
        <w:t xml:space="preserve">estimated </w:t>
      </w:r>
      <w:r w:rsidR="009A274B">
        <w:t xml:space="preserve">income </w:t>
      </w:r>
      <w:r w:rsidR="001133FC">
        <w:t>inequality</w:t>
      </w:r>
      <w:r w:rsidR="00647C5B">
        <w:t xml:space="preserve"> have been found to</w:t>
      </w:r>
      <w:r w:rsidR="001133FC">
        <w:t xml:space="preserve"> vary greatly across countries. </w:t>
      </w:r>
      <w:r>
        <w:t xml:space="preserve">This appendix </w:t>
      </w:r>
      <w:r w:rsidR="00647C5B">
        <w:t>summarises</w:t>
      </w:r>
      <w:r w:rsidR="002145B1">
        <w:t xml:space="preserve"> </w:t>
      </w:r>
      <w:r w:rsidR="00BE1082">
        <w:t>rec</w:t>
      </w:r>
      <w:r w:rsidR="00B77249">
        <w:t xml:space="preserve">ent OECD reports on </w:t>
      </w:r>
      <w:r w:rsidR="00647C5B">
        <w:t xml:space="preserve">measured </w:t>
      </w:r>
      <w:r w:rsidR="00B77249">
        <w:t>income inequality.</w:t>
      </w:r>
      <w:r w:rsidR="00B77249" w:rsidRPr="00B77249">
        <w:t xml:space="preserve"> It</w:t>
      </w:r>
      <w:r w:rsidR="00B77249">
        <w:t xml:space="preserve"> outlines the OECD’s findings on</w:t>
      </w:r>
      <w:r w:rsidR="00B77249" w:rsidRPr="00B77249">
        <w:t xml:space="preserve"> the proximate factors that help explain variations in income distributions among OECD countries </w:t>
      </w:r>
      <w:r w:rsidR="00B77249">
        <w:t xml:space="preserve"> — including </w:t>
      </w:r>
      <w:r w:rsidR="00647C5B">
        <w:t xml:space="preserve">its </w:t>
      </w:r>
      <w:r w:rsidR="00B77249">
        <w:t>results for Australia</w:t>
      </w:r>
      <w:r>
        <w:t>.</w:t>
      </w:r>
      <w:r w:rsidR="00BE1082">
        <w:t xml:space="preserve"> More details can be f</w:t>
      </w:r>
      <w:r w:rsidR="00085F0C">
        <w:t xml:space="preserve">ound in OECD (2008, 2011, 2012b) and the OECD Economics Working Paper series </w:t>
      </w:r>
      <w:r w:rsidR="00085F0C" w:rsidRPr="00085F0C">
        <w:rPr>
          <w:i/>
        </w:rPr>
        <w:t>Less Income Inequality and More Growth – Are they Compatible?</w:t>
      </w:r>
      <w:r w:rsidR="00B77249" w:rsidRPr="00B77249">
        <w:rPr>
          <w:rStyle w:val="FootnoteReference"/>
        </w:rPr>
        <w:footnoteReference w:id="1"/>
      </w:r>
      <w:r w:rsidR="00B77249" w:rsidRPr="00B77249">
        <w:t>.</w:t>
      </w:r>
    </w:p>
    <w:p w:rsidR="00647C5B" w:rsidRPr="009660B4" w:rsidRDefault="00647C5B" w:rsidP="001133FC">
      <w:pPr>
        <w:pStyle w:val="BodyText"/>
      </w:pPr>
      <w:r w:rsidRPr="009660B4">
        <w:t>It should be noted that there are difficulties in comparing country incomes and interpreting inequality measures based on suc</w:t>
      </w:r>
      <w:r w:rsidR="009660B4" w:rsidRPr="009660B4">
        <w:t>h comparisons. Difficulties</w:t>
      </w:r>
      <w:r w:rsidRPr="009660B4">
        <w:t xml:space="preserve"> exist in consistently estimating the distribution of income within </w:t>
      </w:r>
      <w:r w:rsidR="009660B4" w:rsidRPr="009660B4">
        <w:t xml:space="preserve">just </w:t>
      </w:r>
      <w:r w:rsidRPr="009660B4">
        <w:t xml:space="preserve">one country, </w:t>
      </w:r>
      <w:r w:rsidR="006B4994">
        <w:t xml:space="preserve">as a result ensuring consistent approaches across countries is even more </w:t>
      </w:r>
      <w:r w:rsidR="00540B61">
        <w:t>problematic. Nevertheless</w:t>
      </w:r>
      <w:r w:rsidRPr="009660B4">
        <w:t xml:space="preserve">, investigating the sources of </w:t>
      </w:r>
      <w:r w:rsidR="006B4994">
        <w:t xml:space="preserve">apparent </w:t>
      </w:r>
      <w:r w:rsidRPr="009660B4">
        <w:t xml:space="preserve">differences </w:t>
      </w:r>
      <w:r w:rsidR="006B4994">
        <w:t xml:space="preserve">in summary measures </w:t>
      </w:r>
      <w:r w:rsidRPr="009660B4">
        <w:t>can provide a starting point for further analysis of distributional differences within and between countries.</w:t>
      </w:r>
    </w:p>
    <w:p w:rsidR="009E1844" w:rsidRDefault="000B2BFE" w:rsidP="001133FC">
      <w:pPr>
        <w:pStyle w:val="Heading2"/>
      </w:pPr>
      <w:r>
        <w:t>C.</w:t>
      </w:r>
      <w:r>
        <w:rPr>
          <w:noProof/>
        </w:rPr>
        <w:t>1</w:t>
      </w:r>
      <w:r w:rsidR="001133FC">
        <w:tab/>
      </w:r>
      <w:r w:rsidR="001133FC" w:rsidRPr="001133FC">
        <w:t>Australia in an OECD context</w:t>
      </w:r>
    </w:p>
    <w:p w:rsidR="00E4140B" w:rsidRDefault="009660B4" w:rsidP="001133FC">
      <w:pPr>
        <w:pStyle w:val="BodyText"/>
      </w:pPr>
      <w:r>
        <w:t>According to the OECD (2012a), Australia’s dispersion of equivalised household disposable income as measured by the Gini coefficient was 0.34 in 2008, placing it slightly above the OECD average of 0.31 (figure</w:t>
      </w:r>
      <w:r w:rsidR="009F3A8A">
        <w:t> </w:t>
      </w:r>
      <w:r w:rsidR="000B2BFE">
        <w:t>C.1</w:t>
      </w:r>
      <w:r>
        <w:t xml:space="preserve">). </w:t>
      </w:r>
      <w:r w:rsidR="001539E3">
        <w:t>By contrast, t</w:t>
      </w:r>
      <w:r w:rsidR="00E4140B">
        <w:t xml:space="preserve">he lowest measured income inequality estimates are for countries concentrated in parts of Europe, particularly the north — Denmark, for example, has an equivalised </w:t>
      </w:r>
      <w:r w:rsidR="009A274B">
        <w:t xml:space="preserve">household </w:t>
      </w:r>
      <w:r w:rsidR="00E4140B">
        <w:t xml:space="preserve">disposable income Gini coefficient of 0.25 (OECD 2012a). </w:t>
      </w:r>
      <w:r w:rsidR="00975ABD">
        <w:t>At</w:t>
      </w:r>
      <w:r w:rsidR="00E4140B">
        <w:t xml:space="preserve"> the other end of the </w:t>
      </w:r>
      <w:r w:rsidR="00975ABD">
        <w:t>spectrum</w:t>
      </w:r>
      <w:r w:rsidR="00E4140B">
        <w:t>, developing countries have some of the highest levels of measured income with relatively high rates for countries in Latin America and Africa — for example, Chile has a Gini coefficient of 0.49 (OECD 2012a) and Rwanda has a Gini coeffici</w:t>
      </w:r>
      <w:r w:rsidR="009A274B">
        <w:t xml:space="preserve">ent of 0.51 (World Bank 2012). </w:t>
      </w:r>
    </w:p>
    <w:p w:rsidR="001133FC" w:rsidRDefault="001133FC" w:rsidP="001133FC">
      <w:pPr>
        <w:pStyle w:val="BodyText"/>
      </w:pPr>
      <w:r>
        <w:lastRenderedPageBreak/>
        <w:t>At the household level, differences in the distribution of income between countries are determined by differences in the dispersion of:</w:t>
      </w:r>
    </w:p>
    <w:p w:rsidR="001133FC" w:rsidRDefault="001133FC" w:rsidP="009F3A8A">
      <w:pPr>
        <w:pStyle w:val="ListBullet"/>
      </w:pPr>
      <w:r>
        <w:t>labour income — employee earnings</w:t>
      </w:r>
    </w:p>
    <w:p w:rsidR="001133FC" w:rsidRDefault="001133FC" w:rsidP="009F3A8A">
      <w:pPr>
        <w:pStyle w:val="ListBullet"/>
      </w:pPr>
      <w:r>
        <w:t>other market income — income from returns to invested capital and from other non-government sources</w:t>
      </w:r>
    </w:p>
    <w:p w:rsidR="001133FC" w:rsidRDefault="001133FC" w:rsidP="009F3A8A">
      <w:pPr>
        <w:pStyle w:val="ListBullet"/>
      </w:pPr>
      <w:r>
        <w:t>government taxes and transfers — direct taxes and transfers measured by disposable income along with income from service provided ‘in-kind’</w:t>
      </w:r>
    </w:p>
    <w:p w:rsidR="001133FC" w:rsidRDefault="001133FC" w:rsidP="009F3A8A">
      <w:pPr>
        <w:pStyle w:val="ListBullet"/>
      </w:pPr>
      <w:r>
        <w:t xml:space="preserve">family formation — household size, composition and </w:t>
      </w:r>
      <w:r w:rsidR="00E235C0">
        <w:t>partnering behaviour</w:t>
      </w:r>
      <w:r>
        <w:t>.</w:t>
      </w:r>
    </w:p>
    <w:p w:rsidR="001133FC" w:rsidRDefault="001133FC" w:rsidP="001133FC">
      <w:pPr>
        <w:pStyle w:val="FigureTitle"/>
      </w:pPr>
      <w:r>
        <w:rPr>
          <w:b w:val="0"/>
        </w:rPr>
        <w:t xml:space="preserve">Figure </w:t>
      </w:r>
      <w:bookmarkStart w:id="5" w:name="OLE_LINK4"/>
      <w:r w:rsidR="000B2BFE">
        <w:rPr>
          <w:b w:val="0"/>
        </w:rPr>
        <w:t>C.</w:t>
      </w:r>
      <w:r w:rsidR="000B2BFE">
        <w:rPr>
          <w:b w:val="0"/>
          <w:noProof/>
        </w:rPr>
        <w:t>1</w:t>
      </w:r>
      <w:bookmarkEnd w:id="5"/>
      <w:r>
        <w:tab/>
      </w:r>
      <w:r w:rsidR="00CF2419">
        <w:t>Equivalised ho</w:t>
      </w:r>
      <w:r w:rsidR="002D4818">
        <w:t>usehold disposable income inequ</w:t>
      </w:r>
      <w:r w:rsidR="00CF2419">
        <w:t>a</w:t>
      </w:r>
      <w:r w:rsidR="002D4818">
        <w:t>l</w:t>
      </w:r>
      <w:r w:rsidR="00CF2419">
        <w:t>ity</w:t>
      </w:r>
      <w:r w:rsidRPr="001133FC">
        <w:t>, late-2000s</w:t>
      </w:r>
    </w:p>
    <w:p w:rsidR="00CF2419" w:rsidRPr="00CF2419" w:rsidRDefault="00CF2419" w:rsidP="00CF2419">
      <w:pPr>
        <w:pStyle w:val="Subtitle"/>
      </w:pPr>
      <w:r>
        <w:t>Gini coefficient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133FC">
        <w:tc>
          <w:tcPr>
            <w:tcW w:w="8777" w:type="dxa"/>
          </w:tcPr>
          <w:p w:rsidR="001133FC" w:rsidRDefault="001133FC">
            <w:pPr>
              <w:pStyle w:val="Figure"/>
            </w:pPr>
            <w:r>
              <w:rPr>
                <w:noProof/>
              </w:rPr>
              <w:drawing>
                <wp:inline distT="0" distB="0" distL="0" distR="0" wp14:anchorId="18E4B98C" wp14:editId="19AEE450">
                  <wp:extent cx="5438775" cy="3233738"/>
                  <wp:effectExtent l="0" t="0" r="0" b="5080"/>
                  <wp:docPr id="3" name="Chart 3" descr="Depicts the Gini coefficient for OECD countries. Australia had a Gini coefficient of 0.336 compared to the OECD average of 0.315. This was not unusual for the English-speaking countries — Australia’s Gini coefficient was below that of Great Britain and the United States, and slightly above New Zealand and Canada (Ireland is the exception as it is below the OECD average)." title="Figure C.1 Equivalised household disposable income inequality, late-2000s"/>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1133FC" w:rsidRDefault="001133FC" w:rsidP="002874F8">
      <w:pPr>
        <w:pStyle w:val="Source"/>
      </w:pPr>
      <w:r w:rsidRPr="002874F8">
        <w:rPr>
          <w:i/>
        </w:rPr>
        <w:t>Data source</w:t>
      </w:r>
      <w:r w:rsidRPr="001133FC">
        <w:t>: OECD (2012a).</w:t>
      </w:r>
    </w:p>
    <w:p w:rsidR="001133FC" w:rsidRDefault="001133FC" w:rsidP="001133FC">
      <w:pPr>
        <w:pStyle w:val="Heading3"/>
      </w:pPr>
      <w:r>
        <w:t>Labour income</w:t>
      </w:r>
    </w:p>
    <w:p w:rsidR="001133FC" w:rsidRDefault="001133FC" w:rsidP="001133FC">
      <w:pPr>
        <w:pStyle w:val="BodyText"/>
      </w:pPr>
      <w:r>
        <w:t>There are a number of factors which influence the distribution of labour income, including differences in wage rates among full time wo</w:t>
      </w:r>
      <w:r w:rsidR="002A5C99">
        <w:t>rkers, income dispersion among</w:t>
      </w:r>
      <w:r>
        <w:t xml:space="preserve"> worker sub-groups (full- and part-time worker</w:t>
      </w:r>
      <w:r w:rsidR="002A5C99">
        <w:t>s) and income dispersion among</w:t>
      </w:r>
      <w:r>
        <w:t xml:space="preserve"> all persons of working age, including the jobless (which captures rates of inactivity)</w:t>
      </w:r>
      <w:r w:rsidRPr="0043074F">
        <w:t xml:space="preserve"> </w:t>
      </w:r>
      <w:r>
        <w:t xml:space="preserve">(Hoeller </w:t>
      </w:r>
      <w:r w:rsidRPr="001038F8">
        <w:t>et al.</w:t>
      </w:r>
      <w:r>
        <w:t xml:space="preserve"> 2012). </w:t>
      </w:r>
    </w:p>
    <w:p w:rsidR="001133FC" w:rsidRDefault="00441E65" w:rsidP="001133FC">
      <w:pPr>
        <w:pStyle w:val="BodyText"/>
      </w:pPr>
      <w:r>
        <w:lastRenderedPageBreak/>
        <w:t xml:space="preserve">Hoeller </w:t>
      </w:r>
      <w:r w:rsidRPr="001038F8">
        <w:t>et al.</w:t>
      </w:r>
      <w:r>
        <w:t xml:space="preserve"> (2012) found that, a</w:t>
      </w:r>
      <w:r w:rsidR="001133FC">
        <w:t>mong OECD countries</w:t>
      </w:r>
      <w:r>
        <w:t>,</w:t>
      </w:r>
      <w:r w:rsidR="001133FC">
        <w:t xml:space="preserve"> North and South American countries tend to have the widest income distribution for full-time workers, whereas Australia and New Zealand lay below the average Gini coefficient estimates for full-time workers in 2008 (figure</w:t>
      </w:r>
      <w:r w:rsidR="009F3A8A">
        <w:t> C.2</w:t>
      </w:r>
      <w:r w:rsidR="001133FC">
        <w:t>).</w:t>
      </w:r>
    </w:p>
    <w:p w:rsidR="001133FC" w:rsidRDefault="00441E65" w:rsidP="001133FC">
      <w:pPr>
        <w:pStyle w:val="BodyText"/>
      </w:pPr>
      <w:r>
        <w:t>When part-time workers were</w:t>
      </w:r>
      <w:r w:rsidR="001133FC">
        <w:t xml:space="preserve"> included in the analysi</w:t>
      </w:r>
      <w:r w:rsidR="002A5C99">
        <w:t>s,</w:t>
      </w:r>
      <w:r>
        <w:t xml:space="preserve"> </w:t>
      </w:r>
      <w:r w:rsidR="002A5C99">
        <w:t xml:space="preserve">Hoeller </w:t>
      </w:r>
      <w:r w:rsidR="002A5C99" w:rsidRPr="001038F8">
        <w:t>et al.</w:t>
      </w:r>
      <w:r w:rsidR="002A5C99">
        <w:t xml:space="preserve">’s estimates of the </w:t>
      </w:r>
      <w:r>
        <w:t>Gini coefficient</w:t>
      </w:r>
      <w:r w:rsidR="002A5C99">
        <w:t>s</w:t>
      </w:r>
      <w:r>
        <w:t xml:space="preserve"> increased</w:t>
      </w:r>
      <w:r w:rsidR="001133FC">
        <w:t xml:space="preserve"> as income from part-time work </w:t>
      </w:r>
      <w:r w:rsidR="00EC6CAD">
        <w:t>tends to be</w:t>
      </w:r>
      <w:r w:rsidR="001133FC">
        <w:t xml:space="preserve"> much lower than for full-time</w:t>
      </w:r>
      <w:r>
        <w:t xml:space="preserve"> work</w:t>
      </w:r>
      <w:r w:rsidR="001133FC">
        <w:t>. The imp</w:t>
      </w:r>
      <w:r>
        <w:t xml:space="preserve">act </w:t>
      </w:r>
      <w:r w:rsidR="00EC6CAD">
        <w:t xml:space="preserve">of the inclusion of part-time workers </w:t>
      </w:r>
      <w:r>
        <w:t>on the Gini coefficient will tend to</w:t>
      </w:r>
      <w:r w:rsidR="001133FC">
        <w:t xml:space="preserve"> be largest in countries where the ratio of part-time work to full-time work is highest. Australia’s Gini coefficient is increased substantial</w:t>
      </w:r>
      <w:r>
        <w:t>ly with</w:t>
      </w:r>
      <w:r w:rsidR="001133FC">
        <w:t xml:space="preserve"> the inclusion of part-time workers compared to other OECD</w:t>
      </w:r>
      <w:r w:rsidR="00EC6CAD">
        <w:t xml:space="preserve"> </w:t>
      </w:r>
      <w:r w:rsidR="001133FC">
        <w:t xml:space="preserve">countries </w:t>
      </w:r>
      <w:r w:rsidR="00EC6CAD">
        <w:t>(figure</w:t>
      </w:r>
      <w:r w:rsidR="009F3A8A">
        <w:t> C.2</w:t>
      </w:r>
      <w:r w:rsidR="00EC6CAD">
        <w:t xml:space="preserve">) </w:t>
      </w:r>
      <w:r w:rsidR="001133FC">
        <w:t xml:space="preserve">due to its relatively high rates of part-time work (Hoeller </w:t>
      </w:r>
      <w:r w:rsidR="001133FC" w:rsidRPr="001038F8">
        <w:t>et al.</w:t>
      </w:r>
      <w:r w:rsidR="001133FC">
        <w:t xml:space="preserve"> 2012).</w:t>
      </w:r>
    </w:p>
    <w:p w:rsidR="001133FC" w:rsidRDefault="001133FC">
      <w:pPr>
        <w:pStyle w:val="FigureTitle"/>
      </w:pPr>
      <w:r>
        <w:rPr>
          <w:b w:val="0"/>
        </w:rPr>
        <w:t xml:space="preserve">Figure </w:t>
      </w:r>
      <w:bookmarkStart w:id="6" w:name="OLE_LINK5"/>
      <w:r w:rsidR="000B2BFE">
        <w:rPr>
          <w:b w:val="0"/>
        </w:rPr>
        <w:t>C.</w:t>
      </w:r>
      <w:r w:rsidR="000B2BFE">
        <w:rPr>
          <w:b w:val="0"/>
          <w:noProof/>
        </w:rPr>
        <w:t>2</w:t>
      </w:r>
      <w:bookmarkEnd w:id="6"/>
      <w:r>
        <w:tab/>
      </w:r>
      <w:r w:rsidRPr="000622B1">
        <w:t>Labour income inequality</w:t>
      </w:r>
      <w:r>
        <w:t>, 2008</w:t>
      </w:r>
    </w:p>
    <w:p w:rsidR="001133FC" w:rsidRDefault="001133FC">
      <w:pPr>
        <w:pStyle w:val="Subtitle"/>
      </w:pPr>
      <w:r w:rsidRPr="001133FC">
        <w:t>Gini coefficient, 15- to 64-year olds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133FC">
        <w:tc>
          <w:tcPr>
            <w:tcW w:w="8777" w:type="dxa"/>
          </w:tcPr>
          <w:p w:rsidR="001133FC" w:rsidRDefault="001133FC">
            <w:pPr>
              <w:pStyle w:val="Figure"/>
            </w:pPr>
            <w:r>
              <w:rPr>
                <w:noProof/>
              </w:rPr>
              <w:drawing>
                <wp:inline distT="0" distB="0" distL="0" distR="0" wp14:anchorId="65798A3B" wp14:editId="02B8E9FB">
                  <wp:extent cx="5417389" cy="3493698"/>
                  <wp:effectExtent l="0" t="0" r="0" b="0"/>
                  <wp:docPr id="2" name="Chart 2" descr="Depicts Gini coefficient estimates for full-time earnings, full-time and part-time earnings and earnings for the working age population. More details can be found within the text immediately surrounding this image." title="Figure C.2 Labour income inequality, 200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1133FC" w:rsidRDefault="001133FC" w:rsidP="001133FC">
      <w:pPr>
        <w:pStyle w:val="Source"/>
      </w:pPr>
      <w:r>
        <w:rPr>
          <w:i/>
        </w:rPr>
        <w:t>Data source</w:t>
      </w:r>
      <w:r w:rsidRPr="00167F06">
        <w:t xml:space="preserve">: </w:t>
      </w:r>
      <w:r>
        <w:t>OECD (2012b).</w:t>
      </w:r>
    </w:p>
    <w:p w:rsidR="001133FC" w:rsidRDefault="001133FC" w:rsidP="001133FC">
      <w:pPr>
        <w:pStyle w:val="BodyText"/>
      </w:pPr>
      <w:r>
        <w:t>The inclusion of unemployed and working aged peo</w:t>
      </w:r>
      <w:r w:rsidR="00324288">
        <w:t>ple not in the labour force</w:t>
      </w:r>
      <w:r>
        <w:t xml:space="preserve"> increase</w:t>
      </w:r>
      <w:r w:rsidR="00324288">
        <w:t>s</w:t>
      </w:r>
      <w:r>
        <w:t xml:space="preserve"> </w:t>
      </w:r>
      <w:r w:rsidR="00EC6CAD">
        <w:t xml:space="preserve">Hoeller </w:t>
      </w:r>
      <w:r w:rsidR="00EC6CAD" w:rsidRPr="001038F8">
        <w:t>et al.</w:t>
      </w:r>
      <w:r w:rsidR="00EC6CAD">
        <w:t>’s estimates of the</w:t>
      </w:r>
      <w:r>
        <w:t xml:space="preserve"> Gini coefficient as the low income end of the market income distribution extends down to zero. The countries with the highest unemployment and</w:t>
      </w:r>
      <w:r w:rsidR="00324288">
        <w:t xml:space="preserve"> lowest participation rates tend to have</w:t>
      </w:r>
      <w:r>
        <w:t xml:space="preserve"> their Gini coefficient most affected by the inclusion of this group. Israel, Korea and Chile fall in to this </w:t>
      </w:r>
      <w:r>
        <w:lastRenderedPageBreak/>
        <w:t xml:space="preserve">group while Australia’s Gini coefficient is less </w:t>
      </w:r>
      <w:r w:rsidR="00975ABD">
        <w:t xml:space="preserve">affected </w:t>
      </w:r>
      <w:r>
        <w:t>compared to the OECD average (figure</w:t>
      </w:r>
      <w:r w:rsidR="009F3A8A">
        <w:t> C.2</w:t>
      </w:r>
      <w:r>
        <w:t>).</w:t>
      </w:r>
    </w:p>
    <w:p w:rsidR="001133FC" w:rsidRDefault="001133FC" w:rsidP="001133FC">
      <w:pPr>
        <w:pStyle w:val="BodyText"/>
      </w:pPr>
      <w:r>
        <w:t>At the household level, the story is more complex. Countries where joblessness is concentrated within particular households (‘jobless households’) will see a disproportionate impact on household income inequality when the entire population is considered compared to countries where joblessness is more spread</w:t>
      </w:r>
      <w:r w:rsidR="00975ABD">
        <w:t xml:space="preserve"> (that is, where rates of jobless households are lower)</w:t>
      </w:r>
      <w:r>
        <w:t>. Whiteford</w:t>
      </w:r>
      <w:r w:rsidR="00324288">
        <w:t> </w:t>
      </w:r>
      <w:r>
        <w:t xml:space="preserve">(2012) finds that a significant component of the difference in Australia’s </w:t>
      </w:r>
      <w:r w:rsidR="00324288">
        <w:t xml:space="preserve">measured </w:t>
      </w:r>
      <w:r>
        <w:t xml:space="preserve">household income inequality compared to other OECD countries is due to higher rates of jobless households than seen in some other countries. For example, when comparing Australia’s labour income distributions to Denmark (which has low household disposable income inequality) and the USA (which has high household disposable income inequality) </w:t>
      </w:r>
      <w:r w:rsidR="00EC6CAD">
        <w:t xml:space="preserve">Whiteford (2012) found </w:t>
      </w:r>
      <w:r>
        <w:t>Austral</w:t>
      </w:r>
      <w:r w:rsidR="00EC6CAD">
        <w:t>ia’s labour income inequality to be</w:t>
      </w:r>
      <w:r>
        <w:t xml:space="preserve"> lower than both when only the employed are considered. When </w:t>
      </w:r>
      <w:r w:rsidR="00324288">
        <w:t>people not in paid employment</w:t>
      </w:r>
      <w:r>
        <w:t xml:space="preserve"> are included in the calculation Australia’s labo</w:t>
      </w:r>
      <w:r w:rsidR="00EC6CAD">
        <w:t>ur income Gini coefficient jumps</w:t>
      </w:r>
      <w:r>
        <w:t xml:space="preserve"> above both Denmark and the USA (</w:t>
      </w:r>
      <w:r w:rsidR="009F3A8A">
        <w:t>figure C.3</w:t>
      </w:r>
      <w:r>
        <w:t>).</w:t>
      </w:r>
    </w:p>
    <w:p w:rsidR="001133FC" w:rsidRDefault="001133FC">
      <w:pPr>
        <w:pStyle w:val="FigureTitle"/>
      </w:pPr>
      <w:r>
        <w:rPr>
          <w:b w:val="0"/>
        </w:rPr>
        <w:t xml:space="preserve">Figure </w:t>
      </w:r>
      <w:bookmarkStart w:id="7" w:name="OLE_LINK6"/>
      <w:r w:rsidR="000B2BFE">
        <w:rPr>
          <w:b w:val="0"/>
        </w:rPr>
        <w:t>C.</w:t>
      </w:r>
      <w:r w:rsidR="000B2BFE">
        <w:rPr>
          <w:b w:val="0"/>
          <w:noProof/>
        </w:rPr>
        <w:t>3</w:t>
      </w:r>
      <w:bookmarkEnd w:id="7"/>
      <w:r>
        <w:tab/>
      </w:r>
      <w:r w:rsidR="00975ABD">
        <w:t>Working-age h</w:t>
      </w:r>
      <w:r w:rsidR="00CB01D7">
        <w:t>ousehold earnings inequality in Australia, Denmark and the United States</w:t>
      </w:r>
      <w:r w:rsidR="00975ABD">
        <w:t>, 2005</w:t>
      </w:r>
    </w:p>
    <w:p w:rsidR="001133FC" w:rsidRDefault="00CB01D7">
      <w:pPr>
        <w:pStyle w:val="Subtitle"/>
      </w:pPr>
      <w:r>
        <w:t>Gini coefficient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133FC">
        <w:tc>
          <w:tcPr>
            <w:tcW w:w="8777" w:type="dxa"/>
          </w:tcPr>
          <w:p w:rsidR="001133FC" w:rsidRDefault="001133FC">
            <w:pPr>
              <w:pStyle w:val="Figure"/>
            </w:pPr>
            <w:r>
              <w:rPr>
                <w:noProof/>
              </w:rPr>
              <w:drawing>
                <wp:inline distT="0" distB="0" distL="0" distR="0" wp14:anchorId="0AF4EEEB" wp14:editId="717E71B5">
                  <wp:extent cx="4910139" cy="3057526"/>
                  <wp:effectExtent l="0" t="0" r="5080" b="0"/>
                  <wp:docPr id="1" name="Chart 1" descr="Depicts Gini coefficient estimates for workers and households excluding and including jobless households for Denmark, the USA and Australia. The impact of including jobless households is greatest in Australia which otherwise has lower Gini coefficient estimates. More details can be found within the text immediately before this image." title="Figure C.3 Working-age household earnings inequality in Australia, Denmark and the United States, 200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1133FC" w:rsidRDefault="00F10A5B" w:rsidP="001133FC">
      <w:pPr>
        <w:pStyle w:val="Source"/>
      </w:pPr>
      <w:r>
        <w:rPr>
          <w:i/>
        </w:rPr>
        <w:t>S</w:t>
      </w:r>
      <w:r w:rsidR="001133FC">
        <w:rPr>
          <w:i/>
        </w:rPr>
        <w:t>ource</w:t>
      </w:r>
      <w:r w:rsidR="001133FC" w:rsidRPr="00167F06">
        <w:t xml:space="preserve">: </w:t>
      </w:r>
      <w:r w:rsidR="001133FC">
        <w:t xml:space="preserve">Whiteford (2012). </w:t>
      </w:r>
    </w:p>
    <w:p w:rsidR="001133FC" w:rsidRPr="005B40E4" w:rsidRDefault="001133FC" w:rsidP="001133FC">
      <w:pPr>
        <w:pStyle w:val="Heading3"/>
      </w:pPr>
      <w:r>
        <w:lastRenderedPageBreak/>
        <w:t>Market income</w:t>
      </w:r>
    </w:p>
    <w:p w:rsidR="001133FC" w:rsidRPr="00DD3419" w:rsidRDefault="001133FC" w:rsidP="001133FC">
      <w:pPr>
        <w:pStyle w:val="BodyText"/>
      </w:pPr>
      <w:r w:rsidRPr="00114972">
        <w:t>Total market income includes labour income, capital income</w:t>
      </w:r>
      <w:r w:rsidRPr="00773B86">
        <w:t xml:space="preserve">, </w:t>
      </w:r>
      <w:r w:rsidRPr="00DD3419">
        <w:t xml:space="preserve">income from self-employment along with income from other private sources. OECD comparisons focus on the first three of these. </w:t>
      </w:r>
    </w:p>
    <w:p w:rsidR="001133FC" w:rsidRPr="00DD3419" w:rsidRDefault="001133FC" w:rsidP="001133FC">
      <w:pPr>
        <w:pStyle w:val="BodyText"/>
      </w:pPr>
      <w:r w:rsidRPr="00DD3419">
        <w:t xml:space="preserve">Across OECD countries, </w:t>
      </w:r>
      <w:r w:rsidR="00324288">
        <w:t xml:space="preserve">OECD (2012b) estimates indicate that </w:t>
      </w:r>
      <w:r w:rsidRPr="00DD3419">
        <w:t xml:space="preserve">the distribution of market income is </w:t>
      </w:r>
      <w:r w:rsidR="00324288">
        <w:t>mainly determined</w:t>
      </w:r>
      <w:r w:rsidRPr="00DD3419">
        <w:t xml:space="preserve"> by the distribution of labour income. </w:t>
      </w:r>
      <w:r w:rsidR="00EC6CAD">
        <w:t>The analysis also suggests that capital income tends to increase estimates of m</w:t>
      </w:r>
      <w:r w:rsidR="00D30A6F">
        <w:t>arket inequality, but only to a small degree</w:t>
      </w:r>
      <w:r w:rsidR="00EC6CAD">
        <w:t xml:space="preserve"> for most countries.</w:t>
      </w:r>
    </w:p>
    <w:p w:rsidR="001133FC" w:rsidRPr="00773B86" w:rsidRDefault="00324288" w:rsidP="001133FC">
      <w:pPr>
        <w:pStyle w:val="BodyText"/>
      </w:pPr>
      <w:r>
        <w:t>The</w:t>
      </w:r>
      <w:r w:rsidR="001133FC" w:rsidRPr="00DD3419">
        <w:t xml:space="preserve"> distribution of capital income </w:t>
      </w:r>
      <w:r w:rsidR="001133FC" w:rsidRPr="00773B86">
        <w:t xml:space="preserve">tends </w:t>
      </w:r>
      <w:r w:rsidR="001133FC" w:rsidRPr="00DD3419">
        <w:t>to be much less equally distributed compared to other forms of income</w:t>
      </w:r>
      <w:r w:rsidR="007B786C">
        <w:t xml:space="preserve"> (Hoeller </w:t>
      </w:r>
      <w:r w:rsidR="007B786C" w:rsidRPr="001038F8">
        <w:t>et al.</w:t>
      </w:r>
      <w:r w:rsidR="007B786C">
        <w:t xml:space="preserve"> 2012)</w:t>
      </w:r>
      <w:r w:rsidR="001133FC" w:rsidRPr="00DD3419">
        <w:t>. Consequently</w:t>
      </w:r>
      <w:r w:rsidR="007B786C">
        <w:t>,</w:t>
      </w:r>
      <w:r w:rsidR="001133FC" w:rsidRPr="00DD3419">
        <w:t xml:space="preserve"> </w:t>
      </w:r>
      <w:r w:rsidR="001133FC" w:rsidRPr="00773B86">
        <w:t>c</w:t>
      </w:r>
      <w:r w:rsidR="001133FC" w:rsidRPr="00DD3419">
        <w:t>ountries with high</w:t>
      </w:r>
      <w:r w:rsidR="007B786C">
        <w:t>er estimated</w:t>
      </w:r>
      <w:r w:rsidR="001133FC" w:rsidRPr="00DD3419">
        <w:t xml:space="preserve"> Gini coefficients (such as Australia) also tend to have capital income </w:t>
      </w:r>
      <w:r w:rsidR="007B786C">
        <w:t>contributing more to</w:t>
      </w:r>
      <w:r w:rsidR="001133FC" w:rsidRPr="00DD3419">
        <w:t xml:space="preserve"> the</w:t>
      </w:r>
      <w:r w:rsidR="00C620F7">
        <w:t>ir</w:t>
      </w:r>
      <w:r w:rsidR="001133FC" w:rsidRPr="00DD3419">
        <w:t xml:space="preserve"> Gini coefficient </w:t>
      </w:r>
      <w:r w:rsidR="00C620F7">
        <w:t>compared to</w:t>
      </w:r>
      <w:r w:rsidR="001133FC" w:rsidRPr="00DD3419">
        <w:t xml:space="preserve"> countries with lower Gini coefficients (figure</w:t>
      </w:r>
      <w:r w:rsidR="009F3A8A">
        <w:t> C.4</w:t>
      </w:r>
      <w:r w:rsidR="001133FC" w:rsidRPr="00DD3419">
        <w:t>). However there are some outliers</w:t>
      </w:r>
      <w:r w:rsidR="00C620F7">
        <w:t xml:space="preserve"> in the OECD analysis</w:t>
      </w:r>
      <w:r w:rsidR="00F10A5B">
        <w:t>.</w:t>
      </w:r>
      <w:r w:rsidR="001133FC" w:rsidRPr="00DD3419">
        <w:t xml:space="preserve"> </w:t>
      </w:r>
      <w:r w:rsidR="00F10A5B">
        <w:t>F</w:t>
      </w:r>
      <w:r w:rsidR="00C620F7">
        <w:t xml:space="preserve">or example </w:t>
      </w:r>
      <w:r w:rsidR="001133FC" w:rsidRPr="00DD3419">
        <w:t>Iceland has the largest contribution of capital income to its Gini coefficient (0.09</w:t>
      </w:r>
      <w:r w:rsidR="00C620F7">
        <w:t>)</w:t>
      </w:r>
      <w:r w:rsidR="001133FC" w:rsidRPr="00DD3419">
        <w:t xml:space="preserve"> compared to the average (0.03), yet has a below OECD-average </w:t>
      </w:r>
      <w:r w:rsidR="00C620F7">
        <w:t xml:space="preserve">measured market </w:t>
      </w:r>
      <w:r w:rsidR="001133FC" w:rsidRPr="00DD3419">
        <w:t>income inequality (0.30 versus 0.37) (OECD 2012</w:t>
      </w:r>
      <w:r w:rsidR="001133FC">
        <w:t>b</w:t>
      </w:r>
      <w:r w:rsidR="001133FC" w:rsidRPr="00DD3419">
        <w:t>). Similarly</w:t>
      </w:r>
      <w:r w:rsidR="00C620F7">
        <w:t>,</w:t>
      </w:r>
      <w:r w:rsidR="001133FC" w:rsidRPr="00DD3419">
        <w:t xml:space="preserve"> Portugal has one of the highest</w:t>
      </w:r>
      <w:r w:rsidR="00C620F7">
        <w:t xml:space="preserve"> estimated market</w:t>
      </w:r>
      <w:r w:rsidR="001133FC" w:rsidRPr="00DD3419">
        <w:t xml:space="preserve"> income Gini coefficients in the OECD (0.40)</w:t>
      </w:r>
      <w:r w:rsidR="00F10A5B">
        <w:t>,</w:t>
      </w:r>
      <w:r w:rsidR="001133FC" w:rsidRPr="00DD3419">
        <w:t xml:space="preserve"> yet capital income</w:t>
      </w:r>
      <w:r w:rsidR="00C620F7">
        <w:t xml:space="preserve"> is estimated to contribute</w:t>
      </w:r>
      <w:r w:rsidR="001133FC" w:rsidRPr="00DD3419">
        <w:t xml:space="preserve"> little to this (0.01</w:t>
      </w:r>
      <w:r w:rsidR="001133FC" w:rsidRPr="00114972">
        <w:t>).</w:t>
      </w:r>
    </w:p>
    <w:p w:rsidR="001133FC" w:rsidRDefault="001133FC">
      <w:pPr>
        <w:pStyle w:val="FigureTitle"/>
      </w:pPr>
      <w:r>
        <w:rPr>
          <w:b w:val="0"/>
        </w:rPr>
        <w:t xml:space="preserve">Figure </w:t>
      </w:r>
      <w:bookmarkStart w:id="8" w:name="OLE_LINK1"/>
      <w:r w:rsidR="000B2BFE">
        <w:rPr>
          <w:b w:val="0"/>
        </w:rPr>
        <w:t>C.</w:t>
      </w:r>
      <w:r w:rsidR="000B2BFE">
        <w:rPr>
          <w:b w:val="0"/>
          <w:noProof/>
        </w:rPr>
        <w:t>4</w:t>
      </w:r>
      <w:bookmarkEnd w:id="8"/>
      <w:r>
        <w:tab/>
      </w:r>
      <w:r w:rsidRPr="001133FC">
        <w:t xml:space="preserve">Market income </w:t>
      </w:r>
      <w:r w:rsidR="00CF2419">
        <w:t>inequality</w:t>
      </w:r>
      <w:r w:rsidRPr="001133FC">
        <w:t>, late 2000s</w:t>
      </w:r>
    </w:p>
    <w:p w:rsidR="001133FC" w:rsidRDefault="001133FC">
      <w:pPr>
        <w:pStyle w:val="Subtitle"/>
      </w:pPr>
      <w:r w:rsidRPr="001133FC">
        <w:t>Gini coefficient, working age population</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133FC">
        <w:tc>
          <w:tcPr>
            <w:tcW w:w="8777" w:type="dxa"/>
          </w:tcPr>
          <w:p w:rsidR="001133FC" w:rsidRDefault="001133FC">
            <w:pPr>
              <w:pStyle w:val="Figure"/>
            </w:pPr>
            <w:r>
              <w:rPr>
                <w:noProof/>
              </w:rPr>
              <w:drawing>
                <wp:inline distT="0" distB="0" distL="0" distR="0" wp14:anchorId="1ADD1067" wp14:editId="2DCAF9F0">
                  <wp:extent cx="5503653" cy="3148642"/>
                  <wp:effectExtent l="0" t="0" r="1905" b="0"/>
                  <wp:docPr id="14" name="Chart 14" descr="Depicts the Gini coefficient estimates for household market income for OECD countries. More details can be found immediately before this image. " title="Figure C.4 Market income inequality, late 2000s"/>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1133FC" w:rsidRDefault="001133FC" w:rsidP="001133FC">
      <w:pPr>
        <w:pStyle w:val="Source"/>
      </w:pPr>
      <w:r>
        <w:rPr>
          <w:i/>
        </w:rPr>
        <w:t>Data source</w:t>
      </w:r>
      <w:r w:rsidRPr="00167F06">
        <w:t xml:space="preserve">: </w:t>
      </w:r>
      <w:r>
        <w:t>OECD (2012b).</w:t>
      </w:r>
    </w:p>
    <w:p w:rsidR="001133FC" w:rsidRDefault="001133FC" w:rsidP="001133FC">
      <w:pPr>
        <w:pStyle w:val="Heading4"/>
        <w:rPr>
          <w:lang w:val="en"/>
        </w:rPr>
      </w:pPr>
      <w:r>
        <w:rPr>
          <w:lang w:val="en"/>
        </w:rPr>
        <w:lastRenderedPageBreak/>
        <w:t>Distribution of wealth</w:t>
      </w:r>
    </w:p>
    <w:p w:rsidR="001133FC" w:rsidRPr="00DD3419" w:rsidRDefault="001133FC" w:rsidP="001133FC">
      <w:pPr>
        <w:pStyle w:val="BodyText"/>
        <w:rPr>
          <w:lang w:val="en"/>
        </w:rPr>
      </w:pPr>
      <w:r w:rsidRPr="00DD3419">
        <w:rPr>
          <w:lang w:val="en"/>
        </w:rPr>
        <w:t>One problem with</w:t>
      </w:r>
      <w:r w:rsidR="007551A3">
        <w:rPr>
          <w:lang w:val="en"/>
        </w:rPr>
        <w:t xml:space="preserve"> measures of</w:t>
      </w:r>
      <w:r w:rsidRPr="00DD3419">
        <w:rPr>
          <w:lang w:val="en"/>
        </w:rPr>
        <w:t xml:space="preserve"> income inequality is that they can overstate or understate </w:t>
      </w:r>
      <w:r w:rsidR="000F0656">
        <w:rPr>
          <w:lang w:val="en"/>
        </w:rPr>
        <w:t>the</w:t>
      </w:r>
      <w:r>
        <w:rPr>
          <w:lang w:val="en"/>
        </w:rPr>
        <w:t xml:space="preserve"> distribution</w:t>
      </w:r>
      <w:r w:rsidR="000F0656">
        <w:rPr>
          <w:lang w:val="en"/>
        </w:rPr>
        <w:t xml:space="preserve"> of consumption possibilities</w:t>
      </w:r>
      <w:r w:rsidRPr="00DD3419">
        <w:rPr>
          <w:lang w:val="en"/>
        </w:rPr>
        <w:t xml:space="preserve"> by ignoring household wealth, as both income and wealth contribute </w:t>
      </w:r>
      <w:r w:rsidR="007551A3">
        <w:rPr>
          <w:lang w:val="en"/>
        </w:rPr>
        <w:t>to households</w:t>
      </w:r>
      <w:r w:rsidR="00F10A5B">
        <w:rPr>
          <w:lang w:val="en"/>
        </w:rPr>
        <w:t>’</w:t>
      </w:r>
      <w:r w:rsidR="007551A3">
        <w:rPr>
          <w:lang w:val="en"/>
        </w:rPr>
        <w:t xml:space="preserve"> capacity to purchase goods and services</w:t>
      </w:r>
      <w:r w:rsidRPr="00DD3419">
        <w:rPr>
          <w:lang w:val="en"/>
        </w:rPr>
        <w:t xml:space="preserve">. For many, wealth is accumulated over time and higher levels may be held by those in retirement who have </w:t>
      </w:r>
      <w:r w:rsidR="007551A3">
        <w:rPr>
          <w:lang w:val="en"/>
        </w:rPr>
        <w:t xml:space="preserve">relatively </w:t>
      </w:r>
      <w:r w:rsidRPr="00DD3419">
        <w:rPr>
          <w:lang w:val="en"/>
        </w:rPr>
        <w:t xml:space="preserve">low incomes (for example, in Australia many of those on the aged pension own their own homes and so have significant wealth but </w:t>
      </w:r>
      <w:r w:rsidR="007551A3">
        <w:rPr>
          <w:lang w:val="en"/>
        </w:rPr>
        <w:t>lower</w:t>
      </w:r>
      <w:r w:rsidRPr="00DD3419">
        <w:rPr>
          <w:lang w:val="en"/>
        </w:rPr>
        <w:t xml:space="preserve"> income)</w:t>
      </w:r>
      <w:r>
        <w:rPr>
          <w:lang w:val="en"/>
        </w:rPr>
        <w:t>.</w:t>
      </w:r>
      <w:r w:rsidRPr="00DD3419">
        <w:rPr>
          <w:lang w:val="en"/>
        </w:rPr>
        <w:t xml:space="preserve"> On the other hand, the distribution of wealth tends to be much more concentrated than the distribution of income, with significant amounts held by those who also have high incomes (and therefore the capacity to save and own assets)</w:t>
      </w:r>
      <w:r w:rsidR="00F10A5B">
        <w:rPr>
          <w:lang w:val="en"/>
        </w:rPr>
        <w:t xml:space="preserve">. This suggests that </w:t>
      </w:r>
      <w:r w:rsidR="00730BBE">
        <w:rPr>
          <w:lang w:val="en"/>
        </w:rPr>
        <w:t xml:space="preserve">any </w:t>
      </w:r>
      <w:r w:rsidR="00F10A5B">
        <w:rPr>
          <w:lang w:val="en"/>
        </w:rPr>
        <w:t>inequality measures that incorporate</w:t>
      </w:r>
      <w:r w:rsidR="00730BBE">
        <w:rPr>
          <w:lang w:val="en"/>
        </w:rPr>
        <w:t>d</w:t>
      </w:r>
      <w:r w:rsidR="00F10A5B">
        <w:rPr>
          <w:lang w:val="en"/>
        </w:rPr>
        <w:t xml:space="preserve"> wealth would tend to report higher levels of inequality</w:t>
      </w:r>
      <w:r w:rsidR="00730BBE">
        <w:rPr>
          <w:lang w:val="en"/>
        </w:rPr>
        <w:t xml:space="preserve"> compared to income alone</w:t>
      </w:r>
      <w:r w:rsidR="00D87E37">
        <w:rPr>
          <w:lang w:val="en"/>
        </w:rPr>
        <w:t>, and that this</w:t>
      </w:r>
      <w:r w:rsidR="00F10A5B">
        <w:rPr>
          <w:lang w:val="en"/>
        </w:rPr>
        <w:t xml:space="preserve"> effect </w:t>
      </w:r>
      <w:r w:rsidR="00D87E37">
        <w:rPr>
          <w:lang w:val="en"/>
        </w:rPr>
        <w:t xml:space="preserve">would be </w:t>
      </w:r>
      <w:r w:rsidR="00F10A5B">
        <w:rPr>
          <w:lang w:val="en"/>
        </w:rPr>
        <w:t>amplified the more uneq</w:t>
      </w:r>
      <w:r w:rsidR="00730BBE">
        <w:rPr>
          <w:lang w:val="en"/>
        </w:rPr>
        <w:t xml:space="preserve">ual the distribution of income. </w:t>
      </w:r>
    </w:p>
    <w:p w:rsidR="001133FC" w:rsidRDefault="00730BBE" w:rsidP="001133FC">
      <w:pPr>
        <w:pStyle w:val="BodyText"/>
      </w:pPr>
      <w:r w:rsidRPr="00DD3419">
        <w:rPr>
          <w:lang w:val="en"/>
        </w:rPr>
        <w:t>Unfortunately the small quantity of available data and lack of consistency across countries makes international comparisons difficult.</w:t>
      </w:r>
      <w:r>
        <w:rPr>
          <w:lang w:val="en"/>
        </w:rPr>
        <w:t xml:space="preserve"> </w:t>
      </w:r>
      <w:r>
        <w:t>Yet a</w:t>
      </w:r>
      <w:r w:rsidR="001133FC">
        <w:t xml:space="preserve">vailable </w:t>
      </w:r>
      <w:r w:rsidR="007551A3">
        <w:t xml:space="preserve">data suggests </w:t>
      </w:r>
      <w:r w:rsidR="001133FC">
        <w:t xml:space="preserve">that countries with low inequality in their income distributions do not necessarily have low inequality in the distribution of wealth and vice versa. For example, </w:t>
      </w:r>
      <w:r w:rsidR="007551A3">
        <w:t xml:space="preserve">Credit Suisse (2011) estimated that </w:t>
      </w:r>
      <w:r w:rsidR="001133FC">
        <w:t>Sweden, which has a very low income Gini coefficient of 0.26, had a high wealth Gini coefficient of 0</w:t>
      </w:r>
      <w:r w:rsidR="007551A3">
        <w:t>.82 in 2011</w:t>
      </w:r>
      <w:r w:rsidR="001133FC">
        <w:t xml:space="preserve">. Conversely, Italy and Australia, which have relatively high income </w:t>
      </w:r>
      <w:r w:rsidR="007551A3">
        <w:t>Gini coefficients of 0.34, were estimated to have</w:t>
      </w:r>
      <w:r w:rsidR="001133FC">
        <w:t xml:space="preserve"> relatively low wealth Gini coefficient</w:t>
      </w:r>
      <w:r w:rsidR="007551A3">
        <w:t>s</w:t>
      </w:r>
      <w:r w:rsidR="001133FC">
        <w:t xml:space="preserve"> of 0.6</w:t>
      </w:r>
      <w:r w:rsidR="007551A3">
        <w:t>1 and 0.63 respectively</w:t>
      </w:r>
      <w:r w:rsidR="00D87E37">
        <w:t xml:space="preserve"> </w:t>
      </w:r>
      <w:r w:rsidR="001133FC">
        <w:t xml:space="preserve">(Credit Suisse 2011). </w:t>
      </w:r>
    </w:p>
    <w:p w:rsidR="001133FC" w:rsidRDefault="001133FC" w:rsidP="001133FC">
      <w:pPr>
        <w:pStyle w:val="BodyText"/>
      </w:pPr>
      <w:r>
        <w:t xml:space="preserve">According to Davies </w:t>
      </w:r>
      <w:r w:rsidRPr="001038F8">
        <w:t>et al.</w:t>
      </w:r>
      <w:r>
        <w:t xml:space="preserve"> (2008) the lowest 50 per cent of households in the wealth distribution hold only a tiny fraction of total wealth in most countries, between -18 (Denmark) and 21 per cent (Japan). By contrast, the top 10 per cent hold between 39 (Japan) and 76 per cent (Denmark) of total wealth. Australia lies in between these extremes with the bottom 50 per cent of households holding nine per cent of total wealth and the top ten per cent holding 45 per cent</w:t>
      </w:r>
      <w:r w:rsidR="00D30A6F">
        <w:t xml:space="preserve"> (Davies </w:t>
      </w:r>
      <w:r w:rsidR="00D30A6F" w:rsidRPr="001038F8">
        <w:t>et al.</w:t>
      </w:r>
      <w:r w:rsidR="00D30A6F">
        <w:t xml:space="preserve"> 2008)</w:t>
      </w:r>
      <w:r>
        <w:t>.</w:t>
      </w:r>
    </w:p>
    <w:p w:rsidR="001133FC" w:rsidRDefault="001133FC" w:rsidP="001133FC">
      <w:pPr>
        <w:pStyle w:val="Heading3"/>
      </w:pPr>
      <w:r>
        <w:t>Including taxes and transfers: household disposable income</w:t>
      </w:r>
    </w:p>
    <w:p w:rsidR="001133FC" w:rsidRDefault="001133FC" w:rsidP="001133FC">
      <w:pPr>
        <w:pStyle w:val="BodyText"/>
      </w:pPr>
      <w:r>
        <w:t xml:space="preserve">The distribution of disposable income (market income less direct taxes plus government cash transfers) is narrower than market income due to the </w:t>
      </w:r>
      <w:r w:rsidR="00720178">
        <w:t>typically progressive</w:t>
      </w:r>
      <w:r>
        <w:t xml:space="preserve"> effect of taxes and transfers. The impact of taxes and cash transfers on the income distribution depends on size, mix and progressivity of the system, which var</w:t>
      </w:r>
      <w:r w:rsidR="00D87E37">
        <w:t>y</w:t>
      </w:r>
      <w:r>
        <w:t xml:space="preserve"> across OECD countries. On average the distribution of income after taxes and transfers, as measured by the Gini coefficient, </w:t>
      </w:r>
      <w:r w:rsidR="00720178">
        <w:t xml:space="preserve">has been found to be </w:t>
      </w:r>
      <w:r>
        <w:t xml:space="preserve">about 25 per cent lower than </w:t>
      </w:r>
      <w:r w:rsidR="00D87E37">
        <w:t xml:space="preserve">that </w:t>
      </w:r>
      <w:r>
        <w:t xml:space="preserve">for market income in the late 2000s (Joumard et al. 2012). </w:t>
      </w:r>
    </w:p>
    <w:p w:rsidR="001133FC" w:rsidRDefault="00720178" w:rsidP="001133FC">
      <w:pPr>
        <w:pStyle w:val="BodyText"/>
      </w:pPr>
      <w:r>
        <w:lastRenderedPageBreak/>
        <w:t xml:space="preserve">Joumard </w:t>
      </w:r>
      <w:r w:rsidRPr="001038F8">
        <w:t>et al.</w:t>
      </w:r>
      <w:r>
        <w:t xml:space="preserve"> (2012) found that i</w:t>
      </w:r>
      <w:r w:rsidR="001133FC">
        <w:t>n all OECD countries</w:t>
      </w:r>
      <w:r>
        <w:t>,</w:t>
      </w:r>
      <w:r w:rsidR="001133FC">
        <w:t xml:space="preserve"> cash transfers have a larger redistributive impact than taxes</w:t>
      </w:r>
      <w:r w:rsidR="00D87E37">
        <w:t>.</w:t>
      </w:r>
      <w:r w:rsidR="001133FC">
        <w:t xml:space="preserve"> The cross-country variation in the redistributive impact of cash transfers reflects differences in the size of transfers</w:t>
      </w:r>
      <w:r w:rsidR="003D4BCB">
        <w:t xml:space="preserve"> </w:t>
      </w:r>
      <w:r w:rsidR="00442302">
        <w:t>—</w:t>
      </w:r>
      <w:r w:rsidR="003D4BCB">
        <w:t xml:space="preserve"> </w:t>
      </w:r>
      <w:r w:rsidR="001133FC">
        <w:t>countries with higher rates of cash transfers tend to reduce income dispersion the greatest</w:t>
      </w:r>
      <w:r w:rsidR="003D4BCB">
        <w:t xml:space="preserve"> —</w:t>
      </w:r>
      <w:r w:rsidR="001133FC">
        <w:t xml:space="preserve"> but the progressivity of these transfers is also important. For example, Australia </w:t>
      </w:r>
      <w:r w:rsidR="002A5C99">
        <w:t>was</w:t>
      </w:r>
      <w:r>
        <w:t xml:space="preserve"> estimated to have attained</w:t>
      </w:r>
      <w:r w:rsidR="001133FC">
        <w:t xml:space="preserve"> a much larger reduction in inequality from cash transfers than France despite Australia having one of the lowest levels of cash transfers as a proportion of household disposable income in the OECD </w:t>
      </w:r>
      <w:r w:rsidR="003D4BCB">
        <w:t>while</w:t>
      </w:r>
      <w:r w:rsidR="001133FC">
        <w:t xml:space="preserve"> France</w:t>
      </w:r>
      <w:r w:rsidR="003D4BCB">
        <w:t xml:space="preserve"> has</w:t>
      </w:r>
      <w:r w:rsidR="001133FC">
        <w:t xml:space="preserve"> one of the highest (figure</w:t>
      </w:r>
      <w:r w:rsidR="009F3A8A">
        <w:t> C.5</w:t>
      </w:r>
      <w:r w:rsidR="001133FC">
        <w:t xml:space="preserve">). </w:t>
      </w:r>
      <w:r>
        <w:t>The study suggests that t</w:t>
      </w:r>
      <w:r w:rsidR="001133FC">
        <w:t>his is a result of Australia having one of the most progressively targeted cash transfers systems in the OECD, driven by a greater reliance on income taxes, which are more progressive than other taxes, and on means-tested cash transfers. On average</w:t>
      </w:r>
      <w:r>
        <w:t xml:space="preserve">, Joumard </w:t>
      </w:r>
      <w:r w:rsidRPr="001038F8">
        <w:t>et al.</w:t>
      </w:r>
      <w:r>
        <w:t xml:space="preserve"> (2012) found that countries which</w:t>
      </w:r>
      <w:r w:rsidR="001133FC">
        <w:t xml:space="preserve"> have large cash transfers tend to be less progressively targeted, as the bulk of these transfers are aimed at redistributing income across life-cycles, mainly funding old-age pensions, rather than from high to low-inco</w:t>
      </w:r>
      <w:r>
        <w:t>me earners</w:t>
      </w:r>
      <w:r w:rsidR="001133FC">
        <w:t>.</w:t>
      </w:r>
    </w:p>
    <w:p w:rsidR="001133FC" w:rsidRDefault="001133FC" w:rsidP="001133FC">
      <w:pPr>
        <w:pStyle w:val="FigureTitle"/>
      </w:pPr>
      <w:r>
        <w:rPr>
          <w:b w:val="0"/>
        </w:rPr>
        <w:t xml:space="preserve">Figure </w:t>
      </w:r>
      <w:bookmarkStart w:id="9" w:name="OLE_LINK7"/>
      <w:r w:rsidR="000B2BFE">
        <w:rPr>
          <w:b w:val="0"/>
        </w:rPr>
        <w:t>C.</w:t>
      </w:r>
      <w:r w:rsidR="000B2BFE">
        <w:rPr>
          <w:b w:val="0"/>
          <w:noProof/>
        </w:rPr>
        <w:t>5</w:t>
      </w:r>
      <w:bookmarkEnd w:id="9"/>
      <w:r>
        <w:tab/>
      </w:r>
      <w:r w:rsidRPr="001133FC">
        <w:t>Effectiveness of public cash transfers in reducing inequality</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133FC">
        <w:tc>
          <w:tcPr>
            <w:tcW w:w="8777" w:type="dxa"/>
          </w:tcPr>
          <w:p w:rsidR="001133FC" w:rsidRDefault="001133FC">
            <w:pPr>
              <w:pStyle w:val="Figure"/>
            </w:pPr>
            <w:r>
              <w:rPr>
                <w:noProof/>
              </w:rPr>
              <w:drawing>
                <wp:inline distT="0" distB="0" distL="0" distR="0" wp14:anchorId="5EE340B4" wp14:editId="4F363565">
                  <wp:extent cx="5542059" cy="3768919"/>
                  <wp:effectExtent l="0" t="0" r="1905" b="3175"/>
                  <wp:docPr id="10" name="Chart 10" descr="Depicts the reduction in the Gini coefficient as a result of direct government benefits againsts the percentage direct government payments make up of household disposable income. More details can be found within the text immediately before this image. " title="Figure C.5 Effectiveness of public cash transfers in reducing inequality"/>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rsidR="001133FC" w:rsidRDefault="001133FC" w:rsidP="001133FC">
      <w:pPr>
        <w:pStyle w:val="Source"/>
      </w:pPr>
      <w:r>
        <w:rPr>
          <w:i/>
        </w:rPr>
        <w:t>Data source</w:t>
      </w:r>
      <w:r w:rsidRPr="00167F06">
        <w:t xml:space="preserve">: </w:t>
      </w:r>
      <w:r>
        <w:t>OECD (2008).</w:t>
      </w:r>
    </w:p>
    <w:p w:rsidR="001133FC" w:rsidRPr="00382979" w:rsidRDefault="001133FC" w:rsidP="001133FC">
      <w:pPr>
        <w:pStyle w:val="Heading4"/>
      </w:pPr>
      <w:r>
        <w:lastRenderedPageBreak/>
        <w:t>In-kind transfers</w:t>
      </w:r>
    </w:p>
    <w:p w:rsidR="001133FC" w:rsidRDefault="00720178" w:rsidP="001133FC">
      <w:pPr>
        <w:pStyle w:val="BodyText"/>
      </w:pPr>
      <w:r>
        <w:t xml:space="preserve">The OECD (2011) observed that in-kind transfers </w:t>
      </w:r>
      <w:r w:rsidR="00BC401E">
        <w:t>were</w:t>
      </w:r>
      <w:r>
        <w:t xml:space="preserve"> larger than cash transfers in Australia and most other OECD countries </w:t>
      </w:r>
      <w:r w:rsidR="00BC401E">
        <w:t>in the mid</w:t>
      </w:r>
      <w:r w:rsidR="00BC401E">
        <w:noBreakHyphen/>
        <w:t>2000s</w:t>
      </w:r>
      <w:r w:rsidR="001E4910">
        <w:t>.</w:t>
      </w:r>
      <w:r w:rsidR="001133FC">
        <w:t xml:space="preserve"> </w:t>
      </w:r>
      <w:r w:rsidR="001E4910">
        <w:t>W</w:t>
      </w:r>
      <w:r w:rsidR="001133FC">
        <w:t>ith healthcare and education consuming most o</w:t>
      </w:r>
      <w:r w:rsidR="00BC401E">
        <w:t xml:space="preserve">f those funds. The analysis </w:t>
      </w:r>
      <w:r w:rsidR="00D30A6F">
        <w:t>found</w:t>
      </w:r>
      <w:r w:rsidR="00BC401E">
        <w:t xml:space="preserve"> that these in</w:t>
      </w:r>
      <w:r w:rsidR="001E4910">
        <w:t>–</w:t>
      </w:r>
      <w:r w:rsidR="00BC401E">
        <w:t>kind transfers</w:t>
      </w:r>
      <w:r w:rsidR="001133FC">
        <w:t xml:space="preserve"> reduce </w:t>
      </w:r>
      <w:r w:rsidR="00BC401E">
        <w:t xml:space="preserve">measured </w:t>
      </w:r>
      <w:r w:rsidR="001133FC">
        <w:t>inequality in all countries by a sim</w:t>
      </w:r>
      <w:r w:rsidR="00BC401E">
        <w:t>ilar amount</w:t>
      </w:r>
      <w:r w:rsidR="001E4910">
        <w:t xml:space="preserve"> —</w:t>
      </w:r>
      <w:r w:rsidR="00BC401E">
        <w:t xml:space="preserve"> around 20 per cent. This reduction had the effect of</w:t>
      </w:r>
      <w:r w:rsidR="001133FC">
        <w:t xml:space="preserve"> reducing the </w:t>
      </w:r>
      <w:r w:rsidR="00BC401E">
        <w:t xml:space="preserve">estimated </w:t>
      </w:r>
      <w:r w:rsidR="001133FC">
        <w:t>average OECD Gini coefficient for final income from 0.30 to 0.24 (a smaller reduction than from the inclusion of cash-transfers) (figure</w:t>
      </w:r>
      <w:r w:rsidR="009F3A8A">
        <w:t> C.6</w:t>
      </w:r>
      <w:r w:rsidR="001133FC">
        <w:t>). Consequently</w:t>
      </w:r>
      <w:r w:rsidR="00BC401E">
        <w:t>,</w:t>
      </w:r>
      <w:r w:rsidR="001133FC">
        <w:t xml:space="preserve"> the in</w:t>
      </w:r>
      <w:r w:rsidR="00BC401E">
        <w:t>clusion of in-kind transfers had</w:t>
      </w:r>
      <w:r w:rsidR="001133FC">
        <w:t xml:space="preserve"> little impact on the </w:t>
      </w:r>
      <w:r w:rsidR="00BC401E">
        <w:t xml:space="preserve">OECD’s </w:t>
      </w:r>
      <w:r w:rsidR="001133FC" w:rsidRPr="00067688">
        <w:rPr>
          <w:i/>
        </w:rPr>
        <w:t>relative</w:t>
      </w:r>
      <w:r w:rsidR="001133FC">
        <w:t xml:space="preserve"> inequality estimates between countries</w:t>
      </w:r>
      <w:r w:rsidR="00BC401E">
        <w:t>, although important from the perspective of income inequality levels</w:t>
      </w:r>
      <w:r w:rsidR="001133FC">
        <w:t>.</w:t>
      </w:r>
    </w:p>
    <w:p w:rsidR="001133FC" w:rsidRDefault="001133FC">
      <w:pPr>
        <w:pStyle w:val="FigureTitle"/>
      </w:pPr>
      <w:r>
        <w:rPr>
          <w:b w:val="0"/>
        </w:rPr>
        <w:t xml:space="preserve">Figure </w:t>
      </w:r>
      <w:bookmarkStart w:id="10" w:name="OLE_LINK2"/>
      <w:r w:rsidR="000B2BFE">
        <w:rPr>
          <w:b w:val="0"/>
        </w:rPr>
        <w:t>C.</w:t>
      </w:r>
      <w:r w:rsidR="000B2BFE">
        <w:rPr>
          <w:b w:val="0"/>
          <w:noProof/>
        </w:rPr>
        <w:t>6</w:t>
      </w:r>
      <w:bookmarkEnd w:id="10"/>
      <w:r>
        <w:tab/>
        <w:t>Impact of in-kind transfers on</w:t>
      </w:r>
      <w:r w:rsidR="00CF2419">
        <w:t xml:space="preserve"> income</w:t>
      </w:r>
      <w:r>
        <w:t xml:space="preserve"> </w:t>
      </w:r>
      <w:r w:rsidR="00CF2419">
        <w:t>inequality</w:t>
      </w:r>
    </w:p>
    <w:p w:rsidR="001133FC" w:rsidRDefault="001133FC">
      <w:pPr>
        <w:pStyle w:val="Subtitle"/>
      </w:pPr>
      <w:r>
        <w:t>Gini coefficient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133FC">
        <w:tc>
          <w:tcPr>
            <w:tcW w:w="8777" w:type="dxa"/>
          </w:tcPr>
          <w:p w:rsidR="001133FC" w:rsidRDefault="001133FC">
            <w:pPr>
              <w:pStyle w:val="Figure"/>
            </w:pPr>
            <w:r>
              <w:rPr>
                <w:noProof/>
              </w:rPr>
              <w:drawing>
                <wp:inline distT="0" distB="0" distL="0" distR="0" wp14:anchorId="6DAB5521" wp14:editId="60EDD357">
                  <wp:extent cx="5494351" cy="3745065"/>
                  <wp:effectExtent l="0" t="0" r="0" b="8255"/>
                  <wp:docPr id="19" name="Chart 19" descr="Depicts the Gini coefficient estimate for OECD countries for disposable household income and that of disposable household income including the value of in-kind transfers. For all countries, in-kind transfers reduce the Gini coefficient by relatively similar amounts.  " title="Figure C.6 Impact of in-kind transfers on income inequality"/>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1133FC" w:rsidRDefault="001133FC" w:rsidP="001133FC">
      <w:pPr>
        <w:pStyle w:val="Source"/>
      </w:pPr>
      <w:r>
        <w:rPr>
          <w:i/>
        </w:rPr>
        <w:t>Data source</w:t>
      </w:r>
      <w:r w:rsidRPr="00167F06">
        <w:t xml:space="preserve">: </w:t>
      </w:r>
      <w:r>
        <w:t>OECD (2011).</w:t>
      </w:r>
    </w:p>
    <w:p w:rsidR="001133FC" w:rsidRDefault="001133FC" w:rsidP="001133FC">
      <w:pPr>
        <w:pStyle w:val="Heading3"/>
      </w:pPr>
      <w:r>
        <w:t xml:space="preserve">Family formation </w:t>
      </w:r>
    </w:p>
    <w:p w:rsidR="001133FC" w:rsidRDefault="001133FC" w:rsidP="001133FC">
      <w:pPr>
        <w:pStyle w:val="BodyText"/>
      </w:pPr>
      <w:r>
        <w:t>Inequality in household income can also be affected by changes in household dem</w:t>
      </w:r>
      <w:r w:rsidR="007C513E">
        <w:t>ographics, such as increases in assortative mating</w:t>
      </w:r>
      <w:r>
        <w:t xml:space="preserve"> </w:t>
      </w:r>
      <w:r w:rsidR="007C513E">
        <w:t xml:space="preserve">rates </w:t>
      </w:r>
      <w:r>
        <w:t xml:space="preserve">and shifts in household structures. </w:t>
      </w:r>
      <w:r w:rsidR="007C513E">
        <w:t xml:space="preserve">The OECD (2011) found </w:t>
      </w:r>
      <w:r>
        <w:t>assortative mating</w:t>
      </w:r>
      <w:r w:rsidR="007C513E">
        <w:t xml:space="preserve"> rates</w:t>
      </w:r>
      <w:r>
        <w:t>, the proportion of couples with incomes in t</w:t>
      </w:r>
      <w:r w:rsidR="007C513E">
        <w:t>he same decile and quintile, to have</w:t>
      </w:r>
      <w:r>
        <w:t xml:space="preserve"> increased from six to </w:t>
      </w:r>
      <w:r>
        <w:lastRenderedPageBreak/>
        <w:t>eight per cent and 34 to 39 per cent respectively between the mid-198</w:t>
      </w:r>
      <w:r w:rsidR="007C513E">
        <w:t>0s and the mid-2000s</w:t>
      </w:r>
      <w:r>
        <w:t>. The largest convergence of incomes occurred in Luxembourg, the United Kingdom and the Netherlands with two to three fold increases in marital income homogeny. However, assortativ</w:t>
      </w:r>
      <w:r w:rsidR="007C513E">
        <w:t>e mating rates in Australia were found to</w:t>
      </w:r>
      <w:r>
        <w:t xml:space="preserve"> </w:t>
      </w:r>
      <w:r w:rsidR="000D4D04">
        <w:t xml:space="preserve">have </w:t>
      </w:r>
      <w:r>
        <w:t>remained relatively steady, with the proportion of couples in the same income decile increasing from 5.8 to 6.3 per cent ove</w:t>
      </w:r>
      <w:r w:rsidR="001A77DA">
        <w:t>r the same period of time (OECD </w:t>
      </w:r>
      <w:r>
        <w:t>2011).</w:t>
      </w:r>
    </w:p>
    <w:p w:rsidR="001133FC" w:rsidRDefault="001133FC" w:rsidP="00285AFD">
      <w:pPr>
        <w:pStyle w:val="BodyText"/>
      </w:pPr>
      <w:r>
        <w:t>Changing household structures can also contribute to greater dispersion in the distribution of household income, particularly if increases occur in the number of single headed households.</w:t>
      </w:r>
      <w:r w:rsidR="00285AFD">
        <w:t xml:space="preserve"> The OECD (2011) found the share of single headed households had increased across the board in all OECD countries under study, on average by almost five percentage points.</w:t>
      </w:r>
      <w:r>
        <w:t xml:space="preserve"> In Australia the proportion</w:t>
      </w:r>
      <w:r w:rsidR="00285AFD">
        <w:t xml:space="preserve"> of single headed households was found to have</w:t>
      </w:r>
      <w:r w:rsidR="001A77DA">
        <w:t xml:space="preserve"> increased from 17 to 22 per </w:t>
      </w:r>
      <w:r>
        <w:t>c</w:t>
      </w:r>
      <w:r w:rsidR="001A77DA">
        <w:t>ent between 1985 and 2003 (OECD </w:t>
      </w:r>
      <w:r>
        <w:t xml:space="preserve">2011). </w:t>
      </w:r>
    </w:p>
    <w:p w:rsidR="001133FC" w:rsidRDefault="001133FC" w:rsidP="001133FC">
      <w:pPr>
        <w:pStyle w:val="BodyText"/>
      </w:pPr>
      <w:r>
        <w:t>Whi</w:t>
      </w:r>
      <w:r w:rsidR="001A77DA">
        <w:t>le these demographic measures were found to</w:t>
      </w:r>
      <w:r>
        <w:t xml:space="preserve"> increase the income distribution, </w:t>
      </w:r>
      <w:r w:rsidR="001A77DA">
        <w:t>the OECD (2011) estimated the impact to be</w:t>
      </w:r>
      <w:r>
        <w:t xml:space="preserve"> very</w:t>
      </w:r>
      <w:r w:rsidR="001A77DA">
        <w:t xml:space="preserve"> small for all countries analysed. For Australia, the OECD </w:t>
      </w:r>
      <w:r>
        <w:t>(2011) estima</w:t>
      </w:r>
      <w:r w:rsidR="001A77DA">
        <w:t>ted</w:t>
      </w:r>
      <w:r>
        <w:t xml:space="preserve"> </w:t>
      </w:r>
      <w:r w:rsidR="001E4910">
        <w:t xml:space="preserve">that </w:t>
      </w:r>
      <w:r>
        <w:t xml:space="preserve">assortative mating and the increase in the proportion </w:t>
      </w:r>
      <w:r w:rsidR="001038F8">
        <w:t xml:space="preserve">of </w:t>
      </w:r>
      <w:r>
        <w:t>single headed households each increased the Gini coeff</w:t>
      </w:r>
      <w:r w:rsidR="001A77DA">
        <w:t>icient by 0.006 between the mid</w:t>
      </w:r>
      <w:r w:rsidR="001A77DA">
        <w:noBreakHyphen/>
      </w:r>
      <w:r>
        <w:t>1980s</w:t>
      </w:r>
      <w:r w:rsidR="001A77DA">
        <w:t xml:space="preserve"> and mid</w:t>
      </w:r>
      <w:r w:rsidR="001A77DA">
        <w:noBreakHyphen/>
      </w:r>
      <w:r>
        <w:t>2000s (the total increase in the Gini coefficient was 0.032</w:t>
      </w:r>
      <w:r w:rsidR="001A77DA">
        <w:t xml:space="preserve"> over this period</w:t>
      </w:r>
      <w:r>
        <w:t>).</w:t>
      </w:r>
    </w:p>
    <w:bookmarkEnd w:id="2"/>
    <w:p w:rsidR="00F056FC" w:rsidRPr="005A6674" w:rsidRDefault="00F056FC" w:rsidP="002874F8">
      <w:pPr>
        <w:pStyle w:val="BodyText"/>
      </w:pPr>
    </w:p>
    <w:sectPr w:rsidR="00F056FC" w:rsidRPr="005A6674" w:rsidSect="000B2BFE">
      <w:headerReference w:type="even" r:id="rId15"/>
      <w:headerReference w:type="default" r:id="rId16"/>
      <w:footerReference w:type="even" r:id="rId17"/>
      <w:footerReference w:type="default" r:id="rId18"/>
      <w:pgSz w:w="11907" w:h="16840" w:code="9"/>
      <w:pgMar w:top="1985" w:right="1304" w:bottom="1418" w:left="1814" w:header="1701" w:footer="567" w:gutter="0"/>
      <w:pgNumType w:start="125"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4BCB" w:rsidRDefault="003D4BCB">
      <w:r>
        <w:separator/>
      </w:r>
    </w:p>
  </w:endnote>
  <w:endnote w:type="continuationSeparator" w:id="0">
    <w:p w:rsidR="003D4BCB" w:rsidRDefault="003D4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3D4BCB">
      <w:trPr>
        <w:trHeight w:hRule="exact" w:val="740"/>
      </w:trPr>
      <w:tc>
        <w:tcPr>
          <w:tcW w:w="510" w:type="dxa"/>
          <w:tcBorders>
            <w:top w:val="single" w:sz="6" w:space="0" w:color="auto"/>
          </w:tcBorders>
        </w:tcPr>
        <w:p w:rsidR="003D4BCB" w:rsidRDefault="003D4BCB"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E07276">
            <w:rPr>
              <w:rStyle w:val="PageNumber"/>
              <w:noProof/>
            </w:rPr>
            <w:t>132</w:t>
          </w:r>
          <w:r>
            <w:rPr>
              <w:rStyle w:val="PageNumber"/>
            </w:rPr>
            <w:fldChar w:fldCharType="end"/>
          </w:r>
        </w:p>
      </w:tc>
      <w:tc>
        <w:tcPr>
          <w:tcW w:w="1644" w:type="dxa"/>
          <w:tcBorders>
            <w:top w:val="single" w:sz="6" w:space="0" w:color="auto"/>
          </w:tcBorders>
        </w:tcPr>
        <w:p w:rsidR="003D4BCB" w:rsidRDefault="00E07276" w:rsidP="0019293B">
          <w:pPr>
            <w:pStyle w:val="Footer"/>
          </w:pPr>
          <w:r>
            <w:fldChar w:fldCharType="begin"/>
          </w:r>
          <w:r>
            <w:instrText xml:space="preserve"> SUBJECT  \* MERGEFORMAT </w:instrText>
          </w:r>
          <w:r>
            <w:fldChar w:fldCharType="separate"/>
          </w:r>
          <w:r w:rsidR="000B2BFE">
            <w:t>The distribution of income in Australia</w:t>
          </w:r>
          <w:r>
            <w:fldChar w:fldCharType="end"/>
          </w:r>
        </w:p>
      </w:tc>
      <w:tc>
        <w:tcPr>
          <w:tcW w:w="6634" w:type="dxa"/>
        </w:tcPr>
        <w:p w:rsidR="003D4BCB" w:rsidRDefault="003D4BCB" w:rsidP="0019293B">
          <w:pPr>
            <w:pStyle w:val="Footer"/>
          </w:pPr>
        </w:p>
      </w:tc>
    </w:tr>
  </w:tbl>
  <w:p w:rsidR="003D4BCB" w:rsidRDefault="003D4BCB"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3D4BCB">
      <w:trPr>
        <w:trHeight w:hRule="exact" w:val="740"/>
      </w:trPr>
      <w:tc>
        <w:tcPr>
          <w:tcW w:w="6634" w:type="dxa"/>
        </w:tcPr>
        <w:p w:rsidR="003D4BCB" w:rsidRDefault="003D4BCB">
          <w:pPr>
            <w:pStyle w:val="Footer"/>
            <w:ind w:right="360" w:firstLine="360"/>
          </w:pPr>
        </w:p>
      </w:tc>
      <w:tc>
        <w:tcPr>
          <w:tcW w:w="1644" w:type="dxa"/>
          <w:tcBorders>
            <w:top w:val="single" w:sz="6" w:space="0" w:color="auto"/>
          </w:tcBorders>
        </w:tcPr>
        <w:p w:rsidR="003D4BCB" w:rsidRDefault="00E07276">
          <w:pPr>
            <w:pStyle w:val="Footer"/>
          </w:pPr>
          <w:r>
            <w:fldChar w:fldCharType="begin"/>
          </w:r>
          <w:r>
            <w:instrText xml:space="preserve"> TITLE  \* MERGEFORMAT </w:instrText>
          </w:r>
          <w:r>
            <w:fldChar w:fldCharType="separate"/>
          </w:r>
          <w:r w:rsidR="000B2BFE">
            <w:t>How does Australia compare?</w:t>
          </w:r>
          <w:r>
            <w:fldChar w:fldCharType="end"/>
          </w:r>
        </w:p>
      </w:tc>
      <w:tc>
        <w:tcPr>
          <w:tcW w:w="510" w:type="dxa"/>
          <w:tcBorders>
            <w:top w:val="single" w:sz="6" w:space="0" w:color="auto"/>
          </w:tcBorders>
        </w:tcPr>
        <w:p w:rsidR="003D4BCB" w:rsidRDefault="003D4BCB">
          <w:pPr>
            <w:pStyle w:val="Footer"/>
            <w:jc w:val="right"/>
          </w:pPr>
          <w:r>
            <w:rPr>
              <w:rStyle w:val="PageNumber"/>
            </w:rPr>
            <w:fldChar w:fldCharType="begin"/>
          </w:r>
          <w:r>
            <w:rPr>
              <w:rStyle w:val="PageNumber"/>
            </w:rPr>
            <w:instrText xml:space="preserve">PAGE  </w:instrText>
          </w:r>
          <w:r>
            <w:rPr>
              <w:rStyle w:val="PageNumber"/>
            </w:rPr>
            <w:fldChar w:fldCharType="separate"/>
          </w:r>
          <w:r w:rsidR="00E07276">
            <w:rPr>
              <w:rStyle w:val="PageNumber"/>
              <w:noProof/>
            </w:rPr>
            <w:t>133</w:t>
          </w:r>
          <w:r>
            <w:rPr>
              <w:rStyle w:val="PageNumber"/>
            </w:rPr>
            <w:fldChar w:fldCharType="end"/>
          </w:r>
        </w:p>
      </w:tc>
    </w:tr>
  </w:tbl>
  <w:p w:rsidR="003D4BCB" w:rsidRDefault="003D4BCB">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4BCB" w:rsidRDefault="003D4BCB">
      <w:r>
        <w:separator/>
      </w:r>
    </w:p>
  </w:footnote>
  <w:footnote w:type="continuationSeparator" w:id="0">
    <w:p w:rsidR="003D4BCB" w:rsidRDefault="003D4BCB">
      <w:r>
        <w:continuationSeparator/>
      </w:r>
    </w:p>
  </w:footnote>
  <w:footnote w:id="1">
    <w:p w:rsidR="003D4BCB" w:rsidRDefault="003D4BCB">
      <w:pPr>
        <w:pStyle w:val="FootnoteText"/>
      </w:pPr>
      <w:r>
        <w:rPr>
          <w:rStyle w:val="FootnoteReference"/>
        </w:rPr>
        <w:footnoteRef/>
      </w:r>
      <w:r>
        <w:t xml:space="preserve"> More information is available at: </w:t>
      </w:r>
      <w:r w:rsidRPr="00085F0C">
        <w:t>http://www.oecd.org/eco/publicfinanceandfiscalpolicy/</w:t>
      </w:r>
      <w:r>
        <w:br/>
      </w:r>
      <w:r w:rsidRPr="00085F0C">
        <w:t>lessincomeinequalityandmoregrowth-aret</w:t>
      </w:r>
      <w:r>
        <w:t>heycompatible.htm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3D4BCB">
      <w:tc>
        <w:tcPr>
          <w:tcW w:w="2155" w:type="dxa"/>
          <w:tcBorders>
            <w:top w:val="single" w:sz="24" w:space="0" w:color="auto"/>
          </w:tcBorders>
        </w:tcPr>
        <w:p w:rsidR="003D4BCB" w:rsidRDefault="003D4BCB" w:rsidP="0019293B">
          <w:pPr>
            <w:pStyle w:val="HeaderEven"/>
          </w:pPr>
        </w:p>
      </w:tc>
      <w:tc>
        <w:tcPr>
          <w:tcW w:w="6634" w:type="dxa"/>
          <w:tcBorders>
            <w:top w:val="single" w:sz="6" w:space="0" w:color="auto"/>
          </w:tcBorders>
        </w:tcPr>
        <w:p w:rsidR="003D4BCB" w:rsidRDefault="003D4BCB" w:rsidP="0019293B">
          <w:pPr>
            <w:pStyle w:val="HeaderEven"/>
          </w:pPr>
        </w:p>
      </w:tc>
    </w:tr>
  </w:tbl>
  <w:p w:rsidR="003D4BCB" w:rsidRDefault="003D4BCB"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D4BCB">
      <w:tc>
        <w:tcPr>
          <w:tcW w:w="6634" w:type="dxa"/>
          <w:tcBorders>
            <w:top w:val="single" w:sz="6" w:space="0" w:color="auto"/>
          </w:tcBorders>
        </w:tcPr>
        <w:p w:rsidR="003D4BCB" w:rsidRDefault="003D4BCB" w:rsidP="00E669E2">
          <w:pPr>
            <w:pStyle w:val="HeaderOdd"/>
          </w:pPr>
        </w:p>
      </w:tc>
      <w:tc>
        <w:tcPr>
          <w:tcW w:w="2155" w:type="dxa"/>
          <w:tcBorders>
            <w:top w:val="single" w:sz="24" w:space="0" w:color="auto"/>
          </w:tcBorders>
        </w:tcPr>
        <w:p w:rsidR="003D4BCB" w:rsidRDefault="003D4BCB" w:rsidP="00E669E2">
          <w:pPr>
            <w:pStyle w:val="HeaderOdd"/>
          </w:pPr>
        </w:p>
      </w:tc>
    </w:tr>
  </w:tbl>
  <w:p w:rsidR="003D4BCB" w:rsidRDefault="003D4BCB"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C"/>
    <w:docVar w:name="FindingOptions" w:val="1"/>
    <w:docVar w:name="RecOptions" w:val="111"/>
    <w:docVar w:name="ShortChapterTitle" w:val="How does Australia compare?"/>
    <w:docVar w:name="ShortReportTitle" w:val="The distribution of income in Australia"/>
  </w:docVars>
  <w:rsids>
    <w:rsidRoot w:val="001133FC"/>
    <w:rsid w:val="000227D5"/>
    <w:rsid w:val="000245AA"/>
    <w:rsid w:val="0003664B"/>
    <w:rsid w:val="0004111F"/>
    <w:rsid w:val="000565B3"/>
    <w:rsid w:val="0007150B"/>
    <w:rsid w:val="00085F0C"/>
    <w:rsid w:val="000938F5"/>
    <w:rsid w:val="00096E55"/>
    <w:rsid w:val="000B2BFE"/>
    <w:rsid w:val="000B601B"/>
    <w:rsid w:val="000C207E"/>
    <w:rsid w:val="000D4D04"/>
    <w:rsid w:val="000F0035"/>
    <w:rsid w:val="000F0656"/>
    <w:rsid w:val="000F420B"/>
    <w:rsid w:val="000F5142"/>
    <w:rsid w:val="001038F8"/>
    <w:rsid w:val="00110116"/>
    <w:rsid w:val="00112BC1"/>
    <w:rsid w:val="001133FC"/>
    <w:rsid w:val="00120072"/>
    <w:rsid w:val="00126EB8"/>
    <w:rsid w:val="001274D4"/>
    <w:rsid w:val="001363AA"/>
    <w:rsid w:val="001539E3"/>
    <w:rsid w:val="00183E82"/>
    <w:rsid w:val="001878BB"/>
    <w:rsid w:val="00191AE0"/>
    <w:rsid w:val="0019293B"/>
    <w:rsid w:val="001A3185"/>
    <w:rsid w:val="001A77DA"/>
    <w:rsid w:val="001C0865"/>
    <w:rsid w:val="001C3ABA"/>
    <w:rsid w:val="001E4910"/>
    <w:rsid w:val="001E7BE8"/>
    <w:rsid w:val="001F0248"/>
    <w:rsid w:val="001F3EB3"/>
    <w:rsid w:val="001F4F86"/>
    <w:rsid w:val="00202C2C"/>
    <w:rsid w:val="002135AB"/>
    <w:rsid w:val="002144BE"/>
    <w:rsid w:val="002145B1"/>
    <w:rsid w:val="00242279"/>
    <w:rsid w:val="00245C82"/>
    <w:rsid w:val="00285AFD"/>
    <w:rsid w:val="002874F8"/>
    <w:rsid w:val="00287DB5"/>
    <w:rsid w:val="00291B40"/>
    <w:rsid w:val="002A5C99"/>
    <w:rsid w:val="002B4008"/>
    <w:rsid w:val="002B6D78"/>
    <w:rsid w:val="002D0E8E"/>
    <w:rsid w:val="002D4818"/>
    <w:rsid w:val="00301189"/>
    <w:rsid w:val="00323E09"/>
    <w:rsid w:val="00324288"/>
    <w:rsid w:val="00333932"/>
    <w:rsid w:val="003518AA"/>
    <w:rsid w:val="00352165"/>
    <w:rsid w:val="00353182"/>
    <w:rsid w:val="003565D9"/>
    <w:rsid w:val="003602E1"/>
    <w:rsid w:val="0037026F"/>
    <w:rsid w:val="00371240"/>
    <w:rsid w:val="00374731"/>
    <w:rsid w:val="00376E59"/>
    <w:rsid w:val="003919F9"/>
    <w:rsid w:val="003C38B5"/>
    <w:rsid w:val="003C5D99"/>
    <w:rsid w:val="003D4BCB"/>
    <w:rsid w:val="003E2F59"/>
    <w:rsid w:val="003F0789"/>
    <w:rsid w:val="00401882"/>
    <w:rsid w:val="004100C8"/>
    <w:rsid w:val="00411DBD"/>
    <w:rsid w:val="00412ACE"/>
    <w:rsid w:val="00431249"/>
    <w:rsid w:val="00434C19"/>
    <w:rsid w:val="00441E65"/>
    <w:rsid w:val="00442302"/>
    <w:rsid w:val="00450810"/>
    <w:rsid w:val="00456B26"/>
    <w:rsid w:val="00477144"/>
    <w:rsid w:val="00491380"/>
    <w:rsid w:val="0049459F"/>
    <w:rsid w:val="004A38DD"/>
    <w:rsid w:val="004B43AE"/>
    <w:rsid w:val="004C30ED"/>
    <w:rsid w:val="004D5675"/>
    <w:rsid w:val="00520912"/>
    <w:rsid w:val="00523639"/>
    <w:rsid w:val="00531FE5"/>
    <w:rsid w:val="005402FA"/>
    <w:rsid w:val="00540B61"/>
    <w:rsid w:val="00577C3F"/>
    <w:rsid w:val="00583C39"/>
    <w:rsid w:val="00584108"/>
    <w:rsid w:val="00587F28"/>
    <w:rsid w:val="005909CF"/>
    <w:rsid w:val="00591E71"/>
    <w:rsid w:val="005A0D41"/>
    <w:rsid w:val="005A6674"/>
    <w:rsid w:val="00607BF1"/>
    <w:rsid w:val="00621C7B"/>
    <w:rsid w:val="00630D4D"/>
    <w:rsid w:val="00632A74"/>
    <w:rsid w:val="00647C5B"/>
    <w:rsid w:val="006A0E67"/>
    <w:rsid w:val="006A4655"/>
    <w:rsid w:val="006B2B3C"/>
    <w:rsid w:val="006B4994"/>
    <w:rsid w:val="006C1D81"/>
    <w:rsid w:val="006C7038"/>
    <w:rsid w:val="006E73EF"/>
    <w:rsid w:val="0070236E"/>
    <w:rsid w:val="00710141"/>
    <w:rsid w:val="00714D4D"/>
    <w:rsid w:val="00720178"/>
    <w:rsid w:val="00722478"/>
    <w:rsid w:val="00730BBE"/>
    <w:rsid w:val="007551A3"/>
    <w:rsid w:val="007604BB"/>
    <w:rsid w:val="00785232"/>
    <w:rsid w:val="007A21EB"/>
    <w:rsid w:val="007B1A93"/>
    <w:rsid w:val="007B786C"/>
    <w:rsid w:val="007C36C9"/>
    <w:rsid w:val="007C513E"/>
    <w:rsid w:val="007D6401"/>
    <w:rsid w:val="007E01E4"/>
    <w:rsid w:val="007F7107"/>
    <w:rsid w:val="00800D4C"/>
    <w:rsid w:val="0081030F"/>
    <w:rsid w:val="0082087D"/>
    <w:rsid w:val="00835771"/>
    <w:rsid w:val="00842933"/>
    <w:rsid w:val="0086082C"/>
    <w:rsid w:val="00864ADC"/>
    <w:rsid w:val="00880153"/>
    <w:rsid w:val="00880F97"/>
    <w:rsid w:val="0088133A"/>
    <w:rsid w:val="0089285E"/>
    <w:rsid w:val="0089436C"/>
    <w:rsid w:val="008B57DD"/>
    <w:rsid w:val="008D365C"/>
    <w:rsid w:val="009030BF"/>
    <w:rsid w:val="0091032F"/>
    <w:rsid w:val="00914368"/>
    <w:rsid w:val="00931076"/>
    <w:rsid w:val="009345D9"/>
    <w:rsid w:val="00934B15"/>
    <w:rsid w:val="00940C87"/>
    <w:rsid w:val="00942B62"/>
    <w:rsid w:val="0095323B"/>
    <w:rsid w:val="00956A0C"/>
    <w:rsid w:val="00956BD9"/>
    <w:rsid w:val="00962489"/>
    <w:rsid w:val="009660B4"/>
    <w:rsid w:val="00975ABD"/>
    <w:rsid w:val="00990C2C"/>
    <w:rsid w:val="009A274B"/>
    <w:rsid w:val="009E1844"/>
    <w:rsid w:val="009F0D1B"/>
    <w:rsid w:val="009F3A8A"/>
    <w:rsid w:val="009F696D"/>
    <w:rsid w:val="009F6BC6"/>
    <w:rsid w:val="00A17328"/>
    <w:rsid w:val="00A23A20"/>
    <w:rsid w:val="00A268B9"/>
    <w:rsid w:val="00A2703A"/>
    <w:rsid w:val="00A33DFF"/>
    <w:rsid w:val="00A35115"/>
    <w:rsid w:val="00A36D9A"/>
    <w:rsid w:val="00A554AB"/>
    <w:rsid w:val="00A57062"/>
    <w:rsid w:val="00A92B53"/>
    <w:rsid w:val="00A94FA6"/>
    <w:rsid w:val="00AA49A0"/>
    <w:rsid w:val="00AA6710"/>
    <w:rsid w:val="00AB0681"/>
    <w:rsid w:val="00AD520B"/>
    <w:rsid w:val="00B15543"/>
    <w:rsid w:val="00B425C3"/>
    <w:rsid w:val="00B440AD"/>
    <w:rsid w:val="00B53E7E"/>
    <w:rsid w:val="00B6342E"/>
    <w:rsid w:val="00B7113F"/>
    <w:rsid w:val="00B77249"/>
    <w:rsid w:val="00B81403"/>
    <w:rsid w:val="00BA73B6"/>
    <w:rsid w:val="00BA7E27"/>
    <w:rsid w:val="00BB2603"/>
    <w:rsid w:val="00BB4FCD"/>
    <w:rsid w:val="00BC04E9"/>
    <w:rsid w:val="00BC401E"/>
    <w:rsid w:val="00BD13EA"/>
    <w:rsid w:val="00BE1082"/>
    <w:rsid w:val="00BE3808"/>
    <w:rsid w:val="00BF4F5F"/>
    <w:rsid w:val="00C02F63"/>
    <w:rsid w:val="00C062E9"/>
    <w:rsid w:val="00C07B64"/>
    <w:rsid w:val="00C13721"/>
    <w:rsid w:val="00C14FE4"/>
    <w:rsid w:val="00C3066D"/>
    <w:rsid w:val="00C52416"/>
    <w:rsid w:val="00C543F4"/>
    <w:rsid w:val="00C620F7"/>
    <w:rsid w:val="00C6291C"/>
    <w:rsid w:val="00C633CB"/>
    <w:rsid w:val="00C736B7"/>
    <w:rsid w:val="00C81D4A"/>
    <w:rsid w:val="00C8762C"/>
    <w:rsid w:val="00CA00F9"/>
    <w:rsid w:val="00CA2961"/>
    <w:rsid w:val="00CB01D7"/>
    <w:rsid w:val="00CB4634"/>
    <w:rsid w:val="00CB50D7"/>
    <w:rsid w:val="00CB7177"/>
    <w:rsid w:val="00CC1998"/>
    <w:rsid w:val="00CC4946"/>
    <w:rsid w:val="00CE0D0E"/>
    <w:rsid w:val="00CE7522"/>
    <w:rsid w:val="00CF00B6"/>
    <w:rsid w:val="00CF2419"/>
    <w:rsid w:val="00D270A4"/>
    <w:rsid w:val="00D30A6F"/>
    <w:rsid w:val="00D31FE9"/>
    <w:rsid w:val="00D34E1B"/>
    <w:rsid w:val="00D376BA"/>
    <w:rsid w:val="00D45634"/>
    <w:rsid w:val="00D5568A"/>
    <w:rsid w:val="00D63D73"/>
    <w:rsid w:val="00D64452"/>
    <w:rsid w:val="00D66E1E"/>
    <w:rsid w:val="00D75722"/>
    <w:rsid w:val="00D76120"/>
    <w:rsid w:val="00D80CF5"/>
    <w:rsid w:val="00D83D61"/>
    <w:rsid w:val="00D87E37"/>
    <w:rsid w:val="00D929D9"/>
    <w:rsid w:val="00DA5BBA"/>
    <w:rsid w:val="00DB26D2"/>
    <w:rsid w:val="00DB67C9"/>
    <w:rsid w:val="00DC0C95"/>
    <w:rsid w:val="00DD6580"/>
    <w:rsid w:val="00E0505C"/>
    <w:rsid w:val="00E07276"/>
    <w:rsid w:val="00E072AB"/>
    <w:rsid w:val="00E17C72"/>
    <w:rsid w:val="00E21FC6"/>
    <w:rsid w:val="00E235C0"/>
    <w:rsid w:val="00E4140B"/>
    <w:rsid w:val="00E431A9"/>
    <w:rsid w:val="00E669E2"/>
    <w:rsid w:val="00E76135"/>
    <w:rsid w:val="00E82F4F"/>
    <w:rsid w:val="00EC2844"/>
    <w:rsid w:val="00EC5500"/>
    <w:rsid w:val="00EC6CAD"/>
    <w:rsid w:val="00EF6C6C"/>
    <w:rsid w:val="00F056FC"/>
    <w:rsid w:val="00F10476"/>
    <w:rsid w:val="00F10A5B"/>
    <w:rsid w:val="00F135D8"/>
    <w:rsid w:val="00F31299"/>
    <w:rsid w:val="00F3534A"/>
    <w:rsid w:val="00F51609"/>
    <w:rsid w:val="00F81006"/>
    <w:rsid w:val="00F85325"/>
    <w:rsid w:val="00FD22B1"/>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uiPriority="99"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basedOn w:val="DefaultParagraphFont"/>
    <w:link w:val="BodyText"/>
    <w:uiPriority w:val="99"/>
    <w:rsid w:val="00647C5B"/>
    <w:rPr>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uiPriority="99"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basedOn w:val="DefaultParagraphFont"/>
    <w:link w:val="BodyText"/>
    <w:uiPriority w:val="99"/>
    <w:rsid w:val="00647C5B"/>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019691">
      <w:bodyDiv w:val="1"/>
      <w:marLeft w:val="0"/>
      <w:marRight w:val="0"/>
      <w:marTop w:val="0"/>
      <w:marBottom w:val="0"/>
      <w:divBdr>
        <w:top w:val="none" w:sz="0" w:space="0" w:color="auto"/>
        <w:left w:val="none" w:sz="0" w:space="0" w:color="auto"/>
        <w:bottom w:val="none" w:sz="0" w:space="0" w:color="auto"/>
        <w:right w:val="none" w:sz="0" w:space="0" w:color="auto"/>
      </w:divBdr>
    </w:div>
    <w:div w:id="1285188323">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NULL"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spPr>
            <a:pattFill prst="pct30">
              <a:fgClr>
                <a:srgbClr val="4F81BD">
                  <a:lumMod val="75000"/>
                </a:srgbClr>
              </a:fgClr>
              <a:bgClr>
                <a:schemeClr val="bg1"/>
              </a:bgClr>
            </a:pattFill>
            <a:ln w="19050">
              <a:solidFill>
                <a:schemeClr val="accent1">
                  <a:lumMod val="75000"/>
                </a:schemeClr>
              </a:solidFill>
            </a:ln>
          </c:spPr>
          <c:invertIfNegative val="0"/>
          <c:dPt>
            <c:idx val="20"/>
            <c:invertIfNegative val="0"/>
            <c:bubble3D val="0"/>
            <c:spPr>
              <a:solidFill>
                <a:schemeClr val="accent1">
                  <a:lumMod val="75000"/>
                </a:schemeClr>
              </a:solidFill>
              <a:ln w="19050">
                <a:solidFill>
                  <a:schemeClr val="accent1">
                    <a:lumMod val="75000"/>
                  </a:schemeClr>
                </a:solidFill>
              </a:ln>
            </c:spPr>
          </c:dPt>
          <c:dPt>
            <c:idx val="26"/>
            <c:invertIfNegative val="0"/>
            <c:bubble3D val="0"/>
            <c:spPr>
              <a:solidFill>
                <a:srgbClr val="C00000"/>
              </a:solidFill>
              <a:ln w="19050">
                <a:solidFill>
                  <a:srgbClr val="C00000"/>
                </a:solidFill>
              </a:ln>
            </c:spPr>
          </c:dPt>
          <c:cat>
            <c:strRef>
              <c:f>'OECD.Stat export'!$A$8:$A$42</c:f>
              <c:strCache>
                <c:ptCount val="35"/>
                <c:pt idx="0">
                  <c:v>Slovenia</c:v>
                </c:pt>
                <c:pt idx="1">
                  <c:v>Denmark</c:v>
                </c:pt>
                <c:pt idx="2">
                  <c:v>Norway</c:v>
                </c:pt>
                <c:pt idx="3">
                  <c:v>Czech Republic</c:v>
                </c:pt>
                <c:pt idx="4">
                  <c:v>Slovak Republic</c:v>
                </c:pt>
                <c:pt idx="5">
                  <c:v>Belgium</c:v>
                </c:pt>
                <c:pt idx="6">
                  <c:v>Finland</c:v>
                </c:pt>
                <c:pt idx="7">
                  <c:v>Sweden</c:v>
                </c:pt>
                <c:pt idx="8">
                  <c:v>Austria</c:v>
                </c:pt>
                <c:pt idx="9">
                  <c:v>Hungary</c:v>
                </c:pt>
                <c:pt idx="10">
                  <c:v>Luxembourg</c:v>
                </c:pt>
                <c:pt idx="11">
                  <c:v>France</c:v>
                </c:pt>
                <c:pt idx="12">
                  <c:v>Ireland</c:v>
                </c:pt>
                <c:pt idx="13">
                  <c:v>Netherlands</c:v>
                </c:pt>
                <c:pt idx="14">
                  <c:v>Germany</c:v>
                </c:pt>
                <c:pt idx="15">
                  <c:v>Iceland</c:v>
                </c:pt>
                <c:pt idx="16">
                  <c:v>Switzerland</c:v>
                </c:pt>
                <c:pt idx="17">
                  <c:v>Poland</c:v>
                </c:pt>
                <c:pt idx="18">
                  <c:v>Greece</c:v>
                </c:pt>
                <c:pt idx="19">
                  <c:v>Korea</c:v>
                </c:pt>
                <c:pt idx="20">
                  <c:v>OECD Total</c:v>
                </c:pt>
                <c:pt idx="21">
                  <c:v>Estonia</c:v>
                </c:pt>
                <c:pt idx="22">
                  <c:v>Spain</c:v>
                </c:pt>
                <c:pt idx="23">
                  <c:v>Canada</c:v>
                </c:pt>
                <c:pt idx="24">
                  <c:v>Japan</c:v>
                </c:pt>
                <c:pt idx="25">
                  <c:v>New Zealand</c:v>
                </c:pt>
                <c:pt idx="26">
                  <c:v>Australia</c:v>
                </c:pt>
                <c:pt idx="27">
                  <c:v>Italy</c:v>
                </c:pt>
                <c:pt idx="28">
                  <c:v>United Kingdom</c:v>
                </c:pt>
                <c:pt idx="29">
                  <c:v>Portugal</c:v>
                </c:pt>
                <c:pt idx="30">
                  <c:v>Israel</c:v>
                </c:pt>
                <c:pt idx="31">
                  <c:v>United States</c:v>
                </c:pt>
                <c:pt idx="32">
                  <c:v>Turkey</c:v>
                </c:pt>
                <c:pt idx="33">
                  <c:v>Mexico</c:v>
                </c:pt>
                <c:pt idx="34">
                  <c:v>Chile</c:v>
                </c:pt>
              </c:strCache>
            </c:strRef>
          </c:cat>
          <c:val>
            <c:numRef>
              <c:f>'OECD.Stat export'!$P$8:$P$42</c:f>
              <c:numCache>
                <c:formatCode>General</c:formatCode>
                <c:ptCount val="35"/>
                <c:pt idx="0">
                  <c:v>0.23599999999999999</c:v>
                </c:pt>
                <c:pt idx="1">
                  <c:v>0.248</c:v>
                </c:pt>
                <c:pt idx="2">
                  <c:v>0.25</c:v>
                </c:pt>
                <c:pt idx="3">
                  <c:v>0.25600000000000001</c:v>
                </c:pt>
                <c:pt idx="4">
                  <c:v>0.25700000000000001</c:v>
                </c:pt>
                <c:pt idx="5">
                  <c:v>0.25900000000000001</c:v>
                </c:pt>
                <c:pt idx="6">
                  <c:v>0.25900000000000001</c:v>
                </c:pt>
                <c:pt idx="7">
                  <c:v>0.25900000000000001</c:v>
                </c:pt>
                <c:pt idx="8">
                  <c:v>0.26100000000000001</c:v>
                </c:pt>
                <c:pt idx="9">
                  <c:v>0.27200000000000002</c:v>
                </c:pt>
                <c:pt idx="10">
                  <c:v>0.28799999999999998</c:v>
                </c:pt>
                <c:pt idx="11">
                  <c:v>0.29299999999999998</c:v>
                </c:pt>
                <c:pt idx="12">
                  <c:v>0.29299999999999998</c:v>
                </c:pt>
                <c:pt idx="13">
                  <c:v>0.29399999999999998</c:v>
                </c:pt>
                <c:pt idx="14">
                  <c:v>0.29499999999999998</c:v>
                </c:pt>
                <c:pt idx="15">
                  <c:v>0.30099999999999999</c:v>
                </c:pt>
                <c:pt idx="16">
                  <c:v>0.30299999999999999</c:v>
                </c:pt>
                <c:pt idx="17">
                  <c:v>0.30499999999999999</c:v>
                </c:pt>
                <c:pt idx="18">
                  <c:v>0.307</c:v>
                </c:pt>
                <c:pt idx="19">
                  <c:v>0.314</c:v>
                </c:pt>
                <c:pt idx="20">
                  <c:v>0.314</c:v>
                </c:pt>
                <c:pt idx="21">
                  <c:v>0.315</c:v>
                </c:pt>
                <c:pt idx="22">
                  <c:v>0.317</c:v>
                </c:pt>
                <c:pt idx="23">
                  <c:v>0.32400000000000001</c:v>
                </c:pt>
                <c:pt idx="24">
                  <c:v>0.32900000000000001</c:v>
                </c:pt>
                <c:pt idx="25">
                  <c:v>0.33</c:v>
                </c:pt>
                <c:pt idx="26">
                  <c:v>0.33600000000000002</c:v>
                </c:pt>
                <c:pt idx="27">
                  <c:v>0.33700000000000002</c:v>
                </c:pt>
                <c:pt idx="28">
                  <c:v>0.34200000000000003</c:v>
                </c:pt>
                <c:pt idx="29">
                  <c:v>0.35299999999999998</c:v>
                </c:pt>
                <c:pt idx="30">
                  <c:v>0.371</c:v>
                </c:pt>
                <c:pt idx="31">
                  <c:v>0.378</c:v>
                </c:pt>
                <c:pt idx="32">
                  <c:v>0.40899999999999997</c:v>
                </c:pt>
                <c:pt idx="33">
                  <c:v>0.47599999999999998</c:v>
                </c:pt>
                <c:pt idx="34">
                  <c:v>0.49399999999999999</c:v>
                </c:pt>
              </c:numCache>
            </c:numRef>
          </c:val>
        </c:ser>
        <c:dLbls>
          <c:showLegendKey val="0"/>
          <c:showVal val="0"/>
          <c:showCatName val="0"/>
          <c:showSerName val="0"/>
          <c:showPercent val="0"/>
          <c:showBubbleSize val="0"/>
        </c:dLbls>
        <c:gapWidth val="150"/>
        <c:axId val="201202688"/>
        <c:axId val="202812032"/>
      </c:barChart>
      <c:catAx>
        <c:axId val="201202688"/>
        <c:scaling>
          <c:orientation val="minMax"/>
        </c:scaling>
        <c:delete val="0"/>
        <c:axPos val="b"/>
        <c:majorTickMark val="out"/>
        <c:minorTickMark val="none"/>
        <c:tickLblPos val="nextTo"/>
        <c:txPr>
          <a:bodyPr rot="-2700000"/>
          <a:lstStyle/>
          <a:p>
            <a:pPr>
              <a:defRPr sz="900">
                <a:latin typeface="Arial" pitchFamily="34" charset="0"/>
                <a:cs typeface="Arial" pitchFamily="34" charset="0"/>
              </a:defRPr>
            </a:pPr>
            <a:endParaRPr lang="en-US"/>
          </a:p>
        </c:txPr>
        <c:crossAx val="202812032"/>
        <c:crosses val="autoZero"/>
        <c:auto val="1"/>
        <c:lblAlgn val="ctr"/>
        <c:lblOffset val="100"/>
        <c:tickLblSkip val="1"/>
        <c:noMultiLvlLbl val="0"/>
      </c:catAx>
      <c:valAx>
        <c:axId val="202812032"/>
        <c:scaling>
          <c:orientation val="minMax"/>
          <c:max val="0.8"/>
        </c:scaling>
        <c:delete val="0"/>
        <c:axPos val="l"/>
        <c:majorGridlines/>
        <c:numFmt formatCode="General" sourceLinked="1"/>
        <c:majorTickMark val="out"/>
        <c:minorTickMark val="none"/>
        <c:tickLblPos val="nextTo"/>
        <c:txPr>
          <a:bodyPr/>
          <a:lstStyle/>
          <a:p>
            <a:pPr>
              <a:defRPr>
                <a:latin typeface="Arial" pitchFamily="34" charset="0"/>
                <a:cs typeface="Arial" pitchFamily="34" charset="0"/>
              </a:defRPr>
            </a:pPr>
            <a:endParaRPr lang="en-US"/>
          </a:p>
        </c:txPr>
        <c:crossAx val="201202688"/>
        <c:crosses val="autoZero"/>
        <c:crossBetween val="between"/>
      </c:valAx>
    </c:plotArea>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Fig2!$V$27</c:f>
              <c:strCache>
                <c:ptCount val="1"/>
                <c:pt idx="0">
                  <c:v>Full-time employed</c:v>
                </c:pt>
              </c:strCache>
            </c:strRef>
          </c:tx>
          <c:spPr>
            <a:solidFill>
              <a:schemeClr val="accent1">
                <a:lumMod val="75000"/>
              </a:schemeClr>
            </a:solidFill>
            <a:ln>
              <a:solidFill>
                <a:schemeClr val="accent1">
                  <a:lumMod val="75000"/>
                </a:schemeClr>
              </a:solidFill>
            </a:ln>
          </c:spPr>
          <c:invertIfNegative val="0"/>
          <c:dPt>
            <c:idx val="4"/>
            <c:invertIfNegative val="0"/>
            <c:bubble3D val="0"/>
            <c:spPr>
              <a:solidFill>
                <a:srgbClr val="C00000"/>
              </a:solidFill>
              <a:ln w="9525">
                <a:solidFill>
                  <a:srgbClr val="C00000"/>
                </a:solidFill>
              </a:ln>
            </c:spPr>
          </c:dPt>
          <c:dPt>
            <c:idx val="9"/>
            <c:invertIfNegative val="0"/>
            <c:bubble3D val="0"/>
            <c:spPr>
              <a:solidFill>
                <a:schemeClr val="accent1">
                  <a:lumMod val="75000"/>
                </a:schemeClr>
              </a:solidFill>
              <a:ln w="19050">
                <a:solidFill>
                  <a:schemeClr val="tx1"/>
                </a:solidFill>
              </a:ln>
            </c:spPr>
          </c:dPt>
          <c:cat>
            <c:strRef>
              <c:f>Fig2!$U$28:$U$45</c:f>
              <c:strCache>
                <c:ptCount val="18"/>
                <c:pt idx="0">
                  <c:v>Switzerland</c:v>
                </c:pt>
                <c:pt idx="1">
                  <c:v>Belgium</c:v>
                </c:pt>
                <c:pt idx="2">
                  <c:v>Denmark</c:v>
                </c:pt>
                <c:pt idx="3">
                  <c:v>France</c:v>
                </c:pt>
                <c:pt idx="4">
                  <c:v>Australia</c:v>
                </c:pt>
                <c:pt idx="5">
                  <c:v>Germany</c:v>
                </c:pt>
                <c:pt idx="6">
                  <c:v>Italy</c:v>
                </c:pt>
                <c:pt idx="7">
                  <c:v>Spain</c:v>
                </c:pt>
                <c:pt idx="8">
                  <c:v>Japan</c:v>
                </c:pt>
                <c:pt idx="9">
                  <c:v>OECD</c:v>
                </c:pt>
                <c:pt idx="10">
                  <c:v>Ireland</c:v>
                </c:pt>
                <c:pt idx="11">
                  <c:v>Israel</c:v>
                </c:pt>
                <c:pt idx="12">
                  <c:v>Korea</c:v>
                </c:pt>
                <c:pt idx="13">
                  <c:v>United Kingdom</c:v>
                </c:pt>
                <c:pt idx="14">
                  <c:v>Greece</c:v>
                </c:pt>
                <c:pt idx="15">
                  <c:v>Canada</c:v>
                </c:pt>
                <c:pt idx="16">
                  <c:v>Chile</c:v>
                </c:pt>
                <c:pt idx="17">
                  <c:v>United States</c:v>
                </c:pt>
              </c:strCache>
            </c:strRef>
          </c:cat>
          <c:val>
            <c:numRef>
              <c:f>Fig2!$V$28:$V$45</c:f>
              <c:numCache>
                <c:formatCode>0.000</c:formatCode>
                <c:ptCount val="18"/>
                <c:pt idx="0">
                  <c:v>0.28578468999114798</c:v>
                </c:pt>
                <c:pt idx="1">
                  <c:v>0.29063942774125101</c:v>
                </c:pt>
                <c:pt idx="2">
                  <c:v>0.29387335636401901</c:v>
                </c:pt>
                <c:pt idx="3">
                  <c:v>0.32595419464654202</c:v>
                </c:pt>
                <c:pt idx="4">
                  <c:v>0.33496211176553797</c:v>
                </c:pt>
                <c:pt idx="5">
                  <c:v>0.34113697489815897</c:v>
                </c:pt>
                <c:pt idx="6">
                  <c:v>0.344818398769484</c:v>
                </c:pt>
                <c:pt idx="7">
                  <c:v>0.34746602065015098</c:v>
                </c:pt>
                <c:pt idx="8">
                  <c:v>0.35595115271491901</c:v>
                </c:pt>
                <c:pt idx="9">
                  <c:v>0.35615530057147682</c:v>
                </c:pt>
                <c:pt idx="10">
                  <c:v>0.37432300186384498</c:v>
                </c:pt>
                <c:pt idx="11">
                  <c:v>0.38080000000000003</c:v>
                </c:pt>
                <c:pt idx="12">
                  <c:v>0.38393205300605898</c:v>
                </c:pt>
                <c:pt idx="13">
                  <c:v>0.39716547420454901</c:v>
                </c:pt>
                <c:pt idx="14">
                  <c:v>0.42121881621560697</c:v>
                </c:pt>
                <c:pt idx="15">
                  <c:v>0.43406873044450101</c:v>
                </c:pt>
                <c:pt idx="16">
                  <c:v>0.44967683547598097</c:v>
                </c:pt>
                <c:pt idx="17">
                  <c:v>0.45935509381151302</c:v>
                </c:pt>
              </c:numCache>
            </c:numRef>
          </c:val>
        </c:ser>
        <c:ser>
          <c:idx val="1"/>
          <c:order val="1"/>
          <c:tx>
            <c:strRef>
              <c:f>Fig2!$W$27</c:f>
              <c:strCache>
                <c:ptCount val="1"/>
                <c:pt idx="0">
                  <c:v>Full-time and part-time employed</c:v>
                </c:pt>
              </c:strCache>
            </c:strRef>
          </c:tx>
          <c:spPr>
            <a:pattFill prst="openDmnd">
              <a:fgClr>
                <a:schemeClr val="accent1">
                  <a:lumMod val="75000"/>
                </a:schemeClr>
              </a:fgClr>
              <a:bgClr>
                <a:schemeClr val="bg1"/>
              </a:bgClr>
            </a:pattFill>
            <a:ln>
              <a:solidFill>
                <a:schemeClr val="accent1">
                  <a:lumMod val="75000"/>
                </a:schemeClr>
              </a:solidFill>
            </a:ln>
          </c:spPr>
          <c:invertIfNegative val="0"/>
          <c:dPt>
            <c:idx val="4"/>
            <c:invertIfNegative val="0"/>
            <c:bubble3D val="0"/>
            <c:spPr>
              <a:pattFill prst="openDmnd">
                <a:fgClr>
                  <a:srgbClr val="C00000"/>
                </a:fgClr>
                <a:bgClr>
                  <a:schemeClr val="bg1"/>
                </a:bgClr>
              </a:pattFill>
              <a:ln w="9525">
                <a:solidFill>
                  <a:srgbClr val="C00000"/>
                </a:solidFill>
              </a:ln>
            </c:spPr>
          </c:dPt>
          <c:dPt>
            <c:idx val="9"/>
            <c:invertIfNegative val="0"/>
            <c:bubble3D val="0"/>
            <c:spPr>
              <a:pattFill prst="openDmnd">
                <a:fgClr>
                  <a:schemeClr val="accent1">
                    <a:lumMod val="75000"/>
                  </a:schemeClr>
                </a:fgClr>
                <a:bgClr>
                  <a:schemeClr val="bg1"/>
                </a:bgClr>
              </a:pattFill>
              <a:ln w="19050">
                <a:solidFill>
                  <a:schemeClr val="tx1"/>
                </a:solidFill>
              </a:ln>
            </c:spPr>
          </c:dPt>
          <c:cat>
            <c:strRef>
              <c:f>Fig2!$U$28:$U$45</c:f>
              <c:strCache>
                <c:ptCount val="18"/>
                <c:pt idx="0">
                  <c:v>Switzerland</c:v>
                </c:pt>
                <c:pt idx="1">
                  <c:v>Belgium</c:v>
                </c:pt>
                <c:pt idx="2">
                  <c:v>Denmark</c:v>
                </c:pt>
                <c:pt idx="3">
                  <c:v>France</c:v>
                </c:pt>
                <c:pt idx="4">
                  <c:v>Australia</c:v>
                </c:pt>
                <c:pt idx="5">
                  <c:v>Germany</c:v>
                </c:pt>
                <c:pt idx="6">
                  <c:v>Italy</c:v>
                </c:pt>
                <c:pt idx="7">
                  <c:v>Spain</c:v>
                </c:pt>
                <c:pt idx="8">
                  <c:v>Japan</c:v>
                </c:pt>
                <c:pt idx="9">
                  <c:v>OECD</c:v>
                </c:pt>
                <c:pt idx="10">
                  <c:v>Ireland</c:v>
                </c:pt>
                <c:pt idx="11">
                  <c:v>Israel</c:v>
                </c:pt>
                <c:pt idx="12">
                  <c:v>Korea</c:v>
                </c:pt>
                <c:pt idx="13">
                  <c:v>United Kingdom</c:v>
                </c:pt>
                <c:pt idx="14">
                  <c:v>Greece</c:v>
                </c:pt>
                <c:pt idx="15">
                  <c:v>Canada</c:v>
                </c:pt>
                <c:pt idx="16">
                  <c:v>Chile</c:v>
                </c:pt>
                <c:pt idx="17">
                  <c:v>United States</c:v>
                </c:pt>
              </c:strCache>
            </c:strRef>
          </c:cat>
          <c:val>
            <c:numRef>
              <c:f>Fig2!$W$28:$W$45</c:f>
              <c:numCache>
                <c:formatCode>0.000</c:formatCode>
                <c:ptCount val="18"/>
                <c:pt idx="0">
                  <c:v>6.3343243355045042E-2</c:v>
                </c:pt>
                <c:pt idx="1">
                  <c:v>3.7616728431750013E-2</c:v>
                </c:pt>
                <c:pt idx="2">
                  <c:v>1.2083228481216013E-2</c:v>
                </c:pt>
                <c:pt idx="3">
                  <c:v>3.0366455001062997E-2</c:v>
                </c:pt>
                <c:pt idx="4">
                  <c:v>8.2617688217432039E-2</c:v>
                </c:pt>
                <c:pt idx="5">
                  <c:v>5.9625048650411017E-2</c:v>
                </c:pt>
                <c:pt idx="6">
                  <c:v>1.9843039934944018E-2</c:v>
                </c:pt>
                <c:pt idx="7">
                  <c:v>2.1607320416659026E-2</c:v>
                </c:pt>
                <c:pt idx="8">
                  <c:v>6.5738436288865998E-2</c:v>
                </c:pt>
                <c:pt idx="9">
                  <c:v>3.1337111147105634E-2</c:v>
                </c:pt>
                <c:pt idx="10">
                  <c:v>5.2548063836122039E-2</c:v>
                </c:pt>
                <c:pt idx="11">
                  <c:v>5.2439999999999987E-2</c:v>
                </c:pt>
                <c:pt idx="12">
                  <c:v>6.287815102503036E-3</c:v>
                </c:pt>
                <c:pt idx="13">
                  <c:v>5.0970948853181985E-2</c:v>
                </c:pt>
                <c:pt idx="14">
                  <c:v>2.0940456270491015E-2</c:v>
                </c:pt>
                <c:pt idx="15">
                  <c:v>5.1706904030380973E-2</c:v>
                </c:pt>
                <c:pt idx="16">
                  <c:v>1.6780138012416013E-2</c:v>
                </c:pt>
                <c:pt idx="17">
                  <c:v>2.367043690968601E-2</c:v>
                </c:pt>
              </c:numCache>
            </c:numRef>
          </c:val>
        </c:ser>
        <c:ser>
          <c:idx val="2"/>
          <c:order val="2"/>
          <c:tx>
            <c:strRef>
              <c:f>Fig2!$X$27</c:f>
              <c:strCache>
                <c:ptCount val="1"/>
                <c:pt idx="0">
                  <c:v>Working age population</c:v>
                </c:pt>
              </c:strCache>
            </c:strRef>
          </c:tx>
          <c:spPr>
            <a:pattFill prst="pct70">
              <a:fgClr>
                <a:schemeClr val="accent1">
                  <a:lumMod val="75000"/>
                </a:schemeClr>
              </a:fgClr>
              <a:bgClr>
                <a:schemeClr val="bg1"/>
              </a:bgClr>
            </a:pattFill>
            <a:ln>
              <a:solidFill>
                <a:schemeClr val="accent1">
                  <a:lumMod val="75000"/>
                </a:schemeClr>
              </a:solidFill>
            </a:ln>
          </c:spPr>
          <c:invertIfNegative val="0"/>
          <c:dPt>
            <c:idx val="4"/>
            <c:invertIfNegative val="0"/>
            <c:bubble3D val="0"/>
            <c:spPr>
              <a:pattFill prst="pct70">
                <a:fgClr>
                  <a:srgbClr val="C00000"/>
                </a:fgClr>
                <a:bgClr>
                  <a:schemeClr val="bg1"/>
                </a:bgClr>
              </a:pattFill>
              <a:ln w="9525">
                <a:solidFill>
                  <a:srgbClr val="C00000"/>
                </a:solidFill>
              </a:ln>
            </c:spPr>
          </c:dPt>
          <c:dPt>
            <c:idx val="9"/>
            <c:invertIfNegative val="0"/>
            <c:bubble3D val="0"/>
            <c:spPr>
              <a:pattFill prst="pct70">
                <a:fgClr>
                  <a:schemeClr val="accent1">
                    <a:lumMod val="75000"/>
                  </a:schemeClr>
                </a:fgClr>
                <a:bgClr>
                  <a:schemeClr val="bg1"/>
                </a:bgClr>
              </a:pattFill>
              <a:ln w="19050">
                <a:solidFill>
                  <a:schemeClr val="tx1"/>
                </a:solidFill>
              </a:ln>
            </c:spPr>
          </c:dPt>
          <c:cat>
            <c:strRef>
              <c:f>Fig2!$U$28:$U$45</c:f>
              <c:strCache>
                <c:ptCount val="18"/>
                <c:pt idx="0">
                  <c:v>Switzerland</c:v>
                </c:pt>
                <c:pt idx="1">
                  <c:v>Belgium</c:v>
                </c:pt>
                <c:pt idx="2">
                  <c:v>Denmark</c:v>
                </c:pt>
                <c:pt idx="3">
                  <c:v>France</c:v>
                </c:pt>
                <c:pt idx="4">
                  <c:v>Australia</c:v>
                </c:pt>
                <c:pt idx="5">
                  <c:v>Germany</c:v>
                </c:pt>
                <c:pt idx="6">
                  <c:v>Italy</c:v>
                </c:pt>
                <c:pt idx="7">
                  <c:v>Spain</c:v>
                </c:pt>
                <c:pt idx="8">
                  <c:v>Japan</c:v>
                </c:pt>
                <c:pt idx="9">
                  <c:v>OECD</c:v>
                </c:pt>
                <c:pt idx="10">
                  <c:v>Ireland</c:v>
                </c:pt>
                <c:pt idx="11">
                  <c:v>Israel</c:v>
                </c:pt>
                <c:pt idx="12">
                  <c:v>Korea</c:v>
                </c:pt>
                <c:pt idx="13">
                  <c:v>United Kingdom</c:v>
                </c:pt>
                <c:pt idx="14">
                  <c:v>Greece</c:v>
                </c:pt>
                <c:pt idx="15">
                  <c:v>Canada</c:v>
                </c:pt>
                <c:pt idx="16">
                  <c:v>Chile</c:v>
                </c:pt>
                <c:pt idx="17">
                  <c:v>United States</c:v>
                </c:pt>
              </c:strCache>
            </c:strRef>
          </c:cat>
          <c:val>
            <c:numRef>
              <c:f>Fig2!$X$28:$X$45</c:f>
              <c:numCache>
                <c:formatCode>0.000</c:formatCode>
                <c:ptCount val="18"/>
                <c:pt idx="0">
                  <c:v>0.16636927323558398</c:v>
                </c:pt>
                <c:pt idx="1">
                  <c:v>0.22297928415795892</c:v>
                </c:pt>
                <c:pt idx="2">
                  <c:v>0.16052306109555298</c:v>
                </c:pt>
                <c:pt idx="3">
                  <c:v>0.18295657502579499</c:v>
                </c:pt>
                <c:pt idx="4">
                  <c:v>0.14271097284432499</c:v>
                </c:pt>
                <c:pt idx="5">
                  <c:v>0.17638793848707596</c:v>
                </c:pt>
                <c:pt idx="6">
                  <c:v>0.20473298246956495</c:v>
                </c:pt>
                <c:pt idx="7">
                  <c:v>0.18838839740995295</c:v>
                </c:pt>
                <c:pt idx="8">
                  <c:v>0.193556851660386</c:v>
                </c:pt>
                <c:pt idx="9">
                  <c:v>0.17241907729796352</c:v>
                </c:pt>
                <c:pt idx="10">
                  <c:v>0.20883785062778193</c:v>
                </c:pt>
                <c:pt idx="11">
                  <c:v>0.23964999999999997</c:v>
                </c:pt>
                <c:pt idx="12">
                  <c:v>0.23661764921441097</c:v>
                </c:pt>
                <c:pt idx="13">
                  <c:v>0.12363691064068999</c:v>
                </c:pt>
                <c:pt idx="14">
                  <c:v>0.17068223064226407</c:v>
                </c:pt>
                <c:pt idx="15">
                  <c:v>9.0426472058151075E-2</c:v>
                </c:pt>
                <c:pt idx="16">
                  <c:v>0.26011991648438704</c:v>
                </c:pt>
                <c:pt idx="17">
                  <c:v>8.9331079752722919E-2</c:v>
                </c:pt>
              </c:numCache>
            </c:numRef>
          </c:val>
        </c:ser>
        <c:dLbls>
          <c:showLegendKey val="0"/>
          <c:showVal val="0"/>
          <c:showCatName val="0"/>
          <c:showSerName val="0"/>
          <c:showPercent val="0"/>
          <c:showBubbleSize val="0"/>
        </c:dLbls>
        <c:gapWidth val="150"/>
        <c:overlap val="100"/>
        <c:axId val="235122048"/>
        <c:axId val="269715328"/>
      </c:barChart>
      <c:catAx>
        <c:axId val="235122048"/>
        <c:scaling>
          <c:orientation val="minMax"/>
        </c:scaling>
        <c:delete val="0"/>
        <c:axPos val="b"/>
        <c:majorTickMark val="out"/>
        <c:minorTickMark val="none"/>
        <c:tickLblPos val="nextTo"/>
        <c:txPr>
          <a:bodyPr rot="-2700000"/>
          <a:lstStyle/>
          <a:p>
            <a:pPr>
              <a:defRPr>
                <a:latin typeface="Arial" pitchFamily="34" charset="0"/>
                <a:cs typeface="Arial" pitchFamily="34" charset="0"/>
              </a:defRPr>
            </a:pPr>
            <a:endParaRPr lang="en-US"/>
          </a:p>
        </c:txPr>
        <c:crossAx val="269715328"/>
        <c:crosses val="autoZero"/>
        <c:auto val="1"/>
        <c:lblAlgn val="ctr"/>
        <c:lblOffset val="100"/>
        <c:noMultiLvlLbl val="0"/>
      </c:catAx>
      <c:valAx>
        <c:axId val="269715328"/>
        <c:scaling>
          <c:orientation val="minMax"/>
        </c:scaling>
        <c:delete val="0"/>
        <c:axPos val="l"/>
        <c:majorGridlines/>
        <c:numFmt formatCode="0.000" sourceLinked="1"/>
        <c:majorTickMark val="out"/>
        <c:minorTickMark val="none"/>
        <c:tickLblPos val="nextTo"/>
        <c:txPr>
          <a:bodyPr/>
          <a:lstStyle/>
          <a:p>
            <a:pPr>
              <a:defRPr>
                <a:latin typeface="Arial" pitchFamily="34" charset="0"/>
                <a:cs typeface="Arial" pitchFamily="34" charset="0"/>
              </a:defRPr>
            </a:pPr>
            <a:endParaRPr lang="en-US"/>
          </a:p>
        </c:txPr>
        <c:crossAx val="235122048"/>
        <c:crosses val="autoZero"/>
        <c:crossBetween val="between"/>
      </c:valAx>
    </c:plotArea>
    <c:legend>
      <c:legendPos val="b"/>
      <c:layout/>
      <c:overlay val="0"/>
      <c:txPr>
        <a:bodyPr/>
        <a:lstStyle/>
        <a:p>
          <a:pPr>
            <a:defRPr>
              <a:latin typeface="Arial" pitchFamily="34" charset="0"/>
              <a:cs typeface="Arial" pitchFamily="34" charset="0"/>
            </a:defRPr>
          </a:pPr>
          <a:endParaRPr lang="en-US"/>
        </a:p>
      </c:txPr>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Sheet2!$B$3</c:f>
              <c:strCache>
                <c:ptCount val="1"/>
                <c:pt idx="0">
                  <c:v>Denmark</c:v>
                </c:pt>
              </c:strCache>
            </c:strRef>
          </c:tx>
          <c:spPr>
            <a:pattFill prst="openDmnd">
              <a:fgClr>
                <a:schemeClr val="accent1">
                  <a:lumMod val="75000"/>
                </a:schemeClr>
              </a:fgClr>
              <a:bgClr>
                <a:schemeClr val="bg1"/>
              </a:bgClr>
            </a:pattFill>
            <a:ln>
              <a:solidFill>
                <a:schemeClr val="accent1">
                  <a:lumMod val="75000"/>
                </a:schemeClr>
              </a:solidFill>
            </a:ln>
          </c:spPr>
          <c:invertIfNegative val="0"/>
          <c:cat>
            <c:strRef>
              <c:f>Sheet2!$A$4:$A$7</c:f>
              <c:strCache>
                <c:ptCount val="4"/>
                <c:pt idx="0">
                  <c:v>Personal earnings, full-time workers</c:v>
                </c:pt>
                <c:pt idx="1">
                  <c:v>Personal earnings, full-time and part-time</c:v>
                </c:pt>
                <c:pt idx="2">
                  <c:v>Household earnings, all workers</c:v>
                </c:pt>
                <c:pt idx="3">
                  <c:v>Including jobless</c:v>
                </c:pt>
              </c:strCache>
            </c:strRef>
          </c:cat>
          <c:val>
            <c:numRef>
              <c:f>Sheet2!$B$4:$B$7</c:f>
              <c:numCache>
                <c:formatCode>General</c:formatCode>
                <c:ptCount val="4"/>
                <c:pt idx="0">
                  <c:v>0.32</c:v>
                </c:pt>
                <c:pt idx="1">
                  <c:v>0.375</c:v>
                </c:pt>
                <c:pt idx="2">
                  <c:v>0.28000000000000003</c:v>
                </c:pt>
                <c:pt idx="3">
                  <c:v>0.38</c:v>
                </c:pt>
              </c:numCache>
            </c:numRef>
          </c:val>
        </c:ser>
        <c:ser>
          <c:idx val="1"/>
          <c:order val="1"/>
          <c:tx>
            <c:strRef>
              <c:f>Sheet2!$C$3</c:f>
              <c:strCache>
                <c:ptCount val="1"/>
                <c:pt idx="0">
                  <c:v>USA</c:v>
                </c:pt>
              </c:strCache>
            </c:strRef>
          </c:tx>
          <c:spPr>
            <a:pattFill prst="lgCheck">
              <a:fgClr>
                <a:schemeClr val="accent1">
                  <a:lumMod val="75000"/>
                </a:schemeClr>
              </a:fgClr>
              <a:bgClr>
                <a:schemeClr val="bg1"/>
              </a:bgClr>
            </a:pattFill>
            <a:ln>
              <a:solidFill>
                <a:schemeClr val="accent1">
                  <a:lumMod val="75000"/>
                </a:schemeClr>
              </a:solidFill>
            </a:ln>
          </c:spPr>
          <c:invertIfNegative val="0"/>
          <c:cat>
            <c:strRef>
              <c:f>Sheet2!$A$4:$A$7</c:f>
              <c:strCache>
                <c:ptCount val="4"/>
                <c:pt idx="0">
                  <c:v>Personal earnings, full-time workers</c:v>
                </c:pt>
                <c:pt idx="1">
                  <c:v>Personal earnings, full-time and part-time</c:v>
                </c:pt>
                <c:pt idx="2">
                  <c:v>Household earnings, all workers</c:v>
                </c:pt>
                <c:pt idx="3">
                  <c:v>Including jobless</c:v>
                </c:pt>
              </c:strCache>
            </c:strRef>
          </c:cat>
          <c:val>
            <c:numRef>
              <c:f>Sheet2!$C$4:$C$7</c:f>
              <c:numCache>
                <c:formatCode>General</c:formatCode>
                <c:ptCount val="4"/>
                <c:pt idx="0">
                  <c:v>0.43</c:v>
                </c:pt>
                <c:pt idx="1">
                  <c:v>0.47499999999999998</c:v>
                </c:pt>
                <c:pt idx="2">
                  <c:v>0.38</c:v>
                </c:pt>
                <c:pt idx="3">
                  <c:v>0.46</c:v>
                </c:pt>
              </c:numCache>
            </c:numRef>
          </c:val>
        </c:ser>
        <c:ser>
          <c:idx val="2"/>
          <c:order val="2"/>
          <c:tx>
            <c:strRef>
              <c:f>Sheet2!$D$3</c:f>
              <c:strCache>
                <c:ptCount val="1"/>
                <c:pt idx="0">
                  <c:v>Australia</c:v>
                </c:pt>
              </c:strCache>
            </c:strRef>
          </c:tx>
          <c:spPr>
            <a:solidFill>
              <a:schemeClr val="accent1">
                <a:lumMod val="75000"/>
              </a:schemeClr>
            </a:solidFill>
            <a:ln>
              <a:solidFill>
                <a:schemeClr val="accent1">
                  <a:lumMod val="75000"/>
                </a:schemeClr>
              </a:solidFill>
            </a:ln>
          </c:spPr>
          <c:invertIfNegative val="0"/>
          <c:cat>
            <c:strRef>
              <c:f>Sheet2!$A$4:$A$7</c:f>
              <c:strCache>
                <c:ptCount val="4"/>
                <c:pt idx="0">
                  <c:v>Personal earnings, full-time workers</c:v>
                </c:pt>
                <c:pt idx="1">
                  <c:v>Personal earnings, full-time and part-time</c:v>
                </c:pt>
                <c:pt idx="2">
                  <c:v>Household earnings, all workers</c:v>
                </c:pt>
                <c:pt idx="3">
                  <c:v>Including jobless</c:v>
                </c:pt>
              </c:strCache>
            </c:strRef>
          </c:cat>
          <c:val>
            <c:numRef>
              <c:f>Sheet2!$D$4:$D$7</c:f>
              <c:numCache>
                <c:formatCode>General</c:formatCode>
                <c:ptCount val="4"/>
                <c:pt idx="0">
                  <c:v>0.28000000000000003</c:v>
                </c:pt>
                <c:pt idx="1">
                  <c:v>0.35499999999999998</c:v>
                </c:pt>
                <c:pt idx="2">
                  <c:v>0.25</c:v>
                </c:pt>
                <c:pt idx="3">
                  <c:v>0.57999999999999996</c:v>
                </c:pt>
              </c:numCache>
            </c:numRef>
          </c:val>
        </c:ser>
        <c:dLbls>
          <c:showLegendKey val="0"/>
          <c:showVal val="0"/>
          <c:showCatName val="0"/>
          <c:showSerName val="0"/>
          <c:showPercent val="0"/>
          <c:showBubbleSize val="0"/>
        </c:dLbls>
        <c:gapWidth val="150"/>
        <c:axId val="270614528"/>
        <c:axId val="270616832"/>
      </c:barChart>
      <c:catAx>
        <c:axId val="270614528"/>
        <c:scaling>
          <c:orientation val="minMax"/>
        </c:scaling>
        <c:delete val="0"/>
        <c:axPos val="b"/>
        <c:majorTickMark val="out"/>
        <c:minorTickMark val="none"/>
        <c:tickLblPos val="nextTo"/>
        <c:txPr>
          <a:bodyPr/>
          <a:lstStyle/>
          <a:p>
            <a:pPr>
              <a:defRPr>
                <a:latin typeface="Arial" pitchFamily="34" charset="0"/>
                <a:cs typeface="Arial" pitchFamily="34" charset="0"/>
              </a:defRPr>
            </a:pPr>
            <a:endParaRPr lang="en-US"/>
          </a:p>
        </c:txPr>
        <c:crossAx val="270616832"/>
        <c:crosses val="autoZero"/>
        <c:auto val="1"/>
        <c:lblAlgn val="ctr"/>
        <c:lblOffset val="100"/>
        <c:noMultiLvlLbl val="0"/>
      </c:catAx>
      <c:valAx>
        <c:axId val="270616832"/>
        <c:scaling>
          <c:orientation val="minMax"/>
          <c:max val="0.8"/>
        </c:scaling>
        <c:delete val="0"/>
        <c:axPos val="l"/>
        <c:majorGridlines/>
        <c:numFmt formatCode="General" sourceLinked="1"/>
        <c:majorTickMark val="out"/>
        <c:minorTickMark val="none"/>
        <c:tickLblPos val="nextTo"/>
        <c:txPr>
          <a:bodyPr/>
          <a:lstStyle/>
          <a:p>
            <a:pPr>
              <a:defRPr>
                <a:latin typeface="Arial" pitchFamily="34" charset="0"/>
                <a:cs typeface="Arial" pitchFamily="34" charset="0"/>
              </a:defRPr>
            </a:pPr>
            <a:endParaRPr lang="en-US"/>
          </a:p>
        </c:txPr>
        <c:crossAx val="270614528"/>
        <c:crosses val="autoZero"/>
        <c:crossBetween val="between"/>
      </c:valAx>
    </c:plotArea>
    <c:legend>
      <c:legendPos val="b"/>
      <c:layout/>
      <c:overlay val="0"/>
      <c:txPr>
        <a:bodyPr/>
        <a:lstStyle/>
        <a:p>
          <a:pPr>
            <a:defRPr>
              <a:latin typeface="Arial" pitchFamily="34" charset="0"/>
              <a:cs typeface="Arial" pitchFamily="34" charset="0"/>
            </a:defRPr>
          </a:pPr>
          <a:endParaRPr lang="en-US"/>
        </a:p>
      </c:txPr>
    </c:legend>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5395095367847406E-2"/>
          <c:y val="2.8833284728297853E-2"/>
          <c:w val="0.91416893732970028"/>
          <c:h val="0.65404790305899863"/>
        </c:manualLayout>
      </c:layout>
      <c:barChart>
        <c:barDir val="col"/>
        <c:grouping val="stacked"/>
        <c:varyColors val="0"/>
        <c:ser>
          <c:idx val="0"/>
          <c:order val="0"/>
          <c:tx>
            <c:strRef>
              <c:f>Fig3!$Q$9</c:f>
              <c:strCache>
                <c:ptCount val="1"/>
                <c:pt idx="0">
                  <c:v>Wages and salaries</c:v>
                </c:pt>
              </c:strCache>
            </c:strRef>
          </c:tx>
          <c:spPr>
            <a:solidFill>
              <a:schemeClr val="accent1">
                <a:lumMod val="75000"/>
              </a:schemeClr>
            </a:solidFill>
            <a:ln w="6350" cmpd="sng">
              <a:solidFill>
                <a:schemeClr val="accent1">
                  <a:lumMod val="75000"/>
                </a:schemeClr>
              </a:solidFill>
            </a:ln>
          </c:spPr>
          <c:invertIfNegative val="0"/>
          <c:dPt>
            <c:idx val="9"/>
            <c:invertIfNegative val="0"/>
            <c:bubble3D val="0"/>
            <c:spPr>
              <a:solidFill>
                <a:schemeClr val="accent1">
                  <a:lumMod val="75000"/>
                </a:schemeClr>
              </a:solidFill>
              <a:ln w="15875" cmpd="sng">
                <a:solidFill>
                  <a:schemeClr val="tx1"/>
                </a:solidFill>
              </a:ln>
            </c:spPr>
          </c:dPt>
          <c:dPt>
            <c:idx val="14"/>
            <c:invertIfNegative val="0"/>
            <c:bubble3D val="0"/>
            <c:spPr>
              <a:solidFill>
                <a:srgbClr val="C00000"/>
              </a:solidFill>
              <a:ln w="6350" cmpd="sng">
                <a:solidFill>
                  <a:srgbClr val="C00000"/>
                </a:solidFill>
              </a:ln>
            </c:spPr>
          </c:dPt>
          <c:dPt>
            <c:idx val="26"/>
            <c:invertIfNegative val="0"/>
            <c:bubble3D val="0"/>
          </c:dPt>
          <c:cat>
            <c:strRef>
              <c:f>Fig3!$P$10:$P$30</c:f>
              <c:strCache>
                <c:ptCount val="21"/>
                <c:pt idx="0">
                  <c:v>Switzerland</c:v>
                </c:pt>
                <c:pt idx="1">
                  <c:v>Greece</c:v>
                </c:pt>
                <c:pt idx="2">
                  <c:v>Korea</c:v>
                </c:pt>
                <c:pt idx="3">
                  <c:v>Iceland</c:v>
                </c:pt>
                <c:pt idx="4">
                  <c:v>France</c:v>
                </c:pt>
                <c:pt idx="5">
                  <c:v>Sweden</c:v>
                </c:pt>
                <c:pt idx="6">
                  <c:v>Belgium</c:v>
                </c:pt>
                <c:pt idx="7">
                  <c:v>Estonia</c:v>
                </c:pt>
                <c:pt idx="8">
                  <c:v>Japan</c:v>
                </c:pt>
                <c:pt idx="9">
                  <c:v>OECD</c:v>
                </c:pt>
                <c:pt idx="10">
                  <c:v>Germany</c:v>
                </c:pt>
                <c:pt idx="11">
                  <c:v>New Zealand</c:v>
                </c:pt>
                <c:pt idx="12">
                  <c:v>Canada</c:v>
                </c:pt>
                <c:pt idx="13">
                  <c:v>Italy</c:v>
                </c:pt>
                <c:pt idx="14">
                  <c:v>Australia</c:v>
                </c:pt>
                <c:pt idx="15">
                  <c:v>Portugal</c:v>
                </c:pt>
                <c:pt idx="16">
                  <c:v>United Kingdom</c:v>
                </c:pt>
                <c:pt idx="17">
                  <c:v>United State</c:v>
                </c:pt>
                <c:pt idx="18">
                  <c:v>Isreal</c:v>
                </c:pt>
                <c:pt idx="19">
                  <c:v>Mexico</c:v>
                </c:pt>
                <c:pt idx="20">
                  <c:v>Chile</c:v>
                </c:pt>
              </c:strCache>
            </c:strRef>
          </c:cat>
          <c:val>
            <c:numRef>
              <c:f>Fig3!$Q$10:$Q$30</c:f>
              <c:numCache>
                <c:formatCode>0.00</c:formatCode>
                <c:ptCount val="21"/>
                <c:pt idx="0">
                  <c:v>0.25310480798300283</c:v>
                </c:pt>
                <c:pt idx="1">
                  <c:v>0.16731389228932506</c:v>
                </c:pt>
                <c:pt idx="2">
                  <c:v>0.24856878933256457</c:v>
                </c:pt>
                <c:pt idx="3">
                  <c:v>0.23125664138877761</c:v>
                </c:pt>
                <c:pt idx="4">
                  <c:v>0.26658184557438791</c:v>
                </c:pt>
                <c:pt idx="5">
                  <c:v>0.29187944635926455</c:v>
                </c:pt>
                <c:pt idx="6">
                  <c:v>0.29864521269955341</c:v>
                </c:pt>
                <c:pt idx="7">
                  <c:v>0.3519438257863946</c:v>
                </c:pt>
                <c:pt idx="8">
                  <c:v>0.31391246712987586</c:v>
                </c:pt>
                <c:pt idx="9">
                  <c:v>0.2858278106283188</c:v>
                </c:pt>
                <c:pt idx="10">
                  <c:v>0.275987049432593</c:v>
                </c:pt>
                <c:pt idx="11">
                  <c:v>0.24087990363573183</c:v>
                </c:pt>
                <c:pt idx="12">
                  <c:v>0.31837942665953234</c:v>
                </c:pt>
                <c:pt idx="13">
                  <c:v>0.18252261971073891</c:v>
                </c:pt>
                <c:pt idx="14">
                  <c:v>0.33686544285543185</c:v>
                </c:pt>
                <c:pt idx="15">
                  <c:v>0.33186365763861964</c:v>
                </c:pt>
                <c:pt idx="16">
                  <c:v>0.34651473699308927</c:v>
                </c:pt>
                <c:pt idx="17">
                  <c:v>0.36755275201235904</c:v>
                </c:pt>
                <c:pt idx="18">
                  <c:v>0.35</c:v>
                </c:pt>
                <c:pt idx="19">
                  <c:v>0.34580925841479498</c:v>
                </c:pt>
                <c:pt idx="20">
                  <c:v>0.26655626812628974</c:v>
                </c:pt>
              </c:numCache>
            </c:numRef>
          </c:val>
        </c:ser>
        <c:ser>
          <c:idx val="3"/>
          <c:order val="1"/>
          <c:tx>
            <c:strRef>
              <c:f>Fig3!$R$9</c:f>
              <c:strCache>
                <c:ptCount val="1"/>
                <c:pt idx="0">
                  <c:v>Self-employment income</c:v>
                </c:pt>
              </c:strCache>
            </c:strRef>
          </c:tx>
          <c:spPr>
            <a:pattFill prst="pct30">
              <a:fgClr>
                <a:schemeClr val="accent1">
                  <a:lumMod val="75000"/>
                </a:schemeClr>
              </a:fgClr>
              <a:bgClr>
                <a:schemeClr val="bg1"/>
              </a:bgClr>
            </a:pattFill>
            <a:ln w="6350" cmpd="sng">
              <a:solidFill>
                <a:schemeClr val="accent1">
                  <a:lumMod val="75000"/>
                </a:schemeClr>
              </a:solidFill>
            </a:ln>
          </c:spPr>
          <c:invertIfNegative val="0"/>
          <c:dPt>
            <c:idx val="9"/>
            <c:invertIfNegative val="0"/>
            <c:bubble3D val="0"/>
            <c:spPr>
              <a:pattFill prst="pct30">
                <a:fgClr>
                  <a:schemeClr val="accent1">
                    <a:lumMod val="75000"/>
                  </a:schemeClr>
                </a:fgClr>
                <a:bgClr>
                  <a:schemeClr val="bg1"/>
                </a:bgClr>
              </a:pattFill>
              <a:ln w="19050" cmpd="sng">
                <a:solidFill>
                  <a:schemeClr val="tx1"/>
                </a:solidFill>
              </a:ln>
            </c:spPr>
          </c:dPt>
          <c:dPt>
            <c:idx val="14"/>
            <c:invertIfNegative val="0"/>
            <c:bubble3D val="0"/>
            <c:spPr>
              <a:pattFill prst="pct30">
                <a:fgClr>
                  <a:srgbClr val="C00000"/>
                </a:fgClr>
                <a:bgClr>
                  <a:schemeClr val="bg1"/>
                </a:bgClr>
              </a:pattFill>
              <a:ln w="6350" cmpd="sng">
                <a:solidFill>
                  <a:srgbClr val="C00000"/>
                </a:solidFill>
              </a:ln>
            </c:spPr>
          </c:dPt>
          <c:dPt>
            <c:idx val="26"/>
            <c:invertIfNegative val="0"/>
            <c:bubble3D val="0"/>
          </c:dPt>
          <c:cat>
            <c:strRef>
              <c:f>Fig3!$P$10:$P$30</c:f>
              <c:strCache>
                <c:ptCount val="21"/>
                <c:pt idx="0">
                  <c:v>Switzerland</c:v>
                </c:pt>
                <c:pt idx="1">
                  <c:v>Greece</c:v>
                </c:pt>
                <c:pt idx="2">
                  <c:v>Korea</c:v>
                </c:pt>
                <c:pt idx="3">
                  <c:v>Iceland</c:v>
                </c:pt>
                <c:pt idx="4">
                  <c:v>France</c:v>
                </c:pt>
                <c:pt idx="5">
                  <c:v>Sweden</c:v>
                </c:pt>
                <c:pt idx="6">
                  <c:v>Belgium</c:v>
                </c:pt>
                <c:pt idx="7">
                  <c:v>Estonia</c:v>
                </c:pt>
                <c:pt idx="8">
                  <c:v>Japan</c:v>
                </c:pt>
                <c:pt idx="9">
                  <c:v>OECD</c:v>
                </c:pt>
                <c:pt idx="10">
                  <c:v>Germany</c:v>
                </c:pt>
                <c:pt idx="11">
                  <c:v>New Zealand</c:v>
                </c:pt>
                <c:pt idx="12">
                  <c:v>Canada</c:v>
                </c:pt>
                <c:pt idx="13">
                  <c:v>Italy</c:v>
                </c:pt>
                <c:pt idx="14">
                  <c:v>Australia</c:v>
                </c:pt>
                <c:pt idx="15">
                  <c:v>Portugal</c:v>
                </c:pt>
                <c:pt idx="16">
                  <c:v>United Kingdom</c:v>
                </c:pt>
                <c:pt idx="17">
                  <c:v>United State</c:v>
                </c:pt>
                <c:pt idx="18">
                  <c:v>Isreal</c:v>
                </c:pt>
                <c:pt idx="19">
                  <c:v>Mexico</c:v>
                </c:pt>
                <c:pt idx="20">
                  <c:v>Chile</c:v>
                </c:pt>
              </c:strCache>
            </c:strRef>
          </c:cat>
          <c:val>
            <c:numRef>
              <c:f>Fig3!$R$10:$R$30</c:f>
              <c:numCache>
                <c:formatCode>0.00</c:formatCode>
                <c:ptCount val="21"/>
                <c:pt idx="0">
                  <c:v>3.4495364391289814E-2</c:v>
                </c:pt>
                <c:pt idx="1">
                  <c:v>0.1082774591198527</c:v>
                </c:pt>
                <c:pt idx="2">
                  <c:v>5.5988976053335394E-2</c:v>
                </c:pt>
                <c:pt idx="3">
                  <c:v>1.3217448605160069E-3</c:v>
                </c:pt>
                <c:pt idx="4">
                  <c:v>5.1287231638418085E-2</c:v>
                </c:pt>
                <c:pt idx="5">
                  <c:v>8.5033786679473127E-3</c:v>
                </c:pt>
                <c:pt idx="6">
                  <c:v>3.0144690219341769E-2</c:v>
                </c:pt>
                <c:pt idx="7">
                  <c:v>1.1448797587125836E-3</c:v>
                </c:pt>
                <c:pt idx="8">
                  <c:v>2.9860511091577401E-2</c:v>
                </c:pt>
                <c:pt idx="9">
                  <c:v>5.6572451125000971E-2</c:v>
                </c:pt>
                <c:pt idx="10">
                  <c:v>8.1247008099581297E-2</c:v>
                </c:pt>
                <c:pt idx="11">
                  <c:v>7.4987570639711898E-2</c:v>
                </c:pt>
                <c:pt idx="12">
                  <c:v>3.2203598696394019E-2</c:v>
                </c:pt>
                <c:pt idx="13">
                  <c:v>0.18411304009703824</c:v>
                </c:pt>
                <c:pt idx="14">
                  <c:v>2.1577454331442321E-2</c:v>
                </c:pt>
                <c:pt idx="15">
                  <c:v>6.2849861060104692E-2</c:v>
                </c:pt>
                <c:pt idx="16">
                  <c:v>5.1240011949997263E-2</c:v>
                </c:pt>
                <c:pt idx="17">
                  <c:v>2.6898684863134337E-2</c:v>
                </c:pt>
                <c:pt idx="18">
                  <c:v>5.3534037887481886E-2</c:v>
                </c:pt>
                <c:pt idx="19">
                  <c:v>8.7434519246407202E-2</c:v>
                </c:pt>
                <c:pt idx="20">
                  <c:v>0.19290075980192239</c:v>
                </c:pt>
              </c:numCache>
            </c:numRef>
          </c:val>
        </c:ser>
        <c:ser>
          <c:idx val="4"/>
          <c:order val="2"/>
          <c:tx>
            <c:strRef>
              <c:f>Fig3!$S$9</c:f>
              <c:strCache>
                <c:ptCount val="1"/>
                <c:pt idx="0">
                  <c:v>Capital income</c:v>
                </c:pt>
              </c:strCache>
            </c:strRef>
          </c:tx>
          <c:spPr>
            <a:pattFill prst="pct70">
              <a:fgClr>
                <a:schemeClr val="accent1">
                  <a:lumMod val="75000"/>
                </a:schemeClr>
              </a:fgClr>
              <a:bgClr>
                <a:schemeClr val="bg1"/>
              </a:bgClr>
            </a:pattFill>
            <a:ln w="6350" cmpd="sng">
              <a:solidFill>
                <a:schemeClr val="accent1">
                  <a:lumMod val="75000"/>
                </a:schemeClr>
              </a:solidFill>
            </a:ln>
          </c:spPr>
          <c:invertIfNegative val="0"/>
          <c:dPt>
            <c:idx val="9"/>
            <c:invertIfNegative val="0"/>
            <c:bubble3D val="0"/>
            <c:spPr>
              <a:pattFill prst="pct70">
                <a:fgClr>
                  <a:schemeClr val="accent1">
                    <a:lumMod val="75000"/>
                  </a:schemeClr>
                </a:fgClr>
                <a:bgClr>
                  <a:schemeClr val="bg1"/>
                </a:bgClr>
              </a:pattFill>
              <a:ln w="19050" cmpd="sng">
                <a:solidFill>
                  <a:schemeClr val="tx1"/>
                </a:solidFill>
              </a:ln>
            </c:spPr>
          </c:dPt>
          <c:dPt>
            <c:idx val="14"/>
            <c:invertIfNegative val="0"/>
            <c:bubble3D val="0"/>
            <c:spPr>
              <a:pattFill prst="pct70">
                <a:fgClr>
                  <a:srgbClr val="C00000"/>
                </a:fgClr>
                <a:bgClr>
                  <a:schemeClr val="bg1"/>
                </a:bgClr>
              </a:pattFill>
              <a:ln w="6350" cmpd="sng">
                <a:solidFill>
                  <a:srgbClr val="C00000"/>
                </a:solidFill>
              </a:ln>
            </c:spPr>
          </c:dPt>
          <c:dPt>
            <c:idx val="26"/>
            <c:invertIfNegative val="0"/>
            <c:bubble3D val="0"/>
          </c:dPt>
          <c:cat>
            <c:strRef>
              <c:f>Fig3!$P$10:$P$30</c:f>
              <c:strCache>
                <c:ptCount val="21"/>
                <c:pt idx="0">
                  <c:v>Switzerland</c:v>
                </c:pt>
                <c:pt idx="1">
                  <c:v>Greece</c:v>
                </c:pt>
                <c:pt idx="2">
                  <c:v>Korea</c:v>
                </c:pt>
                <c:pt idx="3">
                  <c:v>Iceland</c:v>
                </c:pt>
                <c:pt idx="4">
                  <c:v>France</c:v>
                </c:pt>
                <c:pt idx="5">
                  <c:v>Sweden</c:v>
                </c:pt>
                <c:pt idx="6">
                  <c:v>Belgium</c:v>
                </c:pt>
                <c:pt idx="7">
                  <c:v>Estonia</c:v>
                </c:pt>
                <c:pt idx="8">
                  <c:v>Japan</c:v>
                </c:pt>
                <c:pt idx="9">
                  <c:v>OECD</c:v>
                </c:pt>
                <c:pt idx="10">
                  <c:v>Germany</c:v>
                </c:pt>
                <c:pt idx="11">
                  <c:v>New Zealand</c:v>
                </c:pt>
                <c:pt idx="12">
                  <c:v>Canada</c:v>
                </c:pt>
                <c:pt idx="13">
                  <c:v>Italy</c:v>
                </c:pt>
                <c:pt idx="14">
                  <c:v>Australia</c:v>
                </c:pt>
                <c:pt idx="15">
                  <c:v>Portugal</c:v>
                </c:pt>
                <c:pt idx="16">
                  <c:v>United Kingdom</c:v>
                </c:pt>
                <c:pt idx="17">
                  <c:v>United State</c:v>
                </c:pt>
                <c:pt idx="18">
                  <c:v>Isreal</c:v>
                </c:pt>
                <c:pt idx="19">
                  <c:v>Mexico</c:v>
                </c:pt>
                <c:pt idx="20">
                  <c:v>Chile</c:v>
                </c:pt>
              </c:strCache>
            </c:strRef>
          </c:cat>
          <c:val>
            <c:numRef>
              <c:f>Fig3!$S$10:$S$30</c:f>
              <c:numCache>
                <c:formatCode>0.00</c:formatCode>
                <c:ptCount val="21"/>
                <c:pt idx="0">
                  <c:v>1.5453290072975948E-2</c:v>
                </c:pt>
                <c:pt idx="1">
                  <c:v>3.4456133762954498E-2</c:v>
                </c:pt>
                <c:pt idx="2">
                  <c:v>5.8068293892724982E-3</c:v>
                </c:pt>
                <c:pt idx="3">
                  <c:v>8.9433855713880087E-2</c:v>
                </c:pt>
                <c:pt idx="4">
                  <c:v>1.27890395480226E-2</c:v>
                </c:pt>
                <c:pt idx="5">
                  <c:v>4.353764124709434E-2</c:v>
                </c:pt>
                <c:pt idx="6">
                  <c:v>1.7307206972326197E-2</c:v>
                </c:pt>
                <c:pt idx="7">
                  <c:v>8.7814485760859106E-3</c:v>
                </c:pt>
                <c:pt idx="8">
                  <c:v>1.8650955725944846E-2</c:v>
                </c:pt>
                <c:pt idx="9">
                  <c:v>2.963251747903602E-2</c:v>
                </c:pt>
                <c:pt idx="10">
                  <c:v>2.6015381771557104E-2</c:v>
                </c:pt>
                <c:pt idx="11">
                  <c:v>7.2305532524929467E-2</c:v>
                </c:pt>
                <c:pt idx="12">
                  <c:v>4.4305745966277968E-2</c:v>
                </c:pt>
                <c:pt idx="13">
                  <c:v>3.1599477260518517E-2</c:v>
                </c:pt>
                <c:pt idx="14">
                  <c:v>4.3863596263993748E-2</c:v>
                </c:pt>
                <c:pt idx="15">
                  <c:v>8.8241741494569752E-3</c:v>
                </c:pt>
                <c:pt idx="16">
                  <c:v>2.912243783544843E-2</c:v>
                </c:pt>
                <c:pt idx="17">
                  <c:v>3.6007724889776778E-2</c:v>
                </c:pt>
                <c:pt idx="18">
                  <c:v>3.9356762844985169E-2</c:v>
                </c:pt>
                <c:pt idx="19">
                  <c:v>2.442857489534114E-2</c:v>
                </c:pt>
                <c:pt idx="20">
                  <c:v>4.5134224999510128E-2</c:v>
                </c:pt>
              </c:numCache>
            </c:numRef>
          </c:val>
        </c:ser>
        <c:dLbls>
          <c:showLegendKey val="0"/>
          <c:showVal val="0"/>
          <c:showCatName val="0"/>
          <c:showSerName val="0"/>
          <c:showPercent val="0"/>
          <c:showBubbleSize val="0"/>
        </c:dLbls>
        <c:gapWidth val="79"/>
        <c:overlap val="100"/>
        <c:axId val="201219456"/>
        <c:axId val="201258112"/>
      </c:barChart>
      <c:catAx>
        <c:axId val="201219456"/>
        <c:scaling>
          <c:orientation val="minMax"/>
        </c:scaling>
        <c:delete val="0"/>
        <c:axPos val="b"/>
        <c:majorGridlines>
          <c:spPr>
            <a:ln w="3175">
              <a:noFill/>
              <a:prstDash val="solid"/>
            </a:ln>
          </c:spPr>
        </c:majorGridlines>
        <c:numFmt formatCode="General" sourceLinked="1"/>
        <c:majorTickMark val="in"/>
        <c:minorTickMark val="none"/>
        <c:tickLblPos val="low"/>
        <c:spPr>
          <a:noFill/>
          <a:ln w="9525">
            <a:solidFill>
              <a:srgbClr val="000000"/>
            </a:solidFill>
            <a:prstDash val="solid"/>
          </a:ln>
        </c:spPr>
        <c:txPr>
          <a:bodyPr rot="-2700000" vert="horz"/>
          <a:lstStyle/>
          <a:p>
            <a:pPr>
              <a:defRPr sz="900" b="0" i="0" u="none" strike="noStrike" baseline="0">
                <a:solidFill>
                  <a:srgbClr val="000000"/>
                </a:solidFill>
                <a:latin typeface="Arial"/>
                <a:ea typeface="Arial"/>
                <a:cs typeface="Arial"/>
              </a:defRPr>
            </a:pPr>
            <a:endParaRPr lang="en-US"/>
          </a:p>
        </c:txPr>
        <c:crossAx val="201258112"/>
        <c:crosses val="autoZero"/>
        <c:auto val="1"/>
        <c:lblAlgn val="ctr"/>
        <c:lblOffset val="0"/>
        <c:tickLblSkip val="1"/>
        <c:noMultiLvlLbl val="0"/>
      </c:catAx>
      <c:valAx>
        <c:axId val="201258112"/>
        <c:scaling>
          <c:orientation val="minMax"/>
          <c:max val="0.8"/>
          <c:min val="0"/>
        </c:scaling>
        <c:delete val="0"/>
        <c:axPos val="l"/>
        <c:majorGridlines/>
        <c:numFmt formatCode="General" sourceLinked="0"/>
        <c:majorTickMark val="in"/>
        <c:minorTickMark val="none"/>
        <c:tickLblPos val="nextTo"/>
        <c:spPr>
          <a:noFill/>
        </c:spPr>
        <c:txPr>
          <a:bodyPr rot="0" vert="horz"/>
          <a:lstStyle/>
          <a:p>
            <a:pPr>
              <a:defRPr sz="1000" b="0" i="0" u="none" strike="noStrike" baseline="0">
                <a:solidFill>
                  <a:srgbClr val="000000"/>
                </a:solidFill>
                <a:latin typeface="Arial"/>
                <a:ea typeface="Arial"/>
                <a:cs typeface="Arial"/>
              </a:defRPr>
            </a:pPr>
            <a:endParaRPr lang="en-US"/>
          </a:p>
        </c:txPr>
        <c:crossAx val="201219456"/>
        <c:crosses val="autoZero"/>
        <c:crossBetween val="between"/>
      </c:valAx>
      <c:spPr>
        <a:noFill/>
        <a:ln w="25400">
          <a:noFill/>
        </a:ln>
      </c:spPr>
    </c:plotArea>
    <c:legend>
      <c:legendPos val="b"/>
      <c:layout/>
      <c:overlay val="1"/>
      <c:spPr>
        <a:noFill/>
        <a:ln>
          <a:noFill/>
        </a:ln>
      </c:spPr>
      <c:txPr>
        <a:bodyPr/>
        <a:lstStyle/>
        <a:p>
          <a:pPr>
            <a:defRPr sz="920" b="0" i="0" u="none" strike="noStrike" baseline="0">
              <a:solidFill>
                <a:srgbClr val="000000"/>
              </a:solidFill>
              <a:latin typeface="Arial"/>
              <a:ea typeface="Arial"/>
              <a:cs typeface="Arial"/>
            </a:defRPr>
          </a:pPr>
          <a:endParaRPr lang="en-US"/>
        </a:p>
      </c:txPr>
    </c:legend>
    <c:plotVisOnly val="1"/>
    <c:dispBlanksAs val="gap"/>
    <c:showDLblsOverMax val="1"/>
  </c:chart>
  <c:spPr>
    <a:noFill/>
    <a:ln>
      <a:noFill/>
    </a:ln>
  </c:spPr>
  <c:txPr>
    <a:bodyPr/>
    <a:lstStyle/>
    <a:p>
      <a:pPr>
        <a:defRPr sz="1000"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spPr>
            <a:ln w="28575">
              <a:noFill/>
            </a:ln>
          </c:spPr>
          <c:dPt>
            <c:idx val="0"/>
            <c:marker>
              <c:spPr>
                <a:solidFill>
                  <a:srgbClr val="C00000"/>
                </a:solidFill>
                <a:ln>
                  <a:solidFill>
                    <a:srgbClr val="C00000"/>
                  </a:solidFill>
                </a:ln>
              </c:spPr>
            </c:marker>
            <c:bubble3D val="0"/>
            <c:spPr>
              <a:ln w="28575">
                <a:solidFill>
                  <a:srgbClr val="C00000"/>
                </a:solidFill>
              </a:ln>
            </c:spPr>
          </c:dPt>
          <c:dPt>
            <c:idx val="22"/>
            <c:marker>
              <c:spPr>
                <a:ln w="19050">
                  <a:solidFill>
                    <a:schemeClr val="tx1"/>
                  </a:solidFill>
                </a:ln>
              </c:spPr>
            </c:marker>
            <c:bubble3D val="0"/>
          </c:dPt>
          <c:dLbls>
            <c:dLbl>
              <c:idx val="0"/>
              <c:layout>
                <c:manualLayout>
                  <c:x val="-6.874701261751273E-3"/>
                  <c:y val="3.3696664746576182E-3"/>
                </c:manualLayout>
              </c:layout>
              <c:tx>
                <c:rich>
                  <a:bodyPr/>
                  <a:lstStyle/>
                  <a:p>
                    <a:r>
                      <a:rPr lang="en-US">
                        <a:latin typeface="Arial" pitchFamily="34" charset="0"/>
                        <a:cs typeface="Arial" pitchFamily="34" charset="0"/>
                      </a:rPr>
                      <a:t>AUS</a:t>
                    </a:r>
                    <a:endParaRPr lang="en-US"/>
                  </a:p>
                </c:rich>
              </c:tx>
              <c:showLegendKey val="0"/>
              <c:showVal val="1"/>
              <c:showCatName val="0"/>
              <c:showSerName val="0"/>
              <c:showPercent val="0"/>
              <c:showBubbleSize val="0"/>
            </c:dLbl>
            <c:dLbl>
              <c:idx val="1"/>
              <c:layout>
                <c:manualLayout>
                  <c:x val="-1.1457835436252123E-2"/>
                  <c:y val="1.0108999423972762E-2"/>
                </c:manualLayout>
              </c:layout>
              <c:tx>
                <c:rich>
                  <a:bodyPr/>
                  <a:lstStyle/>
                  <a:p>
                    <a:r>
                      <a:rPr lang="en-US">
                        <a:latin typeface="Arial" pitchFamily="34" charset="0"/>
                        <a:cs typeface="Arial" pitchFamily="34" charset="0"/>
                      </a:rPr>
                      <a:t>AUT</a:t>
                    </a:r>
                    <a:endParaRPr lang="en-US"/>
                  </a:p>
                </c:rich>
              </c:tx>
              <c:showLegendKey val="0"/>
              <c:showVal val="1"/>
              <c:showCatName val="0"/>
              <c:showSerName val="0"/>
              <c:showPercent val="0"/>
              <c:showBubbleSize val="0"/>
            </c:dLbl>
            <c:dLbl>
              <c:idx val="2"/>
              <c:layout>
                <c:manualLayout>
                  <c:x val="-1.1458691417440128E-2"/>
                  <c:y val="1.6849199663016005E-2"/>
                </c:manualLayout>
              </c:layout>
              <c:tx>
                <c:rich>
                  <a:bodyPr/>
                  <a:lstStyle/>
                  <a:p>
                    <a:r>
                      <a:rPr lang="en-US">
                        <a:latin typeface="Arial" pitchFamily="34" charset="0"/>
                        <a:cs typeface="Arial" pitchFamily="34" charset="0"/>
                      </a:rPr>
                      <a:t>BEL</a:t>
                    </a:r>
                    <a:endParaRPr lang="en-US"/>
                  </a:p>
                </c:rich>
              </c:tx>
              <c:showLegendKey val="0"/>
              <c:showVal val="1"/>
              <c:showCatName val="0"/>
              <c:showSerName val="0"/>
              <c:showPercent val="0"/>
              <c:showBubbleSize val="0"/>
            </c:dLbl>
            <c:dLbl>
              <c:idx val="3"/>
              <c:layout>
                <c:manualLayout>
                  <c:x val="-3.2081939221505942E-2"/>
                  <c:y val="2.6957331797260699E-2"/>
                </c:manualLayout>
              </c:layout>
              <c:tx>
                <c:rich>
                  <a:bodyPr/>
                  <a:lstStyle/>
                  <a:p>
                    <a:r>
                      <a:rPr lang="en-US">
                        <a:latin typeface="Arial" pitchFamily="34" charset="0"/>
                        <a:cs typeface="Arial" pitchFamily="34" charset="0"/>
                      </a:rPr>
                      <a:t>CAN</a:t>
                    </a:r>
                    <a:endParaRPr lang="en-US"/>
                  </a:p>
                </c:rich>
              </c:tx>
              <c:showLegendKey val="0"/>
              <c:showVal val="1"/>
              <c:showCatName val="0"/>
              <c:showSerName val="0"/>
              <c:showPercent val="0"/>
              <c:showBubbleSize val="0"/>
            </c:dLbl>
            <c:dLbl>
              <c:idx val="4"/>
              <c:layout>
                <c:manualLayout>
                  <c:x val="-2.0624103785253905E-2"/>
                  <c:y val="2.0217998847945524E-2"/>
                </c:manualLayout>
              </c:layout>
              <c:tx>
                <c:rich>
                  <a:bodyPr/>
                  <a:lstStyle/>
                  <a:p>
                    <a:r>
                      <a:rPr lang="en-US">
                        <a:latin typeface="Arial" pitchFamily="34" charset="0"/>
                        <a:cs typeface="Arial" pitchFamily="34" charset="0"/>
                      </a:rPr>
                      <a:t>CZE</a:t>
                    </a:r>
                    <a:endParaRPr lang="en-US"/>
                  </a:p>
                </c:rich>
              </c:tx>
              <c:showLegendKey val="0"/>
              <c:showVal val="1"/>
              <c:showCatName val="0"/>
              <c:showSerName val="0"/>
              <c:showPercent val="0"/>
              <c:showBubbleSize val="0"/>
            </c:dLbl>
            <c:dLbl>
              <c:idx val="5"/>
              <c:layout>
                <c:manualLayout>
                  <c:x val="-1.1457835436252123E-2"/>
                  <c:y val="-2.0217998847945524E-2"/>
                </c:manualLayout>
              </c:layout>
              <c:tx>
                <c:rich>
                  <a:bodyPr/>
                  <a:lstStyle/>
                  <a:p>
                    <a:r>
                      <a:rPr lang="en-US">
                        <a:latin typeface="Arial" pitchFamily="34" charset="0"/>
                        <a:cs typeface="Arial" pitchFamily="34" charset="0"/>
                      </a:rPr>
                      <a:t>DNK</a:t>
                    </a:r>
                    <a:endParaRPr lang="en-US"/>
                  </a:p>
                </c:rich>
              </c:tx>
              <c:showLegendKey val="0"/>
              <c:showVal val="1"/>
              <c:showCatName val="0"/>
              <c:showSerName val="0"/>
              <c:showPercent val="0"/>
              <c:showBubbleSize val="0"/>
            </c:dLbl>
            <c:dLbl>
              <c:idx val="6"/>
              <c:layout>
                <c:manualLayout>
                  <c:x val="-1.3749888345428117E-2"/>
                  <c:y val="-1.3478829046958914E-2"/>
                </c:manualLayout>
              </c:layout>
              <c:tx>
                <c:rich>
                  <a:bodyPr/>
                  <a:lstStyle/>
                  <a:p>
                    <a:r>
                      <a:rPr lang="en-US">
                        <a:latin typeface="Arial" pitchFamily="34" charset="0"/>
                        <a:cs typeface="Arial" pitchFamily="34" charset="0"/>
                      </a:rPr>
                      <a:t>FIN</a:t>
                    </a:r>
                    <a:endParaRPr lang="en-US"/>
                  </a:p>
                </c:rich>
              </c:tx>
              <c:showLegendKey val="0"/>
              <c:showVal val="1"/>
              <c:showCatName val="0"/>
              <c:showSerName val="0"/>
              <c:showPercent val="0"/>
              <c:showBubbleSize val="0"/>
            </c:dLbl>
            <c:dLbl>
              <c:idx val="7"/>
              <c:layout>
                <c:manualLayout>
                  <c:x val="-6.874701261751273E-3"/>
                  <c:y val="0"/>
                </c:manualLayout>
              </c:layout>
              <c:tx>
                <c:rich>
                  <a:bodyPr/>
                  <a:lstStyle/>
                  <a:p>
                    <a:r>
                      <a:rPr lang="en-US">
                        <a:latin typeface="Arial" pitchFamily="34" charset="0"/>
                        <a:cs typeface="Arial" pitchFamily="34" charset="0"/>
                      </a:rPr>
                      <a:t>FRA</a:t>
                    </a:r>
                    <a:endParaRPr lang="en-US"/>
                  </a:p>
                </c:rich>
              </c:tx>
              <c:showLegendKey val="0"/>
              <c:showVal val="1"/>
              <c:showCatName val="0"/>
              <c:showSerName val="0"/>
              <c:showPercent val="0"/>
              <c:showBubbleSize val="0"/>
            </c:dLbl>
            <c:dLbl>
              <c:idx val="8"/>
              <c:layout>
                <c:manualLayout>
                  <c:x val="-1.1457835436252123E-2"/>
                  <c:y val="0"/>
                </c:manualLayout>
              </c:layout>
              <c:tx>
                <c:rich>
                  <a:bodyPr/>
                  <a:lstStyle/>
                  <a:p>
                    <a:r>
                      <a:rPr lang="en-US">
                        <a:latin typeface="Arial" pitchFamily="34" charset="0"/>
                        <a:cs typeface="Arial" pitchFamily="34" charset="0"/>
                      </a:rPr>
                      <a:t>DEU</a:t>
                    </a:r>
                    <a:endParaRPr lang="en-US"/>
                  </a:p>
                </c:rich>
              </c:tx>
              <c:showLegendKey val="0"/>
              <c:showVal val="1"/>
              <c:showCatName val="0"/>
              <c:showSerName val="0"/>
              <c:showPercent val="0"/>
              <c:showBubbleSize val="0"/>
            </c:dLbl>
            <c:dLbl>
              <c:idx val="9"/>
              <c:layout>
                <c:manualLayout>
                  <c:x val="-1.1457835436252123E-2"/>
                  <c:y val="-1.3478665898630319E-2"/>
                </c:manualLayout>
              </c:layout>
              <c:tx>
                <c:rich>
                  <a:bodyPr/>
                  <a:lstStyle/>
                  <a:p>
                    <a:r>
                      <a:rPr lang="en-US">
                        <a:latin typeface="Arial" pitchFamily="34" charset="0"/>
                        <a:cs typeface="Arial" pitchFamily="34" charset="0"/>
                      </a:rPr>
                      <a:t>IRL</a:t>
                    </a:r>
                    <a:endParaRPr lang="en-US"/>
                  </a:p>
                </c:rich>
              </c:tx>
              <c:showLegendKey val="0"/>
              <c:showVal val="1"/>
              <c:showCatName val="0"/>
              <c:showSerName val="0"/>
              <c:showPercent val="0"/>
              <c:showBubbleSize val="0"/>
            </c:dLbl>
            <c:dLbl>
              <c:idx val="10"/>
              <c:layout>
                <c:manualLayout>
                  <c:x val="-6.874701261751273E-3"/>
                  <c:y val="-3.3696664746575874E-3"/>
                </c:manualLayout>
              </c:layout>
              <c:tx>
                <c:rich>
                  <a:bodyPr/>
                  <a:lstStyle/>
                  <a:p>
                    <a:r>
                      <a:rPr lang="en-US">
                        <a:latin typeface="Arial" pitchFamily="34" charset="0"/>
                        <a:cs typeface="Arial" pitchFamily="34" charset="0"/>
                      </a:rPr>
                      <a:t>ITA</a:t>
                    </a:r>
                    <a:endParaRPr lang="en-US"/>
                  </a:p>
                </c:rich>
              </c:tx>
              <c:showLegendKey val="0"/>
              <c:showVal val="1"/>
              <c:showCatName val="0"/>
              <c:showSerName val="0"/>
              <c:showPercent val="0"/>
              <c:showBubbleSize val="0"/>
            </c:dLbl>
            <c:dLbl>
              <c:idx val="11"/>
              <c:layout>
                <c:manualLayout>
                  <c:x val="-9.1662683490016973E-3"/>
                  <c:y val="0"/>
                </c:manualLayout>
              </c:layout>
              <c:tx>
                <c:rich>
                  <a:bodyPr/>
                  <a:lstStyle/>
                  <a:p>
                    <a:r>
                      <a:rPr lang="en-US">
                        <a:latin typeface="Arial" pitchFamily="34" charset="0"/>
                        <a:cs typeface="Arial" pitchFamily="34" charset="0"/>
                      </a:rPr>
                      <a:t>JPN</a:t>
                    </a:r>
                    <a:endParaRPr lang="en-US"/>
                  </a:p>
                </c:rich>
              </c:tx>
              <c:showLegendKey val="0"/>
              <c:showVal val="1"/>
              <c:showCatName val="0"/>
              <c:showSerName val="0"/>
              <c:showPercent val="0"/>
              <c:showBubbleSize val="0"/>
            </c:dLbl>
            <c:dLbl>
              <c:idx val="12"/>
              <c:layout>
                <c:manualLayout>
                  <c:x val="-1.1457835436252123E-2"/>
                  <c:y val="-6.7393329493151749E-3"/>
                </c:manualLayout>
              </c:layout>
              <c:tx>
                <c:rich>
                  <a:bodyPr/>
                  <a:lstStyle/>
                  <a:p>
                    <a:r>
                      <a:rPr lang="en-US">
                        <a:latin typeface="Arial" pitchFamily="34" charset="0"/>
                        <a:cs typeface="Arial" pitchFamily="34" charset="0"/>
                      </a:rPr>
                      <a:t>KOR</a:t>
                    </a:r>
                    <a:endParaRPr lang="en-US"/>
                  </a:p>
                </c:rich>
              </c:tx>
              <c:showLegendKey val="0"/>
              <c:showVal val="1"/>
              <c:showCatName val="0"/>
              <c:showSerName val="0"/>
              <c:showPercent val="0"/>
              <c:showBubbleSize val="0"/>
            </c:dLbl>
            <c:dLbl>
              <c:idx val="13"/>
              <c:layout>
                <c:manualLayout>
                  <c:x val="-1.1457835436252123E-2"/>
                  <c:y val="0"/>
                </c:manualLayout>
              </c:layout>
              <c:tx>
                <c:rich>
                  <a:bodyPr/>
                  <a:lstStyle/>
                  <a:p>
                    <a:r>
                      <a:rPr lang="en-US">
                        <a:latin typeface="Arial" pitchFamily="34" charset="0"/>
                        <a:cs typeface="Arial" pitchFamily="34" charset="0"/>
                      </a:rPr>
                      <a:t>LUX</a:t>
                    </a:r>
                    <a:endParaRPr lang="en-US"/>
                  </a:p>
                </c:rich>
              </c:tx>
              <c:showLegendKey val="0"/>
              <c:showVal val="1"/>
              <c:showCatName val="0"/>
              <c:showSerName val="0"/>
              <c:showPercent val="0"/>
              <c:showBubbleSize val="0"/>
            </c:dLbl>
            <c:dLbl>
              <c:idx val="14"/>
              <c:layout>
                <c:manualLayout>
                  <c:x val="-6.874701261751273E-3"/>
                  <c:y val="-3.3696664746575874E-3"/>
                </c:manualLayout>
              </c:layout>
              <c:tx>
                <c:rich>
                  <a:bodyPr/>
                  <a:lstStyle/>
                  <a:p>
                    <a:r>
                      <a:rPr lang="en-US">
                        <a:latin typeface="Arial" pitchFamily="34" charset="0"/>
                        <a:cs typeface="Arial" pitchFamily="34" charset="0"/>
                      </a:rPr>
                      <a:t>NLD</a:t>
                    </a:r>
                    <a:endParaRPr lang="en-US"/>
                  </a:p>
                </c:rich>
              </c:tx>
              <c:showLegendKey val="0"/>
              <c:showVal val="1"/>
              <c:showCatName val="0"/>
              <c:showSerName val="0"/>
              <c:showPercent val="0"/>
              <c:showBubbleSize val="0"/>
            </c:dLbl>
            <c:dLbl>
              <c:idx val="15"/>
              <c:layout>
                <c:manualLayout>
                  <c:x val="-1.1457835436252123E-2"/>
                  <c:y val="1.347866589863035E-2"/>
                </c:manualLayout>
              </c:layout>
              <c:tx>
                <c:rich>
                  <a:bodyPr/>
                  <a:lstStyle/>
                  <a:p>
                    <a:r>
                      <a:rPr lang="en-US">
                        <a:latin typeface="Arial" pitchFamily="34" charset="0"/>
                        <a:cs typeface="Arial" pitchFamily="34" charset="0"/>
                      </a:rPr>
                      <a:t>NZL</a:t>
                    </a:r>
                    <a:endParaRPr lang="en-US"/>
                  </a:p>
                </c:rich>
              </c:tx>
              <c:showLegendKey val="0"/>
              <c:showVal val="1"/>
              <c:showCatName val="0"/>
              <c:showSerName val="0"/>
              <c:showPercent val="0"/>
              <c:showBubbleSize val="0"/>
            </c:dLbl>
            <c:dLbl>
              <c:idx val="16"/>
              <c:layout>
                <c:manualLayout>
                  <c:x val="-6.8747012617511889E-3"/>
                  <c:y val="-1.0108999423972793E-2"/>
                </c:manualLayout>
              </c:layout>
              <c:tx>
                <c:rich>
                  <a:bodyPr/>
                  <a:lstStyle/>
                  <a:p>
                    <a:r>
                      <a:rPr lang="en-US">
                        <a:latin typeface="Arial" pitchFamily="34" charset="0"/>
                        <a:cs typeface="Arial" pitchFamily="34" charset="0"/>
                      </a:rPr>
                      <a:t>NOR</a:t>
                    </a:r>
                    <a:endParaRPr lang="en-US"/>
                  </a:p>
                </c:rich>
              </c:tx>
              <c:showLegendKey val="0"/>
              <c:showVal val="1"/>
              <c:showCatName val="0"/>
              <c:showSerName val="0"/>
              <c:showPercent val="0"/>
              <c:showBubbleSize val="0"/>
            </c:dLbl>
            <c:dLbl>
              <c:idx val="17"/>
              <c:layout>
                <c:manualLayout>
                  <c:x val="-6.874701261751273E-3"/>
                  <c:y val="-1.0108999423972762E-2"/>
                </c:manualLayout>
              </c:layout>
              <c:tx>
                <c:rich>
                  <a:bodyPr/>
                  <a:lstStyle/>
                  <a:p>
                    <a:r>
                      <a:rPr lang="en-US">
                        <a:latin typeface="Arial" pitchFamily="34" charset="0"/>
                        <a:cs typeface="Arial" pitchFamily="34" charset="0"/>
                      </a:rPr>
                      <a:t>SVK</a:t>
                    </a:r>
                    <a:endParaRPr lang="en-US"/>
                  </a:p>
                </c:rich>
              </c:tx>
              <c:showLegendKey val="0"/>
              <c:showVal val="1"/>
              <c:showCatName val="0"/>
              <c:showSerName val="0"/>
              <c:showPercent val="0"/>
              <c:showBubbleSize val="0"/>
            </c:dLbl>
            <c:dLbl>
              <c:idx val="18"/>
              <c:layout>
                <c:manualLayout>
                  <c:x val="-6.874701261751273E-3"/>
                  <c:y val="-1.0108999423972746E-2"/>
                </c:manualLayout>
              </c:layout>
              <c:tx>
                <c:rich>
                  <a:bodyPr/>
                  <a:lstStyle/>
                  <a:p>
                    <a:r>
                      <a:rPr lang="en-US">
                        <a:latin typeface="Arial" pitchFamily="34" charset="0"/>
                        <a:cs typeface="Arial" pitchFamily="34" charset="0"/>
                      </a:rPr>
                      <a:t>SWE</a:t>
                    </a:r>
                    <a:endParaRPr lang="en-US"/>
                  </a:p>
                </c:rich>
              </c:tx>
              <c:showLegendKey val="0"/>
              <c:showVal val="1"/>
              <c:showCatName val="0"/>
              <c:showSerName val="0"/>
              <c:showPercent val="0"/>
              <c:showBubbleSize val="0"/>
            </c:dLbl>
            <c:dLbl>
              <c:idx val="19"/>
              <c:layout>
                <c:manualLayout>
                  <c:x val="-6.874701261751273E-3"/>
                  <c:y val="0"/>
                </c:manualLayout>
              </c:layout>
              <c:tx>
                <c:rich>
                  <a:bodyPr/>
                  <a:lstStyle/>
                  <a:p>
                    <a:r>
                      <a:rPr lang="en-US">
                        <a:latin typeface="Arial" pitchFamily="34" charset="0"/>
                        <a:cs typeface="Arial" pitchFamily="34" charset="0"/>
                      </a:rPr>
                      <a:t>CHE</a:t>
                    </a:r>
                    <a:endParaRPr lang="en-US"/>
                  </a:p>
                </c:rich>
              </c:tx>
              <c:showLegendKey val="0"/>
              <c:showVal val="1"/>
              <c:showCatName val="0"/>
              <c:showSerName val="0"/>
              <c:showPercent val="0"/>
              <c:showBubbleSize val="0"/>
            </c:dLbl>
            <c:dLbl>
              <c:idx val="20"/>
              <c:layout>
                <c:manualLayout>
                  <c:x val="-1.1457835436252123E-2"/>
                  <c:y val="-1.0108999423972762E-2"/>
                </c:manualLayout>
              </c:layout>
              <c:tx>
                <c:rich>
                  <a:bodyPr/>
                  <a:lstStyle/>
                  <a:p>
                    <a:r>
                      <a:rPr lang="en-US">
                        <a:latin typeface="Arial" pitchFamily="34" charset="0"/>
                        <a:cs typeface="Arial" pitchFamily="34" charset="0"/>
                      </a:rPr>
                      <a:t>GBR</a:t>
                    </a:r>
                    <a:endParaRPr lang="en-US"/>
                  </a:p>
                </c:rich>
              </c:tx>
              <c:showLegendKey val="0"/>
              <c:showVal val="1"/>
              <c:showCatName val="0"/>
              <c:showSerName val="0"/>
              <c:showPercent val="0"/>
              <c:showBubbleSize val="0"/>
            </c:dLbl>
            <c:dLbl>
              <c:idx val="21"/>
              <c:layout>
                <c:manualLayout>
                  <c:x val="-1.1457835436252123E-2"/>
                  <c:y val="-6.7393329493151749E-3"/>
                </c:manualLayout>
              </c:layout>
              <c:tx>
                <c:rich>
                  <a:bodyPr/>
                  <a:lstStyle/>
                  <a:p>
                    <a:r>
                      <a:rPr lang="en-US">
                        <a:latin typeface="Arial" pitchFamily="34" charset="0"/>
                        <a:cs typeface="Arial" pitchFamily="34" charset="0"/>
                      </a:rPr>
                      <a:t>USA</a:t>
                    </a:r>
                    <a:endParaRPr lang="en-US"/>
                  </a:p>
                </c:rich>
              </c:tx>
              <c:showLegendKey val="0"/>
              <c:showVal val="1"/>
              <c:showCatName val="0"/>
              <c:showSerName val="0"/>
              <c:showPercent val="0"/>
              <c:showBubbleSize val="0"/>
            </c:dLbl>
            <c:dLbl>
              <c:idx val="22"/>
              <c:layout>
                <c:manualLayout>
                  <c:x val="-6.874701261751273E-3"/>
                  <c:y val="3.3696664746575874E-3"/>
                </c:manualLayout>
              </c:layout>
              <c:tx>
                <c:rich>
                  <a:bodyPr/>
                  <a:lstStyle/>
                  <a:p>
                    <a:r>
                      <a:rPr lang="en-US">
                        <a:latin typeface="Arial" pitchFamily="34" charset="0"/>
                        <a:cs typeface="Arial" pitchFamily="34" charset="0"/>
                      </a:rPr>
                      <a:t>OECD-22</a:t>
                    </a:r>
                    <a:endParaRPr lang="en-US"/>
                  </a:p>
                </c:rich>
              </c:tx>
              <c:showLegendKey val="0"/>
              <c:showVal val="1"/>
              <c:showCatName val="0"/>
              <c:showSerName val="0"/>
              <c:showPercent val="0"/>
              <c:showBubbleSize val="0"/>
            </c:dLbl>
            <c:txPr>
              <a:bodyPr/>
              <a:lstStyle/>
              <a:p>
                <a:pPr>
                  <a:defRPr>
                    <a:latin typeface="Arial" pitchFamily="34" charset="0"/>
                    <a:cs typeface="Arial" pitchFamily="34" charset="0"/>
                  </a:defRPr>
                </a:pPr>
                <a:endParaRPr lang="en-US"/>
              </a:p>
            </c:txPr>
            <c:showLegendKey val="0"/>
            <c:showVal val="0"/>
            <c:showCatName val="0"/>
            <c:showSerName val="0"/>
            <c:showPercent val="0"/>
            <c:showBubbleSize val="0"/>
          </c:dLbls>
          <c:xVal>
            <c:numRef>
              <c:f>'tab4.6_E'!$N$38:$N$60</c:f>
              <c:numCache>
                <c:formatCode>0.0</c:formatCode>
                <c:ptCount val="23"/>
                <c:pt idx="0">
                  <c:v>14.320684945229184</c:v>
                </c:pt>
                <c:pt idx="1">
                  <c:v>36.631000884146999</c:v>
                </c:pt>
                <c:pt idx="2">
                  <c:v>30.463449965153259</c:v>
                </c:pt>
                <c:pt idx="3">
                  <c:v>13.601389671347308</c:v>
                </c:pt>
                <c:pt idx="4">
                  <c:v>24.34</c:v>
                </c:pt>
                <c:pt idx="5">
                  <c:v>25.590000000000003</c:v>
                </c:pt>
                <c:pt idx="6">
                  <c:v>14.37</c:v>
                </c:pt>
                <c:pt idx="7">
                  <c:v>32.9</c:v>
                </c:pt>
                <c:pt idx="8">
                  <c:v>28.199999999999996</c:v>
                </c:pt>
                <c:pt idx="9">
                  <c:v>17.6505054</c:v>
                </c:pt>
                <c:pt idx="10">
                  <c:v>29.170800000000003</c:v>
                </c:pt>
                <c:pt idx="11">
                  <c:v>19.651566385147898</c:v>
                </c:pt>
                <c:pt idx="12">
                  <c:v>3.5999713199999999</c:v>
                </c:pt>
                <c:pt idx="13">
                  <c:v>30.577586536850287</c:v>
                </c:pt>
                <c:pt idx="14">
                  <c:v>17.051798173559128</c:v>
                </c:pt>
                <c:pt idx="15">
                  <c:v>13.010986842105263</c:v>
                </c:pt>
                <c:pt idx="16">
                  <c:v>21.661084525272798</c:v>
                </c:pt>
                <c:pt idx="17">
                  <c:v>26</c:v>
                </c:pt>
                <c:pt idx="18">
                  <c:v>32.713531740928275</c:v>
                </c:pt>
                <c:pt idx="19">
                  <c:v>15.951445680000001</c:v>
                </c:pt>
                <c:pt idx="20">
                  <c:v>14.499999999999998</c:v>
                </c:pt>
                <c:pt idx="21">
                  <c:v>9.3607573899999998</c:v>
                </c:pt>
                <c:pt idx="22">
                  <c:v>21.423479975442742</c:v>
                </c:pt>
              </c:numCache>
            </c:numRef>
          </c:xVal>
          <c:yVal>
            <c:numRef>
              <c:f>'tab4.6_E'!$O$38:$O$60</c:f>
              <c:numCache>
                <c:formatCode>0.000</c:formatCode>
                <c:ptCount val="23"/>
                <c:pt idx="0">
                  <c:v>9.7201070280104274E-2</c:v>
                </c:pt>
                <c:pt idx="1">
                  <c:v>5.2013296335569059E-2</c:v>
                </c:pt>
                <c:pt idx="2">
                  <c:v>0.11909662583801828</c:v>
                </c:pt>
                <c:pt idx="3">
                  <c:v>6.0455643043936247E-2</c:v>
                </c:pt>
                <c:pt idx="4">
                  <c:v>0.11385056678973593</c:v>
                </c:pt>
                <c:pt idx="5">
                  <c:v>0.11790136493019843</c:v>
                </c:pt>
                <c:pt idx="6">
                  <c:v>6.4558874447447123E-2</c:v>
                </c:pt>
                <c:pt idx="7">
                  <c:v>5.61564214730782E-2</c:v>
                </c:pt>
                <c:pt idx="8">
                  <c:v>8.5547274977567755E-2</c:v>
                </c:pt>
                <c:pt idx="9">
                  <c:v>9.9706893995632262E-2</c:v>
                </c:pt>
                <c:pt idx="10">
                  <c:v>7.3304001009288244E-2</c:v>
                </c:pt>
                <c:pt idx="11">
                  <c:v>4.8007016708884853E-2</c:v>
                </c:pt>
                <c:pt idx="12">
                  <c:v>1.1224021300574316E-2</c:v>
                </c:pt>
                <c:pt idx="13">
                  <c:v>6.581049392782079E-2</c:v>
                </c:pt>
                <c:pt idx="14">
                  <c:v>7.9726171417464964E-2</c:v>
                </c:pt>
                <c:pt idx="15">
                  <c:v>7.9962276530656795E-2</c:v>
                </c:pt>
                <c:pt idx="16">
                  <c:v>9.258301625875931E-2</c:v>
                </c:pt>
                <c:pt idx="17">
                  <c:v>9.3952659574468189E-2</c:v>
                </c:pt>
                <c:pt idx="18">
                  <c:v>0.12051709037094072</c:v>
                </c:pt>
                <c:pt idx="19">
                  <c:v>5.6698726211362294E-2</c:v>
                </c:pt>
                <c:pt idx="20">
                  <c:v>8.4980268174660867E-2</c:v>
                </c:pt>
                <c:pt idx="21">
                  <c:v>4.0621861210680787E-2</c:v>
                </c:pt>
                <c:pt idx="22">
                  <c:v>7.7903437945765888E-2</c:v>
                </c:pt>
              </c:numCache>
            </c:numRef>
          </c:yVal>
          <c:smooth val="0"/>
        </c:ser>
        <c:dLbls>
          <c:showLegendKey val="0"/>
          <c:showVal val="0"/>
          <c:showCatName val="0"/>
          <c:showSerName val="0"/>
          <c:showPercent val="0"/>
          <c:showBubbleSize val="0"/>
        </c:dLbls>
        <c:axId val="201271936"/>
        <c:axId val="201298688"/>
      </c:scatterChart>
      <c:valAx>
        <c:axId val="201271936"/>
        <c:scaling>
          <c:orientation val="minMax"/>
        </c:scaling>
        <c:delete val="0"/>
        <c:axPos val="b"/>
        <c:title>
          <c:tx>
            <c:rich>
              <a:bodyPr/>
              <a:lstStyle/>
              <a:p>
                <a:pPr>
                  <a:defRPr sz="1000" b="0">
                    <a:latin typeface="Arial" pitchFamily="34" charset="0"/>
                    <a:cs typeface="Arial" pitchFamily="34" charset="0"/>
                  </a:defRPr>
                </a:pPr>
                <a:r>
                  <a:rPr lang="en-AU" sz="1000" b="0" i="0" baseline="0">
                    <a:effectLst/>
                    <a:latin typeface="Arial" pitchFamily="34" charset="0"/>
                    <a:cs typeface="Arial" pitchFamily="34" charset="0"/>
                  </a:rPr>
                  <a:t>Transfers as a percentage of household disposable income</a:t>
                </a:r>
                <a:endParaRPr lang="en-AU" sz="1000" b="0">
                  <a:effectLst/>
                  <a:latin typeface="Arial" pitchFamily="34" charset="0"/>
                  <a:cs typeface="Arial" pitchFamily="34" charset="0"/>
                </a:endParaRPr>
              </a:p>
            </c:rich>
          </c:tx>
          <c:layout/>
          <c:overlay val="0"/>
        </c:title>
        <c:numFmt formatCode="0.0" sourceLinked="1"/>
        <c:majorTickMark val="out"/>
        <c:minorTickMark val="none"/>
        <c:tickLblPos val="nextTo"/>
        <c:txPr>
          <a:bodyPr/>
          <a:lstStyle/>
          <a:p>
            <a:pPr>
              <a:defRPr>
                <a:latin typeface="Arial" pitchFamily="34" charset="0"/>
                <a:cs typeface="Arial" pitchFamily="34" charset="0"/>
              </a:defRPr>
            </a:pPr>
            <a:endParaRPr lang="en-US"/>
          </a:p>
        </c:txPr>
        <c:crossAx val="201298688"/>
        <c:crosses val="autoZero"/>
        <c:crossBetween val="midCat"/>
      </c:valAx>
      <c:valAx>
        <c:axId val="201298688"/>
        <c:scaling>
          <c:orientation val="minMax"/>
        </c:scaling>
        <c:delete val="0"/>
        <c:axPos val="l"/>
        <c:majorGridlines/>
        <c:title>
          <c:tx>
            <c:rich>
              <a:bodyPr rot="-5400000" vert="horz"/>
              <a:lstStyle/>
              <a:p>
                <a:pPr>
                  <a:defRPr sz="1000" b="0">
                    <a:latin typeface="Arial" pitchFamily="34" charset="0"/>
                    <a:cs typeface="Arial" pitchFamily="34" charset="0"/>
                  </a:defRPr>
                </a:pPr>
                <a:r>
                  <a:rPr lang="en-AU" sz="1000" b="0" i="0" baseline="0">
                    <a:effectLst/>
                    <a:latin typeface="Arial" pitchFamily="34" charset="0"/>
                    <a:cs typeface="Arial" pitchFamily="34" charset="0"/>
                  </a:rPr>
                  <a:t>Effectiveness (Gini coefficient reduction)</a:t>
                </a:r>
                <a:endParaRPr lang="en-AU" sz="1000" b="0">
                  <a:effectLst/>
                  <a:latin typeface="Arial" pitchFamily="34" charset="0"/>
                  <a:cs typeface="Arial" pitchFamily="34" charset="0"/>
                </a:endParaRPr>
              </a:p>
            </c:rich>
          </c:tx>
          <c:layout/>
          <c:overlay val="0"/>
        </c:title>
        <c:numFmt formatCode="0.00" sourceLinked="0"/>
        <c:majorTickMark val="out"/>
        <c:minorTickMark val="none"/>
        <c:tickLblPos val="nextTo"/>
        <c:txPr>
          <a:bodyPr/>
          <a:lstStyle/>
          <a:p>
            <a:pPr>
              <a:defRPr>
                <a:latin typeface="Arial" pitchFamily="34" charset="0"/>
                <a:cs typeface="Arial" pitchFamily="34" charset="0"/>
              </a:defRPr>
            </a:pPr>
            <a:endParaRPr lang="en-US"/>
          </a:p>
        </c:txPr>
        <c:crossAx val="201271936"/>
        <c:crosses val="autoZero"/>
        <c:crossBetween val="midCat"/>
      </c:valAx>
    </c:plotArea>
    <c:plotVisOnly val="1"/>
    <c:dispBlanksAs val="gap"/>
    <c:showDLblsOverMax val="0"/>
  </c:chart>
  <c:spPr>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'Figure 11'!$K$6</c:f>
              <c:strCache>
                <c:ptCount val="1"/>
                <c:pt idx="0">
                  <c:v>Disposable income plus in-kind transfers</c:v>
                </c:pt>
              </c:strCache>
            </c:strRef>
          </c:tx>
          <c:spPr>
            <a:solidFill>
              <a:schemeClr val="accent1">
                <a:lumMod val="75000"/>
              </a:schemeClr>
            </a:solidFill>
            <a:ln w="9525">
              <a:solidFill>
                <a:schemeClr val="accent1">
                  <a:lumMod val="75000"/>
                </a:schemeClr>
              </a:solidFill>
            </a:ln>
          </c:spPr>
          <c:invertIfNegative val="0"/>
          <c:dPt>
            <c:idx val="14"/>
            <c:invertIfNegative val="0"/>
            <c:bubble3D val="0"/>
            <c:spPr>
              <a:solidFill>
                <a:schemeClr val="accent1">
                  <a:lumMod val="75000"/>
                </a:schemeClr>
              </a:solidFill>
              <a:ln w="19050">
                <a:solidFill>
                  <a:schemeClr val="tx1"/>
                </a:solidFill>
              </a:ln>
            </c:spPr>
          </c:dPt>
          <c:dPt>
            <c:idx val="21"/>
            <c:invertIfNegative val="0"/>
            <c:bubble3D val="0"/>
            <c:spPr>
              <a:solidFill>
                <a:srgbClr val="C00000"/>
              </a:solidFill>
              <a:ln w="9525">
                <a:solidFill>
                  <a:srgbClr val="C00000"/>
                </a:solidFill>
              </a:ln>
            </c:spPr>
          </c:dPt>
          <c:cat>
            <c:strRef>
              <c:f>'Figure 11'!$J$7:$J$34</c:f>
              <c:strCache>
                <c:ptCount val="28"/>
                <c:pt idx="0">
                  <c:v>Sweden</c:v>
                </c:pt>
                <c:pt idx="1">
                  <c:v>Norway</c:v>
                </c:pt>
                <c:pt idx="2">
                  <c:v>Denmark</c:v>
                </c:pt>
                <c:pt idx="3">
                  <c:v>Slovenia</c:v>
                </c:pt>
                <c:pt idx="4">
                  <c:v>Hungary</c:v>
                </c:pt>
                <c:pt idx="5">
                  <c:v>Slovak Republic</c:v>
                </c:pt>
                <c:pt idx="6">
                  <c:v>Czech Republic</c:v>
                </c:pt>
                <c:pt idx="7">
                  <c:v>Belgium</c:v>
                </c:pt>
                <c:pt idx="8">
                  <c:v>France</c:v>
                </c:pt>
                <c:pt idx="9">
                  <c:v>Finland</c:v>
                </c:pt>
                <c:pt idx="10">
                  <c:v>Austria</c:v>
                </c:pt>
                <c:pt idx="11">
                  <c:v>Netherlands</c:v>
                </c:pt>
                <c:pt idx="12">
                  <c:v>Luxembourg</c:v>
                </c:pt>
                <c:pt idx="13">
                  <c:v>Iceland</c:v>
                </c:pt>
                <c:pt idx="14">
                  <c:v>OECD-27</c:v>
                </c:pt>
                <c:pt idx="15">
                  <c:v>Ireland</c:v>
                </c:pt>
                <c:pt idx="16">
                  <c:v>Spain</c:v>
                </c:pt>
                <c:pt idx="17">
                  <c:v>Germany</c:v>
                </c:pt>
                <c:pt idx="18">
                  <c:v>United Kingdom</c:v>
                </c:pt>
                <c:pt idx="19">
                  <c:v>Poland</c:v>
                </c:pt>
                <c:pt idx="20">
                  <c:v>Canada</c:v>
                </c:pt>
                <c:pt idx="21">
                  <c:v>Australia</c:v>
                </c:pt>
                <c:pt idx="22">
                  <c:v>Italy</c:v>
                </c:pt>
                <c:pt idx="23">
                  <c:v>Estonia</c:v>
                </c:pt>
                <c:pt idx="24">
                  <c:v>Greece</c:v>
                </c:pt>
                <c:pt idx="25">
                  <c:v>Portugal</c:v>
                </c:pt>
                <c:pt idx="26">
                  <c:v>United States</c:v>
                </c:pt>
                <c:pt idx="27">
                  <c:v>Mexico</c:v>
                </c:pt>
              </c:strCache>
            </c:strRef>
          </c:cat>
          <c:val>
            <c:numRef>
              <c:f>'Figure 11'!$K$7:$K$34</c:f>
              <c:numCache>
                <c:formatCode>0.000</c:formatCode>
                <c:ptCount val="28"/>
                <c:pt idx="0">
                  <c:v>0.18099999999999999</c:v>
                </c:pt>
                <c:pt idx="1">
                  <c:v>0.193</c:v>
                </c:pt>
                <c:pt idx="2">
                  <c:v>0.19400000000000001</c:v>
                </c:pt>
                <c:pt idx="3">
                  <c:v>0.19600000000000001</c:v>
                </c:pt>
                <c:pt idx="4">
                  <c:v>0.20100000000000001</c:v>
                </c:pt>
                <c:pt idx="5">
                  <c:v>0.20399999999999999</c:v>
                </c:pt>
                <c:pt idx="6">
                  <c:v>0.20699999999999999</c:v>
                </c:pt>
                <c:pt idx="7">
                  <c:v>0.20899999999999999</c:v>
                </c:pt>
                <c:pt idx="8">
                  <c:v>0.20899999999999999</c:v>
                </c:pt>
                <c:pt idx="9">
                  <c:v>0.218</c:v>
                </c:pt>
                <c:pt idx="10">
                  <c:v>0.219</c:v>
                </c:pt>
                <c:pt idx="11">
                  <c:v>0.22</c:v>
                </c:pt>
                <c:pt idx="12">
                  <c:v>0.22</c:v>
                </c:pt>
                <c:pt idx="13">
                  <c:v>0.22700000000000001</c:v>
                </c:pt>
                <c:pt idx="14">
                  <c:v>0.23899999999999999</c:v>
                </c:pt>
                <c:pt idx="15">
                  <c:v>0.24199999999999999</c:v>
                </c:pt>
                <c:pt idx="16">
                  <c:v>0.248</c:v>
                </c:pt>
                <c:pt idx="17">
                  <c:v>0.249</c:v>
                </c:pt>
                <c:pt idx="18">
                  <c:v>0.252</c:v>
                </c:pt>
                <c:pt idx="19">
                  <c:v>0.25900000000000001</c:v>
                </c:pt>
                <c:pt idx="20">
                  <c:v>0.25900000000000001</c:v>
                </c:pt>
                <c:pt idx="21">
                  <c:v>0.26</c:v>
                </c:pt>
                <c:pt idx="22">
                  <c:v>0.26200000000000001</c:v>
                </c:pt>
                <c:pt idx="23">
                  <c:v>0.28000000000000003</c:v>
                </c:pt>
                <c:pt idx="24">
                  <c:v>0.28799999999999998</c:v>
                </c:pt>
                <c:pt idx="25">
                  <c:v>0.29099999999999998</c:v>
                </c:pt>
                <c:pt idx="26">
                  <c:v>0.30299999999999999</c:v>
                </c:pt>
                <c:pt idx="27">
                  <c:v>0.375</c:v>
                </c:pt>
              </c:numCache>
            </c:numRef>
          </c:val>
        </c:ser>
        <c:ser>
          <c:idx val="1"/>
          <c:order val="1"/>
          <c:tx>
            <c:strRef>
              <c:f>'Figure 11'!$L$6</c:f>
              <c:strCache>
                <c:ptCount val="1"/>
                <c:pt idx="0">
                  <c:v>Disposable income</c:v>
                </c:pt>
              </c:strCache>
            </c:strRef>
          </c:tx>
          <c:spPr>
            <a:pattFill prst="pct30">
              <a:fgClr>
                <a:schemeClr val="accent1">
                  <a:lumMod val="75000"/>
                </a:schemeClr>
              </a:fgClr>
              <a:bgClr>
                <a:schemeClr val="bg1"/>
              </a:bgClr>
            </a:pattFill>
            <a:ln w="9525">
              <a:solidFill>
                <a:schemeClr val="accent1">
                  <a:lumMod val="75000"/>
                </a:schemeClr>
              </a:solidFill>
            </a:ln>
          </c:spPr>
          <c:invertIfNegative val="0"/>
          <c:dPt>
            <c:idx val="14"/>
            <c:invertIfNegative val="0"/>
            <c:bubble3D val="0"/>
            <c:spPr>
              <a:pattFill prst="pct30">
                <a:fgClr>
                  <a:schemeClr val="accent1">
                    <a:lumMod val="75000"/>
                  </a:schemeClr>
                </a:fgClr>
                <a:bgClr>
                  <a:schemeClr val="bg1"/>
                </a:bgClr>
              </a:pattFill>
              <a:ln w="19050">
                <a:solidFill>
                  <a:schemeClr val="tx1"/>
                </a:solidFill>
              </a:ln>
            </c:spPr>
          </c:dPt>
          <c:dPt>
            <c:idx val="21"/>
            <c:invertIfNegative val="0"/>
            <c:bubble3D val="0"/>
            <c:spPr>
              <a:pattFill prst="pct30">
                <a:fgClr>
                  <a:srgbClr val="C00000"/>
                </a:fgClr>
                <a:bgClr>
                  <a:schemeClr val="bg1"/>
                </a:bgClr>
              </a:pattFill>
              <a:ln w="9525">
                <a:solidFill>
                  <a:srgbClr val="C00000"/>
                </a:solidFill>
              </a:ln>
            </c:spPr>
          </c:dPt>
          <c:cat>
            <c:strRef>
              <c:f>'Figure 11'!$J$7:$J$34</c:f>
              <c:strCache>
                <c:ptCount val="28"/>
                <c:pt idx="0">
                  <c:v>Sweden</c:v>
                </c:pt>
                <c:pt idx="1">
                  <c:v>Norway</c:v>
                </c:pt>
                <c:pt idx="2">
                  <c:v>Denmark</c:v>
                </c:pt>
                <c:pt idx="3">
                  <c:v>Slovenia</c:v>
                </c:pt>
                <c:pt idx="4">
                  <c:v>Hungary</c:v>
                </c:pt>
                <c:pt idx="5">
                  <c:v>Slovak Republic</c:v>
                </c:pt>
                <c:pt idx="6">
                  <c:v>Czech Republic</c:v>
                </c:pt>
                <c:pt idx="7">
                  <c:v>Belgium</c:v>
                </c:pt>
                <c:pt idx="8">
                  <c:v>France</c:v>
                </c:pt>
                <c:pt idx="9">
                  <c:v>Finland</c:v>
                </c:pt>
                <c:pt idx="10">
                  <c:v>Austria</c:v>
                </c:pt>
                <c:pt idx="11">
                  <c:v>Netherlands</c:v>
                </c:pt>
                <c:pt idx="12">
                  <c:v>Luxembourg</c:v>
                </c:pt>
                <c:pt idx="13">
                  <c:v>Iceland</c:v>
                </c:pt>
                <c:pt idx="14">
                  <c:v>OECD-27</c:v>
                </c:pt>
                <c:pt idx="15">
                  <c:v>Ireland</c:v>
                </c:pt>
                <c:pt idx="16">
                  <c:v>Spain</c:v>
                </c:pt>
                <c:pt idx="17">
                  <c:v>Germany</c:v>
                </c:pt>
                <c:pt idx="18">
                  <c:v>United Kingdom</c:v>
                </c:pt>
                <c:pt idx="19">
                  <c:v>Poland</c:v>
                </c:pt>
                <c:pt idx="20">
                  <c:v>Canada</c:v>
                </c:pt>
                <c:pt idx="21">
                  <c:v>Australia</c:v>
                </c:pt>
                <c:pt idx="22">
                  <c:v>Italy</c:v>
                </c:pt>
                <c:pt idx="23">
                  <c:v>Estonia</c:v>
                </c:pt>
                <c:pt idx="24">
                  <c:v>Greece</c:v>
                </c:pt>
                <c:pt idx="25">
                  <c:v>Portugal</c:v>
                </c:pt>
                <c:pt idx="26">
                  <c:v>United States</c:v>
                </c:pt>
                <c:pt idx="27">
                  <c:v>Mexico</c:v>
                </c:pt>
              </c:strCache>
            </c:strRef>
          </c:cat>
          <c:val>
            <c:numRef>
              <c:f>'Figure 11'!$L$7:$L$34</c:f>
              <c:numCache>
                <c:formatCode>0.000</c:formatCode>
                <c:ptCount val="28"/>
                <c:pt idx="0">
                  <c:v>5.5999999999999994E-2</c:v>
                </c:pt>
                <c:pt idx="1">
                  <c:v>4.8999999999999988E-2</c:v>
                </c:pt>
                <c:pt idx="2">
                  <c:v>5.5999999999999994E-2</c:v>
                </c:pt>
                <c:pt idx="3">
                  <c:v>3.999999999999998E-2</c:v>
                </c:pt>
                <c:pt idx="4">
                  <c:v>6.0999999999999999E-2</c:v>
                </c:pt>
                <c:pt idx="5">
                  <c:v>4.7000000000000014E-2</c:v>
                </c:pt>
                <c:pt idx="6">
                  <c:v>5.400000000000002E-2</c:v>
                </c:pt>
                <c:pt idx="7">
                  <c:v>5.5000000000000021E-2</c:v>
                </c:pt>
                <c:pt idx="8">
                  <c:v>5.5000000000000021E-2</c:v>
                </c:pt>
                <c:pt idx="9">
                  <c:v>4.8000000000000015E-2</c:v>
                </c:pt>
                <c:pt idx="10">
                  <c:v>4.8000000000000015E-2</c:v>
                </c:pt>
                <c:pt idx="11">
                  <c:v>5.2000000000000018E-2</c:v>
                </c:pt>
                <c:pt idx="12">
                  <c:v>5.5000000000000021E-2</c:v>
                </c:pt>
                <c:pt idx="13">
                  <c:v>6.3999999999999974E-2</c:v>
                </c:pt>
                <c:pt idx="14">
                  <c:v>5.8999999999999997E-2</c:v>
                </c:pt>
                <c:pt idx="15">
                  <c:v>7.5000000000000011E-2</c:v>
                </c:pt>
                <c:pt idx="16">
                  <c:v>6.2E-2</c:v>
                </c:pt>
                <c:pt idx="17">
                  <c:v>5.099999999999999E-2</c:v>
                </c:pt>
                <c:pt idx="18">
                  <c:v>7.8000000000000014E-2</c:v>
                </c:pt>
                <c:pt idx="19">
                  <c:v>5.7999999999999996E-2</c:v>
                </c:pt>
                <c:pt idx="20">
                  <c:v>0.06</c:v>
                </c:pt>
                <c:pt idx="21">
                  <c:v>5.1999999999999991E-2</c:v>
                </c:pt>
                <c:pt idx="22">
                  <c:v>5.7999999999999996E-2</c:v>
                </c:pt>
                <c:pt idx="23">
                  <c:v>5.7999999999999996E-2</c:v>
                </c:pt>
                <c:pt idx="24">
                  <c:v>5.4000000000000048E-2</c:v>
                </c:pt>
                <c:pt idx="25">
                  <c:v>7.9000000000000015E-2</c:v>
                </c:pt>
                <c:pt idx="26">
                  <c:v>6.9000000000000006E-2</c:v>
                </c:pt>
                <c:pt idx="27">
                  <c:v>9.9999999999999978E-2</c:v>
                </c:pt>
              </c:numCache>
            </c:numRef>
          </c:val>
        </c:ser>
        <c:dLbls>
          <c:showLegendKey val="0"/>
          <c:showVal val="0"/>
          <c:showCatName val="0"/>
          <c:showSerName val="0"/>
          <c:showPercent val="0"/>
          <c:showBubbleSize val="0"/>
        </c:dLbls>
        <c:gapWidth val="150"/>
        <c:overlap val="100"/>
        <c:axId val="202804224"/>
        <c:axId val="204575488"/>
      </c:barChart>
      <c:catAx>
        <c:axId val="202804224"/>
        <c:scaling>
          <c:orientation val="minMax"/>
        </c:scaling>
        <c:delete val="0"/>
        <c:axPos val="b"/>
        <c:numFmt formatCode="General" sourceLinked="1"/>
        <c:majorTickMark val="out"/>
        <c:minorTickMark val="none"/>
        <c:tickLblPos val="nextTo"/>
        <c:txPr>
          <a:bodyPr/>
          <a:lstStyle/>
          <a:p>
            <a:pPr>
              <a:defRPr>
                <a:latin typeface="Arial" pitchFamily="34" charset="0"/>
                <a:cs typeface="Arial" pitchFamily="34" charset="0"/>
              </a:defRPr>
            </a:pPr>
            <a:endParaRPr lang="en-US"/>
          </a:p>
        </c:txPr>
        <c:crossAx val="204575488"/>
        <c:crosses val="autoZero"/>
        <c:auto val="1"/>
        <c:lblAlgn val="ctr"/>
        <c:lblOffset val="100"/>
        <c:noMultiLvlLbl val="0"/>
      </c:catAx>
      <c:valAx>
        <c:axId val="204575488"/>
        <c:scaling>
          <c:orientation val="minMax"/>
          <c:max val="0.8"/>
        </c:scaling>
        <c:delete val="0"/>
        <c:axPos val="l"/>
        <c:majorGridlines/>
        <c:numFmt formatCode="0.00" sourceLinked="0"/>
        <c:majorTickMark val="out"/>
        <c:minorTickMark val="none"/>
        <c:tickLblPos val="nextTo"/>
        <c:txPr>
          <a:bodyPr/>
          <a:lstStyle/>
          <a:p>
            <a:pPr>
              <a:defRPr>
                <a:latin typeface="Arial" pitchFamily="34" charset="0"/>
                <a:cs typeface="Arial" pitchFamily="34" charset="0"/>
              </a:defRPr>
            </a:pPr>
            <a:endParaRPr lang="en-US"/>
          </a:p>
        </c:txPr>
        <c:crossAx val="202804224"/>
        <c:crosses val="autoZero"/>
        <c:crossBetween val="between"/>
      </c:valAx>
    </c:plotArea>
    <c:legend>
      <c:legendPos val="b"/>
      <c:layout/>
      <c:overlay val="0"/>
      <c:txPr>
        <a:bodyPr/>
        <a:lstStyle/>
        <a:p>
          <a:pPr>
            <a:defRPr>
              <a:latin typeface="Arial" pitchFamily="34" charset="0"/>
              <a:cs typeface="Arial" pitchFamily="34" charset="0"/>
            </a:defRPr>
          </a:pPr>
          <a:endParaRPr lang="en-US"/>
        </a:p>
      </c:txPr>
    </c:legend>
    <c:plotVisOnly val="1"/>
    <c:dispBlanksAs val="gap"/>
    <c:showDLblsOverMax val="0"/>
  </c:chart>
  <c:spPr>
    <a:ln>
      <a:noFill/>
    </a:ln>
  </c:sp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cdr:x>
      <cdr:y>0</cdr:y>
    </cdr:from>
    <cdr:to>
      <cdr:x>0</cdr:x>
      <cdr:y>0</cdr:y>
    </cdr:to>
    <cdr:sp macro="" textlink="">
      <cdr:nvSpPr>
        <cdr:cNvPr id="6" name="Straight Connector 5"/>
        <cdr:cNvSpPr/>
      </cdr:nvSpPr>
      <cdr:spPr>
        <a:xfrm xmlns:a="http://schemas.openxmlformats.org/drawingml/2006/main">
          <a:off x="0" y="0"/>
          <a:ext cx="0" cy="0"/>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AU"/>
        </a:p>
      </cdr:txBody>
    </cdr:sp>
  </cdr:relSizeAnchor>
  <cdr:relSizeAnchor xmlns:cdr="http://schemas.openxmlformats.org/drawingml/2006/chartDrawing">
    <cdr:from>
      <cdr:x>0.75352</cdr:x>
      <cdr:y>0.04412</cdr:y>
    </cdr:from>
    <cdr:to>
      <cdr:x>0.76476</cdr:x>
      <cdr:y>0.06687</cdr:y>
    </cdr:to>
    <cdr:sp macro="" textlink="">
      <cdr:nvSpPr>
        <cdr:cNvPr id="14" name="xlamShapesMarker"/>
        <cdr:cNvSpPr/>
      </cdr:nvSpPr>
      <cdr:spPr>
        <a:xfrm xmlns:a="http://schemas.openxmlformats.org/drawingml/2006/main">
          <a:off x="4312815" y="112507"/>
          <a:ext cx="64370" cy="58019"/>
        </a:xfrm>
        <a:prstGeom xmlns:a="http://schemas.openxmlformats.org/drawingml/2006/main" prst="rect">
          <a:avLst/>
        </a:prstGeom>
        <a:solidFill xmlns:a="http://schemas.openxmlformats.org/drawingml/2006/main">
          <a:srgbClr val="EAEAEA"/>
        </a:solidFill>
        <a:ln xmlns:a="http://schemas.openxmlformats.org/drawingml/2006/main" w="3175">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n-AU"/>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D7598-A7BC-4D89-9FC0-A1FBD9B8E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402</TotalTime>
  <Pages>9</Pages>
  <Words>2100</Words>
  <Characters>11709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How does Australia compare?</vt:lpstr>
    </vt:vector>
  </TitlesOfParts>
  <Company>Productivity Commission</Company>
  <LinksUpToDate>false</LinksUpToDate>
  <CharactersWithSpaces>13782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does Australia compare?</dc:title>
  <dc:subject>The distribution of income in Australia</dc:subject>
  <dc:creator>Productivity Commission</dc:creator>
  <cp:keywords/>
  <dc:description>C.</dc:description>
  <cp:lastModifiedBy>Jared Greenville</cp:lastModifiedBy>
  <cp:revision>31</cp:revision>
  <cp:lastPrinted>2012-12-21T01:13:00Z</cp:lastPrinted>
  <dcterms:created xsi:type="dcterms:W3CDTF">2012-12-20T03:19:00Z</dcterms:created>
  <dcterms:modified xsi:type="dcterms:W3CDTF">2013-03-20T05:21:00Z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1160320096</vt:i4>
  </property>
  <property fmtid="{D5CDD505-2E9C-101B-9397-08002B2CF9AE}" pid="3" name="_NewReviewCycle">
    <vt:lpwstr/>
  </property>
  <property fmtid="{D5CDD505-2E9C-101B-9397-08002B2CF9AE}" pid="4" name="_EmailSubject">
    <vt:lpwstr>web files - income distribution - SWP</vt:lpwstr>
  </property>
  <property fmtid="{D5CDD505-2E9C-101B-9397-08002B2CF9AE}" pid="5" name="_AuthorEmail">
    <vt:lpwstr>maps@pc.gov.au</vt:lpwstr>
  </property>
  <property fmtid="{D5CDD505-2E9C-101B-9397-08002B2CF9AE}" pid="6" name="_AuthorEmailDisplayName">
    <vt:lpwstr>MAPS</vt:lpwstr>
  </property>
</Properties>
</file>