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4D19" w:rsidRDefault="00C40E16" w:rsidP="00CD5E6B">
      <w:pPr>
        <w:pStyle w:val="BodyText"/>
        <w:rPr>
          <w:b/>
          <w:szCs w:val="26"/>
        </w:rPr>
      </w:pPr>
      <w:bookmarkStart w:id="0" w:name="_GoBack"/>
      <w:bookmarkEnd w:id="0"/>
      <w:r>
        <w:rPr>
          <w:noProof/>
          <w:lang w:eastAsia="en-AU"/>
        </w:rPr>
        <w:drawing>
          <wp:anchor distT="0" distB="0" distL="114300" distR="114300" simplePos="0" relativeHeight="251658240" behindDoc="1" locked="0" layoutInCell="1" allowOverlap="1">
            <wp:simplePos x="1152939" y="1049572"/>
            <wp:positionH relativeFrom="page">
              <wp:align>center</wp:align>
            </wp:positionH>
            <wp:positionV relativeFrom="page">
              <wp:align>center</wp:align>
            </wp:positionV>
            <wp:extent cx="7560000" cy="9363600"/>
            <wp:effectExtent l="0" t="0" r="3175" b="9525"/>
            <wp:wrapNone/>
            <wp:docPr id="1" name="Picture 1" descr="Cover image for the Australian Government Productivity Commission Visiting Researcher Paper titled 'Labour's Share of Growth in Income and Prosperity' by Dean Parham. Published September 2013.&#10;&#10;The views expressed in this paper are those of the individual involved and do not neccessarily reflect the views of the Productivity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RP-web-cover-prosperity.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560000" cy="9363600"/>
                    </a:xfrm>
                    <a:prstGeom prst="rect">
                      <a:avLst/>
                    </a:prstGeom>
                  </pic:spPr>
                </pic:pic>
              </a:graphicData>
            </a:graphic>
            <wp14:sizeRelH relativeFrom="margin">
              <wp14:pctWidth>0</wp14:pctWidth>
            </wp14:sizeRelH>
            <wp14:sizeRelV relativeFrom="margin">
              <wp14:pctHeight>0</wp14:pctHeight>
            </wp14:sizeRelV>
          </wp:anchor>
        </w:drawing>
      </w:r>
      <w:r w:rsidR="00B04D19">
        <w:br w:type="page"/>
      </w:r>
    </w:p>
    <w:p w:rsidR="003E7802" w:rsidRDefault="003E7802" w:rsidP="001D4B1F">
      <w:pPr>
        <w:pStyle w:val="TOC1"/>
      </w:pPr>
      <w:r w:rsidRPr="008C305F">
        <w:lastRenderedPageBreak/>
        <w:fldChar w:fldCharType="begin"/>
      </w:r>
      <w:r w:rsidRPr="008C305F">
        <w:instrText>SYMBOL 227 \f "Symbol"</w:instrText>
      </w:r>
      <w:r w:rsidRPr="008C305F">
        <w:fldChar w:fldCharType="end"/>
      </w:r>
      <w:r w:rsidRPr="008C305F">
        <w:t xml:space="preserve"> Commonwealth of Australia </w:t>
      </w:r>
      <w:r w:rsidR="00766DFB">
        <w:t>2013</w:t>
      </w:r>
    </w:p>
    <w:p w:rsidR="008E315F" w:rsidRPr="007809B8" w:rsidRDefault="008E315F">
      <w:pPr>
        <w:pStyle w:val="BodyText"/>
        <w:tabs>
          <w:tab w:val="left" w:pos="851"/>
        </w:tabs>
        <w:spacing w:before="200" w:after="120"/>
        <w:jc w:val="left"/>
        <w:rPr>
          <w:b/>
          <w:sz w:val="24"/>
        </w:rPr>
      </w:pPr>
      <w:bookmarkStart w:id="1" w:name="ISSN"/>
      <w:bookmarkEnd w:id="1"/>
      <w:r>
        <w:rPr>
          <w:b/>
          <w:sz w:val="24"/>
        </w:rPr>
        <w:t>ISBN</w:t>
      </w:r>
      <w:r>
        <w:rPr>
          <w:b/>
          <w:sz w:val="24"/>
        </w:rPr>
        <w:tab/>
      </w:r>
      <w:r w:rsidR="0088768F" w:rsidRPr="0088768F">
        <w:rPr>
          <w:b/>
          <w:sz w:val="24"/>
        </w:rPr>
        <w:t>978-1-74037-451-4</w:t>
      </w:r>
    </w:p>
    <w:p w:rsidR="003E7802" w:rsidRPr="00F4234E" w:rsidRDefault="003E7802" w:rsidP="00F4234E">
      <w:pPr>
        <w:pStyle w:val="BodyText"/>
      </w:pPr>
      <w:r w:rsidRPr="00F4234E">
        <w:t>This work is copyright. Apart from any use as permitted under the</w:t>
      </w:r>
      <w:r w:rsidR="00766DFB">
        <w:rPr>
          <w:i/>
        </w:rPr>
        <w:t xml:space="preserve"> Copyright Act </w:t>
      </w:r>
      <w:r w:rsidRPr="00F4234E">
        <w:rPr>
          <w:i/>
        </w:rPr>
        <w:t>1968</w:t>
      </w:r>
      <w:r w:rsidRPr="00F4234E">
        <w:t xml:space="preserve">, the work may be reproduced in whole or in part for study or training purposes, subject to the inclusion of an acknowledgment of the source. Reproduction for commercial use or sale requires prior written permission from the </w:t>
      </w:r>
      <w:r w:rsidR="009B12EF" w:rsidRPr="00F4234E">
        <w:t>Productivity Commission</w:t>
      </w:r>
      <w:r w:rsidRPr="00F4234E">
        <w:t xml:space="preserve">. Requests and inquiries concerning reproduction and rights should be addressed to </w:t>
      </w:r>
      <w:r w:rsidR="009B12EF" w:rsidRPr="00F4234E">
        <w:t>Media and Publications (see below)</w:t>
      </w:r>
      <w:r w:rsidR="00734127" w:rsidRPr="00F4234E">
        <w:t>.</w:t>
      </w:r>
    </w:p>
    <w:p w:rsidR="003E7802" w:rsidRPr="00F4234E" w:rsidRDefault="003E7802" w:rsidP="00F4234E">
      <w:pPr>
        <w:pStyle w:val="BodyText"/>
        <w:rPr>
          <w:i/>
        </w:rPr>
      </w:pPr>
      <w:r w:rsidRPr="00F4234E">
        <w:rPr>
          <w:i/>
        </w:rPr>
        <w:t>This publication is available from the Productivity Commission website at www.pc.gov.au. If you require part or all of this publication in a different format, please contact Me</w:t>
      </w:r>
      <w:r w:rsidR="00734127" w:rsidRPr="00F4234E">
        <w:rPr>
          <w:i/>
        </w:rPr>
        <w:t>dia and Publications.</w:t>
      </w:r>
    </w:p>
    <w:p w:rsidR="003E7802" w:rsidRDefault="00B74A85" w:rsidP="003E7802">
      <w:pPr>
        <w:pStyle w:val="BodyText"/>
        <w:spacing w:before="320"/>
        <w:rPr>
          <w:b/>
          <w:sz w:val="24"/>
        </w:rPr>
      </w:pPr>
      <w:r>
        <w:rPr>
          <w:b/>
          <w:sz w:val="24"/>
        </w:rPr>
        <w:t>Publications e</w:t>
      </w:r>
      <w:r w:rsidR="003E7802">
        <w:rPr>
          <w:b/>
          <w:sz w:val="24"/>
        </w:rPr>
        <w:t>nquiries:</w:t>
      </w:r>
    </w:p>
    <w:p w:rsidR="003E7802" w:rsidRDefault="003E7802" w:rsidP="003E7802">
      <w:pPr>
        <w:pStyle w:val="BodyText"/>
        <w:spacing w:before="0" w:line="240" w:lineRule="auto"/>
        <w:rPr>
          <w:sz w:val="24"/>
        </w:rPr>
      </w:pPr>
      <w:r>
        <w:rPr>
          <w:sz w:val="24"/>
        </w:rPr>
        <w:t xml:space="preserve">Media and </w:t>
      </w:r>
      <w:r w:rsidRPr="00FD4728">
        <w:rPr>
          <w:snapToGrid w:val="0"/>
          <w:sz w:val="24"/>
        </w:rPr>
        <w:t>Publications</w:t>
      </w:r>
    </w:p>
    <w:p w:rsidR="003E7802" w:rsidRDefault="003E7802" w:rsidP="003E7802">
      <w:pPr>
        <w:pStyle w:val="BodyText"/>
        <w:spacing w:before="0" w:line="240" w:lineRule="auto"/>
        <w:rPr>
          <w:sz w:val="24"/>
        </w:rPr>
      </w:pPr>
      <w:r>
        <w:rPr>
          <w:sz w:val="24"/>
        </w:rPr>
        <w:t xml:space="preserve">Productivity </w:t>
      </w:r>
      <w:r w:rsidRPr="00FD4728">
        <w:rPr>
          <w:snapToGrid w:val="0"/>
          <w:sz w:val="24"/>
        </w:rPr>
        <w:t>Commission</w:t>
      </w:r>
    </w:p>
    <w:p w:rsidR="003E7802" w:rsidRDefault="003E7802" w:rsidP="003E7802">
      <w:pPr>
        <w:pStyle w:val="BodyText"/>
        <w:spacing w:before="0" w:line="240" w:lineRule="auto"/>
        <w:rPr>
          <w:sz w:val="24"/>
        </w:rPr>
      </w:pPr>
      <w:r>
        <w:rPr>
          <w:sz w:val="24"/>
        </w:rPr>
        <w:t xml:space="preserve">Locked Bag </w:t>
      </w:r>
      <w:smartTag w:uri="urn:schemas-microsoft-com:office:smarttags" w:element="Street">
        <w:smartTag w:uri="urn:schemas-microsoft-com:office:smarttags" w:element="address">
          <w:r>
            <w:rPr>
              <w:sz w:val="24"/>
            </w:rPr>
            <w:t xml:space="preserve">2 Collins </w:t>
          </w:r>
          <w:r w:rsidRPr="00FD4728">
            <w:rPr>
              <w:snapToGrid w:val="0"/>
              <w:sz w:val="24"/>
            </w:rPr>
            <w:t>Street</w:t>
          </w:r>
          <w:r>
            <w:rPr>
              <w:sz w:val="24"/>
            </w:rPr>
            <w:t xml:space="preserve"> East</w:t>
          </w:r>
        </w:smartTag>
      </w:smartTag>
    </w:p>
    <w:p w:rsidR="003E7802" w:rsidRDefault="003E7802" w:rsidP="003E7802">
      <w:pPr>
        <w:pStyle w:val="BodyText"/>
        <w:spacing w:before="0" w:after="120" w:line="240" w:lineRule="auto"/>
        <w:rPr>
          <w:sz w:val="24"/>
        </w:rPr>
      </w:pPr>
      <w:smartTag w:uri="urn:schemas-microsoft-com:office:smarttags" w:element="City">
        <w:smartTag w:uri="urn:schemas-microsoft-com:office:smarttags" w:element="place">
          <w:r>
            <w:rPr>
              <w:sz w:val="24"/>
            </w:rPr>
            <w:t>Melbourne</w:t>
          </w:r>
        </w:smartTag>
      </w:smartTag>
      <w:r>
        <w:rPr>
          <w:sz w:val="24"/>
        </w:rPr>
        <w:t xml:space="preserve">    VIC    </w:t>
      </w:r>
      <w:r w:rsidRPr="00FD4728">
        <w:rPr>
          <w:snapToGrid w:val="0"/>
          <w:sz w:val="24"/>
        </w:rPr>
        <w:t>8003</w:t>
      </w:r>
    </w:p>
    <w:p w:rsidR="003E7802" w:rsidRPr="00FD4728" w:rsidRDefault="003E7802" w:rsidP="003E7802">
      <w:pPr>
        <w:pStyle w:val="BodyText"/>
        <w:tabs>
          <w:tab w:val="left" w:pos="1134"/>
        </w:tabs>
        <w:spacing w:before="0" w:line="240" w:lineRule="auto"/>
        <w:rPr>
          <w:sz w:val="24"/>
          <w:szCs w:val="24"/>
        </w:rPr>
      </w:pPr>
      <w:r w:rsidRPr="00FD4728">
        <w:rPr>
          <w:sz w:val="24"/>
          <w:szCs w:val="24"/>
        </w:rPr>
        <w:t>Tel:</w:t>
      </w:r>
      <w:r w:rsidRPr="00FD4728">
        <w:rPr>
          <w:sz w:val="24"/>
          <w:szCs w:val="24"/>
        </w:rPr>
        <w:tab/>
        <w:t>(03) 9653 2244</w:t>
      </w:r>
    </w:p>
    <w:p w:rsidR="003E7802" w:rsidRDefault="003E7802" w:rsidP="003E7802">
      <w:pPr>
        <w:pStyle w:val="BodyText"/>
        <w:tabs>
          <w:tab w:val="left" w:pos="1134"/>
        </w:tabs>
        <w:spacing w:before="0" w:line="240" w:lineRule="auto"/>
        <w:jc w:val="left"/>
      </w:pPr>
      <w:r w:rsidRPr="00FD4728">
        <w:rPr>
          <w:sz w:val="24"/>
          <w:szCs w:val="24"/>
        </w:rPr>
        <w:t>Fax:</w:t>
      </w:r>
      <w:r w:rsidRPr="00FD4728">
        <w:rPr>
          <w:sz w:val="24"/>
          <w:szCs w:val="24"/>
        </w:rPr>
        <w:tab/>
        <w:t>(03) 9653 2303</w:t>
      </w:r>
      <w:r w:rsidRPr="00FD4728">
        <w:rPr>
          <w:sz w:val="24"/>
          <w:szCs w:val="24"/>
        </w:rPr>
        <w:br/>
      </w:r>
      <w:r w:rsidRPr="008F04C9">
        <w:rPr>
          <w:sz w:val="24"/>
          <w:szCs w:val="24"/>
        </w:rPr>
        <w:t>Email:</w:t>
      </w:r>
      <w:r w:rsidRPr="008F04C9">
        <w:rPr>
          <w:sz w:val="24"/>
          <w:szCs w:val="24"/>
        </w:rPr>
        <w:tab/>
      </w:r>
      <w:proofErr w:type="spellStart"/>
      <w:r w:rsidRPr="008F04C9">
        <w:rPr>
          <w:sz w:val="24"/>
          <w:szCs w:val="24"/>
        </w:rPr>
        <w:t>maps@pc.gov.au</w:t>
      </w:r>
      <w:proofErr w:type="spellEnd"/>
    </w:p>
    <w:p w:rsidR="003E7802" w:rsidRDefault="003E7802" w:rsidP="003E7802">
      <w:pPr>
        <w:pStyle w:val="BodyText"/>
        <w:spacing w:before="320"/>
        <w:rPr>
          <w:b/>
          <w:sz w:val="24"/>
        </w:rPr>
      </w:pPr>
      <w:r>
        <w:rPr>
          <w:b/>
          <w:sz w:val="24"/>
        </w:rPr>
        <w:t xml:space="preserve">General </w:t>
      </w:r>
      <w:r w:rsidR="00B74A85">
        <w:rPr>
          <w:b/>
          <w:sz w:val="24"/>
        </w:rPr>
        <w:t>e</w:t>
      </w:r>
      <w:r>
        <w:rPr>
          <w:b/>
          <w:sz w:val="24"/>
        </w:rPr>
        <w:t>nquiries:</w:t>
      </w:r>
    </w:p>
    <w:p w:rsidR="003E7802" w:rsidRPr="008F04C9" w:rsidRDefault="003E7802" w:rsidP="003E7802">
      <w:pPr>
        <w:pStyle w:val="BodyText"/>
        <w:tabs>
          <w:tab w:val="left" w:pos="1134"/>
        </w:tabs>
        <w:spacing w:before="0" w:line="240" w:lineRule="auto"/>
        <w:rPr>
          <w:sz w:val="24"/>
          <w:szCs w:val="24"/>
        </w:rPr>
      </w:pPr>
      <w:r w:rsidRPr="008F04C9">
        <w:rPr>
          <w:sz w:val="24"/>
          <w:szCs w:val="24"/>
        </w:rPr>
        <w:t>Tel:</w:t>
      </w:r>
      <w:r w:rsidRPr="008F04C9">
        <w:rPr>
          <w:sz w:val="24"/>
          <w:szCs w:val="24"/>
        </w:rPr>
        <w:tab/>
        <w:t>(03) 9653 2100 or (02) 6240 3200</w:t>
      </w:r>
    </w:p>
    <w:p w:rsidR="003E7802" w:rsidRPr="008F04C9" w:rsidRDefault="003E7802" w:rsidP="003E7802">
      <w:pPr>
        <w:pStyle w:val="BodyText"/>
        <w:spacing w:before="360" w:line="240" w:lineRule="auto"/>
        <w:rPr>
          <w:b/>
          <w:sz w:val="24"/>
          <w:szCs w:val="24"/>
        </w:rPr>
      </w:pPr>
      <w:r w:rsidRPr="008F04C9">
        <w:rPr>
          <w:b/>
          <w:sz w:val="24"/>
          <w:szCs w:val="24"/>
        </w:rPr>
        <w:t>An appropriate citation for this paper is:</w:t>
      </w:r>
    </w:p>
    <w:p w:rsidR="00935ABF" w:rsidRPr="00A95936" w:rsidRDefault="00935ABF" w:rsidP="00935ABF">
      <w:pPr>
        <w:pStyle w:val="BodyText"/>
        <w:spacing w:before="160" w:after="120" w:line="240" w:lineRule="auto"/>
        <w:rPr>
          <w:sz w:val="24"/>
          <w:szCs w:val="24"/>
        </w:rPr>
      </w:pPr>
      <w:bookmarkStart w:id="2" w:name="JEL"/>
      <w:bookmarkEnd w:id="2"/>
      <w:r>
        <w:rPr>
          <w:sz w:val="24"/>
          <w:szCs w:val="24"/>
        </w:rPr>
        <w:t>Parham, D. 201</w:t>
      </w:r>
      <w:r w:rsidR="000E7665">
        <w:rPr>
          <w:sz w:val="24"/>
          <w:szCs w:val="24"/>
        </w:rPr>
        <w:t>3</w:t>
      </w:r>
      <w:r>
        <w:rPr>
          <w:sz w:val="24"/>
          <w:szCs w:val="24"/>
        </w:rPr>
        <w:t xml:space="preserve">, </w:t>
      </w:r>
      <w:r w:rsidRPr="00935ABF">
        <w:rPr>
          <w:i/>
          <w:sz w:val="24"/>
          <w:szCs w:val="24"/>
        </w:rPr>
        <w:t xml:space="preserve">Labour's </w:t>
      </w:r>
      <w:r w:rsidR="0088768F">
        <w:rPr>
          <w:i/>
          <w:sz w:val="24"/>
          <w:szCs w:val="24"/>
        </w:rPr>
        <w:t>S</w:t>
      </w:r>
      <w:r w:rsidRPr="00935ABF">
        <w:rPr>
          <w:i/>
          <w:sz w:val="24"/>
          <w:szCs w:val="24"/>
        </w:rPr>
        <w:t xml:space="preserve">hare of </w:t>
      </w:r>
      <w:r w:rsidR="0088768F">
        <w:rPr>
          <w:i/>
          <w:sz w:val="24"/>
          <w:szCs w:val="24"/>
        </w:rPr>
        <w:t>G</w:t>
      </w:r>
      <w:r w:rsidRPr="00935ABF">
        <w:rPr>
          <w:i/>
          <w:sz w:val="24"/>
          <w:szCs w:val="24"/>
        </w:rPr>
        <w:t xml:space="preserve">rowth in </w:t>
      </w:r>
      <w:r w:rsidR="0088768F">
        <w:rPr>
          <w:i/>
          <w:sz w:val="24"/>
          <w:szCs w:val="24"/>
        </w:rPr>
        <w:t>I</w:t>
      </w:r>
      <w:r w:rsidRPr="00935ABF">
        <w:rPr>
          <w:i/>
          <w:sz w:val="24"/>
          <w:szCs w:val="24"/>
        </w:rPr>
        <w:t xml:space="preserve">ncome and </w:t>
      </w:r>
      <w:r w:rsidR="0088768F">
        <w:rPr>
          <w:i/>
          <w:sz w:val="24"/>
          <w:szCs w:val="24"/>
        </w:rPr>
        <w:t>P</w:t>
      </w:r>
      <w:r w:rsidRPr="00935ABF">
        <w:rPr>
          <w:i/>
          <w:sz w:val="24"/>
          <w:szCs w:val="24"/>
        </w:rPr>
        <w:t>rosperity</w:t>
      </w:r>
      <w:r>
        <w:rPr>
          <w:sz w:val="24"/>
          <w:szCs w:val="24"/>
        </w:rPr>
        <w:t>, Visiting Researcher Paper, Productivity Commission, Canberra.</w:t>
      </w:r>
    </w:p>
    <w:p w:rsidR="008E315F" w:rsidRPr="00507F3C" w:rsidRDefault="008E315F">
      <w:pPr>
        <w:pStyle w:val="BodyText"/>
        <w:spacing w:before="160" w:after="120" w:line="240" w:lineRule="auto"/>
        <w:rPr>
          <w:sz w:val="20"/>
        </w:rPr>
      </w:pPr>
      <w:proofErr w:type="spellStart"/>
      <w:r w:rsidRPr="00507F3C">
        <w:rPr>
          <w:sz w:val="20"/>
        </w:rPr>
        <w:t>JEL</w:t>
      </w:r>
      <w:proofErr w:type="spellEnd"/>
      <w:r w:rsidRPr="00507F3C">
        <w:rPr>
          <w:sz w:val="20"/>
        </w:rPr>
        <w:t xml:space="preserve"> code</w:t>
      </w:r>
      <w:r w:rsidR="00935ABF">
        <w:rPr>
          <w:sz w:val="20"/>
        </w:rPr>
        <w:t>: D</w:t>
      </w:r>
    </w:p>
    <w:p w:rsidR="003E7802" w:rsidRPr="00DC75C7" w:rsidRDefault="003E7802" w:rsidP="00F4234E">
      <w:pPr>
        <w:pStyle w:val="PCBoxHeading"/>
      </w:pPr>
      <w:r w:rsidRPr="00DC75C7">
        <w:t>The Productivity Commission</w:t>
      </w:r>
    </w:p>
    <w:p w:rsidR="003E7802" w:rsidRPr="00BB5DCF" w:rsidRDefault="003E7802" w:rsidP="00F4234E">
      <w:pPr>
        <w:pStyle w:val="PCBoxtext"/>
      </w:pPr>
      <w:r w:rsidRPr="00BB5DCF">
        <w:t>The Productivity Commission is the Australian Government’s independent research and advisory body on a range of economic, social and environmental issues affecting the welfare of Australians. Its role, expressed most simply, is to help governments make better policies, in the long term interest of the Australian community.</w:t>
      </w:r>
    </w:p>
    <w:p w:rsidR="003E7802" w:rsidRPr="00BB5DCF" w:rsidRDefault="003E7802" w:rsidP="00F4234E">
      <w:pPr>
        <w:pStyle w:val="PCBoxtext"/>
      </w:pPr>
      <w:r w:rsidRPr="00BB5DCF">
        <w:t>The Commission’s independence is underpinned by an Act of Parliament. Its processes and outputs are open to public scrutiny and are driven by concern for the wellbeing of the community as a whole.</w:t>
      </w:r>
    </w:p>
    <w:p w:rsidR="00735FEA" w:rsidRPr="00BB5DCF" w:rsidRDefault="003E7802" w:rsidP="003E7802">
      <w:pPr>
        <w:pStyle w:val="BodyText"/>
        <w:pBdr>
          <w:top w:val="single" w:sz="4" w:space="5" w:color="auto"/>
          <w:left w:val="single" w:sz="4" w:space="8" w:color="auto"/>
          <w:bottom w:val="single" w:sz="4" w:space="14" w:color="auto"/>
          <w:right w:val="single" w:sz="4" w:space="8" w:color="auto"/>
        </w:pBdr>
        <w:spacing w:before="160" w:line="240" w:lineRule="auto"/>
        <w:ind w:left="284" w:right="284"/>
        <w:rPr>
          <w:sz w:val="24"/>
          <w:szCs w:val="24"/>
        </w:rPr>
      </w:pPr>
      <w:r w:rsidRPr="00BB5DCF">
        <w:rPr>
          <w:sz w:val="24"/>
          <w:szCs w:val="24"/>
        </w:rPr>
        <w:t xml:space="preserve">Further information on the Productivity Commission can be obtained from the Commission’s website (www.pc.gov.au) or by contacting Media and Publications on (03) 9653 2244 or email: </w:t>
      </w:r>
      <w:proofErr w:type="spellStart"/>
      <w:r w:rsidRPr="00BB5DCF">
        <w:rPr>
          <w:sz w:val="24"/>
          <w:szCs w:val="24"/>
        </w:rPr>
        <w:t>maps@pc.gov.au</w:t>
      </w:r>
      <w:proofErr w:type="spellEnd"/>
    </w:p>
    <w:p w:rsidR="00735FEA" w:rsidRDefault="00735FEA">
      <w:pPr>
        <w:pStyle w:val="BodyText"/>
        <w:sectPr w:rsidR="00735FEA" w:rsidSect="008F7C50">
          <w:type w:val="oddPage"/>
          <w:pgSz w:w="11907" w:h="16840" w:code="9"/>
          <w:pgMar w:top="1418" w:right="1304" w:bottom="567" w:left="1814" w:header="1701" w:footer="567" w:gutter="0"/>
          <w:pgNumType w:fmt="lowerRoman" w:start="1"/>
          <w:cols w:space="720"/>
          <w:titlePg/>
        </w:sectPr>
      </w:pPr>
      <w:bookmarkStart w:id="3" w:name="cov"/>
      <w:bookmarkEnd w:id="3"/>
    </w:p>
    <w:p w:rsidR="00C36524" w:rsidRDefault="00735FEA" w:rsidP="008206EE">
      <w:pPr>
        <w:pStyle w:val="Heading1NotTOC"/>
        <w:rPr>
          <w:noProof/>
        </w:rPr>
      </w:pPr>
      <w:bookmarkStart w:id="4" w:name="Contents"/>
      <w:bookmarkEnd w:id="4"/>
      <w:r w:rsidRPr="00B153C3">
        <w:lastRenderedPageBreak/>
        <w:t>Contents</w:t>
      </w:r>
      <w:bookmarkStart w:id="5" w:name="InsertContents"/>
      <w:bookmarkEnd w:id="5"/>
      <w:r w:rsidR="00935ABF">
        <w:fldChar w:fldCharType="begin"/>
      </w:r>
      <w:r w:rsidR="00935ABF">
        <w:instrText xml:space="preserve"> TOC \t "Part Title,1,Heading 1,1,chapter,1,Heading 2,2,2,3,3,Heading 2,3" </w:instrText>
      </w:r>
      <w:r w:rsidR="00935ABF">
        <w:fldChar w:fldCharType="separate"/>
      </w:r>
    </w:p>
    <w:p w:rsidR="00C36524" w:rsidRDefault="00C36524">
      <w:pPr>
        <w:pStyle w:val="TOC1"/>
        <w:rPr>
          <w:rFonts w:asciiTheme="minorHAnsi" w:eastAsiaTheme="minorEastAsia" w:hAnsiTheme="minorHAnsi" w:cstheme="minorBidi"/>
          <w:b w:val="0"/>
          <w:noProof/>
          <w:sz w:val="22"/>
          <w:szCs w:val="22"/>
          <w:lang w:eastAsia="en-AU"/>
        </w:rPr>
      </w:pPr>
      <w:r>
        <w:rPr>
          <w:noProof/>
        </w:rPr>
        <w:t>Visiting Researcher papers</w:t>
      </w:r>
      <w:r>
        <w:rPr>
          <w:noProof/>
        </w:rPr>
        <w:tab/>
      </w:r>
      <w:r>
        <w:rPr>
          <w:noProof/>
        </w:rPr>
        <w:fldChar w:fldCharType="begin"/>
      </w:r>
      <w:r>
        <w:rPr>
          <w:noProof/>
        </w:rPr>
        <w:instrText xml:space="preserve"> PAGEREF _Toc367362448 \h </w:instrText>
      </w:r>
      <w:r>
        <w:rPr>
          <w:noProof/>
        </w:rPr>
      </w:r>
      <w:r>
        <w:rPr>
          <w:noProof/>
        </w:rPr>
        <w:fldChar w:fldCharType="separate"/>
      </w:r>
      <w:r w:rsidR="00ED57E2">
        <w:rPr>
          <w:noProof/>
        </w:rPr>
        <w:t>viii</w:t>
      </w:r>
      <w:r>
        <w:rPr>
          <w:noProof/>
        </w:rPr>
        <w:fldChar w:fldCharType="end"/>
      </w:r>
    </w:p>
    <w:p w:rsidR="00C36524" w:rsidRDefault="00C36524">
      <w:pPr>
        <w:pStyle w:val="TOC1"/>
        <w:rPr>
          <w:rFonts w:asciiTheme="minorHAnsi" w:eastAsiaTheme="minorEastAsia" w:hAnsiTheme="minorHAnsi" w:cstheme="minorBidi"/>
          <w:b w:val="0"/>
          <w:noProof/>
          <w:sz w:val="22"/>
          <w:szCs w:val="22"/>
          <w:lang w:eastAsia="en-AU"/>
        </w:rPr>
      </w:pPr>
      <w:r>
        <w:rPr>
          <w:noProof/>
        </w:rPr>
        <w:t>Preface</w:t>
      </w:r>
      <w:r>
        <w:rPr>
          <w:noProof/>
        </w:rPr>
        <w:tab/>
      </w:r>
      <w:r>
        <w:rPr>
          <w:noProof/>
        </w:rPr>
        <w:fldChar w:fldCharType="begin"/>
      </w:r>
      <w:r>
        <w:rPr>
          <w:noProof/>
        </w:rPr>
        <w:instrText xml:space="preserve"> PAGEREF _Toc367362449 \h </w:instrText>
      </w:r>
      <w:r>
        <w:rPr>
          <w:noProof/>
        </w:rPr>
      </w:r>
      <w:r>
        <w:rPr>
          <w:noProof/>
        </w:rPr>
        <w:fldChar w:fldCharType="separate"/>
      </w:r>
      <w:r w:rsidR="00ED57E2">
        <w:rPr>
          <w:noProof/>
        </w:rPr>
        <w:t>ix</w:t>
      </w:r>
      <w:r>
        <w:rPr>
          <w:noProof/>
        </w:rPr>
        <w:fldChar w:fldCharType="end"/>
      </w:r>
    </w:p>
    <w:p w:rsidR="00C36524" w:rsidRDefault="00C36524">
      <w:pPr>
        <w:pStyle w:val="TOC1"/>
        <w:rPr>
          <w:rFonts w:asciiTheme="minorHAnsi" w:eastAsiaTheme="minorEastAsia" w:hAnsiTheme="minorHAnsi" w:cstheme="minorBidi"/>
          <w:b w:val="0"/>
          <w:noProof/>
          <w:sz w:val="22"/>
          <w:szCs w:val="22"/>
          <w:lang w:eastAsia="en-AU"/>
        </w:rPr>
      </w:pPr>
      <w:r>
        <w:rPr>
          <w:noProof/>
        </w:rPr>
        <w:t>Key point</w:t>
      </w:r>
      <w:r w:rsidR="001D18C1">
        <w:rPr>
          <w:noProof/>
        </w:rPr>
        <w:t>s</w:t>
      </w:r>
      <w:r>
        <w:rPr>
          <w:noProof/>
        </w:rPr>
        <w:tab/>
        <w:t>2</w:t>
      </w:r>
    </w:p>
    <w:p w:rsidR="00C36524" w:rsidRDefault="00C36524">
      <w:pPr>
        <w:pStyle w:val="TOC1"/>
        <w:rPr>
          <w:rFonts w:asciiTheme="minorHAnsi" w:eastAsiaTheme="minorEastAsia" w:hAnsiTheme="minorHAnsi" w:cstheme="minorBidi"/>
          <w:b w:val="0"/>
          <w:noProof/>
          <w:sz w:val="22"/>
          <w:szCs w:val="22"/>
          <w:lang w:eastAsia="en-AU"/>
        </w:rPr>
      </w:pPr>
      <w:r>
        <w:rPr>
          <w:noProof/>
        </w:rPr>
        <w:t>Overview</w:t>
      </w:r>
      <w:r>
        <w:rPr>
          <w:noProof/>
        </w:rPr>
        <w:tab/>
        <w:t>3</w:t>
      </w:r>
    </w:p>
    <w:p w:rsidR="00C36524" w:rsidRDefault="00C36524">
      <w:pPr>
        <w:pStyle w:val="TOC1"/>
        <w:rPr>
          <w:rFonts w:asciiTheme="minorHAnsi" w:eastAsiaTheme="minorEastAsia" w:hAnsiTheme="minorHAnsi" w:cstheme="minorBidi"/>
          <w:b w:val="0"/>
          <w:noProof/>
          <w:sz w:val="22"/>
          <w:szCs w:val="22"/>
          <w:lang w:eastAsia="en-AU"/>
        </w:rPr>
      </w:pPr>
      <w:r>
        <w:rPr>
          <w:noProof/>
        </w:rPr>
        <w:t>1</w:t>
      </w:r>
      <w:r>
        <w:rPr>
          <w:rFonts w:asciiTheme="minorHAnsi" w:eastAsiaTheme="minorEastAsia" w:hAnsiTheme="minorHAnsi" w:cstheme="minorBidi"/>
          <w:b w:val="0"/>
          <w:noProof/>
          <w:sz w:val="22"/>
          <w:szCs w:val="22"/>
          <w:lang w:eastAsia="en-AU"/>
        </w:rPr>
        <w:tab/>
      </w:r>
      <w:r>
        <w:rPr>
          <w:noProof/>
        </w:rPr>
        <w:t>Introduction</w:t>
      </w:r>
      <w:r>
        <w:rPr>
          <w:noProof/>
        </w:rPr>
        <w:tab/>
        <w:t>21</w:t>
      </w:r>
    </w:p>
    <w:p w:rsidR="00C36524" w:rsidRDefault="00C36524">
      <w:pPr>
        <w:pStyle w:val="TOC2"/>
        <w:tabs>
          <w:tab w:val="left" w:pos="1190"/>
        </w:tabs>
        <w:rPr>
          <w:rFonts w:asciiTheme="minorHAnsi" w:eastAsiaTheme="minorEastAsia" w:hAnsiTheme="minorHAnsi" w:cstheme="minorBidi"/>
          <w:noProof/>
          <w:sz w:val="22"/>
          <w:szCs w:val="22"/>
          <w:lang w:eastAsia="en-AU"/>
        </w:rPr>
      </w:pPr>
      <w:r>
        <w:rPr>
          <w:noProof/>
        </w:rPr>
        <w:t>1.1</w:t>
      </w:r>
      <w:r>
        <w:rPr>
          <w:rFonts w:asciiTheme="minorHAnsi" w:eastAsiaTheme="minorEastAsia" w:hAnsiTheme="minorHAnsi" w:cstheme="minorBidi"/>
          <w:noProof/>
          <w:sz w:val="22"/>
          <w:szCs w:val="22"/>
          <w:lang w:eastAsia="en-AU"/>
        </w:rPr>
        <w:tab/>
      </w:r>
      <w:r>
        <w:rPr>
          <w:noProof/>
        </w:rPr>
        <w:t>Focus of the paper</w:t>
      </w:r>
      <w:r>
        <w:rPr>
          <w:noProof/>
        </w:rPr>
        <w:tab/>
        <w:t>21</w:t>
      </w:r>
    </w:p>
    <w:p w:rsidR="00C36524" w:rsidRDefault="00C36524">
      <w:pPr>
        <w:pStyle w:val="TOC2"/>
        <w:tabs>
          <w:tab w:val="left" w:pos="1190"/>
        </w:tabs>
        <w:rPr>
          <w:rFonts w:asciiTheme="minorHAnsi" w:eastAsiaTheme="minorEastAsia" w:hAnsiTheme="minorHAnsi" w:cstheme="minorBidi"/>
          <w:noProof/>
          <w:sz w:val="22"/>
          <w:szCs w:val="22"/>
          <w:lang w:eastAsia="en-AU"/>
        </w:rPr>
      </w:pPr>
      <w:r>
        <w:rPr>
          <w:noProof/>
        </w:rPr>
        <w:t>1.2</w:t>
      </w:r>
      <w:r>
        <w:rPr>
          <w:rFonts w:asciiTheme="minorHAnsi" w:eastAsiaTheme="minorEastAsia" w:hAnsiTheme="minorHAnsi" w:cstheme="minorBidi"/>
          <w:noProof/>
          <w:sz w:val="22"/>
          <w:szCs w:val="22"/>
          <w:lang w:eastAsia="en-AU"/>
        </w:rPr>
        <w:tab/>
      </w:r>
      <w:r>
        <w:rPr>
          <w:noProof/>
        </w:rPr>
        <w:t>Approach</w:t>
      </w:r>
      <w:r>
        <w:rPr>
          <w:noProof/>
        </w:rPr>
        <w:tab/>
        <w:t>21</w:t>
      </w:r>
    </w:p>
    <w:p w:rsidR="00C36524" w:rsidRDefault="00C36524">
      <w:pPr>
        <w:pStyle w:val="TOC2"/>
        <w:tabs>
          <w:tab w:val="left" w:pos="1190"/>
        </w:tabs>
        <w:rPr>
          <w:rFonts w:asciiTheme="minorHAnsi" w:eastAsiaTheme="minorEastAsia" w:hAnsiTheme="minorHAnsi" w:cstheme="minorBidi"/>
          <w:noProof/>
          <w:sz w:val="22"/>
          <w:szCs w:val="22"/>
          <w:lang w:eastAsia="en-AU"/>
        </w:rPr>
      </w:pPr>
      <w:r>
        <w:rPr>
          <w:noProof/>
        </w:rPr>
        <w:t>1.3</w:t>
      </w:r>
      <w:r>
        <w:rPr>
          <w:rFonts w:asciiTheme="minorHAnsi" w:eastAsiaTheme="minorEastAsia" w:hAnsiTheme="minorHAnsi" w:cstheme="minorBidi"/>
          <w:noProof/>
          <w:sz w:val="22"/>
          <w:szCs w:val="22"/>
          <w:lang w:eastAsia="en-AU"/>
        </w:rPr>
        <w:tab/>
      </w:r>
      <w:r>
        <w:rPr>
          <w:noProof/>
        </w:rPr>
        <w:t>What the paper does</w:t>
      </w:r>
      <w:r>
        <w:rPr>
          <w:noProof/>
        </w:rPr>
        <w:tab/>
        <w:t>23</w:t>
      </w:r>
    </w:p>
    <w:p w:rsidR="00C36524" w:rsidRDefault="00C36524">
      <w:pPr>
        <w:pStyle w:val="TOC1"/>
        <w:rPr>
          <w:rFonts w:asciiTheme="minorHAnsi" w:eastAsiaTheme="minorEastAsia" w:hAnsiTheme="minorHAnsi" w:cstheme="minorBidi"/>
          <w:b w:val="0"/>
          <w:noProof/>
          <w:sz w:val="22"/>
          <w:szCs w:val="22"/>
          <w:lang w:eastAsia="en-AU"/>
        </w:rPr>
      </w:pPr>
      <w:r>
        <w:rPr>
          <w:noProof/>
        </w:rPr>
        <w:t>2</w:t>
      </w:r>
      <w:r>
        <w:rPr>
          <w:rFonts w:asciiTheme="minorHAnsi" w:eastAsiaTheme="minorEastAsia" w:hAnsiTheme="minorHAnsi" w:cstheme="minorBidi"/>
          <w:b w:val="0"/>
          <w:noProof/>
          <w:sz w:val="22"/>
          <w:szCs w:val="22"/>
          <w:lang w:eastAsia="en-AU"/>
        </w:rPr>
        <w:tab/>
      </w:r>
      <w:r>
        <w:rPr>
          <w:noProof/>
        </w:rPr>
        <w:t>Income and its sources</w:t>
      </w:r>
      <w:r>
        <w:rPr>
          <w:noProof/>
        </w:rPr>
        <w:tab/>
        <w:t>25</w:t>
      </w:r>
    </w:p>
    <w:p w:rsidR="00C36524" w:rsidRDefault="00C36524">
      <w:pPr>
        <w:pStyle w:val="TOC2"/>
        <w:tabs>
          <w:tab w:val="left" w:pos="1190"/>
        </w:tabs>
        <w:rPr>
          <w:rFonts w:asciiTheme="minorHAnsi" w:eastAsiaTheme="minorEastAsia" w:hAnsiTheme="minorHAnsi" w:cstheme="minorBidi"/>
          <w:noProof/>
          <w:sz w:val="22"/>
          <w:szCs w:val="22"/>
          <w:lang w:eastAsia="en-AU"/>
        </w:rPr>
      </w:pPr>
      <w:r>
        <w:rPr>
          <w:noProof/>
        </w:rPr>
        <w:t>2.1</w:t>
      </w:r>
      <w:r>
        <w:rPr>
          <w:rFonts w:asciiTheme="minorHAnsi" w:eastAsiaTheme="minorEastAsia" w:hAnsiTheme="minorHAnsi" w:cstheme="minorBidi"/>
          <w:noProof/>
          <w:sz w:val="22"/>
          <w:szCs w:val="22"/>
          <w:lang w:eastAsia="en-AU"/>
        </w:rPr>
        <w:tab/>
      </w:r>
      <w:r>
        <w:rPr>
          <w:noProof/>
        </w:rPr>
        <w:t>Growth in output, income and prosperity</w:t>
      </w:r>
      <w:r>
        <w:rPr>
          <w:noProof/>
        </w:rPr>
        <w:tab/>
        <w:t>25</w:t>
      </w:r>
    </w:p>
    <w:p w:rsidR="00C36524" w:rsidRDefault="00C36524">
      <w:pPr>
        <w:pStyle w:val="TOC2"/>
        <w:tabs>
          <w:tab w:val="left" w:pos="1190"/>
        </w:tabs>
        <w:rPr>
          <w:rFonts w:asciiTheme="minorHAnsi" w:eastAsiaTheme="minorEastAsia" w:hAnsiTheme="minorHAnsi" w:cstheme="minorBidi"/>
          <w:noProof/>
          <w:sz w:val="22"/>
          <w:szCs w:val="22"/>
          <w:lang w:eastAsia="en-AU"/>
        </w:rPr>
      </w:pPr>
      <w:r>
        <w:rPr>
          <w:noProof/>
        </w:rPr>
        <w:t>2.2</w:t>
      </w:r>
      <w:r>
        <w:rPr>
          <w:rFonts w:asciiTheme="minorHAnsi" w:eastAsiaTheme="minorEastAsia" w:hAnsiTheme="minorHAnsi" w:cstheme="minorBidi"/>
          <w:noProof/>
          <w:sz w:val="22"/>
          <w:szCs w:val="22"/>
          <w:lang w:eastAsia="en-AU"/>
        </w:rPr>
        <w:tab/>
      </w:r>
      <w:r>
        <w:rPr>
          <w:noProof/>
        </w:rPr>
        <w:t>Sources of growth</w:t>
      </w:r>
      <w:r>
        <w:rPr>
          <w:noProof/>
        </w:rPr>
        <w:tab/>
        <w:t>27</w:t>
      </w:r>
    </w:p>
    <w:p w:rsidR="00C36524" w:rsidRDefault="00C36524">
      <w:pPr>
        <w:pStyle w:val="TOC2"/>
        <w:tabs>
          <w:tab w:val="left" w:pos="1190"/>
        </w:tabs>
        <w:rPr>
          <w:rFonts w:asciiTheme="minorHAnsi" w:eastAsiaTheme="minorEastAsia" w:hAnsiTheme="minorHAnsi" w:cstheme="minorBidi"/>
          <w:noProof/>
          <w:sz w:val="22"/>
          <w:szCs w:val="22"/>
          <w:lang w:eastAsia="en-AU"/>
        </w:rPr>
      </w:pPr>
      <w:r>
        <w:rPr>
          <w:noProof/>
        </w:rPr>
        <w:t>2.3</w:t>
      </w:r>
      <w:r>
        <w:rPr>
          <w:rFonts w:asciiTheme="minorHAnsi" w:eastAsiaTheme="minorEastAsia" w:hAnsiTheme="minorHAnsi" w:cstheme="minorBidi"/>
          <w:noProof/>
          <w:sz w:val="22"/>
          <w:szCs w:val="22"/>
          <w:lang w:eastAsia="en-AU"/>
        </w:rPr>
        <w:tab/>
      </w:r>
      <w:r>
        <w:rPr>
          <w:noProof/>
        </w:rPr>
        <w:t>Industry sources of income growth</w:t>
      </w:r>
      <w:r>
        <w:rPr>
          <w:noProof/>
        </w:rPr>
        <w:tab/>
        <w:t>32</w:t>
      </w:r>
    </w:p>
    <w:p w:rsidR="00C36524" w:rsidRDefault="00C36524">
      <w:pPr>
        <w:pStyle w:val="TOC2"/>
        <w:tabs>
          <w:tab w:val="left" w:pos="1190"/>
        </w:tabs>
        <w:rPr>
          <w:rFonts w:asciiTheme="minorHAnsi" w:eastAsiaTheme="minorEastAsia" w:hAnsiTheme="minorHAnsi" w:cstheme="minorBidi"/>
          <w:noProof/>
          <w:sz w:val="22"/>
          <w:szCs w:val="22"/>
          <w:lang w:eastAsia="en-AU"/>
        </w:rPr>
      </w:pPr>
      <w:r>
        <w:rPr>
          <w:noProof/>
        </w:rPr>
        <w:t>2.4</w:t>
      </w:r>
      <w:r>
        <w:rPr>
          <w:rFonts w:asciiTheme="minorHAnsi" w:eastAsiaTheme="minorEastAsia" w:hAnsiTheme="minorHAnsi" w:cstheme="minorBidi"/>
          <w:noProof/>
          <w:sz w:val="22"/>
          <w:szCs w:val="22"/>
          <w:lang w:eastAsia="en-AU"/>
        </w:rPr>
        <w:tab/>
      </w:r>
      <w:r>
        <w:rPr>
          <w:noProof/>
        </w:rPr>
        <w:t>Key point summary</w:t>
      </w:r>
      <w:r>
        <w:rPr>
          <w:noProof/>
        </w:rPr>
        <w:tab/>
        <w:t>36</w:t>
      </w:r>
    </w:p>
    <w:p w:rsidR="00C36524" w:rsidRDefault="00C36524">
      <w:pPr>
        <w:pStyle w:val="TOC1"/>
        <w:rPr>
          <w:rFonts w:asciiTheme="minorHAnsi" w:eastAsiaTheme="minorEastAsia" w:hAnsiTheme="minorHAnsi" w:cstheme="minorBidi"/>
          <w:b w:val="0"/>
          <w:noProof/>
          <w:sz w:val="22"/>
          <w:szCs w:val="22"/>
          <w:lang w:eastAsia="en-AU"/>
        </w:rPr>
      </w:pPr>
      <w:r>
        <w:rPr>
          <w:noProof/>
        </w:rPr>
        <w:t>3</w:t>
      </w:r>
      <w:r>
        <w:rPr>
          <w:rFonts w:asciiTheme="minorHAnsi" w:eastAsiaTheme="minorEastAsia" w:hAnsiTheme="minorHAnsi" w:cstheme="minorBidi"/>
          <w:b w:val="0"/>
          <w:noProof/>
          <w:sz w:val="22"/>
          <w:szCs w:val="22"/>
          <w:lang w:eastAsia="en-AU"/>
        </w:rPr>
        <w:tab/>
      </w:r>
      <w:r>
        <w:rPr>
          <w:noProof/>
        </w:rPr>
        <w:t>The labour share: historical and international perspectives</w:t>
      </w:r>
      <w:r>
        <w:rPr>
          <w:noProof/>
        </w:rPr>
        <w:tab/>
        <w:t>37</w:t>
      </w:r>
    </w:p>
    <w:p w:rsidR="00C36524" w:rsidRDefault="00C36524">
      <w:pPr>
        <w:pStyle w:val="TOC2"/>
        <w:tabs>
          <w:tab w:val="left" w:pos="1190"/>
        </w:tabs>
        <w:rPr>
          <w:rFonts w:asciiTheme="minorHAnsi" w:eastAsiaTheme="minorEastAsia" w:hAnsiTheme="minorHAnsi" w:cstheme="minorBidi"/>
          <w:noProof/>
          <w:sz w:val="22"/>
          <w:szCs w:val="22"/>
          <w:lang w:eastAsia="en-AU"/>
        </w:rPr>
      </w:pPr>
      <w:r>
        <w:rPr>
          <w:noProof/>
        </w:rPr>
        <w:t>3.1</w:t>
      </w:r>
      <w:r>
        <w:rPr>
          <w:rFonts w:asciiTheme="minorHAnsi" w:eastAsiaTheme="minorEastAsia" w:hAnsiTheme="minorHAnsi" w:cstheme="minorBidi"/>
          <w:noProof/>
          <w:sz w:val="22"/>
          <w:szCs w:val="22"/>
          <w:lang w:eastAsia="en-AU"/>
        </w:rPr>
        <w:tab/>
      </w:r>
      <w:r>
        <w:rPr>
          <w:noProof/>
        </w:rPr>
        <w:t>What is the labour income share?</w:t>
      </w:r>
      <w:r>
        <w:rPr>
          <w:noProof/>
        </w:rPr>
        <w:tab/>
        <w:t>37</w:t>
      </w:r>
    </w:p>
    <w:p w:rsidR="00C36524" w:rsidRDefault="00C36524">
      <w:pPr>
        <w:pStyle w:val="TOC2"/>
        <w:tabs>
          <w:tab w:val="left" w:pos="1190"/>
        </w:tabs>
        <w:rPr>
          <w:rFonts w:asciiTheme="minorHAnsi" w:eastAsiaTheme="minorEastAsia" w:hAnsiTheme="minorHAnsi" w:cstheme="minorBidi"/>
          <w:noProof/>
          <w:sz w:val="22"/>
          <w:szCs w:val="22"/>
          <w:lang w:eastAsia="en-AU"/>
        </w:rPr>
      </w:pPr>
      <w:r>
        <w:rPr>
          <w:noProof/>
        </w:rPr>
        <w:t>3.2</w:t>
      </w:r>
      <w:r>
        <w:rPr>
          <w:rFonts w:asciiTheme="minorHAnsi" w:eastAsiaTheme="minorEastAsia" w:hAnsiTheme="minorHAnsi" w:cstheme="minorBidi"/>
          <w:noProof/>
          <w:sz w:val="22"/>
          <w:szCs w:val="22"/>
          <w:lang w:eastAsia="en-AU"/>
        </w:rPr>
        <w:tab/>
      </w:r>
      <w:r>
        <w:rPr>
          <w:noProof/>
        </w:rPr>
        <w:t>Trends in the labour income share</w:t>
      </w:r>
      <w:r>
        <w:rPr>
          <w:noProof/>
        </w:rPr>
        <w:tab/>
        <w:t>39</w:t>
      </w:r>
    </w:p>
    <w:p w:rsidR="00C36524" w:rsidRDefault="00C36524">
      <w:pPr>
        <w:pStyle w:val="TOC2"/>
        <w:tabs>
          <w:tab w:val="left" w:pos="1190"/>
        </w:tabs>
        <w:rPr>
          <w:rFonts w:asciiTheme="minorHAnsi" w:eastAsiaTheme="minorEastAsia" w:hAnsiTheme="minorHAnsi" w:cstheme="minorBidi"/>
          <w:noProof/>
          <w:sz w:val="22"/>
          <w:szCs w:val="22"/>
          <w:lang w:eastAsia="en-AU"/>
        </w:rPr>
      </w:pPr>
      <w:r>
        <w:rPr>
          <w:noProof/>
        </w:rPr>
        <w:t>3.3</w:t>
      </w:r>
      <w:r>
        <w:rPr>
          <w:rFonts w:asciiTheme="minorHAnsi" w:eastAsiaTheme="minorEastAsia" w:hAnsiTheme="minorHAnsi" w:cstheme="minorBidi"/>
          <w:noProof/>
          <w:sz w:val="22"/>
          <w:szCs w:val="22"/>
          <w:lang w:eastAsia="en-AU"/>
        </w:rPr>
        <w:tab/>
      </w:r>
      <w:r>
        <w:rPr>
          <w:noProof/>
        </w:rPr>
        <w:t>An Australia–US comparison</w:t>
      </w:r>
      <w:r>
        <w:rPr>
          <w:noProof/>
        </w:rPr>
        <w:tab/>
        <w:t>45</w:t>
      </w:r>
    </w:p>
    <w:p w:rsidR="00C36524" w:rsidRDefault="00C36524">
      <w:pPr>
        <w:pStyle w:val="TOC2"/>
        <w:tabs>
          <w:tab w:val="left" w:pos="1190"/>
        </w:tabs>
        <w:rPr>
          <w:rFonts w:asciiTheme="minorHAnsi" w:eastAsiaTheme="minorEastAsia" w:hAnsiTheme="minorHAnsi" w:cstheme="minorBidi"/>
          <w:noProof/>
          <w:sz w:val="22"/>
          <w:szCs w:val="22"/>
          <w:lang w:eastAsia="en-AU"/>
        </w:rPr>
      </w:pPr>
      <w:r>
        <w:rPr>
          <w:noProof/>
        </w:rPr>
        <w:t>3.4</w:t>
      </w:r>
      <w:r>
        <w:rPr>
          <w:rFonts w:asciiTheme="minorHAnsi" w:eastAsiaTheme="minorEastAsia" w:hAnsiTheme="minorHAnsi" w:cstheme="minorBidi"/>
          <w:noProof/>
          <w:sz w:val="22"/>
          <w:szCs w:val="22"/>
          <w:lang w:eastAsia="en-AU"/>
        </w:rPr>
        <w:tab/>
      </w:r>
      <w:r>
        <w:rPr>
          <w:noProof/>
        </w:rPr>
        <w:t>Key point summary</w:t>
      </w:r>
      <w:r>
        <w:rPr>
          <w:noProof/>
        </w:rPr>
        <w:tab/>
        <w:t>49</w:t>
      </w:r>
    </w:p>
    <w:p w:rsidR="00C36524" w:rsidRDefault="00C36524">
      <w:pPr>
        <w:pStyle w:val="TOC1"/>
        <w:rPr>
          <w:rFonts w:asciiTheme="minorHAnsi" w:eastAsiaTheme="minorEastAsia" w:hAnsiTheme="minorHAnsi" w:cstheme="minorBidi"/>
          <w:b w:val="0"/>
          <w:noProof/>
          <w:sz w:val="22"/>
          <w:szCs w:val="22"/>
          <w:lang w:eastAsia="en-AU"/>
        </w:rPr>
      </w:pPr>
      <w:r>
        <w:rPr>
          <w:noProof/>
        </w:rPr>
        <w:t>4</w:t>
      </w:r>
      <w:r>
        <w:rPr>
          <w:rFonts w:asciiTheme="minorHAnsi" w:eastAsiaTheme="minorEastAsia" w:hAnsiTheme="minorHAnsi" w:cstheme="minorBidi"/>
          <w:b w:val="0"/>
          <w:noProof/>
          <w:sz w:val="22"/>
          <w:szCs w:val="22"/>
          <w:lang w:eastAsia="en-AU"/>
        </w:rPr>
        <w:tab/>
      </w:r>
      <w:r>
        <w:rPr>
          <w:noProof/>
        </w:rPr>
        <w:t>The labour share: aggregate perspective</w:t>
      </w:r>
      <w:r>
        <w:rPr>
          <w:noProof/>
        </w:rPr>
        <w:tab/>
        <w:t>51</w:t>
      </w:r>
    </w:p>
    <w:p w:rsidR="00C36524" w:rsidRDefault="00C36524">
      <w:pPr>
        <w:pStyle w:val="TOC2"/>
        <w:tabs>
          <w:tab w:val="left" w:pos="1190"/>
        </w:tabs>
        <w:rPr>
          <w:rFonts w:asciiTheme="minorHAnsi" w:eastAsiaTheme="minorEastAsia" w:hAnsiTheme="minorHAnsi" w:cstheme="minorBidi"/>
          <w:noProof/>
          <w:sz w:val="22"/>
          <w:szCs w:val="22"/>
          <w:lang w:eastAsia="en-AU"/>
        </w:rPr>
      </w:pPr>
      <w:r>
        <w:rPr>
          <w:noProof/>
        </w:rPr>
        <w:t>4.1</w:t>
      </w:r>
      <w:r>
        <w:rPr>
          <w:rFonts w:asciiTheme="minorHAnsi" w:eastAsiaTheme="minorEastAsia" w:hAnsiTheme="minorHAnsi" w:cstheme="minorBidi"/>
          <w:noProof/>
          <w:sz w:val="22"/>
          <w:szCs w:val="22"/>
          <w:lang w:eastAsia="en-AU"/>
        </w:rPr>
        <w:tab/>
      </w:r>
      <w:r>
        <w:rPr>
          <w:noProof/>
        </w:rPr>
        <w:t>The labour income share in the market sector</w:t>
      </w:r>
      <w:r>
        <w:rPr>
          <w:noProof/>
        </w:rPr>
        <w:tab/>
        <w:t>51</w:t>
      </w:r>
    </w:p>
    <w:p w:rsidR="00C36524" w:rsidRDefault="00C36524">
      <w:pPr>
        <w:pStyle w:val="TOC2"/>
        <w:tabs>
          <w:tab w:val="left" w:pos="1190"/>
        </w:tabs>
        <w:rPr>
          <w:rFonts w:asciiTheme="minorHAnsi" w:eastAsiaTheme="minorEastAsia" w:hAnsiTheme="minorHAnsi" w:cstheme="minorBidi"/>
          <w:noProof/>
          <w:sz w:val="22"/>
          <w:szCs w:val="22"/>
          <w:lang w:eastAsia="en-AU"/>
        </w:rPr>
      </w:pPr>
      <w:r>
        <w:rPr>
          <w:noProof/>
        </w:rPr>
        <w:t>4.2</w:t>
      </w:r>
      <w:r>
        <w:rPr>
          <w:rFonts w:asciiTheme="minorHAnsi" w:eastAsiaTheme="minorEastAsia" w:hAnsiTheme="minorHAnsi" w:cstheme="minorBidi"/>
          <w:noProof/>
          <w:sz w:val="22"/>
          <w:szCs w:val="22"/>
          <w:lang w:eastAsia="en-AU"/>
        </w:rPr>
        <w:tab/>
      </w:r>
      <w:r>
        <w:rPr>
          <w:noProof/>
        </w:rPr>
        <w:t>Relative growth in capital and labour income</w:t>
      </w:r>
      <w:r>
        <w:rPr>
          <w:noProof/>
        </w:rPr>
        <w:tab/>
        <w:t>53</w:t>
      </w:r>
    </w:p>
    <w:p w:rsidR="00C36524" w:rsidRDefault="00C36524">
      <w:pPr>
        <w:pStyle w:val="TOC2"/>
        <w:tabs>
          <w:tab w:val="left" w:pos="1190"/>
        </w:tabs>
        <w:rPr>
          <w:rFonts w:asciiTheme="minorHAnsi" w:eastAsiaTheme="minorEastAsia" w:hAnsiTheme="minorHAnsi" w:cstheme="minorBidi"/>
          <w:noProof/>
          <w:sz w:val="22"/>
          <w:szCs w:val="22"/>
          <w:lang w:eastAsia="en-AU"/>
        </w:rPr>
      </w:pPr>
      <w:r>
        <w:rPr>
          <w:noProof/>
        </w:rPr>
        <w:t>4.3</w:t>
      </w:r>
      <w:r>
        <w:rPr>
          <w:rFonts w:asciiTheme="minorHAnsi" w:eastAsiaTheme="minorEastAsia" w:hAnsiTheme="minorHAnsi" w:cstheme="minorBidi"/>
          <w:noProof/>
          <w:sz w:val="22"/>
          <w:szCs w:val="22"/>
          <w:lang w:eastAsia="en-AU"/>
        </w:rPr>
        <w:tab/>
      </w:r>
      <w:r>
        <w:rPr>
          <w:noProof/>
        </w:rPr>
        <w:t>Factor proportions and relative rewards</w:t>
      </w:r>
      <w:r>
        <w:rPr>
          <w:noProof/>
        </w:rPr>
        <w:tab/>
        <w:t>55</w:t>
      </w:r>
    </w:p>
    <w:p w:rsidR="00C36524" w:rsidRDefault="00C36524">
      <w:pPr>
        <w:pStyle w:val="TOC2"/>
        <w:tabs>
          <w:tab w:val="left" w:pos="1190"/>
        </w:tabs>
        <w:rPr>
          <w:rFonts w:asciiTheme="minorHAnsi" w:eastAsiaTheme="minorEastAsia" w:hAnsiTheme="minorHAnsi" w:cstheme="minorBidi"/>
          <w:noProof/>
          <w:sz w:val="22"/>
          <w:szCs w:val="22"/>
          <w:lang w:eastAsia="en-AU"/>
        </w:rPr>
      </w:pPr>
      <w:r>
        <w:rPr>
          <w:noProof/>
        </w:rPr>
        <w:t>4.4</w:t>
      </w:r>
      <w:r>
        <w:rPr>
          <w:rFonts w:asciiTheme="minorHAnsi" w:eastAsiaTheme="minorEastAsia" w:hAnsiTheme="minorHAnsi" w:cstheme="minorBidi"/>
          <w:noProof/>
          <w:sz w:val="22"/>
          <w:szCs w:val="22"/>
          <w:lang w:eastAsia="en-AU"/>
        </w:rPr>
        <w:tab/>
      </w:r>
      <w:r>
        <w:rPr>
          <w:noProof/>
        </w:rPr>
        <w:t>Productivity and costs</w:t>
      </w:r>
      <w:r>
        <w:rPr>
          <w:noProof/>
        </w:rPr>
        <w:tab/>
        <w:t>59</w:t>
      </w:r>
    </w:p>
    <w:p w:rsidR="00C36524" w:rsidRDefault="00C36524">
      <w:pPr>
        <w:pStyle w:val="TOC2"/>
        <w:tabs>
          <w:tab w:val="left" w:pos="1190"/>
        </w:tabs>
        <w:rPr>
          <w:rFonts w:asciiTheme="minorHAnsi" w:eastAsiaTheme="minorEastAsia" w:hAnsiTheme="minorHAnsi" w:cstheme="minorBidi"/>
          <w:noProof/>
          <w:sz w:val="22"/>
          <w:szCs w:val="22"/>
          <w:lang w:eastAsia="en-AU"/>
        </w:rPr>
      </w:pPr>
      <w:r>
        <w:rPr>
          <w:noProof/>
        </w:rPr>
        <w:t>4.5</w:t>
      </w:r>
      <w:r>
        <w:rPr>
          <w:rFonts w:asciiTheme="minorHAnsi" w:eastAsiaTheme="minorEastAsia" w:hAnsiTheme="minorHAnsi" w:cstheme="minorBidi"/>
          <w:noProof/>
          <w:sz w:val="22"/>
          <w:szCs w:val="22"/>
          <w:lang w:eastAsia="en-AU"/>
        </w:rPr>
        <w:tab/>
      </w:r>
      <w:r>
        <w:rPr>
          <w:noProof/>
        </w:rPr>
        <w:t>Key point summary</w:t>
      </w:r>
      <w:r>
        <w:rPr>
          <w:noProof/>
        </w:rPr>
        <w:tab/>
        <w:t>63</w:t>
      </w:r>
    </w:p>
    <w:p w:rsidR="00C36524" w:rsidRDefault="00C36524">
      <w:pPr>
        <w:rPr>
          <w:b/>
          <w:noProof/>
          <w:szCs w:val="26"/>
        </w:rPr>
      </w:pPr>
      <w:r>
        <w:rPr>
          <w:noProof/>
        </w:rPr>
        <w:br w:type="page"/>
      </w:r>
    </w:p>
    <w:p w:rsidR="00C36524" w:rsidRDefault="00C36524">
      <w:pPr>
        <w:pStyle w:val="TOC1"/>
        <w:rPr>
          <w:rFonts w:asciiTheme="minorHAnsi" w:eastAsiaTheme="minorEastAsia" w:hAnsiTheme="minorHAnsi" w:cstheme="minorBidi"/>
          <w:b w:val="0"/>
          <w:noProof/>
          <w:sz w:val="22"/>
          <w:szCs w:val="22"/>
          <w:lang w:eastAsia="en-AU"/>
        </w:rPr>
      </w:pPr>
      <w:r>
        <w:rPr>
          <w:noProof/>
        </w:rPr>
        <w:lastRenderedPageBreak/>
        <w:t>5</w:t>
      </w:r>
      <w:r>
        <w:rPr>
          <w:rFonts w:asciiTheme="minorHAnsi" w:eastAsiaTheme="minorEastAsia" w:hAnsiTheme="minorHAnsi" w:cstheme="minorBidi"/>
          <w:b w:val="0"/>
          <w:noProof/>
          <w:sz w:val="22"/>
          <w:szCs w:val="22"/>
          <w:lang w:eastAsia="en-AU"/>
        </w:rPr>
        <w:tab/>
      </w:r>
      <w:r>
        <w:rPr>
          <w:noProof/>
        </w:rPr>
        <w:t>The contribution of changes in industry structure</w:t>
      </w:r>
      <w:r>
        <w:rPr>
          <w:noProof/>
        </w:rPr>
        <w:tab/>
        <w:t>65</w:t>
      </w:r>
    </w:p>
    <w:p w:rsidR="00C36524" w:rsidRDefault="00C36524">
      <w:pPr>
        <w:pStyle w:val="TOC2"/>
        <w:tabs>
          <w:tab w:val="left" w:pos="1190"/>
        </w:tabs>
        <w:rPr>
          <w:rFonts w:asciiTheme="minorHAnsi" w:eastAsiaTheme="minorEastAsia" w:hAnsiTheme="minorHAnsi" w:cstheme="minorBidi"/>
          <w:noProof/>
          <w:sz w:val="22"/>
          <w:szCs w:val="22"/>
          <w:lang w:eastAsia="en-AU"/>
        </w:rPr>
      </w:pPr>
      <w:r>
        <w:rPr>
          <w:noProof/>
        </w:rPr>
        <w:t>5.1</w:t>
      </w:r>
      <w:r>
        <w:rPr>
          <w:rFonts w:asciiTheme="minorHAnsi" w:eastAsiaTheme="minorEastAsia" w:hAnsiTheme="minorHAnsi" w:cstheme="minorBidi"/>
          <w:noProof/>
          <w:sz w:val="22"/>
          <w:szCs w:val="22"/>
          <w:lang w:eastAsia="en-AU"/>
        </w:rPr>
        <w:tab/>
      </w:r>
      <w:r>
        <w:rPr>
          <w:noProof/>
        </w:rPr>
        <w:t>Industry sources of factor income growth</w:t>
      </w:r>
      <w:r>
        <w:rPr>
          <w:noProof/>
        </w:rPr>
        <w:tab/>
        <w:t>66</w:t>
      </w:r>
    </w:p>
    <w:p w:rsidR="00C36524" w:rsidRDefault="00C36524">
      <w:pPr>
        <w:pStyle w:val="TOC2"/>
        <w:tabs>
          <w:tab w:val="left" w:pos="1190"/>
        </w:tabs>
        <w:rPr>
          <w:rFonts w:asciiTheme="minorHAnsi" w:eastAsiaTheme="minorEastAsia" w:hAnsiTheme="minorHAnsi" w:cstheme="minorBidi"/>
          <w:noProof/>
          <w:sz w:val="22"/>
          <w:szCs w:val="22"/>
          <w:lang w:eastAsia="en-AU"/>
        </w:rPr>
      </w:pPr>
      <w:r>
        <w:rPr>
          <w:noProof/>
        </w:rPr>
        <w:t>5.2</w:t>
      </w:r>
      <w:r>
        <w:rPr>
          <w:rFonts w:asciiTheme="minorHAnsi" w:eastAsiaTheme="minorEastAsia" w:hAnsiTheme="minorHAnsi" w:cstheme="minorBidi"/>
          <w:noProof/>
          <w:sz w:val="22"/>
          <w:szCs w:val="22"/>
          <w:lang w:eastAsia="en-AU"/>
        </w:rPr>
        <w:tab/>
      </w:r>
      <w:r>
        <w:rPr>
          <w:noProof/>
        </w:rPr>
        <w:t>Changes in relative size and changes within industries</w:t>
      </w:r>
      <w:r>
        <w:rPr>
          <w:noProof/>
        </w:rPr>
        <w:tab/>
        <w:t>70</w:t>
      </w:r>
    </w:p>
    <w:p w:rsidR="00C36524" w:rsidRDefault="00C36524">
      <w:pPr>
        <w:pStyle w:val="TOC2"/>
        <w:tabs>
          <w:tab w:val="left" w:pos="1190"/>
        </w:tabs>
        <w:rPr>
          <w:rFonts w:asciiTheme="minorHAnsi" w:eastAsiaTheme="minorEastAsia" w:hAnsiTheme="minorHAnsi" w:cstheme="minorBidi"/>
          <w:noProof/>
          <w:sz w:val="22"/>
          <w:szCs w:val="22"/>
          <w:lang w:eastAsia="en-AU"/>
        </w:rPr>
      </w:pPr>
      <w:r>
        <w:rPr>
          <w:noProof/>
        </w:rPr>
        <w:t>5.3</w:t>
      </w:r>
      <w:r>
        <w:rPr>
          <w:rFonts w:asciiTheme="minorHAnsi" w:eastAsiaTheme="minorEastAsia" w:hAnsiTheme="minorHAnsi" w:cstheme="minorBidi"/>
          <w:noProof/>
          <w:sz w:val="22"/>
          <w:szCs w:val="22"/>
          <w:lang w:eastAsia="en-AU"/>
        </w:rPr>
        <w:tab/>
      </w:r>
      <w:r>
        <w:rPr>
          <w:noProof/>
        </w:rPr>
        <w:t>Industry contributions to growth in factor incomes</w:t>
      </w:r>
      <w:r>
        <w:rPr>
          <w:noProof/>
        </w:rPr>
        <w:tab/>
        <w:t>74</w:t>
      </w:r>
    </w:p>
    <w:p w:rsidR="00C36524" w:rsidRDefault="00C36524">
      <w:pPr>
        <w:pStyle w:val="TOC2"/>
        <w:tabs>
          <w:tab w:val="left" w:pos="1190"/>
        </w:tabs>
        <w:rPr>
          <w:rFonts w:asciiTheme="minorHAnsi" w:eastAsiaTheme="minorEastAsia" w:hAnsiTheme="minorHAnsi" w:cstheme="minorBidi"/>
          <w:noProof/>
          <w:sz w:val="22"/>
          <w:szCs w:val="22"/>
          <w:lang w:eastAsia="en-AU"/>
        </w:rPr>
      </w:pPr>
      <w:r>
        <w:rPr>
          <w:noProof/>
        </w:rPr>
        <w:t>5.4</w:t>
      </w:r>
      <w:r>
        <w:rPr>
          <w:rFonts w:asciiTheme="minorHAnsi" w:eastAsiaTheme="minorEastAsia" w:hAnsiTheme="minorHAnsi" w:cstheme="minorBidi"/>
          <w:noProof/>
          <w:sz w:val="22"/>
          <w:szCs w:val="22"/>
          <w:lang w:eastAsia="en-AU"/>
        </w:rPr>
        <w:tab/>
      </w:r>
      <w:r>
        <w:rPr>
          <w:noProof/>
        </w:rPr>
        <w:t>Assessment of the role of change in industry structure</w:t>
      </w:r>
      <w:r>
        <w:rPr>
          <w:noProof/>
        </w:rPr>
        <w:tab/>
        <w:t>81</w:t>
      </w:r>
    </w:p>
    <w:p w:rsidR="00C36524" w:rsidRDefault="00C36524">
      <w:pPr>
        <w:pStyle w:val="TOC2"/>
        <w:tabs>
          <w:tab w:val="left" w:pos="1190"/>
        </w:tabs>
        <w:rPr>
          <w:rFonts w:asciiTheme="minorHAnsi" w:eastAsiaTheme="minorEastAsia" w:hAnsiTheme="minorHAnsi" w:cstheme="minorBidi"/>
          <w:noProof/>
          <w:sz w:val="22"/>
          <w:szCs w:val="22"/>
          <w:lang w:eastAsia="en-AU"/>
        </w:rPr>
      </w:pPr>
      <w:r>
        <w:rPr>
          <w:noProof/>
        </w:rPr>
        <w:t>5.5</w:t>
      </w:r>
      <w:r>
        <w:rPr>
          <w:rFonts w:asciiTheme="minorHAnsi" w:eastAsiaTheme="minorEastAsia" w:hAnsiTheme="minorHAnsi" w:cstheme="minorBidi"/>
          <w:noProof/>
          <w:sz w:val="22"/>
          <w:szCs w:val="22"/>
          <w:lang w:eastAsia="en-AU"/>
        </w:rPr>
        <w:tab/>
      </w:r>
      <w:r>
        <w:rPr>
          <w:noProof/>
        </w:rPr>
        <w:t>Key point summary</w:t>
      </w:r>
      <w:r>
        <w:rPr>
          <w:noProof/>
        </w:rPr>
        <w:tab/>
        <w:t>82</w:t>
      </w:r>
    </w:p>
    <w:p w:rsidR="00C36524" w:rsidRDefault="00C36524">
      <w:pPr>
        <w:pStyle w:val="TOC1"/>
        <w:rPr>
          <w:rFonts w:asciiTheme="minorHAnsi" w:eastAsiaTheme="minorEastAsia" w:hAnsiTheme="minorHAnsi" w:cstheme="minorBidi"/>
          <w:b w:val="0"/>
          <w:noProof/>
          <w:sz w:val="22"/>
          <w:szCs w:val="22"/>
          <w:lang w:eastAsia="en-AU"/>
        </w:rPr>
      </w:pPr>
      <w:r>
        <w:rPr>
          <w:noProof/>
        </w:rPr>
        <w:t>6</w:t>
      </w:r>
      <w:r>
        <w:rPr>
          <w:rFonts w:asciiTheme="minorHAnsi" w:eastAsiaTheme="minorEastAsia" w:hAnsiTheme="minorHAnsi" w:cstheme="minorBidi"/>
          <w:b w:val="0"/>
          <w:noProof/>
          <w:sz w:val="22"/>
          <w:szCs w:val="22"/>
          <w:lang w:eastAsia="en-AU"/>
        </w:rPr>
        <w:tab/>
      </w:r>
      <w:r>
        <w:rPr>
          <w:noProof/>
        </w:rPr>
        <w:t>Other industry contributions</w:t>
      </w:r>
      <w:r>
        <w:rPr>
          <w:noProof/>
        </w:rPr>
        <w:tab/>
        <w:t>85</w:t>
      </w:r>
    </w:p>
    <w:p w:rsidR="00C36524" w:rsidRDefault="00C36524">
      <w:pPr>
        <w:pStyle w:val="TOC2"/>
        <w:tabs>
          <w:tab w:val="left" w:pos="1190"/>
        </w:tabs>
        <w:rPr>
          <w:rFonts w:asciiTheme="minorHAnsi" w:eastAsiaTheme="minorEastAsia" w:hAnsiTheme="minorHAnsi" w:cstheme="minorBidi"/>
          <w:noProof/>
          <w:sz w:val="22"/>
          <w:szCs w:val="22"/>
          <w:lang w:eastAsia="en-AU"/>
        </w:rPr>
      </w:pPr>
      <w:r>
        <w:rPr>
          <w:noProof/>
        </w:rPr>
        <w:t>6.1</w:t>
      </w:r>
      <w:r>
        <w:rPr>
          <w:rFonts w:asciiTheme="minorHAnsi" w:eastAsiaTheme="minorEastAsia" w:hAnsiTheme="minorHAnsi" w:cstheme="minorBidi"/>
          <w:noProof/>
          <w:sz w:val="22"/>
          <w:szCs w:val="22"/>
          <w:lang w:eastAsia="en-AU"/>
        </w:rPr>
        <w:tab/>
      </w:r>
      <w:r>
        <w:rPr>
          <w:noProof/>
        </w:rPr>
        <w:t>Factor proportions and reward ratios</w:t>
      </w:r>
      <w:r>
        <w:rPr>
          <w:noProof/>
        </w:rPr>
        <w:tab/>
        <w:t>85</w:t>
      </w:r>
    </w:p>
    <w:p w:rsidR="00C36524" w:rsidRDefault="00C36524">
      <w:pPr>
        <w:pStyle w:val="TOC2"/>
        <w:tabs>
          <w:tab w:val="left" w:pos="1190"/>
        </w:tabs>
        <w:rPr>
          <w:rFonts w:asciiTheme="minorHAnsi" w:eastAsiaTheme="minorEastAsia" w:hAnsiTheme="minorHAnsi" w:cstheme="minorBidi"/>
          <w:noProof/>
          <w:sz w:val="22"/>
          <w:szCs w:val="22"/>
          <w:lang w:eastAsia="en-AU"/>
        </w:rPr>
      </w:pPr>
      <w:r>
        <w:rPr>
          <w:noProof/>
        </w:rPr>
        <w:t>6.2</w:t>
      </w:r>
      <w:r>
        <w:rPr>
          <w:rFonts w:asciiTheme="minorHAnsi" w:eastAsiaTheme="minorEastAsia" w:hAnsiTheme="minorHAnsi" w:cstheme="minorBidi"/>
          <w:noProof/>
          <w:sz w:val="22"/>
          <w:szCs w:val="22"/>
          <w:lang w:eastAsia="en-AU"/>
        </w:rPr>
        <w:tab/>
      </w:r>
      <w:r>
        <w:rPr>
          <w:noProof/>
        </w:rPr>
        <w:t>Real product wage and labour productivity</w:t>
      </w:r>
      <w:r>
        <w:rPr>
          <w:noProof/>
        </w:rPr>
        <w:tab/>
        <w:t>89</w:t>
      </w:r>
    </w:p>
    <w:p w:rsidR="00C36524" w:rsidRDefault="00C36524">
      <w:pPr>
        <w:pStyle w:val="TOC2"/>
        <w:tabs>
          <w:tab w:val="left" w:pos="1190"/>
        </w:tabs>
        <w:rPr>
          <w:rFonts w:asciiTheme="minorHAnsi" w:eastAsiaTheme="minorEastAsia" w:hAnsiTheme="minorHAnsi" w:cstheme="minorBidi"/>
          <w:noProof/>
          <w:sz w:val="22"/>
          <w:szCs w:val="22"/>
          <w:lang w:eastAsia="en-AU"/>
        </w:rPr>
      </w:pPr>
      <w:r>
        <w:rPr>
          <w:noProof/>
        </w:rPr>
        <w:t>6.3</w:t>
      </w:r>
      <w:r>
        <w:rPr>
          <w:rFonts w:asciiTheme="minorHAnsi" w:eastAsiaTheme="minorEastAsia" w:hAnsiTheme="minorHAnsi" w:cstheme="minorBidi"/>
          <w:noProof/>
          <w:sz w:val="22"/>
          <w:szCs w:val="22"/>
          <w:lang w:eastAsia="en-AU"/>
        </w:rPr>
        <w:tab/>
      </w:r>
      <w:r>
        <w:rPr>
          <w:noProof/>
        </w:rPr>
        <w:t>Industry sources of product price inflation</w:t>
      </w:r>
      <w:r>
        <w:rPr>
          <w:noProof/>
        </w:rPr>
        <w:tab/>
        <w:t>92</w:t>
      </w:r>
    </w:p>
    <w:p w:rsidR="00C36524" w:rsidRDefault="00C36524">
      <w:pPr>
        <w:pStyle w:val="TOC2"/>
        <w:tabs>
          <w:tab w:val="left" w:pos="1190"/>
        </w:tabs>
        <w:rPr>
          <w:rFonts w:asciiTheme="minorHAnsi" w:eastAsiaTheme="minorEastAsia" w:hAnsiTheme="minorHAnsi" w:cstheme="minorBidi"/>
          <w:noProof/>
          <w:sz w:val="22"/>
          <w:szCs w:val="22"/>
          <w:lang w:eastAsia="en-AU"/>
        </w:rPr>
      </w:pPr>
      <w:r>
        <w:rPr>
          <w:noProof/>
        </w:rPr>
        <w:t>6.4</w:t>
      </w:r>
      <w:r>
        <w:rPr>
          <w:rFonts w:asciiTheme="minorHAnsi" w:eastAsiaTheme="minorEastAsia" w:hAnsiTheme="minorHAnsi" w:cstheme="minorBidi"/>
          <w:noProof/>
          <w:sz w:val="22"/>
          <w:szCs w:val="22"/>
          <w:lang w:eastAsia="en-AU"/>
        </w:rPr>
        <w:tab/>
      </w:r>
      <w:r>
        <w:rPr>
          <w:noProof/>
        </w:rPr>
        <w:t>Key point summary</w:t>
      </w:r>
      <w:r>
        <w:rPr>
          <w:noProof/>
        </w:rPr>
        <w:tab/>
        <w:t>94</w:t>
      </w:r>
    </w:p>
    <w:p w:rsidR="00C36524" w:rsidRDefault="00C36524">
      <w:pPr>
        <w:pStyle w:val="TOC1"/>
        <w:rPr>
          <w:rFonts w:asciiTheme="minorHAnsi" w:eastAsiaTheme="minorEastAsia" w:hAnsiTheme="minorHAnsi" w:cstheme="minorBidi"/>
          <w:b w:val="0"/>
          <w:noProof/>
          <w:sz w:val="22"/>
          <w:szCs w:val="22"/>
          <w:lang w:eastAsia="en-AU"/>
        </w:rPr>
      </w:pPr>
      <w:r>
        <w:rPr>
          <w:noProof/>
        </w:rPr>
        <w:t>7</w:t>
      </w:r>
      <w:r>
        <w:rPr>
          <w:rFonts w:asciiTheme="minorHAnsi" w:eastAsiaTheme="minorEastAsia" w:hAnsiTheme="minorHAnsi" w:cstheme="minorBidi"/>
          <w:b w:val="0"/>
          <w:noProof/>
          <w:sz w:val="22"/>
          <w:szCs w:val="22"/>
          <w:lang w:eastAsia="en-AU"/>
        </w:rPr>
        <w:tab/>
      </w:r>
      <w:r>
        <w:rPr>
          <w:noProof/>
        </w:rPr>
        <w:t>Product and consumer prices</w:t>
      </w:r>
      <w:r>
        <w:rPr>
          <w:noProof/>
        </w:rPr>
        <w:tab/>
        <w:t>95</w:t>
      </w:r>
    </w:p>
    <w:p w:rsidR="00C36524" w:rsidRDefault="00C36524">
      <w:pPr>
        <w:pStyle w:val="TOC2"/>
        <w:tabs>
          <w:tab w:val="left" w:pos="1190"/>
        </w:tabs>
        <w:rPr>
          <w:rFonts w:asciiTheme="minorHAnsi" w:eastAsiaTheme="minorEastAsia" w:hAnsiTheme="minorHAnsi" w:cstheme="minorBidi"/>
          <w:noProof/>
          <w:sz w:val="22"/>
          <w:szCs w:val="22"/>
          <w:lang w:eastAsia="en-AU"/>
        </w:rPr>
      </w:pPr>
      <w:r>
        <w:rPr>
          <w:noProof/>
        </w:rPr>
        <w:t>7.1</w:t>
      </w:r>
      <w:r>
        <w:rPr>
          <w:rFonts w:asciiTheme="minorHAnsi" w:eastAsiaTheme="minorEastAsia" w:hAnsiTheme="minorHAnsi" w:cstheme="minorBidi"/>
          <w:noProof/>
          <w:sz w:val="22"/>
          <w:szCs w:val="22"/>
          <w:lang w:eastAsia="en-AU"/>
        </w:rPr>
        <w:tab/>
      </w:r>
      <w:r>
        <w:rPr>
          <w:noProof/>
        </w:rPr>
        <w:t>A wedge between product and consumer prices</w:t>
      </w:r>
      <w:r>
        <w:rPr>
          <w:noProof/>
        </w:rPr>
        <w:tab/>
        <w:t>95</w:t>
      </w:r>
    </w:p>
    <w:p w:rsidR="00C36524" w:rsidRDefault="00C36524">
      <w:pPr>
        <w:pStyle w:val="TOC2"/>
        <w:tabs>
          <w:tab w:val="left" w:pos="1190"/>
        </w:tabs>
        <w:rPr>
          <w:rFonts w:asciiTheme="minorHAnsi" w:eastAsiaTheme="minorEastAsia" w:hAnsiTheme="minorHAnsi" w:cstheme="minorBidi"/>
          <w:noProof/>
          <w:sz w:val="22"/>
          <w:szCs w:val="22"/>
          <w:lang w:eastAsia="en-AU"/>
        </w:rPr>
      </w:pPr>
      <w:r>
        <w:rPr>
          <w:noProof/>
        </w:rPr>
        <w:t>7.2</w:t>
      </w:r>
      <w:r>
        <w:rPr>
          <w:rFonts w:asciiTheme="minorHAnsi" w:eastAsiaTheme="minorEastAsia" w:hAnsiTheme="minorHAnsi" w:cstheme="minorBidi"/>
          <w:noProof/>
          <w:sz w:val="22"/>
          <w:szCs w:val="22"/>
          <w:lang w:eastAsia="en-AU"/>
        </w:rPr>
        <w:tab/>
      </w:r>
      <w:r>
        <w:rPr>
          <w:noProof/>
        </w:rPr>
        <w:t>A wedge between real consumption wages and real product wages</w:t>
      </w:r>
      <w:r>
        <w:rPr>
          <w:noProof/>
        </w:rPr>
        <w:tab/>
        <w:t>97</w:t>
      </w:r>
    </w:p>
    <w:p w:rsidR="00C36524" w:rsidRDefault="00C36524">
      <w:pPr>
        <w:pStyle w:val="TOC2"/>
        <w:tabs>
          <w:tab w:val="left" w:pos="1190"/>
        </w:tabs>
        <w:rPr>
          <w:rFonts w:asciiTheme="minorHAnsi" w:eastAsiaTheme="minorEastAsia" w:hAnsiTheme="minorHAnsi" w:cstheme="minorBidi"/>
          <w:noProof/>
          <w:sz w:val="22"/>
          <w:szCs w:val="22"/>
          <w:lang w:eastAsia="en-AU"/>
        </w:rPr>
      </w:pPr>
      <w:r>
        <w:rPr>
          <w:noProof/>
        </w:rPr>
        <w:t>7.3</w:t>
      </w:r>
      <w:r>
        <w:rPr>
          <w:rFonts w:asciiTheme="minorHAnsi" w:eastAsiaTheme="minorEastAsia" w:hAnsiTheme="minorHAnsi" w:cstheme="minorBidi"/>
          <w:noProof/>
          <w:sz w:val="22"/>
          <w:szCs w:val="22"/>
          <w:lang w:eastAsia="en-AU"/>
        </w:rPr>
        <w:tab/>
      </w:r>
      <w:r>
        <w:rPr>
          <w:noProof/>
        </w:rPr>
        <w:t>Key point summary</w:t>
      </w:r>
      <w:r>
        <w:rPr>
          <w:noProof/>
        </w:rPr>
        <w:tab/>
        <w:t>99</w:t>
      </w:r>
    </w:p>
    <w:p w:rsidR="00C36524" w:rsidRDefault="00C36524">
      <w:pPr>
        <w:pStyle w:val="TOC1"/>
        <w:rPr>
          <w:rFonts w:asciiTheme="minorHAnsi" w:eastAsiaTheme="minorEastAsia" w:hAnsiTheme="minorHAnsi" w:cstheme="minorBidi"/>
          <w:b w:val="0"/>
          <w:noProof/>
          <w:sz w:val="22"/>
          <w:szCs w:val="22"/>
          <w:lang w:eastAsia="en-AU"/>
        </w:rPr>
      </w:pPr>
      <w:r>
        <w:rPr>
          <w:noProof/>
        </w:rPr>
        <w:t>A</w:t>
      </w:r>
      <w:r>
        <w:rPr>
          <w:rFonts w:asciiTheme="minorHAnsi" w:eastAsiaTheme="minorEastAsia" w:hAnsiTheme="minorHAnsi" w:cstheme="minorBidi"/>
          <w:b w:val="0"/>
          <w:noProof/>
          <w:sz w:val="22"/>
          <w:szCs w:val="22"/>
          <w:lang w:eastAsia="en-AU"/>
        </w:rPr>
        <w:tab/>
      </w:r>
      <w:r>
        <w:rPr>
          <w:noProof/>
        </w:rPr>
        <w:t>Methods for estimating industry contributions</w:t>
      </w:r>
      <w:r>
        <w:rPr>
          <w:noProof/>
        </w:rPr>
        <w:tab/>
        <w:t>101</w:t>
      </w:r>
    </w:p>
    <w:p w:rsidR="00C36524" w:rsidRDefault="00C36524">
      <w:pPr>
        <w:pStyle w:val="TOC2"/>
        <w:tabs>
          <w:tab w:val="left" w:pos="1190"/>
        </w:tabs>
        <w:rPr>
          <w:rFonts w:asciiTheme="minorHAnsi" w:eastAsiaTheme="minorEastAsia" w:hAnsiTheme="minorHAnsi" w:cstheme="minorBidi"/>
          <w:noProof/>
          <w:sz w:val="22"/>
          <w:szCs w:val="22"/>
          <w:lang w:eastAsia="en-AU"/>
        </w:rPr>
      </w:pPr>
      <w:r>
        <w:rPr>
          <w:noProof/>
        </w:rPr>
        <w:t>A.1</w:t>
      </w:r>
      <w:r>
        <w:rPr>
          <w:rFonts w:asciiTheme="minorHAnsi" w:eastAsiaTheme="minorEastAsia" w:hAnsiTheme="minorHAnsi" w:cstheme="minorBidi"/>
          <w:noProof/>
          <w:sz w:val="22"/>
          <w:szCs w:val="22"/>
          <w:lang w:eastAsia="en-AU"/>
        </w:rPr>
        <w:tab/>
      </w:r>
      <w:r>
        <w:rPr>
          <w:noProof/>
        </w:rPr>
        <w:t>Contributions to growth in market sector income</w:t>
      </w:r>
      <w:r>
        <w:rPr>
          <w:noProof/>
        </w:rPr>
        <w:tab/>
        <w:t>101</w:t>
      </w:r>
    </w:p>
    <w:p w:rsidR="00C36524" w:rsidRDefault="00C36524">
      <w:pPr>
        <w:pStyle w:val="TOC2"/>
        <w:tabs>
          <w:tab w:val="left" w:pos="1190"/>
        </w:tabs>
        <w:rPr>
          <w:rFonts w:asciiTheme="minorHAnsi" w:eastAsiaTheme="minorEastAsia" w:hAnsiTheme="minorHAnsi" w:cstheme="minorBidi"/>
          <w:noProof/>
          <w:sz w:val="22"/>
          <w:szCs w:val="22"/>
          <w:lang w:eastAsia="en-AU"/>
        </w:rPr>
      </w:pPr>
      <w:r>
        <w:rPr>
          <w:noProof/>
        </w:rPr>
        <w:t>A.2</w:t>
      </w:r>
      <w:r>
        <w:rPr>
          <w:rFonts w:asciiTheme="minorHAnsi" w:eastAsiaTheme="minorEastAsia" w:hAnsiTheme="minorHAnsi" w:cstheme="minorBidi"/>
          <w:noProof/>
          <w:sz w:val="22"/>
          <w:szCs w:val="22"/>
          <w:lang w:eastAsia="en-AU"/>
        </w:rPr>
        <w:tab/>
      </w:r>
      <w:r>
        <w:rPr>
          <w:noProof/>
        </w:rPr>
        <w:t>Factor proportions and relative rewards</w:t>
      </w:r>
      <w:r>
        <w:rPr>
          <w:noProof/>
        </w:rPr>
        <w:tab/>
        <w:t>102</w:t>
      </w:r>
    </w:p>
    <w:p w:rsidR="00C36524" w:rsidRDefault="00C36524">
      <w:pPr>
        <w:pStyle w:val="TOC2"/>
        <w:tabs>
          <w:tab w:val="left" w:pos="1190"/>
        </w:tabs>
        <w:rPr>
          <w:rFonts w:asciiTheme="minorHAnsi" w:eastAsiaTheme="minorEastAsia" w:hAnsiTheme="minorHAnsi" w:cstheme="minorBidi"/>
          <w:noProof/>
          <w:sz w:val="22"/>
          <w:szCs w:val="22"/>
          <w:lang w:eastAsia="en-AU"/>
        </w:rPr>
      </w:pPr>
      <w:r>
        <w:rPr>
          <w:noProof/>
        </w:rPr>
        <w:t>A.3</w:t>
      </w:r>
      <w:r>
        <w:rPr>
          <w:rFonts w:asciiTheme="minorHAnsi" w:eastAsiaTheme="minorEastAsia" w:hAnsiTheme="minorHAnsi" w:cstheme="minorBidi"/>
          <w:noProof/>
          <w:sz w:val="22"/>
          <w:szCs w:val="22"/>
          <w:lang w:eastAsia="en-AU"/>
        </w:rPr>
        <w:tab/>
      </w:r>
      <w:r>
        <w:rPr>
          <w:noProof/>
        </w:rPr>
        <w:t>Productivity and costs</w:t>
      </w:r>
      <w:r>
        <w:rPr>
          <w:noProof/>
        </w:rPr>
        <w:tab/>
        <w:t>103</w:t>
      </w:r>
    </w:p>
    <w:p w:rsidR="00C36524" w:rsidRDefault="00C36524">
      <w:pPr>
        <w:pStyle w:val="TOC2"/>
        <w:tabs>
          <w:tab w:val="left" w:pos="1190"/>
        </w:tabs>
        <w:rPr>
          <w:rFonts w:asciiTheme="minorHAnsi" w:eastAsiaTheme="minorEastAsia" w:hAnsiTheme="minorHAnsi" w:cstheme="minorBidi"/>
          <w:noProof/>
          <w:sz w:val="22"/>
          <w:szCs w:val="22"/>
          <w:lang w:eastAsia="en-AU"/>
        </w:rPr>
      </w:pPr>
      <w:r>
        <w:rPr>
          <w:noProof/>
        </w:rPr>
        <w:t>A.4</w:t>
      </w:r>
      <w:r>
        <w:rPr>
          <w:rFonts w:asciiTheme="minorHAnsi" w:eastAsiaTheme="minorEastAsia" w:hAnsiTheme="minorHAnsi" w:cstheme="minorBidi"/>
          <w:noProof/>
          <w:sz w:val="22"/>
          <w:szCs w:val="22"/>
          <w:lang w:eastAsia="en-AU"/>
        </w:rPr>
        <w:tab/>
      </w:r>
      <w:r>
        <w:rPr>
          <w:noProof/>
        </w:rPr>
        <w:t>Shift-share analysis</w:t>
      </w:r>
      <w:r>
        <w:rPr>
          <w:noProof/>
        </w:rPr>
        <w:tab/>
        <w:t>104</w:t>
      </w:r>
    </w:p>
    <w:p w:rsidR="00C36524" w:rsidRDefault="00C36524">
      <w:pPr>
        <w:pStyle w:val="TOC1"/>
        <w:rPr>
          <w:rFonts w:asciiTheme="minorHAnsi" w:eastAsiaTheme="minorEastAsia" w:hAnsiTheme="minorHAnsi" w:cstheme="minorBidi"/>
          <w:b w:val="0"/>
          <w:noProof/>
          <w:sz w:val="22"/>
          <w:szCs w:val="22"/>
          <w:lang w:eastAsia="en-AU"/>
        </w:rPr>
      </w:pPr>
      <w:r>
        <w:rPr>
          <w:noProof/>
        </w:rPr>
        <w:t>References</w:t>
      </w:r>
      <w:r>
        <w:rPr>
          <w:noProof/>
        </w:rPr>
        <w:tab/>
        <w:t>107</w:t>
      </w:r>
    </w:p>
    <w:p w:rsidR="001B7F1E" w:rsidRPr="00935ABF" w:rsidRDefault="00935ABF" w:rsidP="00935ABF">
      <w:pPr>
        <w:pStyle w:val="TOC1"/>
        <w:rPr>
          <w:b w:val="0"/>
        </w:rPr>
      </w:pPr>
      <w:r>
        <w:fldChar w:fldCharType="end"/>
      </w:r>
      <w:r>
        <w:t>Boxes</w:t>
      </w:r>
    </w:p>
    <w:p w:rsidR="00C36524" w:rsidRDefault="00935ABF" w:rsidP="00C36524">
      <w:pPr>
        <w:pStyle w:val="TOC2"/>
        <w:rPr>
          <w:rFonts w:asciiTheme="minorHAnsi" w:eastAsiaTheme="minorEastAsia" w:hAnsiTheme="minorHAnsi" w:cstheme="minorBidi"/>
          <w:noProof/>
          <w:sz w:val="22"/>
          <w:szCs w:val="22"/>
          <w:lang w:eastAsia="en-AU"/>
        </w:rPr>
      </w:pPr>
      <w:r w:rsidRPr="00935ABF">
        <w:fldChar w:fldCharType="begin"/>
      </w:r>
      <w:r w:rsidRPr="00935ABF">
        <w:instrText xml:space="preserve"> TOC \t "Box Title,2" </w:instrText>
      </w:r>
      <w:r w:rsidRPr="00935ABF">
        <w:fldChar w:fldCharType="separate"/>
      </w:r>
      <w:r w:rsidR="00C36524" w:rsidRPr="000910B0">
        <w:rPr>
          <w:noProof/>
        </w:rPr>
        <w:t>1</w:t>
      </w:r>
      <w:r w:rsidR="00C36524">
        <w:rPr>
          <w:rFonts w:asciiTheme="minorHAnsi" w:eastAsiaTheme="minorEastAsia" w:hAnsiTheme="minorHAnsi" w:cstheme="minorBidi"/>
          <w:noProof/>
          <w:sz w:val="22"/>
          <w:szCs w:val="22"/>
          <w:lang w:eastAsia="en-AU"/>
        </w:rPr>
        <w:tab/>
      </w:r>
      <w:r w:rsidR="00C36524">
        <w:rPr>
          <w:noProof/>
        </w:rPr>
        <w:t>Industry contributions to growth in labour and capital income</w:t>
      </w:r>
      <w:r w:rsidR="00C36524">
        <w:rPr>
          <w:noProof/>
        </w:rPr>
        <w:tab/>
        <w:t>8</w:t>
      </w:r>
    </w:p>
    <w:p w:rsidR="00C36524" w:rsidRDefault="00C36524">
      <w:pPr>
        <w:pStyle w:val="TOC2"/>
        <w:tabs>
          <w:tab w:val="left" w:pos="1760"/>
        </w:tabs>
        <w:rPr>
          <w:rFonts w:asciiTheme="minorHAnsi" w:eastAsiaTheme="minorEastAsia" w:hAnsiTheme="minorHAnsi" w:cstheme="minorBidi"/>
          <w:noProof/>
          <w:sz w:val="22"/>
          <w:szCs w:val="22"/>
          <w:lang w:eastAsia="en-AU"/>
        </w:rPr>
      </w:pPr>
      <w:r w:rsidRPr="000910B0">
        <w:rPr>
          <w:noProof/>
        </w:rPr>
        <w:t>2.1</w:t>
      </w:r>
      <w:r>
        <w:rPr>
          <w:rFonts w:asciiTheme="minorHAnsi" w:eastAsiaTheme="minorEastAsia" w:hAnsiTheme="minorHAnsi" w:cstheme="minorBidi"/>
          <w:noProof/>
          <w:sz w:val="22"/>
          <w:szCs w:val="22"/>
          <w:lang w:eastAsia="en-AU"/>
        </w:rPr>
        <w:tab/>
      </w:r>
      <w:r>
        <w:rPr>
          <w:noProof/>
        </w:rPr>
        <w:t>Industries in the market sector</w:t>
      </w:r>
      <w:r>
        <w:rPr>
          <w:noProof/>
        </w:rPr>
        <w:tab/>
        <w:t>30</w:t>
      </w:r>
    </w:p>
    <w:p w:rsidR="00C36524" w:rsidRDefault="00C36524">
      <w:pPr>
        <w:pStyle w:val="TOC2"/>
        <w:tabs>
          <w:tab w:val="left" w:pos="1760"/>
        </w:tabs>
        <w:rPr>
          <w:rFonts w:asciiTheme="minorHAnsi" w:eastAsiaTheme="minorEastAsia" w:hAnsiTheme="minorHAnsi" w:cstheme="minorBidi"/>
          <w:noProof/>
          <w:sz w:val="22"/>
          <w:szCs w:val="22"/>
          <w:lang w:eastAsia="en-AU"/>
        </w:rPr>
      </w:pPr>
      <w:r w:rsidRPr="000910B0">
        <w:rPr>
          <w:noProof/>
        </w:rPr>
        <w:t>2.2</w:t>
      </w:r>
      <w:r>
        <w:rPr>
          <w:rFonts w:asciiTheme="minorHAnsi" w:eastAsiaTheme="minorEastAsia" w:hAnsiTheme="minorHAnsi" w:cstheme="minorBidi"/>
          <w:noProof/>
          <w:sz w:val="22"/>
          <w:szCs w:val="22"/>
          <w:lang w:eastAsia="en-AU"/>
        </w:rPr>
        <w:tab/>
      </w:r>
      <w:r>
        <w:rPr>
          <w:noProof/>
        </w:rPr>
        <w:t>Industry contributions to market sector growth</w:t>
      </w:r>
      <w:r>
        <w:rPr>
          <w:noProof/>
        </w:rPr>
        <w:tab/>
        <w:t>34</w:t>
      </w:r>
    </w:p>
    <w:p w:rsidR="00C36524" w:rsidRDefault="00C36524">
      <w:pPr>
        <w:pStyle w:val="TOC2"/>
        <w:tabs>
          <w:tab w:val="left" w:pos="1760"/>
        </w:tabs>
        <w:rPr>
          <w:rFonts w:asciiTheme="minorHAnsi" w:eastAsiaTheme="minorEastAsia" w:hAnsiTheme="minorHAnsi" w:cstheme="minorBidi"/>
          <w:noProof/>
          <w:sz w:val="22"/>
          <w:szCs w:val="22"/>
          <w:lang w:eastAsia="en-AU"/>
        </w:rPr>
      </w:pPr>
      <w:r w:rsidRPr="000910B0">
        <w:rPr>
          <w:noProof/>
        </w:rPr>
        <w:t>4.1</w:t>
      </w:r>
      <w:r>
        <w:rPr>
          <w:rFonts w:asciiTheme="minorHAnsi" w:eastAsiaTheme="minorEastAsia" w:hAnsiTheme="minorHAnsi" w:cstheme="minorBidi"/>
          <w:noProof/>
          <w:sz w:val="22"/>
          <w:szCs w:val="22"/>
          <w:lang w:eastAsia="en-AU"/>
        </w:rPr>
        <w:tab/>
      </w:r>
      <w:r>
        <w:rPr>
          <w:noProof/>
        </w:rPr>
        <w:t>Changes in the LIS and quantity and price contributions</w:t>
      </w:r>
      <w:r>
        <w:rPr>
          <w:noProof/>
        </w:rPr>
        <w:tab/>
        <w:t>56</w:t>
      </w:r>
    </w:p>
    <w:p w:rsidR="00C36524" w:rsidRDefault="00C36524">
      <w:pPr>
        <w:pStyle w:val="TOC2"/>
        <w:tabs>
          <w:tab w:val="left" w:pos="1760"/>
        </w:tabs>
        <w:rPr>
          <w:rFonts w:asciiTheme="minorHAnsi" w:eastAsiaTheme="minorEastAsia" w:hAnsiTheme="minorHAnsi" w:cstheme="minorBidi"/>
          <w:noProof/>
          <w:sz w:val="22"/>
          <w:szCs w:val="22"/>
          <w:lang w:eastAsia="en-AU"/>
        </w:rPr>
      </w:pPr>
      <w:r w:rsidRPr="000910B0">
        <w:rPr>
          <w:noProof/>
        </w:rPr>
        <w:t>4.2</w:t>
      </w:r>
      <w:r>
        <w:rPr>
          <w:rFonts w:asciiTheme="minorHAnsi" w:eastAsiaTheme="minorEastAsia" w:hAnsiTheme="minorHAnsi" w:cstheme="minorBidi"/>
          <w:noProof/>
          <w:sz w:val="22"/>
          <w:szCs w:val="22"/>
          <w:lang w:eastAsia="en-AU"/>
        </w:rPr>
        <w:tab/>
      </w:r>
      <w:r>
        <w:rPr>
          <w:noProof/>
        </w:rPr>
        <w:t>The labour income share, growth in real wages and labour productivity and real unit labour costs</w:t>
      </w:r>
      <w:r>
        <w:rPr>
          <w:noProof/>
        </w:rPr>
        <w:tab/>
        <w:t>60</w:t>
      </w:r>
    </w:p>
    <w:p w:rsidR="00935ABF" w:rsidRPr="00101B30" w:rsidRDefault="00935ABF" w:rsidP="00101B30">
      <w:pPr>
        <w:pStyle w:val="TOC1"/>
      </w:pPr>
      <w:r w:rsidRPr="00935ABF">
        <w:fldChar w:fldCharType="end"/>
      </w:r>
      <w:r>
        <w:t>Figures</w:t>
      </w:r>
    </w:p>
    <w:p w:rsidR="00C36524" w:rsidRDefault="00935ABF">
      <w:pPr>
        <w:pStyle w:val="TOC2"/>
        <w:tabs>
          <w:tab w:val="left" w:pos="1760"/>
        </w:tabs>
        <w:rPr>
          <w:rFonts w:asciiTheme="minorHAnsi" w:eastAsiaTheme="minorEastAsia" w:hAnsiTheme="minorHAnsi" w:cstheme="minorBidi"/>
          <w:noProof/>
          <w:sz w:val="22"/>
          <w:szCs w:val="22"/>
          <w:lang w:eastAsia="en-AU"/>
        </w:rPr>
      </w:pPr>
      <w:r w:rsidRPr="00935ABF">
        <w:fldChar w:fldCharType="begin"/>
      </w:r>
      <w:r w:rsidRPr="00935ABF">
        <w:instrText xml:space="preserve"> TOC \t "Figure Title,2" </w:instrText>
      </w:r>
      <w:r w:rsidRPr="00935ABF">
        <w:fldChar w:fldCharType="separate"/>
      </w:r>
      <w:r w:rsidR="00C36524" w:rsidRPr="000C7718">
        <w:rPr>
          <w:noProof/>
        </w:rPr>
        <w:t>1</w:t>
      </w:r>
      <w:r w:rsidR="00C36524">
        <w:rPr>
          <w:rFonts w:asciiTheme="minorHAnsi" w:eastAsiaTheme="minorEastAsia" w:hAnsiTheme="minorHAnsi" w:cstheme="minorBidi"/>
          <w:noProof/>
          <w:sz w:val="22"/>
          <w:szCs w:val="22"/>
          <w:lang w:eastAsia="en-AU"/>
        </w:rPr>
        <w:tab/>
      </w:r>
      <w:r w:rsidR="00C36524">
        <w:rPr>
          <w:noProof/>
        </w:rPr>
        <w:t>The terms of trade lifted real income growth beyond output growth in the 2000s</w:t>
      </w:r>
      <w:r w:rsidR="00C36524">
        <w:rPr>
          <w:noProof/>
        </w:rPr>
        <w:tab/>
        <w:t>4</w:t>
      </w:r>
    </w:p>
    <w:p w:rsidR="00C36524" w:rsidRDefault="00C36524">
      <w:pPr>
        <w:pStyle w:val="TOC2"/>
        <w:tabs>
          <w:tab w:val="left" w:pos="1760"/>
        </w:tabs>
        <w:rPr>
          <w:rFonts w:asciiTheme="minorHAnsi" w:eastAsiaTheme="minorEastAsia" w:hAnsiTheme="minorHAnsi" w:cstheme="minorBidi"/>
          <w:noProof/>
          <w:sz w:val="22"/>
          <w:szCs w:val="22"/>
          <w:lang w:eastAsia="en-AU"/>
        </w:rPr>
      </w:pPr>
      <w:r w:rsidRPr="000C7718">
        <w:rPr>
          <w:noProof/>
        </w:rPr>
        <w:lastRenderedPageBreak/>
        <w:t>2</w:t>
      </w:r>
      <w:r>
        <w:rPr>
          <w:rFonts w:asciiTheme="minorHAnsi" w:eastAsiaTheme="minorEastAsia" w:hAnsiTheme="minorHAnsi" w:cstheme="minorBidi"/>
          <w:noProof/>
          <w:sz w:val="22"/>
          <w:szCs w:val="22"/>
          <w:lang w:eastAsia="en-AU"/>
        </w:rPr>
        <w:tab/>
      </w:r>
      <w:r>
        <w:rPr>
          <w:noProof/>
        </w:rPr>
        <w:t>Growth in labour income lifted in the 2000s but growth in capital income lifted more</w:t>
      </w:r>
      <w:r>
        <w:rPr>
          <w:noProof/>
        </w:rPr>
        <w:tab/>
        <w:t>5</w:t>
      </w:r>
    </w:p>
    <w:p w:rsidR="00C36524" w:rsidRDefault="00C36524">
      <w:pPr>
        <w:pStyle w:val="TOC2"/>
        <w:tabs>
          <w:tab w:val="left" w:pos="1760"/>
        </w:tabs>
        <w:rPr>
          <w:rFonts w:asciiTheme="minorHAnsi" w:eastAsiaTheme="minorEastAsia" w:hAnsiTheme="minorHAnsi" w:cstheme="minorBidi"/>
          <w:noProof/>
          <w:sz w:val="22"/>
          <w:szCs w:val="22"/>
          <w:lang w:eastAsia="en-AU"/>
        </w:rPr>
      </w:pPr>
      <w:r w:rsidRPr="000C7718">
        <w:rPr>
          <w:noProof/>
        </w:rPr>
        <w:t>3</w:t>
      </w:r>
      <w:r>
        <w:rPr>
          <w:rFonts w:asciiTheme="minorHAnsi" w:eastAsiaTheme="minorEastAsia" w:hAnsiTheme="minorHAnsi" w:cstheme="minorBidi"/>
          <w:noProof/>
          <w:sz w:val="22"/>
          <w:szCs w:val="22"/>
          <w:lang w:eastAsia="en-AU"/>
        </w:rPr>
        <w:tab/>
      </w:r>
      <w:r>
        <w:rPr>
          <w:noProof/>
        </w:rPr>
        <w:t>The fall in the labour income share was due to a quantity effect rather than a price effect</w:t>
      </w:r>
      <w:r>
        <w:rPr>
          <w:noProof/>
        </w:rPr>
        <w:tab/>
        <w:t>9</w:t>
      </w:r>
    </w:p>
    <w:p w:rsidR="00C36524" w:rsidRDefault="00C36524">
      <w:pPr>
        <w:pStyle w:val="TOC2"/>
        <w:tabs>
          <w:tab w:val="left" w:pos="1760"/>
        </w:tabs>
        <w:rPr>
          <w:rFonts w:asciiTheme="minorHAnsi" w:eastAsiaTheme="minorEastAsia" w:hAnsiTheme="minorHAnsi" w:cstheme="minorBidi"/>
          <w:noProof/>
          <w:sz w:val="22"/>
          <w:szCs w:val="22"/>
          <w:lang w:eastAsia="en-AU"/>
        </w:rPr>
      </w:pPr>
      <w:r w:rsidRPr="000C7718">
        <w:rPr>
          <w:noProof/>
        </w:rPr>
        <w:t>4</w:t>
      </w:r>
      <w:r>
        <w:rPr>
          <w:rFonts w:asciiTheme="minorHAnsi" w:eastAsiaTheme="minorEastAsia" w:hAnsiTheme="minorHAnsi" w:cstheme="minorBidi"/>
          <w:noProof/>
          <w:sz w:val="22"/>
          <w:szCs w:val="22"/>
          <w:lang w:eastAsia="en-AU"/>
        </w:rPr>
        <w:tab/>
      </w:r>
      <w:r>
        <w:rPr>
          <w:noProof/>
        </w:rPr>
        <w:t>The labour income share fell because of much weaker growth in the real cost of labour</w:t>
      </w:r>
      <w:r>
        <w:rPr>
          <w:noProof/>
        </w:rPr>
        <w:tab/>
        <w:t>11</w:t>
      </w:r>
    </w:p>
    <w:p w:rsidR="00C36524" w:rsidRDefault="00C36524">
      <w:pPr>
        <w:pStyle w:val="TOC2"/>
        <w:tabs>
          <w:tab w:val="left" w:pos="1760"/>
        </w:tabs>
        <w:rPr>
          <w:rFonts w:asciiTheme="minorHAnsi" w:eastAsiaTheme="minorEastAsia" w:hAnsiTheme="minorHAnsi" w:cstheme="minorBidi"/>
          <w:noProof/>
          <w:sz w:val="22"/>
          <w:szCs w:val="22"/>
          <w:lang w:eastAsia="en-AU"/>
        </w:rPr>
      </w:pPr>
      <w:r w:rsidRPr="000C7718">
        <w:rPr>
          <w:noProof/>
        </w:rPr>
        <w:t>5</w:t>
      </w:r>
      <w:r>
        <w:rPr>
          <w:rFonts w:asciiTheme="minorHAnsi" w:eastAsiaTheme="minorEastAsia" w:hAnsiTheme="minorHAnsi" w:cstheme="minorBidi"/>
          <w:noProof/>
          <w:sz w:val="22"/>
          <w:szCs w:val="22"/>
          <w:lang w:eastAsia="en-AU"/>
        </w:rPr>
        <w:tab/>
      </w:r>
      <w:r>
        <w:rPr>
          <w:noProof/>
        </w:rPr>
        <w:t>The lower real cost of labour was due to higher product price inflation</w:t>
      </w:r>
      <w:r>
        <w:rPr>
          <w:noProof/>
        </w:rPr>
        <w:tab/>
        <w:t>12</w:t>
      </w:r>
    </w:p>
    <w:p w:rsidR="00C36524" w:rsidRDefault="00C36524">
      <w:pPr>
        <w:pStyle w:val="TOC2"/>
        <w:tabs>
          <w:tab w:val="left" w:pos="1760"/>
        </w:tabs>
        <w:rPr>
          <w:rFonts w:asciiTheme="minorHAnsi" w:eastAsiaTheme="minorEastAsia" w:hAnsiTheme="minorHAnsi" w:cstheme="minorBidi"/>
          <w:noProof/>
          <w:sz w:val="22"/>
          <w:szCs w:val="22"/>
          <w:lang w:eastAsia="en-AU"/>
        </w:rPr>
      </w:pPr>
      <w:r w:rsidRPr="000C7718">
        <w:rPr>
          <w:noProof/>
        </w:rPr>
        <w:t>6</w:t>
      </w:r>
      <w:r>
        <w:rPr>
          <w:rFonts w:asciiTheme="minorHAnsi" w:eastAsiaTheme="minorEastAsia" w:hAnsiTheme="minorHAnsi" w:cstheme="minorBidi"/>
          <w:noProof/>
          <w:sz w:val="22"/>
          <w:szCs w:val="22"/>
          <w:lang w:eastAsia="en-AU"/>
        </w:rPr>
        <w:tab/>
      </w:r>
      <w:r>
        <w:rPr>
          <w:noProof/>
        </w:rPr>
        <w:t>The fall in labour share was a mining-specific rather than a general phenomenon</w:t>
      </w:r>
      <w:r>
        <w:rPr>
          <w:noProof/>
        </w:rPr>
        <w:tab/>
        <w:t>13</w:t>
      </w:r>
    </w:p>
    <w:p w:rsidR="00C36524" w:rsidRDefault="00C36524">
      <w:pPr>
        <w:pStyle w:val="TOC2"/>
        <w:tabs>
          <w:tab w:val="left" w:pos="1760"/>
        </w:tabs>
        <w:rPr>
          <w:rFonts w:asciiTheme="minorHAnsi" w:eastAsiaTheme="minorEastAsia" w:hAnsiTheme="minorHAnsi" w:cstheme="minorBidi"/>
          <w:noProof/>
          <w:sz w:val="22"/>
          <w:szCs w:val="22"/>
          <w:lang w:eastAsia="en-AU"/>
        </w:rPr>
      </w:pPr>
      <w:r w:rsidRPr="000C7718">
        <w:rPr>
          <w:noProof/>
        </w:rPr>
        <w:t>7</w:t>
      </w:r>
      <w:r>
        <w:rPr>
          <w:rFonts w:asciiTheme="minorHAnsi" w:eastAsiaTheme="minorEastAsia" w:hAnsiTheme="minorHAnsi" w:cstheme="minorBidi"/>
          <w:noProof/>
          <w:sz w:val="22"/>
          <w:szCs w:val="22"/>
          <w:lang w:eastAsia="en-AU"/>
        </w:rPr>
        <w:tab/>
      </w:r>
      <w:r>
        <w:rPr>
          <w:noProof/>
        </w:rPr>
        <w:t>The terms of trade drove a wedge between product prices and consumption prices</w:t>
      </w:r>
      <w:r>
        <w:rPr>
          <w:noProof/>
        </w:rPr>
        <w:tab/>
        <w:t>15</w:t>
      </w:r>
    </w:p>
    <w:p w:rsidR="00C36524" w:rsidRDefault="00C36524">
      <w:pPr>
        <w:pStyle w:val="TOC2"/>
        <w:tabs>
          <w:tab w:val="left" w:pos="1760"/>
        </w:tabs>
        <w:rPr>
          <w:rFonts w:asciiTheme="minorHAnsi" w:eastAsiaTheme="minorEastAsia" w:hAnsiTheme="minorHAnsi" w:cstheme="minorBidi"/>
          <w:noProof/>
          <w:sz w:val="22"/>
          <w:szCs w:val="22"/>
          <w:lang w:eastAsia="en-AU"/>
        </w:rPr>
      </w:pPr>
      <w:r w:rsidRPr="000C7718">
        <w:rPr>
          <w:noProof/>
        </w:rPr>
        <w:t>8</w:t>
      </w:r>
      <w:r>
        <w:rPr>
          <w:rFonts w:asciiTheme="minorHAnsi" w:eastAsiaTheme="minorEastAsia" w:hAnsiTheme="minorHAnsi" w:cstheme="minorBidi"/>
          <w:noProof/>
          <w:sz w:val="22"/>
          <w:szCs w:val="22"/>
          <w:lang w:eastAsia="en-AU"/>
        </w:rPr>
        <w:tab/>
      </w:r>
      <w:r>
        <w:rPr>
          <w:noProof/>
        </w:rPr>
        <w:t>Growth in real wages as income was stronger than growth in the real cost of labour</w:t>
      </w:r>
      <w:r>
        <w:rPr>
          <w:noProof/>
        </w:rPr>
        <w:tab/>
        <w:t>15</w:t>
      </w:r>
    </w:p>
    <w:p w:rsidR="00C36524" w:rsidRDefault="00C36524">
      <w:pPr>
        <w:pStyle w:val="TOC2"/>
        <w:tabs>
          <w:tab w:val="left" w:pos="1760"/>
        </w:tabs>
        <w:rPr>
          <w:rFonts w:asciiTheme="minorHAnsi" w:eastAsiaTheme="minorEastAsia" w:hAnsiTheme="minorHAnsi" w:cstheme="minorBidi"/>
          <w:noProof/>
          <w:sz w:val="22"/>
          <w:szCs w:val="22"/>
          <w:lang w:eastAsia="en-AU"/>
        </w:rPr>
      </w:pPr>
      <w:r w:rsidRPr="000C7718">
        <w:rPr>
          <w:noProof/>
        </w:rPr>
        <w:t>9</w:t>
      </w:r>
      <w:r>
        <w:rPr>
          <w:rFonts w:asciiTheme="minorHAnsi" w:eastAsiaTheme="minorEastAsia" w:hAnsiTheme="minorHAnsi" w:cstheme="minorBidi"/>
          <w:noProof/>
          <w:sz w:val="22"/>
          <w:szCs w:val="22"/>
          <w:lang w:eastAsia="en-AU"/>
        </w:rPr>
        <w:tab/>
      </w:r>
      <w:r>
        <w:rPr>
          <w:noProof/>
        </w:rPr>
        <w:t>Productivity growth needs to pick up if the same rate of growth in living standards is to be maintained</w:t>
      </w:r>
      <w:r>
        <w:rPr>
          <w:noProof/>
        </w:rPr>
        <w:tab/>
        <w:t>17</w:t>
      </w:r>
    </w:p>
    <w:p w:rsidR="00C36524" w:rsidRDefault="00C36524">
      <w:pPr>
        <w:pStyle w:val="TOC2"/>
        <w:tabs>
          <w:tab w:val="left" w:pos="1799"/>
        </w:tabs>
        <w:rPr>
          <w:rFonts w:asciiTheme="minorHAnsi" w:eastAsiaTheme="minorEastAsia" w:hAnsiTheme="minorHAnsi" w:cstheme="minorBidi"/>
          <w:noProof/>
          <w:sz w:val="22"/>
          <w:szCs w:val="22"/>
          <w:lang w:eastAsia="en-AU"/>
        </w:rPr>
      </w:pPr>
      <w:r w:rsidRPr="000C7718">
        <w:rPr>
          <w:noProof/>
        </w:rPr>
        <w:t>2.1</w:t>
      </w:r>
      <w:r>
        <w:rPr>
          <w:rFonts w:asciiTheme="minorHAnsi" w:eastAsiaTheme="minorEastAsia" w:hAnsiTheme="minorHAnsi" w:cstheme="minorBidi"/>
          <w:noProof/>
          <w:sz w:val="22"/>
          <w:szCs w:val="22"/>
          <w:lang w:eastAsia="en-AU"/>
        </w:rPr>
        <w:tab/>
      </w:r>
      <w:r>
        <w:rPr>
          <w:noProof/>
        </w:rPr>
        <w:t>Cumulative growth in Australia’s GDP and GDI and the terms of trade index, 1959-60 to 2011-12</w:t>
      </w:r>
      <w:r>
        <w:rPr>
          <w:noProof/>
        </w:rPr>
        <w:tab/>
        <w:t>27</w:t>
      </w:r>
    </w:p>
    <w:p w:rsidR="00C36524" w:rsidRDefault="00C36524">
      <w:pPr>
        <w:pStyle w:val="TOC2"/>
        <w:tabs>
          <w:tab w:val="left" w:pos="1799"/>
        </w:tabs>
        <w:rPr>
          <w:rFonts w:asciiTheme="minorHAnsi" w:eastAsiaTheme="minorEastAsia" w:hAnsiTheme="minorHAnsi" w:cstheme="minorBidi"/>
          <w:noProof/>
          <w:sz w:val="22"/>
          <w:szCs w:val="22"/>
          <w:lang w:eastAsia="en-AU"/>
        </w:rPr>
      </w:pPr>
      <w:r w:rsidRPr="000C7718">
        <w:rPr>
          <w:noProof/>
        </w:rPr>
        <w:t>2.2</w:t>
      </w:r>
      <w:r>
        <w:rPr>
          <w:rFonts w:asciiTheme="minorHAnsi" w:eastAsiaTheme="minorEastAsia" w:hAnsiTheme="minorHAnsi" w:cstheme="minorBidi"/>
          <w:noProof/>
          <w:sz w:val="22"/>
          <w:szCs w:val="22"/>
          <w:lang w:eastAsia="en-AU"/>
        </w:rPr>
        <w:tab/>
      </w:r>
      <w:r>
        <w:rPr>
          <w:noProof/>
        </w:rPr>
        <w:t>GDP per hour, GDI per person and the terms of trade</w:t>
      </w:r>
      <w:r>
        <w:rPr>
          <w:noProof/>
        </w:rPr>
        <w:tab/>
        <w:t>29</w:t>
      </w:r>
    </w:p>
    <w:p w:rsidR="00C36524" w:rsidRDefault="00C36524">
      <w:pPr>
        <w:pStyle w:val="TOC2"/>
        <w:tabs>
          <w:tab w:val="left" w:pos="1799"/>
        </w:tabs>
        <w:rPr>
          <w:rFonts w:asciiTheme="minorHAnsi" w:eastAsiaTheme="minorEastAsia" w:hAnsiTheme="minorHAnsi" w:cstheme="minorBidi"/>
          <w:noProof/>
          <w:sz w:val="22"/>
          <w:szCs w:val="22"/>
          <w:lang w:eastAsia="en-AU"/>
        </w:rPr>
      </w:pPr>
      <w:r w:rsidRPr="000C7718">
        <w:rPr>
          <w:noProof/>
        </w:rPr>
        <w:t>2.3</w:t>
      </w:r>
      <w:r>
        <w:rPr>
          <w:rFonts w:asciiTheme="minorHAnsi" w:eastAsiaTheme="minorEastAsia" w:hAnsiTheme="minorHAnsi" w:cstheme="minorBidi"/>
          <w:noProof/>
          <w:sz w:val="22"/>
          <w:szCs w:val="22"/>
          <w:lang w:eastAsia="en-AU"/>
        </w:rPr>
        <w:tab/>
      </w:r>
      <w:r>
        <w:rPr>
          <w:noProof/>
        </w:rPr>
        <w:t>Labour, capital and multifactor productivity</w:t>
      </w:r>
      <w:r>
        <w:rPr>
          <w:noProof/>
        </w:rPr>
        <w:tab/>
        <w:t>32</w:t>
      </w:r>
    </w:p>
    <w:p w:rsidR="00C36524" w:rsidRDefault="00C36524">
      <w:pPr>
        <w:pStyle w:val="TOC2"/>
        <w:tabs>
          <w:tab w:val="left" w:pos="1799"/>
        </w:tabs>
        <w:rPr>
          <w:rFonts w:asciiTheme="minorHAnsi" w:eastAsiaTheme="minorEastAsia" w:hAnsiTheme="minorHAnsi" w:cstheme="minorBidi"/>
          <w:noProof/>
          <w:sz w:val="22"/>
          <w:szCs w:val="22"/>
          <w:lang w:eastAsia="en-AU"/>
        </w:rPr>
      </w:pPr>
      <w:r w:rsidRPr="000C7718">
        <w:rPr>
          <w:noProof/>
        </w:rPr>
        <w:t>2.4</w:t>
      </w:r>
      <w:r>
        <w:rPr>
          <w:rFonts w:asciiTheme="minorHAnsi" w:eastAsiaTheme="minorEastAsia" w:hAnsiTheme="minorHAnsi" w:cstheme="minorBidi"/>
          <w:noProof/>
          <w:sz w:val="22"/>
          <w:szCs w:val="22"/>
          <w:lang w:eastAsia="en-AU"/>
        </w:rPr>
        <w:tab/>
      </w:r>
      <w:r>
        <w:rPr>
          <w:noProof/>
        </w:rPr>
        <w:t>Industry contributions to growth in market sector income, 1990s and 2000s</w:t>
      </w:r>
      <w:r>
        <w:rPr>
          <w:noProof/>
        </w:rPr>
        <w:tab/>
        <w:t>35</w:t>
      </w:r>
    </w:p>
    <w:p w:rsidR="00C36524" w:rsidRDefault="00C36524">
      <w:pPr>
        <w:pStyle w:val="TOC2"/>
        <w:tabs>
          <w:tab w:val="left" w:pos="1799"/>
        </w:tabs>
        <w:rPr>
          <w:noProof/>
        </w:rPr>
      </w:pPr>
      <w:r>
        <w:rPr>
          <w:noProof/>
        </w:rPr>
        <w:t>3.1</w:t>
      </w:r>
      <w:r>
        <w:rPr>
          <w:noProof/>
        </w:rPr>
        <w:tab/>
        <w:t>Share of income going to employees, companies, and proprietors</w:t>
      </w:r>
      <w:r>
        <w:rPr>
          <w:noProof/>
        </w:rPr>
        <w:tab/>
        <w:t>38</w:t>
      </w:r>
    </w:p>
    <w:p w:rsidR="00C36524" w:rsidRDefault="00C36524">
      <w:pPr>
        <w:pStyle w:val="TOC2"/>
        <w:tabs>
          <w:tab w:val="left" w:pos="1799"/>
        </w:tabs>
      </w:pPr>
      <w:r>
        <w:rPr>
          <w:noProof/>
        </w:rPr>
        <w:t>3.2</w:t>
      </w:r>
      <w:r>
        <w:rPr>
          <w:noProof/>
        </w:rPr>
        <w:tab/>
      </w:r>
      <w:r w:rsidRPr="00C36524">
        <w:t>Labour income share in the US non-farm business sector</w:t>
      </w:r>
      <w:r>
        <w:tab/>
        <w:t>43</w:t>
      </w:r>
    </w:p>
    <w:p w:rsidR="00C36524" w:rsidRPr="00C36524" w:rsidRDefault="00C36524">
      <w:pPr>
        <w:pStyle w:val="TOC2"/>
        <w:tabs>
          <w:tab w:val="left" w:pos="1799"/>
        </w:tabs>
        <w:rPr>
          <w:noProof/>
        </w:rPr>
      </w:pPr>
      <w:r>
        <w:t>3.3</w:t>
      </w:r>
      <w:r>
        <w:tab/>
        <w:t>The labour income share in Australia's market sector</w:t>
      </w:r>
      <w:r>
        <w:tab/>
        <w:t>43</w:t>
      </w:r>
    </w:p>
    <w:p w:rsidR="00C36524" w:rsidRDefault="00C36524">
      <w:pPr>
        <w:pStyle w:val="TOC2"/>
        <w:tabs>
          <w:tab w:val="left" w:pos="1799"/>
        </w:tabs>
        <w:rPr>
          <w:rFonts w:asciiTheme="minorHAnsi" w:eastAsiaTheme="minorEastAsia" w:hAnsiTheme="minorHAnsi" w:cstheme="minorBidi"/>
          <w:noProof/>
          <w:sz w:val="22"/>
          <w:szCs w:val="22"/>
          <w:lang w:eastAsia="en-AU"/>
        </w:rPr>
      </w:pPr>
      <w:r w:rsidRPr="000C7718">
        <w:rPr>
          <w:noProof/>
        </w:rPr>
        <w:t>3.4</w:t>
      </w:r>
      <w:r>
        <w:rPr>
          <w:rFonts w:asciiTheme="minorHAnsi" w:eastAsiaTheme="minorEastAsia" w:hAnsiTheme="minorHAnsi" w:cstheme="minorBidi"/>
          <w:noProof/>
          <w:sz w:val="22"/>
          <w:szCs w:val="22"/>
          <w:lang w:eastAsia="en-AU"/>
        </w:rPr>
        <w:tab/>
      </w:r>
      <w:r>
        <w:rPr>
          <w:noProof/>
        </w:rPr>
        <w:t>Wage share in selected countries</w:t>
      </w:r>
      <w:r>
        <w:rPr>
          <w:noProof/>
        </w:rPr>
        <w:tab/>
        <w:t>44</w:t>
      </w:r>
    </w:p>
    <w:p w:rsidR="00C36524" w:rsidRDefault="00C36524">
      <w:pPr>
        <w:pStyle w:val="TOC2"/>
        <w:tabs>
          <w:tab w:val="left" w:pos="1799"/>
        </w:tabs>
        <w:rPr>
          <w:rFonts w:asciiTheme="minorHAnsi" w:eastAsiaTheme="minorEastAsia" w:hAnsiTheme="minorHAnsi" w:cstheme="minorBidi"/>
          <w:noProof/>
          <w:sz w:val="22"/>
          <w:szCs w:val="22"/>
          <w:lang w:eastAsia="en-AU"/>
        </w:rPr>
      </w:pPr>
      <w:r w:rsidRPr="000C7718">
        <w:rPr>
          <w:noProof/>
        </w:rPr>
        <w:t>3.5</w:t>
      </w:r>
      <w:r>
        <w:rPr>
          <w:rFonts w:asciiTheme="minorHAnsi" w:eastAsiaTheme="minorEastAsia" w:hAnsiTheme="minorHAnsi" w:cstheme="minorBidi"/>
          <w:noProof/>
          <w:sz w:val="22"/>
          <w:szCs w:val="22"/>
          <w:lang w:eastAsia="en-AU"/>
        </w:rPr>
        <w:tab/>
      </w:r>
      <w:r>
        <w:rPr>
          <w:noProof/>
        </w:rPr>
        <w:t>Growth in real average income in Australia and the US since 1990</w:t>
      </w:r>
      <w:r>
        <w:rPr>
          <w:noProof/>
        </w:rPr>
        <w:tab/>
        <w:t>46</w:t>
      </w:r>
    </w:p>
    <w:p w:rsidR="00C36524" w:rsidRDefault="00C36524">
      <w:pPr>
        <w:pStyle w:val="TOC2"/>
        <w:tabs>
          <w:tab w:val="left" w:pos="1799"/>
        </w:tabs>
        <w:rPr>
          <w:rFonts w:asciiTheme="minorHAnsi" w:eastAsiaTheme="minorEastAsia" w:hAnsiTheme="minorHAnsi" w:cstheme="minorBidi"/>
          <w:noProof/>
          <w:sz w:val="22"/>
          <w:szCs w:val="22"/>
          <w:lang w:eastAsia="en-AU"/>
        </w:rPr>
      </w:pPr>
      <w:r w:rsidRPr="000C7718">
        <w:rPr>
          <w:noProof/>
        </w:rPr>
        <w:t>3.6</w:t>
      </w:r>
      <w:r>
        <w:rPr>
          <w:rFonts w:asciiTheme="minorHAnsi" w:eastAsiaTheme="minorEastAsia" w:hAnsiTheme="minorHAnsi" w:cstheme="minorBidi"/>
          <w:noProof/>
          <w:sz w:val="22"/>
          <w:szCs w:val="22"/>
          <w:lang w:eastAsia="en-AU"/>
        </w:rPr>
        <w:tab/>
      </w:r>
      <w:r>
        <w:rPr>
          <w:noProof/>
        </w:rPr>
        <w:t>Growth in labour and capital income in Australia and the US in the 1990s and 2000s</w:t>
      </w:r>
      <w:r>
        <w:rPr>
          <w:noProof/>
        </w:rPr>
        <w:tab/>
        <w:t>47</w:t>
      </w:r>
    </w:p>
    <w:p w:rsidR="00C36524" w:rsidRDefault="00C36524">
      <w:pPr>
        <w:pStyle w:val="TOC2"/>
        <w:tabs>
          <w:tab w:val="left" w:pos="1799"/>
        </w:tabs>
        <w:rPr>
          <w:rFonts w:asciiTheme="minorHAnsi" w:eastAsiaTheme="minorEastAsia" w:hAnsiTheme="minorHAnsi" w:cstheme="minorBidi"/>
          <w:noProof/>
          <w:sz w:val="22"/>
          <w:szCs w:val="22"/>
          <w:lang w:eastAsia="en-AU"/>
        </w:rPr>
      </w:pPr>
      <w:r w:rsidRPr="000C7718">
        <w:rPr>
          <w:noProof/>
        </w:rPr>
        <w:t>3.7</w:t>
      </w:r>
      <w:r>
        <w:rPr>
          <w:rFonts w:asciiTheme="minorHAnsi" w:eastAsiaTheme="minorEastAsia" w:hAnsiTheme="minorHAnsi" w:cstheme="minorBidi"/>
          <w:noProof/>
          <w:sz w:val="22"/>
          <w:szCs w:val="22"/>
          <w:lang w:eastAsia="en-AU"/>
        </w:rPr>
        <w:tab/>
      </w:r>
      <w:r>
        <w:rPr>
          <w:noProof/>
        </w:rPr>
        <w:t>Industry contributions to income growth in Australia and the US</w:t>
      </w:r>
      <w:r>
        <w:rPr>
          <w:noProof/>
        </w:rPr>
        <w:tab/>
        <w:t>48</w:t>
      </w:r>
    </w:p>
    <w:p w:rsidR="00C36524" w:rsidRDefault="00C36524">
      <w:pPr>
        <w:pStyle w:val="TOC2"/>
        <w:tabs>
          <w:tab w:val="left" w:pos="1799"/>
        </w:tabs>
        <w:rPr>
          <w:rFonts w:asciiTheme="minorHAnsi" w:eastAsiaTheme="minorEastAsia" w:hAnsiTheme="minorHAnsi" w:cstheme="minorBidi"/>
          <w:noProof/>
          <w:sz w:val="22"/>
          <w:szCs w:val="22"/>
          <w:lang w:eastAsia="en-AU"/>
        </w:rPr>
      </w:pPr>
      <w:r w:rsidRPr="000C7718">
        <w:rPr>
          <w:noProof/>
        </w:rPr>
        <w:t>4.1</w:t>
      </w:r>
      <w:r>
        <w:rPr>
          <w:rFonts w:asciiTheme="minorHAnsi" w:eastAsiaTheme="minorEastAsia" w:hAnsiTheme="minorHAnsi" w:cstheme="minorBidi"/>
          <w:noProof/>
          <w:sz w:val="22"/>
          <w:szCs w:val="22"/>
          <w:lang w:eastAsia="en-AU"/>
        </w:rPr>
        <w:tab/>
      </w:r>
      <w:r>
        <w:rPr>
          <w:noProof/>
        </w:rPr>
        <w:t>Labour income share in Australia’s 12-industry market sector (MS12) and 16-industry market sector (MS16)</w:t>
      </w:r>
      <w:r>
        <w:rPr>
          <w:noProof/>
        </w:rPr>
        <w:tab/>
        <w:t>53</w:t>
      </w:r>
    </w:p>
    <w:p w:rsidR="00C36524" w:rsidRDefault="00C36524">
      <w:pPr>
        <w:pStyle w:val="TOC2"/>
        <w:tabs>
          <w:tab w:val="left" w:pos="1799"/>
        </w:tabs>
        <w:rPr>
          <w:rFonts w:asciiTheme="minorHAnsi" w:eastAsiaTheme="minorEastAsia" w:hAnsiTheme="minorHAnsi" w:cstheme="minorBidi"/>
          <w:noProof/>
          <w:sz w:val="22"/>
          <w:szCs w:val="22"/>
          <w:lang w:eastAsia="en-AU"/>
        </w:rPr>
      </w:pPr>
      <w:r w:rsidRPr="000C7718">
        <w:rPr>
          <w:noProof/>
        </w:rPr>
        <w:t>4.2</w:t>
      </w:r>
      <w:r>
        <w:rPr>
          <w:rFonts w:asciiTheme="minorHAnsi" w:eastAsiaTheme="minorEastAsia" w:hAnsiTheme="minorHAnsi" w:cstheme="minorBidi"/>
          <w:noProof/>
          <w:sz w:val="22"/>
          <w:szCs w:val="22"/>
          <w:lang w:eastAsia="en-AU"/>
        </w:rPr>
        <w:tab/>
      </w:r>
      <w:r>
        <w:rPr>
          <w:noProof/>
        </w:rPr>
        <w:t>Cumulative growth in labour and capital income and the labour income share in the 1990s and the 2000s</w:t>
      </w:r>
      <w:r>
        <w:rPr>
          <w:noProof/>
        </w:rPr>
        <w:tab/>
        <w:t>54</w:t>
      </w:r>
    </w:p>
    <w:p w:rsidR="00C36524" w:rsidRDefault="00C36524">
      <w:pPr>
        <w:pStyle w:val="TOC2"/>
        <w:tabs>
          <w:tab w:val="left" w:pos="1799"/>
        </w:tabs>
        <w:rPr>
          <w:rFonts w:asciiTheme="minorHAnsi" w:eastAsiaTheme="minorEastAsia" w:hAnsiTheme="minorHAnsi" w:cstheme="minorBidi"/>
          <w:noProof/>
          <w:sz w:val="22"/>
          <w:szCs w:val="22"/>
          <w:lang w:eastAsia="en-AU"/>
        </w:rPr>
      </w:pPr>
      <w:r w:rsidRPr="000C7718">
        <w:rPr>
          <w:noProof/>
        </w:rPr>
        <w:lastRenderedPageBreak/>
        <w:t>4.3</w:t>
      </w:r>
      <w:r>
        <w:rPr>
          <w:rFonts w:asciiTheme="minorHAnsi" w:eastAsiaTheme="minorEastAsia" w:hAnsiTheme="minorHAnsi" w:cstheme="minorBidi"/>
          <w:noProof/>
          <w:sz w:val="22"/>
          <w:szCs w:val="22"/>
          <w:lang w:eastAsia="en-AU"/>
        </w:rPr>
        <w:tab/>
      </w:r>
      <w:r>
        <w:rPr>
          <w:noProof/>
        </w:rPr>
        <w:t>Cumulative annual growth in factor proportions and reward ratios and the labour income share, 1990s and 2000s</w:t>
      </w:r>
      <w:r>
        <w:rPr>
          <w:noProof/>
        </w:rPr>
        <w:tab/>
        <w:t>57</w:t>
      </w:r>
    </w:p>
    <w:p w:rsidR="00C36524" w:rsidRDefault="00C36524">
      <w:pPr>
        <w:pStyle w:val="TOC2"/>
        <w:tabs>
          <w:tab w:val="left" w:pos="1799"/>
        </w:tabs>
        <w:rPr>
          <w:rFonts w:asciiTheme="minorHAnsi" w:eastAsiaTheme="minorEastAsia" w:hAnsiTheme="minorHAnsi" w:cstheme="minorBidi"/>
          <w:noProof/>
          <w:sz w:val="22"/>
          <w:szCs w:val="22"/>
          <w:lang w:eastAsia="en-AU"/>
        </w:rPr>
      </w:pPr>
      <w:r w:rsidRPr="000C7718">
        <w:rPr>
          <w:noProof/>
        </w:rPr>
        <w:t>4.4</w:t>
      </w:r>
      <w:r>
        <w:rPr>
          <w:rFonts w:asciiTheme="minorHAnsi" w:eastAsiaTheme="minorEastAsia" w:hAnsiTheme="minorHAnsi" w:cstheme="minorBidi"/>
          <w:noProof/>
          <w:sz w:val="22"/>
          <w:szCs w:val="22"/>
          <w:lang w:eastAsia="en-AU"/>
        </w:rPr>
        <w:tab/>
      </w:r>
      <w:r>
        <w:rPr>
          <w:noProof/>
        </w:rPr>
        <w:t>Growth in factor proportions, reward ratios and their components</w:t>
      </w:r>
      <w:r>
        <w:rPr>
          <w:noProof/>
        </w:rPr>
        <w:tab/>
        <w:t>59</w:t>
      </w:r>
    </w:p>
    <w:p w:rsidR="00C36524" w:rsidRDefault="00C36524">
      <w:pPr>
        <w:pStyle w:val="TOC2"/>
        <w:tabs>
          <w:tab w:val="left" w:pos="1799"/>
        </w:tabs>
        <w:rPr>
          <w:rFonts w:asciiTheme="minorHAnsi" w:eastAsiaTheme="minorEastAsia" w:hAnsiTheme="minorHAnsi" w:cstheme="minorBidi"/>
          <w:noProof/>
          <w:sz w:val="22"/>
          <w:szCs w:val="22"/>
          <w:lang w:eastAsia="en-AU"/>
        </w:rPr>
      </w:pPr>
      <w:r w:rsidRPr="000C7718">
        <w:rPr>
          <w:noProof/>
        </w:rPr>
        <w:t>4.5</w:t>
      </w:r>
      <w:r>
        <w:rPr>
          <w:rFonts w:asciiTheme="minorHAnsi" w:eastAsiaTheme="minorEastAsia" w:hAnsiTheme="minorHAnsi" w:cstheme="minorBidi"/>
          <w:noProof/>
          <w:sz w:val="22"/>
          <w:szCs w:val="22"/>
          <w:lang w:eastAsia="en-AU"/>
        </w:rPr>
        <w:tab/>
      </w:r>
      <w:r>
        <w:rPr>
          <w:noProof/>
        </w:rPr>
        <w:t>Cumulative growth in the real product wage (RPW), labour productivity (LP) and real unit labour costs (RULC) and the level of the labour income share (LIS),1990s and 2000s</w:t>
      </w:r>
      <w:r>
        <w:rPr>
          <w:noProof/>
        </w:rPr>
        <w:tab/>
        <w:t>61</w:t>
      </w:r>
    </w:p>
    <w:p w:rsidR="00C36524" w:rsidRDefault="00C36524">
      <w:pPr>
        <w:pStyle w:val="TOC2"/>
        <w:tabs>
          <w:tab w:val="left" w:pos="1799"/>
        </w:tabs>
        <w:rPr>
          <w:rFonts w:asciiTheme="minorHAnsi" w:eastAsiaTheme="minorEastAsia" w:hAnsiTheme="minorHAnsi" w:cstheme="minorBidi"/>
          <w:noProof/>
          <w:sz w:val="22"/>
          <w:szCs w:val="22"/>
          <w:lang w:eastAsia="en-AU"/>
        </w:rPr>
      </w:pPr>
      <w:r w:rsidRPr="000C7718">
        <w:rPr>
          <w:noProof/>
        </w:rPr>
        <w:t>4.6</w:t>
      </w:r>
      <w:r>
        <w:rPr>
          <w:rFonts w:asciiTheme="minorHAnsi" w:eastAsiaTheme="minorEastAsia" w:hAnsiTheme="minorHAnsi" w:cstheme="minorBidi"/>
          <w:noProof/>
          <w:sz w:val="22"/>
          <w:szCs w:val="22"/>
          <w:lang w:eastAsia="en-AU"/>
        </w:rPr>
        <w:tab/>
      </w:r>
      <w:r>
        <w:rPr>
          <w:noProof/>
        </w:rPr>
        <w:t>Decomposition of 2000s growth in RULC into elements of productivity and costs</w:t>
      </w:r>
      <w:r>
        <w:rPr>
          <w:noProof/>
        </w:rPr>
        <w:tab/>
        <w:t>63</w:t>
      </w:r>
    </w:p>
    <w:p w:rsidR="00C36524" w:rsidRDefault="00C36524">
      <w:pPr>
        <w:pStyle w:val="TOC2"/>
        <w:tabs>
          <w:tab w:val="left" w:pos="1799"/>
        </w:tabs>
        <w:rPr>
          <w:rFonts w:asciiTheme="minorHAnsi" w:eastAsiaTheme="minorEastAsia" w:hAnsiTheme="minorHAnsi" w:cstheme="minorBidi"/>
          <w:noProof/>
          <w:sz w:val="22"/>
          <w:szCs w:val="22"/>
          <w:lang w:eastAsia="en-AU"/>
        </w:rPr>
      </w:pPr>
      <w:r w:rsidRPr="000C7718">
        <w:rPr>
          <w:noProof/>
        </w:rPr>
        <w:t>5.1</w:t>
      </w:r>
      <w:r>
        <w:rPr>
          <w:rFonts w:asciiTheme="minorHAnsi" w:eastAsiaTheme="minorEastAsia" w:hAnsiTheme="minorHAnsi" w:cstheme="minorBidi"/>
          <w:noProof/>
          <w:sz w:val="22"/>
          <w:szCs w:val="22"/>
          <w:lang w:eastAsia="en-AU"/>
        </w:rPr>
        <w:tab/>
      </w:r>
      <w:r>
        <w:rPr>
          <w:noProof/>
        </w:rPr>
        <w:t>Decomposition of change in the market sector labour income share into between-industry and within-industry components</w:t>
      </w:r>
      <w:r>
        <w:rPr>
          <w:noProof/>
        </w:rPr>
        <w:tab/>
        <w:t>71</w:t>
      </w:r>
    </w:p>
    <w:p w:rsidR="00C36524" w:rsidRDefault="00C36524">
      <w:pPr>
        <w:pStyle w:val="TOC2"/>
        <w:tabs>
          <w:tab w:val="left" w:pos="1799"/>
        </w:tabs>
        <w:rPr>
          <w:rFonts w:asciiTheme="minorHAnsi" w:eastAsiaTheme="minorEastAsia" w:hAnsiTheme="minorHAnsi" w:cstheme="minorBidi"/>
          <w:noProof/>
          <w:sz w:val="22"/>
          <w:szCs w:val="22"/>
          <w:lang w:eastAsia="en-AU"/>
        </w:rPr>
      </w:pPr>
      <w:r w:rsidRPr="000C7718">
        <w:rPr>
          <w:noProof/>
        </w:rPr>
        <w:t>5.2</w:t>
      </w:r>
      <w:r>
        <w:rPr>
          <w:rFonts w:asciiTheme="minorHAnsi" w:eastAsiaTheme="minorEastAsia" w:hAnsiTheme="minorHAnsi" w:cstheme="minorBidi"/>
          <w:noProof/>
          <w:sz w:val="22"/>
          <w:szCs w:val="22"/>
          <w:lang w:eastAsia="en-AU"/>
        </w:rPr>
        <w:tab/>
      </w:r>
      <w:r>
        <w:rPr>
          <w:noProof/>
        </w:rPr>
        <w:t>Industry contributions to growth in labour income, growth in capital income and to the difference between them</w:t>
      </w:r>
      <w:r>
        <w:rPr>
          <w:noProof/>
        </w:rPr>
        <w:tab/>
        <w:t>75</w:t>
      </w:r>
    </w:p>
    <w:p w:rsidR="00C36524" w:rsidRDefault="00C36524">
      <w:pPr>
        <w:pStyle w:val="TOC2"/>
        <w:tabs>
          <w:tab w:val="left" w:pos="1799"/>
        </w:tabs>
        <w:rPr>
          <w:rFonts w:asciiTheme="minorHAnsi" w:eastAsiaTheme="minorEastAsia" w:hAnsiTheme="minorHAnsi" w:cstheme="minorBidi"/>
          <w:noProof/>
          <w:sz w:val="22"/>
          <w:szCs w:val="22"/>
          <w:lang w:eastAsia="en-AU"/>
        </w:rPr>
      </w:pPr>
      <w:r w:rsidRPr="000C7718">
        <w:rPr>
          <w:noProof/>
        </w:rPr>
        <w:t>5.3</w:t>
      </w:r>
      <w:r>
        <w:rPr>
          <w:rFonts w:asciiTheme="minorHAnsi" w:eastAsiaTheme="minorEastAsia" w:hAnsiTheme="minorHAnsi" w:cstheme="minorBidi"/>
          <w:noProof/>
          <w:sz w:val="22"/>
          <w:szCs w:val="22"/>
          <w:lang w:eastAsia="en-AU"/>
        </w:rPr>
        <w:tab/>
      </w:r>
      <w:r>
        <w:rPr>
          <w:noProof/>
        </w:rPr>
        <w:t>Industry contributions to accelerations in labour income and capital income and to the difference between the two</w:t>
      </w:r>
      <w:r>
        <w:rPr>
          <w:noProof/>
        </w:rPr>
        <w:tab/>
        <w:t>78</w:t>
      </w:r>
    </w:p>
    <w:p w:rsidR="00C36524" w:rsidRDefault="00C36524">
      <w:pPr>
        <w:pStyle w:val="TOC2"/>
        <w:tabs>
          <w:tab w:val="left" w:pos="1799"/>
        </w:tabs>
        <w:rPr>
          <w:rFonts w:asciiTheme="minorHAnsi" w:eastAsiaTheme="minorEastAsia" w:hAnsiTheme="minorHAnsi" w:cstheme="minorBidi"/>
          <w:noProof/>
          <w:sz w:val="22"/>
          <w:szCs w:val="22"/>
          <w:lang w:eastAsia="en-AU"/>
        </w:rPr>
      </w:pPr>
      <w:r w:rsidRPr="000C7718">
        <w:rPr>
          <w:noProof/>
        </w:rPr>
        <w:t>6.1</w:t>
      </w:r>
      <w:r>
        <w:rPr>
          <w:rFonts w:asciiTheme="minorHAnsi" w:eastAsiaTheme="minorEastAsia" w:hAnsiTheme="minorHAnsi" w:cstheme="minorBidi"/>
          <w:noProof/>
          <w:sz w:val="22"/>
          <w:szCs w:val="22"/>
          <w:lang w:eastAsia="en-AU"/>
        </w:rPr>
        <w:tab/>
      </w:r>
      <w:r>
        <w:rPr>
          <w:noProof/>
        </w:rPr>
        <w:t>Industry contributions to growth in the reward ratio, factor proportions and the gap between them, 2000s</w:t>
      </w:r>
      <w:r>
        <w:rPr>
          <w:noProof/>
        </w:rPr>
        <w:tab/>
        <w:t>87</w:t>
      </w:r>
    </w:p>
    <w:p w:rsidR="00C36524" w:rsidRDefault="00C36524">
      <w:pPr>
        <w:pStyle w:val="TOC2"/>
        <w:tabs>
          <w:tab w:val="left" w:pos="1799"/>
        </w:tabs>
        <w:rPr>
          <w:rFonts w:asciiTheme="minorHAnsi" w:eastAsiaTheme="minorEastAsia" w:hAnsiTheme="minorHAnsi" w:cstheme="minorBidi"/>
          <w:noProof/>
          <w:sz w:val="22"/>
          <w:szCs w:val="22"/>
          <w:lang w:eastAsia="en-AU"/>
        </w:rPr>
      </w:pPr>
      <w:r w:rsidRPr="000C7718">
        <w:rPr>
          <w:noProof/>
        </w:rPr>
        <w:t>6.2</w:t>
      </w:r>
      <w:r>
        <w:rPr>
          <w:rFonts w:asciiTheme="minorHAnsi" w:eastAsiaTheme="minorEastAsia" w:hAnsiTheme="minorHAnsi" w:cstheme="minorBidi"/>
          <w:noProof/>
          <w:sz w:val="22"/>
          <w:szCs w:val="22"/>
          <w:lang w:eastAsia="en-AU"/>
        </w:rPr>
        <w:tab/>
      </w:r>
      <w:r>
        <w:rPr>
          <w:noProof/>
        </w:rPr>
        <w:t>Industry contributions to market sector growth in RPW, LP and RULC, 2000s</w:t>
      </w:r>
      <w:r>
        <w:rPr>
          <w:noProof/>
        </w:rPr>
        <w:tab/>
        <w:t>91</w:t>
      </w:r>
    </w:p>
    <w:p w:rsidR="00C36524" w:rsidRDefault="00C36524">
      <w:pPr>
        <w:pStyle w:val="TOC2"/>
        <w:tabs>
          <w:tab w:val="left" w:pos="1799"/>
        </w:tabs>
        <w:rPr>
          <w:rFonts w:asciiTheme="minorHAnsi" w:eastAsiaTheme="minorEastAsia" w:hAnsiTheme="minorHAnsi" w:cstheme="minorBidi"/>
          <w:noProof/>
          <w:sz w:val="22"/>
          <w:szCs w:val="22"/>
          <w:lang w:eastAsia="en-AU"/>
        </w:rPr>
      </w:pPr>
      <w:r w:rsidRPr="000C7718">
        <w:rPr>
          <w:noProof/>
        </w:rPr>
        <w:t>6.3</w:t>
      </w:r>
      <w:r>
        <w:rPr>
          <w:rFonts w:asciiTheme="minorHAnsi" w:eastAsiaTheme="minorEastAsia" w:hAnsiTheme="minorHAnsi" w:cstheme="minorBidi"/>
          <w:noProof/>
          <w:sz w:val="22"/>
          <w:szCs w:val="22"/>
          <w:lang w:eastAsia="en-AU"/>
        </w:rPr>
        <w:tab/>
      </w:r>
      <w:r>
        <w:rPr>
          <w:noProof/>
        </w:rPr>
        <w:t>Industry contributions to growth in product prices in the 1990s and the 2000s</w:t>
      </w:r>
      <w:r>
        <w:rPr>
          <w:noProof/>
        </w:rPr>
        <w:tab/>
        <w:t>93</w:t>
      </w:r>
    </w:p>
    <w:p w:rsidR="00C36524" w:rsidRDefault="00C36524">
      <w:pPr>
        <w:pStyle w:val="TOC2"/>
        <w:tabs>
          <w:tab w:val="left" w:pos="1799"/>
        </w:tabs>
        <w:rPr>
          <w:rFonts w:asciiTheme="minorHAnsi" w:eastAsiaTheme="minorEastAsia" w:hAnsiTheme="minorHAnsi" w:cstheme="minorBidi"/>
          <w:noProof/>
          <w:sz w:val="22"/>
          <w:szCs w:val="22"/>
          <w:lang w:eastAsia="en-AU"/>
        </w:rPr>
      </w:pPr>
      <w:r w:rsidRPr="000C7718">
        <w:rPr>
          <w:noProof/>
        </w:rPr>
        <w:t>7.1</w:t>
      </w:r>
      <w:r>
        <w:rPr>
          <w:rFonts w:asciiTheme="minorHAnsi" w:eastAsiaTheme="minorEastAsia" w:hAnsiTheme="minorHAnsi" w:cstheme="minorBidi"/>
          <w:noProof/>
          <w:sz w:val="22"/>
          <w:szCs w:val="22"/>
          <w:lang w:eastAsia="en-AU"/>
        </w:rPr>
        <w:tab/>
      </w:r>
      <w:r>
        <w:rPr>
          <w:noProof/>
        </w:rPr>
        <w:t>Product and consumer prices, 1959-60 to 2011-12</w:t>
      </w:r>
      <w:r>
        <w:rPr>
          <w:noProof/>
        </w:rPr>
        <w:tab/>
        <w:t>95</w:t>
      </w:r>
    </w:p>
    <w:p w:rsidR="00C36524" w:rsidRDefault="00C36524">
      <w:pPr>
        <w:pStyle w:val="TOC2"/>
        <w:tabs>
          <w:tab w:val="left" w:pos="1799"/>
        </w:tabs>
        <w:rPr>
          <w:rFonts w:asciiTheme="minorHAnsi" w:eastAsiaTheme="minorEastAsia" w:hAnsiTheme="minorHAnsi" w:cstheme="minorBidi"/>
          <w:noProof/>
          <w:sz w:val="22"/>
          <w:szCs w:val="22"/>
          <w:lang w:eastAsia="en-AU"/>
        </w:rPr>
      </w:pPr>
      <w:r w:rsidRPr="000C7718">
        <w:rPr>
          <w:noProof/>
        </w:rPr>
        <w:t>7.2</w:t>
      </w:r>
      <w:r>
        <w:rPr>
          <w:rFonts w:asciiTheme="minorHAnsi" w:eastAsiaTheme="minorEastAsia" w:hAnsiTheme="minorHAnsi" w:cstheme="minorBidi"/>
          <w:noProof/>
          <w:sz w:val="22"/>
          <w:szCs w:val="22"/>
          <w:lang w:eastAsia="en-AU"/>
        </w:rPr>
        <w:tab/>
      </w:r>
      <w:r>
        <w:rPr>
          <w:noProof/>
        </w:rPr>
        <w:t>GDP deflator, market sector prices and the CPI, 1990s and 2000s</w:t>
      </w:r>
      <w:r>
        <w:rPr>
          <w:noProof/>
        </w:rPr>
        <w:tab/>
        <w:t>96</w:t>
      </w:r>
    </w:p>
    <w:p w:rsidR="00C36524" w:rsidRDefault="00C36524">
      <w:pPr>
        <w:pStyle w:val="TOC2"/>
        <w:tabs>
          <w:tab w:val="left" w:pos="1799"/>
        </w:tabs>
        <w:rPr>
          <w:rFonts w:asciiTheme="minorHAnsi" w:eastAsiaTheme="minorEastAsia" w:hAnsiTheme="minorHAnsi" w:cstheme="minorBidi"/>
          <w:noProof/>
          <w:sz w:val="22"/>
          <w:szCs w:val="22"/>
          <w:lang w:eastAsia="en-AU"/>
        </w:rPr>
      </w:pPr>
      <w:r w:rsidRPr="000C7718">
        <w:rPr>
          <w:noProof/>
        </w:rPr>
        <w:t>7.3</w:t>
      </w:r>
      <w:r>
        <w:rPr>
          <w:rFonts w:asciiTheme="minorHAnsi" w:eastAsiaTheme="minorEastAsia" w:hAnsiTheme="minorHAnsi" w:cstheme="minorBidi"/>
          <w:noProof/>
          <w:sz w:val="22"/>
          <w:szCs w:val="22"/>
          <w:lang w:eastAsia="en-AU"/>
        </w:rPr>
        <w:tab/>
      </w:r>
      <w:r>
        <w:rPr>
          <w:noProof/>
        </w:rPr>
        <w:t>Cumulative growth in labour productivity (LP), the real product wage (RPW) and the real consumption wage (RCW), 1990s and 2000s</w:t>
      </w:r>
      <w:r>
        <w:rPr>
          <w:noProof/>
        </w:rPr>
        <w:tab/>
      </w:r>
      <w:r>
        <w:rPr>
          <w:noProof/>
        </w:rPr>
        <w:tab/>
        <w:t>98</w:t>
      </w:r>
    </w:p>
    <w:p w:rsidR="00935ABF" w:rsidRPr="00101B30" w:rsidRDefault="00935ABF" w:rsidP="00101B30">
      <w:pPr>
        <w:pStyle w:val="TOC1"/>
      </w:pPr>
      <w:r w:rsidRPr="00935ABF">
        <w:fldChar w:fldCharType="end"/>
      </w:r>
      <w:r>
        <w:t>Tables</w:t>
      </w:r>
    </w:p>
    <w:p w:rsidR="00C36524" w:rsidRDefault="00935ABF">
      <w:pPr>
        <w:pStyle w:val="TOC2"/>
        <w:tabs>
          <w:tab w:val="left" w:pos="1760"/>
        </w:tabs>
        <w:rPr>
          <w:rFonts w:asciiTheme="minorHAnsi" w:eastAsiaTheme="minorEastAsia" w:hAnsiTheme="minorHAnsi" w:cstheme="minorBidi"/>
          <w:noProof/>
          <w:sz w:val="22"/>
          <w:szCs w:val="22"/>
          <w:lang w:eastAsia="en-AU"/>
        </w:rPr>
      </w:pPr>
      <w:r w:rsidRPr="00935ABF">
        <w:fldChar w:fldCharType="begin"/>
      </w:r>
      <w:r w:rsidRPr="00935ABF">
        <w:instrText xml:space="preserve"> TOC \t "Table Title,2" </w:instrText>
      </w:r>
      <w:r w:rsidRPr="00935ABF">
        <w:fldChar w:fldCharType="separate"/>
      </w:r>
      <w:r w:rsidR="00C36524" w:rsidRPr="003A479B">
        <w:rPr>
          <w:noProof/>
        </w:rPr>
        <w:t>2.1</w:t>
      </w:r>
      <w:r w:rsidR="00C36524">
        <w:rPr>
          <w:rFonts w:asciiTheme="minorHAnsi" w:eastAsiaTheme="minorEastAsia" w:hAnsiTheme="minorHAnsi" w:cstheme="minorBidi"/>
          <w:noProof/>
          <w:sz w:val="22"/>
          <w:szCs w:val="22"/>
          <w:lang w:eastAsia="en-AU"/>
        </w:rPr>
        <w:tab/>
      </w:r>
      <w:r w:rsidR="00C36524">
        <w:rPr>
          <w:noProof/>
        </w:rPr>
        <w:t>Average growth in Australia’s real GDP and GDI over decades</w:t>
      </w:r>
      <w:r w:rsidR="00C36524">
        <w:rPr>
          <w:noProof/>
        </w:rPr>
        <w:tab/>
        <w:t>27</w:t>
      </w:r>
    </w:p>
    <w:p w:rsidR="00C36524" w:rsidRDefault="00C36524">
      <w:pPr>
        <w:pStyle w:val="TOC2"/>
        <w:tabs>
          <w:tab w:val="left" w:pos="1760"/>
        </w:tabs>
        <w:rPr>
          <w:rFonts w:asciiTheme="minorHAnsi" w:eastAsiaTheme="minorEastAsia" w:hAnsiTheme="minorHAnsi" w:cstheme="minorBidi"/>
          <w:noProof/>
          <w:sz w:val="22"/>
          <w:szCs w:val="22"/>
          <w:lang w:eastAsia="en-AU"/>
        </w:rPr>
      </w:pPr>
      <w:r w:rsidRPr="003A479B">
        <w:rPr>
          <w:noProof/>
        </w:rPr>
        <w:t>2.2</w:t>
      </w:r>
      <w:r>
        <w:rPr>
          <w:rFonts w:asciiTheme="minorHAnsi" w:eastAsiaTheme="minorEastAsia" w:hAnsiTheme="minorHAnsi" w:cstheme="minorBidi"/>
          <w:noProof/>
          <w:sz w:val="22"/>
          <w:szCs w:val="22"/>
          <w:lang w:eastAsia="en-AU"/>
        </w:rPr>
        <w:tab/>
      </w:r>
      <w:r>
        <w:rPr>
          <w:noProof/>
        </w:rPr>
        <w:t>Decomposition of average annual growth in GDI</w:t>
      </w:r>
      <w:r>
        <w:rPr>
          <w:noProof/>
        </w:rPr>
        <w:tab/>
        <w:t>28</w:t>
      </w:r>
    </w:p>
    <w:p w:rsidR="00C36524" w:rsidRDefault="00C36524">
      <w:pPr>
        <w:pStyle w:val="TOC2"/>
        <w:tabs>
          <w:tab w:val="left" w:pos="1760"/>
        </w:tabs>
        <w:rPr>
          <w:rFonts w:asciiTheme="minorHAnsi" w:eastAsiaTheme="minorEastAsia" w:hAnsiTheme="minorHAnsi" w:cstheme="minorBidi"/>
          <w:noProof/>
          <w:sz w:val="22"/>
          <w:szCs w:val="22"/>
          <w:lang w:eastAsia="en-AU"/>
        </w:rPr>
      </w:pPr>
      <w:r w:rsidRPr="003A479B">
        <w:rPr>
          <w:noProof/>
        </w:rPr>
        <w:t>2.3</w:t>
      </w:r>
      <w:r>
        <w:rPr>
          <w:rFonts w:asciiTheme="minorHAnsi" w:eastAsiaTheme="minorEastAsia" w:hAnsiTheme="minorHAnsi" w:cstheme="minorBidi"/>
          <w:noProof/>
          <w:sz w:val="22"/>
          <w:szCs w:val="22"/>
          <w:lang w:eastAsia="en-AU"/>
        </w:rPr>
        <w:tab/>
      </w:r>
      <w:r>
        <w:rPr>
          <w:noProof/>
        </w:rPr>
        <w:t>Industry growth in nominal value added and industry shares: 1990s and 2000s</w:t>
      </w:r>
      <w:r>
        <w:rPr>
          <w:noProof/>
        </w:rPr>
        <w:tab/>
        <w:t>33</w:t>
      </w:r>
    </w:p>
    <w:p w:rsidR="00C36524" w:rsidRDefault="00C36524">
      <w:pPr>
        <w:pStyle w:val="TOC2"/>
        <w:tabs>
          <w:tab w:val="left" w:pos="1760"/>
        </w:tabs>
        <w:rPr>
          <w:rFonts w:asciiTheme="minorHAnsi" w:eastAsiaTheme="minorEastAsia" w:hAnsiTheme="minorHAnsi" w:cstheme="minorBidi"/>
          <w:noProof/>
          <w:sz w:val="22"/>
          <w:szCs w:val="22"/>
          <w:lang w:eastAsia="en-AU"/>
        </w:rPr>
      </w:pPr>
      <w:r w:rsidRPr="003A479B">
        <w:rPr>
          <w:noProof/>
        </w:rPr>
        <w:t>2.4</w:t>
      </w:r>
      <w:r>
        <w:rPr>
          <w:rFonts w:asciiTheme="minorHAnsi" w:eastAsiaTheme="minorEastAsia" w:hAnsiTheme="minorHAnsi" w:cstheme="minorBidi"/>
          <w:noProof/>
          <w:sz w:val="22"/>
          <w:szCs w:val="22"/>
          <w:lang w:eastAsia="en-AU"/>
        </w:rPr>
        <w:tab/>
      </w:r>
      <w:r>
        <w:rPr>
          <w:noProof/>
        </w:rPr>
        <w:t>Industry contributions to growth in market sector income, 1990s and 2000s</w:t>
      </w:r>
      <w:r>
        <w:rPr>
          <w:noProof/>
        </w:rPr>
        <w:tab/>
        <w:t>35</w:t>
      </w:r>
    </w:p>
    <w:p w:rsidR="00C36524" w:rsidRDefault="00C36524">
      <w:pPr>
        <w:pStyle w:val="TOC2"/>
        <w:tabs>
          <w:tab w:val="left" w:pos="1760"/>
        </w:tabs>
        <w:rPr>
          <w:rFonts w:asciiTheme="minorHAnsi" w:eastAsiaTheme="minorEastAsia" w:hAnsiTheme="minorHAnsi" w:cstheme="minorBidi"/>
          <w:noProof/>
          <w:sz w:val="22"/>
          <w:szCs w:val="22"/>
          <w:lang w:eastAsia="en-AU"/>
        </w:rPr>
      </w:pPr>
      <w:r w:rsidRPr="003A479B">
        <w:rPr>
          <w:noProof/>
        </w:rPr>
        <w:t>4.1</w:t>
      </w:r>
      <w:r>
        <w:rPr>
          <w:rFonts w:asciiTheme="minorHAnsi" w:eastAsiaTheme="minorEastAsia" w:hAnsiTheme="minorHAnsi" w:cstheme="minorBidi"/>
          <w:noProof/>
          <w:sz w:val="22"/>
          <w:szCs w:val="22"/>
          <w:lang w:eastAsia="en-AU"/>
        </w:rPr>
        <w:tab/>
      </w:r>
      <w:r>
        <w:rPr>
          <w:noProof/>
        </w:rPr>
        <w:t>Growth in labour, capital and total income, 1990s and 2000s</w:t>
      </w:r>
      <w:r>
        <w:rPr>
          <w:noProof/>
        </w:rPr>
        <w:tab/>
        <w:t>54</w:t>
      </w:r>
    </w:p>
    <w:p w:rsidR="00C36524" w:rsidRDefault="00C36524">
      <w:pPr>
        <w:pStyle w:val="TOC2"/>
        <w:tabs>
          <w:tab w:val="left" w:pos="1760"/>
        </w:tabs>
        <w:rPr>
          <w:rFonts w:asciiTheme="minorHAnsi" w:eastAsiaTheme="minorEastAsia" w:hAnsiTheme="minorHAnsi" w:cstheme="minorBidi"/>
          <w:noProof/>
          <w:sz w:val="22"/>
          <w:szCs w:val="22"/>
          <w:lang w:eastAsia="en-AU"/>
        </w:rPr>
      </w:pPr>
      <w:r w:rsidRPr="003A479B">
        <w:rPr>
          <w:noProof/>
        </w:rPr>
        <w:lastRenderedPageBreak/>
        <w:t>4.2</w:t>
      </w:r>
      <w:r>
        <w:rPr>
          <w:rFonts w:asciiTheme="minorHAnsi" w:eastAsiaTheme="minorEastAsia" w:hAnsiTheme="minorHAnsi" w:cstheme="minorBidi"/>
          <w:noProof/>
          <w:sz w:val="22"/>
          <w:szCs w:val="22"/>
          <w:lang w:eastAsia="en-AU"/>
        </w:rPr>
        <w:tab/>
      </w:r>
      <w:r>
        <w:rPr>
          <w:noProof/>
        </w:rPr>
        <w:t>Rate of growth in factor proportions, reward ratios and their components</w:t>
      </w:r>
      <w:r>
        <w:rPr>
          <w:noProof/>
        </w:rPr>
        <w:tab/>
        <w:t>58</w:t>
      </w:r>
    </w:p>
    <w:p w:rsidR="00C36524" w:rsidRDefault="00C36524">
      <w:pPr>
        <w:pStyle w:val="TOC2"/>
        <w:tabs>
          <w:tab w:val="left" w:pos="1760"/>
        </w:tabs>
        <w:rPr>
          <w:rFonts w:asciiTheme="minorHAnsi" w:eastAsiaTheme="minorEastAsia" w:hAnsiTheme="minorHAnsi" w:cstheme="minorBidi"/>
          <w:noProof/>
          <w:sz w:val="22"/>
          <w:szCs w:val="22"/>
          <w:lang w:eastAsia="en-AU"/>
        </w:rPr>
      </w:pPr>
      <w:r w:rsidRPr="003A479B">
        <w:rPr>
          <w:noProof/>
        </w:rPr>
        <w:t>4.3</w:t>
      </w:r>
      <w:r>
        <w:rPr>
          <w:rFonts w:asciiTheme="minorHAnsi" w:eastAsiaTheme="minorEastAsia" w:hAnsiTheme="minorHAnsi" w:cstheme="minorBidi"/>
          <w:noProof/>
          <w:sz w:val="22"/>
          <w:szCs w:val="22"/>
          <w:lang w:eastAsia="en-AU"/>
        </w:rPr>
        <w:tab/>
      </w:r>
      <w:r>
        <w:rPr>
          <w:noProof/>
        </w:rPr>
        <w:t>Decomposition of growth in real unit labour costs into growth in the real product wage and growth in labour productivity</w:t>
      </w:r>
      <w:r>
        <w:rPr>
          <w:noProof/>
        </w:rPr>
        <w:tab/>
        <w:t>62</w:t>
      </w:r>
    </w:p>
    <w:p w:rsidR="00C36524" w:rsidRDefault="00C36524">
      <w:pPr>
        <w:pStyle w:val="TOC2"/>
        <w:tabs>
          <w:tab w:val="left" w:pos="1760"/>
        </w:tabs>
        <w:rPr>
          <w:rFonts w:asciiTheme="minorHAnsi" w:eastAsiaTheme="minorEastAsia" w:hAnsiTheme="minorHAnsi" w:cstheme="minorBidi"/>
          <w:noProof/>
          <w:sz w:val="22"/>
          <w:szCs w:val="22"/>
          <w:lang w:eastAsia="en-AU"/>
        </w:rPr>
      </w:pPr>
      <w:r w:rsidRPr="003A479B">
        <w:rPr>
          <w:noProof/>
        </w:rPr>
        <w:t>5.1</w:t>
      </w:r>
      <w:r>
        <w:rPr>
          <w:rFonts w:asciiTheme="minorHAnsi" w:eastAsiaTheme="minorEastAsia" w:hAnsiTheme="minorHAnsi" w:cstheme="minorBidi"/>
          <w:noProof/>
          <w:sz w:val="22"/>
          <w:szCs w:val="22"/>
          <w:lang w:eastAsia="en-AU"/>
        </w:rPr>
        <w:tab/>
      </w:r>
      <w:r>
        <w:rPr>
          <w:noProof/>
        </w:rPr>
        <w:t>Growth in labour income by industry and industry shares in market sector labour income</w:t>
      </w:r>
      <w:r>
        <w:rPr>
          <w:noProof/>
        </w:rPr>
        <w:tab/>
        <w:t>67</w:t>
      </w:r>
    </w:p>
    <w:p w:rsidR="00C36524" w:rsidRDefault="00C36524">
      <w:pPr>
        <w:pStyle w:val="TOC2"/>
        <w:tabs>
          <w:tab w:val="left" w:pos="1760"/>
        </w:tabs>
        <w:rPr>
          <w:rFonts w:asciiTheme="minorHAnsi" w:eastAsiaTheme="minorEastAsia" w:hAnsiTheme="minorHAnsi" w:cstheme="minorBidi"/>
          <w:noProof/>
          <w:sz w:val="22"/>
          <w:szCs w:val="22"/>
          <w:lang w:eastAsia="en-AU"/>
        </w:rPr>
      </w:pPr>
      <w:r w:rsidRPr="003A479B">
        <w:rPr>
          <w:noProof/>
        </w:rPr>
        <w:t>5.2</w:t>
      </w:r>
      <w:r>
        <w:rPr>
          <w:rFonts w:asciiTheme="minorHAnsi" w:eastAsiaTheme="minorEastAsia" w:hAnsiTheme="minorHAnsi" w:cstheme="minorBidi"/>
          <w:noProof/>
          <w:sz w:val="22"/>
          <w:szCs w:val="22"/>
          <w:lang w:eastAsia="en-AU"/>
        </w:rPr>
        <w:tab/>
      </w:r>
      <w:r>
        <w:rPr>
          <w:noProof/>
        </w:rPr>
        <w:t>Growth in capital income by industry and industry shares in market sector capital income</w:t>
      </w:r>
      <w:r>
        <w:rPr>
          <w:noProof/>
        </w:rPr>
        <w:tab/>
        <w:t>68</w:t>
      </w:r>
    </w:p>
    <w:p w:rsidR="00C36524" w:rsidRDefault="00C36524">
      <w:pPr>
        <w:pStyle w:val="TOC2"/>
        <w:tabs>
          <w:tab w:val="left" w:pos="1760"/>
        </w:tabs>
        <w:rPr>
          <w:rFonts w:asciiTheme="minorHAnsi" w:eastAsiaTheme="minorEastAsia" w:hAnsiTheme="minorHAnsi" w:cstheme="minorBidi"/>
          <w:noProof/>
          <w:sz w:val="22"/>
          <w:szCs w:val="22"/>
          <w:lang w:eastAsia="en-AU"/>
        </w:rPr>
      </w:pPr>
      <w:r w:rsidRPr="003A479B">
        <w:rPr>
          <w:noProof/>
        </w:rPr>
        <w:t>5.3</w:t>
      </w:r>
      <w:r>
        <w:rPr>
          <w:rFonts w:asciiTheme="minorHAnsi" w:eastAsiaTheme="minorEastAsia" w:hAnsiTheme="minorHAnsi" w:cstheme="minorBidi"/>
          <w:noProof/>
          <w:sz w:val="22"/>
          <w:szCs w:val="22"/>
          <w:lang w:eastAsia="en-AU"/>
        </w:rPr>
        <w:tab/>
      </w:r>
      <w:r>
        <w:rPr>
          <w:noProof/>
        </w:rPr>
        <w:t>Industry labour income shares</w:t>
      </w:r>
      <w:r>
        <w:rPr>
          <w:noProof/>
        </w:rPr>
        <w:tab/>
        <w:t>69</w:t>
      </w:r>
    </w:p>
    <w:p w:rsidR="00C36524" w:rsidRDefault="00C36524">
      <w:pPr>
        <w:pStyle w:val="TOC2"/>
        <w:tabs>
          <w:tab w:val="left" w:pos="1760"/>
        </w:tabs>
        <w:rPr>
          <w:rFonts w:asciiTheme="minorHAnsi" w:eastAsiaTheme="minorEastAsia" w:hAnsiTheme="minorHAnsi" w:cstheme="minorBidi"/>
          <w:noProof/>
          <w:sz w:val="22"/>
          <w:szCs w:val="22"/>
          <w:lang w:eastAsia="en-AU"/>
        </w:rPr>
      </w:pPr>
      <w:r w:rsidRPr="003A479B">
        <w:rPr>
          <w:noProof/>
        </w:rPr>
        <w:t>5.4</w:t>
      </w:r>
      <w:r>
        <w:rPr>
          <w:rFonts w:asciiTheme="minorHAnsi" w:eastAsiaTheme="minorEastAsia" w:hAnsiTheme="minorHAnsi" w:cstheme="minorBidi"/>
          <w:noProof/>
          <w:sz w:val="22"/>
          <w:szCs w:val="22"/>
          <w:lang w:eastAsia="en-AU"/>
        </w:rPr>
        <w:tab/>
      </w:r>
      <w:r>
        <w:rPr>
          <w:noProof/>
        </w:rPr>
        <w:t>Industry contributions to the change in the market sector LIS through within, between and total effects</w:t>
      </w:r>
      <w:r>
        <w:rPr>
          <w:noProof/>
        </w:rPr>
        <w:tab/>
        <w:t>72</w:t>
      </w:r>
    </w:p>
    <w:p w:rsidR="00C36524" w:rsidRDefault="00C36524">
      <w:pPr>
        <w:pStyle w:val="TOC2"/>
        <w:tabs>
          <w:tab w:val="left" w:pos="1760"/>
        </w:tabs>
        <w:rPr>
          <w:rFonts w:asciiTheme="minorHAnsi" w:eastAsiaTheme="minorEastAsia" w:hAnsiTheme="minorHAnsi" w:cstheme="minorBidi"/>
          <w:noProof/>
          <w:sz w:val="22"/>
          <w:szCs w:val="22"/>
          <w:lang w:eastAsia="en-AU"/>
        </w:rPr>
      </w:pPr>
      <w:r w:rsidRPr="003A479B">
        <w:rPr>
          <w:noProof/>
        </w:rPr>
        <w:t>5.5</w:t>
      </w:r>
      <w:r>
        <w:rPr>
          <w:rFonts w:asciiTheme="minorHAnsi" w:eastAsiaTheme="minorEastAsia" w:hAnsiTheme="minorHAnsi" w:cstheme="minorBidi"/>
          <w:noProof/>
          <w:sz w:val="22"/>
          <w:szCs w:val="22"/>
          <w:lang w:eastAsia="en-AU"/>
        </w:rPr>
        <w:tab/>
      </w:r>
      <w:r>
        <w:rPr>
          <w:noProof/>
        </w:rPr>
        <w:t>Industry contributions to the growth gap between labour income and capital income in the 2000s decade</w:t>
      </w:r>
      <w:r>
        <w:rPr>
          <w:noProof/>
        </w:rPr>
        <w:tab/>
        <w:t>76</w:t>
      </w:r>
    </w:p>
    <w:p w:rsidR="00C36524" w:rsidRDefault="00C36524">
      <w:pPr>
        <w:pStyle w:val="TOC2"/>
        <w:tabs>
          <w:tab w:val="left" w:pos="1760"/>
        </w:tabs>
        <w:rPr>
          <w:rFonts w:asciiTheme="minorHAnsi" w:eastAsiaTheme="minorEastAsia" w:hAnsiTheme="minorHAnsi" w:cstheme="minorBidi"/>
          <w:noProof/>
          <w:sz w:val="22"/>
          <w:szCs w:val="22"/>
          <w:lang w:eastAsia="en-AU"/>
        </w:rPr>
      </w:pPr>
      <w:r w:rsidRPr="003A479B">
        <w:rPr>
          <w:noProof/>
        </w:rPr>
        <w:t>5.6</w:t>
      </w:r>
      <w:r>
        <w:rPr>
          <w:rFonts w:asciiTheme="minorHAnsi" w:eastAsiaTheme="minorEastAsia" w:hAnsiTheme="minorHAnsi" w:cstheme="minorBidi"/>
          <w:noProof/>
          <w:sz w:val="22"/>
          <w:szCs w:val="22"/>
          <w:lang w:eastAsia="en-AU"/>
        </w:rPr>
        <w:tab/>
      </w:r>
      <w:r>
        <w:rPr>
          <w:noProof/>
        </w:rPr>
        <w:t>Changes in industry contributions to labour income growth, capital income growth and to the wider gap between labour and capital income growth</w:t>
      </w:r>
      <w:r>
        <w:rPr>
          <w:noProof/>
        </w:rPr>
        <w:tab/>
        <w:t>78</w:t>
      </w:r>
    </w:p>
    <w:p w:rsidR="00C36524" w:rsidRDefault="00C36524">
      <w:pPr>
        <w:pStyle w:val="TOC2"/>
        <w:tabs>
          <w:tab w:val="left" w:pos="1760"/>
        </w:tabs>
        <w:rPr>
          <w:rFonts w:asciiTheme="minorHAnsi" w:eastAsiaTheme="minorEastAsia" w:hAnsiTheme="minorHAnsi" w:cstheme="minorBidi"/>
          <w:noProof/>
          <w:sz w:val="22"/>
          <w:szCs w:val="22"/>
          <w:lang w:eastAsia="en-AU"/>
        </w:rPr>
      </w:pPr>
      <w:r w:rsidRPr="003A479B">
        <w:rPr>
          <w:noProof/>
        </w:rPr>
        <w:t>5.7</w:t>
      </w:r>
      <w:r>
        <w:rPr>
          <w:rFonts w:asciiTheme="minorHAnsi" w:eastAsiaTheme="minorEastAsia" w:hAnsiTheme="minorHAnsi" w:cstheme="minorBidi"/>
          <w:noProof/>
          <w:sz w:val="22"/>
          <w:szCs w:val="22"/>
          <w:lang w:eastAsia="en-AU"/>
        </w:rPr>
        <w:tab/>
      </w:r>
      <w:r>
        <w:rPr>
          <w:noProof/>
        </w:rPr>
        <w:t>Scale and reallocation contributions in the 2000s to labour income growth, capital income growth and the difference between them</w:t>
      </w:r>
      <w:r>
        <w:rPr>
          <w:noProof/>
        </w:rPr>
        <w:tab/>
        <w:t>80</w:t>
      </w:r>
    </w:p>
    <w:p w:rsidR="00C36524" w:rsidRDefault="00C36524">
      <w:pPr>
        <w:pStyle w:val="TOC2"/>
        <w:tabs>
          <w:tab w:val="left" w:pos="1760"/>
        </w:tabs>
        <w:rPr>
          <w:rFonts w:asciiTheme="minorHAnsi" w:eastAsiaTheme="minorEastAsia" w:hAnsiTheme="minorHAnsi" w:cstheme="minorBidi"/>
          <w:noProof/>
          <w:sz w:val="22"/>
          <w:szCs w:val="22"/>
          <w:lang w:eastAsia="en-AU"/>
        </w:rPr>
      </w:pPr>
      <w:r w:rsidRPr="003A479B">
        <w:rPr>
          <w:noProof/>
        </w:rPr>
        <w:t>6.1</w:t>
      </w:r>
      <w:r>
        <w:rPr>
          <w:rFonts w:asciiTheme="minorHAnsi" w:eastAsiaTheme="minorEastAsia" w:hAnsiTheme="minorHAnsi" w:cstheme="minorBidi"/>
          <w:noProof/>
          <w:sz w:val="22"/>
          <w:szCs w:val="22"/>
          <w:lang w:eastAsia="en-AU"/>
        </w:rPr>
        <w:tab/>
      </w:r>
      <w:r>
        <w:rPr>
          <w:noProof/>
        </w:rPr>
        <w:t>Industry contributions to the gap in growth between reward ratios and factor proportions, 1990s and 2000s</w:t>
      </w:r>
      <w:r>
        <w:rPr>
          <w:noProof/>
        </w:rPr>
        <w:tab/>
        <w:t>87</w:t>
      </w:r>
    </w:p>
    <w:p w:rsidR="00C36524" w:rsidRDefault="00C36524">
      <w:pPr>
        <w:pStyle w:val="TOC2"/>
        <w:tabs>
          <w:tab w:val="left" w:pos="1760"/>
        </w:tabs>
        <w:rPr>
          <w:rFonts w:asciiTheme="minorHAnsi" w:eastAsiaTheme="minorEastAsia" w:hAnsiTheme="minorHAnsi" w:cstheme="minorBidi"/>
          <w:noProof/>
          <w:sz w:val="22"/>
          <w:szCs w:val="22"/>
          <w:lang w:eastAsia="en-AU"/>
        </w:rPr>
      </w:pPr>
      <w:r w:rsidRPr="003A479B">
        <w:rPr>
          <w:noProof/>
        </w:rPr>
        <w:t>6.2</w:t>
      </w:r>
      <w:r>
        <w:rPr>
          <w:rFonts w:asciiTheme="minorHAnsi" w:eastAsiaTheme="minorEastAsia" w:hAnsiTheme="minorHAnsi" w:cstheme="minorBidi"/>
          <w:noProof/>
          <w:sz w:val="22"/>
          <w:szCs w:val="22"/>
          <w:lang w:eastAsia="en-AU"/>
        </w:rPr>
        <w:tab/>
      </w:r>
      <w:r>
        <w:rPr>
          <w:noProof/>
        </w:rPr>
        <w:t>Industry contributions to the real product wage (RPW), labour productivity (LP) and real unit labour costs (RULC), 1990s and 2000s</w:t>
      </w:r>
      <w:r>
        <w:rPr>
          <w:noProof/>
        </w:rPr>
        <w:tab/>
      </w:r>
      <w:r>
        <w:rPr>
          <w:noProof/>
        </w:rPr>
        <w:tab/>
        <w:t>90</w:t>
      </w:r>
    </w:p>
    <w:p w:rsidR="00C36524" w:rsidRDefault="00C36524">
      <w:pPr>
        <w:pStyle w:val="TOC2"/>
        <w:tabs>
          <w:tab w:val="left" w:pos="1760"/>
        </w:tabs>
        <w:rPr>
          <w:rFonts w:asciiTheme="minorHAnsi" w:eastAsiaTheme="minorEastAsia" w:hAnsiTheme="minorHAnsi" w:cstheme="minorBidi"/>
          <w:noProof/>
          <w:sz w:val="22"/>
          <w:szCs w:val="22"/>
          <w:lang w:eastAsia="en-AU"/>
        </w:rPr>
      </w:pPr>
      <w:r w:rsidRPr="003A479B">
        <w:rPr>
          <w:noProof/>
        </w:rPr>
        <w:t>6.3</w:t>
      </w:r>
      <w:r>
        <w:rPr>
          <w:rFonts w:asciiTheme="minorHAnsi" w:eastAsiaTheme="minorEastAsia" w:hAnsiTheme="minorHAnsi" w:cstheme="minorBidi"/>
          <w:noProof/>
          <w:sz w:val="22"/>
          <w:szCs w:val="22"/>
          <w:lang w:eastAsia="en-AU"/>
        </w:rPr>
        <w:tab/>
      </w:r>
      <w:r>
        <w:rPr>
          <w:noProof/>
        </w:rPr>
        <w:t>Industry contributions to market sector product price inflation, 1990s and 2000s</w:t>
      </w:r>
      <w:r>
        <w:rPr>
          <w:noProof/>
        </w:rPr>
        <w:tab/>
        <w:t>93</w:t>
      </w:r>
    </w:p>
    <w:p w:rsidR="00C36524" w:rsidRDefault="00C36524">
      <w:pPr>
        <w:pStyle w:val="TOC2"/>
        <w:tabs>
          <w:tab w:val="left" w:pos="1760"/>
        </w:tabs>
        <w:rPr>
          <w:rFonts w:asciiTheme="minorHAnsi" w:eastAsiaTheme="minorEastAsia" w:hAnsiTheme="minorHAnsi" w:cstheme="minorBidi"/>
          <w:noProof/>
          <w:sz w:val="22"/>
          <w:szCs w:val="22"/>
          <w:lang w:eastAsia="en-AU"/>
        </w:rPr>
      </w:pPr>
      <w:r w:rsidRPr="003A479B">
        <w:rPr>
          <w:noProof/>
        </w:rPr>
        <w:t>7.1</w:t>
      </w:r>
      <w:r>
        <w:rPr>
          <w:rFonts w:asciiTheme="minorHAnsi" w:eastAsiaTheme="minorEastAsia" w:hAnsiTheme="minorHAnsi" w:cstheme="minorBidi"/>
          <w:noProof/>
          <w:sz w:val="22"/>
          <w:szCs w:val="22"/>
          <w:lang w:eastAsia="en-AU"/>
        </w:rPr>
        <w:tab/>
      </w:r>
      <w:r>
        <w:rPr>
          <w:noProof/>
        </w:rPr>
        <w:t>Growth in productivity, prices and real wages</w:t>
      </w:r>
      <w:r>
        <w:rPr>
          <w:noProof/>
        </w:rPr>
        <w:tab/>
        <w:t>98</w:t>
      </w:r>
    </w:p>
    <w:p w:rsidR="00935ABF" w:rsidRPr="00935ABF" w:rsidRDefault="00935ABF" w:rsidP="00935ABF">
      <w:pPr>
        <w:pStyle w:val="TOC2"/>
      </w:pPr>
      <w:r w:rsidRPr="00935ABF">
        <w:fldChar w:fldCharType="end"/>
      </w:r>
    </w:p>
    <w:p w:rsidR="00935ABF" w:rsidRPr="00935ABF" w:rsidRDefault="00935ABF" w:rsidP="00935ABF">
      <w:pPr>
        <w:pStyle w:val="BodyText"/>
      </w:pPr>
    </w:p>
    <w:p w:rsidR="00735FEA" w:rsidRDefault="00735FEA">
      <w:pPr>
        <w:pStyle w:val="BodyText"/>
        <w:sectPr w:rsidR="00735FEA" w:rsidSect="005537F6">
          <w:headerReference w:type="even" r:id="rId9"/>
          <w:headerReference w:type="default" r:id="rId10"/>
          <w:footerReference w:type="even" r:id="rId11"/>
          <w:footerReference w:type="default" r:id="rId12"/>
          <w:type w:val="oddPage"/>
          <w:pgSz w:w="11907" w:h="16840" w:code="9"/>
          <w:pgMar w:top="1985" w:right="1304" w:bottom="1418" w:left="1814" w:header="1701" w:footer="567" w:gutter="0"/>
          <w:pgNumType w:fmt="lowerRoman"/>
          <w:cols w:space="720"/>
        </w:sectPr>
      </w:pPr>
    </w:p>
    <w:p w:rsidR="00935ABF" w:rsidRDefault="00935ABF">
      <w:pPr>
        <w:pStyle w:val="Heading1"/>
      </w:pPr>
      <w:bookmarkStart w:id="6" w:name="Abbreviations"/>
      <w:bookmarkStart w:id="7" w:name="RDnote"/>
      <w:bookmarkStart w:id="8" w:name="_Toc367362448"/>
      <w:bookmarkEnd w:id="6"/>
      <w:bookmarkEnd w:id="7"/>
      <w:r>
        <w:lastRenderedPageBreak/>
        <w:t>Visiting Researcher papers</w:t>
      </w:r>
      <w:bookmarkEnd w:id="8"/>
    </w:p>
    <w:p w:rsidR="00935ABF" w:rsidRPr="008F1151" w:rsidRDefault="00935ABF" w:rsidP="00935ABF">
      <w:pPr>
        <w:pStyle w:val="BodyText"/>
      </w:pPr>
      <w:r w:rsidRPr="008F1151">
        <w:t xml:space="preserve">This publication </w:t>
      </w:r>
      <w:r>
        <w:t xml:space="preserve">is the </w:t>
      </w:r>
      <w:r w:rsidR="00447AB8">
        <w:t>fourth</w:t>
      </w:r>
      <w:r>
        <w:t xml:space="preserve"> in an occasional series</w:t>
      </w:r>
      <w:r w:rsidRPr="008F1151">
        <w:t xml:space="preserve"> </w:t>
      </w:r>
      <w:r>
        <w:t>presenting</w:t>
      </w:r>
      <w:r w:rsidRPr="008F1151">
        <w:t xml:space="preserve"> the work of </w:t>
      </w:r>
      <w:r>
        <w:t>v</w:t>
      </w:r>
      <w:r w:rsidRPr="008F1151">
        <w:t xml:space="preserve">isiting </w:t>
      </w:r>
      <w:r>
        <w:t>r</w:t>
      </w:r>
      <w:r w:rsidRPr="008F1151">
        <w:t>esearchers</w:t>
      </w:r>
      <w:r>
        <w:t xml:space="preserve"> at the Productivity Commission</w:t>
      </w:r>
      <w:r w:rsidRPr="008F1151">
        <w:t>.</w:t>
      </w:r>
    </w:p>
    <w:p w:rsidR="00935ABF" w:rsidRPr="008F1151" w:rsidRDefault="00935ABF" w:rsidP="00935ABF">
      <w:pPr>
        <w:pStyle w:val="BodyText"/>
      </w:pPr>
      <w:r w:rsidRPr="008F1151">
        <w:t xml:space="preserve">In support of </w:t>
      </w:r>
      <w:r>
        <w:t>it</w:t>
      </w:r>
      <w:r w:rsidRPr="008F1151">
        <w:t>s core function of conducting public inquiries and studies commissioned by the Government on key policy and regulatory issues, the Commission conducts supporting research into diverse issues concerning productivity and its determinants, environmental and resource management, labour markets, and economic models and frameworks to aid policy analysis.</w:t>
      </w:r>
    </w:p>
    <w:p w:rsidR="00935ABF" w:rsidRPr="008F1151" w:rsidRDefault="00935ABF" w:rsidP="00935ABF">
      <w:pPr>
        <w:pStyle w:val="BodyText"/>
      </w:pPr>
      <w:r w:rsidRPr="008F1151">
        <w:t>To assist the research effort, the Visiting Researcher Program seeks to attract established researchers in areas closely related to the Commission</w:t>
      </w:r>
      <w:r>
        <w:t>’</w:t>
      </w:r>
      <w:r w:rsidRPr="008F1151">
        <w:t xml:space="preserve">s primary research themes. Visiting </w:t>
      </w:r>
      <w:r>
        <w:t>r</w:t>
      </w:r>
      <w:r w:rsidRPr="008F1151">
        <w:t>esearchers share their expertise and knowledge with Commission staff and contribute to the work of the Commission during appointments which are usually for terms up to one year.</w:t>
      </w:r>
    </w:p>
    <w:p w:rsidR="00935ABF" w:rsidRPr="008F1151" w:rsidRDefault="00935ABF" w:rsidP="00935ABF">
      <w:pPr>
        <w:pStyle w:val="BodyText"/>
      </w:pPr>
      <w:r w:rsidRPr="008F1151">
        <w:t xml:space="preserve">During their stay with the Commission, </w:t>
      </w:r>
      <w:r>
        <w:t>v</w:t>
      </w:r>
      <w:r w:rsidRPr="008F1151">
        <w:t xml:space="preserve">isiting </w:t>
      </w:r>
      <w:r>
        <w:t>r</w:t>
      </w:r>
      <w:r w:rsidRPr="008F1151">
        <w:t>esearchers take an active interest in the work of the Commission and</w:t>
      </w:r>
      <w:r>
        <w:t xml:space="preserve"> mentor</w:t>
      </w:r>
      <w:r w:rsidRPr="008F1151">
        <w:t xml:space="preserve"> its staff. It is common for </w:t>
      </w:r>
      <w:r>
        <w:t>v</w:t>
      </w:r>
      <w:r w:rsidRPr="008F1151">
        <w:t xml:space="preserve">isiting </w:t>
      </w:r>
      <w:r>
        <w:t>r</w:t>
      </w:r>
      <w:r w:rsidRPr="008F1151">
        <w:t xml:space="preserve">esearchers not only to conduct their own research in conjunction with Commission staff but also to contribute to the research work of others in their areas of expertise. </w:t>
      </w:r>
      <w:r>
        <w:t xml:space="preserve">However, </w:t>
      </w:r>
      <w:r w:rsidRPr="0012722E">
        <w:rPr>
          <w:i/>
        </w:rPr>
        <w:t xml:space="preserve">the views expressed in this series are those of the </w:t>
      </w:r>
      <w:r>
        <w:rPr>
          <w:i/>
        </w:rPr>
        <w:t>v</w:t>
      </w:r>
      <w:r w:rsidRPr="0012722E">
        <w:rPr>
          <w:i/>
        </w:rPr>
        <w:t xml:space="preserve">isiting </w:t>
      </w:r>
      <w:r>
        <w:rPr>
          <w:i/>
        </w:rPr>
        <w:t>r</w:t>
      </w:r>
      <w:r w:rsidRPr="0012722E">
        <w:rPr>
          <w:i/>
        </w:rPr>
        <w:t>esearchers themselves, and do not necessarily represent those of the Commission</w:t>
      </w:r>
      <w:r w:rsidRPr="008F1151">
        <w:t>.</w:t>
      </w:r>
    </w:p>
    <w:p w:rsidR="00935ABF" w:rsidRDefault="00935ABF" w:rsidP="00935ABF">
      <w:pPr>
        <w:pStyle w:val="BodyText"/>
        <w:rPr>
          <w:lang w:eastAsia="en-AU"/>
        </w:rPr>
      </w:pPr>
      <w:r w:rsidRPr="008F1151">
        <w:t xml:space="preserve">More details on the Visiting Researcher Program </w:t>
      </w:r>
      <w:r>
        <w:t xml:space="preserve">and released papers </w:t>
      </w:r>
      <w:r w:rsidRPr="008F1151">
        <w:t>are available on the Commission</w:t>
      </w:r>
      <w:r>
        <w:t>’</w:t>
      </w:r>
      <w:r w:rsidRPr="008F1151">
        <w:t>s</w:t>
      </w:r>
      <w:r>
        <w:t xml:space="preserve"> </w:t>
      </w:r>
      <w:r w:rsidRPr="008F1151">
        <w:t xml:space="preserve">website at </w:t>
      </w:r>
      <w:r w:rsidRPr="00687EC6">
        <w:t>www.pc.gov.au/research</w:t>
      </w:r>
      <w:r>
        <w:t>.</w:t>
      </w:r>
    </w:p>
    <w:p w:rsidR="00935ABF" w:rsidRDefault="00935ABF" w:rsidP="00935ABF">
      <w:pPr>
        <w:pStyle w:val="BodyText"/>
      </w:pPr>
    </w:p>
    <w:p w:rsidR="00935ABF" w:rsidRPr="00935ABF" w:rsidRDefault="00935ABF" w:rsidP="00935ABF">
      <w:pPr>
        <w:pStyle w:val="BodyText"/>
      </w:pPr>
    </w:p>
    <w:p w:rsidR="00935ABF" w:rsidRDefault="00935ABF">
      <w:pPr>
        <w:pStyle w:val="BodyText"/>
        <w:sectPr w:rsidR="00935ABF" w:rsidSect="00537BB4">
          <w:headerReference w:type="even" r:id="rId13"/>
          <w:headerReference w:type="default" r:id="rId14"/>
          <w:footerReference w:type="even" r:id="rId15"/>
          <w:footerReference w:type="default" r:id="rId16"/>
          <w:pgSz w:w="11906" w:h="16838" w:code="9"/>
          <w:pgMar w:top="1985" w:right="1304" w:bottom="1418" w:left="1814" w:header="1701" w:footer="567" w:gutter="0"/>
          <w:pgNumType w:fmt="lowerRoman"/>
          <w:cols w:space="708"/>
          <w:docGrid w:linePitch="360"/>
        </w:sectPr>
      </w:pPr>
    </w:p>
    <w:p w:rsidR="008E315F" w:rsidRDefault="008E315F">
      <w:pPr>
        <w:pStyle w:val="Heading1"/>
      </w:pPr>
      <w:bookmarkStart w:id="9" w:name="_Toc367362449"/>
      <w:r>
        <w:lastRenderedPageBreak/>
        <w:t>Preface</w:t>
      </w:r>
      <w:bookmarkEnd w:id="9"/>
    </w:p>
    <w:p w:rsidR="00447AB8" w:rsidRPr="00447AB8" w:rsidRDefault="00447AB8" w:rsidP="00447AB8">
      <w:pPr>
        <w:pStyle w:val="BodyText"/>
        <w:rPr>
          <w:lang w:val="en-US"/>
        </w:rPr>
      </w:pPr>
      <w:r w:rsidRPr="00447AB8">
        <w:rPr>
          <w:lang w:val="en-US"/>
        </w:rPr>
        <w:t xml:space="preserve">This paper examines the distribution of </w:t>
      </w:r>
      <w:r w:rsidR="00CF3173">
        <w:rPr>
          <w:lang w:val="en-US"/>
        </w:rPr>
        <w:t xml:space="preserve">production </w:t>
      </w:r>
      <w:r w:rsidRPr="00447AB8">
        <w:rPr>
          <w:lang w:val="en-US"/>
        </w:rPr>
        <w:t xml:space="preserve">income between </w:t>
      </w:r>
      <w:proofErr w:type="spellStart"/>
      <w:r w:rsidRPr="00447AB8">
        <w:rPr>
          <w:lang w:val="en-US"/>
        </w:rPr>
        <w:t>labour</w:t>
      </w:r>
      <w:proofErr w:type="spellEnd"/>
      <w:r w:rsidRPr="00447AB8">
        <w:rPr>
          <w:lang w:val="en-US"/>
        </w:rPr>
        <w:t xml:space="preserve"> and capital. In particular, it looks for explanations for the fall in </w:t>
      </w:r>
      <w:proofErr w:type="spellStart"/>
      <w:r w:rsidRPr="00447AB8">
        <w:rPr>
          <w:lang w:val="en-US"/>
        </w:rPr>
        <w:t>labour’s</w:t>
      </w:r>
      <w:proofErr w:type="spellEnd"/>
      <w:r w:rsidRPr="00447AB8">
        <w:rPr>
          <w:lang w:val="en-US"/>
        </w:rPr>
        <w:t xml:space="preserve"> share of income in Australia since the turn of the millennium. An examination of the industry sources of change makes the origins of the fall in </w:t>
      </w:r>
      <w:proofErr w:type="spellStart"/>
      <w:r w:rsidRPr="00447AB8">
        <w:rPr>
          <w:lang w:val="en-US"/>
        </w:rPr>
        <w:t>labour’s</w:t>
      </w:r>
      <w:proofErr w:type="spellEnd"/>
      <w:r w:rsidRPr="00447AB8">
        <w:rPr>
          <w:lang w:val="en-US"/>
        </w:rPr>
        <w:t xml:space="preserve"> share — or more aptly, the rise in capital’s share — quite clear.</w:t>
      </w:r>
      <w:r w:rsidR="00CF3173">
        <w:rPr>
          <w:lang w:val="en-US"/>
        </w:rPr>
        <w:t xml:space="preserve"> The increase in the terms of trade and the associated investment boom in mining are revealed as driving </w:t>
      </w:r>
      <w:r w:rsidR="006C4679">
        <w:rPr>
          <w:lang w:val="en-US"/>
        </w:rPr>
        <w:t xml:space="preserve">the overall trend in </w:t>
      </w:r>
      <w:proofErr w:type="spellStart"/>
      <w:r w:rsidR="006C4679">
        <w:rPr>
          <w:lang w:val="en-US"/>
        </w:rPr>
        <w:t>labour’s</w:t>
      </w:r>
      <w:proofErr w:type="spellEnd"/>
      <w:r w:rsidR="006C4679">
        <w:rPr>
          <w:lang w:val="en-US"/>
        </w:rPr>
        <w:t xml:space="preserve"> share of income in Australia over the past decade.</w:t>
      </w:r>
    </w:p>
    <w:p w:rsidR="00447AB8" w:rsidRPr="00447AB8" w:rsidRDefault="00447AB8" w:rsidP="00447AB8">
      <w:pPr>
        <w:pStyle w:val="BodyText"/>
        <w:rPr>
          <w:lang w:val="en-US"/>
        </w:rPr>
      </w:pPr>
      <w:r w:rsidRPr="00447AB8">
        <w:rPr>
          <w:lang w:val="en-US"/>
        </w:rPr>
        <w:t xml:space="preserve">Jenny Gordon, Mike Woods and Shiji Zhao assisted in the development of the paper. Derek </w:t>
      </w:r>
      <w:proofErr w:type="spellStart"/>
      <w:r w:rsidRPr="00447AB8">
        <w:rPr>
          <w:lang w:val="en-US"/>
        </w:rPr>
        <w:t>Burnell</w:t>
      </w:r>
      <w:proofErr w:type="spellEnd"/>
      <w:r w:rsidRPr="00447AB8">
        <w:rPr>
          <w:lang w:val="en-US"/>
        </w:rPr>
        <w:t>, from the Australian Bureau of Statistics, and Shawn Sprague, from the US Bureau of Labor Statistics, assisted with data enquiries.</w:t>
      </w:r>
    </w:p>
    <w:p w:rsidR="00935ABF" w:rsidRPr="00447AB8" w:rsidRDefault="00447AB8" w:rsidP="00447AB8">
      <w:pPr>
        <w:pStyle w:val="BodyText"/>
        <w:rPr>
          <w:lang w:val="en-US"/>
        </w:rPr>
      </w:pPr>
      <w:r>
        <w:rPr>
          <w:lang w:val="en-US"/>
        </w:rPr>
        <w:t>Helpful comments</w:t>
      </w:r>
      <w:r w:rsidRPr="00447AB8">
        <w:rPr>
          <w:lang w:val="en-US"/>
        </w:rPr>
        <w:t xml:space="preserve"> on </w:t>
      </w:r>
      <w:r>
        <w:rPr>
          <w:lang w:val="en-US"/>
        </w:rPr>
        <w:t xml:space="preserve">an </w:t>
      </w:r>
      <w:r w:rsidRPr="00447AB8">
        <w:rPr>
          <w:lang w:val="en-US"/>
        </w:rPr>
        <w:t>earlier draft were received from Bob Gregory, from the Australian National University, and from Jenny Gordon, Shiji Zhao, Lisa Gropp and Noel Gaston of the Productivity Commission.</w:t>
      </w:r>
    </w:p>
    <w:p w:rsidR="00935ABF" w:rsidRDefault="00935ABF" w:rsidP="00935ABF">
      <w:pPr>
        <w:pStyle w:val="BodyText"/>
        <w:rPr>
          <w:lang w:val="en-US"/>
        </w:rPr>
      </w:pPr>
      <w:r>
        <w:rPr>
          <w:lang w:val="en-US"/>
        </w:rPr>
        <w:t xml:space="preserve">Dean Parham was a part-time Visiting Researcher at the Productivity Commission </w:t>
      </w:r>
      <w:r w:rsidRPr="00F35DB7">
        <w:rPr>
          <w:lang w:val="en-US"/>
        </w:rPr>
        <w:t xml:space="preserve">from </w:t>
      </w:r>
      <w:r w:rsidR="00502E6E" w:rsidRPr="00F35DB7">
        <w:rPr>
          <w:lang w:val="en-US"/>
        </w:rPr>
        <w:t>April 2012</w:t>
      </w:r>
      <w:r w:rsidRPr="00F35DB7">
        <w:rPr>
          <w:lang w:val="en-US"/>
        </w:rPr>
        <w:t xml:space="preserve"> to </w:t>
      </w:r>
      <w:r w:rsidR="00502E6E" w:rsidRPr="00F35DB7">
        <w:rPr>
          <w:lang w:val="en-US"/>
        </w:rPr>
        <w:t>June 2013</w:t>
      </w:r>
      <w:r w:rsidRPr="00F35DB7">
        <w:rPr>
          <w:lang w:val="en-US"/>
        </w:rPr>
        <w:t xml:space="preserve"> when the research for this paper was undertaken.</w:t>
      </w:r>
      <w:r>
        <w:rPr>
          <w:lang w:val="en-US"/>
        </w:rPr>
        <w:t xml:space="preserve"> Until 2008, he was an Assistant Commissioner at the Commission, where he led a team engaged in research on Australia’s productivity.</w:t>
      </w:r>
      <w:r w:rsidR="00F35DB7">
        <w:rPr>
          <w:lang w:val="en-US"/>
        </w:rPr>
        <w:t xml:space="preserve"> He was also a Visiting Researcher at the Commission in 2011.</w:t>
      </w:r>
    </w:p>
    <w:sectPr w:rsidR="00935ABF" w:rsidSect="00C55A45">
      <w:headerReference w:type="even" r:id="rId17"/>
      <w:headerReference w:type="default" r:id="rId18"/>
      <w:footerReference w:type="even" r:id="rId19"/>
      <w:footerReference w:type="default" r:id="rId20"/>
      <w:pgSz w:w="11907" w:h="16840" w:code="9"/>
      <w:pgMar w:top="1332" w:right="1304" w:bottom="1418" w:left="1814" w:header="1701" w:footer="567" w:gutter="0"/>
      <w:pgNumType w:fmt="lowerRoman"/>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315F" w:rsidRDefault="008E315F">
      <w:r>
        <w:separator/>
      </w:r>
    </w:p>
    <w:p w:rsidR="008E315F" w:rsidRDefault="008E315F"/>
    <w:p w:rsidR="008E315F" w:rsidRDefault="008E315F"/>
  </w:endnote>
  <w:endnote w:type="continuationSeparator" w:id="0">
    <w:p w:rsidR="008E315F" w:rsidRDefault="008E315F">
      <w:r>
        <w:continuationSeparator/>
      </w:r>
    </w:p>
    <w:p w:rsidR="008E315F" w:rsidRDefault="008E315F"/>
    <w:p w:rsidR="008E315F" w:rsidRDefault="008E315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oudyOlSt BT">
    <w:altName w:val="Georgia"/>
    <w:charset w:val="00"/>
    <w:family w:val="roman"/>
    <w:pitch w:val="variable"/>
    <w:sig w:usb0="00000087" w:usb1="00000000" w:usb2="00000000" w:usb3="00000000" w:csb0="0000001B"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D37AC2">
      <w:trPr>
        <w:trHeight w:hRule="exact" w:val="740"/>
      </w:trPr>
      <w:tc>
        <w:tcPr>
          <w:tcW w:w="510" w:type="dxa"/>
          <w:tcBorders>
            <w:top w:val="single" w:sz="6" w:space="0" w:color="auto"/>
          </w:tcBorders>
        </w:tcPr>
        <w:p w:rsidR="00D37AC2" w:rsidRPr="008206EE" w:rsidRDefault="00D37AC2">
          <w:pPr>
            <w:pStyle w:val="Footer"/>
            <w:rPr>
              <w:rStyle w:val="PageNumber"/>
              <w:caps w:val="0"/>
            </w:rPr>
          </w:pPr>
          <w:r w:rsidRPr="008206EE">
            <w:rPr>
              <w:rStyle w:val="PageNumber"/>
              <w:caps w:val="0"/>
            </w:rPr>
            <w:fldChar w:fldCharType="begin"/>
          </w:r>
          <w:r w:rsidRPr="008206EE">
            <w:rPr>
              <w:rStyle w:val="PageNumber"/>
              <w:caps w:val="0"/>
            </w:rPr>
            <w:instrText xml:space="preserve"> PAGE   \* MERGEFORMAT </w:instrText>
          </w:r>
          <w:r w:rsidRPr="008206EE">
            <w:rPr>
              <w:rStyle w:val="PageNumber"/>
              <w:caps w:val="0"/>
            </w:rPr>
            <w:fldChar w:fldCharType="separate"/>
          </w:r>
          <w:r w:rsidR="000C56E6">
            <w:rPr>
              <w:rStyle w:val="PageNumber"/>
              <w:caps w:val="0"/>
              <w:noProof/>
            </w:rPr>
            <w:t>vi</w:t>
          </w:r>
          <w:r w:rsidRPr="008206EE">
            <w:rPr>
              <w:rStyle w:val="PageNumber"/>
              <w:caps w:val="0"/>
              <w:noProof/>
            </w:rPr>
            <w:fldChar w:fldCharType="end"/>
          </w:r>
        </w:p>
      </w:tc>
      <w:tc>
        <w:tcPr>
          <w:tcW w:w="1644" w:type="dxa"/>
          <w:tcBorders>
            <w:top w:val="single" w:sz="6" w:space="0" w:color="auto"/>
          </w:tcBorders>
        </w:tcPr>
        <w:p w:rsidR="00D37AC2" w:rsidRDefault="001D18C1">
          <w:pPr>
            <w:pStyle w:val="Footer"/>
          </w:pPr>
          <w:fldSimple w:instr=" STYLEREF &quot;Heading 1 Not TOC&quot; \* MERGEFORMAT ">
            <w:r w:rsidR="000C56E6">
              <w:rPr>
                <w:noProof/>
              </w:rPr>
              <w:t>Contents</w:t>
            </w:r>
          </w:fldSimple>
        </w:p>
      </w:tc>
      <w:tc>
        <w:tcPr>
          <w:tcW w:w="6634" w:type="dxa"/>
        </w:tcPr>
        <w:p w:rsidR="00D37AC2" w:rsidRDefault="00D37AC2">
          <w:pPr>
            <w:pStyle w:val="Footer"/>
            <w:rPr>
              <w:caps w:val="0"/>
            </w:rPr>
          </w:pPr>
        </w:p>
      </w:tc>
    </w:tr>
  </w:tbl>
  <w:p w:rsidR="00D37AC2" w:rsidRDefault="00D37AC2">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D37AC2" w:rsidTr="008F7DB7">
      <w:trPr>
        <w:trHeight w:hRule="exact" w:val="740"/>
      </w:trPr>
      <w:tc>
        <w:tcPr>
          <w:tcW w:w="6634" w:type="dxa"/>
        </w:tcPr>
        <w:p w:rsidR="00D37AC2" w:rsidRDefault="00D37AC2">
          <w:pPr>
            <w:pStyle w:val="Footer"/>
          </w:pPr>
        </w:p>
      </w:tc>
      <w:tc>
        <w:tcPr>
          <w:tcW w:w="1644" w:type="dxa"/>
          <w:tcBorders>
            <w:top w:val="single" w:sz="6" w:space="0" w:color="auto"/>
          </w:tcBorders>
        </w:tcPr>
        <w:p w:rsidR="00D37AC2" w:rsidRPr="008F7DB7" w:rsidRDefault="00D37AC2">
          <w:pPr>
            <w:pStyle w:val="Footer"/>
            <w:rPr>
              <w:rStyle w:val="PageNumber"/>
              <w:noProof/>
            </w:rPr>
          </w:pPr>
          <w:r w:rsidRPr="008F7DB7">
            <w:rPr>
              <w:noProof/>
            </w:rPr>
            <w:fldChar w:fldCharType="begin"/>
          </w:r>
          <w:r w:rsidRPr="008F7DB7">
            <w:rPr>
              <w:noProof/>
            </w:rPr>
            <w:instrText xml:space="preserve"> STYLEREF "Heading 1 Not TOC" \* MERGEFORMAT </w:instrText>
          </w:r>
          <w:r w:rsidRPr="008F7DB7">
            <w:rPr>
              <w:noProof/>
            </w:rPr>
            <w:fldChar w:fldCharType="separate"/>
          </w:r>
          <w:r w:rsidR="000C56E6" w:rsidRPr="000C56E6">
            <w:rPr>
              <w:bCs/>
              <w:noProof/>
            </w:rPr>
            <w:t>Contents</w:t>
          </w:r>
          <w:r w:rsidRPr="008F7DB7">
            <w:rPr>
              <w:noProof/>
            </w:rPr>
            <w:fldChar w:fldCharType="end"/>
          </w:r>
        </w:p>
      </w:tc>
      <w:tc>
        <w:tcPr>
          <w:tcW w:w="510" w:type="dxa"/>
          <w:tcBorders>
            <w:top w:val="single" w:sz="6" w:space="0" w:color="auto"/>
          </w:tcBorders>
        </w:tcPr>
        <w:p w:rsidR="00D37AC2" w:rsidRPr="00C55A45" w:rsidRDefault="00D37AC2">
          <w:pPr>
            <w:pStyle w:val="Footer"/>
            <w:jc w:val="right"/>
            <w:rPr>
              <w:rStyle w:val="PageNumber"/>
              <w:caps w:val="0"/>
              <w:noProof/>
            </w:rPr>
          </w:pPr>
          <w:r w:rsidRPr="00C55A45">
            <w:rPr>
              <w:rStyle w:val="PageNumber"/>
              <w:caps w:val="0"/>
              <w:noProof/>
            </w:rPr>
            <w:fldChar w:fldCharType="begin"/>
          </w:r>
          <w:r w:rsidRPr="00C55A45">
            <w:rPr>
              <w:rStyle w:val="PageNumber"/>
              <w:caps w:val="0"/>
              <w:noProof/>
            </w:rPr>
            <w:instrText xml:space="preserve"> PAGE   \* MERGEFORMAT </w:instrText>
          </w:r>
          <w:r w:rsidRPr="00C55A45">
            <w:rPr>
              <w:rStyle w:val="PageNumber"/>
              <w:caps w:val="0"/>
              <w:noProof/>
            </w:rPr>
            <w:fldChar w:fldCharType="separate"/>
          </w:r>
          <w:r w:rsidR="000C56E6">
            <w:rPr>
              <w:rStyle w:val="PageNumber"/>
              <w:caps w:val="0"/>
              <w:noProof/>
            </w:rPr>
            <w:t>vii</w:t>
          </w:r>
          <w:r w:rsidRPr="00C55A45">
            <w:rPr>
              <w:rStyle w:val="PageNumber"/>
              <w:caps w:val="0"/>
              <w:noProof/>
            </w:rPr>
            <w:fldChar w:fldCharType="end"/>
          </w:r>
        </w:p>
      </w:tc>
    </w:tr>
  </w:tbl>
  <w:p w:rsidR="00D37AC2" w:rsidRDefault="00D37AC2">
    <w:pPr>
      <w:pStyle w:val="FooterEn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830"/>
      <w:gridCol w:w="6448"/>
    </w:tblGrid>
    <w:tr w:rsidR="00935ABF">
      <w:trPr>
        <w:trHeight w:hRule="exact" w:val="740"/>
      </w:trPr>
      <w:tc>
        <w:tcPr>
          <w:tcW w:w="510" w:type="dxa"/>
          <w:tcBorders>
            <w:top w:val="single" w:sz="4" w:space="0" w:color="auto"/>
          </w:tcBorders>
        </w:tcPr>
        <w:p w:rsidR="00935ABF" w:rsidRPr="000E4DF2" w:rsidRDefault="00935ABF">
          <w:pPr>
            <w:pStyle w:val="Footer"/>
            <w:tabs>
              <w:tab w:val="left" w:pos="0"/>
            </w:tabs>
            <w:ind w:right="0"/>
            <w:rPr>
              <w:rStyle w:val="PageNumber"/>
              <w:caps w:val="0"/>
            </w:rPr>
          </w:pPr>
          <w:r w:rsidRPr="000E4DF2">
            <w:rPr>
              <w:rStyle w:val="PageNumber"/>
              <w:caps w:val="0"/>
            </w:rPr>
            <w:fldChar w:fldCharType="begin"/>
          </w:r>
          <w:r w:rsidRPr="000E4DF2">
            <w:rPr>
              <w:rStyle w:val="PageNumber"/>
              <w:caps w:val="0"/>
            </w:rPr>
            <w:instrText xml:space="preserve">PAGE  </w:instrText>
          </w:r>
          <w:r w:rsidRPr="000E4DF2">
            <w:rPr>
              <w:rStyle w:val="PageNumber"/>
              <w:caps w:val="0"/>
            </w:rPr>
            <w:fldChar w:fldCharType="separate"/>
          </w:r>
          <w:r w:rsidR="000C56E6">
            <w:rPr>
              <w:rStyle w:val="PageNumber"/>
              <w:caps w:val="0"/>
              <w:noProof/>
            </w:rPr>
            <w:t>viii</w:t>
          </w:r>
          <w:r w:rsidRPr="000E4DF2">
            <w:rPr>
              <w:rStyle w:val="PageNumber"/>
              <w:caps w:val="0"/>
            </w:rPr>
            <w:fldChar w:fldCharType="end"/>
          </w:r>
        </w:p>
      </w:tc>
      <w:tc>
        <w:tcPr>
          <w:tcW w:w="1830" w:type="dxa"/>
          <w:tcBorders>
            <w:top w:val="single" w:sz="6" w:space="0" w:color="auto"/>
          </w:tcBorders>
        </w:tcPr>
        <w:p w:rsidR="00935ABF" w:rsidRDefault="001D18C1">
          <w:pPr>
            <w:pStyle w:val="Footer"/>
          </w:pPr>
          <w:fldSimple w:instr=" STYLEREF &quot;Heading 1&quot; \* MERGEFORMAT ">
            <w:r w:rsidR="000C56E6">
              <w:rPr>
                <w:noProof/>
              </w:rPr>
              <w:t>Visiting Researcher papers</w:t>
            </w:r>
          </w:fldSimple>
        </w:p>
      </w:tc>
      <w:tc>
        <w:tcPr>
          <w:tcW w:w="6448" w:type="dxa"/>
        </w:tcPr>
        <w:p w:rsidR="00935ABF" w:rsidRDefault="00935ABF">
          <w:pPr>
            <w:pStyle w:val="Footer"/>
          </w:pPr>
        </w:p>
      </w:tc>
    </w:tr>
  </w:tbl>
  <w:p w:rsidR="00935ABF" w:rsidRDefault="00935ABF">
    <w:pPr>
      <w:pStyle w:val="FooterEnd"/>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480"/>
      <w:gridCol w:w="1798"/>
      <w:gridCol w:w="510"/>
    </w:tblGrid>
    <w:tr w:rsidR="00935ABF">
      <w:trPr>
        <w:trHeight w:hRule="exact" w:val="740"/>
      </w:trPr>
      <w:tc>
        <w:tcPr>
          <w:tcW w:w="6480" w:type="dxa"/>
        </w:tcPr>
        <w:p w:rsidR="00935ABF" w:rsidRDefault="00935ABF">
          <w:pPr>
            <w:pStyle w:val="Footer"/>
          </w:pPr>
        </w:p>
      </w:tc>
      <w:tc>
        <w:tcPr>
          <w:tcW w:w="1798" w:type="dxa"/>
          <w:tcBorders>
            <w:top w:val="single" w:sz="6" w:space="0" w:color="auto"/>
          </w:tcBorders>
        </w:tcPr>
        <w:p w:rsidR="00935ABF" w:rsidRDefault="001D18C1">
          <w:pPr>
            <w:pStyle w:val="Footer"/>
            <w:rPr>
              <w:rStyle w:val="PageNumber"/>
              <w:b w:val="0"/>
            </w:rPr>
          </w:pPr>
          <w:fldSimple w:instr=" STYLEREF &quot;Heading 1&quot; \* MERGEFORMAT ">
            <w:r>
              <w:rPr>
                <w:noProof/>
              </w:rPr>
              <w:t>Visiting Researcher papers</w:t>
            </w:r>
          </w:fldSimple>
        </w:p>
      </w:tc>
      <w:tc>
        <w:tcPr>
          <w:tcW w:w="510" w:type="dxa"/>
          <w:tcBorders>
            <w:top w:val="single" w:sz="6" w:space="0" w:color="auto"/>
          </w:tcBorders>
        </w:tcPr>
        <w:p w:rsidR="00935ABF" w:rsidRPr="00A10FFE" w:rsidRDefault="00935ABF" w:rsidP="00537BB4">
          <w:pPr>
            <w:pStyle w:val="PartTitle"/>
            <w:spacing w:before="80" w:after="0" w:line="200" w:lineRule="exact"/>
            <w:ind w:right="6"/>
            <w:rPr>
              <w:rStyle w:val="PageNumber"/>
              <w:smallCaps w:val="0"/>
            </w:rPr>
          </w:pPr>
          <w:r w:rsidRPr="00A10FFE">
            <w:rPr>
              <w:rStyle w:val="PageNumber"/>
              <w:smallCaps w:val="0"/>
            </w:rPr>
            <w:fldChar w:fldCharType="begin"/>
          </w:r>
          <w:r w:rsidRPr="00A10FFE">
            <w:rPr>
              <w:rStyle w:val="PageNumber"/>
              <w:smallCaps w:val="0"/>
            </w:rPr>
            <w:instrText xml:space="preserve">PAGE  </w:instrText>
          </w:r>
          <w:r w:rsidRPr="00A10FFE">
            <w:rPr>
              <w:rStyle w:val="PageNumber"/>
              <w:smallCaps w:val="0"/>
            </w:rPr>
            <w:fldChar w:fldCharType="separate"/>
          </w:r>
          <w:r w:rsidR="001D18C1">
            <w:rPr>
              <w:rStyle w:val="PageNumber"/>
              <w:smallCaps w:val="0"/>
              <w:noProof/>
            </w:rPr>
            <w:t>vii</w:t>
          </w:r>
          <w:r w:rsidRPr="00A10FFE">
            <w:rPr>
              <w:rStyle w:val="PageNumber"/>
              <w:smallCaps w:val="0"/>
            </w:rPr>
            <w:fldChar w:fldCharType="end"/>
          </w:r>
        </w:p>
      </w:tc>
    </w:tr>
  </w:tbl>
  <w:p w:rsidR="00935ABF" w:rsidRDefault="00935ABF">
    <w:pPr>
      <w:pStyle w:val="FooterEnd"/>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758"/>
      <w:gridCol w:w="6634"/>
    </w:tblGrid>
    <w:tr w:rsidR="00D37AC2" w:rsidTr="008F7DB7">
      <w:trPr>
        <w:trHeight w:hRule="exact" w:val="740"/>
      </w:trPr>
      <w:tc>
        <w:tcPr>
          <w:tcW w:w="510" w:type="dxa"/>
          <w:tcBorders>
            <w:top w:val="single" w:sz="6" w:space="0" w:color="auto"/>
          </w:tcBorders>
        </w:tcPr>
        <w:p w:rsidR="00D37AC2" w:rsidRPr="00C55A45" w:rsidRDefault="00D37AC2">
          <w:pPr>
            <w:pStyle w:val="Footer"/>
            <w:rPr>
              <w:rStyle w:val="PageNumber"/>
              <w:caps w:val="0"/>
              <w:noProof/>
            </w:rPr>
          </w:pPr>
          <w:r w:rsidRPr="00C55A45">
            <w:rPr>
              <w:rStyle w:val="PageNumber"/>
              <w:caps w:val="0"/>
              <w:noProof/>
            </w:rPr>
            <w:fldChar w:fldCharType="begin"/>
          </w:r>
          <w:r w:rsidRPr="00C55A45">
            <w:rPr>
              <w:rStyle w:val="PageNumber"/>
              <w:caps w:val="0"/>
              <w:noProof/>
            </w:rPr>
            <w:instrText xml:space="preserve"> PAGE   \* MERGEFORMAT </w:instrText>
          </w:r>
          <w:r w:rsidRPr="00C55A45">
            <w:rPr>
              <w:rStyle w:val="PageNumber"/>
              <w:caps w:val="0"/>
              <w:noProof/>
            </w:rPr>
            <w:fldChar w:fldCharType="separate"/>
          </w:r>
          <w:r w:rsidR="001D18C1">
            <w:rPr>
              <w:rStyle w:val="PageNumber"/>
              <w:caps w:val="0"/>
              <w:noProof/>
            </w:rPr>
            <w:t>viii</w:t>
          </w:r>
          <w:r w:rsidRPr="00C55A45">
            <w:rPr>
              <w:rStyle w:val="PageNumber"/>
              <w:caps w:val="0"/>
              <w:noProof/>
            </w:rPr>
            <w:fldChar w:fldCharType="end"/>
          </w:r>
        </w:p>
      </w:tc>
      <w:tc>
        <w:tcPr>
          <w:tcW w:w="1758" w:type="dxa"/>
          <w:tcBorders>
            <w:top w:val="single" w:sz="6" w:space="0" w:color="auto"/>
          </w:tcBorders>
        </w:tcPr>
        <w:p w:rsidR="00D37AC2" w:rsidRDefault="00D37AC2">
          <w:pPr>
            <w:pStyle w:val="Footer"/>
            <w:rPr>
              <w:noProof/>
            </w:rPr>
          </w:pPr>
          <w:r>
            <w:rPr>
              <w:noProof/>
            </w:rPr>
            <w:fldChar w:fldCharType="begin"/>
          </w:r>
          <w:r>
            <w:rPr>
              <w:noProof/>
            </w:rPr>
            <w:instrText xml:space="preserve"> STYLEREF "Heading 1" \* MERGEFORMAT </w:instrText>
          </w:r>
          <w:r>
            <w:rPr>
              <w:noProof/>
            </w:rPr>
            <w:fldChar w:fldCharType="separate"/>
          </w:r>
          <w:r w:rsidR="001D18C1">
            <w:rPr>
              <w:noProof/>
            </w:rPr>
            <w:t>Preface</w:t>
          </w:r>
          <w:r>
            <w:rPr>
              <w:noProof/>
            </w:rPr>
            <w:fldChar w:fldCharType="end"/>
          </w:r>
        </w:p>
      </w:tc>
      <w:tc>
        <w:tcPr>
          <w:tcW w:w="6634" w:type="dxa"/>
        </w:tcPr>
        <w:p w:rsidR="00D37AC2" w:rsidRDefault="00D37AC2">
          <w:pPr>
            <w:pStyle w:val="Footer"/>
            <w:rPr>
              <w:caps w:val="0"/>
            </w:rPr>
          </w:pPr>
        </w:p>
      </w:tc>
    </w:tr>
  </w:tbl>
  <w:p w:rsidR="00D37AC2" w:rsidRDefault="00D37AC2">
    <w:pPr>
      <w:pStyle w:val="FooterEnd"/>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63"/>
      <w:gridCol w:w="1615"/>
      <w:gridCol w:w="510"/>
    </w:tblGrid>
    <w:tr w:rsidR="00D37AC2">
      <w:trPr>
        <w:trHeight w:hRule="exact" w:val="740"/>
      </w:trPr>
      <w:tc>
        <w:tcPr>
          <w:tcW w:w="6663" w:type="dxa"/>
        </w:tcPr>
        <w:p w:rsidR="00D37AC2" w:rsidRDefault="00D37AC2">
          <w:pPr>
            <w:pStyle w:val="Footer"/>
          </w:pPr>
        </w:p>
      </w:tc>
      <w:tc>
        <w:tcPr>
          <w:tcW w:w="1615" w:type="dxa"/>
          <w:tcBorders>
            <w:top w:val="single" w:sz="6" w:space="0" w:color="auto"/>
          </w:tcBorders>
        </w:tcPr>
        <w:p w:rsidR="00D37AC2" w:rsidRDefault="000C56E6">
          <w:pPr>
            <w:pStyle w:val="Footer"/>
            <w:rPr>
              <w:rStyle w:val="PageNumber"/>
              <w:b w:val="0"/>
            </w:rPr>
          </w:pPr>
          <w:r>
            <w:fldChar w:fldCharType="begin"/>
          </w:r>
          <w:r>
            <w:instrText xml:space="preserve"> STYLEREF "Heading 1" \* MERGEFORMAT </w:instrText>
          </w:r>
          <w:r>
            <w:fldChar w:fldCharType="separate"/>
          </w:r>
          <w:r>
            <w:rPr>
              <w:noProof/>
            </w:rPr>
            <w:t>Preface</w:t>
          </w:r>
          <w:r>
            <w:rPr>
              <w:noProof/>
            </w:rPr>
            <w:fldChar w:fldCharType="end"/>
          </w:r>
        </w:p>
      </w:tc>
      <w:tc>
        <w:tcPr>
          <w:tcW w:w="510" w:type="dxa"/>
          <w:tcBorders>
            <w:top w:val="single" w:sz="6" w:space="0" w:color="auto"/>
          </w:tcBorders>
        </w:tcPr>
        <w:p w:rsidR="00D37AC2" w:rsidRPr="00E15FDC" w:rsidRDefault="00D37AC2">
          <w:pPr>
            <w:pStyle w:val="Footer"/>
            <w:jc w:val="right"/>
            <w:rPr>
              <w:rStyle w:val="PageNumber"/>
              <w:caps w:val="0"/>
            </w:rPr>
          </w:pPr>
          <w:r w:rsidRPr="00E15FDC">
            <w:rPr>
              <w:rStyle w:val="PageNumber"/>
              <w:caps w:val="0"/>
            </w:rPr>
            <w:fldChar w:fldCharType="begin"/>
          </w:r>
          <w:r w:rsidRPr="00E15FDC">
            <w:rPr>
              <w:rStyle w:val="PageNumber"/>
              <w:caps w:val="0"/>
            </w:rPr>
            <w:instrText xml:space="preserve"> PAGE   \* MERGEFORMAT </w:instrText>
          </w:r>
          <w:r w:rsidRPr="00E15FDC">
            <w:rPr>
              <w:rStyle w:val="PageNumber"/>
              <w:caps w:val="0"/>
            </w:rPr>
            <w:fldChar w:fldCharType="separate"/>
          </w:r>
          <w:r w:rsidR="000C56E6">
            <w:rPr>
              <w:rStyle w:val="PageNumber"/>
              <w:caps w:val="0"/>
              <w:noProof/>
            </w:rPr>
            <w:t>ix</w:t>
          </w:r>
          <w:r w:rsidRPr="00E15FDC">
            <w:rPr>
              <w:rStyle w:val="PageNumber"/>
              <w:caps w:val="0"/>
              <w:noProof/>
            </w:rPr>
            <w:fldChar w:fldCharType="end"/>
          </w:r>
        </w:p>
      </w:tc>
    </w:tr>
  </w:tbl>
  <w:p w:rsidR="00D37AC2" w:rsidRDefault="00D37AC2" w:rsidP="00B95339">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315F" w:rsidRDefault="008E315F">
      <w:r>
        <w:separator/>
      </w:r>
    </w:p>
    <w:p w:rsidR="008E315F" w:rsidRDefault="008E315F"/>
    <w:p w:rsidR="008E315F" w:rsidRDefault="008E315F"/>
  </w:footnote>
  <w:footnote w:type="continuationSeparator" w:id="0">
    <w:p w:rsidR="008E315F" w:rsidRDefault="008E315F">
      <w:r>
        <w:continuationSeparator/>
      </w:r>
    </w:p>
    <w:p w:rsidR="008E315F" w:rsidRDefault="008E315F"/>
    <w:p w:rsidR="008E315F" w:rsidRDefault="008E315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2" w:space="0" w:color="auto"/>
      </w:tblBorders>
      <w:tblLayout w:type="fixed"/>
      <w:tblCellMar>
        <w:left w:w="0" w:type="dxa"/>
        <w:right w:w="0" w:type="dxa"/>
      </w:tblCellMar>
      <w:tblLook w:val="0000" w:firstRow="0" w:lastRow="0" w:firstColumn="0" w:lastColumn="0" w:noHBand="0" w:noVBand="0"/>
    </w:tblPr>
    <w:tblGrid>
      <w:gridCol w:w="2155"/>
      <w:gridCol w:w="6634"/>
    </w:tblGrid>
    <w:tr w:rsidR="00D37AC2">
      <w:tc>
        <w:tcPr>
          <w:tcW w:w="2155" w:type="dxa"/>
          <w:tcBorders>
            <w:top w:val="single" w:sz="24" w:space="0" w:color="auto"/>
          </w:tcBorders>
        </w:tcPr>
        <w:p w:rsidR="00D37AC2" w:rsidRDefault="00D37AC2">
          <w:pPr>
            <w:pStyle w:val="Header"/>
          </w:pPr>
        </w:p>
      </w:tc>
      <w:tc>
        <w:tcPr>
          <w:tcW w:w="6634" w:type="dxa"/>
          <w:tcBorders>
            <w:top w:val="single" w:sz="6" w:space="0" w:color="auto"/>
          </w:tcBorders>
        </w:tcPr>
        <w:p w:rsidR="00D37AC2" w:rsidRDefault="00D37AC2">
          <w:pPr>
            <w:pStyle w:val="Header"/>
          </w:pPr>
        </w:p>
      </w:tc>
    </w:tr>
  </w:tbl>
  <w:p w:rsidR="00D37AC2" w:rsidRDefault="00D37AC2">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D37AC2" w:rsidTr="005C68FE">
      <w:tc>
        <w:tcPr>
          <w:tcW w:w="6634" w:type="dxa"/>
          <w:tcBorders>
            <w:top w:val="single" w:sz="6" w:space="0" w:color="auto"/>
          </w:tcBorders>
        </w:tcPr>
        <w:p w:rsidR="00D37AC2" w:rsidRDefault="00D37AC2" w:rsidP="005C68FE">
          <w:pPr>
            <w:pStyle w:val="HeaderOdd"/>
          </w:pPr>
        </w:p>
      </w:tc>
      <w:tc>
        <w:tcPr>
          <w:tcW w:w="2155" w:type="dxa"/>
          <w:tcBorders>
            <w:top w:val="single" w:sz="24" w:space="0" w:color="auto"/>
          </w:tcBorders>
        </w:tcPr>
        <w:p w:rsidR="00D37AC2" w:rsidRDefault="00D37AC2" w:rsidP="005C68FE">
          <w:pPr>
            <w:pStyle w:val="HeaderOdd"/>
          </w:pPr>
        </w:p>
      </w:tc>
    </w:tr>
  </w:tbl>
  <w:p w:rsidR="00D37AC2" w:rsidRPr="005C68FE" w:rsidRDefault="00D37AC2" w:rsidP="005C68FE">
    <w:pPr>
      <w:pStyle w:val="HeaderEn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935ABF">
      <w:tc>
        <w:tcPr>
          <w:tcW w:w="2155" w:type="dxa"/>
          <w:tcBorders>
            <w:top w:val="single" w:sz="24" w:space="0" w:color="auto"/>
          </w:tcBorders>
        </w:tcPr>
        <w:p w:rsidR="00935ABF" w:rsidRDefault="00935ABF">
          <w:pPr>
            <w:pStyle w:val="HeaderEven"/>
          </w:pPr>
        </w:p>
      </w:tc>
      <w:tc>
        <w:tcPr>
          <w:tcW w:w="6634" w:type="dxa"/>
          <w:tcBorders>
            <w:top w:val="single" w:sz="6" w:space="0" w:color="auto"/>
          </w:tcBorders>
        </w:tcPr>
        <w:p w:rsidR="00935ABF" w:rsidRDefault="00935ABF">
          <w:pPr>
            <w:pStyle w:val="HeaderEven"/>
          </w:pPr>
        </w:p>
      </w:tc>
    </w:tr>
  </w:tbl>
  <w:p w:rsidR="00935ABF" w:rsidRDefault="00935ABF">
    <w:pPr>
      <w:pStyle w:val="HeaderEn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935ABF">
      <w:tc>
        <w:tcPr>
          <w:tcW w:w="6634" w:type="dxa"/>
          <w:tcBorders>
            <w:top w:val="single" w:sz="6" w:space="0" w:color="auto"/>
          </w:tcBorders>
        </w:tcPr>
        <w:p w:rsidR="00935ABF" w:rsidRDefault="00935ABF">
          <w:pPr>
            <w:pStyle w:val="HeaderOdd"/>
          </w:pPr>
        </w:p>
      </w:tc>
      <w:tc>
        <w:tcPr>
          <w:tcW w:w="2155" w:type="dxa"/>
          <w:tcBorders>
            <w:top w:val="single" w:sz="24" w:space="0" w:color="auto"/>
            <w:bottom w:val="nil"/>
          </w:tcBorders>
        </w:tcPr>
        <w:p w:rsidR="00935ABF" w:rsidRDefault="00935ABF">
          <w:pPr>
            <w:pStyle w:val="HeaderOdd"/>
          </w:pPr>
        </w:p>
      </w:tc>
    </w:tr>
  </w:tbl>
  <w:p w:rsidR="00935ABF" w:rsidRDefault="00935ABF">
    <w:pPr>
      <w:pStyle w:val="HeaderEnd"/>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D37AC2" w:rsidTr="005C68FE">
      <w:tc>
        <w:tcPr>
          <w:tcW w:w="2155" w:type="dxa"/>
          <w:tcBorders>
            <w:top w:val="single" w:sz="24" w:space="0" w:color="auto"/>
          </w:tcBorders>
        </w:tcPr>
        <w:p w:rsidR="00D37AC2" w:rsidRDefault="00D37AC2" w:rsidP="005C68FE">
          <w:pPr>
            <w:pStyle w:val="HeaderEven"/>
          </w:pPr>
        </w:p>
      </w:tc>
      <w:tc>
        <w:tcPr>
          <w:tcW w:w="6634" w:type="dxa"/>
          <w:tcBorders>
            <w:top w:val="single" w:sz="6" w:space="0" w:color="auto"/>
          </w:tcBorders>
        </w:tcPr>
        <w:p w:rsidR="00D37AC2" w:rsidRDefault="00D37AC2" w:rsidP="005C68FE">
          <w:pPr>
            <w:pStyle w:val="HeaderEven"/>
          </w:pPr>
        </w:p>
      </w:tc>
    </w:tr>
  </w:tbl>
  <w:p w:rsidR="00D37AC2" w:rsidRDefault="00D37AC2" w:rsidP="00D732FE">
    <w:pPr>
      <w:pStyle w:val="HeaderEnd"/>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D37AC2">
      <w:tc>
        <w:tcPr>
          <w:tcW w:w="6634" w:type="dxa"/>
          <w:tcBorders>
            <w:top w:val="single" w:sz="6" w:space="0" w:color="auto"/>
          </w:tcBorders>
        </w:tcPr>
        <w:p w:rsidR="00D37AC2" w:rsidRDefault="00D37AC2">
          <w:pPr>
            <w:pStyle w:val="HeaderOdd"/>
          </w:pPr>
        </w:p>
      </w:tc>
      <w:tc>
        <w:tcPr>
          <w:tcW w:w="2155" w:type="dxa"/>
          <w:tcBorders>
            <w:top w:val="single" w:sz="24" w:space="0" w:color="auto"/>
          </w:tcBorders>
        </w:tcPr>
        <w:p w:rsidR="00D37AC2" w:rsidRDefault="00D37AC2">
          <w:pPr>
            <w:pStyle w:val="HeaderOdd"/>
          </w:pPr>
        </w:p>
      </w:tc>
    </w:tr>
  </w:tbl>
  <w:p w:rsidR="00D37AC2" w:rsidRDefault="00D37AC2" w:rsidP="00B95339">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92E4A210"/>
    <w:lvl w:ilvl="0">
      <w:start w:val="1"/>
      <w:numFmt w:val="decimal"/>
      <w:lvlText w:val="%1."/>
      <w:lvlJc w:val="left"/>
      <w:pPr>
        <w:tabs>
          <w:tab w:val="num" w:pos="926"/>
        </w:tabs>
        <w:ind w:left="926" w:hanging="360"/>
      </w:pPr>
    </w:lvl>
  </w:abstractNum>
  <w:abstractNum w:abstractNumId="1">
    <w:nsid w:val="FFFFFF7F"/>
    <w:multiLevelType w:val="singleLevel"/>
    <w:tmpl w:val="A3C2DCF6"/>
    <w:lvl w:ilvl="0">
      <w:start w:val="1"/>
      <w:numFmt w:val="decimal"/>
      <w:lvlText w:val="%1."/>
      <w:lvlJc w:val="left"/>
      <w:pPr>
        <w:tabs>
          <w:tab w:val="num" w:pos="643"/>
        </w:tabs>
        <w:ind w:left="643" w:hanging="360"/>
      </w:pPr>
    </w:lvl>
  </w:abstractNum>
  <w:abstractNum w:abstractNumId="2">
    <w:nsid w:val="FFFFFF82"/>
    <w:multiLevelType w:val="singleLevel"/>
    <w:tmpl w:val="695EB052"/>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43DA5D68"/>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B58078F8"/>
    <w:lvl w:ilvl="0">
      <w:start w:val="1"/>
      <w:numFmt w:val="decimal"/>
      <w:lvlText w:val="%1."/>
      <w:lvlJc w:val="left"/>
      <w:pPr>
        <w:tabs>
          <w:tab w:val="num" w:pos="360"/>
        </w:tabs>
        <w:ind w:left="360" w:hanging="360"/>
      </w:pPr>
    </w:lvl>
  </w:abstractNum>
  <w:abstractNum w:abstractNumId="5">
    <w:nsid w:val="FFFFFF89"/>
    <w:multiLevelType w:val="singleLevel"/>
    <w:tmpl w:val="6AD25FCC"/>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47A7C39"/>
    <w:multiLevelType w:val="singleLevel"/>
    <w:tmpl w:val="DEC02068"/>
    <w:lvl w:ilvl="0">
      <w:numFmt w:val="bullet"/>
      <w:pStyle w:val="ListBullet2"/>
      <w:lvlText w:val="–"/>
      <w:lvlJc w:val="left"/>
      <w:pPr>
        <w:tabs>
          <w:tab w:val="num" w:pos="644"/>
        </w:tabs>
        <w:ind w:left="340" w:hanging="56"/>
      </w:pPr>
      <w:rPr>
        <w:rFonts w:ascii="Times New Roman" w:hAnsi="Times New Roman" w:hint="default"/>
      </w:rPr>
    </w:lvl>
  </w:abstractNum>
  <w:abstractNum w:abstractNumId="8">
    <w:nsid w:val="06214B87"/>
    <w:multiLevelType w:val="singleLevel"/>
    <w:tmpl w:val="E7705C56"/>
    <w:lvl w:ilvl="0">
      <w:numFmt w:val="bullet"/>
      <w:pStyle w:val="BoxListBullet2"/>
      <w:lvlText w:val="–"/>
      <w:lvlJc w:val="left"/>
      <w:pPr>
        <w:tabs>
          <w:tab w:val="num" w:pos="360"/>
        </w:tabs>
        <w:ind w:left="284" w:hanging="284"/>
      </w:pPr>
      <w:rPr>
        <w:rFonts w:ascii="Times New Roman" w:hAnsi="Times New Roman" w:hint="default"/>
      </w:rPr>
    </w:lvl>
  </w:abstractNum>
  <w:abstractNum w:abstractNumId="9">
    <w:nsid w:val="0E116344"/>
    <w:multiLevelType w:val="multilevel"/>
    <w:tmpl w:val="3B188B36"/>
    <w:lvl w:ilvl="0">
      <w:start w:val="1"/>
      <w:numFmt w:val="decimal"/>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2">
    <w:nsid w:val="1AB25CDE"/>
    <w:multiLevelType w:val="singleLevel"/>
    <w:tmpl w:val="3086CA22"/>
    <w:lvl w:ilvl="0">
      <w:start w:val="1"/>
      <w:numFmt w:val="decimal"/>
      <w:lvlText w:val="%1."/>
      <w:legacy w:legacy="1" w:legacySpace="0" w:legacyIndent="340"/>
      <w:lvlJc w:val="left"/>
      <w:pPr>
        <w:ind w:left="340" w:hanging="340"/>
      </w:pPr>
    </w:lvl>
  </w:abstractNum>
  <w:abstractNum w:abstractNumId="13">
    <w:nsid w:val="23FF358D"/>
    <w:multiLevelType w:val="singleLevel"/>
    <w:tmpl w:val="849CD80E"/>
    <w:lvl w:ilvl="0">
      <w:start w:val="1"/>
      <w:numFmt w:val="bullet"/>
      <w:pStyle w:val="RecBBullet"/>
      <w:lvlText w:val=""/>
      <w:lvlJc w:val="left"/>
      <w:pPr>
        <w:tabs>
          <w:tab w:val="num" w:pos="360"/>
        </w:tabs>
        <w:ind w:left="340" w:hanging="340"/>
      </w:pPr>
      <w:rPr>
        <w:rFonts w:ascii="Symbol" w:hAnsi="Symbol" w:hint="default"/>
        <w:b w:val="0"/>
        <w:i w:val="0"/>
        <w:sz w:val="18"/>
      </w:rPr>
    </w:lvl>
  </w:abstractNum>
  <w:abstractNum w:abstractNumId="14">
    <w:nsid w:val="2F1F7586"/>
    <w:multiLevelType w:val="hybridMultilevel"/>
    <w:tmpl w:val="C956622A"/>
    <w:lvl w:ilvl="0" w:tplc="8D90534E">
      <w:start w:val="1"/>
      <w:numFmt w:val="decimal"/>
      <w:pStyle w:val="BoxListNumber"/>
      <w:lvlText w:val="%1"/>
      <w:lvlJc w:val="left"/>
      <w:pPr>
        <w:ind w:left="720" w:hanging="360"/>
      </w:pPr>
      <w:rPr>
        <w:rFonts w:hint="default"/>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nsid w:val="30E90CE4"/>
    <w:multiLevelType w:val="singleLevel"/>
    <w:tmpl w:val="5FA21F84"/>
    <w:lvl w:ilvl="0">
      <w:start w:val="1"/>
      <w:numFmt w:val="bullet"/>
      <w:pStyle w:val="BoxListBullet"/>
      <w:lvlText w:val=""/>
      <w:lvlJc w:val="left"/>
      <w:pPr>
        <w:tabs>
          <w:tab w:val="num" w:pos="360"/>
        </w:tabs>
        <w:ind w:left="284" w:hanging="284"/>
      </w:pPr>
      <w:rPr>
        <w:rFonts w:ascii="Symbol" w:hAnsi="Symbol" w:hint="default"/>
        <w:sz w:val="18"/>
      </w:rPr>
    </w:lvl>
  </w:abstractNum>
  <w:abstractNum w:abstractNumId="16">
    <w:nsid w:val="54382D6E"/>
    <w:multiLevelType w:val="singleLevel"/>
    <w:tmpl w:val="B7BC21DE"/>
    <w:lvl w:ilvl="0">
      <w:numFmt w:val="bullet"/>
      <w:pStyle w:val="ListBullet"/>
      <w:lvlText w:val=""/>
      <w:lvlJc w:val="left"/>
      <w:pPr>
        <w:tabs>
          <w:tab w:val="num" w:pos="360"/>
        </w:tabs>
        <w:ind w:left="340" w:hanging="340"/>
      </w:pPr>
      <w:rPr>
        <w:rFonts w:ascii="Symbol" w:hAnsi="Symbol" w:hint="default"/>
        <w:sz w:val="18"/>
      </w:rPr>
    </w:lvl>
  </w:abstractNum>
  <w:abstractNum w:abstractNumId="17">
    <w:nsid w:val="543E1FD6"/>
    <w:multiLevelType w:val="singleLevel"/>
    <w:tmpl w:val="D4A092D6"/>
    <w:lvl w:ilvl="0">
      <w:start w:val="1"/>
      <w:numFmt w:val="bullet"/>
      <w:pStyle w:val="TableBullet"/>
      <w:lvlText w:val=""/>
      <w:lvlJc w:val="left"/>
      <w:pPr>
        <w:tabs>
          <w:tab w:val="num" w:pos="360"/>
        </w:tabs>
        <w:ind w:left="170" w:hanging="170"/>
      </w:pPr>
      <w:rPr>
        <w:rFonts w:ascii="Symbol" w:hAnsi="Symbol" w:hint="default"/>
        <w:b w:val="0"/>
        <w:i w:val="0"/>
        <w:sz w:val="18"/>
      </w:rPr>
    </w:lvl>
  </w:abstractNum>
  <w:abstractNum w:abstractNumId="18">
    <w:nsid w:val="56107838"/>
    <w:multiLevelType w:val="singleLevel"/>
    <w:tmpl w:val="98765266"/>
    <w:lvl w:ilvl="0">
      <w:start w:val="1"/>
      <w:numFmt w:val="bullet"/>
      <w:pStyle w:val="QuoteBullet"/>
      <w:lvlText w:val=""/>
      <w:lvlJc w:val="left"/>
      <w:pPr>
        <w:tabs>
          <w:tab w:val="num" w:pos="360"/>
        </w:tabs>
        <w:ind w:left="360" w:hanging="360"/>
      </w:pPr>
      <w:rPr>
        <w:rFonts w:ascii="Symbol" w:hAnsi="Symbol" w:hint="default"/>
        <w:sz w:val="18"/>
      </w:rPr>
    </w:lvl>
  </w:abstractNum>
  <w:abstractNum w:abstractNumId="19">
    <w:nsid w:val="643516F3"/>
    <w:multiLevelType w:val="singleLevel"/>
    <w:tmpl w:val="456CB25C"/>
    <w:lvl w:ilvl="0">
      <w:start w:val="1"/>
      <w:numFmt w:val="bullet"/>
      <w:pStyle w:val="ListBullet3"/>
      <w:lvlText w:val=""/>
      <w:lvlJc w:val="left"/>
      <w:pPr>
        <w:tabs>
          <w:tab w:val="num" w:pos="360"/>
        </w:tabs>
        <w:ind w:left="340" w:hanging="340"/>
      </w:pPr>
      <w:rPr>
        <w:rFonts w:ascii="MT Extra" w:hAnsi="MT Extra" w:hint="default"/>
        <w:b w:val="0"/>
        <w:i w:val="0"/>
        <w:sz w:val="16"/>
      </w:rPr>
    </w:lvl>
  </w:abstractNum>
  <w:abstractNum w:abstractNumId="20">
    <w:nsid w:val="6B740744"/>
    <w:multiLevelType w:val="singleLevel"/>
    <w:tmpl w:val="B4744B66"/>
    <w:lvl w:ilvl="0">
      <w:start w:val="1"/>
      <w:numFmt w:val="decimal"/>
      <w:lvlText w:val="%1."/>
      <w:legacy w:legacy="1" w:legacySpace="0" w:legacyIndent="340"/>
      <w:lvlJc w:val="left"/>
      <w:pPr>
        <w:ind w:left="340" w:hanging="340"/>
      </w:pPr>
    </w:lvl>
  </w:abstractNum>
  <w:abstractNum w:abstractNumId="21">
    <w:nsid w:val="7A1373DF"/>
    <w:multiLevelType w:val="singleLevel"/>
    <w:tmpl w:val="798200E0"/>
    <w:lvl w:ilvl="0">
      <w:start w:val="1"/>
      <w:numFmt w:val="bullet"/>
      <w:pStyle w:val="FindingBullet"/>
      <w:lvlText w:val=""/>
      <w:lvlJc w:val="left"/>
      <w:pPr>
        <w:tabs>
          <w:tab w:val="num" w:pos="360"/>
        </w:tabs>
        <w:ind w:left="340" w:hanging="340"/>
      </w:pPr>
      <w:rPr>
        <w:rFonts w:ascii="Symbol" w:hAnsi="Symbol" w:hint="default"/>
        <w:b w:val="0"/>
        <w:i w:val="0"/>
        <w:sz w:val="18"/>
      </w:rPr>
    </w:lvl>
  </w:abstractNum>
  <w:abstractNum w:abstractNumId="22">
    <w:nsid w:val="7BFA7D75"/>
    <w:multiLevelType w:val="singleLevel"/>
    <w:tmpl w:val="FE48DC38"/>
    <w:lvl w:ilvl="0">
      <w:start w:val="1"/>
      <w:numFmt w:val="bullet"/>
      <w:pStyle w:val="RecBullet"/>
      <w:lvlText w:val=""/>
      <w:lvlJc w:val="left"/>
      <w:pPr>
        <w:tabs>
          <w:tab w:val="num" w:pos="360"/>
        </w:tabs>
        <w:ind w:left="340" w:hanging="340"/>
      </w:pPr>
      <w:rPr>
        <w:rFonts w:ascii="Symbol" w:hAnsi="Symbol" w:hint="default"/>
        <w:b w:val="0"/>
        <w:i w:val="0"/>
        <w:sz w:val="18"/>
      </w:rPr>
    </w:lvl>
  </w:abstractNum>
  <w:num w:numId="1">
    <w:abstractNumId w:val="5"/>
  </w:num>
  <w:num w:numId="2">
    <w:abstractNumId w:val="3"/>
  </w:num>
  <w:num w:numId="3">
    <w:abstractNumId w:val="2"/>
  </w:num>
  <w:num w:numId="4">
    <w:abstractNumId w:val="4"/>
  </w:num>
  <w:num w:numId="5">
    <w:abstractNumId w:val="1"/>
  </w:num>
  <w:num w:numId="6">
    <w:abstractNumId w:val="0"/>
  </w:num>
  <w:num w:numId="7">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8">
    <w:abstractNumId w:val="6"/>
    <w:lvlOverride w:ilvl="0">
      <w:lvl w:ilvl="0">
        <w:start w:val="1"/>
        <w:numFmt w:val="bullet"/>
        <w:lvlText w:val=""/>
        <w:legacy w:legacy="1" w:legacySpace="0" w:legacyIndent="340"/>
        <w:lvlJc w:val="left"/>
        <w:pPr>
          <w:ind w:left="680" w:hanging="340"/>
        </w:pPr>
        <w:rPr>
          <w:rFonts w:ascii="Symbol" w:hAnsi="Symbol" w:hint="default"/>
        </w:rPr>
      </w:lvl>
    </w:lvlOverride>
  </w:num>
  <w:num w:numId="9">
    <w:abstractNumId w:val="6"/>
    <w:lvlOverride w:ilvl="0">
      <w:lvl w:ilvl="0">
        <w:start w:val="1"/>
        <w:numFmt w:val="bullet"/>
        <w:lvlText w:val=""/>
        <w:legacy w:legacy="1" w:legacySpace="0" w:legacyIndent="340"/>
        <w:lvlJc w:val="left"/>
        <w:pPr>
          <w:ind w:left="1020" w:hanging="340"/>
        </w:pPr>
        <w:rPr>
          <w:rFonts w:ascii="MT Extra" w:hAnsi="MT Extra" w:hint="default"/>
        </w:rPr>
      </w:lvl>
    </w:lvlOverride>
  </w:num>
  <w:num w:numId="10">
    <w:abstractNumId w:val="6"/>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11">
    <w:abstractNumId w:val="6"/>
    <w:lvlOverride w:ilvl="0">
      <w:lvl w:ilvl="0">
        <w:start w:val="1"/>
        <w:numFmt w:val="bullet"/>
        <w:lvlText w:val=""/>
        <w:legacy w:legacy="1" w:legacySpace="0" w:legacyIndent="283"/>
        <w:lvlJc w:val="left"/>
        <w:pPr>
          <w:ind w:left="283" w:hanging="283"/>
        </w:pPr>
        <w:rPr>
          <w:rFonts w:ascii="Symbol" w:hAnsi="Symbol" w:hint="default"/>
        </w:rPr>
      </w:lvl>
    </w:lvlOverride>
  </w:num>
  <w:num w:numId="12">
    <w:abstractNumId w:val="20"/>
  </w:num>
  <w:num w:numId="13">
    <w:abstractNumId w:val="15"/>
  </w:num>
  <w:num w:numId="14">
    <w:abstractNumId w:val="8"/>
  </w:num>
  <w:num w:numId="15">
    <w:abstractNumId w:val="21"/>
  </w:num>
  <w:num w:numId="16">
    <w:abstractNumId w:val="16"/>
  </w:num>
  <w:num w:numId="17">
    <w:abstractNumId w:val="7"/>
  </w:num>
  <w:num w:numId="18">
    <w:abstractNumId w:val="19"/>
  </w:num>
  <w:num w:numId="19">
    <w:abstractNumId w:val="18"/>
  </w:num>
  <w:num w:numId="20">
    <w:abstractNumId w:val="22"/>
  </w:num>
  <w:num w:numId="21">
    <w:abstractNumId w:val="13"/>
  </w:num>
  <w:num w:numId="22">
    <w:abstractNumId w:val="11"/>
  </w:num>
  <w:num w:numId="23">
    <w:abstractNumId w:val="17"/>
  </w:num>
  <w:num w:numId="24">
    <w:abstractNumId w:val="12"/>
  </w:num>
  <w:num w:numId="25">
    <w:abstractNumId w:val="10"/>
  </w:num>
  <w:num w:numId="26">
    <w:abstractNumId w:val="10"/>
  </w:num>
  <w:num w:numId="27">
    <w:abstractNumId w:val="10"/>
  </w:num>
  <w:num w:numId="28">
    <w:abstractNumId w:val="10"/>
  </w:num>
  <w:num w:numId="29">
    <w:abstractNumId w:val="14"/>
  </w:num>
  <w:num w:numId="30">
    <w:abstractNumId w:val="9"/>
  </w:num>
  <w:num w:numId="3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mirrorMargins/>
  <w:proofState w:spelling="clean"/>
  <w:attachedTemplate r:id="rId1"/>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567"/>
  <w:evenAndOddHeaders/>
  <w:displayHorizontalDrawingGridEvery w:val="0"/>
  <w:displayVerticalDrawingGridEvery w:val="0"/>
  <w:doNotUseMarginsForDrawingGridOrigin/>
  <w:noPunctuationKerning/>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15F"/>
    <w:rsid w:val="00017AFC"/>
    <w:rsid w:val="00025878"/>
    <w:rsid w:val="00026B38"/>
    <w:rsid w:val="000502D3"/>
    <w:rsid w:val="000623BF"/>
    <w:rsid w:val="00095EEA"/>
    <w:rsid w:val="00097C15"/>
    <w:rsid w:val="000B416E"/>
    <w:rsid w:val="000C56E6"/>
    <w:rsid w:val="000E4DF2"/>
    <w:rsid w:val="000E7665"/>
    <w:rsid w:val="000F185F"/>
    <w:rsid w:val="000F2F5F"/>
    <w:rsid w:val="00101B30"/>
    <w:rsid w:val="00106041"/>
    <w:rsid w:val="0013399B"/>
    <w:rsid w:val="00181F4B"/>
    <w:rsid w:val="00196FB3"/>
    <w:rsid w:val="001A5071"/>
    <w:rsid w:val="001B4E73"/>
    <w:rsid w:val="001B7F1E"/>
    <w:rsid w:val="001D18C1"/>
    <w:rsid w:val="001D4B1F"/>
    <w:rsid w:val="001D6629"/>
    <w:rsid w:val="001F2270"/>
    <w:rsid w:val="00205A82"/>
    <w:rsid w:val="00211BEE"/>
    <w:rsid w:val="002179C6"/>
    <w:rsid w:val="00261607"/>
    <w:rsid w:val="00263DD1"/>
    <w:rsid w:val="00264D3B"/>
    <w:rsid w:val="00265685"/>
    <w:rsid w:val="00281D5F"/>
    <w:rsid w:val="002923AD"/>
    <w:rsid w:val="00296592"/>
    <w:rsid w:val="002A0A4B"/>
    <w:rsid w:val="002B636E"/>
    <w:rsid w:val="002B64D6"/>
    <w:rsid w:val="002C12F5"/>
    <w:rsid w:val="002D6FCE"/>
    <w:rsid w:val="003B41E0"/>
    <w:rsid w:val="003D1139"/>
    <w:rsid w:val="003D624D"/>
    <w:rsid w:val="003E7802"/>
    <w:rsid w:val="003F6278"/>
    <w:rsid w:val="00433C81"/>
    <w:rsid w:val="00446D6B"/>
    <w:rsid w:val="00447AB8"/>
    <w:rsid w:val="00457B3F"/>
    <w:rsid w:val="00463022"/>
    <w:rsid w:val="00481CF0"/>
    <w:rsid w:val="004B492A"/>
    <w:rsid w:val="004C0B0C"/>
    <w:rsid w:val="004E52E2"/>
    <w:rsid w:val="004E6BB4"/>
    <w:rsid w:val="00502E6E"/>
    <w:rsid w:val="00515D43"/>
    <w:rsid w:val="0052544D"/>
    <w:rsid w:val="00551FB8"/>
    <w:rsid w:val="005537F6"/>
    <w:rsid w:val="00560F43"/>
    <w:rsid w:val="005654D0"/>
    <w:rsid w:val="0057748B"/>
    <w:rsid w:val="005B17AB"/>
    <w:rsid w:val="005C68FE"/>
    <w:rsid w:val="00602523"/>
    <w:rsid w:val="00604351"/>
    <w:rsid w:val="00607D8A"/>
    <w:rsid w:val="0061590F"/>
    <w:rsid w:val="00636497"/>
    <w:rsid w:val="00641AE2"/>
    <w:rsid w:val="0064456A"/>
    <w:rsid w:val="00650DDA"/>
    <w:rsid w:val="0065126A"/>
    <w:rsid w:val="006802D4"/>
    <w:rsid w:val="00683849"/>
    <w:rsid w:val="00691AB5"/>
    <w:rsid w:val="006C4679"/>
    <w:rsid w:val="006E1E6B"/>
    <w:rsid w:val="006F0EAC"/>
    <w:rsid w:val="006F6A85"/>
    <w:rsid w:val="0070328D"/>
    <w:rsid w:val="00731F96"/>
    <w:rsid w:val="00734127"/>
    <w:rsid w:val="00735FEA"/>
    <w:rsid w:val="00743460"/>
    <w:rsid w:val="00743A27"/>
    <w:rsid w:val="00753DC6"/>
    <w:rsid w:val="0075578C"/>
    <w:rsid w:val="00766DFB"/>
    <w:rsid w:val="007734B5"/>
    <w:rsid w:val="007809B8"/>
    <w:rsid w:val="00806E54"/>
    <w:rsid w:val="008206EE"/>
    <w:rsid w:val="008214B1"/>
    <w:rsid w:val="00836ED7"/>
    <w:rsid w:val="008453AC"/>
    <w:rsid w:val="00860D09"/>
    <w:rsid w:val="00862044"/>
    <w:rsid w:val="0088768F"/>
    <w:rsid w:val="008C305F"/>
    <w:rsid w:val="008C3AD2"/>
    <w:rsid w:val="008C7C3D"/>
    <w:rsid w:val="008D6F66"/>
    <w:rsid w:val="008E1BEA"/>
    <w:rsid w:val="008E315F"/>
    <w:rsid w:val="008E43D2"/>
    <w:rsid w:val="008F04C9"/>
    <w:rsid w:val="008F7C50"/>
    <w:rsid w:val="008F7DB7"/>
    <w:rsid w:val="009064D3"/>
    <w:rsid w:val="00915300"/>
    <w:rsid w:val="00933B0C"/>
    <w:rsid w:val="00935676"/>
    <w:rsid w:val="00935ABF"/>
    <w:rsid w:val="0098401D"/>
    <w:rsid w:val="009A789F"/>
    <w:rsid w:val="009B12EF"/>
    <w:rsid w:val="009B6185"/>
    <w:rsid w:val="009E1E78"/>
    <w:rsid w:val="00A1597D"/>
    <w:rsid w:val="00A46989"/>
    <w:rsid w:val="00A71CE9"/>
    <w:rsid w:val="00A72A19"/>
    <w:rsid w:val="00A75A30"/>
    <w:rsid w:val="00A93C82"/>
    <w:rsid w:val="00AB2A48"/>
    <w:rsid w:val="00AB5364"/>
    <w:rsid w:val="00AC3236"/>
    <w:rsid w:val="00AD4874"/>
    <w:rsid w:val="00AE1F8A"/>
    <w:rsid w:val="00B036B2"/>
    <w:rsid w:val="00B04D19"/>
    <w:rsid w:val="00B153C3"/>
    <w:rsid w:val="00B22087"/>
    <w:rsid w:val="00B722F2"/>
    <w:rsid w:val="00B74A85"/>
    <w:rsid w:val="00B95339"/>
    <w:rsid w:val="00BB334E"/>
    <w:rsid w:val="00BB5DCF"/>
    <w:rsid w:val="00BC06F0"/>
    <w:rsid w:val="00BF59EA"/>
    <w:rsid w:val="00BF79CD"/>
    <w:rsid w:val="00C0721B"/>
    <w:rsid w:val="00C34C8C"/>
    <w:rsid w:val="00C36524"/>
    <w:rsid w:val="00C40E16"/>
    <w:rsid w:val="00C50792"/>
    <w:rsid w:val="00C55A45"/>
    <w:rsid w:val="00C904D9"/>
    <w:rsid w:val="00C94C06"/>
    <w:rsid w:val="00CA48BF"/>
    <w:rsid w:val="00CB3ACC"/>
    <w:rsid w:val="00CB4745"/>
    <w:rsid w:val="00CD2163"/>
    <w:rsid w:val="00CD4FE7"/>
    <w:rsid w:val="00CD5E6B"/>
    <w:rsid w:val="00CE5D96"/>
    <w:rsid w:val="00CE7344"/>
    <w:rsid w:val="00CF26EE"/>
    <w:rsid w:val="00CF3173"/>
    <w:rsid w:val="00D310F0"/>
    <w:rsid w:val="00D37AC2"/>
    <w:rsid w:val="00D500A9"/>
    <w:rsid w:val="00D64121"/>
    <w:rsid w:val="00D732FE"/>
    <w:rsid w:val="00D772E9"/>
    <w:rsid w:val="00DA31AB"/>
    <w:rsid w:val="00DA3281"/>
    <w:rsid w:val="00DA6D3E"/>
    <w:rsid w:val="00DC02E8"/>
    <w:rsid w:val="00DC75C7"/>
    <w:rsid w:val="00DC78D3"/>
    <w:rsid w:val="00DF4592"/>
    <w:rsid w:val="00E15FDC"/>
    <w:rsid w:val="00E2651B"/>
    <w:rsid w:val="00E50A2F"/>
    <w:rsid w:val="00E6632E"/>
    <w:rsid w:val="00E90CF2"/>
    <w:rsid w:val="00ED0F61"/>
    <w:rsid w:val="00ED57E2"/>
    <w:rsid w:val="00EE73E1"/>
    <w:rsid w:val="00F12107"/>
    <w:rsid w:val="00F13165"/>
    <w:rsid w:val="00F35DB7"/>
    <w:rsid w:val="00F4234E"/>
    <w:rsid w:val="00F7477E"/>
    <w:rsid w:val="00F85393"/>
    <w:rsid w:val="00FA4A24"/>
    <w:rsid w:val="00FC41B4"/>
    <w:rsid w:val="00FC5A6B"/>
    <w:rsid w:val="00FD4728"/>
    <w:rsid w:val="00FF67E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martTagType w:namespaceuri="urn:schemas-microsoft-com:office:smarttags" w:name="Street"/>
  <w:smartTagType w:namespaceuri="urn:schemas-microsoft-com:office:smarttags" w:name="address"/>
  <w:shapeDefaults>
    <o:shapedefaults v:ext="edit" spidmax="266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qFormat/>
    <w:pPr>
      <w:spacing w:before="240" w:after="60"/>
      <w:outlineLvl w:val="5"/>
    </w:pPr>
    <w:rPr>
      <w:i/>
      <w:sz w:val="22"/>
    </w:rPr>
  </w:style>
  <w:style w:type="paragraph" w:styleId="Heading7">
    <w:name w:val="heading 7"/>
    <w:basedOn w:val="Normal"/>
    <w:next w:val="Normal"/>
    <w:qFormat/>
    <w:pPr>
      <w:spacing w:before="240" w:after="60"/>
      <w:outlineLvl w:val="6"/>
    </w:pPr>
    <w:rPr>
      <w:rFonts w:ascii="Arial" w:hAnsi="Arial"/>
      <w:sz w:val="20"/>
    </w:rPr>
  </w:style>
  <w:style w:type="paragraph" w:styleId="Heading8">
    <w:name w:val="heading 8"/>
    <w:basedOn w:val="Normal"/>
    <w:next w:val="Normal"/>
    <w:qFormat/>
    <w:pPr>
      <w:spacing w:before="240" w:after="60"/>
      <w:outlineLvl w:val="7"/>
    </w:pPr>
    <w:rPr>
      <w:rFonts w:ascii="Arial" w:hAnsi="Arial"/>
      <w:i/>
      <w:sz w:val="20"/>
    </w:rPr>
  </w:style>
  <w:style w:type="paragraph" w:styleId="Heading9">
    <w:name w:val="heading 9"/>
    <w:basedOn w:val="Normal"/>
    <w:next w:val="Normal"/>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rsid w:val="00D37AC2"/>
    <w:pPr>
      <w:spacing w:before="240" w:line="320" w:lineRule="atLeast"/>
      <w:jc w:val="both"/>
    </w:pPr>
    <w:rPr>
      <w:sz w:val="26"/>
      <w:lang w:eastAsia="en-US"/>
    </w:rPr>
  </w:style>
  <w:style w:type="paragraph" w:customStyle="1" w:styleId="Abbreviation">
    <w:name w:val="Abbreviation"/>
    <w:basedOn w:val="BodyText"/>
    <w:pPr>
      <w:spacing w:before="120"/>
      <w:ind w:left="2381" w:hanging="2381"/>
      <w:jc w:val="left"/>
    </w:pPr>
  </w:style>
  <w:style w:type="paragraph" w:customStyle="1" w:styleId="Box">
    <w:name w:val="Box"/>
    <w:basedOn w:val="BodyText"/>
    <w:pPr>
      <w:keepNext/>
      <w:spacing w:before="120" w:line="280" w:lineRule="atLeast"/>
    </w:pPr>
    <w:rPr>
      <w:rFonts w:ascii="Arial" w:hAnsi="Arial"/>
      <w:sz w:val="22"/>
    </w:rPr>
  </w:style>
  <w:style w:type="paragraph" w:customStyle="1" w:styleId="Note">
    <w:name w:val="Note"/>
    <w:basedOn w:val="BodyText"/>
    <w:next w:val="Normal"/>
    <w:pPr>
      <w:keepLines/>
      <w:spacing w:before="80" w:line="220" w:lineRule="exact"/>
    </w:pPr>
    <w:rPr>
      <w:rFonts w:ascii="Arial" w:hAnsi="Arial"/>
      <w:sz w:val="18"/>
    </w:rPr>
  </w:style>
  <w:style w:type="paragraph" w:customStyle="1" w:styleId="Source">
    <w:name w:val="Source"/>
    <w:basedOn w:val="Note"/>
    <w:next w:val="BodyText"/>
    <w:pPr>
      <w:spacing w:after="120"/>
    </w:pPr>
  </w:style>
  <w:style w:type="paragraph" w:customStyle="1" w:styleId="BoxSource">
    <w:name w:val="Box Source"/>
    <w:basedOn w:val="Source"/>
    <w:next w:val="BodyText"/>
    <w:pPr>
      <w:spacing w:before="180" w:after="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x"/>
    <w:next w:val="Box"/>
    <w:pPr>
      <w:spacing w:before="200"/>
    </w:pPr>
    <w:rPr>
      <w:b/>
    </w:rPr>
  </w:style>
  <w:style w:type="paragraph" w:customStyle="1" w:styleId="BoxHeading2">
    <w:name w:val="Box Heading 2"/>
    <w:basedOn w:val="BoxHeading1"/>
    <w:next w:val="Box"/>
    <w:rPr>
      <w:b w:val="0"/>
      <w:i/>
    </w:rPr>
  </w:style>
  <w:style w:type="paragraph" w:customStyle="1" w:styleId="BoxListBullet">
    <w:name w:val="Box List Bullet"/>
    <w:basedOn w:val="Box"/>
    <w:rsid w:val="00DC78D3"/>
    <w:pPr>
      <w:numPr>
        <w:numId w:val="13"/>
      </w:numPr>
      <w:tabs>
        <w:tab w:val="clear" w:pos="360"/>
        <w:tab w:val="left" w:pos="284"/>
      </w:tabs>
      <w:spacing w:before="60"/>
      <w:ind w:left="0" w:firstLine="0"/>
    </w:pPr>
  </w:style>
  <w:style w:type="paragraph" w:customStyle="1" w:styleId="BoxListBullet2">
    <w:name w:val="Box List Bullet 2"/>
    <w:basedOn w:val="Box"/>
    <w:pPr>
      <w:numPr>
        <w:numId w:val="14"/>
      </w:numPr>
      <w:tabs>
        <w:tab w:val="left" w:pos="284"/>
        <w:tab w:val="left" w:pos="567"/>
      </w:tabs>
      <w:spacing w:before="60"/>
      <w:ind w:left="568" w:firstLine="0"/>
    </w:pPr>
  </w:style>
  <w:style w:type="paragraph" w:customStyle="1" w:styleId="BoxListNumber">
    <w:name w:val="Box List Number"/>
    <w:basedOn w:val="Box"/>
    <w:rsid w:val="00DC78D3"/>
    <w:pPr>
      <w:numPr>
        <w:numId w:val="29"/>
      </w:numPr>
      <w:tabs>
        <w:tab w:val="num" w:pos="360"/>
      </w:tabs>
      <w:spacing w:before="60"/>
      <w:ind w:left="357" w:hanging="357"/>
    </w:pPr>
  </w:style>
  <w:style w:type="paragraph" w:customStyle="1" w:styleId="BoxListNumber2">
    <w:name w:val="Box List Number 2"/>
    <w:basedOn w:val="Normal"/>
    <w:rsid w:val="00743A27"/>
    <w:pPr>
      <w:keepNext/>
      <w:numPr>
        <w:ilvl w:val="1"/>
        <w:numId w:val="30"/>
      </w:numPr>
      <w:spacing w:before="60" w:line="280" w:lineRule="atLeast"/>
      <w:jc w:val="both"/>
    </w:pPr>
    <w:rPr>
      <w:rFonts w:ascii="Arial" w:hAnsi="Arial"/>
      <w:sz w:val="22"/>
      <w:lang w:eastAsia="en-AU"/>
    </w:rPr>
  </w:style>
  <w:style w:type="paragraph" w:customStyle="1" w:styleId="BoxQuote">
    <w:name w:val="Box Quote"/>
    <w:basedOn w:val="Box"/>
    <w:next w:val="Box"/>
    <w:pPr>
      <w:spacing w:before="60" w:line="260" w:lineRule="exact"/>
      <w:ind w:left="284"/>
    </w:pPr>
    <w:rPr>
      <w:sz w:val="20"/>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041"/>
    <w:pPr>
      <w:spacing w:before="120" w:after="0"/>
      <w:ind w:left="1304" w:hanging="1304"/>
    </w:pPr>
    <w:rPr>
      <w:b w:val="0"/>
    </w:rPr>
  </w:style>
  <w:style w:type="paragraph" w:customStyle="1" w:styleId="BoxSubtitle">
    <w:name w:val="Box Subtitle"/>
    <w:basedOn w:val="BoxTitle"/>
    <w:next w:val="Box"/>
    <w:pPr>
      <w:spacing w:after="80" w:line="200" w:lineRule="exact"/>
      <w:ind w:firstLine="0"/>
    </w:pPr>
    <w:rPr>
      <w:b/>
      <w:sz w:val="20"/>
    </w:rPr>
  </w:style>
  <w:style w:type="paragraph" w:customStyle="1" w:styleId="Chapter">
    <w:name w:val="Chapter"/>
    <w:basedOn w:val="Heading1"/>
    <w:next w:val="BodyText"/>
    <w:semiHidden/>
    <w:pPr>
      <w:ind w:left="0" w:firstLine="0"/>
      <w:outlineLvl w:val="9"/>
    </w:pPr>
  </w:style>
  <w:style w:type="paragraph" w:customStyle="1" w:styleId="ChapterSummary">
    <w:name w:val="Chapter Summary"/>
    <w:basedOn w:val="BodyText"/>
    <w:semiHidden/>
    <w:pPr>
      <w:ind w:left="907"/>
    </w:pPr>
    <w:rPr>
      <w:rFonts w:ascii="Arial" w:hAnsi="Arial"/>
      <w:b/>
      <w:sz w:val="22"/>
    </w:rPr>
  </w:style>
  <w:style w:type="character" w:styleId="CommentReference">
    <w:name w:val="annotation reference"/>
    <w:semiHidden/>
    <w:rPr>
      <w:b/>
      <w:vanish/>
      <w:color w:val="FF00FF"/>
      <w:sz w:val="20"/>
    </w:rPr>
  </w:style>
  <w:style w:type="paragraph" w:styleId="CommentText">
    <w:name w:val="annotation text"/>
    <w:basedOn w:val="Normal"/>
    <w:semiHidden/>
    <w:pPr>
      <w:spacing w:before="120" w:line="240" w:lineRule="atLeast"/>
      <w:ind w:left="567" w:hanging="567"/>
    </w:pPr>
    <w:rPr>
      <w:sz w:val="20"/>
    </w:rPr>
  </w:style>
  <w:style w:type="paragraph" w:customStyle="1" w:styleId="Continued">
    <w:name w:val="Continued"/>
    <w:basedOn w:val="BoxContinued"/>
    <w:next w:val="BodyText"/>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pPr>
      <w:spacing w:before="80" w:line="200" w:lineRule="exact"/>
      <w:ind w:right="6"/>
    </w:pPr>
    <w:rPr>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041"/>
    <w:rPr>
      <w:b w:val="0"/>
    </w:rPr>
  </w:style>
  <w:style w:type="paragraph" w:styleId="Subtitle">
    <w:name w:val="Subtitle"/>
    <w:basedOn w:val="Caption"/>
    <w:qFormat/>
    <w:pPr>
      <w:spacing w:before="0" w:line="200" w:lineRule="exact"/>
      <w:ind w:firstLine="0"/>
    </w:pPr>
    <w:rPr>
      <w:b w:val="0"/>
      <w:sz w:val="20"/>
    </w:rPr>
  </w:style>
  <w:style w:type="paragraph" w:customStyle="1" w:styleId="Finding">
    <w:name w:val="Finding"/>
    <w:basedOn w:val="BodyText"/>
    <w:pPr>
      <w:spacing w:before="180"/>
    </w:pPr>
    <w:rPr>
      <w:i/>
    </w:rPr>
  </w:style>
  <w:style w:type="paragraph" w:customStyle="1" w:styleId="FindingBullet">
    <w:name w:val="Finding Bullet"/>
    <w:basedOn w:val="Finding"/>
    <w:pPr>
      <w:numPr>
        <w:numId w:val="15"/>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pPr>
      <w:keepNext/>
      <w:framePr w:hSpace="181" w:wrap="notBeside" w:vAnchor="text" w:hAnchor="text" w:xAlign="outside" w:y="1"/>
    </w:pPr>
    <w:rPr>
      <w:caps/>
      <w:sz w:val="16"/>
    </w:rPr>
  </w:style>
  <w:style w:type="paragraph" w:customStyle="1" w:styleId="FindingTitle">
    <w:name w:val="Finding Title"/>
    <w:basedOn w:val="RecTitle"/>
    <w:next w:val="Finding"/>
    <w:pPr>
      <w:framePr w:wrap="notBeside"/>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semiHidden/>
    <w:pPr>
      <w:spacing w:before="360" w:after="120"/>
    </w:pPr>
    <w:rPr>
      <w:rFonts w:ascii="Arial" w:hAnsi="Arial"/>
      <w:sz w:val="24"/>
    </w:rPr>
  </w:style>
  <w:style w:type="paragraph" w:styleId="ListBullet">
    <w:name w:val="List Bullet"/>
    <w:basedOn w:val="BodyText"/>
    <w:rsid w:val="00D37AC2"/>
    <w:pPr>
      <w:numPr>
        <w:numId w:val="16"/>
      </w:numPr>
      <w:spacing w:before="120"/>
    </w:pPr>
  </w:style>
  <w:style w:type="paragraph" w:styleId="ListBullet2">
    <w:name w:val="List Bullet 2"/>
    <w:basedOn w:val="BodyText"/>
    <w:rsid w:val="00D37AC2"/>
    <w:pPr>
      <w:numPr>
        <w:numId w:val="17"/>
      </w:numPr>
      <w:tabs>
        <w:tab w:val="clear" w:pos="644"/>
        <w:tab w:val="left" w:pos="680"/>
      </w:tabs>
      <w:spacing w:before="120"/>
      <w:ind w:left="680" w:hanging="340"/>
    </w:pPr>
  </w:style>
  <w:style w:type="paragraph" w:styleId="ListBullet3">
    <w:name w:val="List Bullet 3"/>
    <w:basedOn w:val="BodyText"/>
    <w:rsid w:val="00D37AC2"/>
    <w:pPr>
      <w:numPr>
        <w:numId w:val="18"/>
      </w:numPr>
      <w:tabs>
        <w:tab w:val="clear" w:pos="360"/>
        <w:tab w:val="left" w:pos="1021"/>
      </w:tabs>
      <w:spacing w:before="120"/>
      <w:ind w:left="1020"/>
    </w:pPr>
  </w:style>
  <w:style w:type="paragraph" w:styleId="ListNumber">
    <w:name w:val="List Number"/>
    <w:basedOn w:val="BodyText"/>
    <w:rsid w:val="005654D0"/>
    <w:pPr>
      <w:numPr>
        <w:numId w:val="28"/>
      </w:numPr>
      <w:tabs>
        <w:tab w:val="clear" w:pos="340"/>
        <w:tab w:val="num" w:pos="360"/>
      </w:tabs>
      <w:spacing w:before="120"/>
      <w:ind w:left="0" w:firstLine="0"/>
    </w:pPr>
    <w:rPr>
      <w:lang w:eastAsia="en-AU"/>
    </w:rPr>
  </w:style>
  <w:style w:type="paragraph" w:styleId="ListNumber2">
    <w:name w:val="List Number 2"/>
    <w:basedOn w:val="ListNumber"/>
    <w:rsid w:val="000F2F5F"/>
    <w:pPr>
      <w:numPr>
        <w:ilvl w:val="1"/>
      </w:numPr>
      <w:tabs>
        <w:tab w:val="num" w:pos="360"/>
        <w:tab w:val="left" w:pos="794"/>
      </w:tabs>
      <w:ind w:left="0" w:firstLine="0"/>
    </w:pPr>
  </w:style>
  <w:style w:type="paragraph" w:styleId="ListNumber3">
    <w:name w:val="List Number 3"/>
    <w:basedOn w:val="ListNumber2"/>
    <w:rsid w:val="00D37AC2"/>
    <w:pPr>
      <w:numPr>
        <w:ilvl w:val="2"/>
      </w:numPr>
      <w:tabs>
        <w:tab w:val="clear" w:pos="794"/>
      </w:tabs>
    </w:pPr>
  </w:style>
  <w:style w:type="character" w:customStyle="1" w:styleId="NoteLabel">
    <w:name w:val="Note Label"/>
    <w:rPr>
      <w:rFonts w:ascii="Arial" w:hAnsi="Arial"/>
      <w:b/>
      <w:position w:val="6"/>
      <w:sz w:val="18"/>
    </w:rPr>
  </w:style>
  <w:style w:type="character" w:styleId="PageNumber">
    <w:name w:val="page number"/>
    <w:rsid w:val="00C0721B"/>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qFormat/>
    <w:pPr>
      <w:spacing w:before="120" w:line="280" w:lineRule="exact"/>
      <w:ind w:left="340"/>
    </w:pPr>
    <w:rPr>
      <w:sz w:val="24"/>
    </w:rPr>
  </w:style>
  <w:style w:type="paragraph" w:customStyle="1" w:styleId="Rec">
    <w:name w:val="Rec"/>
    <w:basedOn w:val="BodyText"/>
    <w:pPr>
      <w:spacing w:before="180"/>
    </w:pPr>
    <w:rPr>
      <w:b/>
      <w:i/>
    </w:rPr>
  </w:style>
  <w:style w:type="paragraph" w:customStyle="1" w:styleId="RecBullet">
    <w:name w:val="Rec Bullet"/>
    <w:basedOn w:val="Rec"/>
    <w:pPr>
      <w:numPr>
        <w:numId w:val="20"/>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pPr>
      <w:numPr>
        <w:numId w:val="23"/>
      </w:numPr>
      <w:tabs>
        <w:tab w:val="left" w:pos="170"/>
      </w:tabs>
      <w:jc w:val="left"/>
    </w:pPr>
  </w:style>
  <w:style w:type="paragraph" w:customStyle="1" w:styleId="TableColumnHeading">
    <w:name w:val="Table Column Heading"/>
    <w:basedOn w:val="TableBodyText"/>
    <w:pPr>
      <w:spacing w:before="80" w:after="80"/>
    </w:pPr>
    <w:rPr>
      <w:i/>
    </w:rPr>
  </w:style>
  <w:style w:type="paragraph" w:styleId="TOC2">
    <w:name w:val="toc 2"/>
    <w:basedOn w:val="TOC1"/>
    <w:uiPriority w:val="39"/>
    <w:rsid w:val="00433C81"/>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rsid w:val="00106041"/>
    <w:rPr>
      <w:b w:val="0"/>
    </w:rPr>
  </w:style>
  <w:style w:type="paragraph" w:customStyle="1" w:styleId="TableUnitsRow">
    <w:name w:val="Table Units Row"/>
    <w:basedOn w:val="TableBodyText"/>
    <w:pPr>
      <w:spacing w:before="80" w:after="80"/>
    </w:pPr>
  </w:style>
  <w:style w:type="paragraph" w:styleId="TOC1">
    <w:name w:val="toc 1"/>
    <w:basedOn w:val="Normal"/>
    <w:next w:val="TOC2"/>
    <w:uiPriority w:val="39"/>
    <w:rsid w:val="00D772E9"/>
    <w:pPr>
      <w:tabs>
        <w:tab w:val="right" w:pos="8789"/>
      </w:tabs>
      <w:spacing w:before="120" w:line="320" w:lineRule="exact"/>
      <w:ind w:left="510" w:right="851" w:hanging="510"/>
    </w:pPr>
    <w:rPr>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pPr>
      <w:numPr>
        <w:numId w:val="19"/>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link w:val="BodyText"/>
    <w:locked/>
    <w:rsid w:val="00D37AC2"/>
    <w:rPr>
      <w:sz w:val="26"/>
      <w:lang w:eastAsia="en-US"/>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3B41E0"/>
    <w:pPr>
      <w:tabs>
        <w:tab w:val="left" w:pos="866"/>
      </w:tabs>
      <w:spacing w:after="60"/>
    </w:pPr>
    <w:rPr>
      <w:rFonts w:ascii="GoudyOlSt BT" w:hAnsi="GoudyOlSt BT"/>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3B41E0"/>
    <w:pPr>
      <w:spacing w:before="480" w:after="1000"/>
    </w:pPr>
    <w:rPr>
      <w:sz w:val="24"/>
      <w:lang w:eastAsia="en-AU"/>
    </w:rPr>
  </w:style>
  <w:style w:type="paragraph" w:customStyle="1" w:styleId="LetterDate">
    <w:name w:val="Letter Date"/>
    <w:basedOn w:val="BodyText"/>
    <w:rsid w:val="003B41E0"/>
    <w:pPr>
      <w:spacing w:before="0" w:after="240" w:line="240" w:lineRule="auto"/>
      <w:ind w:left="-108"/>
      <w:jc w:val="left"/>
    </w:pPr>
    <w:rPr>
      <w:sz w:val="24"/>
      <w:lang w:eastAsia="en-AU"/>
    </w:rPr>
  </w:style>
  <w:style w:type="paragraph" w:customStyle="1" w:styleId="LetterAddress">
    <w:name w:val="Letter Address"/>
    <w:basedOn w:val="BodyText"/>
    <w:rsid w:val="003B41E0"/>
    <w:pPr>
      <w:spacing w:before="0" w:line="240" w:lineRule="auto"/>
      <w:jc w:val="left"/>
    </w:pPr>
    <w:rPr>
      <w:sz w:val="24"/>
      <w:lang w:eastAsia="en-AU"/>
    </w:rPr>
  </w:style>
  <w:style w:type="paragraph" w:customStyle="1" w:styleId="PCBoxHeading">
    <w:name w:val="PC Box Heading"/>
    <w:basedOn w:val="BodyText"/>
    <w:link w:val="PCBoxHeadingChar"/>
    <w:qFormat/>
    <w:rsid w:val="00F4234E"/>
    <w:pPr>
      <w:pBdr>
        <w:top w:val="single" w:sz="4" w:space="5" w:color="auto"/>
        <w:left w:val="single" w:sz="4" w:space="8" w:color="auto"/>
        <w:bottom w:val="single" w:sz="4" w:space="14" w:color="auto"/>
        <w:right w:val="single" w:sz="4" w:space="8" w:color="auto"/>
      </w:pBdr>
      <w:spacing w:before="120" w:line="240" w:lineRule="auto"/>
      <w:ind w:left="284" w:right="284"/>
    </w:pPr>
    <w:rPr>
      <w:b/>
      <w:i/>
      <w:sz w:val="24"/>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 w:val="24"/>
      <w:szCs w:val="24"/>
    </w:rPr>
  </w:style>
  <w:style w:type="character" w:customStyle="1" w:styleId="PCBoxHeadingChar">
    <w:name w:val="PC Box Heading Char"/>
    <w:basedOn w:val="BodyTextChar"/>
    <w:link w:val="PCBoxHeading"/>
    <w:rsid w:val="00F4234E"/>
    <w:rPr>
      <w:b/>
      <w:i/>
      <w:sz w:val="24"/>
      <w:szCs w:val="24"/>
      <w:lang w:eastAsia="en-US"/>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character" w:customStyle="1" w:styleId="FooterChar">
    <w:name w:val="Footer Char"/>
    <w:basedOn w:val="DefaultParagraphFont"/>
    <w:link w:val="Footer"/>
    <w:rsid w:val="008E315F"/>
    <w:rPr>
      <w:caps/>
      <w:spacing w:val="-4"/>
      <w:sz w:val="16"/>
      <w:lang w:eastAsia="en-US"/>
    </w:rPr>
  </w:style>
  <w:style w:type="character" w:customStyle="1" w:styleId="Heading1Char">
    <w:name w:val="Heading 1 Char"/>
    <w:basedOn w:val="DefaultParagraphFont"/>
    <w:link w:val="Heading1"/>
    <w:rsid w:val="008E315F"/>
    <w:rPr>
      <w:kern w:val="28"/>
      <w:sz w:val="5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qFormat/>
    <w:pPr>
      <w:spacing w:before="240" w:after="60"/>
      <w:outlineLvl w:val="5"/>
    </w:pPr>
    <w:rPr>
      <w:i/>
      <w:sz w:val="22"/>
    </w:rPr>
  </w:style>
  <w:style w:type="paragraph" w:styleId="Heading7">
    <w:name w:val="heading 7"/>
    <w:basedOn w:val="Normal"/>
    <w:next w:val="Normal"/>
    <w:qFormat/>
    <w:pPr>
      <w:spacing w:before="240" w:after="60"/>
      <w:outlineLvl w:val="6"/>
    </w:pPr>
    <w:rPr>
      <w:rFonts w:ascii="Arial" w:hAnsi="Arial"/>
      <w:sz w:val="20"/>
    </w:rPr>
  </w:style>
  <w:style w:type="paragraph" w:styleId="Heading8">
    <w:name w:val="heading 8"/>
    <w:basedOn w:val="Normal"/>
    <w:next w:val="Normal"/>
    <w:qFormat/>
    <w:pPr>
      <w:spacing w:before="240" w:after="60"/>
      <w:outlineLvl w:val="7"/>
    </w:pPr>
    <w:rPr>
      <w:rFonts w:ascii="Arial" w:hAnsi="Arial"/>
      <w:i/>
      <w:sz w:val="20"/>
    </w:rPr>
  </w:style>
  <w:style w:type="paragraph" w:styleId="Heading9">
    <w:name w:val="heading 9"/>
    <w:basedOn w:val="Normal"/>
    <w:next w:val="Normal"/>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rsid w:val="00D37AC2"/>
    <w:pPr>
      <w:spacing w:before="240" w:line="320" w:lineRule="atLeast"/>
      <w:jc w:val="both"/>
    </w:pPr>
    <w:rPr>
      <w:sz w:val="26"/>
      <w:lang w:eastAsia="en-US"/>
    </w:rPr>
  </w:style>
  <w:style w:type="paragraph" w:customStyle="1" w:styleId="Abbreviation">
    <w:name w:val="Abbreviation"/>
    <w:basedOn w:val="BodyText"/>
    <w:pPr>
      <w:spacing w:before="120"/>
      <w:ind w:left="2381" w:hanging="2381"/>
      <w:jc w:val="left"/>
    </w:pPr>
  </w:style>
  <w:style w:type="paragraph" w:customStyle="1" w:styleId="Box">
    <w:name w:val="Box"/>
    <w:basedOn w:val="BodyText"/>
    <w:pPr>
      <w:keepNext/>
      <w:spacing w:before="120" w:line="280" w:lineRule="atLeast"/>
    </w:pPr>
    <w:rPr>
      <w:rFonts w:ascii="Arial" w:hAnsi="Arial"/>
      <w:sz w:val="22"/>
    </w:rPr>
  </w:style>
  <w:style w:type="paragraph" w:customStyle="1" w:styleId="Note">
    <w:name w:val="Note"/>
    <w:basedOn w:val="BodyText"/>
    <w:next w:val="Normal"/>
    <w:pPr>
      <w:keepLines/>
      <w:spacing w:before="80" w:line="220" w:lineRule="exact"/>
    </w:pPr>
    <w:rPr>
      <w:rFonts w:ascii="Arial" w:hAnsi="Arial"/>
      <w:sz w:val="18"/>
    </w:rPr>
  </w:style>
  <w:style w:type="paragraph" w:customStyle="1" w:styleId="Source">
    <w:name w:val="Source"/>
    <w:basedOn w:val="Note"/>
    <w:next w:val="BodyText"/>
    <w:pPr>
      <w:spacing w:after="120"/>
    </w:pPr>
  </w:style>
  <w:style w:type="paragraph" w:customStyle="1" w:styleId="BoxSource">
    <w:name w:val="Box Source"/>
    <w:basedOn w:val="Source"/>
    <w:next w:val="BodyText"/>
    <w:pPr>
      <w:spacing w:before="180" w:after="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x"/>
    <w:next w:val="Box"/>
    <w:pPr>
      <w:spacing w:before="200"/>
    </w:pPr>
    <w:rPr>
      <w:b/>
    </w:rPr>
  </w:style>
  <w:style w:type="paragraph" w:customStyle="1" w:styleId="BoxHeading2">
    <w:name w:val="Box Heading 2"/>
    <w:basedOn w:val="BoxHeading1"/>
    <w:next w:val="Box"/>
    <w:rPr>
      <w:b w:val="0"/>
      <w:i/>
    </w:rPr>
  </w:style>
  <w:style w:type="paragraph" w:customStyle="1" w:styleId="BoxListBullet">
    <w:name w:val="Box List Bullet"/>
    <w:basedOn w:val="Box"/>
    <w:rsid w:val="00DC78D3"/>
    <w:pPr>
      <w:numPr>
        <w:numId w:val="13"/>
      </w:numPr>
      <w:tabs>
        <w:tab w:val="clear" w:pos="360"/>
        <w:tab w:val="left" w:pos="284"/>
      </w:tabs>
      <w:spacing w:before="60"/>
      <w:ind w:left="0" w:firstLine="0"/>
    </w:pPr>
  </w:style>
  <w:style w:type="paragraph" w:customStyle="1" w:styleId="BoxListBullet2">
    <w:name w:val="Box List Bullet 2"/>
    <w:basedOn w:val="Box"/>
    <w:pPr>
      <w:numPr>
        <w:numId w:val="14"/>
      </w:numPr>
      <w:tabs>
        <w:tab w:val="left" w:pos="284"/>
        <w:tab w:val="left" w:pos="567"/>
      </w:tabs>
      <w:spacing w:before="60"/>
      <w:ind w:left="568" w:firstLine="0"/>
    </w:pPr>
  </w:style>
  <w:style w:type="paragraph" w:customStyle="1" w:styleId="BoxListNumber">
    <w:name w:val="Box List Number"/>
    <w:basedOn w:val="Box"/>
    <w:rsid w:val="00DC78D3"/>
    <w:pPr>
      <w:numPr>
        <w:numId w:val="29"/>
      </w:numPr>
      <w:tabs>
        <w:tab w:val="num" w:pos="360"/>
      </w:tabs>
      <w:spacing w:before="60"/>
      <w:ind w:left="357" w:hanging="357"/>
    </w:pPr>
  </w:style>
  <w:style w:type="paragraph" w:customStyle="1" w:styleId="BoxListNumber2">
    <w:name w:val="Box List Number 2"/>
    <w:basedOn w:val="Normal"/>
    <w:rsid w:val="00743A27"/>
    <w:pPr>
      <w:keepNext/>
      <w:numPr>
        <w:ilvl w:val="1"/>
        <w:numId w:val="30"/>
      </w:numPr>
      <w:spacing w:before="60" w:line="280" w:lineRule="atLeast"/>
      <w:jc w:val="both"/>
    </w:pPr>
    <w:rPr>
      <w:rFonts w:ascii="Arial" w:hAnsi="Arial"/>
      <w:sz w:val="22"/>
      <w:lang w:eastAsia="en-AU"/>
    </w:rPr>
  </w:style>
  <w:style w:type="paragraph" w:customStyle="1" w:styleId="BoxQuote">
    <w:name w:val="Box Quote"/>
    <w:basedOn w:val="Box"/>
    <w:next w:val="Box"/>
    <w:pPr>
      <w:spacing w:before="60" w:line="260" w:lineRule="exact"/>
      <w:ind w:left="284"/>
    </w:pPr>
    <w:rPr>
      <w:sz w:val="20"/>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041"/>
    <w:pPr>
      <w:spacing w:before="120" w:after="0"/>
      <w:ind w:left="1304" w:hanging="1304"/>
    </w:pPr>
    <w:rPr>
      <w:b w:val="0"/>
    </w:rPr>
  </w:style>
  <w:style w:type="paragraph" w:customStyle="1" w:styleId="BoxSubtitle">
    <w:name w:val="Box Subtitle"/>
    <w:basedOn w:val="BoxTitle"/>
    <w:next w:val="Box"/>
    <w:pPr>
      <w:spacing w:after="80" w:line="200" w:lineRule="exact"/>
      <w:ind w:firstLine="0"/>
    </w:pPr>
    <w:rPr>
      <w:b/>
      <w:sz w:val="20"/>
    </w:rPr>
  </w:style>
  <w:style w:type="paragraph" w:customStyle="1" w:styleId="Chapter">
    <w:name w:val="Chapter"/>
    <w:basedOn w:val="Heading1"/>
    <w:next w:val="BodyText"/>
    <w:semiHidden/>
    <w:pPr>
      <w:ind w:left="0" w:firstLine="0"/>
      <w:outlineLvl w:val="9"/>
    </w:pPr>
  </w:style>
  <w:style w:type="paragraph" w:customStyle="1" w:styleId="ChapterSummary">
    <w:name w:val="Chapter Summary"/>
    <w:basedOn w:val="BodyText"/>
    <w:semiHidden/>
    <w:pPr>
      <w:ind w:left="907"/>
    </w:pPr>
    <w:rPr>
      <w:rFonts w:ascii="Arial" w:hAnsi="Arial"/>
      <w:b/>
      <w:sz w:val="22"/>
    </w:rPr>
  </w:style>
  <w:style w:type="character" w:styleId="CommentReference">
    <w:name w:val="annotation reference"/>
    <w:semiHidden/>
    <w:rPr>
      <w:b/>
      <w:vanish/>
      <w:color w:val="FF00FF"/>
      <w:sz w:val="20"/>
    </w:rPr>
  </w:style>
  <w:style w:type="paragraph" w:styleId="CommentText">
    <w:name w:val="annotation text"/>
    <w:basedOn w:val="Normal"/>
    <w:semiHidden/>
    <w:pPr>
      <w:spacing w:before="120" w:line="240" w:lineRule="atLeast"/>
      <w:ind w:left="567" w:hanging="567"/>
    </w:pPr>
    <w:rPr>
      <w:sz w:val="20"/>
    </w:rPr>
  </w:style>
  <w:style w:type="paragraph" w:customStyle="1" w:styleId="Continued">
    <w:name w:val="Continued"/>
    <w:basedOn w:val="BoxContinued"/>
    <w:next w:val="BodyText"/>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pPr>
      <w:spacing w:before="80" w:line="200" w:lineRule="exact"/>
      <w:ind w:right="6"/>
    </w:pPr>
    <w:rPr>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041"/>
    <w:rPr>
      <w:b w:val="0"/>
    </w:rPr>
  </w:style>
  <w:style w:type="paragraph" w:styleId="Subtitle">
    <w:name w:val="Subtitle"/>
    <w:basedOn w:val="Caption"/>
    <w:qFormat/>
    <w:pPr>
      <w:spacing w:before="0" w:line="200" w:lineRule="exact"/>
      <w:ind w:firstLine="0"/>
    </w:pPr>
    <w:rPr>
      <w:b w:val="0"/>
      <w:sz w:val="20"/>
    </w:rPr>
  </w:style>
  <w:style w:type="paragraph" w:customStyle="1" w:styleId="Finding">
    <w:name w:val="Finding"/>
    <w:basedOn w:val="BodyText"/>
    <w:pPr>
      <w:spacing w:before="180"/>
    </w:pPr>
    <w:rPr>
      <w:i/>
    </w:rPr>
  </w:style>
  <w:style w:type="paragraph" w:customStyle="1" w:styleId="FindingBullet">
    <w:name w:val="Finding Bullet"/>
    <w:basedOn w:val="Finding"/>
    <w:pPr>
      <w:numPr>
        <w:numId w:val="15"/>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pPr>
      <w:keepNext/>
      <w:framePr w:hSpace="181" w:wrap="notBeside" w:vAnchor="text" w:hAnchor="text" w:xAlign="outside" w:y="1"/>
    </w:pPr>
    <w:rPr>
      <w:caps/>
      <w:sz w:val="16"/>
    </w:rPr>
  </w:style>
  <w:style w:type="paragraph" w:customStyle="1" w:styleId="FindingTitle">
    <w:name w:val="Finding Title"/>
    <w:basedOn w:val="RecTitle"/>
    <w:next w:val="Finding"/>
    <w:pPr>
      <w:framePr w:wrap="notBeside"/>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semiHidden/>
    <w:pPr>
      <w:spacing w:before="360" w:after="120"/>
    </w:pPr>
    <w:rPr>
      <w:rFonts w:ascii="Arial" w:hAnsi="Arial"/>
      <w:sz w:val="24"/>
    </w:rPr>
  </w:style>
  <w:style w:type="paragraph" w:styleId="ListBullet">
    <w:name w:val="List Bullet"/>
    <w:basedOn w:val="BodyText"/>
    <w:rsid w:val="00D37AC2"/>
    <w:pPr>
      <w:numPr>
        <w:numId w:val="16"/>
      </w:numPr>
      <w:spacing w:before="120"/>
    </w:pPr>
  </w:style>
  <w:style w:type="paragraph" w:styleId="ListBullet2">
    <w:name w:val="List Bullet 2"/>
    <w:basedOn w:val="BodyText"/>
    <w:rsid w:val="00D37AC2"/>
    <w:pPr>
      <w:numPr>
        <w:numId w:val="17"/>
      </w:numPr>
      <w:tabs>
        <w:tab w:val="clear" w:pos="644"/>
        <w:tab w:val="left" w:pos="680"/>
      </w:tabs>
      <w:spacing w:before="120"/>
      <w:ind w:left="680" w:hanging="340"/>
    </w:pPr>
  </w:style>
  <w:style w:type="paragraph" w:styleId="ListBullet3">
    <w:name w:val="List Bullet 3"/>
    <w:basedOn w:val="BodyText"/>
    <w:rsid w:val="00D37AC2"/>
    <w:pPr>
      <w:numPr>
        <w:numId w:val="18"/>
      </w:numPr>
      <w:tabs>
        <w:tab w:val="clear" w:pos="360"/>
        <w:tab w:val="left" w:pos="1021"/>
      </w:tabs>
      <w:spacing w:before="120"/>
      <w:ind w:left="1020"/>
    </w:pPr>
  </w:style>
  <w:style w:type="paragraph" w:styleId="ListNumber">
    <w:name w:val="List Number"/>
    <w:basedOn w:val="BodyText"/>
    <w:rsid w:val="005654D0"/>
    <w:pPr>
      <w:numPr>
        <w:numId w:val="28"/>
      </w:numPr>
      <w:tabs>
        <w:tab w:val="clear" w:pos="340"/>
        <w:tab w:val="num" w:pos="360"/>
      </w:tabs>
      <w:spacing w:before="120"/>
      <w:ind w:left="0" w:firstLine="0"/>
    </w:pPr>
    <w:rPr>
      <w:lang w:eastAsia="en-AU"/>
    </w:rPr>
  </w:style>
  <w:style w:type="paragraph" w:styleId="ListNumber2">
    <w:name w:val="List Number 2"/>
    <w:basedOn w:val="ListNumber"/>
    <w:rsid w:val="000F2F5F"/>
    <w:pPr>
      <w:numPr>
        <w:ilvl w:val="1"/>
      </w:numPr>
      <w:tabs>
        <w:tab w:val="num" w:pos="360"/>
        <w:tab w:val="left" w:pos="794"/>
      </w:tabs>
      <w:ind w:left="0" w:firstLine="0"/>
    </w:pPr>
  </w:style>
  <w:style w:type="paragraph" w:styleId="ListNumber3">
    <w:name w:val="List Number 3"/>
    <w:basedOn w:val="ListNumber2"/>
    <w:rsid w:val="00D37AC2"/>
    <w:pPr>
      <w:numPr>
        <w:ilvl w:val="2"/>
      </w:numPr>
      <w:tabs>
        <w:tab w:val="clear" w:pos="794"/>
      </w:tabs>
    </w:pPr>
  </w:style>
  <w:style w:type="character" w:customStyle="1" w:styleId="NoteLabel">
    <w:name w:val="Note Label"/>
    <w:rPr>
      <w:rFonts w:ascii="Arial" w:hAnsi="Arial"/>
      <w:b/>
      <w:position w:val="6"/>
      <w:sz w:val="18"/>
    </w:rPr>
  </w:style>
  <w:style w:type="character" w:styleId="PageNumber">
    <w:name w:val="page number"/>
    <w:rsid w:val="00C0721B"/>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qFormat/>
    <w:pPr>
      <w:spacing w:before="120" w:line="280" w:lineRule="exact"/>
      <w:ind w:left="340"/>
    </w:pPr>
    <w:rPr>
      <w:sz w:val="24"/>
    </w:rPr>
  </w:style>
  <w:style w:type="paragraph" w:customStyle="1" w:styleId="Rec">
    <w:name w:val="Rec"/>
    <w:basedOn w:val="BodyText"/>
    <w:pPr>
      <w:spacing w:before="180"/>
    </w:pPr>
    <w:rPr>
      <w:b/>
      <w:i/>
    </w:rPr>
  </w:style>
  <w:style w:type="paragraph" w:customStyle="1" w:styleId="RecBullet">
    <w:name w:val="Rec Bullet"/>
    <w:basedOn w:val="Rec"/>
    <w:pPr>
      <w:numPr>
        <w:numId w:val="20"/>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pPr>
      <w:numPr>
        <w:numId w:val="23"/>
      </w:numPr>
      <w:tabs>
        <w:tab w:val="left" w:pos="170"/>
      </w:tabs>
      <w:jc w:val="left"/>
    </w:pPr>
  </w:style>
  <w:style w:type="paragraph" w:customStyle="1" w:styleId="TableColumnHeading">
    <w:name w:val="Table Column Heading"/>
    <w:basedOn w:val="TableBodyText"/>
    <w:pPr>
      <w:spacing w:before="80" w:after="80"/>
    </w:pPr>
    <w:rPr>
      <w:i/>
    </w:rPr>
  </w:style>
  <w:style w:type="paragraph" w:styleId="TOC2">
    <w:name w:val="toc 2"/>
    <w:basedOn w:val="TOC1"/>
    <w:uiPriority w:val="39"/>
    <w:rsid w:val="00433C81"/>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rsid w:val="00106041"/>
    <w:rPr>
      <w:b w:val="0"/>
    </w:rPr>
  </w:style>
  <w:style w:type="paragraph" w:customStyle="1" w:styleId="TableUnitsRow">
    <w:name w:val="Table Units Row"/>
    <w:basedOn w:val="TableBodyText"/>
    <w:pPr>
      <w:spacing w:before="80" w:after="80"/>
    </w:pPr>
  </w:style>
  <w:style w:type="paragraph" w:styleId="TOC1">
    <w:name w:val="toc 1"/>
    <w:basedOn w:val="Normal"/>
    <w:next w:val="TOC2"/>
    <w:uiPriority w:val="39"/>
    <w:rsid w:val="00D772E9"/>
    <w:pPr>
      <w:tabs>
        <w:tab w:val="right" w:pos="8789"/>
      </w:tabs>
      <w:spacing w:before="120" w:line="320" w:lineRule="exact"/>
      <w:ind w:left="510" w:right="851" w:hanging="510"/>
    </w:pPr>
    <w:rPr>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pPr>
      <w:numPr>
        <w:numId w:val="19"/>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link w:val="BodyText"/>
    <w:locked/>
    <w:rsid w:val="00D37AC2"/>
    <w:rPr>
      <w:sz w:val="26"/>
      <w:lang w:eastAsia="en-US"/>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3B41E0"/>
    <w:pPr>
      <w:tabs>
        <w:tab w:val="left" w:pos="866"/>
      </w:tabs>
      <w:spacing w:after="60"/>
    </w:pPr>
    <w:rPr>
      <w:rFonts w:ascii="GoudyOlSt BT" w:hAnsi="GoudyOlSt BT"/>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3B41E0"/>
    <w:pPr>
      <w:spacing w:before="480" w:after="1000"/>
    </w:pPr>
    <w:rPr>
      <w:sz w:val="24"/>
      <w:lang w:eastAsia="en-AU"/>
    </w:rPr>
  </w:style>
  <w:style w:type="paragraph" w:customStyle="1" w:styleId="LetterDate">
    <w:name w:val="Letter Date"/>
    <w:basedOn w:val="BodyText"/>
    <w:rsid w:val="003B41E0"/>
    <w:pPr>
      <w:spacing w:before="0" w:after="240" w:line="240" w:lineRule="auto"/>
      <w:ind w:left="-108"/>
      <w:jc w:val="left"/>
    </w:pPr>
    <w:rPr>
      <w:sz w:val="24"/>
      <w:lang w:eastAsia="en-AU"/>
    </w:rPr>
  </w:style>
  <w:style w:type="paragraph" w:customStyle="1" w:styleId="LetterAddress">
    <w:name w:val="Letter Address"/>
    <w:basedOn w:val="BodyText"/>
    <w:rsid w:val="003B41E0"/>
    <w:pPr>
      <w:spacing w:before="0" w:line="240" w:lineRule="auto"/>
      <w:jc w:val="left"/>
    </w:pPr>
    <w:rPr>
      <w:sz w:val="24"/>
      <w:lang w:eastAsia="en-AU"/>
    </w:rPr>
  </w:style>
  <w:style w:type="paragraph" w:customStyle="1" w:styleId="PCBoxHeading">
    <w:name w:val="PC Box Heading"/>
    <w:basedOn w:val="BodyText"/>
    <w:link w:val="PCBoxHeadingChar"/>
    <w:qFormat/>
    <w:rsid w:val="00F4234E"/>
    <w:pPr>
      <w:pBdr>
        <w:top w:val="single" w:sz="4" w:space="5" w:color="auto"/>
        <w:left w:val="single" w:sz="4" w:space="8" w:color="auto"/>
        <w:bottom w:val="single" w:sz="4" w:space="14" w:color="auto"/>
        <w:right w:val="single" w:sz="4" w:space="8" w:color="auto"/>
      </w:pBdr>
      <w:spacing w:before="120" w:line="240" w:lineRule="auto"/>
      <w:ind w:left="284" w:right="284"/>
    </w:pPr>
    <w:rPr>
      <w:b/>
      <w:i/>
      <w:sz w:val="24"/>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 w:val="24"/>
      <w:szCs w:val="24"/>
    </w:rPr>
  </w:style>
  <w:style w:type="character" w:customStyle="1" w:styleId="PCBoxHeadingChar">
    <w:name w:val="PC Box Heading Char"/>
    <w:basedOn w:val="BodyTextChar"/>
    <w:link w:val="PCBoxHeading"/>
    <w:rsid w:val="00F4234E"/>
    <w:rPr>
      <w:b/>
      <w:i/>
      <w:sz w:val="24"/>
      <w:szCs w:val="24"/>
      <w:lang w:eastAsia="en-US"/>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character" w:customStyle="1" w:styleId="FooterChar">
    <w:name w:val="Footer Char"/>
    <w:basedOn w:val="DefaultParagraphFont"/>
    <w:link w:val="Footer"/>
    <w:rsid w:val="008E315F"/>
    <w:rPr>
      <w:caps/>
      <w:spacing w:val="-4"/>
      <w:sz w:val="16"/>
      <w:lang w:eastAsia="en-US"/>
    </w:rPr>
  </w:style>
  <w:style w:type="character" w:customStyle="1" w:styleId="Heading1Char">
    <w:name w:val="Heading 1 Char"/>
    <w:basedOn w:val="DefaultParagraphFont"/>
    <w:link w:val="Heading1"/>
    <w:rsid w:val="008E315F"/>
    <w:rPr>
      <w:kern w:val="28"/>
      <w:sz w:val="5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478255">
      <w:bodyDiv w:val="1"/>
      <w:marLeft w:val="0"/>
      <w:marRight w:val="0"/>
      <w:marTop w:val="0"/>
      <w:marBottom w:val="0"/>
      <w:divBdr>
        <w:top w:val="none" w:sz="0" w:space="0" w:color="auto"/>
        <w:left w:val="none" w:sz="0" w:space="0" w:color="auto"/>
        <w:bottom w:val="none" w:sz="0" w:space="0" w:color="auto"/>
        <w:right w:val="none" w:sz="0" w:space="0" w:color="auto"/>
      </w:divBdr>
    </w:div>
    <w:div w:id="739518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header" Target="header6.xml"/><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5.xml"/><Relationship Id="rId2" Type="http://schemas.openxmlformats.org/officeDocument/2006/relationships/styles" Target="styles.xml"/><Relationship Id="rId16" Type="http://schemas.openxmlformats.org/officeDocument/2006/relationships/footer" Target="footer4.xml"/><Relationship Id="rId20" Type="http://schemas.openxmlformats.org/officeDocument/2006/relationships/footer" Target="footer6.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2.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prelim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prelims.dotm</Template>
  <TotalTime>146</TotalTime>
  <Pages>9</Pages>
  <Words>1888</Words>
  <Characters>9721</Characters>
  <Application>Microsoft Office Word</Application>
  <DocSecurity>0</DocSecurity>
  <Lines>234</Lines>
  <Paragraphs>138</Paragraphs>
  <ScaleCrop>false</ScaleCrop>
  <HeadingPairs>
    <vt:vector size="2" baseType="variant">
      <vt:variant>
        <vt:lpstr>Title</vt:lpstr>
      </vt:variant>
      <vt:variant>
        <vt:i4>1</vt:i4>
      </vt:variant>
    </vt:vector>
  </HeadingPairs>
  <TitlesOfParts>
    <vt:vector size="1" baseType="lpstr">
      <vt:lpstr>Productivity Commission</vt:lpstr>
    </vt:vector>
  </TitlesOfParts>
  <Company>Productivity Commission</Company>
  <LinksUpToDate>false</LinksUpToDate>
  <CharactersWithSpaces>11477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Productivity Commission</dc:title>
  <dc:creator>Productivity Commission</dc:creator>
  <cp:lastModifiedBy>Productivity Commission</cp:lastModifiedBy>
  <cp:revision>21</cp:revision>
  <cp:lastPrinted>2013-09-19T04:40:00Z</cp:lastPrinted>
  <dcterms:created xsi:type="dcterms:W3CDTF">2013-08-15T02:51:00Z</dcterms:created>
  <dcterms:modified xsi:type="dcterms:W3CDTF">2013-09-24T04:46:00Z</dcterms:modified>
</cp:coreProperties>
</file>