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536C1" w:rsidP="00C536C1">
      <w:pPr>
        <w:pStyle w:val="Chapter"/>
        <w:ind w:left="907" w:hanging="907"/>
      </w:pPr>
      <w:bookmarkStart w:id="0" w:name="ChapterNumber"/>
      <w:bookmarkStart w:id="1" w:name="_GoBack"/>
      <w:bookmarkEnd w:id="1"/>
      <w:r>
        <w:t>2</w:t>
      </w:r>
      <w:bookmarkEnd w:id="0"/>
      <w:r>
        <w:tab/>
      </w:r>
      <w:bookmarkStart w:id="2" w:name="ChapterTitle"/>
      <w:r>
        <w:t>Income and its sources</w:t>
      </w:r>
      <w:bookmarkEnd w:id="2"/>
    </w:p>
    <w:p w:rsidR="00F14121" w:rsidRDefault="00F14121" w:rsidP="00024FCD">
      <w:pPr>
        <w:pStyle w:val="BodyText"/>
      </w:pPr>
      <w:r>
        <w:t>This paper is about</w:t>
      </w:r>
      <w:r w:rsidR="00777B0E">
        <w:t xml:space="preserve"> changes in the</w:t>
      </w:r>
      <w:r>
        <w:t xml:space="preserve"> shares of the </w:t>
      </w:r>
      <w:r w:rsidR="00777B0E">
        <w:t xml:space="preserve">production </w:t>
      </w:r>
      <w:r>
        <w:t xml:space="preserve">income ‘pie’. But, before </w:t>
      </w:r>
      <w:r w:rsidR="00950ADE">
        <w:t>examining shares in detail</w:t>
      </w:r>
      <w:r>
        <w:t xml:space="preserve">, </w:t>
      </w:r>
      <w:r w:rsidR="001B23D3">
        <w:t xml:space="preserve">it is important to look at </w:t>
      </w:r>
      <w:r>
        <w:t xml:space="preserve">how rapidly the pie </w:t>
      </w:r>
      <w:r w:rsidR="001B23D3">
        <w:t xml:space="preserve">has </w:t>
      </w:r>
      <w:r>
        <w:t>been growing</w:t>
      </w:r>
      <w:r w:rsidR="001B23D3">
        <w:t>.</w:t>
      </w:r>
      <w:r>
        <w:t xml:space="preserve"> </w:t>
      </w:r>
    </w:p>
    <w:p w:rsidR="00706603" w:rsidRDefault="00B53F91" w:rsidP="00024FCD">
      <w:pPr>
        <w:pStyle w:val="BodyText"/>
      </w:pPr>
      <w:r>
        <w:t>This chapter outlines the trend</w:t>
      </w:r>
      <w:r w:rsidR="00BA29C6">
        <w:t>s</w:t>
      </w:r>
      <w:r>
        <w:t xml:space="preserve"> over the </w:t>
      </w:r>
      <w:proofErr w:type="spellStart"/>
      <w:r>
        <w:t>1900s</w:t>
      </w:r>
      <w:proofErr w:type="spellEnd"/>
      <w:r>
        <w:t xml:space="preserve"> and </w:t>
      </w:r>
      <w:proofErr w:type="spellStart"/>
      <w:r>
        <w:t>2000s</w:t>
      </w:r>
      <w:proofErr w:type="spellEnd"/>
      <w:r w:rsidR="0038617E">
        <w:t>.</w:t>
      </w:r>
    </w:p>
    <w:p w:rsidR="00454A5F" w:rsidRDefault="002C4974" w:rsidP="002C4974">
      <w:pPr>
        <w:pStyle w:val="ListBullet"/>
      </w:pPr>
      <w:r>
        <w:t>S</w:t>
      </w:r>
      <w:r w:rsidR="00454A5F">
        <w:t xml:space="preserve">ection 2.1 </w:t>
      </w:r>
      <w:r w:rsidR="00C74947">
        <w:t>observes</w:t>
      </w:r>
      <w:r w:rsidR="00B62802">
        <w:t xml:space="preserve"> that </w:t>
      </w:r>
      <w:r w:rsidR="00454A5F">
        <w:t xml:space="preserve">growth in income </w:t>
      </w:r>
      <w:r w:rsidR="00C74947">
        <w:t>has been strong over both decades.</w:t>
      </w:r>
    </w:p>
    <w:p w:rsidR="00571693" w:rsidRDefault="00433382" w:rsidP="002C4974">
      <w:pPr>
        <w:pStyle w:val="ListBullet"/>
      </w:pPr>
      <w:r>
        <w:t>S</w:t>
      </w:r>
      <w:r w:rsidR="00454A5F">
        <w:t xml:space="preserve">ection 2.2 </w:t>
      </w:r>
      <w:r w:rsidR="0004521A">
        <w:t>illustrates the role of</w:t>
      </w:r>
      <w:r w:rsidR="00C74947">
        <w:t xml:space="preserve"> </w:t>
      </w:r>
      <w:r w:rsidR="00571693">
        <w:t xml:space="preserve">two key </w:t>
      </w:r>
      <w:r w:rsidR="00C74947">
        <w:t>sources of income growth</w:t>
      </w:r>
      <w:r w:rsidR="00E47936">
        <w:t xml:space="preserve"> </w:t>
      </w:r>
      <w:r w:rsidR="00C74947">
        <w:t>—</w:t>
      </w:r>
      <w:r w:rsidR="00E47936">
        <w:t xml:space="preserve"> </w:t>
      </w:r>
      <w:r w:rsidR="00C74947">
        <w:t>productivity</w:t>
      </w:r>
      <w:r w:rsidR="00571693">
        <w:t xml:space="preserve"> and the terms of trade.</w:t>
      </w:r>
    </w:p>
    <w:p w:rsidR="00454A5F" w:rsidRDefault="00571693" w:rsidP="002C4974">
      <w:pPr>
        <w:pStyle w:val="ListBullet"/>
      </w:pPr>
      <w:r>
        <w:t xml:space="preserve">Section 2.3 </w:t>
      </w:r>
      <w:r w:rsidR="00950ADE">
        <w:t>unearths</w:t>
      </w:r>
      <w:r>
        <w:t xml:space="preserve"> the </w:t>
      </w:r>
      <w:r w:rsidR="00C74947">
        <w:t xml:space="preserve">industry sources of </w:t>
      </w:r>
      <w:r>
        <w:t xml:space="preserve">income </w:t>
      </w:r>
      <w:r w:rsidR="00C74947">
        <w:t>growth.</w:t>
      </w:r>
    </w:p>
    <w:p w:rsidR="002C4974" w:rsidRDefault="00433382" w:rsidP="002C4974">
      <w:pPr>
        <w:pStyle w:val="ListBullet"/>
      </w:pPr>
      <w:r>
        <w:t>S</w:t>
      </w:r>
      <w:r w:rsidR="00B62802">
        <w:t>ection 2.</w:t>
      </w:r>
      <w:r w:rsidR="00950ADE">
        <w:t>4</w:t>
      </w:r>
      <w:r w:rsidR="002C4974">
        <w:t xml:space="preserve"> provide</w:t>
      </w:r>
      <w:r w:rsidR="00B62802">
        <w:t>s a summary</w:t>
      </w:r>
      <w:r w:rsidR="002C4974">
        <w:t xml:space="preserve">. </w:t>
      </w:r>
    </w:p>
    <w:bookmarkStart w:id="3" w:name="begin"/>
    <w:bookmarkEnd w:id="3"/>
    <w:p w:rsidR="00DB26D2" w:rsidRDefault="00C7044A" w:rsidP="00AE7A60">
      <w:pPr>
        <w:pStyle w:val="Heading2"/>
      </w:pPr>
      <w:r>
        <w:fldChar w:fldCharType="begin"/>
      </w:r>
      <w:r>
        <w:instrText xml:space="preserve"> COMMENTS  \* MERGEFORMAT </w:instrText>
      </w:r>
      <w:r>
        <w:fldChar w:fldCharType="separate"/>
      </w:r>
      <w:r w:rsidR="00C536C1">
        <w:t>2.</w:t>
      </w:r>
      <w:r>
        <w:fldChar w:fldCharType="end"/>
      </w:r>
      <w:r w:rsidR="00146747">
        <w:fldChar w:fldCharType="begin"/>
      </w:r>
      <w:r w:rsidR="00146747">
        <w:instrText xml:space="preserve"> SEQ Heading2 </w:instrText>
      </w:r>
      <w:r w:rsidR="00146747">
        <w:fldChar w:fldCharType="separate"/>
      </w:r>
      <w:r w:rsidR="00876EEE">
        <w:rPr>
          <w:noProof/>
        </w:rPr>
        <w:t>1</w:t>
      </w:r>
      <w:r w:rsidR="00146747">
        <w:rPr>
          <w:noProof/>
        </w:rPr>
        <w:fldChar w:fldCharType="end"/>
      </w:r>
      <w:r>
        <w:tab/>
        <w:t xml:space="preserve">Growth </w:t>
      </w:r>
      <w:r w:rsidR="00AE7A60">
        <w:t xml:space="preserve">in </w:t>
      </w:r>
      <w:r w:rsidR="00221F9B">
        <w:t>output,</w:t>
      </w:r>
      <w:r w:rsidR="000A5C84">
        <w:t xml:space="preserve"> </w:t>
      </w:r>
      <w:r w:rsidR="004D3DF4">
        <w:t>income and prosperity</w:t>
      </w:r>
    </w:p>
    <w:p w:rsidR="00DE5ABC" w:rsidRDefault="00836E2B" w:rsidP="00836E2B">
      <w:pPr>
        <w:spacing w:before="240" w:line="320" w:lineRule="atLeast"/>
        <w:jc w:val="both"/>
        <w:rPr>
          <w:szCs w:val="20"/>
        </w:rPr>
      </w:pPr>
      <w:r>
        <w:rPr>
          <w:szCs w:val="20"/>
        </w:rPr>
        <w:t xml:space="preserve">The volume of </w:t>
      </w:r>
      <w:r w:rsidR="00B53F91">
        <w:rPr>
          <w:szCs w:val="20"/>
        </w:rPr>
        <w:t>Gross Domestic Product (</w:t>
      </w:r>
      <w:r w:rsidRPr="00836E2B">
        <w:rPr>
          <w:szCs w:val="20"/>
        </w:rPr>
        <w:t>GDP</w:t>
      </w:r>
      <w:r w:rsidR="00B53F91">
        <w:rPr>
          <w:szCs w:val="20"/>
        </w:rPr>
        <w:t>)</w:t>
      </w:r>
      <w:r w:rsidRPr="00836E2B">
        <w:rPr>
          <w:szCs w:val="20"/>
        </w:rPr>
        <w:t xml:space="preserve"> is usually taken as a measure of both </w:t>
      </w:r>
      <w:r>
        <w:rPr>
          <w:szCs w:val="20"/>
        </w:rPr>
        <w:t xml:space="preserve">the volume of </w:t>
      </w:r>
      <w:r w:rsidRPr="00836E2B">
        <w:rPr>
          <w:szCs w:val="20"/>
        </w:rPr>
        <w:t xml:space="preserve">output and </w:t>
      </w:r>
      <w:r w:rsidR="001109DF">
        <w:rPr>
          <w:szCs w:val="20"/>
        </w:rPr>
        <w:t xml:space="preserve">the </w:t>
      </w:r>
      <w:r>
        <w:rPr>
          <w:szCs w:val="20"/>
        </w:rPr>
        <w:t xml:space="preserve">real </w:t>
      </w:r>
      <w:r w:rsidRPr="00836E2B">
        <w:rPr>
          <w:szCs w:val="20"/>
        </w:rPr>
        <w:t>income</w:t>
      </w:r>
      <w:r>
        <w:rPr>
          <w:szCs w:val="20"/>
        </w:rPr>
        <w:t xml:space="preserve"> generated from the production of goods and services</w:t>
      </w:r>
      <w:r w:rsidRPr="00836E2B">
        <w:rPr>
          <w:szCs w:val="20"/>
        </w:rPr>
        <w:t xml:space="preserve">. </w:t>
      </w:r>
      <w:r w:rsidR="00197237">
        <w:rPr>
          <w:szCs w:val="20"/>
        </w:rPr>
        <w:t>As a volume</w:t>
      </w:r>
      <w:r w:rsidR="00E22384">
        <w:rPr>
          <w:szCs w:val="20"/>
        </w:rPr>
        <w:t xml:space="preserve"> or real</w:t>
      </w:r>
      <w:r w:rsidR="00197237">
        <w:rPr>
          <w:szCs w:val="20"/>
        </w:rPr>
        <w:t xml:space="preserve"> measure, it strips out the effects of inflation on the growth in income.</w:t>
      </w:r>
      <w:r w:rsidR="00EC6B8D">
        <w:rPr>
          <w:rStyle w:val="FootnoteReference"/>
          <w:szCs w:val="20"/>
        </w:rPr>
        <w:footnoteReference w:id="1"/>
      </w:r>
    </w:p>
    <w:p w:rsidR="00EF1A46" w:rsidRDefault="00EF1A46" w:rsidP="00836E2B">
      <w:pPr>
        <w:spacing w:before="240" w:line="320" w:lineRule="atLeast"/>
        <w:jc w:val="both"/>
        <w:rPr>
          <w:szCs w:val="20"/>
        </w:rPr>
      </w:pPr>
      <w:r>
        <w:rPr>
          <w:szCs w:val="20"/>
        </w:rPr>
        <w:t xml:space="preserve">However, </w:t>
      </w:r>
      <w:r w:rsidR="005C3281">
        <w:rPr>
          <w:szCs w:val="20"/>
        </w:rPr>
        <w:t>the GDP measure overlooks</w:t>
      </w:r>
      <w:r w:rsidR="00DE5ABC">
        <w:rPr>
          <w:szCs w:val="20"/>
        </w:rPr>
        <w:t xml:space="preserve"> shifts in the terms of trade </w:t>
      </w:r>
      <w:r w:rsidR="00DE5ABC">
        <w:t>(the ra</w:t>
      </w:r>
      <w:r w:rsidR="005C3281">
        <w:t xml:space="preserve">tio of export to import prices), which </w:t>
      </w:r>
      <w:r w:rsidR="00DE5ABC">
        <w:rPr>
          <w:szCs w:val="20"/>
        </w:rPr>
        <w:t>also have real income effects</w:t>
      </w:r>
      <w:r w:rsidR="005C3281">
        <w:rPr>
          <w:szCs w:val="20"/>
        </w:rPr>
        <w:t>.</w:t>
      </w:r>
      <w:r w:rsidR="00DE5ABC">
        <w:rPr>
          <w:szCs w:val="20"/>
        </w:rPr>
        <w:t xml:space="preserve"> </w:t>
      </w:r>
      <w:r w:rsidR="007C5BF4">
        <w:t xml:space="preserve">A rise in the terms of trade </w:t>
      </w:r>
      <w:r w:rsidR="00AA4B29">
        <w:t xml:space="preserve">can come about because export prices rise </w:t>
      </w:r>
      <w:r w:rsidR="0002406C">
        <w:t xml:space="preserve">and </w:t>
      </w:r>
      <w:r w:rsidR="00AA4B29">
        <w:t>so</w:t>
      </w:r>
      <w:r w:rsidR="007C5BF4">
        <w:t xml:space="preserve"> the same volume of goods and services produced for export earns more income</w:t>
      </w:r>
      <w:r w:rsidR="00AA4B29">
        <w:t xml:space="preserve">. The terms of trade also rise if the price of imports fall, </w:t>
      </w:r>
      <w:r w:rsidR="0002406C">
        <w:t xml:space="preserve">which means </w:t>
      </w:r>
      <w:r w:rsidR="00E25F10">
        <w:t>all</w:t>
      </w:r>
      <w:r w:rsidR="00D00313">
        <w:t xml:space="preserve"> income </w:t>
      </w:r>
      <w:r w:rsidR="00E25F10">
        <w:t>received</w:t>
      </w:r>
      <w:r w:rsidR="00D00313">
        <w:t xml:space="preserve"> here</w:t>
      </w:r>
      <w:r w:rsidR="007C5BF4">
        <w:t xml:space="preserve"> can be used to purchase </w:t>
      </w:r>
      <w:r w:rsidR="00433382">
        <w:t>a greater volume of</w:t>
      </w:r>
      <w:r w:rsidR="007C5BF4">
        <w:t xml:space="preserve"> import</w:t>
      </w:r>
      <w:r w:rsidR="005C3281">
        <w:t>ed</w:t>
      </w:r>
      <w:r w:rsidR="007C5BF4">
        <w:t xml:space="preserve"> goods and services. </w:t>
      </w:r>
      <w:r w:rsidR="00D84320">
        <w:t xml:space="preserve">Since </w:t>
      </w:r>
      <w:r w:rsidR="001A0A1A">
        <w:t xml:space="preserve">the </w:t>
      </w:r>
      <w:r w:rsidR="00D84320">
        <w:t xml:space="preserve">command over </w:t>
      </w:r>
      <w:r w:rsidR="0053208A">
        <w:t xml:space="preserve">the </w:t>
      </w:r>
      <w:r w:rsidR="00D84320">
        <w:t xml:space="preserve">purchase of goods and services rises, the real value of </w:t>
      </w:r>
      <w:r w:rsidR="00E47936">
        <w:t xml:space="preserve">a given amount of </w:t>
      </w:r>
      <w:r w:rsidR="001A0A1A">
        <w:t xml:space="preserve">nominal </w:t>
      </w:r>
      <w:r w:rsidR="00D84320">
        <w:t xml:space="preserve">income rises. </w:t>
      </w:r>
    </w:p>
    <w:p w:rsidR="00EC6B8D" w:rsidRDefault="00EC6B8D" w:rsidP="00836E2B">
      <w:pPr>
        <w:spacing w:before="240" w:line="320" w:lineRule="atLeast"/>
        <w:jc w:val="both"/>
      </w:pPr>
      <w:r>
        <w:rPr>
          <w:szCs w:val="20"/>
        </w:rPr>
        <w:t>Gross Domestic Income (</w:t>
      </w:r>
      <w:proofErr w:type="spellStart"/>
      <w:r>
        <w:rPr>
          <w:szCs w:val="20"/>
        </w:rPr>
        <w:t>GDI</w:t>
      </w:r>
      <w:proofErr w:type="spellEnd"/>
      <w:r>
        <w:rPr>
          <w:szCs w:val="20"/>
        </w:rPr>
        <w:t xml:space="preserve">) </w:t>
      </w:r>
      <w:r w:rsidR="005C3281">
        <w:rPr>
          <w:szCs w:val="20"/>
        </w:rPr>
        <w:t xml:space="preserve">is a measure of real income </w:t>
      </w:r>
      <w:r w:rsidR="00711099">
        <w:rPr>
          <w:szCs w:val="20"/>
        </w:rPr>
        <w:t xml:space="preserve">that </w:t>
      </w:r>
      <w:r w:rsidR="005C3281">
        <w:rPr>
          <w:szCs w:val="20"/>
        </w:rPr>
        <w:t xml:space="preserve">includes terms of trade effects. </w:t>
      </w:r>
      <w:r w:rsidR="00711099">
        <w:rPr>
          <w:szCs w:val="20"/>
        </w:rPr>
        <w:t>It can be thought of as</w:t>
      </w:r>
      <w:r>
        <w:rPr>
          <w:szCs w:val="20"/>
        </w:rPr>
        <w:t xml:space="preserve"> </w:t>
      </w:r>
      <w:r w:rsidR="0002406C">
        <w:rPr>
          <w:szCs w:val="20"/>
        </w:rPr>
        <w:t xml:space="preserve">real </w:t>
      </w:r>
      <w:r>
        <w:rPr>
          <w:szCs w:val="20"/>
        </w:rPr>
        <w:t>GDP</w:t>
      </w:r>
      <w:r w:rsidR="00711099">
        <w:rPr>
          <w:szCs w:val="20"/>
        </w:rPr>
        <w:t xml:space="preserve"> adjusted</w:t>
      </w:r>
      <w:r>
        <w:rPr>
          <w:szCs w:val="20"/>
        </w:rPr>
        <w:t xml:space="preserve"> for movements in the terms </w:t>
      </w:r>
      <w:r>
        <w:rPr>
          <w:szCs w:val="20"/>
        </w:rPr>
        <w:lastRenderedPageBreak/>
        <w:t>of trade.</w:t>
      </w:r>
      <w:r w:rsidR="0038617E" w:rsidRPr="0038617E">
        <w:t xml:space="preserve"> </w:t>
      </w:r>
      <w:r w:rsidR="0038617E">
        <w:t xml:space="preserve">GDP continues to be a measure of the volume of output in the presence of terms of trade shifts, but </w:t>
      </w:r>
      <w:proofErr w:type="spellStart"/>
      <w:r w:rsidR="00221F9B">
        <w:t>GDI</w:t>
      </w:r>
      <w:proofErr w:type="spellEnd"/>
      <w:r w:rsidR="00221F9B">
        <w:t xml:space="preserve"> is a better measure</w:t>
      </w:r>
      <w:r w:rsidR="0038617E">
        <w:t xml:space="preserve"> of real income.</w:t>
      </w:r>
    </w:p>
    <w:p w:rsidR="0076277D" w:rsidRDefault="0076277D" w:rsidP="0076277D">
      <w:pPr>
        <w:pStyle w:val="Heading3"/>
      </w:pPr>
      <w:r>
        <w:t xml:space="preserve">Growth in </w:t>
      </w:r>
      <w:r w:rsidR="00221F9B">
        <w:t xml:space="preserve">output and </w:t>
      </w:r>
      <w:r>
        <w:t>income</w:t>
      </w:r>
    </w:p>
    <w:p w:rsidR="0063342C" w:rsidRDefault="00711099" w:rsidP="0063342C">
      <w:pPr>
        <w:spacing w:before="240" w:line="320" w:lineRule="atLeast"/>
        <w:jc w:val="both"/>
        <w:rPr>
          <w:szCs w:val="20"/>
        </w:rPr>
      </w:pPr>
      <w:r>
        <w:rPr>
          <w:szCs w:val="20"/>
        </w:rPr>
        <w:t>G</w:t>
      </w:r>
      <w:r w:rsidR="00EC6B8D">
        <w:rPr>
          <w:szCs w:val="20"/>
        </w:rPr>
        <w:t xml:space="preserve">rowth in GDP and </w:t>
      </w:r>
      <w:proofErr w:type="spellStart"/>
      <w:r w:rsidR="00EC6B8D">
        <w:rPr>
          <w:szCs w:val="20"/>
        </w:rPr>
        <w:t>GDI</w:t>
      </w:r>
      <w:proofErr w:type="spellEnd"/>
      <w:r w:rsidR="00EC6B8D">
        <w:rPr>
          <w:szCs w:val="20"/>
        </w:rPr>
        <w:t xml:space="preserve"> are </w:t>
      </w:r>
      <w:r>
        <w:rPr>
          <w:szCs w:val="20"/>
        </w:rPr>
        <w:t>compared</w:t>
      </w:r>
      <w:r w:rsidR="00EC6B8D">
        <w:rPr>
          <w:szCs w:val="20"/>
        </w:rPr>
        <w:t xml:space="preserve"> in figure 2.1</w:t>
      </w:r>
      <w:r w:rsidR="0053208A">
        <w:rPr>
          <w:szCs w:val="20"/>
        </w:rPr>
        <w:t>. The observation</w:t>
      </w:r>
      <w:r w:rsidR="003E57F1">
        <w:rPr>
          <w:szCs w:val="20"/>
        </w:rPr>
        <w:t>s</w:t>
      </w:r>
      <w:r w:rsidR="0053208A">
        <w:rPr>
          <w:szCs w:val="20"/>
        </w:rPr>
        <w:t xml:space="preserve"> for any year show the </w:t>
      </w:r>
      <w:r w:rsidR="00D00313">
        <w:rPr>
          <w:szCs w:val="20"/>
        </w:rPr>
        <w:t xml:space="preserve">cumulative </w:t>
      </w:r>
      <w:r w:rsidR="0053208A">
        <w:rPr>
          <w:szCs w:val="20"/>
        </w:rPr>
        <w:t xml:space="preserve">growth in GDP </w:t>
      </w:r>
      <w:r w:rsidR="003E57F1">
        <w:rPr>
          <w:szCs w:val="20"/>
        </w:rPr>
        <w:t>and</w:t>
      </w:r>
      <w:r w:rsidR="0053208A">
        <w:rPr>
          <w:szCs w:val="20"/>
        </w:rPr>
        <w:t xml:space="preserve"> </w:t>
      </w:r>
      <w:proofErr w:type="spellStart"/>
      <w:r w:rsidR="0053208A">
        <w:rPr>
          <w:szCs w:val="20"/>
        </w:rPr>
        <w:t>GDI</w:t>
      </w:r>
      <w:proofErr w:type="spellEnd"/>
      <w:r w:rsidR="0053208A">
        <w:rPr>
          <w:szCs w:val="20"/>
        </w:rPr>
        <w:t xml:space="preserve"> since</w:t>
      </w:r>
      <w:r w:rsidR="003E57F1">
        <w:rPr>
          <w:szCs w:val="20"/>
        </w:rPr>
        <w:t xml:space="preserve"> 1959-60.</w:t>
      </w:r>
    </w:p>
    <w:p w:rsidR="0063342C" w:rsidRDefault="0063342C" w:rsidP="0063342C">
      <w:pPr>
        <w:spacing w:before="240" w:line="320" w:lineRule="atLeast"/>
        <w:jc w:val="both"/>
        <w:rPr>
          <w:szCs w:val="20"/>
        </w:rPr>
      </w:pPr>
      <w:r>
        <w:rPr>
          <w:szCs w:val="20"/>
        </w:rPr>
        <w:t xml:space="preserve">The </w:t>
      </w:r>
      <w:r w:rsidR="004E230D">
        <w:rPr>
          <w:szCs w:val="20"/>
        </w:rPr>
        <w:t xml:space="preserve">decade of the </w:t>
      </w:r>
      <w:proofErr w:type="spellStart"/>
      <w:r>
        <w:rPr>
          <w:szCs w:val="20"/>
        </w:rPr>
        <w:t>2000s</w:t>
      </w:r>
      <w:proofErr w:type="spellEnd"/>
      <w:r w:rsidR="004E230D">
        <w:rPr>
          <w:szCs w:val="20"/>
        </w:rPr>
        <w:t xml:space="preserve"> was a period</w:t>
      </w:r>
      <w:r w:rsidR="0076277D">
        <w:rPr>
          <w:szCs w:val="20"/>
        </w:rPr>
        <w:t xml:space="preserve"> of very strong income growth</w:t>
      </w:r>
      <w:r>
        <w:rPr>
          <w:szCs w:val="20"/>
        </w:rPr>
        <w:t xml:space="preserve">. Annual average growth in </w:t>
      </w:r>
      <w:proofErr w:type="spellStart"/>
      <w:r>
        <w:rPr>
          <w:szCs w:val="20"/>
        </w:rPr>
        <w:t>GDI</w:t>
      </w:r>
      <w:proofErr w:type="spellEnd"/>
      <w:r w:rsidR="003E57F1">
        <w:rPr>
          <w:szCs w:val="20"/>
        </w:rPr>
        <w:t>, at</w:t>
      </w:r>
      <w:r>
        <w:rPr>
          <w:szCs w:val="20"/>
        </w:rPr>
        <w:t xml:space="preserve"> 3.9</w:t>
      </w:r>
      <w:r w:rsidR="003E57F1">
        <w:rPr>
          <w:szCs w:val="20"/>
        </w:rPr>
        <w:t> </w:t>
      </w:r>
      <w:r>
        <w:rPr>
          <w:szCs w:val="20"/>
        </w:rPr>
        <w:t>per cent</w:t>
      </w:r>
      <w:r w:rsidR="003E57F1">
        <w:rPr>
          <w:szCs w:val="20"/>
        </w:rPr>
        <w:t xml:space="preserve">, was faster than in the </w:t>
      </w:r>
      <w:proofErr w:type="spellStart"/>
      <w:r w:rsidR="003E57F1">
        <w:rPr>
          <w:szCs w:val="20"/>
        </w:rPr>
        <w:t>1990s</w:t>
      </w:r>
      <w:proofErr w:type="spellEnd"/>
      <w:r w:rsidR="003E57F1">
        <w:rPr>
          <w:szCs w:val="20"/>
        </w:rPr>
        <w:t xml:space="preserve"> (3.2 per cent) and faster than in any decade</w:t>
      </w:r>
      <w:r>
        <w:rPr>
          <w:szCs w:val="20"/>
        </w:rPr>
        <w:t xml:space="preserve"> since the halcyon years of the </w:t>
      </w:r>
      <w:proofErr w:type="spellStart"/>
      <w:r>
        <w:rPr>
          <w:szCs w:val="20"/>
        </w:rPr>
        <w:t>1960s</w:t>
      </w:r>
      <w:proofErr w:type="spellEnd"/>
      <w:r>
        <w:rPr>
          <w:szCs w:val="20"/>
        </w:rPr>
        <w:t xml:space="preserve"> (table 2.1). In fact, the average growth </w:t>
      </w:r>
      <w:r w:rsidR="003E57F1">
        <w:rPr>
          <w:szCs w:val="20"/>
        </w:rPr>
        <w:t xml:space="preserve">rate </w:t>
      </w:r>
      <w:r>
        <w:rPr>
          <w:szCs w:val="20"/>
        </w:rPr>
        <w:t xml:space="preserve">over the </w:t>
      </w:r>
      <w:proofErr w:type="spellStart"/>
      <w:r w:rsidR="003F5559">
        <w:rPr>
          <w:szCs w:val="20"/>
        </w:rPr>
        <w:t>2000s</w:t>
      </w:r>
      <w:proofErr w:type="spellEnd"/>
      <w:r w:rsidR="003F5559">
        <w:rPr>
          <w:szCs w:val="20"/>
        </w:rPr>
        <w:t xml:space="preserve"> decade</w:t>
      </w:r>
      <w:r>
        <w:rPr>
          <w:szCs w:val="20"/>
        </w:rPr>
        <w:t xml:space="preserve"> would have been even stronger if it were not for the slight dip in 2009-10</w:t>
      </w:r>
      <w:r w:rsidR="0076277D">
        <w:rPr>
          <w:szCs w:val="20"/>
        </w:rPr>
        <w:t xml:space="preserve"> associated with the global financial crisis</w:t>
      </w:r>
      <w:r>
        <w:rPr>
          <w:szCs w:val="20"/>
        </w:rPr>
        <w:t>.</w:t>
      </w:r>
      <w:r>
        <w:rPr>
          <w:rStyle w:val="FootnoteReference"/>
          <w:szCs w:val="20"/>
        </w:rPr>
        <w:footnoteReference w:id="2"/>
      </w:r>
    </w:p>
    <w:p w:rsidR="0063342C" w:rsidRDefault="0063342C" w:rsidP="0063342C">
      <w:pPr>
        <w:spacing w:before="240" w:line="320" w:lineRule="atLeast"/>
        <w:jc w:val="both"/>
        <w:rPr>
          <w:szCs w:val="20"/>
        </w:rPr>
      </w:pPr>
      <w:r>
        <w:rPr>
          <w:szCs w:val="20"/>
        </w:rPr>
        <w:t>Real income (</w:t>
      </w:r>
      <w:proofErr w:type="spellStart"/>
      <w:r>
        <w:rPr>
          <w:szCs w:val="20"/>
        </w:rPr>
        <w:t>GDI</w:t>
      </w:r>
      <w:proofErr w:type="spellEnd"/>
      <w:r>
        <w:rPr>
          <w:szCs w:val="20"/>
        </w:rPr>
        <w:t>) growth was 0.9 of a percentage point a year stronger than growth in the volume of output (GDP)</w:t>
      </w:r>
      <w:r w:rsidRPr="001D54AE">
        <w:rPr>
          <w:szCs w:val="20"/>
        </w:rPr>
        <w:t xml:space="preserve"> </w:t>
      </w:r>
      <w:r>
        <w:rPr>
          <w:szCs w:val="20"/>
        </w:rPr>
        <w:t xml:space="preserve">in the </w:t>
      </w:r>
      <w:proofErr w:type="spellStart"/>
      <w:r w:rsidR="003F5559">
        <w:rPr>
          <w:szCs w:val="20"/>
        </w:rPr>
        <w:t>2000s</w:t>
      </w:r>
      <w:proofErr w:type="spellEnd"/>
      <w:r w:rsidR="003F5559">
        <w:rPr>
          <w:szCs w:val="20"/>
        </w:rPr>
        <w:t xml:space="preserve"> decade</w:t>
      </w:r>
      <w:r>
        <w:rPr>
          <w:szCs w:val="20"/>
        </w:rPr>
        <w:t xml:space="preserve">. After decades of very similar trajectories (figure 2.1 and table 2.1), </w:t>
      </w:r>
      <w:proofErr w:type="spellStart"/>
      <w:r>
        <w:rPr>
          <w:szCs w:val="20"/>
        </w:rPr>
        <w:t>GDI</w:t>
      </w:r>
      <w:proofErr w:type="spellEnd"/>
      <w:r>
        <w:rPr>
          <w:szCs w:val="20"/>
        </w:rPr>
        <w:t xml:space="preserve"> </w:t>
      </w:r>
      <w:r w:rsidR="00377401">
        <w:rPr>
          <w:szCs w:val="20"/>
        </w:rPr>
        <w:t xml:space="preserve">growth </w:t>
      </w:r>
      <w:r>
        <w:rPr>
          <w:szCs w:val="20"/>
        </w:rPr>
        <w:t>accelerated</w:t>
      </w:r>
      <w:r w:rsidR="00377401" w:rsidRPr="00377401">
        <w:rPr>
          <w:szCs w:val="20"/>
        </w:rPr>
        <w:t xml:space="preserve"> </w:t>
      </w:r>
      <w:r w:rsidR="00377401">
        <w:rPr>
          <w:szCs w:val="20"/>
        </w:rPr>
        <w:t xml:space="preserve">from its </w:t>
      </w:r>
      <w:proofErr w:type="spellStart"/>
      <w:r w:rsidR="00377401">
        <w:rPr>
          <w:szCs w:val="20"/>
        </w:rPr>
        <w:t>1990s</w:t>
      </w:r>
      <w:proofErr w:type="spellEnd"/>
      <w:r w:rsidR="00377401">
        <w:rPr>
          <w:szCs w:val="20"/>
        </w:rPr>
        <w:t xml:space="preserve"> rate</w:t>
      </w:r>
      <w:r>
        <w:rPr>
          <w:szCs w:val="20"/>
        </w:rPr>
        <w:t>, while GDP growth slowed.</w:t>
      </w:r>
    </w:p>
    <w:p w:rsidR="0004521A" w:rsidRDefault="0004521A" w:rsidP="0004521A">
      <w:pPr>
        <w:pStyle w:val="Heading3"/>
      </w:pPr>
      <w:r>
        <w:t>Growth in prosperity</w:t>
      </w:r>
    </w:p>
    <w:p w:rsidR="0004521A" w:rsidRDefault="0004521A" w:rsidP="0004521A">
      <w:pPr>
        <w:pStyle w:val="BodyText"/>
      </w:pPr>
      <w:r>
        <w:t xml:space="preserve">Prosperity and living standards are </w:t>
      </w:r>
      <w:r w:rsidR="00221F9B">
        <w:t>typically</w:t>
      </w:r>
      <w:r>
        <w:t xml:space="preserve"> measured in terms of average income — income per capita. </w:t>
      </w:r>
      <w:r w:rsidR="00221F9B">
        <w:t xml:space="preserve">Again, </w:t>
      </w:r>
      <w:proofErr w:type="spellStart"/>
      <w:r>
        <w:t>GDI</w:t>
      </w:r>
      <w:proofErr w:type="spellEnd"/>
      <w:r>
        <w:t xml:space="preserve"> per capita is a better measure of </w:t>
      </w:r>
      <w:r w:rsidR="001E0E78">
        <w:t xml:space="preserve">real </w:t>
      </w:r>
      <w:r>
        <w:t>average income than GDP per capita in the presence of large shifts in the terms of trade.</w:t>
      </w:r>
      <w:r>
        <w:rPr>
          <w:rStyle w:val="FootnoteReference"/>
        </w:rPr>
        <w:footnoteReference w:id="3"/>
      </w:r>
    </w:p>
    <w:p w:rsidR="0004521A" w:rsidRDefault="0004521A" w:rsidP="0004521A">
      <w:pPr>
        <w:pStyle w:val="BodyText"/>
      </w:pPr>
      <w:r>
        <w:t xml:space="preserve">There was stronger growth in prosperity in the </w:t>
      </w:r>
      <w:proofErr w:type="spellStart"/>
      <w:r>
        <w:t>2000s</w:t>
      </w:r>
      <w:proofErr w:type="spellEnd"/>
      <w:r>
        <w:t xml:space="preserve">. The annual rate of growth in </w:t>
      </w:r>
      <w:proofErr w:type="spellStart"/>
      <w:r>
        <w:t>GDI</w:t>
      </w:r>
      <w:proofErr w:type="spellEnd"/>
      <w:r>
        <w:t xml:space="preserve"> per head rose from 2.0 per cent a year in the </w:t>
      </w:r>
      <w:proofErr w:type="spellStart"/>
      <w:r>
        <w:t>1990s</w:t>
      </w:r>
      <w:proofErr w:type="spellEnd"/>
      <w:r>
        <w:t xml:space="preserve"> to 2.4 per cent</w:t>
      </w:r>
      <w:r w:rsidR="001E0E78">
        <w:t>.</w:t>
      </w:r>
      <w:r w:rsidR="001E0E78">
        <w:rPr>
          <w:rStyle w:val="FootnoteReference"/>
        </w:rPr>
        <w:footnoteReference w:id="4"/>
      </w:r>
    </w:p>
    <w:p w:rsidR="00836E2B" w:rsidRPr="00836E2B" w:rsidRDefault="00836E2B" w:rsidP="00CA6BBD">
      <w:pPr>
        <w:pStyle w:val="FigureTitle"/>
        <w:rPr>
          <w:vertAlign w:val="superscript"/>
        </w:rPr>
      </w:pPr>
      <w:r w:rsidRPr="00CA6BBD">
        <w:rPr>
          <w:b w:val="0"/>
        </w:rPr>
        <w:lastRenderedPageBreak/>
        <w:t xml:space="preserve">Figure </w:t>
      </w:r>
      <w:r w:rsidRPr="00CA6BBD">
        <w:rPr>
          <w:b w:val="0"/>
        </w:rPr>
        <w:fldChar w:fldCharType="begin"/>
      </w:r>
      <w:r w:rsidRPr="00CA6BBD">
        <w:rPr>
          <w:b w:val="0"/>
        </w:rPr>
        <w:instrText xml:space="preserve"> COMMENTS  \* MERGEFORMAT </w:instrText>
      </w:r>
      <w:r w:rsidRPr="00CA6BBD">
        <w:rPr>
          <w:b w:val="0"/>
        </w:rPr>
        <w:fldChar w:fldCharType="separate"/>
      </w:r>
      <w:r w:rsidR="00C536C1">
        <w:rPr>
          <w:b w:val="0"/>
        </w:rPr>
        <w:t>2.</w:t>
      </w:r>
      <w:r w:rsidRPr="00CA6BBD">
        <w:rPr>
          <w:b w:val="0"/>
        </w:rPr>
        <w:fldChar w:fldCharType="end"/>
      </w:r>
      <w:r w:rsidRPr="00CA6BBD">
        <w:rPr>
          <w:b w:val="0"/>
        </w:rPr>
        <w:fldChar w:fldCharType="begin"/>
      </w:r>
      <w:r w:rsidRPr="00CA6BBD">
        <w:rPr>
          <w:b w:val="0"/>
        </w:rPr>
        <w:instrText xml:space="preserve"> SEQ Figure \* ARABIC </w:instrText>
      </w:r>
      <w:r w:rsidRPr="00CA6BBD">
        <w:rPr>
          <w:b w:val="0"/>
        </w:rPr>
        <w:fldChar w:fldCharType="separate"/>
      </w:r>
      <w:r w:rsidR="00876EEE">
        <w:rPr>
          <w:b w:val="0"/>
          <w:noProof/>
        </w:rPr>
        <w:t>1</w:t>
      </w:r>
      <w:r w:rsidRPr="00CA6BBD">
        <w:rPr>
          <w:b w:val="0"/>
        </w:rPr>
        <w:fldChar w:fldCharType="end"/>
      </w:r>
      <w:r w:rsidRPr="00836E2B">
        <w:tab/>
      </w:r>
      <w:r w:rsidR="00693C7A">
        <w:t>Cumulative</w:t>
      </w:r>
      <w:r w:rsidR="00B53081">
        <w:t xml:space="preserve"> growth in </w:t>
      </w:r>
      <w:r w:rsidRPr="00836E2B">
        <w:t>Australia’s GDP</w:t>
      </w:r>
      <w:r w:rsidR="00B53081">
        <w:t xml:space="preserve"> </w:t>
      </w:r>
      <w:r w:rsidR="00B53F91">
        <w:t xml:space="preserve">and </w:t>
      </w:r>
      <w:proofErr w:type="spellStart"/>
      <w:r w:rsidR="00B53081">
        <w:t>GDI</w:t>
      </w:r>
      <w:proofErr w:type="spellEnd"/>
      <w:r w:rsidR="0063342C" w:rsidRPr="00783ED1">
        <w:rPr>
          <w:rStyle w:val="NoteLabel"/>
        </w:rPr>
        <w:t>a</w:t>
      </w:r>
      <w:r w:rsidR="0063342C">
        <w:t xml:space="preserve"> and the terms of trade index</w:t>
      </w:r>
      <w:r w:rsidRPr="00836E2B">
        <w:t>, 1959-60 to 201</w:t>
      </w:r>
      <w:r w:rsidR="005A7197">
        <w:t>1-12</w:t>
      </w:r>
    </w:p>
    <w:p w:rsidR="00836E2B" w:rsidRPr="00836E2B" w:rsidRDefault="00B53081" w:rsidP="00CA6BBD">
      <w:pPr>
        <w:pStyle w:val="Subtitle"/>
      </w:pPr>
      <w:r>
        <w:t xml:space="preserve">per cent </w:t>
      </w:r>
      <w:r w:rsidR="001266E0">
        <w:t xml:space="preserve">(left hand side) </w:t>
      </w:r>
      <w:r>
        <w:t>and index 2009-10=100</w:t>
      </w:r>
      <w:r w:rsidR="001266E0">
        <w:t xml:space="preserve"> (right hand side)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36E2B" w:rsidRPr="00836E2B" w:rsidTr="00096C06">
        <w:tc>
          <w:tcPr>
            <w:tcW w:w="8777" w:type="dxa"/>
          </w:tcPr>
          <w:p w:rsidR="00836E2B" w:rsidRPr="00836E2B" w:rsidRDefault="00F7212F" w:rsidP="00096C06">
            <w:pPr>
              <w:pStyle w:val="Figure"/>
              <w:spacing w:before="60" w:after="60"/>
            </w:pPr>
            <w:r>
              <w:rPr>
                <w:noProof/>
              </w:rPr>
              <w:drawing>
                <wp:inline distT="0" distB="0" distL="0" distR="0" wp14:anchorId="79C20D19" wp14:editId="247D6E19">
                  <wp:extent cx="4467225" cy="2609850"/>
                  <wp:effectExtent l="0" t="0" r="9525" b="0"/>
                  <wp:docPr id="5" name="Picture 5" descr="Cumulative growth in Australia’s GDP and GDI and the terms of trade index, 1959-60 to 2011-12. This figure shows that GDI grew more rapidly than GDP in the 2000s, once the terms of trade started to rise sharply after 200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7225" cy="2609850"/>
                          </a:xfrm>
                          <a:prstGeom prst="rect">
                            <a:avLst/>
                          </a:prstGeom>
                          <a:noFill/>
                          <a:ln>
                            <a:noFill/>
                          </a:ln>
                        </pic:spPr>
                      </pic:pic>
                    </a:graphicData>
                  </a:graphic>
                </wp:inline>
              </w:drawing>
            </w:r>
          </w:p>
        </w:tc>
      </w:tr>
    </w:tbl>
    <w:p w:rsidR="00836E2B" w:rsidRPr="00836E2B" w:rsidRDefault="00836E2B" w:rsidP="00CA6BBD">
      <w:pPr>
        <w:pStyle w:val="Note"/>
      </w:pPr>
      <w:proofErr w:type="spellStart"/>
      <w:r w:rsidRPr="00CA6BBD">
        <w:rPr>
          <w:rStyle w:val="NoteLabel"/>
        </w:rPr>
        <w:t>a</w:t>
      </w:r>
      <w:proofErr w:type="spellEnd"/>
      <w:r w:rsidRPr="00836E2B">
        <w:t xml:space="preserve"> </w:t>
      </w:r>
      <w:r w:rsidR="00B53081">
        <w:t xml:space="preserve">The </w:t>
      </w:r>
      <w:r w:rsidR="00640041">
        <w:t xml:space="preserve">chain volume </w:t>
      </w:r>
      <w:r w:rsidR="00B53081">
        <w:t xml:space="preserve">GDP and </w:t>
      </w:r>
      <w:r w:rsidR="00640041">
        <w:t xml:space="preserve">real </w:t>
      </w:r>
      <w:proofErr w:type="spellStart"/>
      <w:r w:rsidR="00B53081">
        <w:t>GDI</w:t>
      </w:r>
      <w:proofErr w:type="spellEnd"/>
      <w:r w:rsidR="00B53081">
        <w:t xml:space="preserve"> series show </w:t>
      </w:r>
      <w:r w:rsidR="00640041">
        <w:t>cumulative</w:t>
      </w:r>
      <w:r w:rsidR="00B53081">
        <w:t xml:space="preserve"> growth </w:t>
      </w:r>
      <w:r w:rsidR="00640041">
        <w:t>since 1959-60</w:t>
      </w:r>
      <w:r w:rsidRPr="00836E2B">
        <w:t>.</w:t>
      </w:r>
    </w:p>
    <w:p w:rsidR="00836E2B" w:rsidRPr="00836E2B" w:rsidRDefault="00836E2B" w:rsidP="00CA6BBD">
      <w:pPr>
        <w:pStyle w:val="Source"/>
      </w:pPr>
      <w:r w:rsidRPr="00836E2B">
        <w:rPr>
          <w:i/>
        </w:rPr>
        <w:t>Data source</w:t>
      </w:r>
      <w:r w:rsidR="00967519">
        <w:t>: ABS</w:t>
      </w:r>
      <w:r w:rsidR="00B53F91">
        <w:t xml:space="preserve"> (</w:t>
      </w:r>
      <w:r w:rsidR="00967519">
        <w:t>Cat. n</w:t>
      </w:r>
      <w:r w:rsidRPr="00836E2B">
        <w:t>o. 5204.0</w:t>
      </w:r>
      <w:r w:rsidR="00B53F91">
        <w:t>).</w:t>
      </w:r>
    </w:p>
    <w:p w:rsidR="00D84320" w:rsidRPr="00836E2B" w:rsidRDefault="00691B4E" w:rsidP="00CA6BBD">
      <w:pPr>
        <w:pStyle w:val="TableTitle"/>
        <w:rPr>
          <w:vertAlign w:val="superscript"/>
        </w:rPr>
      </w:pPr>
      <w:r>
        <w:rPr>
          <w:b w:val="0"/>
        </w:rPr>
        <w:t xml:space="preserve">Table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Table \* ARABIC </w:instrText>
      </w:r>
      <w:r>
        <w:rPr>
          <w:b w:val="0"/>
        </w:rPr>
        <w:fldChar w:fldCharType="separate"/>
      </w:r>
      <w:r w:rsidR="00876EEE">
        <w:rPr>
          <w:b w:val="0"/>
          <w:noProof/>
        </w:rPr>
        <w:t>1</w:t>
      </w:r>
      <w:r>
        <w:rPr>
          <w:b w:val="0"/>
        </w:rPr>
        <w:fldChar w:fldCharType="end"/>
      </w:r>
      <w:r w:rsidR="00D84320" w:rsidRPr="00836E2B">
        <w:tab/>
      </w:r>
      <w:r w:rsidR="00DF0E43">
        <w:t>A</w:t>
      </w:r>
      <w:r w:rsidR="00D84320" w:rsidRPr="00836E2B">
        <w:t>verage growth in Australia’s</w:t>
      </w:r>
      <w:r w:rsidR="00E25F10">
        <w:t xml:space="preserve"> real</w:t>
      </w:r>
      <w:r w:rsidR="00D84320" w:rsidRPr="00836E2B">
        <w:t xml:space="preserve"> GDP and </w:t>
      </w:r>
      <w:proofErr w:type="spellStart"/>
      <w:r w:rsidR="00D84320" w:rsidRPr="00836E2B">
        <w:t>GDI</w:t>
      </w:r>
      <w:proofErr w:type="spellEnd"/>
      <w:r w:rsidR="00DF0E43">
        <w:t xml:space="preserve"> over </w:t>
      </w:r>
      <w:r w:rsidR="00D84320" w:rsidRPr="00836E2B">
        <w:t>decades</w:t>
      </w:r>
      <w:r w:rsidR="00D84320" w:rsidRPr="00096C06">
        <w:rPr>
          <w:rStyle w:val="NoteLabel"/>
          <w:b/>
        </w:rPr>
        <w:t>a</w:t>
      </w:r>
    </w:p>
    <w:p w:rsidR="00D84320" w:rsidRPr="00836E2B" w:rsidRDefault="00D84320" w:rsidP="00CA6BBD">
      <w:pPr>
        <w:pStyle w:val="Subtitle"/>
      </w:pPr>
      <w:r w:rsidRPr="00836E2B">
        <w:t>per cent per year</w:t>
      </w:r>
    </w:p>
    <w:tbl>
      <w:tblPr>
        <w:tblW w:w="5000" w:type="pct"/>
        <w:tblCellMar>
          <w:left w:w="0" w:type="dxa"/>
          <w:right w:w="0" w:type="dxa"/>
        </w:tblCellMar>
        <w:tblLook w:val="0000" w:firstRow="0" w:lastRow="0" w:firstColumn="0" w:lastColumn="0" w:noHBand="0" w:noVBand="0"/>
      </w:tblPr>
      <w:tblGrid>
        <w:gridCol w:w="2931"/>
        <w:gridCol w:w="2930"/>
        <w:gridCol w:w="2928"/>
      </w:tblGrid>
      <w:tr w:rsidR="00D84320" w:rsidRPr="00836E2B" w:rsidTr="00D84320">
        <w:tc>
          <w:tcPr>
            <w:tcW w:w="1667" w:type="pct"/>
            <w:tcBorders>
              <w:top w:val="single" w:sz="6" w:space="0" w:color="auto"/>
              <w:bottom w:val="single" w:sz="6" w:space="0" w:color="auto"/>
            </w:tcBorders>
            <w:shd w:val="clear" w:color="auto" w:fill="auto"/>
          </w:tcPr>
          <w:p w:rsidR="00D84320" w:rsidRPr="00836E2B" w:rsidRDefault="00D84320" w:rsidP="00CA6BBD">
            <w:pPr>
              <w:pStyle w:val="TableColumnHeading"/>
              <w:jc w:val="left"/>
            </w:pPr>
            <w:r w:rsidRPr="00836E2B">
              <w:t>Decade</w:t>
            </w:r>
          </w:p>
        </w:tc>
        <w:tc>
          <w:tcPr>
            <w:tcW w:w="1667" w:type="pct"/>
            <w:tcBorders>
              <w:top w:val="single" w:sz="6" w:space="0" w:color="auto"/>
              <w:bottom w:val="single" w:sz="6" w:space="0" w:color="auto"/>
            </w:tcBorders>
            <w:shd w:val="clear" w:color="auto" w:fill="auto"/>
          </w:tcPr>
          <w:p w:rsidR="00D84320" w:rsidRPr="00836E2B" w:rsidRDefault="00D84320" w:rsidP="00CA6BBD">
            <w:pPr>
              <w:pStyle w:val="TableColumnHeading"/>
            </w:pPr>
            <w:r w:rsidRPr="00836E2B">
              <w:t>GDP growth rate</w:t>
            </w:r>
          </w:p>
        </w:tc>
        <w:tc>
          <w:tcPr>
            <w:tcW w:w="1666" w:type="pct"/>
            <w:tcBorders>
              <w:top w:val="single" w:sz="6" w:space="0" w:color="auto"/>
              <w:bottom w:val="single" w:sz="6" w:space="0" w:color="auto"/>
            </w:tcBorders>
            <w:shd w:val="clear" w:color="auto" w:fill="auto"/>
          </w:tcPr>
          <w:p w:rsidR="00D84320" w:rsidRPr="00836E2B" w:rsidRDefault="00D84320" w:rsidP="00CA6BBD">
            <w:pPr>
              <w:pStyle w:val="TableColumnHeading"/>
            </w:pPr>
            <w:proofErr w:type="spellStart"/>
            <w:r w:rsidRPr="00836E2B">
              <w:t>GDI</w:t>
            </w:r>
            <w:proofErr w:type="spellEnd"/>
            <w:r w:rsidRPr="00836E2B">
              <w:t xml:space="preserve"> growth rate</w:t>
            </w:r>
          </w:p>
        </w:tc>
      </w:tr>
      <w:tr w:rsidR="00D84320" w:rsidRPr="00836E2B" w:rsidTr="00D84320">
        <w:tc>
          <w:tcPr>
            <w:tcW w:w="1667" w:type="pct"/>
            <w:tcBorders>
              <w:top w:val="single" w:sz="6" w:space="0" w:color="auto"/>
            </w:tcBorders>
          </w:tcPr>
          <w:p w:rsidR="00D84320" w:rsidRPr="00836E2B" w:rsidRDefault="00D84320" w:rsidP="00096C06">
            <w:pPr>
              <w:pStyle w:val="TableBodyText"/>
              <w:spacing w:before="120"/>
              <w:jc w:val="left"/>
            </w:pPr>
            <w:proofErr w:type="spellStart"/>
            <w:r w:rsidRPr="00836E2B">
              <w:t>1960s</w:t>
            </w:r>
            <w:proofErr w:type="spellEnd"/>
          </w:p>
        </w:tc>
        <w:tc>
          <w:tcPr>
            <w:tcW w:w="1667" w:type="pct"/>
            <w:tcBorders>
              <w:top w:val="single" w:sz="6" w:space="0" w:color="auto"/>
            </w:tcBorders>
          </w:tcPr>
          <w:p w:rsidR="00D84320" w:rsidRPr="00836E2B" w:rsidRDefault="00D84320" w:rsidP="00096C06">
            <w:pPr>
              <w:pStyle w:val="TableBodyText"/>
              <w:spacing w:before="120"/>
            </w:pPr>
            <w:r w:rsidRPr="00836E2B">
              <w:t>5.0</w:t>
            </w:r>
          </w:p>
        </w:tc>
        <w:tc>
          <w:tcPr>
            <w:tcW w:w="1666" w:type="pct"/>
            <w:tcBorders>
              <w:top w:val="single" w:sz="6" w:space="0" w:color="auto"/>
            </w:tcBorders>
          </w:tcPr>
          <w:p w:rsidR="00D84320" w:rsidRPr="00836E2B" w:rsidRDefault="00D84320" w:rsidP="00096C06">
            <w:pPr>
              <w:pStyle w:val="TableBodyText"/>
              <w:spacing w:before="120"/>
            </w:pPr>
            <w:r w:rsidRPr="00836E2B">
              <w:t>5.2</w:t>
            </w:r>
          </w:p>
        </w:tc>
      </w:tr>
      <w:tr w:rsidR="00D84320" w:rsidRPr="00836E2B" w:rsidTr="00D84320">
        <w:tc>
          <w:tcPr>
            <w:tcW w:w="1667" w:type="pct"/>
          </w:tcPr>
          <w:p w:rsidR="00D84320" w:rsidRPr="00836E2B" w:rsidRDefault="00D84320" w:rsidP="00C7044A">
            <w:pPr>
              <w:pStyle w:val="TableBodyText"/>
              <w:jc w:val="left"/>
            </w:pPr>
            <w:proofErr w:type="spellStart"/>
            <w:r w:rsidRPr="00836E2B">
              <w:t>1970s</w:t>
            </w:r>
            <w:proofErr w:type="spellEnd"/>
          </w:p>
        </w:tc>
        <w:tc>
          <w:tcPr>
            <w:tcW w:w="1667" w:type="pct"/>
          </w:tcPr>
          <w:p w:rsidR="00D84320" w:rsidRPr="00836E2B" w:rsidRDefault="00D84320" w:rsidP="00C7044A">
            <w:pPr>
              <w:pStyle w:val="TableBodyText"/>
            </w:pPr>
            <w:r w:rsidRPr="00836E2B">
              <w:t>3.0</w:t>
            </w:r>
          </w:p>
        </w:tc>
        <w:tc>
          <w:tcPr>
            <w:tcW w:w="1666" w:type="pct"/>
          </w:tcPr>
          <w:p w:rsidR="00D84320" w:rsidRPr="00836E2B" w:rsidRDefault="00D84320" w:rsidP="00C7044A">
            <w:pPr>
              <w:pStyle w:val="TableBodyText"/>
            </w:pPr>
            <w:r w:rsidRPr="00836E2B">
              <w:t>3.3</w:t>
            </w:r>
          </w:p>
        </w:tc>
      </w:tr>
      <w:tr w:rsidR="00D84320" w:rsidRPr="00836E2B" w:rsidTr="00D84320">
        <w:tc>
          <w:tcPr>
            <w:tcW w:w="1667" w:type="pct"/>
            <w:shd w:val="clear" w:color="auto" w:fill="auto"/>
          </w:tcPr>
          <w:p w:rsidR="00D84320" w:rsidRPr="00836E2B" w:rsidRDefault="00D84320" w:rsidP="00C7044A">
            <w:pPr>
              <w:pStyle w:val="TableBodyText"/>
              <w:jc w:val="left"/>
            </w:pPr>
            <w:proofErr w:type="spellStart"/>
            <w:r w:rsidRPr="00836E2B">
              <w:t>1980s</w:t>
            </w:r>
            <w:proofErr w:type="spellEnd"/>
          </w:p>
        </w:tc>
        <w:tc>
          <w:tcPr>
            <w:tcW w:w="1667" w:type="pct"/>
            <w:shd w:val="clear" w:color="auto" w:fill="auto"/>
          </w:tcPr>
          <w:p w:rsidR="00D84320" w:rsidRPr="00836E2B" w:rsidRDefault="00D84320" w:rsidP="00C7044A">
            <w:pPr>
              <w:pStyle w:val="TableBodyText"/>
            </w:pPr>
            <w:r w:rsidRPr="00836E2B">
              <w:t>3.4</w:t>
            </w:r>
          </w:p>
        </w:tc>
        <w:tc>
          <w:tcPr>
            <w:tcW w:w="1666" w:type="pct"/>
            <w:shd w:val="clear" w:color="auto" w:fill="auto"/>
          </w:tcPr>
          <w:p w:rsidR="00D84320" w:rsidRPr="00836E2B" w:rsidRDefault="00D84320" w:rsidP="00C7044A">
            <w:pPr>
              <w:pStyle w:val="TableBodyText"/>
            </w:pPr>
            <w:r w:rsidRPr="00836E2B">
              <w:t>3.5</w:t>
            </w:r>
          </w:p>
        </w:tc>
      </w:tr>
      <w:tr w:rsidR="00D84320" w:rsidRPr="00836E2B" w:rsidTr="00D84320">
        <w:tc>
          <w:tcPr>
            <w:tcW w:w="1667" w:type="pct"/>
            <w:shd w:val="clear" w:color="auto" w:fill="auto"/>
          </w:tcPr>
          <w:p w:rsidR="00D84320" w:rsidRPr="00836E2B" w:rsidRDefault="00D84320" w:rsidP="00C7044A">
            <w:pPr>
              <w:pStyle w:val="TableBodyText"/>
              <w:jc w:val="left"/>
            </w:pPr>
            <w:proofErr w:type="spellStart"/>
            <w:r w:rsidRPr="00836E2B">
              <w:t>1990s</w:t>
            </w:r>
            <w:proofErr w:type="spellEnd"/>
          </w:p>
        </w:tc>
        <w:tc>
          <w:tcPr>
            <w:tcW w:w="1667" w:type="pct"/>
            <w:shd w:val="clear" w:color="auto" w:fill="auto"/>
          </w:tcPr>
          <w:p w:rsidR="00D84320" w:rsidRPr="00836E2B" w:rsidRDefault="00D84320" w:rsidP="00C7044A">
            <w:pPr>
              <w:pStyle w:val="TableBodyText"/>
            </w:pPr>
            <w:r w:rsidRPr="00836E2B">
              <w:t>3.3</w:t>
            </w:r>
          </w:p>
        </w:tc>
        <w:tc>
          <w:tcPr>
            <w:tcW w:w="1666" w:type="pct"/>
            <w:shd w:val="clear" w:color="auto" w:fill="auto"/>
          </w:tcPr>
          <w:p w:rsidR="00D84320" w:rsidRPr="00836E2B" w:rsidRDefault="00D84320" w:rsidP="00C7044A">
            <w:pPr>
              <w:pStyle w:val="TableBodyText"/>
            </w:pPr>
            <w:r w:rsidRPr="00836E2B">
              <w:t>3.2</w:t>
            </w:r>
          </w:p>
        </w:tc>
      </w:tr>
      <w:tr w:rsidR="00D84320" w:rsidRPr="00836E2B" w:rsidTr="00D84320">
        <w:tc>
          <w:tcPr>
            <w:tcW w:w="1667" w:type="pct"/>
            <w:tcBorders>
              <w:bottom w:val="single" w:sz="6" w:space="0" w:color="auto"/>
            </w:tcBorders>
            <w:shd w:val="clear" w:color="auto" w:fill="auto"/>
          </w:tcPr>
          <w:p w:rsidR="00D84320" w:rsidRPr="00836E2B" w:rsidRDefault="00D84320" w:rsidP="00C7044A">
            <w:pPr>
              <w:pStyle w:val="TableBodyText"/>
              <w:jc w:val="left"/>
            </w:pPr>
            <w:proofErr w:type="spellStart"/>
            <w:r w:rsidRPr="00836E2B">
              <w:t>2000s</w:t>
            </w:r>
            <w:proofErr w:type="spellEnd"/>
          </w:p>
        </w:tc>
        <w:tc>
          <w:tcPr>
            <w:tcW w:w="1667" w:type="pct"/>
            <w:tcBorders>
              <w:bottom w:val="single" w:sz="6" w:space="0" w:color="auto"/>
            </w:tcBorders>
            <w:shd w:val="clear" w:color="auto" w:fill="auto"/>
          </w:tcPr>
          <w:p w:rsidR="00D84320" w:rsidRPr="00836E2B" w:rsidRDefault="00D84320" w:rsidP="00C7044A">
            <w:pPr>
              <w:pStyle w:val="TableBodyText"/>
            </w:pPr>
            <w:r w:rsidRPr="00836E2B">
              <w:t>3.0</w:t>
            </w:r>
          </w:p>
        </w:tc>
        <w:tc>
          <w:tcPr>
            <w:tcW w:w="1666" w:type="pct"/>
            <w:tcBorders>
              <w:bottom w:val="single" w:sz="6" w:space="0" w:color="auto"/>
            </w:tcBorders>
            <w:shd w:val="clear" w:color="auto" w:fill="auto"/>
          </w:tcPr>
          <w:p w:rsidR="00D84320" w:rsidRPr="00836E2B" w:rsidRDefault="00D84320" w:rsidP="00C7044A">
            <w:pPr>
              <w:pStyle w:val="TableBodyText"/>
            </w:pPr>
            <w:r w:rsidRPr="00836E2B">
              <w:t>3.9</w:t>
            </w:r>
          </w:p>
        </w:tc>
      </w:tr>
    </w:tbl>
    <w:p w:rsidR="00D84320" w:rsidRPr="00836E2B" w:rsidRDefault="00D84320" w:rsidP="00CA6BBD">
      <w:pPr>
        <w:pStyle w:val="Note"/>
      </w:pPr>
      <w:r w:rsidRPr="00CA6BBD">
        <w:rPr>
          <w:rStyle w:val="NoteLabel"/>
        </w:rPr>
        <w:t>a</w:t>
      </w:r>
      <w:r w:rsidRPr="00836E2B">
        <w:t xml:space="preserve"> Calculated over </w:t>
      </w:r>
      <w:r w:rsidR="00B53F91">
        <w:t>10</w:t>
      </w:r>
      <w:r w:rsidRPr="00836E2B">
        <w:t xml:space="preserve"> years</w:t>
      </w:r>
      <w:r w:rsidR="00640041">
        <w:t>. For</w:t>
      </w:r>
      <w:r w:rsidRPr="00836E2B">
        <w:t xml:space="preserve"> example</w:t>
      </w:r>
      <w:r w:rsidR="00640041">
        <w:t>,</w:t>
      </w:r>
      <w:r w:rsidRPr="00836E2B">
        <w:t xml:space="preserve"> for the </w:t>
      </w:r>
      <w:proofErr w:type="spellStart"/>
      <w:r w:rsidRPr="00836E2B">
        <w:t>1960s</w:t>
      </w:r>
      <w:proofErr w:type="spellEnd"/>
      <w:r w:rsidRPr="00836E2B">
        <w:t>, from 1959-60 to 1969-70.</w:t>
      </w:r>
    </w:p>
    <w:p w:rsidR="00D84320" w:rsidRPr="00836E2B" w:rsidRDefault="00B53F91" w:rsidP="00CA6BBD">
      <w:pPr>
        <w:pStyle w:val="Source"/>
      </w:pPr>
      <w:r>
        <w:rPr>
          <w:i/>
        </w:rPr>
        <w:t>S</w:t>
      </w:r>
      <w:r w:rsidR="00D84320" w:rsidRPr="00836E2B">
        <w:rPr>
          <w:i/>
        </w:rPr>
        <w:t>ource</w:t>
      </w:r>
      <w:r w:rsidR="00967519">
        <w:t xml:space="preserve">: ABS </w:t>
      </w:r>
      <w:r>
        <w:t>(</w:t>
      </w:r>
      <w:r w:rsidR="00967519">
        <w:t>Cat. n</w:t>
      </w:r>
      <w:r w:rsidR="00D84320" w:rsidRPr="00836E2B">
        <w:t>o. 5204.0</w:t>
      </w:r>
      <w:r>
        <w:t>).</w:t>
      </w:r>
    </w:p>
    <w:p w:rsidR="005365D5" w:rsidRDefault="00146747" w:rsidP="005365D5">
      <w:pPr>
        <w:pStyle w:val="Heading2"/>
      </w:pPr>
      <w:r>
        <w:fldChar w:fldCharType="begin"/>
      </w:r>
      <w:r>
        <w:instrText xml:space="preserve"> COMMENTS  \* MERGEFORMAT </w:instrText>
      </w:r>
      <w:r>
        <w:fldChar w:fldCharType="separate"/>
      </w:r>
      <w:r w:rsidR="00C536C1">
        <w:t>2.</w:t>
      </w:r>
      <w:r>
        <w:fldChar w:fldCharType="end"/>
      </w:r>
      <w:r>
        <w:fldChar w:fldCharType="begin"/>
      </w:r>
      <w:r>
        <w:instrText xml:space="preserve"> SEQ Heading2 </w:instrText>
      </w:r>
      <w:r>
        <w:fldChar w:fldCharType="separate"/>
      </w:r>
      <w:r w:rsidR="00876EEE">
        <w:rPr>
          <w:noProof/>
        </w:rPr>
        <w:t>2</w:t>
      </w:r>
      <w:r>
        <w:rPr>
          <w:noProof/>
        </w:rPr>
        <w:fldChar w:fldCharType="end"/>
      </w:r>
      <w:r w:rsidR="005365D5">
        <w:tab/>
        <w:t>Sources of growth</w:t>
      </w:r>
    </w:p>
    <w:p w:rsidR="00A23C2F" w:rsidRPr="00A23C2F" w:rsidRDefault="00221F9B" w:rsidP="00A23C2F">
      <w:pPr>
        <w:pStyle w:val="BodyText"/>
      </w:pPr>
      <w:r>
        <w:t xml:space="preserve">The </w:t>
      </w:r>
      <w:proofErr w:type="spellStart"/>
      <w:r>
        <w:t>1990s</w:t>
      </w:r>
      <w:proofErr w:type="spellEnd"/>
      <w:r>
        <w:t xml:space="preserve"> were the ‘productivity decade’ and the </w:t>
      </w:r>
      <w:proofErr w:type="spellStart"/>
      <w:r>
        <w:t>2000s</w:t>
      </w:r>
      <w:proofErr w:type="spellEnd"/>
      <w:r>
        <w:t xml:space="preserve"> were the ‘terms of trade decade’.</w:t>
      </w:r>
    </w:p>
    <w:p w:rsidR="005365D5" w:rsidRDefault="007C4BD9" w:rsidP="005365D5">
      <w:pPr>
        <w:pStyle w:val="Heading3"/>
      </w:pPr>
      <w:r>
        <w:t>Income, p</w:t>
      </w:r>
      <w:r w:rsidR="00B266A1">
        <w:t>roductivity and</w:t>
      </w:r>
      <w:r w:rsidR="005365D5">
        <w:t xml:space="preserve"> the terms of trade</w:t>
      </w:r>
    </w:p>
    <w:p w:rsidR="003F5013" w:rsidRDefault="00892415" w:rsidP="00892415">
      <w:pPr>
        <w:pStyle w:val="BodyText"/>
      </w:pPr>
      <w:r>
        <w:t xml:space="preserve">The divergence between </w:t>
      </w:r>
      <w:proofErr w:type="spellStart"/>
      <w:r>
        <w:t>GDI</w:t>
      </w:r>
      <w:proofErr w:type="spellEnd"/>
      <w:r>
        <w:t xml:space="preserve"> and GDP growth </w:t>
      </w:r>
      <w:r w:rsidR="00777B0E">
        <w:t>demonstrates</w:t>
      </w:r>
      <w:r>
        <w:t xml:space="preserve"> that the terms of trade were an important source of real income growth in the </w:t>
      </w:r>
      <w:proofErr w:type="spellStart"/>
      <w:r>
        <w:t>2000s</w:t>
      </w:r>
      <w:proofErr w:type="spellEnd"/>
      <w:r>
        <w:t xml:space="preserve">. The terms of trade </w:t>
      </w:r>
      <w:r>
        <w:lastRenderedPageBreak/>
        <w:t xml:space="preserve">rose by </w:t>
      </w:r>
      <w:r w:rsidR="004E230D">
        <w:t>85</w:t>
      </w:r>
      <w:r>
        <w:t xml:space="preserve"> per cent after </w:t>
      </w:r>
      <w:r w:rsidR="004E230D">
        <w:t>2002-03</w:t>
      </w:r>
      <w:r>
        <w:rPr>
          <w:rStyle w:val="FootnoteReference"/>
        </w:rPr>
        <w:footnoteReference w:id="5"/>
      </w:r>
      <w:r>
        <w:t xml:space="preserve"> </w:t>
      </w:r>
      <w:r w:rsidR="00221F9B">
        <w:t>(figure 2.2) to a</w:t>
      </w:r>
      <w:r w:rsidR="00F14121">
        <w:t xml:space="preserve"> level</w:t>
      </w:r>
      <w:r w:rsidR="00221F9B">
        <w:t xml:space="preserve"> hardly witnessed over the last 140 years.</w:t>
      </w:r>
      <w:r w:rsidR="00221F9B">
        <w:rPr>
          <w:rStyle w:val="FootnoteReference"/>
        </w:rPr>
        <w:footnoteReference w:id="6"/>
      </w:r>
      <w:r w:rsidR="00221F9B" w:rsidRPr="00411A91">
        <w:t xml:space="preserve"> </w:t>
      </w:r>
      <w:r w:rsidR="00221F9B">
        <w:t>Export prices rose with the growth in export demand, particularly for minerals, while import prices fell with exchange rate appreciation</w:t>
      </w:r>
      <w:r w:rsidR="001E0E78">
        <w:t>,</w:t>
      </w:r>
      <w:r w:rsidR="00221F9B">
        <w:t xml:space="preserve"> increased world suppl</w:t>
      </w:r>
      <w:r w:rsidR="001E0E78">
        <w:t>ies</w:t>
      </w:r>
      <w:r w:rsidR="00221F9B">
        <w:t xml:space="preserve"> from lower-cost countries</w:t>
      </w:r>
      <w:r w:rsidR="001E0E78">
        <w:t xml:space="preserve"> and technological advances in overseas production of </w:t>
      </w:r>
      <w:r w:rsidR="00624DAC">
        <w:t>electronic</w:t>
      </w:r>
      <w:r w:rsidR="001E0E78">
        <w:t xml:space="preserve"> equipment</w:t>
      </w:r>
      <w:r w:rsidR="00221F9B">
        <w:t xml:space="preserve">. </w:t>
      </w:r>
    </w:p>
    <w:p w:rsidR="00892415" w:rsidRDefault="00892415" w:rsidP="00892415">
      <w:pPr>
        <w:pStyle w:val="BodyText"/>
      </w:pPr>
      <w:r>
        <w:t xml:space="preserve">The rise in the terms of trade accounted for over 20 per cent of the average annual growth in </w:t>
      </w:r>
      <w:proofErr w:type="spellStart"/>
      <w:r>
        <w:t>GDI</w:t>
      </w:r>
      <w:proofErr w:type="spellEnd"/>
      <w:r>
        <w:t xml:space="preserve"> over the </w:t>
      </w:r>
      <w:r w:rsidR="003F5559">
        <w:t xml:space="preserve">first decade of the </w:t>
      </w:r>
      <w:proofErr w:type="spellStart"/>
      <w:r w:rsidR="003F5559">
        <w:t>2000s</w:t>
      </w:r>
      <w:proofErr w:type="spellEnd"/>
      <w:r>
        <w:t>.</w:t>
      </w:r>
      <w:r>
        <w:rPr>
          <w:rStyle w:val="FootnoteReference"/>
        </w:rPr>
        <w:footnoteReference w:id="7"/>
      </w:r>
      <w:r>
        <w:t xml:space="preserve"> </w:t>
      </w:r>
    </w:p>
    <w:p w:rsidR="002E501B" w:rsidRDefault="002E501B" w:rsidP="00DF0E43">
      <w:pPr>
        <w:pStyle w:val="BodyText"/>
      </w:pPr>
      <w:r>
        <w:t xml:space="preserve">The terms of trade more than replaced the gap </w:t>
      </w:r>
      <w:r w:rsidR="008A6472">
        <w:t xml:space="preserve">in real income growth </w:t>
      </w:r>
      <w:r>
        <w:t xml:space="preserve">left by slower productivity growth. </w:t>
      </w:r>
      <w:r w:rsidR="00DF0E43">
        <w:t xml:space="preserve">Productivity growth was the major contributor to real income growth in the </w:t>
      </w:r>
      <w:proofErr w:type="spellStart"/>
      <w:r w:rsidR="00DF0E43">
        <w:t>1990s</w:t>
      </w:r>
      <w:proofErr w:type="spellEnd"/>
      <w:r w:rsidR="00DF0E43">
        <w:t>. GDP per hour worked in the economy as a whole</w:t>
      </w:r>
      <w:r w:rsidR="00411A91">
        <w:t xml:space="preserve"> — a broad indicator of labour productivity — c</w:t>
      </w:r>
      <w:r w:rsidR="00DF0E43">
        <w:t xml:space="preserve">ontributed 2.1 percentage points, or about two-thirds, of the </w:t>
      </w:r>
      <w:proofErr w:type="spellStart"/>
      <w:r w:rsidR="00DF0E43">
        <w:t>GDI</w:t>
      </w:r>
      <w:proofErr w:type="spellEnd"/>
      <w:r w:rsidR="00DF0E43">
        <w:t xml:space="preserve"> growth (table 2.2). </w:t>
      </w:r>
      <w:r w:rsidR="00F14121">
        <w:t>However, g</w:t>
      </w:r>
      <w:r>
        <w:t xml:space="preserve">rowth in GDP per hour worked fell by 0.7 of a percentage point </w:t>
      </w:r>
      <w:r w:rsidR="008A6472">
        <w:t>on average over the course of</w:t>
      </w:r>
      <w:r>
        <w:t xml:space="preserve"> the </w:t>
      </w:r>
      <w:proofErr w:type="spellStart"/>
      <w:r>
        <w:t>2000s</w:t>
      </w:r>
      <w:proofErr w:type="spellEnd"/>
      <w:r w:rsidR="003F5559">
        <w:t xml:space="preserve"> decade</w:t>
      </w:r>
      <w:r>
        <w:t>.</w:t>
      </w:r>
      <w:r w:rsidR="00086CF6">
        <w:t xml:space="preserve"> Yet, as already noted, </w:t>
      </w:r>
      <w:r w:rsidR="001E0E78">
        <w:t xml:space="preserve">the rise in the terms of trade not only maintained </w:t>
      </w:r>
      <w:r w:rsidR="00086CF6">
        <w:t xml:space="preserve">growth in </w:t>
      </w:r>
      <w:proofErr w:type="spellStart"/>
      <w:r w:rsidR="00086CF6">
        <w:t>GDI</w:t>
      </w:r>
      <w:proofErr w:type="spellEnd"/>
      <w:r w:rsidR="001E0E78">
        <w:t xml:space="preserve">, but also helped (along with stronger hours growth) to </w:t>
      </w:r>
      <w:r w:rsidR="00B07EBE">
        <w:t>push it higher.</w:t>
      </w:r>
    </w:p>
    <w:p w:rsidR="00571693" w:rsidRDefault="00571693" w:rsidP="00571693">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Table \* ARABIC </w:instrText>
      </w:r>
      <w:r>
        <w:rPr>
          <w:b w:val="0"/>
        </w:rPr>
        <w:fldChar w:fldCharType="separate"/>
      </w:r>
      <w:r w:rsidR="00876EEE">
        <w:rPr>
          <w:b w:val="0"/>
          <w:noProof/>
        </w:rPr>
        <w:t>2</w:t>
      </w:r>
      <w:r>
        <w:rPr>
          <w:b w:val="0"/>
        </w:rPr>
        <w:fldChar w:fldCharType="end"/>
      </w:r>
      <w:r>
        <w:tab/>
        <w:t xml:space="preserve">Decomposition of average annual growth in </w:t>
      </w:r>
      <w:proofErr w:type="spellStart"/>
      <w:r>
        <w:t>GDI</w:t>
      </w:r>
      <w:proofErr w:type="spellEnd"/>
    </w:p>
    <w:p w:rsidR="00571693" w:rsidRDefault="00571693" w:rsidP="00571693">
      <w:pPr>
        <w:pStyle w:val="Subtitle"/>
      </w:pPr>
      <w:r>
        <w:t>per cent per year</w:t>
      </w:r>
    </w:p>
    <w:tbl>
      <w:tblPr>
        <w:tblW w:w="0" w:type="auto"/>
        <w:tblLayout w:type="fixed"/>
        <w:tblCellMar>
          <w:left w:w="0" w:type="dxa"/>
          <w:right w:w="0" w:type="dxa"/>
        </w:tblCellMar>
        <w:tblLook w:val="0000" w:firstRow="0" w:lastRow="0" w:firstColumn="0" w:lastColumn="0" w:noHBand="0" w:noVBand="0"/>
      </w:tblPr>
      <w:tblGrid>
        <w:gridCol w:w="3970"/>
        <w:gridCol w:w="1701"/>
        <w:gridCol w:w="1701"/>
        <w:gridCol w:w="1701"/>
      </w:tblGrid>
      <w:tr w:rsidR="001E0E78" w:rsidTr="00B5476F">
        <w:tc>
          <w:tcPr>
            <w:tcW w:w="3970" w:type="dxa"/>
            <w:tcBorders>
              <w:top w:val="single" w:sz="6" w:space="0" w:color="auto"/>
              <w:bottom w:val="single" w:sz="6" w:space="0" w:color="auto"/>
            </w:tcBorders>
            <w:shd w:val="clear" w:color="auto" w:fill="auto"/>
          </w:tcPr>
          <w:p w:rsidR="001E0E78" w:rsidRDefault="001E0E78" w:rsidP="00967519">
            <w:pPr>
              <w:pStyle w:val="TableColumnHeading"/>
              <w:rPr>
                <w:rStyle w:val="NoteLabel"/>
              </w:rPr>
            </w:pPr>
            <w:r>
              <w:rPr>
                <w:rStyle w:val="NoteLabel"/>
              </w:rPr>
              <w:t> </w:t>
            </w:r>
          </w:p>
        </w:tc>
        <w:tc>
          <w:tcPr>
            <w:tcW w:w="1701" w:type="dxa"/>
            <w:tcBorders>
              <w:top w:val="single" w:sz="6" w:space="0" w:color="auto"/>
              <w:bottom w:val="single" w:sz="6" w:space="0" w:color="auto"/>
            </w:tcBorders>
            <w:shd w:val="clear" w:color="auto" w:fill="auto"/>
          </w:tcPr>
          <w:p w:rsidR="001E0E78" w:rsidRPr="00447891" w:rsidRDefault="001E0E78" w:rsidP="00967519">
            <w:pPr>
              <w:pStyle w:val="TableColumnHeading"/>
              <w:rPr>
                <w:rStyle w:val="NoteLabel"/>
                <w:b w:val="0"/>
              </w:rPr>
            </w:pPr>
            <w:r w:rsidRPr="00447891">
              <w:rPr>
                <w:rStyle w:val="NoteLabel"/>
                <w:b w:val="0"/>
              </w:rPr>
              <w:t>19</w:t>
            </w:r>
            <w:r>
              <w:rPr>
                <w:rStyle w:val="NoteLabel"/>
                <w:b w:val="0"/>
              </w:rPr>
              <w:t>89-</w:t>
            </w:r>
            <w:r w:rsidRPr="00447891">
              <w:rPr>
                <w:rStyle w:val="NoteLabel"/>
                <w:b w:val="0"/>
              </w:rPr>
              <w:t>90</w:t>
            </w:r>
            <w:r w:rsidR="00F06EDC">
              <w:rPr>
                <w:rStyle w:val="NoteLabel"/>
                <w:b w:val="0"/>
              </w:rPr>
              <w:br/>
            </w:r>
            <w:r>
              <w:rPr>
                <w:rStyle w:val="NoteLabel"/>
                <w:b w:val="0"/>
              </w:rPr>
              <w:t xml:space="preserve"> to 1999-00</w:t>
            </w:r>
          </w:p>
        </w:tc>
        <w:tc>
          <w:tcPr>
            <w:tcW w:w="1701" w:type="dxa"/>
            <w:tcBorders>
              <w:top w:val="single" w:sz="6" w:space="0" w:color="auto"/>
              <w:bottom w:val="single" w:sz="6" w:space="0" w:color="auto"/>
            </w:tcBorders>
            <w:shd w:val="clear" w:color="auto" w:fill="auto"/>
          </w:tcPr>
          <w:p w:rsidR="001E0E78" w:rsidRDefault="001E0E78" w:rsidP="00967519">
            <w:pPr>
              <w:pStyle w:val="TableColumnHeading"/>
              <w:rPr>
                <w:rStyle w:val="NoteLabel"/>
              </w:rPr>
            </w:pPr>
            <w:r>
              <w:rPr>
                <w:rStyle w:val="NoteLabel"/>
                <w:b w:val="0"/>
              </w:rPr>
              <w:t xml:space="preserve">1999-00 </w:t>
            </w:r>
            <w:r w:rsidR="00F06EDC">
              <w:rPr>
                <w:rStyle w:val="NoteLabel"/>
                <w:b w:val="0"/>
              </w:rPr>
              <w:br/>
            </w:r>
            <w:r>
              <w:rPr>
                <w:rStyle w:val="NoteLabel"/>
                <w:b w:val="0"/>
              </w:rPr>
              <w:t>to 2009-10</w:t>
            </w:r>
          </w:p>
        </w:tc>
        <w:tc>
          <w:tcPr>
            <w:tcW w:w="1701" w:type="dxa"/>
            <w:tcBorders>
              <w:top w:val="single" w:sz="6" w:space="0" w:color="auto"/>
              <w:bottom w:val="single" w:sz="6" w:space="0" w:color="auto"/>
            </w:tcBorders>
          </w:tcPr>
          <w:p w:rsidR="001E0E78" w:rsidRPr="004505E7" w:rsidRDefault="001E0E78" w:rsidP="00967519">
            <w:pPr>
              <w:pStyle w:val="TableColumnHeading"/>
            </w:pPr>
            <w:r w:rsidRPr="004505E7">
              <w:t>Change</w:t>
            </w:r>
          </w:p>
        </w:tc>
      </w:tr>
      <w:tr w:rsidR="001E0E78" w:rsidRPr="00CA6BBD" w:rsidTr="00B5476F">
        <w:trPr>
          <w:trHeight w:val="20"/>
        </w:trPr>
        <w:tc>
          <w:tcPr>
            <w:tcW w:w="3970" w:type="dxa"/>
            <w:tcBorders>
              <w:top w:val="single" w:sz="6" w:space="0" w:color="auto"/>
            </w:tcBorders>
            <w:vAlign w:val="center"/>
          </w:tcPr>
          <w:p w:rsidR="001E0E78" w:rsidRPr="00ED3499" w:rsidRDefault="001E0E78" w:rsidP="00096C06">
            <w:pPr>
              <w:pStyle w:val="TableBodyText"/>
              <w:tabs>
                <w:tab w:val="left" w:pos="227"/>
                <w:tab w:val="left" w:pos="284"/>
              </w:tabs>
              <w:spacing w:before="60"/>
              <w:jc w:val="left"/>
            </w:pPr>
            <w:r w:rsidRPr="00ED3499">
              <w:rPr>
                <w:b/>
              </w:rPr>
              <w:t>MFP growth (</w:t>
            </w:r>
            <w:proofErr w:type="spellStart"/>
            <w:r w:rsidRPr="00ED3499">
              <w:rPr>
                <w:b/>
              </w:rPr>
              <w:t>MS12</w:t>
            </w:r>
            <w:proofErr w:type="spellEnd"/>
            <w:r w:rsidR="00ED3499" w:rsidRPr="00ED3499">
              <w:rPr>
                <w:b/>
              </w:rPr>
              <w:t>)</w:t>
            </w:r>
            <w:r w:rsidRPr="00ED3499">
              <w:rPr>
                <w:rStyle w:val="NoteLabel"/>
              </w:rPr>
              <w:t>a</w:t>
            </w:r>
          </w:p>
        </w:tc>
        <w:tc>
          <w:tcPr>
            <w:tcW w:w="1701" w:type="dxa"/>
            <w:tcBorders>
              <w:top w:val="single" w:sz="6" w:space="0" w:color="auto"/>
            </w:tcBorders>
            <w:vAlign w:val="center"/>
          </w:tcPr>
          <w:p w:rsidR="001E0E78" w:rsidRPr="00CA6BBD" w:rsidRDefault="001E0E78" w:rsidP="00096C06">
            <w:pPr>
              <w:pStyle w:val="TableBodyText"/>
              <w:spacing w:before="60"/>
              <w:rPr>
                <w:rStyle w:val="NoteLabel"/>
                <w:position w:val="0"/>
                <w:sz w:val="20"/>
              </w:rPr>
            </w:pPr>
            <w:r w:rsidRPr="00CA6BBD">
              <w:rPr>
                <w:rStyle w:val="NoteLabel"/>
                <w:position w:val="0"/>
                <w:sz w:val="20"/>
              </w:rPr>
              <w:t>1.7</w:t>
            </w:r>
          </w:p>
        </w:tc>
        <w:tc>
          <w:tcPr>
            <w:tcW w:w="1701" w:type="dxa"/>
            <w:tcBorders>
              <w:top w:val="single" w:sz="6" w:space="0" w:color="auto"/>
            </w:tcBorders>
            <w:vAlign w:val="center"/>
          </w:tcPr>
          <w:p w:rsidR="001E0E78" w:rsidRPr="00CA6BBD" w:rsidRDefault="001E0E78" w:rsidP="00096C06">
            <w:pPr>
              <w:pStyle w:val="TableBodyText"/>
              <w:spacing w:before="60"/>
              <w:rPr>
                <w:rStyle w:val="NoteLabel"/>
                <w:position w:val="0"/>
                <w:sz w:val="20"/>
              </w:rPr>
            </w:pPr>
            <w:r w:rsidRPr="00CA6BBD">
              <w:rPr>
                <w:rStyle w:val="NoteLabel"/>
                <w:position w:val="0"/>
                <w:sz w:val="20"/>
              </w:rPr>
              <w:t>0.4</w:t>
            </w:r>
          </w:p>
        </w:tc>
        <w:tc>
          <w:tcPr>
            <w:tcW w:w="1701" w:type="dxa"/>
            <w:tcBorders>
              <w:top w:val="single" w:sz="6" w:space="0" w:color="auto"/>
            </w:tcBorders>
            <w:vAlign w:val="center"/>
          </w:tcPr>
          <w:p w:rsidR="001E0E78" w:rsidRPr="004505E7" w:rsidRDefault="001E0E78" w:rsidP="00096C06">
            <w:pPr>
              <w:pStyle w:val="TableBodyText"/>
              <w:spacing w:before="60"/>
            </w:pPr>
            <w:r w:rsidRPr="004505E7">
              <w:t>-1.3</w:t>
            </w:r>
          </w:p>
        </w:tc>
      </w:tr>
      <w:tr w:rsidR="001E0E78" w:rsidRPr="00CA6BBD" w:rsidTr="00B5476F">
        <w:trPr>
          <w:trHeight w:val="20"/>
        </w:trPr>
        <w:tc>
          <w:tcPr>
            <w:tcW w:w="3970" w:type="dxa"/>
            <w:vAlign w:val="center"/>
          </w:tcPr>
          <w:p w:rsidR="001E0E78" w:rsidRPr="00ED3499" w:rsidRDefault="001E0E78" w:rsidP="00096C06">
            <w:pPr>
              <w:pStyle w:val="TableBodyText"/>
              <w:tabs>
                <w:tab w:val="left" w:pos="227"/>
                <w:tab w:val="left" w:pos="284"/>
              </w:tabs>
              <w:jc w:val="left"/>
            </w:pPr>
            <w:r w:rsidRPr="00ED3499">
              <w:tab/>
              <w:t>+</w:t>
            </w:r>
            <w:r w:rsidR="00ED3499">
              <w:t xml:space="preserve"> </w:t>
            </w:r>
            <w:r w:rsidRPr="00ED3499">
              <w:t xml:space="preserve">capital deepening </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1.2</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1.8</w:t>
            </w:r>
          </w:p>
        </w:tc>
        <w:tc>
          <w:tcPr>
            <w:tcW w:w="1701" w:type="dxa"/>
            <w:vAlign w:val="center"/>
          </w:tcPr>
          <w:p w:rsidR="001E0E78" w:rsidRPr="004505E7" w:rsidRDefault="001E0E78" w:rsidP="00096C06">
            <w:pPr>
              <w:pStyle w:val="TableBodyText"/>
            </w:pPr>
            <w:r w:rsidRPr="004505E7">
              <w:t>0.6</w:t>
            </w:r>
          </w:p>
        </w:tc>
      </w:tr>
      <w:tr w:rsidR="001E0E78" w:rsidRPr="00CA6BBD" w:rsidTr="00B5476F">
        <w:trPr>
          <w:trHeight w:val="20"/>
        </w:trPr>
        <w:tc>
          <w:tcPr>
            <w:tcW w:w="3970" w:type="dxa"/>
            <w:vAlign w:val="center"/>
          </w:tcPr>
          <w:p w:rsidR="001E0E78" w:rsidRPr="00ED3499" w:rsidRDefault="001E0E78" w:rsidP="00C536C1">
            <w:pPr>
              <w:pStyle w:val="TableBodyText"/>
              <w:tabs>
                <w:tab w:val="left" w:pos="227"/>
                <w:tab w:val="left" w:pos="284"/>
              </w:tabs>
              <w:spacing w:before="60"/>
              <w:jc w:val="left"/>
            </w:pPr>
            <w:r w:rsidRPr="00ED3499">
              <w:t>=</w:t>
            </w:r>
            <w:r w:rsidR="00ED3499">
              <w:tab/>
            </w:r>
            <w:r w:rsidRPr="00ED3499">
              <w:rPr>
                <w:b/>
              </w:rPr>
              <w:t>Labour productivity growth (</w:t>
            </w:r>
            <w:proofErr w:type="spellStart"/>
            <w:r w:rsidRPr="00ED3499">
              <w:rPr>
                <w:b/>
              </w:rPr>
              <w:t>MS12</w:t>
            </w:r>
            <w:proofErr w:type="spellEnd"/>
            <w:r w:rsidRPr="00ED3499">
              <w:rPr>
                <w:b/>
              </w:rPr>
              <w:t>)</w:t>
            </w:r>
            <w:r w:rsidRPr="00ED3499">
              <w:rPr>
                <w:rStyle w:val="NoteLabel"/>
              </w:rPr>
              <w:t>a</w:t>
            </w:r>
          </w:p>
        </w:tc>
        <w:tc>
          <w:tcPr>
            <w:tcW w:w="1701" w:type="dxa"/>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2.9</w:t>
            </w:r>
          </w:p>
        </w:tc>
        <w:tc>
          <w:tcPr>
            <w:tcW w:w="1701" w:type="dxa"/>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2.1</w:t>
            </w:r>
          </w:p>
        </w:tc>
        <w:tc>
          <w:tcPr>
            <w:tcW w:w="1701" w:type="dxa"/>
            <w:vAlign w:val="center"/>
          </w:tcPr>
          <w:p w:rsidR="001E0E78" w:rsidRPr="004505E7" w:rsidRDefault="001E0E78" w:rsidP="00C536C1">
            <w:pPr>
              <w:pStyle w:val="TableBodyText"/>
              <w:spacing w:before="60"/>
            </w:pPr>
            <w:r w:rsidRPr="004505E7">
              <w:t>-0.8</w:t>
            </w:r>
          </w:p>
        </w:tc>
      </w:tr>
      <w:tr w:rsidR="001E0E78" w:rsidRPr="00CA6BBD" w:rsidTr="00B5476F">
        <w:trPr>
          <w:trHeight w:val="20"/>
        </w:trPr>
        <w:tc>
          <w:tcPr>
            <w:tcW w:w="3970" w:type="dxa"/>
            <w:vAlign w:val="center"/>
          </w:tcPr>
          <w:p w:rsidR="001E0E78" w:rsidRPr="00ED3499" w:rsidRDefault="001E0E78" w:rsidP="00096C06">
            <w:pPr>
              <w:pStyle w:val="TableBodyText"/>
              <w:tabs>
                <w:tab w:val="left" w:pos="227"/>
                <w:tab w:val="left" w:pos="284"/>
              </w:tabs>
              <w:jc w:val="left"/>
            </w:pPr>
            <w:r w:rsidRPr="00ED3499">
              <w:tab/>
              <w:t xml:space="preserve">+ market sector adjustment </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-0.8</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-0.7</w:t>
            </w:r>
          </w:p>
        </w:tc>
        <w:tc>
          <w:tcPr>
            <w:tcW w:w="1701" w:type="dxa"/>
            <w:vAlign w:val="center"/>
          </w:tcPr>
          <w:p w:rsidR="001E0E78" w:rsidRPr="004505E7" w:rsidRDefault="001E0E78" w:rsidP="00096C06">
            <w:pPr>
              <w:pStyle w:val="TableBodyText"/>
            </w:pPr>
            <w:r w:rsidRPr="004505E7">
              <w:t>0.1</w:t>
            </w:r>
          </w:p>
        </w:tc>
      </w:tr>
      <w:tr w:rsidR="001E0E78" w:rsidRPr="00CA6BBD" w:rsidTr="00B5476F">
        <w:trPr>
          <w:trHeight w:val="20"/>
        </w:trPr>
        <w:tc>
          <w:tcPr>
            <w:tcW w:w="3970" w:type="dxa"/>
            <w:vAlign w:val="center"/>
          </w:tcPr>
          <w:p w:rsidR="001E0E78" w:rsidRPr="00ED3499" w:rsidRDefault="001E0E78" w:rsidP="00C536C1">
            <w:pPr>
              <w:pStyle w:val="TableBodyText"/>
              <w:tabs>
                <w:tab w:val="left" w:pos="227"/>
                <w:tab w:val="left" w:pos="284"/>
              </w:tabs>
              <w:spacing w:before="60"/>
              <w:jc w:val="left"/>
            </w:pPr>
            <w:r w:rsidRPr="00ED3499">
              <w:t>=</w:t>
            </w:r>
            <w:r w:rsidR="00ED3499">
              <w:tab/>
            </w:r>
            <w:r w:rsidRPr="00ED3499">
              <w:rPr>
                <w:b/>
              </w:rPr>
              <w:t>GDP per hour growth (</w:t>
            </w:r>
            <w:proofErr w:type="spellStart"/>
            <w:r w:rsidRPr="00ED3499">
              <w:rPr>
                <w:b/>
              </w:rPr>
              <w:t>economy-wide</w:t>
            </w:r>
            <w:proofErr w:type="spellEnd"/>
            <w:r w:rsidRPr="00ED3499">
              <w:rPr>
                <w:b/>
              </w:rPr>
              <w:t>)</w:t>
            </w:r>
          </w:p>
        </w:tc>
        <w:tc>
          <w:tcPr>
            <w:tcW w:w="1701" w:type="dxa"/>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2.1</w:t>
            </w:r>
          </w:p>
        </w:tc>
        <w:tc>
          <w:tcPr>
            <w:tcW w:w="1701" w:type="dxa"/>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1.4</w:t>
            </w:r>
          </w:p>
        </w:tc>
        <w:tc>
          <w:tcPr>
            <w:tcW w:w="1701" w:type="dxa"/>
            <w:vAlign w:val="center"/>
          </w:tcPr>
          <w:p w:rsidR="001E0E78" w:rsidRPr="004505E7" w:rsidRDefault="001E0E78" w:rsidP="00C536C1">
            <w:pPr>
              <w:pStyle w:val="TableBodyText"/>
              <w:spacing w:before="60"/>
            </w:pPr>
            <w:r w:rsidRPr="004505E7">
              <w:t>-0.7</w:t>
            </w:r>
          </w:p>
        </w:tc>
      </w:tr>
      <w:tr w:rsidR="001E0E78" w:rsidRPr="00CA6BBD" w:rsidTr="00B5476F">
        <w:trPr>
          <w:trHeight w:val="20"/>
        </w:trPr>
        <w:tc>
          <w:tcPr>
            <w:tcW w:w="3970" w:type="dxa"/>
            <w:vAlign w:val="center"/>
          </w:tcPr>
          <w:p w:rsidR="001E0E78" w:rsidRPr="00ED3499" w:rsidRDefault="001E0E78" w:rsidP="00096C06">
            <w:pPr>
              <w:pStyle w:val="TableBodyText"/>
              <w:tabs>
                <w:tab w:val="left" w:pos="227"/>
                <w:tab w:val="left" w:pos="284"/>
              </w:tabs>
              <w:jc w:val="left"/>
            </w:pPr>
            <w:r w:rsidRPr="00ED3499">
              <w:tab/>
              <w:t xml:space="preserve">+ hours worked growth </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1.2</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1.6</w:t>
            </w:r>
          </w:p>
        </w:tc>
        <w:tc>
          <w:tcPr>
            <w:tcW w:w="1701" w:type="dxa"/>
            <w:vAlign w:val="center"/>
          </w:tcPr>
          <w:p w:rsidR="001E0E78" w:rsidRPr="004505E7" w:rsidRDefault="001E0E78" w:rsidP="00096C06">
            <w:pPr>
              <w:pStyle w:val="TableBodyText"/>
            </w:pPr>
            <w:r w:rsidRPr="004505E7">
              <w:t>0.4</w:t>
            </w:r>
          </w:p>
        </w:tc>
      </w:tr>
      <w:tr w:rsidR="001E0E78" w:rsidRPr="00CA6BBD" w:rsidTr="00B5476F">
        <w:trPr>
          <w:trHeight w:val="20"/>
        </w:trPr>
        <w:tc>
          <w:tcPr>
            <w:tcW w:w="3970" w:type="dxa"/>
            <w:vAlign w:val="center"/>
          </w:tcPr>
          <w:p w:rsidR="001E0E78" w:rsidRPr="00ED3499" w:rsidRDefault="001E0E78" w:rsidP="00C536C1">
            <w:pPr>
              <w:pStyle w:val="TableBodyText"/>
              <w:tabs>
                <w:tab w:val="left" w:pos="227"/>
                <w:tab w:val="left" w:pos="284"/>
              </w:tabs>
              <w:spacing w:before="60"/>
              <w:jc w:val="left"/>
            </w:pPr>
            <w:r w:rsidRPr="00ED3499">
              <w:t>=</w:t>
            </w:r>
            <w:r w:rsidR="00ED3499">
              <w:tab/>
            </w:r>
            <w:r w:rsidRPr="00ED3499">
              <w:rPr>
                <w:b/>
              </w:rPr>
              <w:t>GDP growth</w:t>
            </w:r>
          </w:p>
        </w:tc>
        <w:tc>
          <w:tcPr>
            <w:tcW w:w="1701" w:type="dxa"/>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3.3</w:t>
            </w:r>
          </w:p>
        </w:tc>
        <w:tc>
          <w:tcPr>
            <w:tcW w:w="1701" w:type="dxa"/>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3.0</w:t>
            </w:r>
          </w:p>
        </w:tc>
        <w:tc>
          <w:tcPr>
            <w:tcW w:w="1701" w:type="dxa"/>
            <w:vAlign w:val="center"/>
          </w:tcPr>
          <w:p w:rsidR="001E0E78" w:rsidRPr="004505E7" w:rsidRDefault="001E0E78" w:rsidP="00C536C1">
            <w:pPr>
              <w:pStyle w:val="TableBodyText"/>
              <w:spacing w:before="60"/>
            </w:pPr>
            <w:r w:rsidRPr="004505E7">
              <w:t>-0.3</w:t>
            </w:r>
          </w:p>
        </w:tc>
      </w:tr>
      <w:tr w:rsidR="001E0E78" w:rsidRPr="00CA6BBD" w:rsidTr="00B5476F">
        <w:trPr>
          <w:trHeight w:val="20"/>
        </w:trPr>
        <w:tc>
          <w:tcPr>
            <w:tcW w:w="3970" w:type="dxa"/>
            <w:vAlign w:val="center"/>
          </w:tcPr>
          <w:p w:rsidR="001E0E78" w:rsidRPr="00ED3499" w:rsidRDefault="001E0E78" w:rsidP="00096C06">
            <w:pPr>
              <w:pStyle w:val="TableBodyText"/>
              <w:tabs>
                <w:tab w:val="left" w:pos="227"/>
                <w:tab w:val="left" w:pos="284"/>
              </w:tabs>
              <w:jc w:val="left"/>
            </w:pPr>
            <w:r w:rsidRPr="00ED3499">
              <w:tab/>
              <w:t xml:space="preserve">+ terms of trade contribution </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-0.1</w:t>
            </w:r>
          </w:p>
        </w:tc>
        <w:tc>
          <w:tcPr>
            <w:tcW w:w="1701" w:type="dxa"/>
            <w:vAlign w:val="center"/>
          </w:tcPr>
          <w:p w:rsidR="001E0E78" w:rsidRPr="00CA6BBD" w:rsidRDefault="001E0E78" w:rsidP="00096C06">
            <w:pPr>
              <w:pStyle w:val="TableBodyText"/>
              <w:rPr>
                <w:rStyle w:val="NoteLabel"/>
                <w:b w:val="0"/>
                <w:position w:val="0"/>
                <w:sz w:val="20"/>
              </w:rPr>
            </w:pPr>
            <w:r w:rsidRPr="00CA6BBD">
              <w:rPr>
                <w:rStyle w:val="NoteLabel"/>
                <w:b w:val="0"/>
                <w:position w:val="0"/>
                <w:sz w:val="20"/>
              </w:rPr>
              <w:t>0.9</w:t>
            </w:r>
          </w:p>
        </w:tc>
        <w:tc>
          <w:tcPr>
            <w:tcW w:w="1701" w:type="dxa"/>
            <w:vAlign w:val="center"/>
          </w:tcPr>
          <w:p w:rsidR="001E0E78" w:rsidRPr="004505E7" w:rsidRDefault="001E0E78" w:rsidP="00096C06">
            <w:pPr>
              <w:pStyle w:val="TableBodyText"/>
            </w:pPr>
            <w:r w:rsidRPr="004505E7">
              <w:t>1.0</w:t>
            </w:r>
          </w:p>
        </w:tc>
      </w:tr>
      <w:tr w:rsidR="001E0E78" w:rsidRPr="00CA6BBD" w:rsidTr="00B5476F">
        <w:trPr>
          <w:trHeight w:val="20"/>
        </w:trPr>
        <w:tc>
          <w:tcPr>
            <w:tcW w:w="3970" w:type="dxa"/>
            <w:tcBorders>
              <w:bottom w:val="single" w:sz="6" w:space="0" w:color="auto"/>
            </w:tcBorders>
            <w:shd w:val="clear" w:color="auto" w:fill="auto"/>
            <w:vAlign w:val="center"/>
          </w:tcPr>
          <w:p w:rsidR="001E0E78" w:rsidRPr="00ED3499" w:rsidRDefault="001E0E78" w:rsidP="00C536C1">
            <w:pPr>
              <w:pStyle w:val="TableBodyText"/>
              <w:tabs>
                <w:tab w:val="left" w:pos="227"/>
                <w:tab w:val="left" w:pos="284"/>
              </w:tabs>
              <w:spacing w:before="60"/>
              <w:jc w:val="left"/>
            </w:pPr>
            <w:r w:rsidRPr="00ED3499">
              <w:t>=</w:t>
            </w:r>
            <w:r w:rsidR="00ED3499">
              <w:tab/>
            </w:r>
            <w:proofErr w:type="spellStart"/>
            <w:r w:rsidRPr="00ED3499">
              <w:rPr>
                <w:b/>
              </w:rPr>
              <w:t>GDI</w:t>
            </w:r>
            <w:proofErr w:type="spellEnd"/>
            <w:r w:rsidRPr="00ED3499">
              <w:rPr>
                <w:b/>
              </w:rPr>
              <w:t xml:space="preserve"> growth</w:t>
            </w:r>
          </w:p>
        </w:tc>
        <w:tc>
          <w:tcPr>
            <w:tcW w:w="1701" w:type="dxa"/>
            <w:tcBorders>
              <w:bottom w:val="single" w:sz="6" w:space="0" w:color="auto"/>
            </w:tcBorders>
            <w:shd w:val="clear" w:color="auto" w:fill="auto"/>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3.2</w:t>
            </w:r>
          </w:p>
        </w:tc>
        <w:tc>
          <w:tcPr>
            <w:tcW w:w="1701" w:type="dxa"/>
            <w:tcBorders>
              <w:bottom w:val="single" w:sz="6" w:space="0" w:color="auto"/>
            </w:tcBorders>
            <w:shd w:val="clear" w:color="auto" w:fill="auto"/>
            <w:vAlign w:val="center"/>
          </w:tcPr>
          <w:p w:rsidR="001E0E78" w:rsidRPr="00CA6BBD" w:rsidRDefault="001E0E78" w:rsidP="00C536C1">
            <w:pPr>
              <w:pStyle w:val="TableBodyText"/>
              <w:spacing w:before="60"/>
              <w:rPr>
                <w:rStyle w:val="NoteLabel"/>
                <w:position w:val="0"/>
                <w:sz w:val="20"/>
              </w:rPr>
            </w:pPr>
            <w:r w:rsidRPr="00CA6BBD">
              <w:rPr>
                <w:rStyle w:val="NoteLabel"/>
                <w:position w:val="0"/>
                <w:sz w:val="20"/>
              </w:rPr>
              <w:t>3.9</w:t>
            </w:r>
          </w:p>
        </w:tc>
        <w:tc>
          <w:tcPr>
            <w:tcW w:w="1701" w:type="dxa"/>
            <w:tcBorders>
              <w:bottom w:val="single" w:sz="6" w:space="0" w:color="auto"/>
            </w:tcBorders>
            <w:vAlign w:val="center"/>
          </w:tcPr>
          <w:p w:rsidR="001E0E78" w:rsidRDefault="001E0E78" w:rsidP="00C536C1">
            <w:pPr>
              <w:pStyle w:val="TableBodyText"/>
              <w:spacing w:before="60"/>
            </w:pPr>
            <w:r w:rsidRPr="004505E7">
              <w:t>0.7</w:t>
            </w:r>
          </w:p>
        </w:tc>
      </w:tr>
    </w:tbl>
    <w:p w:rsidR="00B266A1" w:rsidRPr="00836E2B" w:rsidRDefault="00B266A1" w:rsidP="00B266A1">
      <w:pPr>
        <w:pStyle w:val="Note"/>
      </w:pPr>
      <w:r w:rsidRPr="00CA6BBD">
        <w:rPr>
          <w:rStyle w:val="NoteLabel"/>
        </w:rPr>
        <w:t>a</w:t>
      </w:r>
      <w:r w:rsidRPr="00836E2B">
        <w:t xml:space="preserve"> </w:t>
      </w:r>
      <w:r>
        <w:t>12-industry market sector</w:t>
      </w:r>
      <w:r w:rsidRPr="00836E2B">
        <w:t>.</w:t>
      </w:r>
    </w:p>
    <w:p w:rsidR="00571693" w:rsidRDefault="00571693" w:rsidP="00571693">
      <w:pPr>
        <w:pStyle w:val="Source"/>
      </w:pPr>
      <w:r>
        <w:rPr>
          <w:i/>
        </w:rPr>
        <w:t>Source</w:t>
      </w:r>
      <w:r>
        <w:t>: Author’s estimates</w:t>
      </w:r>
      <w:r w:rsidR="00B53F91">
        <w:t>.</w:t>
      </w:r>
    </w:p>
    <w:p w:rsidR="00096C06" w:rsidRDefault="00096C06" w:rsidP="00323A4C">
      <w:pPr>
        <w:pStyle w:val="BodyText"/>
      </w:pPr>
    </w:p>
    <w:p w:rsidR="00B266A1" w:rsidRDefault="00B266A1" w:rsidP="00B266A1">
      <w:pPr>
        <w:pStyle w:val="Heading3"/>
      </w:pPr>
      <w:r>
        <w:lastRenderedPageBreak/>
        <w:t>Average income</w:t>
      </w:r>
    </w:p>
    <w:p w:rsidR="00387589" w:rsidRDefault="00777B0E" w:rsidP="00086CF6">
      <w:pPr>
        <w:pStyle w:val="BodyText"/>
      </w:pPr>
      <w:r>
        <w:t>The</w:t>
      </w:r>
      <w:r w:rsidR="00387589">
        <w:t xml:space="preserve"> same trends are evident in growth in </w:t>
      </w:r>
      <w:r w:rsidR="00F14121">
        <w:t>real</w:t>
      </w:r>
      <w:r w:rsidR="00387589">
        <w:t xml:space="preserve"> income</w:t>
      </w:r>
      <w:r w:rsidR="00F14121">
        <w:t xml:space="preserve"> per capita</w:t>
      </w:r>
      <w:r w:rsidR="0018154F">
        <w:t xml:space="preserve"> (figure 2.2).</w:t>
      </w:r>
    </w:p>
    <w:p w:rsidR="00086CF6" w:rsidRDefault="00086CF6" w:rsidP="00086CF6">
      <w:pPr>
        <w:pStyle w:val="BodyText"/>
      </w:pPr>
      <w:r>
        <w:t xml:space="preserve">Average income grew </w:t>
      </w:r>
      <w:r w:rsidR="00387589">
        <w:t xml:space="preserve">closely </w:t>
      </w:r>
      <w:r>
        <w:t>in line with productiv</w:t>
      </w:r>
      <w:r w:rsidR="00096C06">
        <w:t xml:space="preserve">ity growth in the </w:t>
      </w:r>
      <w:proofErr w:type="spellStart"/>
      <w:r w:rsidR="00096C06">
        <w:t>1990s</w:t>
      </w:r>
      <w:proofErr w:type="spellEnd"/>
      <w:r w:rsidR="0018154F">
        <w:t>.</w:t>
      </w:r>
      <w:r w:rsidR="00096C06">
        <w:t xml:space="preserve"> </w:t>
      </w:r>
      <w:r>
        <w:t xml:space="preserve">Growth in </w:t>
      </w:r>
      <w:proofErr w:type="spellStart"/>
      <w:r>
        <w:t>GDI</w:t>
      </w:r>
      <w:proofErr w:type="spellEnd"/>
      <w:r>
        <w:t xml:space="preserve"> per capita averaged 2.0 per cent and growth in GDP per hour averaged 2.1 per cent.</w:t>
      </w:r>
      <w:r w:rsidR="0018154F">
        <w:t xml:space="preserve"> In the </w:t>
      </w:r>
      <w:proofErr w:type="spellStart"/>
      <w:r w:rsidR="0018154F">
        <w:t>2000s</w:t>
      </w:r>
      <w:proofErr w:type="spellEnd"/>
      <w:r w:rsidR="0018154F">
        <w:t xml:space="preserve"> decade, however, </w:t>
      </w:r>
      <w:proofErr w:type="spellStart"/>
      <w:r w:rsidR="0018154F">
        <w:t>GDI</w:t>
      </w:r>
      <w:proofErr w:type="spellEnd"/>
      <w:r w:rsidR="0018154F">
        <w:t xml:space="preserve"> per capita accelerated to 2.4 per cent a year, thanks to the terms of trade rise, even though growth in GDP per hour slumped to 1.4 per cent a year.</w:t>
      </w:r>
    </w:p>
    <w:p w:rsidR="00B07EBE" w:rsidRDefault="00B07EBE">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876EEE">
        <w:rPr>
          <w:b w:val="0"/>
          <w:noProof/>
        </w:rPr>
        <w:t>2</w:t>
      </w:r>
      <w:r>
        <w:rPr>
          <w:b w:val="0"/>
        </w:rPr>
        <w:fldChar w:fldCharType="end"/>
      </w:r>
      <w:r>
        <w:tab/>
      </w:r>
      <w:r w:rsidR="00B53F91">
        <w:t xml:space="preserve">GDP per hour, </w:t>
      </w:r>
      <w:proofErr w:type="spellStart"/>
      <w:r w:rsidR="009A57FB">
        <w:t>GDI</w:t>
      </w:r>
      <w:proofErr w:type="spellEnd"/>
      <w:r w:rsidR="009A57FB">
        <w:t xml:space="preserve"> per person</w:t>
      </w:r>
      <w:r>
        <w:t xml:space="preserve"> and the terms of trade</w:t>
      </w:r>
    </w:p>
    <w:p w:rsidR="00B07EBE" w:rsidRDefault="00B53F91">
      <w:pPr>
        <w:pStyle w:val="Subtitle"/>
      </w:pPr>
      <w:r>
        <w:t>indexes, 1999-00</w:t>
      </w:r>
      <w:r w:rsidR="00B07EBE">
        <w:t>=100 (LHS) and 2010-11=100 (RHS)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07EBE">
        <w:tc>
          <w:tcPr>
            <w:tcW w:w="8777" w:type="dxa"/>
          </w:tcPr>
          <w:p w:rsidR="00B07EBE" w:rsidRDefault="00F7212F">
            <w:pPr>
              <w:pStyle w:val="Figure"/>
            </w:pPr>
            <w:r>
              <w:rPr>
                <w:noProof/>
              </w:rPr>
              <w:drawing>
                <wp:inline distT="0" distB="0" distL="0" distR="0" wp14:anchorId="7AF56BDA" wp14:editId="343781EF">
                  <wp:extent cx="4848225" cy="2733675"/>
                  <wp:effectExtent l="0" t="0" r="9525" b="9525"/>
                  <wp:docPr id="6" name="Picture 6" descr=". GDP per hour, GDI per person and the terms of trade. This figure shows that growth in GDI per person and growth in GDP per hour were closely aligned in the 1990s when the terms of trade were flat. GDI per person grew more rapidly than GDP per hour in the 2000s when the terms of trade rose rapid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48225" cy="2733675"/>
                          </a:xfrm>
                          <a:prstGeom prst="rect">
                            <a:avLst/>
                          </a:prstGeom>
                          <a:noFill/>
                          <a:ln>
                            <a:noFill/>
                          </a:ln>
                        </pic:spPr>
                      </pic:pic>
                    </a:graphicData>
                  </a:graphic>
                </wp:inline>
              </w:drawing>
            </w:r>
          </w:p>
        </w:tc>
      </w:tr>
    </w:tbl>
    <w:p w:rsidR="00B07EBE" w:rsidRDefault="00B07EBE">
      <w:pPr>
        <w:pStyle w:val="Source"/>
      </w:pPr>
      <w:r>
        <w:rPr>
          <w:i/>
        </w:rPr>
        <w:t>Data source</w:t>
      </w:r>
      <w:r w:rsidRPr="00167F06">
        <w:t xml:space="preserve">: </w:t>
      </w:r>
      <w:r>
        <w:t xml:space="preserve">ABS </w:t>
      </w:r>
      <w:r w:rsidR="00B53F91">
        <w:t>(</w:t>
      </w:r>
      <w:r w:rsidR="00ED3499">
        <w:t>Cat. n</w:t>
      </w:r>
      <w:r w:rsidR="003A0C9C">
        <w:t>o</w:t>
      </w:r>
      <w:r w:rsidR="00B53F91">
        <w:t>.</w:t>
      </w:r>
      <w:r w:rsidR="003A0C9C">
        <w:t xml:space="preserve"> </w:t>
      </w:r>
      <w:r>
        <w:t>5204.0</w:t>
      </w:r>
      <w:r w:rsidR="00B53F91">
        <w:t>).</w:t>
      </w:r>
    </w:p>
    <w:p w:rsidR="003F5559" w:rsidRDefault="003F5559" w:rsidP="005365D5">
      <w:pPr>
        <w:pStyle w:val="Heading3"/>
      </w:pPr>
      <w:r>
        <w:t>Productivity in the market sector</w:t>
      </w:r>
    </w:p>
    <w:p w:rsidR="002E501B" w:rsidRDefault="00411A91" w:rsidP="00DF0E43">
      <w:pPr>
        <w:pStyle w:val="BodyText"/>
      </w:pPr>
      <w:r>
        <w:t>Labour productivity growth i</w:t>
      </w:r>
      <w:r w:rsidR="005B1416">
        <w:t>s more accurately measured i</w:t>
      </w:r>
      <w:r>
        <w:t xml:space="preserve">n the market sector </w:t>
      </w:r>
      <w:r w:rsidR="005B1416">
        <w:t xml:space="preserve">of the economy </w:t>
      </w:r>
      <w:r>
        <w:t>(box 2.1</w:t>
      </w:r>
      <w:r w:rsidR="005B1416">
        <w:t>)</w:t>
      </w:r>
      <w:r w:rsidR="00F337F8">
        <w:t>.</w:t>
      </w:r>
      <w:r w:rsidR="001004F9">
        <w:t xml:space="preserve"> </w:t>
      </w:r>
      <w:r w:rsidR="008269D6">
        <w:t xml:space="preserve">(The reasons for using the market sector in this paper will become clear in chapter 4.) </w:t>
      </w:r>
      <w:r w:rsidR="00F337F8">
        <w:t>M</w:t>
      </w:r>
      <w:r w:rsidR="001004F9">
        <w:t>arket sector</w:t>
      </w:r>
      <w:r w:rsidR="00F337F8">
        <w:t xml:space="preserve"> labour productivity growth</w:t>
      </w:r>
      <w:r>
        <w:t xml:space="preserve"> was more rapid </w:t>
      </w:r>
      <w:r w:rsidR="002E501B">
        <w:t xml:space="preserve">in the </w:t>
      </w:r>
      <w:proofErr w:type="spellStart"/>
      <w:r w:rsidR="003F5559">
        <w:t>1990s</w:t>
      </w:r>
      <w:proofErr w:type="spellEnd"/>
      <w:r w:rsidR="002E501B">
        <w:t xml:space="preserve"> than growth in GDP per hour worked</w:t>
      </w:r>
      <w:r w:rsidR="0018154F">
        <w:t xml:space="preserve"> (reflecting faster labour productivity growth in the market than the non-market sector of the economy)</w:t>
      </w:r>
      <w:r w:rsidR="002E501B">
        <w:t xml:space="preserve">, although </w:t>
      </w:r>
      <w:r w:rsidR="00B53F91">
        <w:t>market sector labour productivity</w:t>
      </w:r>
      <w:r w:rsidR="002E501B">
        <w:t xml:space="preserve"> fell by a similar magnitude in the </w:t>
      </w:r>
      <w:proofErr w:type="spellStart"/>
      <w:r w:rsidR="002E501B">
        <w:t>2000s</w:t>
      </w:r>
      <w:proofErr w:type="spellEnd"/>
      <w:r w:rsidR="004E230D">
        <w:t xml:space="preserve"> decade</w:t>
      </w:r>
      <w:r w:rsidR="007C4BD9">
        <w:t xml:space="preserve"> (table 2.2)</w:t>
      </w:r>
      <w:r w:rsidR="002E501B">
        <w:t>.</w:t>
      </w:r>
    </w:p>
    <w:p w:rsidR="00633D15" w:rsidRDefault="00633D15" w:rsidP="00633D15">
      <w:pPr>
        <w:pStyle w:val="BodyText"/>
      </w:pPr>
      <w:r>
        <w:t xml:space="preserve">Labour productivity growth can be viewed as a combination of capital deepening and </w:t>
      </w:r>
      <w:r w:rsidR="0018154F">
        <w:t>multifactor productivity (</w:t>
      </w:r>
      <w:r>
        <w:t>MFP</w:t>
      </w:r>
      <w:r w:rsidR="0018154F">
        <w:t>)</w:t>
      </w:r>
      <w:r>
        <w:t xml:space="preserve"> growth. Capital deepening occurs with increases in the ratio of capital to labour. MFP growth reflects improvements in the </w:t>
      </w:r>
      <w:r>
        <w:lastRenderedPageBreak/>
        <w:t>efficiency with which labour and capital are used to produce outputs of goods and services.</w:t>
      </w:r>
      <w:r>
        <w:rPr>
          <w:rStyle w:val="FootnoteReference"/>
        </w:rPr>
        <w:footnoteReference w:id="8"/>
      </w:r>
      <w:r>
        <w:t xml:space="preserve"> </w:t>
      </w:r>
    </w:p>
    <w:p w:rsidR="00633D15" w:rsidRDefault="00633D15" w:rsidP="00633D1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33D15" w:rsidTr="004D11A6">
        <w:tc>
          <w:tcPr>
            <w:tcW w:w="8771" w:type="dxa"/>
            <w:tcBorders>
              <w:top w:val="single" w:sz="6" w:space="0" w:color="auto"/>
              <w:bottom w:val="nil"/>
            </w:tcBorders>
          </w:tcPr>
          <w:p w:rsidR="00633D15" w:rsidRDefault="00633D15" w:rsidP="004D11A6">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Box \* ARABIC </w:instrText>
            </w:r>
            <w:r>
              <w:rPr>
                <w:b w:val="0"/>
              </w:rPr>
              <w:fldChar w:fldCharType="separate"/>
            </w:r>
            <w:r w:rsidR="00876EEE">
              <w:rPr>
                <w:b w:val="0"/>
                <w:noProof/>
              </w:rPr>
              <w:t>1</w:t>
            </w:r>
            <w:r>
              <w:rPr>
                <w:b w:val="0"/>
              </w:rPr>
              <w:fldChar w:fldCharType="end"/>
            </w:r>
            <w:r>
              <w:tab/>
              <w:t>Industries in the market sector</w:t>
            </w:r>
          </w:p>
        </w:tc>
      </w:tr>
      <w:tr w:rsidR="00633D15" w:rsidTr="004D11A6">
        <w:trPr>
          <w:cantSplit/>
        </w:trPr>
        <w:tc>
          <w:tcPr>
            <w:tcW w:w="8771" w:type="dxa"/>
            <w:tcBorders>
              <w:top w:val="nil"/>
              <w:left w:val="single" w:sz="6" w:space="0" w:color="auto"/>
              <w:bottom w:val="nil"/>
              <w:right w:val="single" w:sz="6" w:space="0" w:color="auto"/>
            </w:tcBorders>
          </w:tcPr>
          <w:p w:rsidR="00633D15" w:rsidRDefault="00633D15" w:rsidP="004D11A6">
            <w:pPr>
              <w:pStyle w:val="Box"/>
            </w:pPr>
            <w:r>
              <w:t>The market sector is the part of the economy for which the ABS calculates the official productivity estimates. The key distinguishing feature of market sector industries is that their output can be measured without reference to the amount of inputs used. Output is valued by prices received in market transactions. In non-market industries — Public administration &amp; safety, Education &amp; training and Health care &amp; social assistance —output is largely measured by expenditure on inputs.</w:t>
            </w:r>
          </w:p>
          <w:p w:rsidR="00633D15" w:rsidRDefault="00633D15" w:rsidP="004D11A6">
            <w:pPr>
              <w:pStyle w:val="Box"/>
            </w:pPr>
            <w:r>
              <w:t>The ABS introduced four additional industries into the market sector productivity estimates in 2010. The data for the four additional industries span a shorter period (from 1994-95) than for the 12 industries in the original market sector.</w:t>
            </w:r>
          </w:p>
          <w:p w:rsidR="00633D15" w:rsidRPr="0055733D" w:rsidRDefault="00633D15" w:rsidP="004D11A6">
            <w:pPr>
              <w:pStyle w:val="Box"/>
              <w:rPr>
                <w:b/>
              </w:rPr>
            </w:pPr>
            <w:r w:rsidRPr="0055733D">
              <w:rPr>
                <w:b/>
              </w:rPr>
              <w:t>12-industry market sector</w:t>
            </w:r>
          </w:p>
          <w:p w:rsidR="00633D15" w:rsidRDefault="00633D15" w:rsidP="004D11A6">
            <w:pPr>
              <w:pStyle w:val="BoxListBullet"/>
            </w:pPr>
            <w:r>
              <w:t>Agriculture, forestry &amp; fishing (Agriculture)</w:t>
            </w:r>
          </w:p>
          <w:p w:rsidR="00633D15" w:rsidRDefault="00633D15" w:rsidP="004D11A6">
            <w:pPr>
              <w:pStyle w:val="BoxListBullet"/>
            </w:pPr>
            <w:r>
              <w:t>Mining</w:t>
            </w:r>
          </w:p>
          <w:p w:rsidR="00633D15" w:rsidRDefault="00633D15" w:rsidP="004D11A6">
            <w:pPr>
              <w:pStyle w:val="BoxListBullet"/>
            </w:pPr>
            <w:r>
              <w:t>Manufacturing</w:t>
            </w:r>
          </w:p>
          <w:p w:rsidR="00633D15" w:rsidRDefault="00633D15" w:rsidP="004D11A6">
            <w:pPr>
              <w:pStyle w:val="BoxListBullet"/>
            </w:pPr>
            <w:r>
              <w:t>Electricity, gas, water &amp; waste services (</w:t>
            </w:r>
            <w:proofErr w:type="spellStart"/>
            <w:r>
              <w:t>EGWWS</w:t>
            </w:r>
            <w:proofErr w:type="spellEnd"/>
            <w:r>
              <w:t xml:space="preserve"> or ‘the Utilities’)</w:t>
            </w:r>
          </w:p>
          <w:p w:rsidR="00633D15" w:rsidRDefault="00633D15" w:rsidP="004D11A6">
            <w:pPr>
              <w:pStyle w:val="BoxListBullet"/>
            </w:pPr>
            <w:r>
              <w:t>Construction</w:t>
            </w:r>
          </w:p>
          <w:p w:rsidR="00633D15" w:rsidRDefault="00633D15" w:rsidP="004D11A6">
            <w:pPr>
              <w:pStyle w:val="BoxListBullet"/>
            </w:pPr>
            <w:r>
              <w:t>Wholesale trade</w:t>
            </w:r>
          </w:p>
          <w:p w:rsidR="00633D15" w:rsidRDefault="00633D15" w:rsidP="004D11A6">
            <w:pPr>
              <w:pStyle w:val="BoxListBullet"/>
            </w:pPr>
            <w:r>
              <w:t>Retail trade</w:t>
            </w:r>
          </w:p>
          <w:p w:rsidR="00633D15" w:rsidRDefault="00633D15" w:rsidP="004D11A6">
            <w:pPr>
              <w:pStyle w:val="BoxListBullet"/>
            </w:pPr>
            <w:r>
              <w:t>Accommodation &amp; food services (Accommodation)</w:t>
            </w:r>
          </w:p>
          <w:p w:rsidR="00633D15" w:rsidRDefault="00633D15" w:rsidP="004D11A6">
            <w:pPr>
              <w:pStyle w:val="BoxListBullet"/>
            </w:pPr>
            <w:r>
              <w:t>Transport, postal &amp; warehousing (Transport)</w:t>
            </w:r>
          </w:p>
          <w:p w:rsidR="00633D15" w:rsidRDefault="00633D15" w:rsidP="004D11A6">
            <w:pPr>
              <w:pStyle w:val="BoxListBullet"/>
            </w:pPr>
            <w:r>
              <w:t>Information media &amp; telecommunications (Telecoms)</w:t>
            </w:r>
          </w:p>
          <w:p w:rsidR="00633D15" w:rsidRDefault="00633D15" w:rsidP="004D11A6">
            <w:pPr>
              <w:pStyle w:val="BoxListBullet"/>
            </w:pPr>
            <w:r>
              <w:t>Financial &amp; insurance services (Financ</w:t>
            </w:r>
            <w:r w:rsidR="00885CC5">
              <w:t>e</w:t>
            </w:r>
            <w:r>
              <w:t>)</w:t>
            </w:r>
          </w:p>
          <w:p w:rsidR="00633D15" w:rsidRDefault="00633D15" w:rsidP="004D11A6">
            <w:pPr>
              <w:pStyle w:val="BoxListBullet"/>
            </w:pPr>
            <w:r>
              <w:t>Arts &amp; recreation services (Arts &amp; recreation)</w:t>
            </w:r>
          </w:p>
          <w:p w:rsidR="00633D15" w:rsidRPr="007400E2" w:rsidRDefault="00633D15" w:rsidP="004D11A6">
            <w:pPr>
              <w:pStyle w:val="Box"/>
              <w:rPr>
                <w:b/>
              </w:rPr>
            </w:pPr>
            <w:r w:rsidRPr="007400E2">
              <w:rPr>
                <w:b/>
              </w:rPr>
              <w:t>Additional industries in the 16-industry market sector</w:t>
            </w:r>
          </w:p>
          <w:p w:rsidR="00633D15" w:rsidRDefault="00633D15" w:rsidP="004D11A6">
            <w:pPr>
              <w:pStyle w:val="BoxListBullet"/>
            </w:pPr>
            <w:r>
              <w:t xml:space="preserve">Rental, hiring &amp; real estate services </w:t>
            </w:r>
          </w:p>
          <w:p w:rsidR="00633D15" w:rsidRDefault="00633D15" w:rsidP="004D11A6">
            <w:pPr>
              <w:pStyle w:val="BoxListBullet"/>
            </w:pPr>
            <w:r>
              <w:t>Professional, scientific &amp; technical services</w:t>
            </w:r>
          </w:p>
          <w:p w:rsidR="00633D15" w:rsidRDefault="00633D15" w:rsidP="004D11A6">
            <w:pPr>
              <w:pStyle w:val="BoxListBullet"/>
            </w:pPr>
            <w:r>
              <w:t>Administration &amp; support services</w:t>
            </w:r>
          </w:p>
          <w:p w:rsidR="00633D15" w:rsidRDefault="00633D15" w:rsidP="004D11A6">
            <w:pPr>
              <w:pStyle w:val="BoxListBullet"/>
            </w:pPr>
            <w:r>
              <w:t>Other services</w:t>
            </w:r>
          </w:p>
        </w:tc>
      </w:tr>
      <w:tr w:rsidR="00633D15" w:rsidTr="004D11A6">
        <w:trPr>
          <w:cantSplit/>
        </w:trPr>
        <w:tc>
          <w:tcPr>
            <w:tcW w:w="8771" w:type="dxa"/>
            <w:tcBorders>
              <w:top w:val="nil"/>
              <w:left w:val="single" w:sz="6" w:space="0" w:color="auto"/>
              <w:bottom w:val="single" w:sz="6" w:space="0" w:color="auto"/>
              <w:right w:val="single" w:sz="6" w:space="0" w:color="auto"/>
            </w:tcBorders>
          </w:tcPr>
          <w:p w:rsidR="00633D15" w:rsidRDefault="00633D15" w:rsidP="004D11A6">
            <w:pPr>
              <w:pStyle w:val="Box"/>
              <w:spacing w:before="0" w:line="120" w:lineRule="exact"/>
            </w:pPr>
          </w:p>
        </w:tc>
      </w:tr>
      <w:tr w:rsidR="00633D15" w:rsidRPr="00AD4791" w:rsidTr="004D11A6">
        <w:tc>
          <w:tcPr>
            <w:tcW w:w="8771" w:type="dxa"/>
            <w:tcBorders>
              <w:top w:val="nil"/>
              <w:left w:val="nil"/>
              <w:bottom w:val="nil"/>
              <w:right w:val="nil"/>
            </w:tcBorders>
          </w:tcPr>
          <w:p w:rsidR="00633D15" w:rsidRPr="00AD4791" w:rsidRDefault="00633D15" w:rsidP="004D11A6">
            <w:pPr>
              <w:pStyle w:val="Box"/>
              <w:keepNext w:val="0"/>
              <w:spacing w:before="60" w:after="60" w:line="80" w:lineRule="exact"/>
              <w:rPr>
                <w:b/>
                <w:sz w:val="14"/>
              </w:rPr>
            </w:pPr>
          </w:p>
        </w:tc>
      </w:tr>
    </w:tbl>
    <w:p w:rsidR="00633D15" w:rsidRDefault="00633D15" w:rsidP="00633D15">
      <w:pPr>
        <w:pStyle w:val="BodyText"/>
      </w:pPr>
      <w:r>
        <w:lastRenderedPageBreak/>
        <w:t>The fall in labour productivity growth in the market sector between the decades was overwhelmingly due to slower MFP growth. Over half the labour prod</w:t>
      </w:r>
      <w:r w:rsidR="001E5D1D">
        <w:t xml:space="preserve">uctivity growth was due to very </w:t>
      </w:r>
      <w:r>
        <w:t xml:space="preserve">rapid MFP growth in the </w:t>
      </w:r>
      <w:proofErr w:type="spellStart"/>
      <w:r>
        <w:t>1990s</w:t>
      </w:r>
      <w:proofErr w:type="spellEnd"/>
      <w:r>
        <w:t xml:space="preserve">. But the MFP contribution was very low over the </w:t>
      </w:r>
      <w:proofErr w:type="spellStart"/>
      <w:r>
        <w:t>2000s</w:t>
      </w:r>
      <w:proofErr w:type="spellEnd"/>
      <w:r w:rsidRPr="00671CA9">
        <w:t xml:space="preserve"> </w:t>
      </w:r>
      <w:r>
        <w:t>decade.</w:t>
      </w:r>
      <w:r>
        <w:rPr>
          <w:rStyle w:val="FootnoteReference"/>
        </w:rPr>
        <w:footnoteReference w:id="9"/>
      </w:r>
      <w:r>
        <w:t xml:space="preserve"> For much of the </w:t>
      </w:r>
      <w:r w:rsidR="00B53F91">
        <w:t xml:space="preserve">later </w:t>
      </w:r>
      <w:r>
        <w:t>decade, MFP was static or fell.</w:t>
      </w:r>
    </w:p>
    <w:p w:rsidR="00F55128" w:rsidRDefault="00F55128" w:rsidP="00F55128">
      <w:pPr>
        <w:pStyle w:val="Heading4"/>
      </w:pPr>
      <w:r>
        <w:t>Capital productivity</w:t>
      </w:r>
    </w:p>
    <w:p w:rsidR="00F55128" w:rsidRDefault="00F55128" w:rsidP="00F55128">
      <w:pPr>
        <w:pStyle w:val="BodyText"/>
      </w:pPr>
      <w:r>
        <w:t xml:space="preserve">A fall in capital productivity since 2003-04 has been a major development in productivity trends (figure 2.3). Capital productivity was generally flat over the </w:t>
      </w:r>
      <w:proofErr w:type="spellStart"/>
      <w:r>
        <w:t>1990s</w:t>
      </w:r>
      <w:proofErr w:type="spellEnd"/>
      <w:r>
        <w:t xml:space="preserve"> and early </w:t>
      </w:r>
      <w:proofErr w:type="spellStart"/>
      <w:r>
        <w:t>2000s</w:t>
      </w:r>
      <w:proofErr w:type="spellEnd"/>
      <w:r>
        <w:t>. This is the typical pattern.</w:t>
      </w:r>
      <w:r>
        <w:rPr>
          <w:rStyle w:val="FootnoteReference"/>
        </w:rPr>
        <w:footnoteReference w:id="10"/>
      </w:r>
      <w:r>
        <w:t xml:space="preserve"> But it has fallen about 20 per cent since 2003-04. </w:t>
      </w:r>
    </w:p>
    <w:p w:rsidR="00B07EBE" w:rsidRDefault="00B07EBE" w:rsidP="00B07EBE">
      <w:pPr>
        <w:pStyle w:val="BodyText"/>
      </w:pPr>
      <w:r>
        <w:t xml:space="preserve">The fall in capital productivity has held back growth in </w:t>
      </w:r>
      <w:r w:rsidR="00272B2B">
        <w:t>MFP</w:t>
      </w:r>
      <w:r>
        <w:t xml:space="preserve">. MFP can be thought of as a weighted average of labour productivity and capital productivity. With declining capital productivity, </w:t>
      </w:r>
      <w:r w:rsidR="00272B2B">
        <w:t>MFP</w:t>
      </w:r>
      <w:r>
        <w:t xml:space="preserve"> growth stalled after 2003-04.</w:t>
      </w:r>
    </w:p>
    <w:p w:rsidR="008439A9" w:rsidRDefault="008439A9" w:rsidP="00B266A1">
      <w:pPr>
        <w:pStyle w:val="BodyText"/>
      </w:pPr>
      <w:r>
        <w:t xml:space="preserve">All other things </w:t>
      </w:r>
      <w:r w:rsidR="0070274B">
        <w:t xml:space="preserve">being </w:t>
      </w:r>
      <w:r>
        <w:t xml:space="preserve">equal, the decline in capital productivity would mean a decline in income. </w:t>
      </w:r>
      <w:r w:rsidR="008F47A0">
        <w:t xml:space="preserve">The </w:t>
      </w:r>
      <w:r>
        <w:t>Mc</w:t>
      </w:r>
      <w:r w:rsidR="0070274B">
        <w:t>K</w:t>
      </w:r>
      <w:r>
        <w:t>insey</w:t>
      </w:r>
      <w:r w:rsidR="005B4075">
        <w:t xml:space="preserve"> Global Institute (</w:t>
      </w:r>
      <w:r w:rsidR="008F47A0">
        <w:t>Taylor et al</w:t>
      </w:r>
      <w:r w:rsidR="00272B2B">
        <w:t>.</w:t>
      </w:r>
      <w:r w:rsidR="008F47A0">
        <w:t xml:space="preserve"> </w:t>
      </w:r>
      <w:r w:rsidR="005B4075">
        <w:t xml:space="preserve">2012) put an order of magnitude on this effect, estimating that the decline in capital productivity </w:t>
      </w:r>
      <w:r w:rsidR="00272B2B">
        <w:t>from</w:t>
      </w:r>
      <w:r w:rsidR="005B4075">
        <w:t xml:space="preserve"> 2005 and 2011 represented a deduction of some $43 billion dollars from national income.</w:t>
      </w:r>
    </w:p>
    <w:p w:rsidR="00323A4C" w:rsidRDefault="00323A4C" w:rsidP="00323A4C">
      <w:pPr>
        <w:pStyle w:val="BodyText"/>
      </w:pPr>
      <w:r>
        <w:t xml:space="preserve">But, all other things were not equal. That fall in capital productivity is based on the volume of output. As has already been noted, there was more income growth in the </w:t>
      </w:r>
      <w:proofErr w:type="spellStart"/>
      <w:r>
        <w:t>2000s</w:t>
      </w:r>
      <w:proofErr w:type="spellEnd"/>
      <w:r>
        <w:t xml:space="preserve"> through the terms of trade. And so, the rise in the terms of trade more than ‘compensated’ for the lower income growth due to lower productivity and output growth. </w:t>
      </w:r>
    </w:p>
    <w:p w:rsidR="00323A4C" w:rsidRDefault="00323A4C" w:rsidP="00B266A1">
      <w:pPr>
        <w:pStyle w:val="BodyText"/>
      </w:pPr>
    </w:p>
    <w:p w:rsidR="00DC0015" w:rsidRDefault="00DC0015">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876EEE">
        <w:rPr>
          <w:b w:val="0"/>
          <w:noProof/>
        </w:rPr>
        <w:t>3</w:t>
      </w:r>
      <w:r>
        <w:rPr>
          <w:b w:val="0"/>
        </w:rPr>
        <w:fldChar w:fldCharType="end"/>
      </w:r>
      <w:r>
        <w:tab/>
      </w:r>
      <w:bookmarkStart w:id="4" w:name="FigureTitle"/>
      <w:r>
        <w:t>Labour, capital and multifactor productivity</w:t>
      </w:r>
      <w:bookmarkEnd w:id="4"/>
    </w:p>
    <w:p w:rsidR="00DC0015" w:rsidRDefault="00272B2B">
      <w:pPr>
        <w:pStyle w:val="Subtitle"/>
      </w:pPr>
      <w:r>
        <w:t>indexes, 1999-00</w:t>
      </w:r>
      <w:r w:rsidR="00DC0015">
        <w:t>=100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C0015">
        <w:tc>
          <w:tcPr>
            <w:tcW w:w="8777" w:type="dxa"/>
          </w:tcPr>
          <w:p w:rsidR="00DC0015" w:rsidRDefault="00F7212F">
            <w:pPr>
              <w:pStyle w:val="Figure"/>
            </w:pPr>
            <w:r>
              <w:rPr>
                <w:noProof/>
              </w:rPr>
              <w:drawing>
                <wp:inline distT="0" distB="0" distL="0" distR="0" wp14:anchorId="7A1C984F" wp14:editId="360C084F">
                  <wp:extent cx="4752975" cy="2733675"/>
                  <wp:effectExtent l="0" t="0" r="9525" b="9525"/>
                  <wp:docPr id="7" name="Picture 7" descr="Labour, capital and multifactor productivity. This figure shows strong growth in labour productivity in the 1990s, with weaker growth in the 2000s. Capital productivity was flat in the 1990s and declined substantially in the 2000s. Multifactor productivity increased in the 1990s, but was stagnant in the 200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2975" cy="2733675"/>
                          </a:xfrm>
                          <a:prstGeom prst="rect">
                            <a:avLst/>
                          </a:prstGeom>
                          <a:noFill/>
                          <a:ln>
                            <a:noFill/>
                          </a:ln>
                        </pic:spPr>
                      </pic:pic>
                    </a:graphicData>
                  </a:graphic>
                </wp:inline>
              </w:drawing>
            </w:r>
          </w:p>
        </w:tc>
      </w:tr>
    </w:tbl>
    <w:p w:rsidR="00DC0015" w:rsidRDefault="00DC0015">
      <w:pPr>
        <w:pStyle w:val="Source"/>
      </w:pPr>
      <w:r>
        <w:rPr>
          <w:i/>
        </w:rPr>
        <w:t>Data source</w:t>
      </w:r>
      <w:r w:rsidRPr="00167F06">
        <w:t xml:space="preserve">: </w:t>
      </w:r>
      <w:r w:rsidR="003A0C9C">
        <w:t xml:space="preserve">ABS </w:t>
      </w:r>
      <w:r w:rsidR="00272B2B">
        <w:t>(</w:t>
      </w:r>
      <w:r w:rsidR="003A0C9C">
        <w:t>Cat</w:t>
      </w:r>
      <w:r w:rsidR="00272B2B">
        <w:t>.</w:t>
      </w:r>
      <w:r w:rsidR="003A0C9C">
        <w:t xml:space="preserve"> </w:t>
      </w:r>
      <w:r w:rsidR="00272B2B">
        <w:t>n</w:t>
      </w:r>
      <w:r w:rsidR="003A0C9C">
        <w:t>o</w:t>
      </w:r>
      <w:r w:rsidR="00272B2B">
        <w:t>.</w:t>
      </w:r>
      <w:r w:rsidR="003A0C9C">
        <w:t xml:space="preserve"> 5260.0.55.002</w:t>
      </w:r>
      <w:r w:rsidR="00272B2B">
        <w:t>).</w:t>
      </w:r>
    </w:p>
    <w:p w:rsidR="00DF3BDA" w:rsidRDefault="00146747" w:rsidP="003A0C9C">
      <w:pPr>
        <w:pStyle w:val="Heading2"/>
      </w:pPr>
      <w:r>
        <w:fldChar w:fldCharType="begin"/>
      </w:r>
      <w:r>
        <w:instrText xml:space="preserve"> COMMENTS  \* MERGEFORMAT </w:instrText>
      </w:r>
      <w:r>
        <w:fldChar w:fldCharType="separate"/>
      </w:r>
      <w:r w:rsidR="00C536C1">
        <w:t>2.</w:t>
      </w:r>
      <w:r>
        <w:fldChar w:fldCharType="end"/>
      </w:r>
      <w:r>
        <w:fldChar w:fldCharType="begin"/>
      </w:r>
      <w:r>
        <w:instrText xml:space="preserve"> SEQ Heading2 </w:instrText>
      </w:r>
      <w:r>
        <w:fldChar w:fldCharType="separate"/>
      </w:r>
      <w:r w:rsidR="00876EEE">
        <w:rPr>
          <w:noProof/>
        </w:rPr>
        <w:t>3</w:t>
      </w:r>
      <w:r>
        <w:rPr>
          <w:noProof/>
        </w:rPr>
        <w:fldChar w:fldCharType="end"/>
      </w:r>
      <w:r w:rsidR="003A0C9C">
        <w:tab/>
      </w:r>
      <w:r w:rsidR="00DF3BDA">
        <w:t>Industry sources</w:t>
      </w:r>
      <w:r w:rsidR="00600485">
        <w:t xml:space="preserve"> of income growth</w:t>
      </w:r>
    </w:p>
    <w:p w:rsidR="0070274B" w:rsidRDefault="00711B2B" w:rsidP="00DF3BDA">
      <w:pPr>
        <w:pStyle w:val="BodyText"/>
      </w:pPr>
      <w:r>
        <w:t>Did</w:t>
      </w:r>
      <w:r w:rsidR="0070274B">
        <w:t xml:space="preserve"> the additional income growth </w:t>
      </w:r>
      <w:r>
        <w:t>come from a range of</w:t>
      </w:r>
      <w:r w:rsidR="0070274B">
        <w:t xml:space="preserve"> industries or </w:t>
      </w:r>
      <w:r w:rsidR="006F19BD">
        <w:t xml:space="preserve">just </w:t>
      </w:r>
      <w:r>
        <w:t>a few</w:t>
      </w:r>
      <w:r w:rsidR="0070274B">
        <w:t>?</w:t>
      </w:r>
    </w:p>
    <w:p w:rsidR="00251CA9" w:rsidRDefault="00DF3BDA" w:rsidP="00DF3BDA">
      <w:pPr>
        <w:pStyle w:val="BodyText"/>
      </w:pPr>
      <w:r>
        <w:t xml:space="preserve">Growth in income at the industry level </w:t>
      </w:r>
      <w:r w:rsidR="00737AF3">
        <w:t xml:space="preserve">for market sector industries </w:t>
      </w:r>
      <w:r w:rsidR="00711B2B">
        <w:t>is explored</w:t>
      </w:r>
      <w:r w:rsidR="00737AF3">
        <w:t xml:space="preserve"> using</w:t>
      </w:r>
      <w:r w:rsidR="00711B2B">
        <w:t xml:space="preserve"> a nominal gross value added measure of output and income. The use of nominal values </w:t>
      </w:r>
      <w:r w:rsidR="00251CA9">
        <w:t>takes account of the effects of terms of trade shifts on income.</w:t>
      </w:r>
      <w:r w:rsidR="00251CA9">
        <w:rPr>
          <w:rStyle w:val="FootnoteReference"/>
        </w:rPr>
        <w:footnoteReference w:id="11"/>
      </w:r>
    </w:p>
    <w:p w:rsidR="00DF3BDA" w:rsidRDefault="00600485" w:rsidP="00DF3BDA">
      <w:pPr>
        <w:pStyle w:val="Heading3"/>
      </w:pPr>
      <w:r>
        <w:t>Industry growth and distribution</w:t>
      </w:r>
    </w:p>
    <w:p w:rsidR="00DF3BDA" w:rsidRDefault="00DF3BDA" w:rsidP="00DF3BDA">
      <w:pPr>
        <w:pStyle w:val="BodyText"/>
      </w:pPr>
      <w:r>
        <w:t xml:space="preserve">There was considerable diversity in income growth across </w:t>
      </w:r>
      <w:r w:rsidR="00272B2B">
        <w:t xml:space="preserve">market </w:t>
      </w:r>
      <w:r w:rsidR="00251CA9">
        <w:t xml:space="preserve">sector </w:t>
      </w:r>
      <w:r>
        <w:t xml:space="preserve">industries in the </w:t>
      </w:r>
      <w:proofErr w:type="spellStart"/>
      <w:r>
        <w:t>2000s</w:t>
      </w:r>
      <w:proofErr w:type="spellEnd"/>
      <w:r>
        <w:t xml:space="preserve">. Growth rates </w:t>
      </w:r>
      <w:r w:rsidR="003A0C9C">
        <w:t xml:space="preserve">over the decade </w:t>
      </w:r>
      <w:r>
        <w:t>ranged from 3.2</w:t>
      </w:r>
      <w:r w:rsidR="00251CA9">
        <w:t xml:space="preserve"> per cent</w:t>
      </w:r>
      <w:r>
        <w:t xml:space="preserve"> </w:t>
      </w:r>
      <w:r w:rsidR="00251CA9">
        <w:t xml:space="preserve">a year in Agriculture and Manufacturing </w:t>
      </w:r>
      <w:r>
        <w:t>to 12.2 per cent per year</w:t>
      </w:r>
      <w:r w:rsidR="00251CA9">
        <w:t xml:space="preserve"> in Mining. The range was</w:t>
      </w:r>
      <w:r>
        <w:t xml:space="preserve"> around a </w:t>
      </w:r>
      <w:r w:rsidR="001E5D1D">
        <w:t>market sector</w:t>
      </w:r>
      <w:r>
        <w:t xml:space="preserve"> average of 6.6 per cent a year (table </w:t>
      </w:r>
      <w:r w:rsidR="003A0C9C">
        <w:t>2.3</w:t>
      </w:r>
      <w:r>
        <w:t xml:space="preserve">). </w:t>
      </w:r>
    </w:p>
    <w:p w:rsidR="00DF3BDA" w:rsidRDefault="00DF3BDA" w:rsidP="00DF3BDA">
      <w:pPr>
        <w:pStyle w:val="BodyText"/>
      </w:pPr>
      <w:r>
        <w:t>As a result of the diversity, there were some major reallocations of activity and income among industries.</w:t>
      </w:r>
    </w:p>
    <w:p w:rsidR="00DF3BDA" w:rsidRDefault="00DF3BDA" w:rsidP="00DF3BDA">
      <w:pPr>
        <w:pStyle w:val="BodyText"/>
      </w:pPr>
      <w:r>
        <w:lastRenderedPageBreak/>
        <w:t>Mining</w:t>
      </w:r>
      <w:r w:rsidR="00251CA9">
        <w:t xml:space="preserve">’s </w:t>
      </w:r>
      <w:r>
        <w:t>growth</w:t>
      </w:r>
      <w:r w:rsidR="00251CA9">
        <w:t>,</w:t>
      </w:r>
      <w:r>
        <w:t xml:space="preserve"> at over 12 per cent a year</w:t>
      </w:r>
      <w:r w:rsidR="00251CA9">
        <w:t>,</w:t>
      </w:r>
      <w:r>
        <w:t xml:space="preserve"> was a large step up from </w:t>
      </w:r>
      <w:r w:rsidR="0080011D">
        <w:t xml:space="preserve">4 per cent a year growth over </w:t>
      </w:r>
      <w:r>
        <w:t xml:space="preserve">the previous decade (table </w:t>
      </w:r>
      <w:r w:rsidR="003A0C9C">
        <w:t>2.3</w:t>
      </w:r>
      <w:r>
        <w:t xml:space="preserve">). In growing so strongly in the </w:t>
      </w:r>
      <w:proofErr w:type="spellStart"/>
      <w:r>
        <w:t>2000s</w:t>
      </w:r>
      <w:proofErr w:type="spellEnd"/>
      <w:r>
        <w:t xml:space="preserve">, it lifted its share of </w:t>
      </w:r>
      <w:r w:rsidR="001E5D1D">
        <w:t>market sector</w:t>
      </w:r>
      <w:r>
        <w:t xml:space="preserve"> income by 5 percentage points to 12 per cent.</w:t>
      </w:r>
    </w:p>
    <w:p w:rsidR="00DF3BDA" w:rsidRDefault="00DF3BDA" w:rsidP="00DF3BDA">
      <w:pPr>
        <w:pStyle w:val="BodyText"/>
      </w:pPr>
      <w:r>
        <w:t>Construction and Financial and insurance services (</w:t>
      </w:r>
      <w:r w:rsidR="00354E61">
        <w:t>Finance</w:t>
      </w:r>
      <w:r>
        <w:t xml:space="preserve">) had strong growth at just over 8 per cent a year. In the case of Construction, this was a step up from growth in the </w:t>
      </w:r>
      <w:proofErr w:type="spellStart"/>
      <w:r>
        <w:t>1990s</w:t>
      </w:r>
      <w:proofErr w:type="spellEnd"/>
      <w:r>
        <w:t>, but it was a slight drop for Financ</w:t>
      </w:r>
      <w:r w:rsidR="006F19BD">
        <w:t>e</w:t>
      </w:r>
      <w:r>
        <w:t xml:space="preserve">. </w:t>
      </w:r>
    </w:p>
    <w:p w:rsidR="0051751C" w:rsidRDefault="00354E61" w:rsidP="0051751C">
      <w:pPr>
        <w:pStyle w:val="BodyText"/>
      </w:pPr>
      <w:r>
        <w:t xml:space="preserve">Finance </w:t>
      </w:r>
      <w:r w:rsidR="0051751C">
        <w:t>had become the largest industry in the market sector by 2009-10, accounting for over 15 per cent of output and income. Construction and Mining had moved to similar sizes (each around 12 per cent of the market sector), just behind Manufacturing (around 14 per cent).</w:t>
      </w:r>
    </w:p>
    <w:p w:rsidR="0051751C" w:rsidRDefault="0051751C" w:rsidP="0051751C">
      <w:pPr>
        <w:pStyle w:val="BodyText"/>
      </w:pPr>
      <w:r>
        <w:t xml:space="preserve">Manufacturing was the big loser in terms of </w:t>
      </w:r>
      <w:r w:rsidR="001E5D1D">
        <w:t>market sector</w:t>
      </w:r>
      <w:r>
        <w:t xml:space="preserve"> share. Its share of </w:t>
      </w:r>
      <w:r w:rsidR="001E5D1D">
        <w:t>market sector</w:t>
      </w:r>
      <w:r>
        <w:t xml:space="preserve"> output and income fell 5</w:t>
      </w:r>
      <w:r w:rsidR="00272B2B">
        <w:t>.5</w:t>
      </w:r>
      <w:r>
        <w:t xml:space="preserve"> percentage points.</w:t>
      </w:r>
    </w:p>
    <w:p w:rsidR="00ED3499" w:rsidRDefault="00ED3499">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Table \* ARABIC </w:instrText>
      </w:r>
      <w:r>
        <w:rPr>
          <w:b w:val="0"/>
        </w:rPr>
        <w:fldChar w:fldCharType="separate"/>
      </w:r>
      <w:r w:rsidR="00876EEE">
        <w:rPr>
          <w:b w:val="0"/>
          <w:noProof/>
        </w:rPr>
        <w:t>3</w:t>
      </w:r>
      <w:r>
        <w:rPr>
          <w:b w:val="0"/>
        </w:rPr>
        <w:fldChar w:fldCharType="end"/>
      </w:r>
      <w:r>
        <w:tab/>
      </w:r>
      <w:r w:rsidR="00354E61">
        <w:t>I</w:t>
      </w:r>
      <w:r w:rsidR="008269D6">
        <w:t xml:space="preserve">ndustry growth </w:t>
      </w:r>
      <w:r w:rsidR="00354E61">
        <w:t xml:space="preserve">in nominal value added </w:t>
      </w:r>
      <w:r w:rsidR="008269D6">
        <w:t xml:space="preserve">and industry shares: </w:t>
      </w:r>
      <w:proofErr w:type="spellStart"/>
      <w:r w:rsidR="008269D6">
        <w:t>1990s</w:t>
      </w:r>
      <w:proofErr w:type="spellEnd"/>
      <w:r w:rsidR="008269D6">
        <w:t xml:space="preserve"> and </w:t>
      </w:r>
      <w:proofErr w:type="spellStart"/>
      <w:r w:rsidR="008269D6">
        <w:t>2000s</w:t>
      </w:r>
      <w:proofErr w:type="spellEnd"/>
    </w:p>
    <w:p w:rsidR="00ED3499" w:rsidRDefault="001E5D1D">
      <w:pPr>
        <w:pStyle w:val="Subtitle"/>
      </w:pPr>
      <w:r>
        <w:t>p</w:t>
      </w:r>
      <w:r w:rsidR="008269D6">
        <w:t>er cent average annual growth over the decade</w:t>
      </w:r>
    </w:p>
    <w:tbl>
      <w:tblPr>
        <w:tblW w:w="0" w:type="auto"/>
        <w:tblLayout w:type="fixed"/>
        <w:tblCellMar>
          <w:left w:w="0" w:type="dxa"/>
          <w:right w:w="0" w:type="dxa"/>
        </w:tblCellMar>
        <w:tblLook w:val="0000" w:firstRow="0" w:lastRow="0" w:firstColumn="0" w:lastColumn="0" w:noHBand="0" w:noVBand="0"/>
      </w:tblPr>
      <w:tblGrid>
        <w:gridCol w:w="2244"/>
        <w:gridCol w:w="974"/>
        <w:gridCol w:w="849"/>
        <w:gridCol w:w="1078"/>
        <w:gridCol w:w="376"/>
        <w:gridCol w:w="1127"/>
        <w:gridCol w:w="1127"/>
        <w:gridCol w:w="1014"/>
      </w:tblGrid>
      <w:tr w:rsidR="0018357B" w:rsidTr="0018357B">
        <w:tc>
          <w:tcPr>
            <w:tcW w:w="2244" w:type="dxa"/>
            <w:tcBorders>
              <w:top w:val="single" w:sz="6" w:space="0" w:color="auto"/>
            </w:tcBorders>
            <w:shd w:val="clear" w:color="auto" w:fill="auto"/>
          </w:tcPr>
          <w:p w:rsidR="0018357B" w:rsidRDefault="0018357B" w:rsidP="00ED3499">
            <w:pPr>
              <w:pStyle w:val="TableColumnHeading"/>
              <w:jc w:val="left"/>
            </w:pPr>
          </w:p>
        </w:tc>
        <w:tc>
          <w:tcPr>
            <w:tcW w:w="2901" w:type="dxa"/>
            <w:gridSpan w:val="3"/>
            <w:tcBorders>
              <w:top w:val="single" w:sz="6" w:space="0" w:color="auto"/>
              <w:bottom w:val="single" w:sz="6" w:space="0" w:color="auto"/>
            </w:tcBorders>
            <w:shd w:val="clear" w:color="auto" w:fill="auto"/>
            <w:vAlign w:val="center"/>
          </w:tcPr>
          <w:p w:rsidR="0018357B" w:rsidRDefault="0018357B" w:rsidP="0018357B">
            <w:pPr>
              <w:pStyle w:val="TableColumnHeading"/>
              <w:ind w:right="28"/>
              <w:jc w:val="center"/>
            </w:pPr>
            <w:r>
              <w:t>Growth rate</w:t>
            </w:r>
          </w:p>
        </w:tc>
        <w:tc>
          <w:tcPr>
            <w:tcW w:w="376" w:type="dxa"/>
            <w:tcBorders>
              <w:top w:val="single" w:sz="6" w:space="0" w:color="auto"/>
            </w:tcBorders>
            <w:vAlign w:val="center"/>
          </w:tcPr>
          <w:p w:rsidR="0018357B" w:rsidRDefault="0018357B" w:rsidP="0018357B">
            <w:pPr>
              <w:pStyle w:val="TableColumnHeading"/>
              <w:ind w:right="28"/>
              <w:jc w:val="center"/>
            </w:pPr>
          </w:p>
        </w:tc>
        <w:tc>
          <w:tcPr>
            <w:tcW w:w="3268" w:type="dxa"/>
            <w:gridSpan w:val="3"/>
            <w:tcBorders>
              <w:top w:val="single" w:sz="6" w:space="0" w:color="auto"/>
              <w:bottom w:val="single" w:sz="6" w:space="0" w:color="auto"/>
            </w:tcBorders>
            <w:vAlign w:val="center"/>
          </w:tcPr>
          <w:p w:rsidR="0018357B" w:rsidRDefault="0018357B" w:rsidP="0018357B">
            <w:pPr>
              <w:pStyle w:val="TableColumnHeading"/>
              <w:ind w:right="28"/>
              <w:jc w:val="center"/>
            </w:pPr>
            <w:r>
              <w:t>Industry share</w:t>
            </w:r>
          </w:p>
        </w:tc>
      </w:tr>
      <w:tr w:rsidR="00ED3499" w:rsidTr="0018357B">
        <w:tc>
          <w:tcPr>
            <w:tcW w:w="2244" w:type="dxa"/>
            <w:tcBorders>
              <w:bottom w:val="single" w:sz="6" w:space="0" w:color="auto"/>
            </w:tcBorders>
            <w:shd w:val="clear" w:color="auto" w:fill="auto"/>
          </w:tcPr>
          <w:p w:rsidR="00ED3499" w:rsidRDefault="00ED3499" w:rsidP="00ED3499">
            <w:pPr>
              <w:pStyle w:val="TableColumnHeading"/>
              <w:jc w:val="left"/>
            </w:pPr>
          </w:p>
        </w:tc>
        <w:tc>
          <w:tcPr>
            <w:tcW w:w="974" w:type="dxa"/>
            <w:tcBorders>
              <w:top w:val="single" w:sz="6" w:space="0" w:color="auto"/>
              <w:bottom w:val="single" w:sz="6" w:space="0" w:color="auto"/>
            </w:tcBorders>
            <w:shd w:val="clear" w:color="auto" w:fill="auto"/>
          </w:tcPr>
          <w:p w:rsidR="00ED3499" w:rsidRDefault="00ED3499" w:rsidP="00ED3499">
            <w:pPr>
              <w:pStyle w:val="TableColumnHeading"/>
            </w:pPr>
            <w:proofErr w:type="spellStart"/>
            <w:r>
              <w:t>1990s</w:t>
            </w:r>
            <w:proofErr w:type="spellEnd"/>
          </w:p>
        </w:tc>
        <w:tc>
          <w:tcPr>
            <w:tcW w:w="849" w:type="dxa"/>
            <w:tcBorders>
              <w:top w:val="single" w:sz="6" w:space="0" w:color="auto"/>
              <w:bottom w:val="single" w:sz="6" w:space="0" w:color="auto"/>
            </w:tcBorders>
          </w:tcPr>
          <w:p w:rsidR="00ED3499" w:rsidRDefault="00ED3499" w:rsidP="00ED3499">
            <w:pPr>
              <w:pStyle w:val="TableColumnHeading"/>
              <w:ind w:right="28"/>
            </w:pPr>
            <w:proofErr w:type="spellStart"/>
            <w:r>
              <w:t>2000s</w:t>
            </w:r>
            <w:proofErr w:type="spellEnd"/>
          </w:p>
        </w:tc>
        <w:tc>
          <w:tcPr>
            <w:tcW w:w="1078" w:type="dxa"/>
            <w:tcBorders>
              <w:top w:val="single" w:sz="6" w:space="0" w:color="auto"/>
              <w:bottom w:val="single" w:sz="6" w:space="0" w:color="auto"/>
            </w:tcBorders>
          </w:tcPr>
          <w:p w:rsidR="00ED3499" w:rsidRDefault="00ED3499" w:rsidP="00ED3499">
            <w:pPr>
              <w:pStyle w:val="TableColumnHeading"/>
              <w:ind w:right="28"/>
            </w:pPr>
            <w:r>
              <w:t>Change</w:t>
            </w:r>
          </w:p>
        </w:tc>
        <w:tc>
          <w:tcPr>
            <w:tcW w:w="376" w:type="dxa"/>
            <w:tcBorders>
              <w:bottom w:val="single" w:sz="6" w:space="0" w:color="auto"/>
            </w:tcBorders>
          </w:tcPr>
          <w:p w:rsidR="00ED3499" w:rsidRDefault="00ED3499" w:rsidP="00ED3499">
            <w:pPr>
              <w:pStyle w:val="TableColumnHeading"/>
              <w:ind w:right="28"/>
            </w:pPr>
          </w:p>
        </w:tc>
        <w:tc>
          <w:tcPr>
            <w:tcW w:w="1127" w:type="dxa"/>
            <w:tcBorders>
              <w:top w:val="single" w:sz="6" w:space="0" w:color="auto"/>
              <w:bottom w:val="single" w:sz="6" w:space="0" w:color="auto"/>
            </w:tcBorders>
          </w:tcPr>
          <w:p w:rsidR="00ED3499" w:rsidRDefault="00ED3499" w:rsidP="00ED3499">
            <w:pPr>
              <w:pStyle w:val="TableColumnHeading"/>
              <w:ind w:right="28"/>
            </w:pPr>
            <w:r>
              <w:t>1999-00</w:t>
            </w:r>
          </w:p>
        </w:tc>
        <w:tc>
          <w:tcPr>
            <w:tcW w:w="1127" w:type="dxa"/>
            <w:tcBorders>
              <w:top w:val="single" w:sz="6" w:space="0" w:color="auto"/>
              <w:bottom w:val="single" w:sz="6" w:space="0" w:color="auto"/>
            </w:tcBorders>
          </w:tcPr>
          <w:p w:rsidR="00ED3499" w:rsidRDefault="00ED3499" w:rsidP="00ED3499">
            <w:pPr>
              <w:pStyle w:val="TableColumnHeading"/>
              <w:ind w:right="28"/>
            </w:pPr>
            <w:r>
              <w:t>2009-10</w:t>
            </w:r>
          </w:p>
        </w:tc>
        <w:tc>
          <w:tcPr>
            <w:tcW w:w="1014" w:type="dxa"/>
            <w:tcBorders>
              <w:top w:val="single" w:sz="6" w:space="0" w:color="auto"/>
              <w:bottom w:val="single" w:sz="6" w:space="0" w:color="auto"/>
            </w:tcBorders>
            <w:shd w:val="clear" w:color="auto" w:fill="auto"/>
          </w:tcPr>
          <w:p w:rsidR="00ED3499" w:rsidRDefault="00ED3499" w:rsidP="00ED3499">
            <w:pPr>
              <w:pStyle w:val="TableColumnHeading"/>
              <w:ind w:right="28"/>
            </w:pPr>
            <w:r>
              <w:t>change</w:t>
            </w:r>
          </w:p>
        </w:tc>
      </w:tr>
      <w:tr w:rsidR="00ED3499" w:rsidTr="0018357B">
        <w:tc>
          <w:tcPr>
            <w:tcW w:w="2244" w:type="dxa"/>
            <w:vAlign w:val="bottom"/>
          </w:tcPr>
          <w:p w:rsidR="00ED3499" w:rsidRDefault="00ED3499" w:rsidP="00D23F29">
            <w:pPr>
              <w:pStyle w:val="TableBodyText"/>
              <w:spacing w:before="40"/>
              <w:jc w:val="left"/>
            </w:pPr>
            <w:r>
              <w:t>Agriculture</w:t>
            </w:r>
          </w:p>
        </w:tc>
        <w:tc>
          <w:tcPr>
            <w:tcW w:w="974" w:type="dxa"/>
            <w:vAlign w:val="bottom"/>
          </w:tcPr>
          <w:p w:rsidR="00ED3499" w:rsidRDefault="00ED3499" w:rsidP="00D23F29">
            <w:pPr>
              <w:pStyle w:val="TableBodyText"/>
              <w:spacing w:before="40"/>
            </w:pPr>
            <w:r>
              <w:t>1.8</w:t>
            </w:r>
          </w:p>
        </w:tc>
        <w:tc>
          <w:tcPr>
            <w:tcW w:w="849" w:type="dxa"/>
            <w:vAlign w:val="bottom"/>
          </w:tcPr>
          <w:p w:rsidR="00ED3499" w:rsidRDefault="00ED3499" w:rsidP="00D23F29">
            <w:pPr>
              <w:pStyle w:val="TableBodyText"/>
              <w:spacing w:before="40"/>
            </w:pPr>
            <w:r>
              <w:t>3.2</w:t>
            </w:r>
          </w:p>
        </w:tc>
        <w:tc>
          <w:tcPr>
            <w:tcW w:w="1078" w:type="dxa"/>
            <w:vAlign w:val="bottom"/>
          </w:tcPr>
          <w:p w:rsidR="00ED3499" w:rsidRDefault="00ED3499" w:rsidP="00D23F29">
            <w:pPr>
              <w:pStyle w:val="TableBodyText"/>
              <w:spacing w:before="40"/>
            </w:pPr>
            <w:r>
              <w:t>1.4</w:t>
            </w:r>
          </w:p>
        </w:tc>
        <w:tc>
          <w:tcPr>
            <w:tcW w:w="376" w:type="dxa"/>
          </w:tcPr>
          <w:p w:rsidR="00ED3499" w:rsidRDefault="00ED3499" w:rsidP="00D23F29">
            <w:pPr>
              <w:pStyle w:val="TableBodyText"/>
              <w:spacing w:before="40"/>
            </w:pPr>
          </w:p>
        </w:tc>
        <w:tc>
          <w:tcPr>
            <w:tcW w:w="1127" w:type="dxa"/>
            <w:vAlign w:val="bottom"/>
          </w:tcPr>
          <w:p w:rsidR="00ED3499" w:rsidRDefault="00ED3499" w:rsidP="00D23F29">
            <w:pPr>
              <w:pStyle w:val="TableBodyText"/>
              <w:spacing w:before="40"/>
            </w:pPr>
            <w:r>
              <w:t>5.0</w:t>
            </w:r>
          </w:p>
        </w:tc>
        <w:tc>
          <w:tcPr>
            <w:tcW w:w="1127" w:type="dxa"/>
            <w:vAlign w:val="bottom"/>
          </w:tcPr>
          <w:p w:rsidR="00ED3499" w:rsidRDefault="00ED3499" w:rsidP="00D23F29">
            <w:pPr>
              <w:pStyle w:val="TableBodyText"/>
              <w:spacing w:before="40"/>
            </w:pPr>
            <w:r>
              <w:t>3.6</w:t>
            </w:r>
          </w:p>
        </w:tc>
        <w:tc>
          <w:tcPr>
            <w:tcW w:w="1014" w:type="dxa"/>
            <w:vAlign w:val="bottom"/>
          </w:tcPr>
          <w:p w:rsidR="00ED3499" w:rsidRDefault="00ED3499" w:rsidP="00D23F29">
            <w:pPr>
              <w:pStyle w:val="TableBodyText"/>
              <w:spacing w:before="40"/>
            </w:pPr>
            <w:r>
              <w:t>-1.4</w:t>
            </w:r>
          </w:p>
        </w:tc>
      </w:tr>
      <w:tr w:rsidR="00ED3499" w:rsidTr="0018357B">
        <w:tc>
          <w:tcPr>
            <w:tcW w:w="2244" w:type="dxa"/>
            <w:vAlign w:val="bottom"/>
          </w:tcPr>
          <w:p w:rsidR="00ED3499" w:rsidRDefault="00ED3499" w:rsidP="00D23F29">
            <w:pPr>
              <w:pStyle w:val="TableBodyText"/>
              <w:jc w:val="left"/>
            </w:pPr>
            <w:r>
              <w:t>Mining</w:t>
            </w:r>
          </w:p>
        </w:tc>
        <w:tc>
          <w:tcPr>
            <w:tcW w:w="974" w:type="dxa"/>
            <w:vAlign w:val="bottom"/>
          </w:tcPr>
          <w:p w:rsidR="00ED3499" w:rsidRDefault="00ED3499" w:rsidP="00D23F29">
            <w:pPr>
              <w:pStyle w:val="TableBodyText"/>
            </w:pPr>
            <w:r>
              <w:t>4.1</w:t>
            </w:r>
          </w:p>
        </w:tc>
        <w:tc>
          <w:tcPr>
            <w:tcW w:w="849" w:type="dxa"/>
            <w:vAlign w:val="bottom"/>
          </w:tcPr>
          <w:p w:rsidR="00ED3499" w:rsidRDefault="00ED3499" w:rsidP="00D23F29">
            <w:pPr>
              <w:pStyle w:val="TableBodyText"/>
            </w:pPr>
            <w:r>
              <w:t>12.2</w:t>
            </w:r>
          </w:p>
        </w:tc>
        <w:tc>
          <w:tcPr>
            <w:tcW w:w="1078" w:type="dxa"/>
            <w:vAlign w:val="bottom"/>
          </w:tcPr>
          <w:p w:rsidR="00ED3499" w:rsidRDefault="00ED3499" w:rsidP="00D23F29">
            <w:pPr>
              <w:pStyle w:val="TableBodyText"/>
            </w:pPr>
            <w:r>
              <w:t>8.0</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6.8</w:t>
            </w:r>
          </w:p>
        </w:tc>
        <w:tc>
          <w:tcPr>
            <w:tcW w:w="1127" w:type="dxa"/>
            <w:vAlign w:val="bottom"/>
          </w:tcPr>
          <w:p w:rsidR="00ED3499" w:rsidRDefault="00ED3499" w:rsidP="00D23F29">
            <w:pPr>
              <w:pStyle w:val="TableBodyText"/>
            </w:pPr>
            <w:r>
              <w:t>12.0</w:t>
            </w:r>
          </w:p>
        </w:tc>
        <w:tc>
          <w:tcPr>
            <w:tcW w:w="1014" w:type="dxa"/>
            <w:vAlign w:val="bottom"/>
          </w:tcPr>
          <w:p w:rsidR="00ED3499" w:rsidRDefault="00ED3499" w:rsidP="00D23F29">
            <w:pPr>
              <w:pStyle w:val="TableBodyText"/>
            </w:pPr>
            <w:r>
              <w:t>5.1</w:t>
            </w:r>
          </w:p>
        </w:tc>
      </w:tr>
      <w:tr w:rsidR="00ED3499" w:rsidTr="0018357B">
        <w:tc>
          <w:tcPr>
            <w:tcW w:w="2244" w:type="dxa"/>
            <w:vAlign w:val="bottom"/>
          </w:tcPr>
          <w:p w:rsidR="00ED3499" w:rsidRDefault="00ED3499" w:rsidP="00D23F29">
            <w:pPr>
              <w:pStyle w:val="TableBodyText"/>
              <w:jc w:val="left"/>
            </w:pPr>
            <w:r>
              <w:t>Manufacturing</w:t>
            </w:r>
          </w:p>
        </w:tc>
        <w:tc>
          <w:tcPr>
            <w:tcW w:w="974" w:type="dxa"/>
            <w:vAlign w:val="bottom"/>
          </w:tcPr>
          <w:p w:rsidR="00ED3499" w:rsidRDefault="00ED3499" w:rsidP="00D23F29">
            <w:pPr>
              <w:pStyle w:val="TableBodyText"/>
            </w:pPr>
            <w:r>
              <w:t>3.1</w:t>
            </w:r>
          </w:p>
        </w:tc>
        <w:tc>
          <w:tcPr>
            <w:tcW w:w="849" w:type="dxa"/>
            <w:vAlign w:val="bottom"/>
          </w:tcPr>
          <w:p w:rsidR="00ED3499" w:rsidRDefault="00ED3499" w:rsidP="00D23F29">
            <w:pPr>
              <w:pStyle w:val="TableBodyText"/>
            </w:pPr>
            <w:r>
              <w:t>3.2</w:t>
            </w:r>
          </w:p>
        </w:tc>
        <w:tc>
          <w:tcPr>
            <w:tcW w:w="1078" w:type="dxa"/>
            <w:vAlign w:val="bottom"/>
          </w:tcPr>
          <w:p w:rsidR="00ED3499" w:rsidRDefault="00ED3499" w:rsidP="00D23F29">
            <w:pPr>
              <w:pStyle w:val="TableBodyText"/>
            </w:pPr>
            <w:r>
              <w:t>0.1</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19.0</w:t>
            </w:r>
          </w:p>
        </w:tc>
        <w:tc>
          <w:tcPr>
            <w:tcW w:w="1127" w:type="dxa"/>
            <w:vAlign w:val="bottom"/>
          </w:tcPr>
          <w:p w:rsidR="00ED3499" w:rsidRDefault="00ED3499" w:rsidP="00D23F29">
            <w:pPr>
              <w:pStyle w:val="TableBodyText"/>
            </w:pPr>
            <w:r>
              <w:t>13.6</w:t>
            </w:r>
          </w:p>
        </w:tc>
        <w:tc>
          <w:tcPr>
            <w:tcW w:w="1014" w:type="dxa"/>
            <w:vAlign w:val="bottom"/>
          </w:tcPr>
          <w:p w:rsidR="00ED3499" w:rsidRDefault="00ED3499" w:rsidP="00D23F29">
            <w:pPr>
              <w:pStyle w:val="TableBodyText"/>
            </w:pPr>
            <w:r>
              <w:t>-5.5</w:t>
            </w:r>
          </w:p>
        </w:tc>
      </w:tr>
      <w:tr w:rsidR="00ED3499" w:rsidTr="0018357B">
        <w:tc>
          <w:tcPr>
            <w:tcW w:w="2244" w:type="dxa"/>
            <w:vAlign w:val="bottom"/>
          </w:tcPr>
          <w:p w:rsidR="00ED3499" w:rsidRDefault="00272B2B" w:rsidP="00D23F29">
            <w:pPr>
              <w:pStyle w:val="TableBodyText"/>
              <w:jc w:val="left"/>
            </w:pPr>
            <w:proofErr w:type="spellStart"/>
            <w:r>
              <w:t>Utiliies</w:t>
            </w:r>
            <w:proofErr w:type="spellEnd"/>
          </w:p>
        </w:tc>
        <w:tc>
          <w:tcPr>
            <w:tcW w:w="974" w:type="dxa"/>
            <w:vAlign w:val="bottom"/>
          </w:tcPr>
          <w:p w:rsidR="00ED3499" w:rsidRDefault="00ED3499" w:rsidP="00D23F29">
            <w:pPr>
              <w:pStyle w:val="TableBodyText"/>
            </w:pPr>
            <w:r>
              <w:t>1.0</w:t>
            </w:r>
          </w:p>
        </w:tc>
        <w:tc>
          <w:tcPr>
            <w:tcW w:w="849" w:type="dxa"/>
            <w:vAlign w:val="bottom"/>
          </w:tcPr>
          <w:p w:rsidR="00ED3499" w:rsidRDefault="00ED3499" w:rsidP="00D23F29">
            <w:pPr>
              <w:pStyle w:val="TableBodyText"/>
            </w:pPr>
            <w:r>
              <w:t>6.0</w:t>
            </w:r>
          </w:p>
        </w:tc>
        <w:tc>
          <w:tcPr>
            <w:tcW w:w="1078" w:type="dxa"/>
            <w:vAlign w:val="bottom"/>
          </w:tcPr>
          <w:p w:rsidR="00ED3499" w:rsidRDefault="00ED3499" w:rsidP="00D23F29">
            <w:pPr>
              <w:pStyle w:val="TableBodyText"/>
            </w:pPr>
            <w:r>
              <w:t>5.0</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4.0</w:t>
            </w:r>
          </w:p>
        </w:tc>
        <w:tc>
          <w:tcPr>
            <w:tcW w:w="1127" w:type="dxa"/>
            <w:vAlign w:val="bottom"/>
          </w:tcPr>
          <w:p w:rsidR="00ED3499" w:rsidRDefault="00ED3499" w:rsidP="00D23F29">
            <w:pPr>
              <w:pStyle w:val="TableBodyText"/>
            </w:pPr>
            <w:r>
              <w:t>3.7</w:t>
            </w:r>
          </w:p>
        </w:tc>
        <w:tc>
          <w:tcPr>
            <w:tcW w:w="1014" w:type="dxa"/>
            <w:vAlign w:val="bottom"/>
          </w:tcPr>
          <w:p w:rsidR="00ED3499" w:rsidRDefault="00ED3499" w:rsidP="00D23F29">
            <w:pPr>
              <w:pStyle w:val="TableBodyText"/>
            </w:pPr>
            <w:r>
              <w:t>-0.2</w:t>
            </w:r>
          </w:p>
        </w:tc>
      </w:tr>
      <w:tr w:rsidR="00ED3499" w:rsidTr="0018357B">
        <w:tc>
          <w:tcPr>
            <w:tcW w:w="2244" w:type="dxa"/>
            <w:vAlign w:val="bottom"/>
          </w:tcPr>
          <w:p w:rsidR="00ED3499" w:rsidRDefault="00ED3499" w:rsidP="00D23F29">
            <w:pPr>
              <w:pStyle w:val="TableBodyText"/>
              <w:jc w:val="left"/>
            </w:pPr>
            <w:r>
              <w:t>Construction</w:t>
            </w:r>
          </w:p>
        </w:tc>
        <w:tc>
          <w:tcPr>
            <w:tcW w:w="974" w:type="dxa"/>
            <w:vAlign w:val="bottom"/>
          </w:tcPr>
          <w:p w:rsidR="00ED3499" w:rsidRDefault="00ED3499" w:rsidP="00D23F29">
            <w:pPr>
              <w:pStyle w:val="TableBodyText"/>
            </w:pPr>
            <w:r>
              <w:t>4.0</w:t>
            </w:r>
          </w:p>
        </w:tc>
        <w:tc>
          <w:tcPr>
            <w:tcW w:w="849" w:type="dxa"/>
            <w:vAlign w:val="bottom"/>
          </w:tcPr>
          <w:p w:rsidR="00ED3499" w:rsidRDefault="00ED3499" w:rsidP="00D23F29">
            <w:pPr>
              <w:pStyle w:val="TableBodyText"/>
            </w:pPr>
            <w:r>
              <w:t>8.4</w:t>
            </w:r>
          </w:p>
        </w:tc>
        <w:tc>
          <w:tcPr>
            <w:tcW w:w="1078" w:type="dxa"/>
            <w:vAlign w:val="bottom"/>
          </w:tcPr>
          <w:p w:rsidR="00ED3499" w:rsidRDefault="00ED3499" w:rsidP="00D23F29">
            <w:pPr>
              <w:pStyle w:val="TableBodyText"/>
            </w:pPr>
            <w:r>
              <w:t>4.4</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10.1</w:t>
            </w:r>
          </w:p>
        </w:tc>
        <w:tc>
          <w:tcPr>
            <w:tcW w:w="1127" w:type="dxa"/>
            <w:vAlign w:val="bottom"/>
          </w:tcPr>
          <w:p w:rsidR="00ED3499" w:rsidRDefault="00ED3499" w:rsidP="00D23F29">
            <w:pPr>
              <w:pStyle w:val="TableBodyText"/>
            </w:pPr>
            <w:r>
              <w:t>12.2</w:t>
            </w:r>
          </w:p>
        </w:tc>
        <w:tc>
          <w:tcPr>
            <w:tcW w:w="1014" w:type="dxa"/>
            <w:vAlign w:val="bottom"/>
          </w:tcPr>
          <w:p w:rsidR="00ED3499" w:rsidRDefault="00ED3499" w:rsidP="00D23F29">
            <w:pPr>
              <w:pStyle w:val="TableBodyText"/>
            </w:pPr>
            <w:r>
              <w:t>2.0</w:t>
            </w:r>
          </w:p>
        </w:tc>
      </w:tr>
      <w:tr w:rsidR="00ED3499" w:rsidTr="0018357B">
        <w:tc>
          <w:tcPr>
            <w:tcW w:w="2244" w:type="dxa"/>
            <w:vAlign w:val="bottom"/>
          </w:tcPr>
          <w:p w:rsidR="00ED3499" w:rsidRDefault="00ED3499" w:rsidP="00D23F29">
            <w:pPr>
              <w:pStyle w:val="TableBodyText"/>
              <w:jc w:val="left"/>
            </w:pPr>
            <w:r>
              <w:t>Wholesale</w:t>
            </w:r>
          </w:p>
        </w:tc>
        <w:tc>
          <w:tcPr>
            <w:tcW w:w="974" w:type="dxa"/>
            <w:vAlign w:val="bottom"/>
          </w:tcPr>
          <w:p w:rsidR="00ED3499" w:rsidRDefault="00ED3499" w:rsidP="00D23F29">
            <w:pPr>
              <w:pStyle w:val="TableBodyText"/>
            </w:pPr>
            <w:r>
              <w:t>4.5</w:t>
            </w:r>
          </w:p>
        </w:tc>
        <w:tc>
          <w:tcPr>
            <w:tcW w:w="849" w:type="dxa"/>
            <w:vAlign w:val="bottom"/>
          </w:tcPr>
          <w:p w:rsidR="00ED3499" w:rsidRDefault="00ED3499" w:rsidP="00D23F29">
            <w:pPr>
              <w:pStyle w:val="TableBodyText"/>
            </w:pPr>
            <w:r>
              <w:t>5.7</w:t>
            </w:r>
          </w:p>
        </w:tc>
        <w:tc>
          <w:tcPr>
            <w:tcW w:w="1078" w:type="dxa"/>
            <w:vAlign w:val="bottom"/>
          </w:tcPr>
          <w:p w:rsidR="00ED3499" w:rsidRDefault="00ED3499" w:rsidP="00D23F29">
            <w:pPr>
              <w:pStyle w:val="TableBodyText"/>
            </w:pPr>
            <w:r>
              <w:t>1.2</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7.7</w:t>
            </w:r>
          </w:p>
        </w:tc>
        <w:tc>
          <w:tcPr>
            <w:tcW w:w="1127" w:type="dxa"/>
            <w:vAlign w:val="bottom"/>
          </w:tcPr>
          <w:p w:rsidR="00ED3499" w:rsidRDefault="00ED3499" w:rsidP="00D23F29">
            <w:pPr>
              <w:pStyle w:val="TableBodyText"/>
            </w:pPr>
            <w:r>
              <w:t>7.0</w:t>
            </w:r>
          </w:p>
        </w:tc>
        <w:tc>
          <w:tcPr>
            <w:tcW w:w="1014" w:type="dxa"/>
            <w:vAlign w:val="bottom"/>
          </w:tcPr>
          <w:p w:rsidR="00ED3499" w:rsidRDefault="00ED3499" w:rsidP="00D23F29">
            <w:pPr>
              <w:pStyle w:val="TableBodyText"/>
            </w:pPr>
            <w:r>
              <w:t>-0.7</w:t>
            </w:r>
          </w:p>
        </w:tc>
      </w:tr>
      <w:tr w:rsidR="00ED3499" w:rsidTr="0018357B">
        <w:tc>
          <w:tcPr>
            <w:tcW w:w="2244" w:type="dxa"/>
            <w:vAlign w:val="bottom"/>
          </w:tcPr>
          <w:p w:rsidR="00ED3499" w:rsidRDefault="00ED3499" w:rsidP="00D23F29">
            <w:pPr>
              <w:pStyle w:val="TableBodyText"/>
              <w:jc w:val="left"/>
            </w:pPr>
            <w:r>
              <w:t>Retail</w:t>
            </w:r>
          </w:p>
        </w:tc>
        <w:tc>
          <w:tcPr>
            <w:tcW w:w="974" w:type="dxa"/>
            <w:vAlign w:val="bottom"/>
          </w:tcPr>
          <w:p w:rsidR="00ED3499" w:rsidRDefault="00ED3499" w:rsidP="00D23F29">
            <w:pPr>
              <w:pStyle w:val="TableBodyText"/>
            </w:pPr>
            <w:r>
              <w:t>5.1</w:t>
            </w:r>
          </w:p>
        </w:tc>
        <w:tc>
          <w:tcPr>
            <w:tcW w:w="849" w:type="dxa"/>
            <w:vAlign w:val="bottom"/>
          </w:tcPr>
          <w:p w:rsidR="00ED3499" w:rsidRDefault="00ED3499" w:rsidP="00D23F29">
            <w:pPr>
              <w:pStyle w:val="TableBodyText"/>
            </w:pPr>
            <w:r>
              <w:t>5.8</w:t>
            </w:r>
          </w:p>
        </w:tc>
        <w:tc>
          <w:tcPr>
            <w:tcW w:w="1078" w:type="dxa"/>
            <w:vAlign w:val="bottom"/>
          </w:tcPr>
          <w:p w:rsidR="00ED3499" w:rsidRDefault="00ED3499" w:rsidP="00D23F29">
            <w:pPr>
              <w:pStyle w:val="TableBodyText"/>
            </w:pPr>
            <w:r>
              <w:t>0.7</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7.9</w:t>
            </w:r>
          </w:p>
        </w:tc>
        <w:tc>
          <w:tcPr>
            <w:tcW w:w="1127" w:type="dxa"/>
            <w:vAlign w:val="bottom"/>
          </w:tcPr>
          <w:p w:rsidR="00ED3499" w:rsidRDefault="00ED3499" w:rsidP="00D23F29">
            <w:pPr>
              <w:pStyle w:val="TableBodyText"/>
            </w:pPr>
            <w:r>
              <w:t>7.3</w:t>
            </w:r>
          </w:p>
        </w:tc>
        <w:tc>
          <w:tcPr>
            <w:tcW w:w="1014" w:type="dxa"/>
            <w:vAlign w:val="bottom"/>
          </w:tcPr>
          <w:p w:rsidR="00ED3499" w:rsidRDefault="00ED3499" w:rsidP="00D23F29">
            <w:pPr>
              <w:pStyle w:val="TableBodyText"/>
            </w:pPr>
            <w:r>
              <w:t>-0.6</w:t>
            </w:r>
          </w:p>
        </w:tc>
      </w:tr>
      <w:tr w:rsidR="00ED3499" w:rsidTr="0018357B">
        <w:tc>
          <w:tcPr>
            <w:tcW w:w="2244" w:type="dxa"/>
            <w:vAlign w:val="bottom"/>
          </w:tcPr>
          <w:p w:rsidR="00ED3499" w:rsidRDefault="00ED3499" w:rsidP="00D23F29">
            <w:pPr>
              <w:pStyle w:val="TableBodyText"/>
              <w:jc w:val="left"/>
            </w:pPr>
            <w:r>
              <w:t>Accommodation</w:t>
            </w:r>
          </w:p>
        </w:tc>
        <w:tc>
          <w:tcPr>
            <w:tcW w:w="974" w:type="dxa"/>
            <w:vAlign w:val="bottom"/>
          </w:tcPr>
          <w:p w:rsidR="00ED3499" w:rsidRDefault="00ED3499" w:rsidP="00D23F29">
            <w:pPr>
              <w:pStyle w:val="TableBodyText"/>
            </w:pPr>
            <w:r>
              <w:t>7.3</w:t>
            </w:r>
          </w:p>
        </w:tc>
        <w:tc>
          <w:tcPr>
            <w:tcW w:w="849" w:type="dxa"/>
            <w:vAlign w:val="bottom"/>
          </w:tcPr>
          <w:p w:rsidR="00ED3499" w:rsidRDefault="00ED3499" w:rsidP="00D23F29">
            <w:pPr>
              <w:pStyle w:val="TableBodyText"/>
            </w:pPr>
            <w:r>
              <w:t>5.7</w:t>
            </w:r>
          </w:p>
        </w:tc>
        <w:tc>
          <w:tcPr>
            <w:tcW w:w="1078" w:type="dxa"/>
            <w:vAlign w:val="bottom"/>
          </w:tcPr>
          <w:p w:rsidR="00ED3499" w:rsidRDefault="00ED3499" w:rsidP="00D23F29">
            <w:pPr>
              <w:pStyle w:val="TableBodyText"/>
            </w:pPr>
            <w:r>
              <w:t>-1.7</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4.2</w:t>
            </w:r>
          </w:p>
        </w:tc>
        <w:tc>
          <w:tcPr>
            <w:tcW w:w="1127" w:type="dxa"/>
            <w:vAlign w:val="bottom"/>
          </w:tcPr>
          <w:p w:rsidR="00ED3499" w:rsidRDefault="00ED3499" w:rsidP="00D23F29">
            <w:pPr>
              <w:pStyle w:val="TableBodyText"/>
            </w:pPr>
            <w:r>
              <w:t>3.8</w:t>
            </w:r>
          </w:p>
        </w:tc>
        <w:tc>
          <w:tcPr>
            <w:tcW w:w="1014" w:type="dxa"/>
            <w:vAlign w:val="bottom"/>
          </w:tcPr>
          <w:p w:rsidR="00ED3499" w:rsidRDefault="00ED3499" w:rsidP="00D23F29">
            <w:pPr>
              <w:pStyle w:val="TableBodyText"/>
            </w:pPr>
            <w:r>
              <w:t>-0.4</w:t>
            </w:r>
          </w:p>
        </w:tc>
      </w:tr>
      <w:tr w:rsidR="00ED3499" w:rsidTr="0018357B">
        <w:tc>
          <w:tcPr>
            <w:tcW w:w="2244" w:type="dxa"/>
            <w:vAlign w:val="bottom"/>
          </w:tcPr>
          <w:p w:rsidR="00ED3499" w:rsidRDefault="00ED3499" w:rsidP="00D23F29">
            <w:pPr>
              <w:pStyle w:val="TableBodyText"/>
              <w:jc w:val="left"/>
            </w:pPr>
            <w:r>
              <w:t>Transport</w:t>
            </w:r>
          </w:p>
        </w:tc>
        <w:tc>
          <w:tcPr>
            <w:tcW w:w="974" w:type="dxa"/>
            <w:vAlign w:val="bottom"/>
          </w:tcPr>
          <w:p w:rsidR="00ED3499" w:rsidRDefault="00ED3499" w:rsidP="00D23F29">
            <w:pPr>
              <w:pStyle w:val="TableBodyText"/>
            </w:pPr>
            <w:r>
              <w:t>4.3</w:t>
            </w:r>
          </w:p>
        </w:tc>
        <w:tc>
          <w:tcPr>
            <w:tcW w:w="849" w:type="dxa"/>
            <w:vAlign w:val="bottom"/>
          </w:tcPr>
          <w:p w:rsidR="00ED3499" w:rsidRDefault="00ED3499" w:rsidP="00D23F29">
            <w:pPr>
              <w:pStyle w:val="TableBodyText"/>
            </w:pPr>
            <w:r>
              <w:t>6.7</w:t>
            </w:r>
          </w:p>
        </w:tc>
        <w:tc>
          <w:tcPr>
            <w:tcW w:w="1078" w:type="dxa"/>
            <w:vAlign w:val="bottom"/>
          </w:tcPr>
          <w:p w:rsidR="00ED3499" w:rsidRDefault="00ED3499" w:rsidP="00D23F29">
            <w:pPr>
              <w:pStyle w:val="TableBodyText"/>
            </w:pPr>
            <w:r>
              <w:t>2.4</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7.9</w:t>
            </w:r>
          </w:p>
        </w:tc>
        <w:tc>
          <w:tcPr>
            <w:tcW w:w="1127" w:type="dxa"/>
            <w:vAlign w:val="bottom"/>
          </w:tcPr>
          <w:p w:rsidR="00ED3499" w:rsidRDefault="00ED3499" w:rsidP="00D23F29">
            <w:pPr>
              <w:pStyle w:val="TableBodyText"/>
            </w:pPr>
            <w:r>
              <w:t>8.0</w:t>
            </w:r>
          </w:p>
        </w:tc>
        <w:tc>
          <w:tcPr>
            <w:tcW w:w="1014" w:type="dxa"/>
            <w:vAlign w:val="bottom"/>
          </w:tcPr>
          <w:p w:rsidR="00ED3499" w:rsidRDefault="00ED3499" w:rsidP="00D23F29">
            <w:pPr>
              <w:pStyle w:val="TableBodyText"/>
            </w:pPr>
            <w:r>
              <w:t>0.1</w:t>
            </w:r>
          </w:p>
        </w:tc>
      </w:tr>
      <w:tr w:rsidR="00ED3499" w:rsidTr="0018357B">
        <w:tc>
          <w:tcPr>
            <w:tcW w:w="2244" w:type="dxa"/>
            <w:vAlign w:val="bottom"/>
          </w:tcPr>
          <w:p w:rsidR="00ED3499" w:rsidRDefault="00ED3499" w:rsidP="00D23F29">
            <w:pPr>
              <w:pStyle w:val="TableBodyText"/>
              <w:jc w:val="left"/>
            </w:pPr>
            <w:r>
              <w:t>Telecoms</w:t>
            </w:r>
          </w:p>
        </w:tc>
        <w:tc>
          <w:tcPr>
            <w:tcW w:w="974" w:type="dxa"/>
            <w:vAlign w:val="bottom"/>
          </w:tcPr>
          <w:p w:rsidR="00ED3499" w:rsidRDefault="00ED3499" w:rsidP="00D23F29">
            <w:pPr>
              <w:pStyle w:val="TableBodyText"/>
            </w:pPr>
            <w:r>
              <w:t>6.6</w:t>
            </w:r>
          </w:p>
        </w:tc>
        <w:tc>
          <w:tcPr>
            <w:tcW w:w="849" w:type="dxa"/>
            <w:vAlign w:val="bottom"/>
          </w:tcPr>
          <w:p w:rsidR="00ED3499" w:rsidRDefault="00ED3499" w:rsidP="00D23F29">
            <w:pPr>
              <w:pStyle w:val="TableBodyText"/>
            </w:pPr>
            <w:r>
              <w:t>5.0</w:t>
            </w:r>
          </w:p>
        </w:tc>
        <w:tc>
          <w:tcPr>
            <w:tcW w:w="1078" w:type="dxa"/>
            <w:vAlign w:val="bottom"/>
          </w:tcPr>
          <w:p w:rsidR="00ED3499" w:rsidRDefault="00ED3499" w:rsidP="00D23F29">
            <w:pPr>
              <w:pStyle w:val="TableBodyText"/>
            </w:pPr>
            <w:r>
              <w:t>-1.6</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6.1</w:t>
            </w:r>
          </w:p>
        </w:tc>
        <w:tc>
          <w:tcPr>
            <w:tcW w:w="1127" w:type="dxa"/>
            <w:vAlign w:val="bottom"/>
          </w:tcPr>
          <w:p w:rsidR="00ED3499" w:rsidRDefault="00ED3499" w:rsidP="00D23F29">
            <w:pPr>
              <w:pStyle w:val="TableBodyText"/>
            </w:pPr>
            <w:r>
              <w:t>5.2</w:t>
            </w:r>
          </w:p>
        </w:tc>
        <w:tc>
          <w:tcPr>
            <w:tcW w:w="1014" w:type="dxa"/>
            <w:vAlign w:val="bottom"/>
          </w:tcPr>
          <w:p w:rsidR="00ED3499" w:rsidRDefault="00ED3499" w:rsidP="00D23F29">
            <w:pPr>
              <w:pStyle w:val="TableBodyText"/>
            </w:pPr>
            <w:r>
              <w:t>-0.9</w:t>
            </w:r>
          </w:p>
        </w:tc>
      </w:tr>
      <w:tr w:rsidR="00ED3499" w:rsidTr="0018357B">
        <w:tc>
          <w:tcPr>
            <w:tcW w:w="2244" w:type="dxa"/>
            <w:vAlign w:val="bottom"/>
          </w:tcPr>
          <w:p w:rsidR="00ED3499" w:rsidRDefault="00ED3499" w:rsidP="00D23F29">
            <w:pPr>
              <w:pStyle w:val="TableBodyText"/>
              <w:jc w:val="left"/>
            </w:pPr>
            <w:r>
              <w:t>Financ</w:t>
            </w:r>
            <w:r w:rsidR="006F19BD">
              <w:t>e</w:t>
            </w:r>
          </w:p>
        </w:tc>
        <w:tc>
          <w:tcPr>
            <w:tcW w:w="974" w:type="dxa"/>
            <w:vAlign w:val="bottom"/>
          </w:tcPr>
          <w:p w:rsidR="00ED3499" w:rsidRDefault="00ED3499" w:rsidP="00D23F29">
            <w:pPr>
              <w:pStyle w:val="TableBodyText"/>
            </w:pPr>
            <w:r>
              <w:t>8.7</w:t>
            </w:r>
          </w:p>
        </w:tc>
        <w:tc>
          <w:tcPr>
            <w:tcW w:w="849" w:type="dxa"/>
            <w:vAlign w:val="bottom"/>
          </w:tcPr>
          <w:p w:rsidR="00ED3499" w:rsidRDefault="00ED3499" w:rsidP="00D23F29">
            <w:pPr>
              <w:pStyle w:val="TableBodyText"/>
            </w:pPr>
            <w:r>
              <w:t>8.1</w:t>
            </w:r>
          </w:p>
        </w:tc>
        <w:tc>
          <w:tcPr>
            <w:tcW w:w="1078" w:type="dxa"/>
            <w:vAlign w:val="bottom"/>
          </w:tcPr>
          <w:p w:rsidR="00ED3499" w:rsidRDefault="00ED3499" w:rsidP="00D23F29">
            <w:pPr>
              <w:pStyle w:val="TableBodyText"/>
            </w:pPr>
            <w:r>
              <w:t>-0.6</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13.3</w:t>
            </w:r>
          </w:p>
        </w:tc>
        <w:tc>
          <w:tcPr>
            <w:tcW w:w="1127" w:type="dxa"/>
            <w:vAlign w:val="bottom"/>
          </w:tcPr>
          <w:p w:rsidR="00ED3499" w:rsidRDefault="00ED3499" w:rsidP="00D23F29">
            <w:pPr>
              <w:pStyle w:val="TableBodyText"/>
            </w:pPr>
            <w:r>
              <w:t>15.5</w:t>
            </w:r>
          </w:p>
        </w:tc>
        <w:tc>
          <w:tcPr>
            <w:tcW w:w="1014" w:type="dxa"/>
            <w:vAlign w:val="bottom"/>
          </w:tcPr>
          <w:p w:rsidR="00ED3499" w:rsidRDefault="00ED3499" w:rsidP="00D23F29">
            <w:pPr>
              <w:pStyle w:val="TableBodyText"/>
            </w:pPr>
            <w:r>
              <w:t>2.3</w:t>
            </w:r>
          </w:p>
        </w:tc>
      </w:tr>
      <w:tr w:rsidR="00ED3499" w:rsidTr="0018357B">
        <w:tc>
          <w:tcPr>
            <w:tcW w:w="2244" w:type="dxa"/>
            <w:vAlign w:val="bottom"/>
          </w:tcPr>
          <w:p w:rsidR="00ED3499" w:rsidRDefault="00ED3499" w:rsidP="00D23F29">
            <w:pPr>
              <w:pStyle w:val="TableBodyText"/>
              <w:jc w:val="left"/>
            </w:pPr>
            <w:r>
              <w:t>Arts &amp; rec</w:t>
            </w:r>
          </w:p>
        </w:tc>
        <w:tc>
          <w:tcPr>
            <w:tcW w:w="974" w:type="dxa"/>
            <w:vAlign w:val="bottom"/>
          </w:tcPr>
          <w:p w:rsidR="00ED3499" w:rsidRDefault="00ED3499" w:rsidP="00D23F29">
            <w:pPr>
              <w:pStyle w:val="TableBodyText"/>
            </w:pPr>
            <w:r>
              <w:t>4.8</w:t>
            </w:r>
          </w:p>
        </w:tc>
        <w:tc>
          <w:tcPr>
            <w:tcW w:w="849" w:type="dxa"/>
            <w:vAlign w:val="bottom"/>
          </w:tcPr>
          <w:p w:rsidR="00ED3499" w:rsidRDefault="00ED3499" w:rsidP="00D23F29">
            <w:pPr>
              <w:pStyle w:val="TableBodyText"/>
            </w:pPr>
            <w:r>
              <w:t>6.7</w:t>
            </w:r>
          </w:p>
        </w:tc>
        <w:tc>
          <w:tcPr>
            <w:tcW w:w="1078" w:type="dxa"/>
            <w:vAlign w:val="bottom"/>
          </w:tcPr>
          <w:p w:rsidR="00ED3499" w:rsidRDefault="00ED3499" w:rsidP="00D23F29">
            <w:pPr>
              <w:pStyle w:val="TableBodyText"/>
            </w:pPr>
            <w:r>
              <w:t>1.9</w:t>
            </w:r>
          </w:p>
        </w:tc>
        <w:tc>
          <w:tcPr>
            <w:tcW w:w="376" w:type="dxa"/>
          </w:tcPr>
          <w:p w:rsidR="00ED3499" w:rsidRDefault="00ED3499" w:rsidP="00D23F29">
            <w:pPr>
              <w:pStyle w:val="TableBodyText"/>
            </w:pPr>
          </w:p>
        </w:tc>
        <w:tc>
          <w:tcPr>
            <w:tcW w:w="1127" w:type="dxa"/>
            <w:vAlign w:val="bottom"/>
          </w:tcPr>
          <w:p w:rsidR="00ED3499" w:rsidRDefault="00ED3499" w:rsidP="00D23F29">
            <w:pPr>
              <w:pStyle w:val="TableBodyText"/>
            </w:pPr>
            <w:r>
              <w:t>8.0</w:t>
            </w:r>
          </w:p>
        </w:tc>
        <w:tc>
          <w:tcPr>
            <w:tcW w:w="1127" w:type="dxa"/>
            <w:vAlign w:val="bottom"/>
          </w:tcPr>
          <w:p w:rsidR="00ED3499" w:rsidRDefault="00ED3499" w:rsidP="00D23F29">
            <w:pPr>
              <w:pStyle w:val="TableBodyText"/>
            </w:pPr>
            <w:r>
              <w:t>8.1</w:t>
            </w:r>
          </w:p>
        </w:tc>
        <w:tc>
          <w:tcPr>
            <w:tcW w:w="1014" w:type="dxa"/>
            <w:vAlign w:val="bottom"/>
          </w:tcPr>
          <w:p w:rsidR="00ED3499" w:rsidRDefault="00ED3499" w:rsidP="00D23F29">
            <w:pPr>
              <w:pStyle w:val="TableBodyText"/>
            </w:pPr>
            <w:r>
              <w:t>0.1</w:t>
            </w:r>
          </w:p>
        </w:tc>
      </w:tr>
      <w:tr w:rsidR="00ED3499" w:rsidTr="0018357B">
        <w:tc>
          <w:tcPr>
            <w:tcW w:w="2244" w:type="dxa"/>
            <w:tcBorders>
              <w:bottom w:val="single" w:sz="4" w:space="0" w:color="auto"/>
            </w:tcBorders>
            <w:vAlign w:val="bottom"/>
          </w:tcPr>
          <w:p w:rsidR="00ED3499" w:rsidRDefault="00ED3499" w:rsidP="00D23F29">
            <w:pPr>
              <w:pStyle w:val="TableBodyText"/>
              <w:jc w:val="left"/>
            </w:pPr>
            <w:r>
              <w:t>Market sector 12</w:t>
            </w:r>
          </w:p>
        </w:tc>
        <w:tc>
          <w:tcPr>
            <w:tcW w:w="974" w:type="dxa"/>
            <w:tcBorders>
              <w:bottom w:val="single" w:sz="4" w:space="0" w:color="auto"/>
            </w:tcBorders>
            <w:vAlign w:val="bottom"/>
          </w:tcPr>
          <w:p w:rsidR="00ED3499" w:rsidRDefault="00ED3499" w:rsidP="00D23F29">
            <w:pPr>
              <w:pStyle w:val="TableBodyText"/>
            </w:pPr>
            <w:r>
              <w:t>4.5</w:t>
            </w:r>
          </w:p>
        </w:tc>
        <w:tc>
          <w:tcPr>
            <w:tcW w:w="849" w:type="dxa"/>
            <w:tcBorders>
              <w:bottom w:val="single" w:sz="4" w:space="0" w:color="auto"/>
            </w:tcBorders>
            <w:vAlign w:val="bottom"/>
          </w:tcPr>
          <w:p w:rsidR="00ED3499" w:rsidRDefault="00ED3499" w:rsidP="00D23F29">
            <w:pPr>
              <w:pStyle w:val="TableBodyText"/>
            </w:pPr>
            <w:r>
              <w:t>6.6</w:t>
            </w:r>
          </w:p>
        </w:tc>
        <w:tc>
          <w:tcPr>
            <w:tcW w:w="1078" w:type="dxa"/>
            <w:tcBorders>
              <w:bottom w:val="single" w:sz="4" w:space="0" w:color="auto"/>
            </w:tcBorders>
            <w:vAlign w:val="bottom"/>
          </w:tcPr>
          <w:p w:rsidR="00ED3499" w:rsidRDefault="00ED3499" w:rsidP="00D23F29">
            <w:pPr>
              <w:pStyle w:val="TableBodyText"/>
            </w:pPr>
            <w:r>
              <w:t>2.0</w:t>
            </w:r>
          </w:p>
        </w:tc>
        <w:tc>
          <w:tcPr>
            <w:tcW w:w="376" w:type="dxa"/>
            <w:tcBorders>
              <w:bottom w:val="single" w:sz="4" w:space="0" w:color="auto"/>
            </w:tcBorders>
          </w:tcPr>
          <w:p w:rsidR="00ED3499" w:rsidRDefault="00ED3499" w:rsidP="00D23F29">
            <w:pPr>
              <w:pStyle w:val="TableBodyText"/>
            </w:pPr>
          </w:p>
        </w:tc>
        <w:tc>
          <w:tcPr>
            <w:tcW w:w="1127" w:type="dxa"/>
            <w:tcBorders>
              <w:bottom w:val="single" w:sz="4" w:space="0" w:color="auto"/>
            </w:tcBorders>
            <w:vAlign w:val="bottom"/>
          </w:tcPr>
          <w:p w:rsidR="00ED3499" w:rsidRDefault="00ED3499" w:rsidP="00D23F29">
            <w:pPr>
              <w:pStyle w:val="TableBodyText"/>
            </w:pPr>
            <w:r>
              <w:t>100.0</w:t>
            </w:r>
          </w:p>
        </w:tc>
        <w:tc>
          <w:tcPr>
            <w:tcW w:w="1127" w:type="dxa"/>
            <w:tcBorders>
              <w:bottom w:val="single" w:sz="4" w:space="0" w:color="auto"/>
            </w:tcBorders>
            <w:vAlign w:val="bottom"/>
          </w:tcPr>
          <w:p w:rsidR="00ED3499" w:rsidRDefault="00ED3499" w:rsidP="00D23F29">
            <w:pPr>
              <w:pStyle w:val="TableBodyText"/>
            </w:pPr>
            <w:r>
              <w:t>100.0</w:t>
            </w:r>
          </w:p>
        </w:tc>
        <w:tc>
          <w:tcPr>
            <w:tcW w:w="1014" w:type="dxa"/>
            <w:tcBorders>
              <w:bottom w:val="single" w:sz="4" w:space="0" w:color="auto"/>
            </w:tcBorders>
            <w:vAlign w:val="bottom"/>
          </w:tcPr>
          <w:p w:rsidR="00ED3499" w:rsidRDefault="00ED3499" w:rsidP="00D23F29">
            <w:pPr>
              <w:pStyle w:val="TableBodyText"/>
            </w:pPr>
          </w:p>
        </w:tc>
      </w:tr>
    </w:tbl>
    <w:p w:rsidR="00ED3499" w:rsidRPr="008E77FE" w:rsidRDefault="00D23F29" w:rsidP="00ED3499">
      <w:pPr>
        <w:pStyle w:val="Source"/>
      </w:pPr>
      <w:r>
        <w:rPr>
          <w:i/>
        </w:rPr>
        <w:t>Source</w:t>
      </w:r>
      <w:r w:rsidR="00ED3499">
        <w:t xml:space="preserve">: </w:t>
      </w:r>
      <w:r w:rsidR="007D1699">
        <w:t>Author’s estimates based on ABS national accounts</w:t>
      </w:r>
      <w:r w:rsidR="00272B2B">
        <w:t>.</w:t>
      </w:r>
    </w:p>
    <w:p w:rsidR="00DF3BDA" w:rsidRDefault="00DF3BDA" w:rsidP="00DF3BDA">
      <w:pPr>
        <w:pStyle w:val="Heading3"/>
      </w:pPr>
      <w:r>
        <w:t>Industry contributions to growth in total income</w:t>
      </w:r>
    </w:p>
    <w:p w:rsidR="00DF3BDA" w:rsidRDefault="00DF3BDA" w:rsidP="00DF3BDA">
      <w:pPr>
        <w:pStyle w:val="BodyText"/>
      </w:pPr>
      <w:r>
        <w:t>The industry sources of growth in market sector income can be tracked through ‘industry contributions’. An industry’s contribution is the growth in income generated in the industry, weighted by the industry’s share in market</w:t>
      </w:r>
      <w:r w:rsidR="00272B2B">
        <w:t xml:space="preserve"> </w:t>
      </w:r>
      <w:r>
        <w:t>sector income (box 2</w:t>
      </w:r>
      <w:r w:rsidR="00886C96">
        <w:t>.2</w:t>
      </w:r>
      <w:r>
        <w:t>).</w:t>
      </w:r>
    </w:p>
    <w:p w:rsidR="00DF3BDA" w:rsidRDefault="00DF3BDA" w:rsidP="00DF3BDA">
      <w:pPr>
        <w:pStyle w:val="BodyText"/>
      </w:pPr>
      <w:r>
        <w:lastRenderedPageBreak/>
        <w:t xml:space="preserve">The industry contributions to the market sector’s average annual rate of growth over the </w:t>
      </w:r>
      <w:r w:rsidR="00272B2B">
        <w:t xml:space="preserve">decades of the </w:t>
      </w:r>
      <w:proofErr w:type="spellStart"/>
      <w:r>
        <w:t>1990s</w:t>
      </w:r>
      <w:proofErr w:type="spellEnd"/>
      <w:r>
        <w:t xml:space="preserve"> and </w:t>
      </w:r>
      <w:proofErr w:type="spellStart"/>
      <w:r>
        <w:t>2000s</w:t>
      </w:r>
      <w:proofErr w:type="spellEnd"/>
      <w:r>
        <w:t xml:space="preserve"> are shown in figure </w:t>
      </w:r>
      <w:r w:rsidR="00600485">
        <w:t>2.</w:t>
      </w:r>
      <w:r w:rsidR="00886C96">
        <w:t>4</w:t>
      </w:r>
      <w:r>
        <w:t xml:space="preserve"> and the estimates are presented in table </w:t>
      </w:r>
      <w:r w:rsidR="00600485">
        <w:t>2.4</w:t>
      </w:r>
      <w:r>
        <w:t>.</w:t>
      </w:r>
    </w:p>
    <w:p w:rsidR="00DF3BDA" w:rsidRDefault="00DF3BDA" w:rsidP="00D6788A">
      <w:pPr>
        <w:pStyle w:val="BodyText"/>
        <w:spacing w:before="200"/>
      </w:pPr>
      <w:r>
        <w:t xml:space="preserve">The three biggest sources of income growth in the </w:t>
      </w:r>
      <w:proofErr w:type="spellStart"/>
      <w:r>
        <w:t>2000s</w:t>
      </w:r>
      <w:proofErr w:type="spellEnd"/>
      <w:r>
        <w:t xml:space="preserve"> were Financ</w:t>
      </w:r>
      <w:r w:rsidR="006F19BD">
        <w:t>e</w:t>
      </w:r>
      <w:r>
        <w:t xml:space="preserve"> and Mining (each around 18 per cent of </w:t>
      </w:r>
      <w:r w:rsidR="001E5D1D">
        <w:t>market sector</w:t>
      </w:r>
      <w:r>
        <w:t xml:space="preserve"> growth) and Construction (14 per cent). </w:t>
      </w:r>
    </w:p>
    <w:p w:rsidR="00DF3BDA" w:rsidRDefault="00DF3BDA" w:rsidP="00D6788A">
      <w:pPr>
        <w:pStyle w:val="BodyText"/>
        <w:spacing w:before="200"/>
      </w:pPr>
      <w:r>
        <w:t xml:space="preserve">Most of the </w:t>
      </w:r>
      <w:r w:rsidRPr="005A2EF4">
        <w:rPr>
          <w:i/>
        </w:rPr>
        <w:t>additional</w:t>
      </w:r>
      <w:r>
        <w:t xml:space="preserve"> income growth in the </w:t>
      </w:r>
      <w:proofErr w:type="spellStart"/>
      <w:r>
        <w:t>2000s</w:t>
      </w:r>
      <w:proofErr w:type="spellEnd"/>
      <w:r>
        <w:t xml:space="preserve"> was generated in Mining and Construction. Of the additional 2 percentage points in annual average growth in market sector income, Mining contributed 40 per cent and Construction 25 per cent. Because Financ</w:t>
      </w:r>
      <w:r w:rsidR="006F19BD">
        <w:t>e</w:t>
      </w:r>
      <w:r>
        <w:t xml:space="preserve"> made a strong contribution in both the </w:t>
      </w:r>
      <w:proofErr w:type="spellStart"/>
      <w:r>
        <w:t>1990s</w:t>
      </w:r>
      <w:proofErr w:type="spellEnd"/>
      <w:r>
        <w:t xml:space="preserve"> and the </w:t>
      </w:r>
      <w:proofErr w:type="spellStart"/>
      <w:r>
        <w:t>2000s</w:t>
      </w:r>
      <w:proofErr w:type="spellEnd"/>
      <w:r>
        <w:t xml:space="preserve">, it did not add nearly as much to the acceleration in income growth over the two decades. </w:t>
      </w:r>
    </w:p>
    <w:p w:rsidR="0018357B" w:rsidRDefault="0018357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A0C9C" w:rsidTr="003A0C9C">
        <w:tc>
          <w:tcPr>
            <w:tcW w:w="8771" w:type="dxa"/>
            <w:tcBorders>
              <w:top w:val="single" w:sz="6" w:space="0" w:color="auto"/>
              <w:bottom w:val="nil"/>
            </w:tcBorders>
          </w:tcPr>
          <w:p w:rsidR="003A0C9C" w:rsidRDefault="003A0C9C" w:rsidP="003A0C9C">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Box \* ARABIC </w:instrText>
            </w:r>
            <w:r>
              <w:rPr>
                <w:b w:val="0"/>
              </w:rPr>
              <w:fldChar w:fldCharType="separate"/>
            </w:r>
            <w:r w:rsidR="00876EEE">
              <w:rPr>
                <w:b w:val="0"/>
                <w:noProof/>
              </w:rPr>
              <w:t>2</w:t>
            </w:r>
            <w:r>
              <w:rPr>
                <w:b w:val="0"/>
              </w:rPr>
              <w:fldChar w:fldCharType="end"/>
            </w:r>
            <w:r>
              <w:tab/>
              <w:t>Industry contributions to market sector growth</w:t>
            </w:r>
          </w:p>
        </w:tc>
      </w:tr>
      <w:tr w:rsidR="003A0C9C" w:rsidTr="003A0C9C">
        <w:trPr>
          <w:cantSplit/>
        </w:trPr>
        <w:tc>
          <w:tcPr>
            <w:tcW w:w="8771" w:type="dxa"/>
            <w:tcBorders>
              <w:top w:val="nil"/>
              <w:left w:val="single" w:sz="6" w:space="0" w:color="auto"/>
              <w:bottom w:val="nil"/>
              <w:right w:val="single" w:sz="6" w:space="0" w:color="auto"/>
            </w:tcBorders>
          </w:tcPr>
          <w:p w:rsidR="003A0C9C" w:rsidRDefault="003A0C9C" w:rsidP="00D6788A">
            <w:pPr>
              <w:pStyle w:val="Box"/>
              <w:spacing w:before="100"/>
            </w:pPr>
            <w:r>
              <w:t>Measures of ‘industry contributions’ are used a lot in this paper. Clarity about what they mean is therefore paramount.</w:t>
            </w:r>
          </w:p>
          <w:p w:rsidR="003A0C9C" w:rsidRDefault="003A0C9C" w:rsidP="00D6788A">
            <w:pPr>
              <w:pStyle w:val="Box"/>
              <w:spacing w:before="100"/>
            </w:pPr>
            <w:r>
              <w:t>The basic idea behind an industry contribution is that it reflects the magnitude of the effect an industry has on growth in a market sector variable. An industry contribution takes account not only of the rate of growth in the variable within the industry, but also how important the industry is in the market sector.</w:t>
            </w:r>
          </w:p>
          <w:p w:rsidR="007A747D" w:rsidRDefault="003A0C9C" w:rsidP="00D6788A">
            <w:pPr>
              <w:pStyle w:val="Box"/>
              <w:spacing w:before="100"/>
            </w:pPr>
            <w:r>
              <w:t xml:space="preserve">For example, </w:t>
            </w:r>
            <w:r w:rsidR="007A747D">
              <w:t xml:space="preserve">contributions to </w:t>
            </w:r>
            <w:r>
              <w:t xml:space="preserve">growth </w:t>
            </w:r>
            <w:r w:rsidR="007A747D">
              <w:t xml:space="preserve">in market sector income in the </w:t>
            </w:r>
            <w:proofErr w:type="spellStart"/>
            <w:r w:rsidR="007A747D">
              <w:t>2000s</w:t>
            </w:r>
            <w:proofErr w:type="spellEnd"/>
            <w:r w:rsidR="007A747D">
              <w:t xml:space="preserve"> are essentially growth in industry income (second column in table 2.3) multiplied by an industry share (as also shown in table 2.3).</w:t>
            </w:r>
          </w:p>
          <w:p w:rsidR="00167C30" w:rsidRDefault="007A747D" w:rsidP="00D6788A">
            <w:pPr>
              <w:pStyle w:val="Box"/>
              <w:spacing w:before="100"/>
            </w:pPr>
            <w:r>
              <w:t xml:space="preserve">The practical problem is which industry share to use — base period, end period or mid-period? Selection makes a difference to the size of computed contributions. Regardless of selection, industry contributions are unlikely to add up to the </w:t>
            </w:r>
            <w:r w:rsidR="001E5D1D">
              <w:t>market sector</w:t>
            </w:r>
            <w:r>
              <w:t xml:space="preserve"> growth over the period, especially if there are large variations in growth rates across industries and therefore relatively large movements in shares over the decade.</w:t>
            </w:r>
          </w:p>
          <w:p w:rsidR="00167C30" w:rsidRDefault="00167C30" w:rsidP="00D6788A">
            <w:pPr>
              <w:pStyle w:val="Box"/>
              <w:spacing w:before="100"/>
            </w:pPr>
            <w:r>
              <w:t>There is a way to get around this problem —</w:t>
            </w:r>
            <w:r w:rsidR="006F19BD">
              <w:t xml:space="preserve"> </w:t>
            </w:r>
            <w:r>
              <w:t xml:space="preserve">‘chained </w:t>
            </w:r>
            <w:proofErr w:type="spellStart"/>
            <w:r>
              <w:t>Tornqvist</w:t>
            </w:r>
            <w:proofErr w:type="spellEnd"/>
            <w:r>
              <w:t xml:space="preserve"> aggregation’ as developed in Parham (2012). The idea is to calculate </w:t>
            </w:r>
            <w:r w:rsidRPr="00167C30">
              <w:rPr>
                <w:i/>
              </w:rPr>
              <w:t>annual</w:t>
            </w:r>
            <w:r>
              <w:t xml:space="preserve"> growth in industry income and use annual share weights and then accumulate and average the weighted annual changes over the decade. As a result, the industry contributions over the decade sum very closely to the growth in the market sector total over the decade.</w:t>
            </w:r>
          </w:p>
          <w:p w:rsidR="003A0C9C" w:rsidRDefault="00167C30" w:rsidP="00D6788A">
            <w:pPr>
              <w:pStyle w:val="Box"/>
              <w:spacing w:before="100"/>
            </w:pPr>
            <w:r>
              <w:t xml:space="preserve">Details of the method are provided in appendix A. </w:t>
            </w:r>
          </w:p>
        </w:tc>
      </w:tr>
      <w:tr w:rsidR="003A0C9C" w:rsidTr="003A0C9C">
        <w:trPr>
          <w:cantSplit/>
        </w:trPr>
        <w:tc>
          <w:tcPr>
            <w:tcW w:w="8771" w:type="dxa"/>
            <w:tcBorders>
              <w:top w:val="nil"/>
              <w:left w:val="single" w:sz="6" w:space="0" w:color="auto"/>
              <w:bottom w:val="single" w:sz="6" w:space="0" w:color="auto"/>
              <w:right w:val="single" w:sz="6" w:space="0" w:color="auto"/>
            </w:tcBorders>
          </w:tcPr>
          <w:p w:rsidR="003A0C9C" w:rsidRDefault="003A0C9C" w:rsidP="003A0C9C">
            <w:pPr>
              <w:pStyle w:val="Box"/>
              <w:spacing w:before="0" w:line="120" w:lineRule="exact"/>
            </w:pPr>
          </w:p>
        </w:tc>
      </w:tr>
      <w:tr w:rsidR="003A0C9C" w:rsidRPr="00AD4791" w:rsidTr="003A0C9C">
        <w:tc>
          <w:tcPr>
            <w:tcW w:w="8771" w:type="dxa"/>
            <w:tcBorders>
              <w:top w:val="nil"/>
              <w:left w:val="nil"/>
              <w:bottom w:val="nil"/>
              <w:right w:val="nil"/>
            </w:tcBorders>
          </w:tcPr>
          <w:p w:rsidR="003A0C9C" w:rsidRPr="00AD4791" w:rsidRDefault="003A0C9C" w:rsidP="003A0C9C">
            <w:pPr>
              <w:pStyle w:val="BoxSpaceBelow"/>
            </w:pPr>
          </w:p>
        </w:tc>
      </w:tr>
    </w:tbl>
    <w:p w:rsidR="0051751C" w:rsidRDefault="0051751C" w:rsidP="0051751C">
      <w:pPr>
        <w:pStyle w:val="Heading4"/>
      </w:pPr>
      <w:r>
        <w:t>The importance of the mining boom</w:t>
      </w:r>
    </w:p>
    <w:p w:rsidR="0051751C" w:rsidRDefault="0051751C" w:rsidP="0051751C">
      <w:pPr>
        <w:pStyle w:val="BodyText"/>
      </w:pPr>
      <w:r>
        <w:t xml:space="preserve">The footprints of the mining boom are clearly evident. The rise in commodity prices raised income growth in </w:t>
      </w:r>
      <w:r w:rsidR="008269D6">
        <w:t>M</w:t>
      </w:r>
      <w:r>
        <w:t xml:space="preserve">ining and stimulated a boom in mine development to raise mining capacity. The Construction industry benefited from the construction phase of the mining boom. While Manufacturing’s share of activity has been in </w:t>
      </w:r>
      <w:r>
        <w:lastRenderedPageBreak/>
        <w:t>decline for some time, the decline is likely to have been exacerbated by the higher exchange rate associated with the mining boom.</w:t>
      </w:r>
    </w:p>
    <w:p w:rsidR="00DF3BDA" w:rsidRPr="00EB6CB0" w:rsidRDefault="00DF3BDA" w:rsidP="00DF3BDA">
      <w:pPr>
        <w:pStyle w:val="FigureTitle"/>
        <w:rPr>
          <w:vertAlign w:val="superscript"/>
        </w:rPr>
      </w:pPr>
      <w:r>
        <w:rPr>
          <w:b w:val="0"/>
        </w:rPr>
        <w:t xml:space="preserve">Figure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Figure \* ARABIC </w:instrText>
      </w:r>
      <w:r>
        <w:rPr>
          <w:b w:val="0"/>
        </w:rPr>
        <w:fldChar w:fldCharType="separate"/>
      </w:r>
      <w:r w:rsidR="00876EEE">
        <w:rPr>
          <w:b w:val="0"/>
          <w:noProof/>
        </w:rPr>
        <w:t>4</w:t>
      </w:r>
      <w:r>
        <w:rPr>
          <w:b w:val="0"/>
        </w:rPr>
        <w:fldChar w:fldCharType="end"/>
      </w:r>
      <w:r>
        <w:tab/>
        <w:t xml:space="preserve">Industry contributions to growth in market sector income, </w:t>
      </w:r>
      <w:proofErr w:type="spellStart"/>
      <w:r>
        <w:t>1990s</w:t>
      </w:r>
      <w:proofErr w:type="spellEnd"/>
      <w:r>
        <w:t xml:space="preserve"> and </w:t>
      </w:r>
      <w:proofErr w:type="spellStart"/>
      <w:r>
        <w:t>2000s</w:t>
      </w:r>
      <w:proofErr w:type="spellEnd"/>
      <w:r w:rsidRPr="0051751C">
        <w:rPr>
          <w:rStyle w:val="NoteLabel"/>
        </w:rPr>
        <w:t>a</w:t>
      </w:r>
    </w:p>
    <w:p w:rsidR="00DF3BDA" w:rsidRDefault="00DF3BDA" w:rsidP="00DF3BDA">
      <w:pPr>
        <w:pStyle w:val="Subtitle"/>
      </w:pPr>
      <w:r>
        <w:t>percentage points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F3BDA" w:rsidTr="00DF3BDA">
        <w:tc>
          <w:tcPr>
            <w:tcW w:w="8777" w:type="dxa"/>
          </w:tcPr>
          <w:p w:rsidR="00DF3BDA" w:rsidRDefault="00F7212F" w:rsidP="00272B2B">
            <w:pPr>
              <w:pStyle w:val="Figure"/>
              <w:spacing w:before="0"/>
            </w:pPr>
            <w:r>
              <w:rPr>
                <w:noProof/>
              </w:rPr>
              <w:drawing>
                <wp:inline distT="0" distB="0" distL="0" distR="0">
                  <wp:extent cx="5105400" cy="2933700"/>
                  <wp:effectExtent l="0" t="0" r="0" b="0"/>
                  <wp:docPr id="8" name="Picture 8" descr="Industry contributions to growth in market sector income, 1990s and 2000s. This figure shows that the largest increases in contributions to market sector growth in income in the 2000s came from the Mining and the Constructions indus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05400" cy="2933700"/>
                          </a:xfrm>
                          <a:prstGeom prst="rect">
                            <a:avLst/>
                          </a:prstGeom>
                          <a:noFill/>
                          <a:ln>
                            <a:noFill/>
                          </a:ln>
                        </pic:spPr>
                      </pic:pic>
                    </a:graphicData>
                  </a:graphic>
                </wp:inline>
              </w:drawing>
            </w:r>
          </w:p>
        </w:tc>
      </w:tr>
    </w:tbl>
    <w:p w:rsidR="00DF3BDA" w:rsidRDefault="00DF3BDA" w:rsidP="00DF3BDA">
      <w:pPr>
        <w:pStyle w:val="Note"/>
      </w:pPr>
      <w:r>
        <w:rPr>
          <w:rStyle w:val="NoteLabel"/>
        </w:rPr>
        <w:t>a</w:t>
      </w:r>
      <w:r>
        <w:t xml:space="preserve"> 1989-90 to 1999-00 and 1999-00 to 2009-10.</w:t>
      </w:r>
    </w:p>
    <w:p w:rsidR="00DF3BDA" w:rsidRDefault="00272B2B" w:rsidP="00DF3BDA">
      <w:pPr>
        <w:pStyle w:val="Source"/>
      </w:pPr>
      <w:r>
        <w:rPr>
          <w:i/>
        </w:rPr>
        <w:t>Data s</w:t>
      </w:r>
      <w:r w:rsidR="00DF3BDA">
        <w:rPr>
          <w:i/>
        </w:rPr>
        <w:t>ource</w:t>
      </w:r>
      <w:r w:rsidR="00DF3BDA" w:rsidRPr="00167F06">
        <w:t xml:space="preserve">: </w:t>
      </w:r>
      <w:r w:rsidR="00AA4B29">
        <w:t>Author’s estimates based on National Accounts</w:t>
      </w:r>
      <w:r>
        <w:t>.</w:t>
      </w:r>
    </w:p>
    <w:p w:rsidR="0018357B" w:rsidRDefault="0018357B">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C536C1">
        <w:rPr>
          <w:b w:val="0"/>
        </w:rPr>
        <w:t>2.</w:t>
      </w:r>
      <w:r>
        <w:rPr>
          <w:b w:val="0"/>
        </w:rPr>
        <w:fldChar w:fldCharType="end"/>
      </w:r>
      <w:r>
        <w:rPr>
          <w:b w:val="0"/>
        </w:rPr>
        <w:fldChar w:fldCharType="begin"/>
      </w:r>
      <w:r>
        <w:rPr>
          <w:b w:val="0"/>
        </w:rPr>
        <w:instrText xml:space="preserve"> SEQ Table \* ARABIC </w:instrText>
      </w:r>
      <w:r>
        <w:rPr>
          <w:b w:val="0"/>
        </w:rPr>
        <w:fldChar w:fldCharType="separate"/>
      </w:r>
      <w:r w:rsidR="00876EEE">
        <w:rPr>
          <w:b w:val="0"/>
          <w:noProof/>
        </w:rPr>
        <w:t>4</w:t>
      </w:r>
      <w:r>
        <w:rPr>
          <w:b w:val="0"/>
        </w:rPr>
        <w:fldChar w:fldCharType="end"/>
      </w:r>
      <w:r>
        <w:tab/>
        <w:t>Industry contributions to growth in market sector income</w:t>
      </w:r>
      <w:r w:rsidR="00272B2B">
        <w:t xml:space="preserve">, </w:t>
      </w:r>
      <w:proofErr w:type="spellStart"/>
      <w:r w:rsidR="00272B2B">
        <w:t>1990s</w:t>
      </w:r>
      <w:proofErr w:type="spellEnd"/>
      <w:r w:rsidR="00272B2B">
        <w:t xml:space="preserve"> and </w:t>
      </w:r>
      <w:proofErr w:type="spellStart"/>
      <w:r w:rsidR="00272B2B">
        <w:t>20</w:t>
      </w:r>
      <w:r w:rsidR="00AD4147">
        <w:t>0</w:t>
      </w:r>
      <w:r w:rsidR="00272B2B">
        <w:t>0s</w:t>
      </w:r>
      <w:proofErr w:type="spellEnd"/>
    </w:p>
    <w:tbl>
      <w:tblPr>
        <w:tblW w:w="5000" w:type="pct"/>
        <w:tblCellMar>
          <w:left w:w="0" w:type="dxa"/>
          <w:right w:w="0" w:type="dxa"/>
        </w:tblCellMar>
        <w:tblLook w:val="0000" w:firstRow="0" w:lastRow="0" w:firstColumn="0" w:lastColumn="0" w:noHBand="0" w:noVBand="0"/>
      </w:tblPr>
      <w:tblGrid>
        <w:gridCol w:w="1761"/>
        <w:gridCol w:w="1758"/>
        <w:gridCol w:w="1584"/>
        <w:gridCol w:w="1932"/>
        <w:gridCol w:w="1754"/>
      </w:tblGrid>
      <w:tr w:rsidR="0018357B" w:rsidTr="0018357B">
        <w:tc>
          <w:tcPr>
            <w:tcW w:w="1002" w:type="pct"/>
            <w:tcBorders>
              <w:top w:val="single" w:sz="6" w:space="0" w:color="auto"/>
            </w:tcBorders>
            <w:shd w:val="clear" w:color="auto" w:fill="auto"/>
          </w:tcPr>
          <w:p w:rsidR="0018357B" w:rsidRDefault="0018357B" w:rsidP="009348E8">
            <w:pPr>
              <w:pStyle w:val="TableColumnHeading"/>
            </w:pPr>
          </w:p>
        </w:tc>
        <w:tc>
          <w:tcPr>
            <w:tcW w:w="1000" w:type="pct"/>
            <w:tcBorders>
              <w:top w:val="single" w:sz="6" w:space="0" w:color="auto"/>
            </w:tcBorders>
          </w:tcPr>
          <w:p w:rsidR="0018357B" w:rsidRDefault="0018357B" w:rsidP="009348E8">
            <w:pPr>
              <w:pStyle w:val="TableColumnHeading"/>
            </w:pPr>
          </w:p>
        </w:tc>
        <w:tc>
          <w:tcPr>
            <w:tcW w:w="901" w:type="pct"/>
            <w:tcBorders>
              <w:top w:val="single" w:sz="6" w:space="0" w:color="auto"/>
            </w:tcBorders>
          </w:tcPr>
          <w:p w:rsidR="0018357B" w:rsidRDefault="0018357B" w:rsidP="009348E8">
            <w:pPr>
              <w:pStyle w:val="TableColumnHeading"/>
            </w:pPr>
          </w:p>
        </w:tc>
        <w:tc>
          <w:tcPr>
            <w:tcW w:w="2097" w:type="pct"/>
            <w:gridSpan w:val="2"/>
            <w:tcBorders>
              <w:top w:val="single" w:sz="6" w:space="0" w:color="auto"/>
              <w:bottom w:val="single" w:sz="6" w:space="0" w:color="auto"/>
            </w:tcBorders>
            <w:shd w:val="clear" w:color="auto" w:fill="auto"/>
          </w:tcPr>
          <w:p w:rsidR="0018357B" w:rsidRDefault="0018357B" w:rsidP="009348E8">
            <w:pPr>
              <w:pStyle w:val="TableColumnHeading"/>
              <w:jc w:val="center"/>
            </w:pPr>
            <w:r>
              <w:t>Change</w:t>
            </w:r>
          </w:p>
        </w:tc>
      </w:tr>
      <w:tr w:rsidR="0018357B" w:rsidTr="0018357B">
        <w:tc>
          <w:tcPr>
            <w:tcW w:w="1002" w:type="pct"/>
            <w:tcBorders>
              <w:bottom w:val="single" w:sz="6" w:space="0" w:color="auto"/>
            </w:tcBorders>
            <w:shd w:val="clear" w:color="auto" w:fill="auto"/>
          </w:tcPr>
          <w:p w:rsidR="0018357B" w:rsidRDefault="0018357B" w:rsidP="009348E8">
            <w:pPr>
              <w:pStyle w:val="TableColumnHeading"/>
            </w:pPr>
          </w:p>
        </w:tc>
        <w:tc>
          <w:tcPr>
            <w:tcW w:w="1000" w:type="pct"/>
            <w:tcBorders>
              <w:bottom w:val="single" w:sz="6" w:space="0" w:color="auto"/>
            </w:tcBorders>
            <w:vAlign w:val="bottom"/>
          </w:tcPr>
          <w:p w:rsidR="0018357B" w:rsidRPr="00E62612" w:rsidRDefault="0018357B" w:rsidP="009348E8">
            <w:pPr>
              <w:pStyle w:val="TableColumnHeading"/>
            </w:pPr>
            <w:proofErr w:type="spellStart"/>
            <w:r w:rsidRPr="00E62612">
              <w:t>1990s</w:t>
            </w:r>
            <w:proofErr w:type="spellEnd"/>
          </w:p>
        </w:tc>
        <w:tc>
          <w:tcPr>
            <w:tcW w:w="901" w:type="pct"/>
            <w:tcBorders>
              <w:bottom w:val="single" w:sz="6" w:space="0" w:color="auto"/>
            </w:tcBorders>
            <w:vAlign w:val="bottom"/>
          </w:tcPr>
          <w:p w:rsidR="0018357B" w:rsidRPr="00E62612" w:rsidRDefault="0018357B" w:rsidP="009348E8">
            <w:pPr>
              <w:pStyle w:val="TableColumnHeading"/>
            </w:pPr>
            <w:proofErr w:type="spellStart"/>
            <w:r w:rsidRPr="00E62612">
              <w:t>2000s</w:t>
            </w:r>
            <w:proofErr w:type="spellEnd"/>
          </w:p>
        </w:tc>
        <w:tc>
          <w:tcPr>
            <w:tcW w:w="1099" w:type="pct"/>
            <w:tcBorders>
              <w:top w:val="single" w:sz="6" w:space="0" w:color="auto"/>
              <w:bottom w:val="single" w:sz="6" w:space="0" w:color="auto"/>
            </w:tcBorders>
            <w:shd w:val="clear" w:color="auto" w:fill="auto"/>
            <w:vAlign w:val="bottom"/>
          </w:tcPr>
          <w:p w:rsidR="0018357B" w:rsidRPr="00E62612" w:rsidRDefault="0018357B" w:rsidP="009348E8">
            <w:pPr>
              <w:pStyle w:val="TableColumnHeading"/>
            </w:pPr>
            <w:r>
              <w:t>Percentage points</w:t>
            </w:r>
          </w:p>
        </w:tc>
        <w:tc>
          <w:tcPr>
            <w:tcW w:w="998" w:type="pct"/>
            <w:tcBorders>
              <w:top w:val="single" w:sz="6" w:space="0" w:color="auto"/>
              <w:bottom w:val="single" w:sz="6" w:space="0" w:color="auto"/>
            </w:tcBorders>
            <w:shd w:val="clear" w:color="auto" w:fill="auto"/>
            <w:vAlign w:val="bottom"/>
          </w:tcPr>
          <w:p w:rsidR="0018357B" w:rsidRPr="00E62612" w:rsidRDefault="0018357B" w:rsidP="009348E8">
            <w:pPr>
              <w:pStyle w:val="TableColumnHeading"/>
            </w:pPr>
            <w:r>
              <w:t>Per cent</w:t>
            </w:r>
          </w:p>
        </w:tc>
      </w:tr>
      <w:tr w:rsidR="0018357B" w:rsidTr="0018357B">
        <w:tc>
          <w:tcPr>
            <w:tcW w:w="1002" w:type="pct"/>
            <w:vAlign w:val="bottom"/>
          </w:tcPr>
          <w:p w:rsidR="0018357B" w:rsidRPr="00E62612" w:rsidRDefault="0018357B" w:rsidP="0018357B">
            <w:pPr>
              <w:pStyle w:val="TableBodyText"/>
              <w:spacing w:before="120"/>
              <w:jc w:val="left"/>
            </w:pPr>
            <w:r w:rsidRPr="00E62612">
              <w:t>Agriculture</w:t>
            </w:r>
          </w:p>
        </w:tc>
        <w:tc>
          <w:tcPr>
            <w:tcW w:w="1000" w:type="pct"/>
            <w:vAlign w:val="bottom"/>
          </w:tcPr>
          <w:p w:rsidR="0018357B" w:rsidRPr="00E62612" w:rsidRDefault="0018357B" w:rsidP="00F06EDC">
            <w:pPr>
              <w:pStyle w:val="TableBodyText"/>
              <w:spacing w:before="120"/>
              <w:ind w:right="258"/>
            </w:pPr>
            <w:r w:rsidRPr="00E62612">
              <w:t>0.07</w:t>
            </w:r>
          </w:p>
        </w:tc>
        <w:tc>
          <w:tcPr>
            <w:tcW w:w="901" w:type="pct"/>
            <w:vAlign w:val="bottom"/>
          </w:tcPr>
          <w:p w:rsidR="0018357B" w:rsidRPr="00E62612" w:rsidRDefault="0018357B" w:rsidP="00F06EDC">
            <w:pPr>
              <w:pStyle w:val="TableBodyText"/>
              <w:spacing w:before="120"/>
              <w:ind w:right="258"/>
            </w:pPr>
            <w:r w:rsidRPr="00E62612">
              <w:t>0.16</w:t>
            </w:r>
          </w:p>
        </w:tc>
        <w:tc>
          <w:tcPr>
            <w:tcW w:w="1099" w:type="pct"/>
            <w:vAlign w:val="bottom"/>
          </w:tcPr>
          <w:p w:rsidR="0018357B" w:rsidRPr="00E62612" w:rsidRDefault="0018357B" w:rsidP="0018357B">
            <w:pPr>
              <w:pStyle w:val="TableBodyText"/>
              <w:spacing w:before="120"/>
            </w:pPr>
            <w:r w:rsidRPr="00E62612">
              <w:t>0.09</w:t>
            </w:r>
          </w:p>
        </w:tc>
        <w:tc>
          <w:tcPr>
            <w:tcW w:w="998" w:type="pct"/>
            <w:vAlign w:val="bottom"/>
          </w:tcPr>
          <w:p w:rsidR="0018357B" w:rsidRPr="00E62612" w:rsidRDefault="0018357B" w:rsidP="0018357B">
            <w:pPr>
              <w:pStyle w:val="TableBodyText"/>
              <w:spacing w:before="120"/>
            </w:pPr>
            <w:r w:rsidRPr="00E62612">
              <w:t>4</w:t>
            </w:r>
          </w:p>
        </w:tc>
      </w:tr>
      <w:tr w:rsidR="0018357B" w:rsidTr="0018357B">
        <w:tc>
          <w:tcPr>
            <w:tcW w:w="1002" w:type="pct"/>
            <w:vAlign w:val="bottom"/>
          </w:tcPr>
          <w:p w:rsidR="0018357B" w:rsidRPr="00E62612" w:rsidRDefault="0018357B" w:rsidP="0018357B">
            <w:pPr>
              <w:pStyle w:val="TableBodyText"/>
              <w:jc w:val="left"/>
            </w:pPr>
            <w:r w:rsidRPr="00E62612">
              <w:t>Mining</w:t>
            </w:r>
          </w:p>
        </w:tc>
        <w:tc>
          <w:tcPr>
            <w:tcW w:w="1000" w:type="pct"/>
            <w:vAlign w:val="bottom"/>
          </w:tcPr>
          <w:p w:rsidR="0018357B" w:rsidRPr="00E62612" w:rsidRDefault="0018357B" w:rsidP="00F06EDC">
            <w:pPr>
              <w:pStyle w:val="TableBodyText"/>
              <w:ind w:right="258"/>
            </w:pPr>
            <w:r w:rsidRPr="00E62612">
              <w:t>0.29</w:t>
            </w:r>
          </w:p>
        </w:tc>
        <w:tc>
          <w:tcPr>
            <w:tcW w:w="901" w:type="pct"/>
            <w:vAlign w:val="bottom"/>
          </w:tcPr>
          <w:p w:rsidR="0018357B" w:rsidRPr="00E62612" w:rsidRDefault="0018357B" w:rsidP="00F06EDC">
            <w:pPr>
              <w:pStyle w:val="TableBodyText"/>
              <w:ind w:right="258"/>
            </w:pPr>
            <w:r w:rsidRPr="00E62612">
              <w:t>1.13</w:t>
            </w:r>
          </w:p>
        </w:tc>
        <w:tc>
          <w:tcPr>
            <w:tcW w:w="1099" w:type="pct"/>
            <w:vAlign w:val="bottom"/>
          </w:tcPr>
          <w:p w:rsidR="0018357B" w:rsidRPr="00E62612" w:rsidRDefault="0018357B" w:rsidP="0018357B">
            <w:pPr>
              <w:pStyle w:val="TableBodyText"/>
            </w:pPr>
            <w:r w:rsidRPr="00E62612">
              <w:t>0.84</w:t>
            </w:r>
          </w:p>
        </w:tc>
        <w:tc>
          <w:tcPr>
            <w:tcW w:w="998" w:type="pct"/>
            <w:vAlign w:val="bottom"/>
          </w:tcPr>
          <w:p w:rsidR="0018357B" w:rsidRPr="00E62612" w:rsidRDefault="0018357B" w:rsidP="0018357B">
            <w:pPr>
              <w:pStyle w:val="TableBodyText"/>
            </w:pPr>
            <w:r w:rsidRPr="00E62612">
              <w:t>41</w:t>
            </w:r>
          </w:p>
        </w:tc>
      </w:tr>
      <w:tr w:rsidR="0018357B" w:rsidTr="0018357B">
        <w:trPr>
          <w:trHeight w:val="80"/>
        </w:trPr>
        <w:tc>
          <w:tcPr>
            <w:tcW w:w="1002" w:type="pct"/>
            <w:vAlign w:val="bottom"/>
          </w:tcPr>
          <w:p w:rsidR="0018357B" w:rsidRPr="00E62612" w:rsidRDefault="0018357B" w:rsidP="0018357B">
            <w:pPr>
              <w:pStyle w:val="TableBodyText"/>
              <w:jc w:val="left"/>
            </w:pPr>
            <w:r w:rsidRPr="00E62612">
              <w:t>Manufacturing</w:t>
            </w:r>
          </w:p>
        </w:tc>
        <w:tc>
          <w:tcPr>
            <w:tcW w:w="1000" w:type="pct"/>
            <w:vAlign w:val="bottom"/>
          </w:tcPr>
          <w:p w:rsidR="0018357B" w:rsidRPr="00E62612" w:rsidRDefault="0018357B" w:rsidP="00F06EDC">
            <w:pPr>
              <w:pStyle w:val="TableBodyText"/>
              <w:ind w:right="258"/>
            </w:pPr>
            <w:r w:rsidRPr="00E62612">
              <w:t>0.64</w:t>
            </w:r>
          </w:p>
        </w:tc>
        <w:tc>
          <w:tcPr>
            <w:tcW w:w="901" w:type="pct"/>
            <w:vAlign w:val="bottom"/>
          </w:tcPr>
          <w:p w:rsidR="0018357B" w:rsidRPr="00E62612" w:rsidRDefault="0018357B" w:rsidP="00F06EDC">
            <w:pPr>
              <w:pStyle w:val="TableBodyText"/>
              <w:ind w:right="258"/>
            </w:pPr>
            <w:r w:rsidRPr="00E62612">
              <w:t>0.56</w:t>
            </w:r>
          </w:p>
        </w:tc>
        <w:tc>
          <w:tcPr>
            <w:tcW w:w="1099" w:type="pct"/>
            <w:vAlign w:val="bottom"/>
          </w:tcPr>
          <w:p w:rsidR="0018357B" w:rsidRPr="00E62612" w:rsidRDefault="0018357B" w:rsidP="0018357B">
            <w:pPr>
              <w:pStyle w:val="TableBodyText"/>
            </w:pPr>
            <w:r w:rsidRPr="00E62612">
              <w:t>-0.08</w:t>
            </w:r>
          </w:p>
        </w:tc>
        <w:tc>
          <w:tcPr>
            <w:tcW w:w="998" w:type="pct"/>
            <w:vAlign w:val="bottom"/>
          </w:tcPr>
          <w:p w:rsidR="0018357B" w:rsidRPr="00E62612" w:rsidRDefault="0018357B" w:rsidP="0018357B">
            <w:pPr>
              <w:pStyle w:val="TableBodyText"/>
            </w:pPr>
            <w:r w:rsidRPr="00E62612">
              <w:t>-4</w:t>
            </w:r>
          </w:p>
        </w:tc>
      </w:tr>
      <w:tr w:rsidR="0018357B" w:rsidTr="0018357B">
        <w:tc>
          <w:tcPr>
            <w:tcW w:w="1002" w:type="pct"/>
            <w:vAlign w:val="bottom"/>
          </w:tcPr>
          <w:p w:rsidR="0018357B" w:rsidRPr="00E62612" w:rsidRDefault="00272B2B" w:rsidP="0018357B">
            <w:pPr>
              <w:pStyle w:val="TableBodyText"/>
              <w:jc w:val="left"/>
            </w:pPr>
            <w:r>
              <w:t>Utilities</w:t>
            </w:r>
          </w:p>
        </w:tc>
        <w:tc>
          <w:tcPr>
            <w:tcW w:w="1000" w:type="pct"/>
            <w:vAlign w:val="bottom"/>
          </w:tcPr>
          <w:p w:rsidR="0018357B" w:rsidRPr="00E62612" w:rsidRDefault="0018357B" w:rsidP="00F06EDC">
            <w:pPr>
              <w:pStyle w:val="TableBodyText"/>
              <w:ind w:right="258"/>
            </w:pPr>
            <w:r w:rsidRPr="00E62612">
              <w:t>0.05</w:t>
            </w:r>
          </w:p>
        </w:tc>
        <w:tc>
          <w:tcPr>
            <w:tcW w:w="901" w:type="pct"/>
            <w:vAlign w:val="bottom"/>
          </w:tcPr>
          <w:p w:rsidR="0018357B" w:rsidRPr="00E62612" w:rsidRDefault="0018357B" w:rsidP="00F06EDC">
            <w:pPr>
              <w:pStyle w:val="TableBodyText"/>
              <w:ind w:right="258"/>
            </w:pPr>
            <w:r w:rsidRPr="00E62612">
              <w:t>0.23</w:t>
            </w:r>
          </w:p>
        </w:tc>
        <w:tc>
          <w:tcPr>
            <w:tcW w:w="1099" w:type="pct"/>
            <w:vAlign w:val="bottom"/>
          </w:tcPr>
          <w:p w:rsidR="0018357B" w:rsidRPr="00E62612" w:rsidRDefault="0018357B" w:rsidP="0018357B">
            <w:pPr>
              <w:pStyle w:val="TableBodyText"/>
            </w:pPr>
            <w:r w:rsidRPr="00E62612">
              <w:t>0.18</w:t>
            </w:r>
          </w:p>
        </w:tc>
        <w:tc>
          <w:tcPr>
            <w:tcW w:w="998" w:type="pct"/>
            <w:vAlign w:val="bottom"/>
          </w:tcPr>
          <w:p w:rsidR="0018357B" w:rsidRPr="00E62612" w:rsidRDefault="0018357B" w:rsidP="0018357B">
            <w:pPr>
              <w:pStyle w:val="TableBodyText"/>
            </w:pPr>
            <w:r w:rsidRPr="00E62612">
              <w:t>9</w:t>
            </w:r>
          </w:p>
        </w:tc>
      </w:tr>
      <w:tr w:rsidR="0018357B" w:rsidTr="0018357B">
        <w:tc>
          <w:tcPr>
            <w:tcW w:w="1002" w:type="pct"/>
            <w:vAlign w:val="bottom"/>
          </w:tcPr>
          <w:p w:rsidR="0018357B" w:rsidRPr="00E62612" w:rsidRDefault="0018357B" w:rsidP="0018357B">
            <w:pPr>
              <w:pStyle w:val="TableBodyText"/>
              <w:jc w:val="left"/>
            </w:pPr>
            <w:r w:rsidRPr="00E62612">
              <w:t>Construction</w:t>
            </w:r>
          </w:p>
        </w:tc>
        <w:tc>
          <w:tcPr>
            <w:tcW w:w="1000" w:type="pct"/>
            <w:vAlign w:val="bottom"/>
          </w:tcPr>
          <w:p w:rsidR="0018357B" w:rsidRPr="00E62612" w:rsidRDefault="0018357B" w:rsidP="00F06EDC">
            <w:pPr>
              <w:pStyle w:val="TableBodyText"/>
              <w:ind w:right="258"/>
            </w:pPr>
            <w:r w:rsidRPr="00E62612">
              <w:t>0.37</w:t>
            </w:r>
          </w:p>
        </w:tc>
        <w:tc>
          <w:tcPr>
            <w:tcW w:w="901" w:type="pct"/>
            <w:vAlign w:val="bottom"/>
          </w:tcPr>
          <w:p w:rsidR="0018357B" w:rsidRPr="00E62612" w:rsidRDefault="0018357B" w:rsidP="00F06EDC">
            <w:pPr>
              <w:pStyle w:val="TableBodyText"/>
              <w:ind w:right="258"/>
            </w:pPr>
            <w:r w:rsidRPr="00E62612">
              <w:t>0.89</w:t>
            </w:r>
          </w:p>
        </w:tc>
        <w:tc>
          <w:tcPr>
            <w:tcW w:w="1099" w:type="pct"/>
            <w:vAlign w:val="bottom"/>
          </w:tcPr>
          <w:p w:rsidR="0018357B" w:rsidRPr="00E62612" w:rsidRDefault="0018357B" w:rsidP="0018357B">
            <w:pPr>
              <w:pStyle w:val="TableBodyText"/>
            </w:pPr>
            <w:r w:rsidRPr="00E62612">
              <w:t>0.51</w:t>
            </w:r>
          </w:p>
        </w:tc>
        <w:tc>
          <w:tcPr>
            <w:tcW w:w="998" w:type="pct"/>
            <w:vAlign w:val="bottom"/>
          </w:tcPr>
          <w:p w:rsidR="0018357B" w:rsidRPr="00E62612" w:rsidRDefault="0018357B" w:rsidP="0018357B">
            <w:pPr>
              <w:pStyle w:val="TableBodyText"/>
            </w:pPr>
            <w:r w:rsidRPr="00E62612">
              <w:t>25</w:t>
            </w:r>
          </w:p>
        </w:tc>
      </w:tr>
      <w:tr w:rsidR="0018357B" w:rsidTr="0018357B">
        <w:tc>
          <w:tcPr>
            <w:tcW w:w="1002" w:type="pct"/>
            <w:vAlign w:val="bottom"/>
          </w:tcPr>
          <w:p w:rsidR="0018357B" w:rsidRPr="00E62612" w:rsidRDefault="0018357B" w:rsidP="0018357B">
            <w:pPr>
              <w:pStyle w:val="TableBodyText"/>
              <w:jc w:val="left"/>
            </w:pPr>
            <w:r w:rsidRPr="00E62612">
              <w:t>Wholesale</w:t>
            </w:r>
          </w:p>
        </w:tc>
        <w:tc>
          <w:tcPr>
            <w:tcW w:w="1000" w:type="pct"/>
            <w:vAlign w:val="bottom"/>
          </w:tcPr>
          <w:p w:rsidR="0018357B" w:rsidRPr="00E62612" w:rsidRDefault="0018357B" w:rsidP="00F06EDC">
            <w:pPr>
              <w:pStyle w:val="TableBodyText"/>
              <w:ind w:right="258"/>
            </w:pPr>
            <w:r w:rsidRPr="00E62612">
              <w:t>0.35</w:t>
            </w:r>
          </w:p>
        </w:tc>
        <w:tc>
          <w:tcPr>
            <w:tcW w:w="901" w:type="pct"/>
            <w:vAlign w:val="bottom"/>
          </w:tcPr>
          <w:p w:rsidR="0018357B" w:rsidRPr="00E62612" w:rsidRDefault="0018357B" w:rsidP="00F06EDC">
            <w:pPr>
              <w:pStyle w:val="TableBodyText"/>
              <w:ind w:right="258"/>
            </w:pPr>
            <w:r w:rsidRPr="00E62612">
              <w:t>0.43</w:t>
            </w:r>
          </w:p>
        </w:tc>
        <w:tc>
          <w:tcPr>
            <w:tcW w:w="1099" w:type="pct"/>
            <w:vAlign w:val="bottom"/>
          </w:tcPr>
          <w:p w:rsidR="0018357B" w:rsidRPr="00E62612" w:rsidRDefault="0018357B" w:rsidP="0018357B">
            <w:pPr>
              <w:pStyle w:val="TableBodyText"/>
            </w:pPr>
            <w:r w:rsidRPr="00E62612">
              <w:t>0.07</w:t>
            </w:r>
          </w:p>
        </w:tc>
        <w:tc>
          <w:tcPr>
            <w:tcW w:w="998" w:type="pct"/>
            <w:vAlign w:val="bottom"/>
          </w:tcPr>
          <w:p w:rsidR="0018357B" w:rsidRPr="00E62612" w:rsidRDefault="0018357B" w:rsidP="0018357B">
            <w:pPr>
              <w:pStyle w:val="TableBodyText"/>
            </w:pPr>
            <w:r w:rsidRPr="00E62612">
              <w:t>4</w:t>
            </w:r>
          </w:p>
        </w:tc>
      </w:tr>
      <w:tr w:rsidR="0018357B" w:rsidTr="0018357B">
        <w:tc>
          <w:tcPr>
            <w:tcW w:w="1002" w:type="pct"/>
            <w:vAlign w:val="bottom"/>
          </w:tcPr>
          <w:p w:rsidR="0018357B" w:rsidRPr="00E62612" w:rsidRDefault="0018357B" w:rsidP="0018357B">
            <w:pPr>
              <w:pStyle w:val="TableBodyText"/>
              <w:jc w:val="left"/>
            </w:pPr>
            <w:r w:rsidRPr="00E62612">
              <w:t>Retail</w:t>
            </w:r>
          </w:p>
        </w:tc>
        <w:tc>
          <w:tcPr>
            <w:tcW w:w="1000" w:type="pct"/>
            <w:vAlign w:val="bottom"/>
          </w:tcPr>
          <w:p w:rsidR="0018357B" w:rsidRPr="00E62612" w:rsidRDefault="0018357B" w:rsidP="00F06EDC">
            <w:pPr>
              <w:pStyle w:val="TableBodyText"/>
              <w:ind w:right="258"/>
            </w:pPr>
            <w:r w:rsidRPr="00E62612">
              <w:t>0.40</w:t>
            </w:r>
          </w:p>
        </w:tc>
        <w:tc>
          <w:tcPr>
            <w:tcW w:w="901" w:type="pct"/>
            <w:vAlign w:val="bottom"/>
          </w:tcPr>
          <w:p w:rsidR="0018357B" w:rsidRPr="00E62612" w:rsidRDefault="0018357B" w:rsidP="00F06EDC">
            <w:pPr>
              <w:pStyle w:val="TableBodyText"/>
              <w:ind w:right="258"/>
            </w:pPr>
            <w:r w:rsidRPr="00E62612">
              <w:t>0.45</w:t>
            </w:r>
          </w:p>
        </w:tc>
        <w:tc>
          <w:tcPr>
            <w:tcW w:w="1099" w:type="pct"/>
            <w:vAlign w:val="bottom"/>
          </w:tcPr>
          <w:p w:rsidR="0018357B" w:rsidRPr="00E62612" w:rsidRDefault="0018357B" w:rsidP="0018357B">
            <w:pPr>
              <w:pStyle w:val="TableBodyText"/>
            </w:pPr>
            <w:r w:rsidRPr="00E62612">
              <w:t>0.05</w:t>
            </w:r>
          </w:p>
        </w:tc>
        <w:tc>
          <w:tcPr>
            <w:tcW w:w="998" w:type="pct"/>
            <w:vAlign w:val="bottom"/>
          </w:tcPr>
          <w:p w:rsidR="0018357B" w:rsidRPr="00E62612" w:rsidRDefault="0018357B" w:rsidP="0018357B">
            <w:pPr>
              <w:pStyle w:val="TableBodyText"/>
            </w:pPr>
            <w:r w:rsidRPr="00E62612">
              <w:t>2</w:t>
            </w:r>
          </w:p>
        </w:tc>
      </w:tr>
      <w:tr w:rsidR="0018357B" w:rsidTr="0018357B">
        <w:tc>
          <w:tcPr>
            <w:tcW w:w="1002" w:type="pct"/>
            <w:vAlign w:val="bottom"/>
          </w:tcPr>
          <w:p w:rsidR="0018357B" w:rsidRPr="00E62612" w:rsidRDefault="0018357B" w:rsidP="0018357B">
            <w:pPr>
              <w:pStyle w:val="TableBodyText"/>
              <w:jc w:val="left"/>
            </w:pPr>
            <w:r w:rsidRPr="00E62612">
              <w:t>Accommodation</w:t>
            </w:r>
          </w:p>
        </w:tc>
        <w:tc>
          <w:tcPr>
            <w:tcW w:w="1000" w:type="pct"/>
            <w:vAlign w:val="bottom"/>
          </w:tcPr>
          <w:p w:rsidR="0018357B" w:rsidRPr="00E62612" w:rsidRDefault="0018357B" w:rsidP="00F06EDC">
            <w:pPr>
              <w:pStyle w:val="TableBodyText"/>
              <w:ind w:right="258"/>
            </w:pPr>
            <w:r w:rsidRPr="00E62612">
              <w:t>0.28</w:t>
            </w:r>
          </w:p>
        </w:tc>
        <w:tc>
          <w:tcPr>
            <w:tcW w:w="901" w:type="pct"/>
            <w:vAlign w:val="bottom"/>
          </w:tcPr>
          <w:p w:rsidR="0018357B" w:rsidRPr="00E62612" w:rsidRDefault="0018357B" w:rsidP="00F06EDC">
            <w:pPr>
              <w:pStyle w:val="TableBodyText"/>
              <w:ind w:right="258"/>
            </w:pPr>
            <w:r w:rsidRPr="00E62612">
              <w:t>0.22</w:t>
            </w:r>
          </w:p>
        </w:tc>
        <w:tc>
          <w:tcPr>
            <w:tcW w:w="1099" w:type="pct"/>
            <w:vAlign w:val="bottom"/>
          </w:tcPr>
          <w:p w:rsidR="0018357B" w:rsidRPr="00E62612" w:rsidRDefault="0018357B" w:rsidP="0018357B">
            <w:pPr>
              <w:pStyle w:val="TableBodyText"/>
            </w:pPr>
            <w:r w:rsidRPr="00E62612">
              <w:t>-0.06</w:t>
            </w:r>
          </w:p>
        </w:tc>
        <w:tc>
          <w:tcPr>
            <w:tcW w:w="998" w:type="pct"/>
            <w:vAlign w:val="bottom"/>
          </w:tcPr>
          <w:p w:rsidR="0018357B" w:rsidRPr="00E62612" w:rsidRDefault="0018357B" w:rsidP="0018357B">
            <w:pPr>
              <w:pStyle w:val="TableBodyText"/>
            </w:pPr>
            <w:r w:rsidRPr="00E62612">
              <w:t>-3</w:t>
            </w:r>
          </w:p>
        </w:tc>
      </w:tr>
      <w:tr w:rsidR="0018357B" w:rsidTr="0018357B">
        <w:tc>
          <w:tcPr>
            <w:tcW w:w="1002" w:type="pct"/>
            <w:vAlign w:val="bottom"/>
          </w:tcPr>
          <w:p w:rsidR="0018357B" w:rsidRPr="00E62612" w:rsidRDefault="0018357B" w:rsidP="0018357B">
            <w:pPr>
              <w:pStyle w:val="TableBodyText"/>
              <w:jc w:val="left"/>
            </w:pPr>
            <w:r w:rsidRPr="00E62612">
              <w:t>Transport</w:t>
            </w:r>
          </w:p>
        </w:tc>
        <w:tc>
          <w:tcPr>
            <w:tcW w:w="1000" w:type="pct"/>
            <w:vAlign w:val="bottom"/>
          </w:tcPr>
          <w:p w:rsidR="0018357B" w:rsidRPr="00E62612" w:rsidRDefault="0018357B" w:rsidP="00F06EDC">
            <w:pPr>
              <w:pStyle w:val="TableBodyText"/>
              <w:ind w:right="258"/>
            </w:pPr>
            <w:r w:rsidRPr="00E62612">
              <w:t>0.35</w:t>
            </w:r>
          </w:p>
        </w:tc>
        <w:tc>
          <w:tcPr>
            <w:tcW w:w="901" w:type="pct"/>
            <w:vAlign w:val="bottom"/>
          </w:tcPr>
          <w:p w:rsidR="0018357B" w:rsidRPr="00E62612" w:rsidRDefault="0018357B" w:rsidP="00F06EDC">
            <w:pPr>
              <w:pStyle w:val="TableBodyText"/>
              <w:ind w:right="258"/>
            </w:pPr>
            <w:r w:rsidRPr="00E62612">
              <w:t>0.54</w:t>
            </w:r>
          </w:p>
        </w:tc>
        <w:tc>
          <w:tcPr>
            <w:tcW w:w="1099" w:type="pct"/>
            <w:vAlign w:val="bottom"/>
          </w:tcPr>
          <w:p w:rsidR="0018357B" w:rsidRPr="00E62612" w:rsidRDefault="0018357B" w:rsidP="0018357B">
            <w:pPr>
              <w:pStyle w:val="TableBodyText"/>
            </w:pPr>
            <w:r w:rsidRPr="00E62612">
              <w:t>0.19</w:t>
            </w:r>
          </w:p>
        </w:tc>
        <w:tc>
          <w:tcPr>
            <w:tcW w:w="998" w:type="pct"/>
            <w:vAlign w:val="bottom"/>
          </w:tcPr>
          <w:p w:rsidR="0018357B" w:rsidRPr="00E62612" w:rsidRDefault="0018357B" w:rsidP="0018357B">
            <w:pPr>
              <w:pStyle w:val="TableBodyText"/>
            </w:pPr>
            <w:r w:rsidRPr="00E62612">
              <w:t>9</w:t>
            </w:r>
          </w:p>
        </w:tc>
      </w:tr>
      <w:tr w:rsidR="0018357B" w:rsidTr="0018357B">
        <w:tc>
          <w:tcPr>
            <w:tcW w:w="1002" w:type="pct"/>
            <w:shd w:val="clear" w:color="auto" w:fill="auto"/>
            <w:vAlign w:val="bottom"/>
          </w:tcPr>
          <w:p w:rsidR="0018357B" w:rsidRPr="00E62612" w:rsidRDefault="0018357B" w:rsidP="0018357B">
            <w:pPr>
              <w:pStyle w:val="TableBodyText"/>
              <w:jc w:val="left"/>
            </w:pPr>
            <w:r w:rsidRPr="00E62612">
              <w:t>Telecoms</w:t>
            </w:r>
          </w:p>
        </w:tc>
        <w:tc>
          <w:tcPr>
            <w:tcW w:w="1000" w:type="pct"/>
            <w:vAlign w:val="bottom"/>
          </w:tcPr>
          <w:p w:rsidR="0018357B" w:rsidRPr="00E62612" w:rsidRDefault="0018357B" w:rsidP="00F06EDC">
            <w:pPr>
              <w:pStyle w:val="TableBodyText"/>
              <w:ind w:right="258"/>
            </w:pPr>
            <w:r w:rsidRPr="00E62612">
              <w:t>0.38</w:t>
            </w:r>
          </w:p>
        </w:tc>
        <w:tc>
          <w:tcPr>
            <w:tcW w:w="901" w:type="pct"/>
            <w:vAlign w:val="bottom"/>
          </w:tcPr>
          <w:p w:rsidR="0018357B" w:rsidRPr="00E62612" w:rsidRDefault="0018357B" w:rsidP="00F06EDC">
            <w:pPr>
              <w:pStyle w:val="TableBodyText"/>
              <w:ind w:right="258"/>
            </w:pPr>
            <w:r w:rsidRPr="00E62612">
              <w:t>0.28</w:t>
            </w:r>
          </w:p>
        </w:tc>
        <w:tc>
          <w:tcPr>
            <w:tcW w:w="1099" w:type="pct"/>
            <w:shd w:val="clear" w:color="auto" w:fill="auto"/>
            <w:vAlign w:val="bottom"/>
          </w:tcPr>
          <w:p w:rsidR="0018357B" w:rsidRPr="00E62612" w:rsidRDefault="0018357B" w:rsidP="0018357B">
            <w:pPr>
              <w:pStyle w:val="TableBodyText"/>
            </w:pPr>
            <w:r w:rsidRPr="00E62612">
              <w:t>-0.10</w:t>
            </w:r>
          </w:p>
        </w:tc>
        <w:tc>
          <w:tcPr>
            <w:tcW w:w="998" w:type="pct"/>
            <w:shd w:val="clear" w:color="auto" w:fill="auto"/>
            <w:vAlign w:val="bottom"/>
          </w:tcPr>
          <w:p w:rsidR="0018357B" w:rsidRPr="00E62612" w:rsidRDefault="0018357B" w:rsidP="0018357B">
            <w:pPr>
              <w:pStyle w:val="TableBodyText"/>
            </w:pPr>
            <w:r w:rsidRPr="00E62612">
              <w:t>-5</w:t>
            </w:r>
          </w:p>
        </w:tc>
      </w:tr>
      <w:tr w:rsidR="0018357B" w:rsidTr="0018357B">
        <w:tc>
          <w:tcPr>
            <w:tcW w:w="1002" w:type="pct"/>
            <w:shd w:val="clear" w:color="auto" w:fill="auto"/>
            <w:vAlign w:val="bottom"/>
          </w:tcPr>
          <w:p w:rsidR="0018357B" w:rsidRPr="00E62612" w:rsidRDefault="0018357B" w:rsidP="006F19BD">
            <w:pPr>
              <w:pStyle w:val="TableBodyText"/>
              <w:jc w:val="left"/>
            </w:pPr>
            <w:r w:rsidRPr="00E62612">
              <w:t>Financ</w:t>
            </w:r>
            <w:r w:rsidR="006F19BD">
              <w:t>e</w:t>
            </w:r>
          </w:p>
        </w:tc>
        <w:tc>
          <w:tcPr>
            <w:tcW w:w="1000" w:type="pct"/>
            <w:vAlign w:val="bottom"/>
          </w:tcPr>
          <w:p w:rsidR="0018357B" w:rsidRPr="00E62612" w:rsidRDefault="0018357B" w:rsidP="00F06EDC">
            <w:pPr>
              <w:pStyle w:val="TableBodyText"/>
              <w:ind w:right="258"/>
            </w:pPr>
            <w:r w:rsidRPr="00E62612">
              <w:t>0.96</w:t>
            </w:r>
          </w:p>
        </w:tc>
        <w:tc>
          <w:tcPr>
            <w:tcW w:w="901" w:type="pct"/>
            <w:vAlign w:val="bottom"/>
          </w:tcPr>
          <w:p w:rsidR="0018357B" w:rsidRPr="00E62612" w:rsidRDefault="0018357B" w:rsidP="00F06EDC">
            <w:pPr>
              <w:pStyle w:val="TableBodyText"/>
              <w:ind w:right="258"/>
            </w:pPr>
            <w:r w:rsidRPr="00E62612">
              <w:t>1.15</w:t>
            </w:r>
          </w:p>
        </w:tc>
        <w:tc>
          <w:tcPr>
            <w:tcW w:w="1099" w:type="pct"/>
            <w:shd w:val="clear" w:color="auto" w:fill="auto"/>
            <w:vAlign w:val="bottom"/>
          </w:tcPr>
          <w:p w:rsidR="0018357B" w:rsidRPr="00E62612" w:rsidRDefault="0018357B" w:rsidP="0018357B">
            <w:pPr>
              <w:pStyle w:val="TableBodyText"/>
            </w:pPr>
            <w:r w:rsidRPr="00E62612">
              <w:t>0.19</w:t>
            </w:r>
          </w:p>
        </w:tc>
        <w:tc>
          <w:tcPr>
            <w:tcW w:w="998" w:type="pct"/>
            <w:shd w:val="clear" w:color="auto" w:fill="auto"/>
            <w:vAlign w:val="bottom"/>
          </w:tcPr>
          <w:p w:rsidR="0018357B" w:rsidRPr="00E62612" w:rsidRDefault="0018357B" w:rsidP="0018357B">
            <w:pPr>
              <w:pStyle w:val="TableBodyText"/>
            </w:pPr>
            <w:r w:rsidRPr="00E62612">
              <w:t>9</w:t>
            </w:r>
          </w:p>
        </w:tc>
      </w:tr>
      <w:tr w:rsidR="0018357B" w:rsidTr="0018357B">
        <w:tc>
          <w:tcPr>
            <w:tcW w:w="1002" w:type="pct"/>
            <w:shd w:val="clear" w:color="auto" w:fill="auto"/>
            <w:vAlign w:val="bottom"/>
          </w:tcPr>
          <w:p w:rsidR="0018357B" w:rsidRPr="00E62612" w:rsidRDefault="0018357B" w:rsidP="0018357B">
            <w:pPr>
              <w:pStyle w:val="TableBodyText"/>
              <w:jc w:val="left"/>
            </w:pPr>
            <w:r w:rsidRPr="00E62612">
              <w:t>Arts &amp; rec</w:t>
            </w:r>
          </w:p>
        </w:tc>
        <w:tc>
          <w:tcPr>
            <w:tcW w:w="1000" w:type="pct"/>
            <w:vAlign w:val="bottom"/>
          </w:tcPr>
          <w:p w:rsidR="0018357B" w:rsidRPr="00E62612" w:rsidRDefault="0018357B" w:rsidP="00F06EDC">
            <w:pPr>
              <w:pStyle w:val="TableBodyText"/>
              <w:ind w:right="258"/>
            </w:pPr>
            <w:r w:rsidRPr="00E62612">
              <w:t>0.40</w:t>
            </w:r>
          </w:p>
        </w:tc>
        <w:tc>
          <w:tcPr>
            <w:tcW w:w="901" w:type="pct"/>
            <w:vAlign w:val="bottom"/>
          </w:tcPr>
          <w:p w:rsidR="0018357B" w:rsidRPr="00E62612" w:rsidRDefault="0018357B" w:rsidP="00F06EDC">
            <w:pPr>
              <w:pStyle w:val="TableBodyText"/>
              <w:ind w:right="258"/>
            </w:pPr>
            <w:r w:rsidRPr="00E62612">
              <w:t>0.54</w:t>
            </w:r>
          </w:p>
        </w:tc>
        <w:tc>
          <w:tcPr>
            <w:tcW w:w="1099" w:type="pct"/>
            <w:shd w:val="clear" w:color="auto" w:fill="auto"/>
            <w:vAlign w:val="bottom"/>
          </w:tcPr>
          <w:p w:rsidR="0018357B" w:rsidRPr="00E62612" w:rsidRDefault="0018357B" w:rsidP="0018357B">
            <w:pPr>
              <w:pStyle w:val="TableBodyText"/>
            </w:pPr>
            <w:r w:rsidRPr="00E62612">
              <w:t>0.14</w:t>
            </w:r>
          </w:p>
        </w:tc>
        <w:tc>
          <w:tcPr>
            <w:tcW w:w="998" w:type="pct"/>
            <w:shd w:val="clear" w:color="auto" w:fill="auto"/>
            <w:vAlign w:val="bottom"/>
          </w:tcPr>
          <w:p w:rsidR="0018357B" w:rsidRPr="00E62612" w:rsidRDefault="0018357B" w:rsidP="0018357B">
            <w:pPr>
              <w:pStyle w:val="TableBodyText"/>
            </w:pPr>
            <w:r w:rsidRPr="00E62612">
              <w:t>7</w:t>
            </w:r>
          </w:p>
        </w:tc>
      </w:tr>
      <w:tr w:rsidR="0018357B" w:rsidTr="0018357B">
        <w:tc>
          <w:tcPr>
            <w:tcW w:w="1002" w:type="pct"/>
            <w:tcBorders>
              <w:bottom w:val="single" w:sz="6" w:space="0" w:color="auto"/>
            </w:tcBorders>
            <w:shd w:val="clear" w:color="auto" w:fill="auto"/>
            <w:vAlign w:val="bottom"/>
          </w:tcPr>
          <w:p w:rsidR="0018357B" w:rsidRPr="00E62612" w:rsidRDefault="0018357B" w:rsidP="0018357B">
            <w:pPr>
              <w:pStyle w:val="TableBodyText"/>
              <w:jc w:val="left"/>
            </w:pPr>
            <w:r w:rsidRPr="00E62612">
              <w:t xml:space="preserve">Market sector </w:t>
            </w:r>
            <w:r w:rsidR="00D6788A">
              <w:t>12</w:t>
            </w:r>
          </w:p>
        </w:tc>
        <w:tc>
          <w:tcPr>
            <w:tcW w:w="1000" w:type="pct"/>
            <w:tcBorders>
              <w:bottom w:val="single" w:sz="6" w:space="0" w:color="auto"/>
            </w:tcBorders>
            <w:vAlign w:val="bottom"/>
          </w:tcPr>
          <w:p w:rsidR="0018357B" w:rsidRPr="00E62612" w:rsidRDefault="0018357B" w:rsidP="00F06EDC">
            <w:pPr>
              <w:pStyle w:val="TableBodyText"/>
              <w:ind w:right="258"/>
            </w:pPr>
            <w:r w:rsidRPr="00E62612">
              <w:t>4.5</w:t>
            </w:r>
          </w:p>
        </w:tc>
        <w:tc>
          <w:tcPr>
            <w:tcW w:w="901" w:type="pct"/>
            <w:tcBorders>
              <w:bottom w:val="single" w:sz="6" w:space="0" w:color="auto"/>
            </w:tcBorders>
            <w:vAlign w:val="bottom"/>
          </w:tcPr>
          <w:p w:rsidR="0018357B" w:rsidRPr="00E62612" w:rsidRDefault="0018357B" w:rsidP="00F06EDC">
            <w:pPr>
              <w:pStyle w:val="TableBodyText"/>
              <w:ind w:right="258"/>
            </w:pPr>
            <w:r w:rsidRPr="00E62612">
              <w:t>6.6</w:t>
            </w:r>
          </w:p>
        </w:tc>
        <w:tc>
          <w:tcPr>
            <w:tcW w:w="1099" w:type="pct"/>
            <w:tcBorders>
              <w:bottom w:val="single" w:sz="6" w:space="0" w:color="auto"/>
            </w:tcBorders>
            <w:shd w:val="clear" w:color="auto" w:fill="auto"/>
            <w:vAlign w:val="bottom"/>
          </w:tcPr>
          <w:p w:rsidR="0018357B" w:rsidRPr="00E62612" w:rsidRDefault="0018357B" w:rsidP="0018357B">
            <w:pPr>
              <w:pStyle w:val="TableBodyText"/>
            </w:pPr>
            <w:r w:rsidRPr="00E62612">
              <w:t>2.0</w:t>
            </w:r>
          </w:p>
        </w:tc>
        <w:tc>
          <w:tcPr>
            <w:tcW w:w="998" w:type="pct"/>
            <w:tcBorders>
              <w:bottom w:val="single" w:sz="6" w:space="0" w:color="auto"/>
            </w:tcBorders>
            <w:shd w:val="clear" w:color="auto" w:fill="auto"/>
            <w:vAlign w:val="bottom"/>
          </w:tcPr>
          <w:p w:rsidR="0018357B" w:rsidRPr="00E62612" w:rsidRDefault="0018357B" w:rsidP="0018357B">
            <w:pPr>
              <w:pStyle w:val="TableBodyText"/>
            </w:pPr>
            <w:r w:rsidRPr="00E62612">
              <w:t>100</w:t>
            </w:r>
          </w:p>
        </w:tc>
      </w:tr>
    </w:tbl>
    <w:p w:rsidR="0018357B" w:rsidRPr="008E77FE" w:rsidRDefault="003E4433" w:rsidP="00342EAE">
      <w:pPr>
        <w:pStyle w:val="Source"/>
      </w:pPr>
      <w:r>
        <w:rPr>
          <w:i/>
        </w:rPr>
        <w:t>Source</w:t>
      </w:r>
      <w:r w:rsidR="0018357B">
        <w:t>: Author</w:t>
      </w:r>
      <w:r>
        <w:t>’s estimates based on National Accounts</w:t>
      </w:r>
      <w:r w:rsidR="00D6788A">
        <w:t>.</w:t>
      </w:r>
    </w:p>
    <w:p w:rsidR="00AE7A60" w:rsidRDefault="00146747" w:rsidP="00AE7A60">
      <w:pPr>
        <w:pStyle w:val="Heading2"/>
      </w:pPr>
      <w:r>
        <w:lastRenderedPageBreak/>
        <w:fldChar w:fldCharType="begin"/>
      </w:r>
      <w:r>
        <w:instrText xml:space="preserve"> COMMENTS  \* MERGEFORMAT </w:instrText>
      </w:r>
      <w:r>
        <w:fldChar w:fldCharType="separate"/>
      </w:r>
      <w:r w:rsidR="00C536C1">
        <w:t>2.</w:t>
      </w:r>
      <w:r>
        <w:fldChar w:fldCharType="end"/>
      </w:r>
      <w:r>
        <w:fldChar w:fldCharType="begin"/>
      </w:r>
      <w:r>
        <w:instrText xml:space="preserve"> SEQ Heading2 </w:instrText>
      </w:r>
      <w:r>
        <w:fldChar w:fldCharType="separate"/>
      </w:r>
      <w:r w:rsidR="00876EEE">
        <w:rPr>
          <w:noProof/>
        </w:rPr>
        <w:t>4</w:t>
      </w:r>
      <w:r>
        <w:rPr>
          <w:noProof/>
        </w:rPr>
        <w:fldChar w:fldCharType="end"/>
      </w:r>
      <w:r w:rsidR="00691B4E">
        <w:tab/>
      </w:r>
      <w:r w:rsidR="000C4DED">
        <w:t>Key point s</w:t>
      </w:r>
      <w:r w:rsidR="00F37DC4">
        <w:t>ummary</w:t>
      </w:r>
    </w:p>
    <w:p w:rsidR="00950ADE" w:rsidRDefault="00CB41B3" w:rsidP="000C4DED">
      <w:pPr>
        <w:pStyle w:val="ListBullet"/>
      </w:pPr>
      <w:r>
        <w:t>Australia’s ‘</w:t>
      </w:r>
      <w:r w:rsidR="005233C3">
        <w:t>income</w:t>
      </w:r>
      <w:r>
        <w:t xml:space="preserve"> pie’ grew quite </w:t>
      </w:r>
      <w:r w:rsidR="00021A54">
        <w:t>quickly</w:t>
      </w:r>
      <w:r>
        <w:t xml:space="preserve"> in both the </w:t>
      </w:r>
      <w:proofErr w:type="spellStart"/>
      <w:r>
        <w:t>1990s</w:t>
      </w:r>
      <w:proofErr w:type="spellEnd"/>
      <w:r>
        <w:t xml:space="preserve"> (the ‘productivity decade’) and the </w:t>
      </w:r>
      <w:proofErr w:type="spellStart"/>
      <w:r>
        <w:t>2000s</w:t>
      </w:r>
      <w:proofErr w:type="spellEnd"/>
      <w:r>
        <w:t xml:space="preserve"> (the ‘terms of trade decade</w:t>
      </w:r>
      <w:r w:rsidR="0042018F">
        <w:t>’</w:t>
      </w:r>
      <w:r>
        <w:t>)</w:t>
      </w:r>
      <w:r w:rsidR="004A1463">
        <w:t xml:space="preserve">. </w:t>
      </w:r>
    </w:p>
    <w:p w:rsidR="00950ADE" w:rsidRDefault="000C4DED" w:rsidP="000C4DED">
      <w:pPr>
        <w:pStyle w:val="ListBullet2"/>
      </w:pPr>
      <w:r>
        <w:t>G</w:t>
      </w:r>
      <w:r w:rsidR="00950ADE">
        <w:t>rowth in r</w:t>
      </w:r>
      <w:r w:rsidR="005233C3">
        <w:t>eal income</w:t>
      </w:r>
      <w:r w:rsidR="00950ADE">
        <w:t xml:space="preserve"> and real income per capita w</w:t>
      </w:r>
      <w:r w:rsidR="00886C96">
        <w:t>ere</w:t>
      </w:r>
      <w:r w:rsidR="00950ADE">
        <w:t xml:space="preserve"> stronger in the </w:t>
      </w:r>
      <w:proofErr w:type="spellStart"/>
      <w:r w:rsidR="00CB41B3">
        <w:t>2000s</w:t>
      </w:r>
      <w:proofErr w:type="spellEnd"/>
      <w:r w:rsidR="00CB41B3">
        <w:t xml:space="preserve"> than in the </w:t>
      </w:r>
      <w:proofErr w:type="spellStart"/>
      <w:r w:rsidR="00CB41B3">
        <w:t>1990s</w:t>
      </w:r>
      <w:proofErr w:type="spellEnd"/>
      <w:r w:rsidR="00CB41B3">
        <w:t>.</w:t>
      </w:r>
    </w:p>
    <w:p w:rsidR="00CB41B3" w:rsidRDefault="00950ADE" w:rsidP="000C4DED">
      <w:pPr>
        <w:pStyle w:val="ListBullet"/>
      </w:pPr>
      <w:r>
        <w:t>Th</w:t>
      </w:r>
      <w:r w:rsidR="000C4DED">
        <w:t>e</w:t>
      </w:r>
      <w:r>
        <w:t xml:space="preserve"> stronger growth </w:t>
      </w:r>
      <w:r w:rsidR="000C4DED">
        <w:t xml:space="preserve">in the </w:t>
      </w:r>
      <w:proofErr w:type="spellStart"/>
      <w:r w:rsidR="000C4DED">
        <w:t>2000s</w:t>
      </w:r>
      <w:proofErr w:type="spellEnd"/>
      <w:r w:rsidR="000C4DED">
        <w:t xml:space="preserve"> </w:t>
      </w:r>
      <w:r>
        <w:t>was due to the very large rise in the terms of trade.</w:t>
      </w:r>
    </w:p>
    <w:p w:rsidR="00950ADE" w:rsidRDefault="00950ADE" w:rsidP="000C4DED">
      <w:pPr>
        <w:pStyle w:val="ListBullet2"/>
      </w:pPr>
      <w:r>
        <w:t xml:space="preserve">Real income growth was stronger in the </w:t>
      </w:r>
      <w:proofErr w:type="spellStart"/>
      <w:r>
        <w:t>2000s</w:t>
      </w:r>
      <w:proofErr w:type="spellEnd"/>
      <w:r>
        <w:t>, even though output growth was weaker.</w:t>
      </w:r>
    </w:p>
    <w:p w:rsidR="00950ADE" w:rsidRDefault="00950ADE" w:rsidP="000C4DED">
      <w:pPr>
        <w:pStyle w:val="ListBullet2"/>
      </w:pPr>
      <w:r>
        <w:t xml:space="preserve">Productivity growth was the major propellant of prosperity, or improvements in average living standards in the </w:t>
      </w:r>
      <w:proofErr w:type="spellStart"/>
      <w:r>
        <w:t>1990s</w:t>
      </w:r>
      <w:proofErr w:type="spellEnd"/>
      <w:r>
        <w:t xml:space="preserve">. But the terms of trade more than filled the gap left by slower productivity growth in the </w:t>
      </w:r>
      <w:proofErr w:type="spellStart"/>
      <w:r>
        <w:t>2000s</w:t>
      </w:r>
      <w:proofErr w:type="spellEnd"/>
      <w:r>
        <w:t>.</w:t>
      </w:r>
    </w:p>
    <w:p w:rsidR="000F5DDC" w:rsidRDefault="000F5DDC" w:rsidP="000C4DED">
      <w:pPr>
        <w:pStyle w:val="ListBullet2"/>
      </w:pPr>
      <w:r>
        <w:t xml:space="preserve">The terms of trade accounted for over 20 per cent of the growth in real income in the </w:t>
      </w:r>
      <w:proofErr w:type="spellStart"/>
      <w:r>
        <w:t>2000s</w:t>
      </w:r>
      <w:proofErr w:type="spellEnd"/>
      <w:r>
        <w:t>.</w:t>
      </w:r>
    </w:p>
    <w:p w:rsidR="00950ADE" w:rsidRDefault="00B62124" w:rsidP="000C4DED">
      <w:pPr>
        <w:pStyle w:val="ListBullet"/>
      </w:pPr>
      <w:r>
        <w:t xml:space="preserve">A decline in capital productivity was the major proximate factor holding back productivity growth in the </w:t>
      </w:r>
      <w:proofErr w:type="spellStart"/>
      <w:r>
        <w:t>2000s</w:t>
      </w:r>
      <w:proofErr w:type="spellEnd"/>
      <w:r>
        <w:t>.</w:t>
      </w:r>
    </w:p>
    <w:p w:rsidR="00B62124" w:rsidRDefault="00B62124" w:rsidP="000C4DED">
      <w:pPr>
        <w:pStyle w:val="ListBullet2"/>
      </w:pPr>
      <w:r>
        <w:t xml:space="preserve">Ordinarily, a decline in capital productivity would mean a decline in income associated with output growth. </w:t>
      </w:r>
    </w:p>
    <w:p w:rsidR="00B62124" w:rsidRDefault="00B62124" w:rsidP="000C4DED">
      <w:pPr>
        <w:pStyle w:val="ListBullet2"/>
      </w:pPr>
      <w:r>
        <w:t xml:space="preserve">But there has been income growth due to </w:t>
      </w:r>
      <w:r w:rsidR="000F5DDC">
        <w:t xml:space="preserve">the </w:t>
      </w:r>
      <w:r>
        <w:t>terms of trade gains</w:t>
      </w:r>
      <w:r w:rsidR="00F9153E">
        <w:t>.</w:t>
      </w:r>
      <w:r>
        <w:t xml:space="preserve"> </w:t>
      </w:r>
    </w:p>
    <w:p w:rsidR="000C4DED" w:rsidRDefault="000C4DED" w:rsidP="000C4DED">
      <w:pPr>
        <w:pStyle w:val="ListBullet"/>
      </w:pPr>
      <w:r>
        <w:t xml:space="preserve">The additional income growth in the </w:t>
      </w:r>
      <w:proofErr w:type="spellStart"/>
      <w:r>
        <w:t>2000s</w:t>
      </w:r>
      <w:proofErr w:type="spellEnd"/>
      <w:r>
        <w:t xml:space="preserve"> was largely generated in the </w:t>
      </w:r>
      <w:r w:rsidR="00F9153E">
        <w:t>M</w:t>
      </w:r>
      <w:r>
        <w:t xml:space="preserve">ining and </w:t>
      </w:r>
      <w:r w:rsidR="00F9153E">
        <w:t>C</w:t>
      </w:r>
      <w:r>
        <w:t>onstruction industries.</w:t>
      </w:r>
    </w:p>
    <w:p w:rsidR="000C4DED" w:rsidRPr="00950ADE" w:rsidRDefault="000C4DED" w:rsidP="000C4DED">
      <w:pPr>
        <w:pStyle w:val="ListBullet2"/>
      </w:pPr>
      <w:r>
        <w:t>The pattern of reallocation of income among industries points to the mining boom</w:t>
      </w:r>
      <w:r w:rsidR="000F5DDC" w:rsidRPr="000F5DDC">
        <w:t xml:space="preserve"> </w:t>
      </w:r>
      <w:r w:rsidR="007D1699">
        <w:t xml:space="preserve">as </w:t>
      </w:r>
      <w:r w:rsidR="001E7C92">
        <w:t xml:space="preserve">being </w:t>
      </w:r>
      <w:r w:rsidR="000F5DDC">
        <w:t>a driving influence</w:t>
      </w:r>
      <w:r>
        <w:t>.</w:t>
      </w:r>
    </w:p>
    <w:sectPr w:rsidR="000C4DED" w:rsidRPr="00950ADE" w:rsidSect="00C536C1">
      <w:headerReference w:type="even" r:id="rId13"/>
      <w:headerReference w:type="default" r:id="rId14"/>
      <w:footerReference w:type="even" r:id="rId15"/>
      <w:footerReference w:type="default" r:id="rId16"/>
      <w:headerReference w:type="first" r:id="rId17"/>
      <w:footerReference w:type="first" r:id="rId18"/>
      <w:pgSz w:w="11907" w:h="16840" w:code="9"/>
      <w:pgMar w:top="1985" w:right="1304" w:bottom="1418" w:left="1814" w:header="1701" w:footer="567" w:gutter="0"/>
      <w:pgNumType w:start="2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F91" w:rsidRDefault="00B53F91">
      <w:r>
        <w:separator/>
      </w:r>
    </w:p>
  </w:endnote>
  <w:endnote w:type="continuationSeparator" w:id="0">
    <w:p w:rsidR="00B53F91" w:rsidRDefault="00B5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53F91">
      <w:trPr>
        <w:trHeight w:hRule="exact" w:val="740"/>
      </w:trPr>
      <w:tc>
        <w:tcPr>
          <w:tcW w:w="510" w:type="dxa"/>
          <w:tcBorders>
            <w:top w:val="single" w:sz="6" w:space="0" w:color="auto"/>
          </w:tcBorders>
        </w:tcPr>
        <w:p w:rsidR="00B53F91" w:rsidRDefault="00B53F9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46747">
            <w:rPr>
              <w:rStyle w:val="PageNumber"/>
              <w:noProof/>
            </w:rPr>
            <w:t>36</w:t>
          </w:r>
          <w:r>
            <w:rPr>
              <w:rStyle w:val="PageNumber"/>
            </w:rPr>
            <w:fldChar w:fldCharType="end"/>
          </w:r>
        </w:p>
      </w:tc>
      <w:tc>
        <w:tcPr>
          <w:tcW w:w="1644" w:type="dxa"/>
          <w:tcBorders>
            <w:top w:val="single" w:sz="6" w:space="0" w:color="auto"/>
          </w:tcBorders>
        </w:tcPr>
        <w:p w:rsidR="00B53F91" w:rsidRDefault="00146747" w:rsidP="00AE7A60">
          <w:pPr>
            <w:pStyle w:val="Footer"/>
          </w:pPr>
          <w:r>
            <w:fldChar w:fldCharType="begin"/>
          </w:r>
          <w:r>
            <w:instrText xml:space="preserve"> SUBJECT  \* MERGEFORMAT </w:instrText>
          </w:r>
          <w:r>
            <w:fldChar w:fldCharType="separate"/>
          </w:r>
          <w:r w:rsidR="00876EEE">
            <w:t>Labour's share of growth in income and prosperity</w:t>
          </w:r>
          <w:r>
            <w:fldChar w:fldCharType="end"/>
          </w:r>
        </w:p>
      </w:tc>
      <w:tc>
        <w:tcPr>
          <w:tcW w:w="6634" w:type="dxa"/>
        </w:tcPr>
        <w:p w:rsidR="00B53F91" w:rsidRDefault="00B53F91" w:rsidP="0019293B">
          <w:pPr>
            <w:pStyle w:val="Footer"/>
          </w:pPr>
        </w:p>
      </w:tc>
    </w:tr>
  </w:tbl>
  <w:p w:rsidR="00B53F91" w:rsidRDefault="00B53F9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53F91">
      <w:trPr>
        <w:trHeight w:hRule="exact" w:val="740"/>
      </w:trPr>
      <w:tc>
        <w:tcPr>
          <w:tcW w:w="6634" w:type="dxa"/>
        </w:tcPr>
        <w:p w:rsidR="00B53F91" w:rsidRDefault="00B53F91">
          <w:pPr>
            <w:pStyle w:val="Footer"/>
            <w:ind w:right="360" w:firstLine="360"/>
          </w:pPr>
        </w:p>
      </w:tc>
      <w:tc>
        <w:tcPr>
          <w:tcW w:w="1644" w:type="dxa"/>
          <w:tcBorders>
            <w:top w:val="single" w:sz="6" w:space="0" w:color="auto"/>
          </w:tcBorders>
        </w:tcPr>
        <w:p w:rsidR="00B53F91" w:rsidRDefault="00146747">
          <w:pPr>
            <w:pStyle w:val="Footer"/>
          </w:pPr>
          <w:r>
            <w:fldChar w:fldCharType="begin"/>
          </w:r>
          <w:r>
            <w:instrText xml:space="preserve"> TITLE  \* MERGEFORMAT </w:instrText>
          </w:r>
          <w:r>
            <w:fldChar w:fldCharType="separate"/>
          </w:r>
          <w:r w:rsidR="00876EEE">
            <w:t>Income and its sources</w:t>
          </w:r>
          <w:r>
            <w:fldChar w:fldCharType="end"/>
          </w:r>
        </w:p>
      </w:tc>
      <w:tc>
        <w:tcPr>
          <w:tcW w:w="510" w:type="dxa"/>
          <w:tcBorders>
            <w:top w:val="single" w:sz="6" w:space="0" w:color="auto"/>
          </w:tcBorders>
        </w:tcPr>
        <w:p w:rsidR="00B53F91" w:rsidRDefault="00B53F91">
          <w:pPr>
            <w:pStyle w:val="Footer"/>
            <w:jc w:val="right"/>
          </w:pPr>
          <w:r>
            <w:rPr>
              <w:rStyle w:val="PageNumber"/>
            </w:rPr>
            <w:fldChar w:fldCharType="begin"/>
          </w:r>
          <w:r>
            <w:rPr>
              <w:rStyle w:val="PageNumber"/>
            </w:rPr>
            <w:instrText xml:space="preserve">PAGE  </w:instrText>
          </w:r>
          <w:r>
            <w:rPr>
              <w:rStyle w:val="PageNumber"/>
            </w:rPr>
            <w:fldChar w:fldCharType="separate"/>
          </w:r>
          <w:r w:rsidR="00146747">
            <w:rPr>
              <w:rStyle w:val="PageNumber"/>
              <w:noProof/>
            </w:rPr>
            <w:t>25</w:t>
          </w:r>
          <w:r>
            <w:rPr>
              <w:rStyle w:val="PageNumber"/>
            </w:rPr>
            <w:fldChar w:fldCharType="end"/>
          </w:r>
        </w:p>
      </w:tc>
    </w:tr>
  </w:tbl>
  <w:p w:rsidR="00B53F91" w:rsidRDefault="00B53F9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91" w:rsidRDefault="00AD4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F91" w:rsidRDefault="00B53F91">
      <w:r>
        <w:separator/>
      </w:r>
    </w:p>
  </w:footnote>
  <w:footnote w:type="continuationSeparator" w:id="0">
    <w:p w:rsidR="00B53F91" w:rsidRDefault="00B53F91">
      <w:r>
        <w:continuationSeparator/>
      </w:r>
    </w:p>
  </w:footnote>
  <w:footnote w:id="1">
    <w:p w:rsidR="00B53F91" w:rsidRDefault="00B53F91">
      <w:pPr>
        <w:pStyle w:val="FootnoteText"/>
      </w:pPr>
      <w:r>
        <w:rPr>
          <w:rStyle w:val="FootnoteReference"/>
        </w:rPr>
        <w:footnoteRef/>
      </w:r>
      <w:r>
        <w:tab/>
        <w:t>Chained volume measures, as reported here, also take account of structural change by incorporating annual updates of industry shares in the total economy.</w:t>
      </w:r>
    </w:p>
  </w:footnote>
  <w:footnote w:id="2">
    <w:p w:rsidR="00B53F91" w:rsidRDefault="00B53F91" w:rsidP="0063342C">
      <w:pPr>
        <w:pStyle w:val="FootnoteText"/>
      </w:pPr>
      <w:r>
        <w:rPr>
          <w:rStyle w:val="FootnoteReference"/>
        </w:rPr>
        <w:footnoteRef/>
      </w:r>
      <w:r>
        <w:tab/>
        <w:t xml:space="preserve">The average annual rate of growth in </w:t>
      </w:r>
      <w:proofErr w:type="spellStart"/>
      <w:r>
        <w:t>GDI</w:t>
      </w:r>
      <w:proofErr w:type="spellEnd"/>
      <w:r>
        <w:t xml:space="preserve"> from 1999-00 to 2010-11 was 4.1 per cent.</w:t>
      </w:r>
    </w:p>
  </w:footnote>
  <w:footnote w:id="3">
    <w:p w:rsidR="00B53F91" w:rsidRDefault="00B53F91" w:rsidP="0004521A">
      <w:pPr>
        <w:pStyle w:val="FootnoteText"/>
      </w:pPr>
      <w:r>
        <w:rPr>
          <w:rStyle w:val="FootnoteReference"/>
        </w:rPr>
        <w:footnoteRef/>
      </w:r>
      <w:r>
        <w:tab/>
        <w:t>Net national disposable income per person is an even better measure of prosperity and living standards. Net national disposable income adjusts GDP for shifts in the terms of trade, nets out depreciation and takes account of net income flows to foreigners.</w:t>
      </w:r>
      <w:r w:rsidRPr="00CD072D">
        <w:t xml:space="preserve"> </w:t>
      </w:r>
      <w:r>
        <w:t>It indicates the real net income available to Australians.</w:t>
      </w:r>
    </w:p>
  </w:footnote>
  <w:footnote w:id="4">
    <w:p w:rsidR="00B53F91" w:rsidRDefault="00B53F91">
      <w:pPr>
        <w:pStyle w:val="FootnoteText"/>
      </w:pPr>
      <w:r>
        <w:rPr>
          <w:rStyle w:val="FootnoteReference"/>
        </w:rPr>
        <w:footnoteRef/>
      </w:r>
      <w:r>
        <w:tab/>
      </w:r>
      <w:r w:rsidRPr="001E0E78">
        <w:t xml:space="preserve">The average over the </w:t>
      </w:r>
      <w:proofErr w:type="spellStart"/>
      <w:r w:rsidRPr="001E0E78">
        <w:t>1990s</w:t>
      </w:r>
      <w:proofErr w:type="spellEnd"/>
      <w:r w:rsidRPr="001E0E78">
        <w:t xml:space="preserve"> was, however, lowered somewhat by the decline in average income during the early-</w:t>
      </w:r>
      <w:proofErr w:type="spellStart"/>
      <w:r w:rsidRPr="001E0E78">
        <w:t>1990s</w:t>
      </w:r>
      <w:proofErr w:type="spellEnd"/>
      <w:r w:rsidRPr="001E0E78">
        <w:t xml:space="preserve"> recession.</w:t>
      </w:r>
    </w:p>
  </w:footnote>
  <w:footnote w:id="5">
    <w:p w:rsidR="00B53F91" w:rsidRDefault="00B53F91" w:rsidP="00892415">
      <w:pPr>
        <w:pStyle w:val="FootnoteText"/>
      </w:pPr>
      <w:r>
        <w:rPr>
          <w:rStyle w:val="FootnoteReference"/>
        </w:rPr>
        <w:footnoteRef/>
      </w:r>
      <w:r>
        <w:tab/>
        <w:t>The terms of trade index rose from 54.5 in 2002-03 to 100 in 2010-11 and 100.6 in 2011-12 (ABS Cat. no. 5204.0, 2011</w:t>
      </w:r>
      <w:r>
        <w:noBreakHyphen/>
        <w:t>12 issue).</w:t>
      </w:r>
    </w:p>
  </w:footnote>
  <w:footnote w:id="6">
    <w:p w:rsidR="00B53F91" w:rsidRDefault="00B53F91" w:rsidP="00221F9B">
      <w:pPr>
        <w:pStyle w:val="FootnoteText"/>
      </w:pPr>
      <w:r>
        <w:rPr>
          <w:rStyle w:val="FootnoteReference"/>
        </w:rPr>
        <w:footnoteRef/>
      </w:r>
      <w:r>
        <w:tab/>
        <w:t xml:space="preserve">There were spikes in the </w:t>
      </w:r>
      <w:proofErr w:type="spellStart"/>
      <w:r>
        <w:t>1920s</w:t>
      </w:r>
      <w:proofErr w:type="spellEnd"/>
      <w:r>
        <w:t xml:space="preserve"> and in the early </w:t>
      </w:r>
      <w:proofErr w:type="spellStart"/>
      <w:r>
        <w:t>1950s</w:t>
      </w:r>
      <w:proofErr w:type="spellEnd"/>
      <w:r>
        <w:t xml:space="preserve"> (</w:t>
      </w:r>
      <w:r w:rsidRPr="00E26A3F">
        <w:t xml:space="preserve">PC </w:t>
      </w:r>
      <w:r>
        <w:t xml:space="preserve">2012, </w:t>
      </w:r>
      <w:r w:rsidRPr="00E26A3F">
        <w:t>ch</w:t>
      </w:r>
      <w:r>
        <w:t xml:space="preserve">apter </w:t>
      </w:r>
      <w:r w:rsidRPr="00E26A3F">
        <w:t xml:space="preserve">11 </w:t>
      </w:r>
      <w:r>
        <w:t xml:space="preserve">and Plumb, Kent and Bishop 2013). </w:t>
      </w:r>
    </w:p>
  </w:footnote>
  <w:footnote w:id="7">
    <w:p w:rsidR="00B53F91" w:rsidRDefault="00B53F91" w:rsidP="00892415">
      <w:pPr>
        <w:pStyle w:val="FootnoteText"/>
      </w:pPr>
      <w:r>
        <w:rPr>
          <w:rStyle w:val="FootnoteReference"/>
        </w:rPr>
        <w:footnoteRef/>
      </w:r>
      <w:r>
        <w:tab/>
        <w:t>0.9 percentage points out of 3.9 per cent per year growth.</w:t>
      </w:r>
    </w:p>
  </w:footnote>
  <w:footnote w:id="8">
    <w:p w:rsidR="00B53F91" w:rsidRDefault="00B53F91" w:rsidP="00633D15">
      <w:pPr>
        <w:pStyle w:val="FootnoteText"/>
      </w:pPr>
      <w:r>
        <w:rPr>
          <w:rStyle w:val="FootnoteReference"/>
        </w:rPr>
        <w:footnoteRef/>
      </w:r>
      <w:r>
        <w:tab/>
        <w:t xml:space="preserve">Output per hour worked (labour productivity) will improve if one person is supplied with a truck to shift dirt, as a substitute for a wheelbarrow. That is a labour productivity gain from capital deepening. If the one person is supplied with a truck and a co-worker, there will still be capital deepening (in comparison to the initial situation with the sole wheelbarrow operator), but the addition of the co-worker will cause MFP to fall because of ‘capital congestion’. Only one person can drive the truck. The other person is ‘idle’. If, however, output is measured over two shifts and the two workers can drive the truck in separate shifts, MFP will rise because labour and capital are combined in a way that improves production efficiency. </w:t>
      </w:r>
    </w:p>
  </w:footnote>
  <w:footnote w:id="9">
    <w:p w:rsidR="00B53F91" w:rsidRDefault="00B53F91" w:rsidP="00633D15">
      <w:pPr>
        <w:pStyle w:val="FootnoteText"/>
      </w:pPr>
      <w:r>
        <w:rPr>
          <w:rStyle w:val="FootnoteReference"/>
        </w:rPr>
        <w:footnoteRef/>
      </w:r>
      <w:r>
        <w:tab/>
        <w:t xml:space="preserve">Table 2.2 reports the growth rates in productivity over the </w:t>
      </w:r>
      <w:proofErr w:type="spellStart"/>
      <w:r>
        <w:t>1990s</w:t>
      </w:r>
      <w:proofErr w:type="spellEnd"/>
      <w:r>
        <w:t xml:space="preserve"> and the </w:t>
      </w:r>
      <w:proofErr w:type="spellStart"/>
      <w:r>
        <w:t>2000s</w:t>
      </w:r>
      <w:proofErr w:type="spellEnd"/>
      <w:r>
        <w:t>. These do not indicate underlying trends measured, for example, over productivity cycles as reported in the ABS National Accounts.</w:t>
      </w:r>
    </w:p>
  </w:footnote>
  <w:footnote w:id="10">
    <w:p w:rsidR="00B53F91" w:rsidRDefault="00B53F91" w:rsidP="00F55128">
      <w:pPr>
        <w:pStyle w:val="FootnoteText"/>
      </w:pPr>
      <w:r>
        <w:rPr>
          <w:rStyle w:val="FootnoteReference"/>
        </w:rPr>
        <w:footnoteRef/>
      </w:r>
      <w:r>
        <w:tab/>
        <w:t>Capital productivity was generally flat over two decades from around 1983-84 to 2003-04.</w:t>
      </w:r>
      <w:r w:rsidRPr="00F55128">
        <w:t xml:space="preserve"> </w:t>
      </w:r>
      <w:r>
        <w:t>What determines the level of capital productivity and why it tends to be flat is a complicated story (</w:t>
      </w:r>
      <w:proofErr w:type="spellStart"/>
      <w:r>
        <w:t>Mohun</w:t>
      </w:r>
      <w:proofErr w:type="spellEnd"/>
      <w:r>
        <w:t xml:space="preserve"> 2009).</w:t>
      </w:r>
      <w:r w:rsidRPr="007C5D5D">
        <w:t xml:space="preserve"> </w:t>
      </w:r>
      <w:r>
        <w:t>The following may be at least a partial explanation. In the medium term, a rise in capital productivity would imply an increase in output and income returns to capital, which would tend to induce more investment, leading to a fall in returns or reversion to average capital productivity. Over the longer term, diminishing returns to increased capital intensity tend to be offset by improvements in technology and other efficiency enhancements.</w:t>
      </w:r>
    </w:p>
  </w:footnote>
  <w:footnote w:id="11">
    <w:p w:rsidR="00B53F91" w:rsidRDefault="00B53F91">
      <w:pPr>
        <w:pStyle w:val="FootnoteText"/>
      </w:pPr>
      <w:r>
        <w:rPr>
          <w:rStyle w:val="FootnoteReference"/>
        </w:rPr>
        <w:footnoteRef/>
      </w:r>
      <w:r>
        <w:t xml:space="preserve"> Use of nominal </w:t>
      </w:r>
      <w:r w:rsidR="00DD472D">
        <w:t xml:space="preserve">values </w:t>
      </w:r>
      <w:r>
        <w:t>also means that ‘general’ inflation effects (as opposed to relative price changes) are taken into account. General inflation effects do not intrude much into comparisons of growth rates across industries or into assessments of industry contributions to aggregate income growth.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53F91">
      <w:tc>
        <w:tcPr>
          <w:tcW w:w="2155" w:type="dxa"/>
          <w:tcBorders>
            <w:top w:val="single" w:sz="24" w:space="0" w:color="auto"/>
          </w:tcBorders>
        </w:tcPr>
        <w:p w:rsidR="00B53F91" w:rsidRDefault="00B53F91" w:rsidP="0019293B">
          <w:pPr>
            <w:pStyle w:val="HeaderEven"/>
          </w:pPr>
        </w:p>
      </w:tc>
      <w:tc>
        <w:tcPr>
          <w:tcW w:w="6634" w:type="dxa"/>
          <w:tcBorders>
            <w:top w:val="single" w:sz="6" w:space="0" w:color="auto"/>
          </w:tcBorders>
        </w:tcPr>
        <w:p w:rsidR="00B53F91" w:rsidRDefault="00B53F91" w:rsidP="0019293B">
          <w:pPr>
            <w:pStyle w:val="HeaderEven"/>
          </w:pPr>
        </w:p>
      </w:tc>
    </w:tr>
  </w:tbl>
  <w:p w:rsidR="00B53F91" w:rsidRDefault="00B53F9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53F91">
      <w:tc>
        <w:tcPr>
          <w:tcW w:w="6634" w:type="dxa"/>
          <w:tcBorders>
            <w:top w:val="single" w:sz="6" w:space="0" w:color="auto"/>
          </w:tcBorders>
        </w:tcPr>
        <w:p w:rsidR="00B53F91" w:rsidRDefault="00B53F91" w:rsidP="00E669E2">
          <w:pPr>
            <w:pStyle w:val="HeaderOdd"/>
          </w:pPr>
        </w:p>
      </w:tc>
      <w:tc>
        <w:tcPr>
          <w:tcW w:w="2155" w:type="dxa"/>
          <w:tcBorders>
            <w:top w:val="single" w:sz="24" w:space="0" w:color="auto"/>
          </w:tcBorders>
        </w:tcPr>
        <w:p w:rsidR="00B53F91" w:rsidRDefault="00B53F91" w:rsidP="00E669E2">
          <w:pPr>
            <w:pStyle w:val="HeaderOdd"/>
          </w:pPr>
        </w:p>
      </w:tc>
    </w:tr>
  </w:tbl>
  <w:p w:rsidR="00B53F91" w:rsidRDefault="00B53F91"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791" w:rsidRDefault="00AD4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come and its sources"/>
    <w:docVar w:name="ShortReportTitle" w:val="Labour's share of growth in income and prosperity"/>
  </w:docVars>
  <w:rsids>
    <w:rsidRoot w:val="00AE7A60"/>
    <w:rsid w:val="0001434A"/>
    <w:rsid w:val="00015E54"/>
    <w:rsid w:val="00021A54"/>
    <w:rsid w:val="000227D5"/>
    <w:rsid w:val="0002406C"/>
    <w:rsid w:val="000245AA"/>
    <w:rsid w:val="00024FCD"/>
    <w:rsid w:val="0003664B"/>
    <w:rsid w:val="0004111F"/>
    <w:rsid w:val="000415F3"/>
    <w:rsid w:val="0004521A"/>
    <w:rsid w:val="00046AAE"/>
    <w:rsid w:val="0004754B"/>
    <w:rsid w:val="00051AF8"/>
    <w:rsid w:val="000565B3"/>
    <w:rsid w:val="0007150B"/>
    <w:rsid w:val="0007167F"/>
    <w:rsid w:val="00075963"/>
    <w:rsid w:val="000848DD"/>
    <w:rsid w:val="00086CF6"/>
    <w:rsid w:val="000938F5"/>
    <w:rsid w:val="000939BB"/>
    <w:rsid w:val="00094DCC"/>
    <w:rsid w:val="00096C06"/>
    <w:rsid w:val="00096E55"/>
    <w:rsid w:val="00096EC4"/>
    <w:rsid w:val="000A2991"/>
    <w:rsid w:val="000A35EE"/>
    <w:rsid w:val="000A5C84"/>
    <w:rsid w:val="000B2B9F"/>
    <w:rsid w:val="000B4E18"/>
    <w:rsid w:val="000B601B"/>
    <w:rsid w:val="000C207E"/>
    <w:rsid w:val="000C4DED"/>
    <w:rsid w:val="000C5E6E"/>
    <w:rsid w:val="000D4987"/>
    <w:rsid w:val="000D7342"/>
    <w:rsid w:val="000E4BC4"/>
    <w:rsid w:val="000E5772"/>
    <w:rsid w:val="000E7724"/>
    <w:rsid w:val="000F0035"/>
    <w:rsid w:val="000F420B"/>
    <w:rsid w:val="000F5DDC"/>
    <w:rsid w:val="001004F9"/>
    <w:rsid w:val="00107337"/>
    <w:rsid w:val="00110116"/>
    <w:rsid w:val="001109DF"/>
    <w:rsid w:val="00114222"/>
    <w:rsid w:val="00120072"/>
    <w:rsid w:val="001258AA"/>
    <w:rsid w:val="001266E0"/>
    <w:rsid w:val="00126E1C"/>
    <w:rsid w:val="00126EB8"/>
    <w:rsid w:val="001274D4"/>
    <w:rsid w:val="00131BB8"/>
    <w:rsid w:val="00132C8B"/>
    <w:rsid w:val="00135059"/>
    <w:rsid w:val="001363AA"/>
    <w:rsid w:val="00144706"/>
    <w:rsid w:val="00146747"/>
    <w:rsid w:val="00167C30"/>
    <w:rsid w:val="00175136"/>
    <w:rsid w:val="00175C1D"/>
    <w:rsid w:val="00177053"/>
    <w:rsid w:val="00177FB9"/>
    <w:rsid w:val="0018062B"/>
    <w:rsid w:val="0018154F"/>
    <w:rsid w:val="001821FB"/>
    <w:rsid w:val="0018357B"/>
    <w:rsid w:val="00183E82"/>
    <w:rsid w:val="00184797"/>
    <w:rsid w:val="001878BB"/>
    <w:rsid w:val="00191AE0"/>
    <w:rsid w:val="0019293B"/>
    <w:rsid w:val="00197237"/>
    <w:rsid w:val="001A0A1A"/>
    <w:rsid w:val="001A1BDF"/>
    <w:rsid w:val="001A269D"/>
    <w:rsid w:val="001B23D3"/>
    <w:rsid w:val="001C0865"/>
    <w:rsid w:val="001C3ABA"/>
    <w:rsid w:val="001C4B4C"/>
    <w:rsid w:val="001C75E5"/>
    <w:rsid w:val="001D27F6"/>
    <w:rsid w:val="001D54AE"/>
    <w:rsid w:val="001E0E78"/>
    <w:rsid w:val="001E5D1D"/>
    <w:rsid w:val="001E789F"/>
    <w:rsid w:val="001E7BE8"/>
    <w:rsid w:val="001E7C92"/>
    <w:rsid w:val="001F0248"/>
    <w:rsid w:val="001F1431"/>
    <w:rsid w:val="001F1F25"/>
    <w:rsid w:val="001F3EB3"/>
    <w:rsid w:val="001F4F26"/>
    <w:rsid w:val="001F4F86"/>
    <w:rsid w:val="001F6A00"/>
    <w:rsid w:val="002015FF"/>
    <w:rsid w:val="00201E64"/>
    <w:rsid w:val="00202C2C"/>
    <w:rsid w:val="00204737"/>
    <w:rsid w:val="002135AB"/>
    <w:rsid w:val="002144BE"/>
    <w:rsid w:val="00220B7F"/>
    <w:rsid w:val="00221F9B"/>
    <w:rsid w:val="002360A9"/>
    <w:rsid w:val="00236819"/>
    <w:rsid w:val="00241C99"/>
    <w:rsid w:val="00242279"/>
    <w:rsid w:val="00245C82"/>
    <w:rsid w:val="00250622"/>
    <w:rsid w:val="00251CA9"/>
    <w:rsid w:val="00267386"/>
    <w:rsid w:val="00272B2B"/>
    <w:rsid w:val="00273485"/>
    <w:rsid w:val="00274EC7"/>
    <w:rsid w:val="00276446"/>
    <w:rsid w:val="00276C7A"/>
    <w:rsid w:val="002814D9"/>
    <w:rsid w:val="00285CE6"/>
    <w:rsid w:val="00290B8F"/>
    <w:rsid w:val="00290B94"/>
    <w:rsid w:val="00291B40"/>
    <w:rsid w:val="002935D1"/>
    <w:rsid w:val="002A4C51"/>
    <w:rsid w:val="002A62E9"/>
    <w:rsid w:val="002B4008"/>
    <w:rsid w:val="002B7305"/>
    <w:rsid w:val="002C4974"/>
    <w:rsid w:val="002C720E"/>
    <w:rsid w:val="002D0E8E"/>
    <w:rsid w:val="002D5B3A"/>
    <w:rsid w:val="002E22C3"/>
    <w:rsid w:val="002E501B"/>
    <w:rsid w:val="003008C9"/>
    <w:rsid w:val="00301189"/>
    <w:rsid w:val="00303F7E"/>
    <w:rsid w:val="00306323"/>
    <w:rsid w:val="003127A3"/>
    <w:rsid w:val="00312DC4"/>
    <w:rsid w:val="0032196A"/>
    <w:rsid w:val="00323A4C"/>
    <w:rsid w:val="00323E09"/>
    <w:rsid w:val="0032712C"/>
    <w:rsid w:val="00333932"/>
    <w:rsid w:val="00342EAE"/>
    <w:rsid w:val="003435FC"/>
    <w:rsid w:val="003518AA"/>
    <w:rsid w:val="00352165"/>
    <w:rsid w:val="00353182"/>
    <w:rsid w:val="00354E61"/>
    <w:rsid w:val="00355A7D"/>
    <w:rsid w:val="003565D9"/>
    <w:rsid w:val="003602E1"/>
    <w:rsid w:val="003636FB"/>
    <w:rsid w:val="0037026F"/>
    <w:rsid w:val="00371240"/>
    <w:rsid w:val="00374731"/>
    <w:rsid w:val="00375F2A"/>
    <w:rsid w:val="00376E59"/>
    <w:rsid w:val="00376F6E"/>
    <w:rsid w:val="00377401"/>
    <w:rsid w:val="0038069A"/>
    <w:rsid w:val="0038307A"/>
    <w:rsid w:val="003855DC"/>
    <w:rsid w:val="0038617E"/>
    <w:rsid w:val="00387589"/>
    <w:rsid w:val="003919F9"/>
    <w:rsid w:val="00392E1F"/>
    <w:rsid w:val="003970D7"/>
    <w:rsid w:val="003A0C9C"/>
    <w:rsid w:val="003A61A1"/>
    <w:rsid w:val="003B2299"/>
    <w:rsid w:val="003B42C9"/>
    <w:rsid w:val="003B64EF"/>
    <w:rsid w:val="003C172A"/>
    <w:rsid w:val="003C21EF"/>
    <w:rsid w:val="003C38B5"/>
    <w:rsid w:val="003C4EAE"/>
    <w:rsid w:val="003C5D99"/>
    <w:rsid w:val="003E1423"/>
    <w:rsid w:val="003E2F59"/>
    <w:rsid w:val="003E4433"/>
    <w:rsid w:val="003E57F1"/>
    <w:rsid w:val="003E67E0"/>
    <w:rsid w:val="003E75CB"/>
    <w:rsid w:val="003E7CD3"/>
    <w:rsid w:val="003F0789"/>
    <w:rsid w:val="003F3354"/>
    <w:rsid w:val="003F5013"/>
    <w:rsid w:val="003F5559"/>
    <w:rsid w:val="00401882"/>
    <w:rsid w:val="00402D53"/>
    <w:rsid w:val="004100C8"/>
    <w:rsid w:val="00411A91"/>
    <w:rsid w:val="00411DBD"/>
    <w:rsid w:val="00412ACE"/>
    <w:rsid w:val="00417C49"/>
    <w:rsid w:val="0042018F"/>
    <w:rsid w:val="004261E2"/>
    <w:rsid w:val="00431249"/>
    <w:rsid w:val="00433382"/>
    <w:rsid w:val="00434C19"/>
    <w:rsid w:val="004351E4"/>
    <w:rsid w:val="0043705F"/>
    <w:rsid w:val="0044064F"/>
    <w:rsid w:val="0044217D"/>
    <w:rsid w:val="00445F3D"/>
    <w:rsid w:val="00447513"/>
    <w:rsid w:val="00447891"/>
    <w:rsid w:val="00450810"/>
    <w:rsid w:val="004528BB"/>
    <w:rsid w:val="00454A5F"/>
    <w:rsid w:val="00461269"/>
    <w:rsid w:val="0046433F"/>
    <w:rsid w:val="00466389"/>
    <w:rsid w:val="00474460"/>
    <w:rsid w:val="00477144"/>
    <w:rsid w:val="00480357"/>
    <w:rsid w:val="00491380"/>
    <w:rsid w:val="0049459F"/>
    <w:rsid w:val="0049773F"/>
    <w:rsid w:val="004A1463"/>
    <w:rsid w:val="004A38DD"/>
    <w:rsid w:val="004B43AE"/>
    <w:rsid w:val="004C1393"/>
    <w:rsid w:val="004C30ED"/>
    <w:rsid w:val="004D11A6"/>
    <w:rsid w:val="004D3DF4"/>
    <w:rsid w:val="004D41B5"/>
    <w:rsid w:val="004D5675"/>
    <w:rsid w:val="004D5F0A"/>
    <w:rsid w:val="004E230D"/>
    <w:rsid w:val="004E7AEA"/>
    <w:rsid w:val="004F5428"/>
    <w:rsid w:val="005030AC"/>
    <w:rsid w:val="00510D42"/>
    <w:rsid w:val="005137A3"/>
    <w:rsid w:val="0051751C"/>
    <w:rsid w:val="005233C3"/>
    <w:rsid w:val="00523639"/>
    <w:rsid w:val="00531FE5"/>
    <w:rsid w:val="0053208A"/>
    <w:rsid w:val="005365D5"/>
    <w:rsid w:val="005402FA"/>
    <w:rsid w:val="00540B8D"/>
    <w:rsid w:val="0054221F"/>
    <w:rsid w:val="00542BE1"/>
    <w:rsid w:val="00552342"/>
    <w:rsid w:val="00552AEE"/>
    <w:rsid w:val="005650AD"/>
    <w:rsid w:val="00565C54"/>
    <w:rsid w:val="00571693"/>
    <w:rsid w:val="00573D04"/>
    <w:rsid w:val="00576941"/>
    <w:rsid w:val="0058101D"/>
    <w:rsid w:val="0058159D"/>
    <w:rsid w:val="00583C39"/>
    <w:rsid w:val="00584A26"/>
    <w:rsid w:val="00587F28"/>
    <w:rsid w:val="005909CF"/>
    <w:rsid w:val="00591E71"/>
    <w:rsid w:val="0059597D"/>
    <w:rsid w:val="005A0D41"/>
    <w:rsid w:val="005A7197"/>
    <w:rsid w:val="005B1416"/>
    <w:rsid w:val="005B278D"/>
    <w:rsid w:val="005B4075"/>
    <w:rsid w:val="005B7516"/>
    <w:rsid w:val="005C3281"/>
    <w:rsid w:val="005C38C0"/>
    <w:rsid w:val="005C38D0"/>
    <w:rsid w:val="005E02AD"/>
    <w:rsid w:val="005E4C15"/>
    <w:rsid w:val="005E5909"/>
    <w:rsid w:val="005E61E5"/>
    <w:rsid w:val="005E7DA1"/>
    <w:rsid w:val="005F4C84"/>
    <w:rsid w:val="00600485"/>
    <w:rsid w:val="00607BF1"/>
    <w:rsid w:val="006235BC"/>
    <w:rsid w:val="006236C2"/>
    <w:rsid w:val="00624DAC"/>
    <w:rsid w:val="00630D4D"/>
    <w:rsid w:val="00632A74"/>
    <w:rsid w:val="0063342C"/>
    <w:rsid w:val="00633D15"/>
    <w:rsid w:val="00634B70"/>
    <w:rsid w:val="00640041"/>
    <w:rsid w:val="006522FA"/>
    <w:rsid w:val="0066007C"/>
    <w:rsid w:val="00667A52"/>
    <w:rsid w:val="00671CA9"/>
    <w:rsid w:val="0067594E"/>
    <w:rsid w:val="00682A13"/>
    <w:rsid w:val="00683740"/>
    <w:rsid w:val="00691B4E"/>
    <w:rsid w:val="00693C7A"/>
    <w:rsid w:val="00694B58"/>
    <w:rsid w:val="00695DAF"/>
    <w:rsid w:val="00696C89"/>
    <w:rsid w:val="006A0539"/>
    <w:rsid w:val="006A402D"/>
    <w:rsid w:val="006A4655"/>
    <w:rsid w:val="006B2B3C"/>
    <w:rsid w:val="006C1D81"/>
    <w:rsid w:val="006C2195"/>
    <w:rsid w:val="006C6D8E"/>
    <w:rsid w:val="006C7038"/>
    <w:rsid w:val="006C754E"/>
    <w:rsid w:val="006C79AF"/>
    <w:rsid w:val="006E73EF"/>
    <w:rsid w:val="006F19BD"/>
    <w:rsid w:val="006F2468"/>
    <w:rsid w:val="006F6AAA"/>
    <w:rsid w:val="006F6CF0"/>
    <w:rsid w:val="00701764"/>
    <w:rsid w:val="0070274B"/>
    <w:rsid w:val="00706603"/>
    <w:rsid w:val="00711099"/>
    <w:rsid w:val="00711B2B"/>
    <w:rsid w:val="00714D4D"/>
    <w:rsid w:val="00721025"/>
    <w:rsid w:val="007255CE"/>
    <w:rsid w:val="00737AF3"/>
    <w:rsid w:val="007501CB"/>
    <w:rsid w:val="00751B83"/>
    <w:rsid w:val="007604BB"/>
    <w:rsid w:val="0076277D"/>
    <w:rsid w:val="00772A50"/>
    <w:rsid w:val="00777B0E"/>
    <w:rsid w:val="007816B2"/>
    <w:rsid w:val="00783ED1"/>
    <w:rsid w:val="00785232"/>
    <w:rsid w:val="007A21EB"/>
    <w:rsid w:val="007A747D"/>
    <w:rsid w:val="007A7525"/>
    <w:rsid w:val="007B1A93"/>
    <w:rsid w:val="007B5893"/>
    <w:rsid w:val="007C36C9"/>
    <w:rsid w:val="007C4BD9"/>
    <w:rsid w:val="007C5BF4"/>
    <w:rsid w:val="007D1699"/>
    <w:rsid w:val="007D2239"/>
    <w:rsid w:val="007D6401"/>
    <w:rsid w:val="007E01E4"/>
    <w:rsid w:val="007E74C9"/>
    <w:rsid w:val="007F04AF"/>
    <w:rsid w:val="007F0B78"/>
    <w:rsid w:val="007F5F9C"/>
    <w:rsid w:val="007F7107"/>
    <w:rsid w:val="007F7B3D"/>
    <w:rsid w:val="007F7C3D"/>
    <w:rsid w:val="0080011D"/>
    <w:rsid w:val="00800D4C"/>
    <w:rsid w:val="0080715F"/>
    <w:rsid w:val="0081030F"/>
    <w:rsid w:val="008123D1"/>
    <w:rsid w:val="008129BB"/>
    <w:rsid w:val="00820083"/>
    <w:rsid w:val="0082087D"/>
    <w:rsid w:val="008269D6"/>
    <w:rsid w:val="008332E9"/>
    <w:rsid w:val="0083519E"/>
    <w:rsid w:val="00835771"/>
    <w:rsid w:val="00836E2B"/>
    <w:rsid w:val="00842933"/>
    <w:rsid w:val="008439A9"/>
    <w:rsid w:val="008539A1"/>
    <w:rsid w:val="00854A53"/>
    <w:rsid w:val="00857542"/>
    <w:rsid w:val="0086082C"/>
    <w:rsid w:val="00864ADC"/>
    <w:rsid w:val="008710B7"/>
    <w:rsid w:val="00875BCD"/>
    <w:rsid w:val="00875DA6"/>
    <w:rsid w:val="00876EEE"/>
    <w:rsid w:val="00880153"/>
    <w:rsid w:val="00880F97"/>
    <w:rsid w:val="008811C6"/>
    <w:rsid w:val="0088133A"/>
    <w:rsid w:val="008834BC"/>
    <w:rsid w:val="00885CC5"/>
    <w:rsid w:val="00886C96"/>
    <w:rsid w:val="00892415"/>
    <w:rsid w:val="0089285E"/>
    <w:rsid w:val="0089436C"/>
    <w:rsid w:val="008A2F09"/>
    <w:rsid w:val="008A6472"/>
    <w:rsid w:val="008B11D5"/>
    <w:rsid w:val="008C6C43"/>
    <w:rsid w:val="008D365C"/>
    <w:rsid w:val="008D7790"/>
    <w:rsid w:val="008E6F9A"/>
    <w:rsid w:val="008F1436"/>
    <w:rsid w:val="008F3DBA"/>
    <w:rsid w:val="008F47A0"/>
    <w:rsid w:val="008F58A0"/>
    <w:rsid w:val="008F6882"/>
    <w:rsid w:val="009030BF"/>
    <w:rsid w:val="0091024F"/>
    <w:rsid w:val="0091032F"/>
    <w:rsid w:val="00912FB1"/>
    <w:rsid w:val="00914368"/>
    <w:rsid w:val="00916EB9"/>
    <w:rsid w:val="00931076"/>
    <w:rsid w:val="009345D9"/>
    <w:rsid w:val="009348E8"/>
    <w:rsid w:val="00934B15"/>
    <w:rsid w:val="00940C87"/>
    <w:rsid w:val="00942B62"/>
    <w:rsid w:val="00945BBB"/>
    <w:rsid w:val="00946988"/>
    <w:rsid w:val="00950ADE"/>
    <w:rsid w:val="00952E89"/>
    <w:rsid w:val="0095323B"/>
    <w:rsid w:val="0095657B"/>
    <w:rsid w:val="00956A0C"/>
    <w:rsid w:val="00956BD9"/>
    <w:rsid w:val="00960694"/>
    <w:rsid w:val="00962489"/>
    <w:rsid w:val="00967519"/>
    <w:rsid w:val="00971C34"/>
    <w:rsid w:val="00973565"/>
    <w:rsid w:val="00982022"/>
    <w:rsid w:val="009879CE"/>
    <w:rsid w:val="00990C2C"/>
    <w:rsid w:val="00992CF0"/>
    <w:rsid w:val="009A086C"/>
    <w:rsid w:val="009A2825"/>
    <w:rsid w:val="009A3D83"/>
    <w:rsid w:val="009A57FB"/>
    <w:rsid w:val="009A604B"/>
    <w:rsid w:val="009B032C"/>
    <w:rsid w:val="009B108C"/>
    <w:rsid w:val="009B126D"/>
    <w:rsid w:val="009B41BB"/>
    <w:rsid w:val="009B4EA1"/>
    <w:rsid w:val="009B6CC6"/>
    <w:rsid w:val="009C3B52"/>
    <w:rsid w:val="009C4085"/>
    <w:rsid w:val="009D3937"/>
    <w:rsid w:val="009E022B"/>
    <w:rsid w:val="009E13CD"/>
    <w:rsid w:val="009E1844"/>
    <w:rsid w:val="009E710A"/>
    <w:rsid w:val="009F0D1B"/>
    <w:rsid w:val="009F696D"/>
    <w:rsid w:val="009F6BC6"/>
    <w:rsid w:val="00A00342"/>
    <w:rsid w:val="00A03FA4"/>
    <w:rsid w:val="00A15A41"/>
    <w:rsid w:val="00A15E66"/>
    <w:rsid w:val="00A17328"/>
    <w:rsid w:val="00A22EC9"/>
    <w:rsid w:val="00A23A20"/>
    <w:rsid w:val="00A23C2F"/>
    <w:rsid w:val="00A24C02"/>
    <w:rsid w:val="00A268B9"/>
    <w:rsid w:val="00A2703A"/>
    <w:rsid w:val="00A30DEA"/>
    <w:rsid w:val="00A31D9A"/>
    <w:rsid w:val="00A32684"/>
    <w:rsid w:val="00A33DFF"/>
    <w:rsid w:val="00A35115"/>
    <w:rsid w:val="00A36D9A"/>
    <w:rsid w:val="00A432DA"/>
    <w:rsid w:val="00A44201"/>
    <w:rsid w:val="00A454A8"/>
    <w:rsid w:val="00A554AB"/>
    <w:rsid w:val="00A57062"/>
    <w:rsid w:val="00A62D2A"/>
    <w:rsid w:val="00A63EC0"/>
    <w:rsid w:val="00A77C69"/>
    <w:rsid w:val="00A83086"/>
    <w:rsid w:val="00A84B73"/>
    <w:rsid w:val="00A92B53"/>
    <w:rsid w:val="00A94FA6"/>
    <w:rsid w:val="00AA49A0"/>
    <w:rsid w:val="00AA4B29"/>
    <w:rsid w:val="00AA6710"/>
    <w:rsid w:val="00AA7162"/>
    <w:rsid w:val="00AB0681"/>
    <w:rsid w:val="00AB468D"/>
    <w:rsid w:val="00AB742E"/>
    <w:rsid w:val="00AC2034"/>
    <w:rsid w:val="00AD0925"/>
    <w:rsid w:val="00AD4147"/>
    <w:rsid w:val="00AD4791"/>
    <w:rsid w:val="00AD520B"/>
    <w:rsid w:val="00AD5E80"/>
    <w:rsid w:val="00AE17D3"/>
    <w:rsid w:val="00AE406A"/>
    <w:rsid w:val="00AE629A"/>
    <w:rsid w:val="00AE7A60"/>
    <w:rsid w:val="00B07EBE"/>
    <w:rsid w:val="00B266A1"/>
    <w:rsid w:val="00B33E50"/>
    <w:rsid w:val="00B34C87"/>
    <w:rsid w:val="00B36B6D"/>
    <w:rsid w:val="00B37327"/>
    <w:rsid w:val="00B425C3"/>
    <w:rsid w:val="00B440AD"/>
    <w:rsid w:val="00B466A2"/>
    <w:rsid w:val="00B53081"/>
    <w:rsid w:val="00B53A4B"/>
    <w:rsid w:val="00B53E7E"/>
    <w:rsid w:val="00B53F91"/>
    <w:rsid w:val="00B5476F"/>
    <w:rsid w:val="00B55339"/>
    <w:rsid w:val="00B62124"/>
    <w:rsid w:val="00B62802"/>
    <w:rsid w:val="00B6342E"/>
    <w:rsid w:val="00B65D1A"/>
    <w:rsid w:val="00B65E61"/>
    <w:rsid w:val="00B7030C"/>
    <w:rsid w:val="00B7113F"/>
    <w:rsid w:val="00B717A9"/>
    <w:rsid w:val="00B97659"/>
    <w:rsid w:val="00BA29C6"/>
    <w:rsid w:val="00BA73B6"/>
    <w:rsid w:val="00BA7E27"/>
    <w:rsid w:val="00BB2603"/>
    <w:rsid w:val="00BB399D"/>
    <w:rsid w:val="00BB4FCD"/>
    <w:rsid w:val="00BB59FD"/>
    <w:rsid w:val="00BC04E9"/>
    <w:rsid w:val="00BC35FC"/>
    <w:rsid w:val="00BC758B"/>
    <w:rsid w:val="00BD13EA"/>
    <w:rsid w:val="00BD23D9"/>
    <w:rsid w:val="00BD7005"/>
    <w:rsid w:val="00BD7B10"/>
    <w:rsid w:val="00BE193C"/>
    <w:rsid w:val="00BE2153"/>
    <w:rsid w:val="00BE3808"/>
    <w:rsid w:val="00BF6EB5"/>
    <w:rsid w:val="00C014A1"/>
    <w:rsid w:val="00C062E9"/>
    <w:rsid w:val="00C07B64"/>
    <w:rsid w:val="00C13721"/>
    <w:rsid w:val="00C14FE4"/>
    <w:rsid w:val="00C237FB"/>
    <w:rsid w:val="00C27525"/>
    <w:rsid w:val="00C3066D"/>
    <w:rsid w:val="00C307F8"/>
    <w:rsid w:val="00C32FB1"/>
    <w:rsid w:val="00C34ABA"/>
    <w:rsid w:val="00C36CD5"/>
    <w:rsid w:val="00C431EF"/>
    <w:rsid w:val="00C448EC"/>
    <w:rsid w:val="00C47E26"/>
    <w:rsid w:val="00C5101B"/>
    <w:rsid w:val="00C52416"/>
    <w:rsid w:val="00C536C1"/>
    <w:rsid w:val="00C543F4"/>
    <w:rsid w:val="00C54E39"/>
    <w:rsid w:val="00C55902"/>
    <w:rsid w:val="00C56F14"/>
    <w:rsid w:val="00C6215F"/>
    <w:rsid w:val="00C6291C"/>
    <w:rsid w:val="00C633CB"/>
    <w:rsid w:val="00C63EF7"/>
    <w:rsid w:val="00C63F89"/>
    <w:rsid w:val="00C65F83"/>
    <w:rsid w:val="00C7044A"/>
    <w:rsid w:val="00C736B7"/>
    <w:rsid w:val="00C74947"/>
    <w:rsid w:val="00C74A66"/>
    <w:rsid w:val="00C81D4A"/>
    <w:rsid w:val="00C8762C"/>
    <w:rsid w:val="00C90DAE"/>
    <w:rsid w:val="00C9417E"/>
    <w:rsid w:val="00CA00F9"/>
    <w:rsid w:val="00CA2961"/>
    <w:rsid w:val="00CA67EA"/>
    <w:rsid w:val="00CA6BBD"/>
    <w:rsid w:val="00CB0FEF"/>
    <w:rsid w:val="00CB41B3"/>
    <w:rsid w:val="00CB50D7"/>
    <w:rsid w:val="00CB6215"/>
    <w:rsid w:val="00CB7177"/>
    <w:rsid w:val="00CC17EB"/>
    <w:rsid w:val="00CC1998"/>
    <w:rsid w:val="00CC4946"/>
    <w:rsid w:val="00CC5098"/>
    <w:rsid w:val="00CD072D"/>
    <w:rsid w:val="00CD0DDA"/>
    <w:rsid w:val="00CD35DA"/>
    <w:rsid w:val="00CE2C00"/>
    <w:rsid w:val="00D00313"/>
    <w:rsid w:val="00D033CB"/>
    <w:rsid w:val="00D03722"/>
    <w:rsid w:val="00D179C2"/>
    <w:rsid w:val="00D203F4"/>
    <w:rsid w:val="00D2293F"/>
    <w:rsid w:val="00D23F29"/>
    <w:rsid w:val="00D270A4"/>
    <w:rsid w:val="00D31FE9"/>
    <w:rsid w:val="00D34E1B"/>
    <w:rsid w:val="00D3741E"/>
    <w:rsid w:val="00D376BA"/>
    <w:rsid w:val="00D45634"/>
    <w:rsid w:val="00D47604"/>
    <w:rsid w:val="00D5568A"/>
    <w:rsid w:val="00D56602"/>
    <w:rsid w:val="00D61637"/>
    <w:rsid w:val="00D61696"/>
    <w:rsid w:val="00D63D73"/>
    <w:rsid w:val="00D64452"/>
    <w:rsid w:val="00D66E1E"/>
    <w:rsid w:val="00D6788A"/>
    <w:rsid w:val="00D67B30"/>
    <w:rsid w:val="00D73BD8"/>
    <w:rsid w:val="00D754C7"/>
    <w:rsid w:val="00D75722"/>
    <w:rsid w:val="00D762B9"/>
    <w:rsid w:val="00D7713C"/>
    <w:rsid w:val="00D80CF5"/>
    <w:rsid w:val="00D84320"/>
    <w:rsid w:val="00D879C4"/>
    <w:rsid w:val="00D92CBA"/>
    <w:rsid w:val="00DA45BD"/>
    <w:rsid w:val="00DA5BBA"/>
    <w:rsid w:val="00DA759B"/>
    <w:rsid w:val="00DB26D2"/>
    <w:rsid w:val="00DB3B60"/>
    <w:rsid w:val="00DB67C9"/>
    <w:rsid w:val="00DC0015"/>
    <w:rsid w:val="00DC0C95"/>
    <w:rsid w:val="00DC48E3"/>
    <w:rsid w:val="00DC5EF4"/>
    <w:rsid w:val="00DD4411"/>
    <w:rsid w:val="00DD472D"/>
    <w:rsid w:val="00DD6580"/>
    <w:rsid w:val="00DE1D44"/>
    <w:rsid w:val="00DE3325"/>
    <w:rsid w:val="00DE5ABC"/>
    <w:rsid w:val="00DE62A1"/>
    <w:rsid w:val="00DF0E43"/>
    <w:rsid w:val="00DF3BDA"/>
    <w:rsid w:val="00DF41B0"/>
    <w:rsid w:val="00E021C4"/>
    <w:rsid w:val="00E04188"/>
    <w:rsid w:val="00E17229"/>
    <w:rsid w:val="00E17C72"/>
    <w:rsid w:val="00E21FC6"/>
    <w:rsid w:val="00E22384"/>
    <w:rsid w:val="00E25F10"/>
    <w:rsid w:val="00E26A3F"/>
    <w:rsid w:val="00E32889"/>
    <w:rsid w:val="00E3470A"/>
    <w:rsid w:val="00E41841"/>
    <w:rsid w:val="00E431A9"/>
    <w:rsid w:val="00E472C5"/>
    <w:rsid w:val="00E47936"/>
    <w:rsid w:val="00E5257C"/>
    <w:rsid w:val="00E5618E"/>
    <w:rsid w:val="00E56BD0"/>
    <w:rsid w:val="00E61409"/>
    <w:rsid w:val="00E6195E"/>
    <w:rsid w:val="00E62FB4"/>
    <w:rsid w:val="00E63789"/>
    <w:rsid w:val="00E669E2"/>
    <w:rsid w:val="00E74082"/>
    <w:rsid w:val="00E76135"/>
    <w:rsid w:val="00E80FBA"/>
    <w:rsid w:val="00E82F4F"/>
    <w:rsid w:val="00E84235"/>
    <w:rsid w:val="00E92278"/>
    <w:rsid w:val="00EA0C33"/>
    <w:rsid w:val="00EA657D"/>
    <w:rsid w:val="00EB11D9"/>
    <w:rsid w:val="00EC1E12"/>
    <w:rsid w:val="00EC2844"/>
    <w:rsid w:val="00EC4181"/>
    <w:rsid w:val="00EC5500"/>
    <w:rsid w:val="00EC6B8D"/>
    <w:rsid w:val="00EC7010"/>
    <w:rsid w:val="00ED17DA"/>
    <w:rsid w:val="00ED3499"/>
    <w:rsid w:val="00ED4B39"/>
    <w:rsid w:val="00EF1A46"/>
    <w:rsid w:val="00EF277A"/>
    <w:rsid w:val="00EF6C6C"/>
    <w:rsid w:val="00F04AEE"/>
    <w:rsid w:val="00F04D03"/>
    <w:rsid w:val="00F056FC"/>
    <w:rsid w:val="00F06EDC"/>
    <w:rsid w:val="00F075D8"/>
    <w:rsid w:val="00F10476"/>
    <w:rsid w:val="00F10F4E"/>
    <w:rsid w:val="00F135D8"/>
    <w:rsid w:val="00F14121"/>
    <w:rsid w:val="00F21722"/>
    <w:rsid w:val="00F31299"/>
    <w:rsid w:val="00F337F8"/>
    <w:rsid w:val="00F338AF"/>
    <w:rsid w:val="00F3534A"/>
    <w:rsid w:val="00F37792"/>
    <w:rsid w:val="00F37DC4"/>
    <w:rsid w:val="00F51609"/>
    <w:rsid w:val="00F55128"/>
    <w:rsid w:val="00F63606"/>
    <w:rsid w:val="00F6547F"/>
    <w:rsid w:val="00F66C36"/>
    <w:rsid w:val="00F7212F"/>
    <w:rsid w:val="00F81006"/>
    <w:rsid w:val="00F837AE"/>
    <w:rsid w:val="00F85325"/>
    <w:rsid w:val="00F9153E"/>
    <w:rsid w:val="00F942C1"/>
    <w:rsid w:val="00F944A6"/>
    <w:rsid w:val="00F94CB1"/>
    <w:rsid w:val="00FA104B"/>
    <w:rsid w:val="00FA1E43"/>
    <w:rsid w:val="00FC360E"/>
    <w:rsid w:val="00FD22B1"/>
    <w:rsid w:val="00FE238D"/>
    <w:rsid w:val="00FE5397"/>
    <w:rsid w:val="00FF28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4420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D5660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56602"/>
    <w:rPr>
      <w:szCs w:val="24"/>
    </w:rPr>
  </w:style>
  <w:style w:type="character" w:customStyle="1" w:styleId="CommentSubjectChar">
    <w:name w:val="Comment Subject Char"/>
    <w:basedOn w:val="CommentTextChar"/>
    <w:link w:val="CommentSubject"/>
    <w:rsid w:val="00D56602"/>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4420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customStyle="1" w:styleId="Chapter">
    <w:name w:val="Chapter"/>
    <w:basedOn w:val="Heading1"/>
    <w:next w:val="BodyText"/>
    <w:semiHidden/>
    <w:rsid w:val="00A17328"/>
    <w:pPr>
      <w:ind w:left="0" w:firstLine="0"/>
      <w:outlineLvl w:val="9"/>
    </w:pPr>
  </w:style>
  <w:style w:type="character" w:customStyle="1" w:styleId="Heading3Char">
    <w:name w:val="Heading 3 Char"/>
    <w:basedOn w:val="DefaultParagraphFont"/>
    <w:link w:val="Heading3"/>
    <w:rsid w:val="00A44201"/>
    <w:rPr>
      <w:rFonts w:ascii="Arial" w:hAnsi="Arial"/>
      <w:b/>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A44201"/>
    <w:rPr>
      <w:color w:val="0000FF" w:themeColor="hyperlink"/>
      <w:u w:val="single"/>
    </w:rPr>
  </w:style>
  <w:style w:type="paragraph" w:customStyle="1" w:styleId="BoxSpace">
    <w:name w:val="Box Space"/>
    <w:basedOn w:val="BodyText"/>
    <w:rsid w:val="00D73BD8"/>
    <w:pPr>
      <w:keepNext/>
      <w:spacing w:before="360" w:line="80" w:lineRule="exact"/>
      <w:jc w:val="left"/>
    </w:pPr>
  </w:style>
  <w:style w:type="table" w:styleId="TableGrid">
    <w:name w:val="Table Grid"/>
    <w:basedOn w:val="TableNormal"/>
    <w:rsid w:val="00B53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52E89"/>
    <w:rPr>
      <w:color w:val="800080" w:themeColor="followedHyperlink"/>
      <w:u w:val="single"/>
    </w:rPr>
  </w:style>
  <w:style w:type="paragraph" w:styleId="NormalWeb">
    <w:name w:val="Normal (Web)"/>
    <w:basedOn w:val="Normal"/>
    <w:uiPriority w:val="99"/>
    <w:unhideWhenUsed/>
    <w:rsid w:val="00946988"/>
    <w:pPr>
      <w:spacing w:before="100" w:beforeAutospacing="1" w:after="100" w:afterAutospacing="1"/>
    </w:pPr>
    <w:rPr>
      <w:rFonts w:eastAsiaTheme="minorEastAsia"/>
      <w:sz w:val="24"/>
    </w:rPr>
  </w:style>
  <w:style w:type="character" w:styleId="PlaceholderText">
    <w:name w:val="Placeholder Text"/>
    <w:basedOn w:val="DefaultParagraphFont"/>
    <w:uiPriority w:val="99"/>
    <w:semiHidden/>
    <w:rsid w:val="005B278D"/>
    <w:rPr>
      <w:color w:val="808080"/>
    </w:rPr>
  </w:style>
  <w:style w:type="paragraph" w:styleId="CommentSubject">
    <w:name w:val="annotation subject"/>
    <w:basedOn w:val="CommentText"/>
    <w:next w:val="CommentText"/>
    <w:link w:val="CommentSubjectChar"/>
    <w:rsid w:val="00D5660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56602"/>
    <w:rPr>
      <w:szCs w:val="24"/>
    </w:rPr>
  </w:style>
  <w:style w:type="character" w:customStyle="1" w:styleId="CommentSubjectChar">
    <w:name w:val="Comment Subject Char"/>
    <w:basedOn w:val="CommentTextChar"/>
    <w:link w:val="CommentSubject"/>
    <w:rsid w:val="00D56602"/>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521974">
      <w:bodyDiv w:val="1"/>
      <w:marLeft w:val="0"/>
      <w:marRight w:val="0"/>
      <w:marTop w:val="0"/>
      <w:marBottom w:val="0"/>
      <w:divBdr>
        <w:top w:val="none" w:sz="0" w:space="0" w:color="auto"/>
        <w:left w:val="none" w:sz="0" w:space="0" w:color="auto"/>
        <w:bottom w:val="none" w:sz="0" w:space="0" w:color="auto"/>
        <w:right w:val="none" w:sz="0" w:space="0" w:color="auto"/>
      </w:divBdr>
    </w:div>
    <w:div w:id="566066255">
      <w:bodyDiv w:val="1"/>
      <w:marLeft w:val="0"/>
      <w:marRight w:val="0"/>
      <w:marTop w:val="0"/>
      <w:marBottom w:val="0"/>
      <w:divBdr>
        <w:top w:val="none" w:sz="0" w:space="0" w:color="auto"/>
        <w:left w:val="none" w:sz="0" w:space="0" w:color="auto"/>
        <w:bottom w:val="none" w:sz="0" w:space="0" w:color="auto"/>
        <w:right w:val="none" w:sz="0" w:space="0" w:color="auto"/>
      </w:divBdr>
    </w:div>
    <w:div w:id="1121806470">
      <w:bodyDiv w:val="1"/>
      <w:marLeft w:val="0"/>
      <w:marRight w:val="0"/>
      <w:marTop w:val="0"/>
      <w:marBottom w:val="0"/>
      <w:divBdr>
        <w:top w:val="none" w:sz="0" w:space="0" w:color="auto"/>
        <w:left w:val="none" w:sz="0" w:space="0" w:color="auto"/>
        <w:bottom w:val="none" w:sz="0" w:space="0" w:color="auto"/>
        <w:right w:val="none" w:sz="0" w:space="0" w:color="auto"/>
      </w:divBdr>
    </w:div>
    <w:div w:id="1145507748">
      <w:bodyDiv w:val="1"/>
      <w:marLeft w:val="0"/>
      <w:marRight w:val="0"/>
      <w:marTop w:val="0"/>
      <w:marBottom w:val="0"/>
      <w:divBdr>
        <w:top w:val="none" w:sz="0" w:space="0" w:color="auto"/>
        <w:left w:val="none" w:sz="0" w:space="0" w:color="auto"/>
        <w:bottom w:val="none" w:sz="0" w:space="0" w:color="auto"/>
        <w:right w:val="none" w:sz="0" w:space="0" w:color="auto"/>
      </w:divBdr>
    </w:div>
    <w:div w:id="1576090891">
      <w:bodyDiv w:val="1"/>
      <w:marLeft w:val="0"/>
      <w:marRight w:val="0"/>
      <w:marTop w:val="0"/>
      <w:marBottom w:val="0"/>
      <w:divBdr>
        <w:top w:val="none" w:sz="0" w:space="0" w:color="auto"/>
        <w:left w:val="none" w:sz="0" w:space="0" w:color="auto"/>
        <w:bottom w:val="none" w:sz="0" w:space="0" w:color="auto"/>
        <w:right w:val="none" w:sz="0" w:space="0" w:color="auto"/>
      </w:divBdr>
    </w:div>
    <w:div w:id="1629385911">
      <w:bodyDiv w:val="1"/>
      <w:marLeft w:val="0"/>
      <w:marRight w:val="0"/>
      <w:marTop w:val="0"/>
      <w:marBottom w:val="0"/>
      <w:divBdr>
        <w:top w:val="none" w:sz="0" w:space="0" w:color="auto"/>
        <w:left w:val="none" w:sz="0" w:space="0" w:color="auto"/>
        <w:bottom w:val="none" w:sz="0" w:space="0" w:color="auto"/>
        <w:right w:val="none" w:sz="0" w:space="0" w:color="auto"/>
      </w:divBdr>
    </w:div>
    <w:div w:id="1640303910">
      <w:bodyDiv w:val="1"/>
      <w:marLeft w:val="0"/>
      <w:marRight w:val="0"/>
      <w:marTop w:val="0"/>
      <w:marBottom w:val="0"/>
      <w:divBdr>
        <w:top w:val="none" w:sz="0" w:space="0" w:color="auto"/>
        <w:left w:val="none" w:sz="0" w:space="0" w:color="auto"/>
        <w:bottom w:val="none" w:sz="0" w:space="0" w:color="auto"/>
        <w:right w:val="none" w:sz="0" w:space="0" w:color="auto"/>
      </w:divBdr>
    </w:div>
    <w:div w:id="1845589924">
      <w:bodyDiv w:val="1"/>
      <w:marLeft w:val="0"/>
      <w:marRight w:val="0"/>
      <w:marTop w:val="0"/>
      <w:marBottom w:val="0"/>
      <w:divBdr>
        <w:top w:val="none" w:sz="0" w:space="0" w:color="auto"/>
        <w:left w:val="none" w:sz="0" w:space="0" w:color="auto"/>
        <w:bottom w:val="none" w:sz="0" w:space="0" w:color="auto"/>
        <w:right w:val="none" w:sz="0" w:space="0" w:color="auto"/>
      </w:divBdr>
    </w:div>
    <w:div w:id="18806232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5816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980D0-F7BA-415F-9EE8-B0B64EC3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102</TotalTime>
  <Pages>12</Pages>
  <Words>2970</Words>
  <Characters>14666</Characters>
  <Application>Microsoft Office Word</Application>
  <DocSecurity>0</DocSecurity>
  <Lines>522</Lines>
  <Paragraphs>345</Paragraphs>
  <ScaleCrop>false</ScaleCrop>
  <HeadingPairs>
    <vt:vector size="2" baseType="variant">
      <vt:variant>
        <vt:lpstr>Title</vt:lpstr>
      </vt:variant>
      <vt:variant>
        <vt:i4>1</vt:i4>
      </vt:variant>
    </vt:vector>
  </HeadingPairs>
  <TitlesOfParts>
    <vt:vector size="1" baseType="lpstr">
      <vt:lpstr>Income and its sources</vt:lpstr>
    </vt:vector>
  </TitlesOfParts>
  <Company>Productivity Commission</Company>
  <LinksUpToDate>false</LinksUpToDate>
  <CharactersWithSpaces>17357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Income and its sources</dc:title>
  <dc:subject>Labour's share of growth in income and prosperity</dc:subject>
  <dc:creator>Productivity Commission</dc:creator>
  <cp:keywords/>
  <dc:description>2.</dc:description>
  <cp:lastModifiedBy>Productivity Commission</cp:lastModifiedBy>
  <cp:revision>18</cp:revision>
  <cp:lastPrinted>2013-09-19T04:31:00Z</cp:lastPrinted>
  <dcterms:created xsi:type="dcterms:W3CDTF">2013-07-14T06:12:00Z</dcterms:created>
  <dcterms:modified xsi:type="dcterms:W3CDTF">2013-09-24T04:52:00Z</dcterms:modified>
</cp:coreProperties>
</file>