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5263D" w:rsidP="0075263D">
      <w:pPr>
        <w:pStyle w:val="Chapter"/>
        <w:ind w:left="907" w:hanging="907"/>
      </w:pPr>
      <w:bookmarkStart w:id="0" w:name="ChapterNumber"/>
      <w:bookmarkStart w:id="1" w:name="_GoBack"/>
      <w:bookmarkEnd w:id="1"/>
      <w:r>
        <w:t>3</w:t>
      </w:r>
      <w:bookmarkEnd w:id="0"/>
      <w:r>
        <w:tab/>
      </w:r>
      <w:bookmarkStart w:id="2" w:name="ChapterTitle"/>
      <w:r>
        <w:t xml:space="preserve">The labour share: historical and international perspectives </w:t>
      </w:r>
      <w:bookmarkEnd w:id="2"/>
    </w:p>
    <w:p w:rsidR="007F4555" w:rsidRDefault="00D6221B" w:rsidP="007F4555">
      <w:pPr>
        <w:pStyle w:val="BodyText"/>
      </w:pPr>
      <w:r>
        <w:t>Attention</w:t>
      </w:r>
      <w:r w:rsidR="007F4555">
        <w:t xml:space="preserve"> now turns to </w:t>
      </w:r>
      <w:r w:rsidR="00DF21A8">
        <w:t>income share</w:t>
      </w:r>
      <w:r w:rsidR="00931F9D">
        <w:t>s</w:t>
      </w:r>
      <w:r w:rsidR="007F4555">
        <w:t>.</w:t>
      </w:r>
      <w:r w:rsidR="00DF21A8">
        <w:t xml:space="preserve"> </w:t>
      </w:r>
    </w:p>
    <w:p w:rsidR="007F4555" w:rsidRDefault="002C4974" w:rsidP="007F4555">
      <w:pPr>
        <w:pStyle w:val="ListBullet"/>
      </w:pPr>
      <w:r>
        <w:t>S</w:t>
      </w:r>
      <w:r w:rsidR="00454A5F">
        <w:t xml:space="preserve">ection </w:t>
      </w:r>
      <w:r w:rsidR="00DF21A8">
        <w:t>3</w:t>
      </w:r>
      <w:r w:rsidR="00454A5F">
        <w:t xml:space="preserve">.1 </w:t>
      </w:r>
      <w:r w:rsidR="00CA215E">
        <w:t>explains</w:t>
      </w:r>
      <w:r w:rsidR="007F4555">
        <w:t xml:space="preserve"> </w:t>
      </w:r>
      <w:r w:rsidR="00C561B3">
        <w:t xml:space="preserve">the nature of </w:t>
      </w:r>
      <w:r w:rsidR="00CA215E">
        <w:t xml:space="preserve">the </w:t>
      </w:r>
      <w:r w:rsidR="007F4555">
        <w:t>labour income share</w:t>
      </w:r>
      <w:r w:rsidR="00C561B3">
        <w:t>.</w:t>
      </w:r>
    </w:p>
    <w:p w:rsidR="00454A5F" w:rsidRDefault="007F4555" w:rsidP="002C4974">
      <w:pPr>
        <w:pStyle w:val="ListBullet"/>
      </w:pPr>
      <w:r>
        <w:t xml:space="preserve">Section 3.2 </w:t>
      </w:r>
      <w:r w:rsidR="00C561B3">
        <w:t xml:space="preserve">sets the context </w:t>
      </w:r>
      <w:r w:rsidR="00660D04">
        <w:t xml:space="preserve">for </w:t>
      </w:r>
      <w:r w:rsidR="00F64A3A">
        <w:t xml:space="preserve">the </w:t>
      </w:r>
      <w:proofErr w:type="spellStart"/>
      <w:r w:rsidR="00F64A3A">
        <w:t>2000s</w:t>
      </w:r>
      <w:proofErr w:type="spellEnd"/>
      <w:r w:rsidR="00F64A3A">
        <w:t xml:space="preserve"> experience</w:t>
      </w:r>
      <w:r w:rsidR="00660D04">
        <w:t xml:space="preserve"> </w:t>
      </w:r>
      <w:r w:rsidR="00C561B3">
        <w:t xml:space="preserve">by </w:t>
      </w:r>
      <w:r w:rsidR="00426C45">
        <w:t>briefly review</w:t>
      </w:r>
      <w:r w:rsidR="00C561B3">
        <w:t>ing</w:t>
      </w:r>
      <w:r w:rsidR="00426C45">
        <w:t xml:space="preserve"> </w:t>
      </w:r>
      <w:r>
        <w:t xml:space="preserve">historical and </w:t>
      </w:r>
      <w:r w:rsidR="00426C45">
        <w:t>international trends in the labour income share</w:t>
      </w:r>
      <w:r w:rsidR="00C74947">
        <w:t>.</w:t>
      </w:r>
    </w:p>
    <w:p w:rsidR="00884FD6" w:rsidRDefault="00433382" w:rsidP="002C4974">
      <w:pPr>
        <w:pStyle w:val="ListBullet"/>
      </w:pPr>
      <w:r>
        <w:t>S</w:t>
      </w:r>
      <w:r w:rsidR="00454A5F">
        <w:t xml:space="preserve">ection </w:t>
      </w:r>
      <w:r w:rsidR="00426C45">
        <w:t>3.</w:t>
      </w:r>
      <w:r w:rsidR="007F4555">
        <w:t xml:space="preserve">3 </w:t>
      </w:r>
      <w:r w:rsidR="00884FD6">
        <w:t>compares</w:t>
      </w:r>
      <w:r w:rsidR="007F4555">
        <w:t xml:space="preserve"> economic conditions in the Australian and US economies</w:t>
      </w:r>
      <w:r w:rsidR="00884FD6">
        <w:t>.</w:t>
      </w:r>
      <w:r w:rsidR="007F4555">
        <w:t xml:space="preserve"> </w:t>
      </w:r>
    </w:p>
    <w:p w:rsidR="00426C45" w:rsidRDefault="00884FD6" w:rsidP="00884FD6">
      <w:pPr>
        <w:pStyle w:val="ListBullet2"/>
      </w:pPr>
      <w:r>
        <w:t>This helps</w:t>
      </w:r>
      <w:r w:rsidR="00931F9D">
        <w:t xml:space="preserve"> to address</w:t>
      </w:r>
      <w:r w:rsidR="007F4555">
        <w:t xml:space="preserve"> the issue of whether the recent fall in Australia’s</w:t>
      </w:r>
      <w:r w:rsidR="00454A5F">
        <w:t xml:space="preserve"> </w:t>
      </w:r>
      <w:r w:rsidR="007F4555">
        <w:t>labour income share is part of an international trend.</w:t>
      </w:r>
    </w:p>
    <w:p w:rsidR="00454A5F" w:rsidRDefault="00571693" w:rsidP="002C4974">
      <w:pPr>
        <w:pStyle w:val="ListBullet"/>
      </w:pPr>
      <w:r>
        <w:t xml:space="preserve">Section </w:t>
      </w:r>
      <w:r w:rsidR="00426C45">
        <w:t>3</w:t>
      </w:r>
      <w:r>
        <w:t>.</w:t>
      </w:r>
      <w:r w:rsidR="007F4555">
        <w:t>4</w:t>
      </w:r>
      <w:r>
        <w:t xml:space="preserve"> </w:t>
      </w:r>
      <w:r w:rsidR="00426C45">
        <w:t>provides a summary</w:t>
      </w:r>
      <w:r w:rsidR="00C74947">
        <w:t>.</w:t>
      </w:r>
    </w:p>
    <w:p w:rsidR="00B204BF" w:rsidRDefault="00C0297C" w:rsidP="00660E02">
      <w:pPr>
        <w:pStyle w:val="Heading2"/>
      </w:pPr>
      <w:r>
        <w:fldChar w:fldCharType="begin"/>
      </w:r>
      <w:r>
        <w:instrText xml:space="preserve"> COMMENTS  \* MERGEFORMAT </w:instrText>
      </w:r>
      <w:r>
        <w:fldChar w:fldCharType="separate"/>
      </w:r>
      <w:r w:rsidR="0075263D">
        <w:t>3.</w:t>
      </w:r>
      <w:r>
        <w:fldChar w:fldCharType="end"/>
      </w:r>
      <w:fldSimple w:instr=" SEQ Heading2 ">
        <w:r w:rsidR="00C713B5">
          <w:rPr>
            <w:noProof/>
          </w:rPr>
          <w:t>1</w:t>
        </w:r>
      </w:fldSimple>
      <w:r w:rsidR="00884FD6">
        <w:tab/>
      </w:r>
      <w:r w:rsidR="00B204BF">
        <w:t>What is the labour income share?</w:t>
      </w:r>
    </w:p>
    <w:p w:rsidR="00B2539E" w:rsidRDefault="007F4555" w:rsidP="00501666">
      <w:pPr>
        <w:pStyle w:val="BodyText"/>
      </w:pPr>
      <w:r>
        <w:t xml:space="preserve">The labour income share is the proportion of income generated from production that is </w:t>
      </w:r>
      <w:r w:rsidR="00884FD6">
        <w:t>allocated</w:t>
      </w:r>
      <w:r>
        <w:t xml:space="preserve"> to labour in wages</w:t>
      </w:r>
      <w:r w:rsidR="00B2539E">
        <w:t xml:space="preserve"> and </w:t>
      </w:r>
      <w:r w:rsidR="00931F9D">
        <w:t>on-costs</w:t>
      </w:r>
      <w:r w:rsidR="00B2539E">
        <w:t>.</w:t>
      </w:r>
      <w:r w:rsidR="00B2539E">
        <w:rPr>
          <w:rStyle w:val="FootnoteReference"/>
        </w:rPr>
        <w:footnoteReference w:id="1"/>
      </w:r>
      <w:r w:rsidR="00B2539E">
        <w:t xml:space="preserve"> Labour income is measured in gross terms, with no allowance for </w:t>
      </w:r>
      <w:r w:rsidR="00B2539E" w:rsidRPr="005E5909">
        <w:t>tax liabilities incurred</w:t>
      </w:r>
      <w:r w:rsidR="00B2539E">
        <w:t>.</w:t>
      </w:r>
    </w:p>
    <w:p w:rsidR="00B204BF" w:rsidRDefault="00B2539E" w:rsidP="00501666">
      <w:pPr>
        <w:pStyle w:val="BodyText"/>
      </w:pPr>
      <w:r>
        <w:t xml:space="preserve">Shares are calculated as a proportion of current price gross value added (GDP at the </w:t>
      </w:r>
      <w:proofErr w:type="spellStart"/>
      <w:r>
        <w:t>economy-wide</w:t>
      </w:r>
      <w:proofErr w:type="spellEnd"/>
      <w:r>
        <w:t xml:space="preserve"> level). </w:t>
      </w:r>
      <w:r w:rsidR="00B204BF">
        <w:t xml:space="preserve">Current price </w:t>
      </w:r>
      <w:r>
        <w:t>value added</w:t>
      </w:r>
      <w:r w:rsidR="00B204BF">
        <w:t xml:space="preserve"> (as opposed to the volume of </w:t>
      </w:r>
      <w:r>
        <w:t>value added</w:t>
      </w:r>
      <w:r w:rsidR="00B204BF">
        <w:t>) includes terms of trade effects on production.</w:t>
      </w:r>
      <w:r w:rsidR="00B204BF">
        <w:rPr>
          <w:rStyle w:val="FootnoteReference"/>
        </w:rPr>
        <w:footnoteReference w:id="2"/>
      </w:r>
      <w:r w:rsidR="00B204BF">
        <w:t xml:space="preserve"> </w:t>
      </w:r>
    </w:p>
    <w:p w:rsidR="00DF59E9" w:rsidRDefault="00DF59E9">
      <w:pPr>
        <w:rPr>
          <w:szCs w:val="20"/>
        </w:rPr>
      </w:pPr>
      <w:r>
        <w:br w:type="page"/>
      </w:r>
    </w:p>
    <w:p w:rsidR="00B204BF" w:rsidRDefault="00B2539E" w:rsidP="00501666">
      <w:pPr>
        <w:pStyle w:val="BodyText"/>
      </w:pPr>
      <w:r>
        <w:lastRenderedPageBreak/>
        <w:t xml:space="preserve">The use of value added as the income measure means that all </w:t>
      </w:r>
      <w:r w:rsidR="00931F9D">
        <w:t>non-labour</w:t>
      </w:r>
      <w:r>
        <w:t xml:space="preserve"> income is attributed to capital</w:t>
      </w:r>
      <w:r w:rsidR="00D832B5">
        <w:t>. This means that capital</w:t>
      </w:r>
      <w:r w:rsidR="00B204BF" w:rsidRPr="005E5909">
        <w:t xml:space="preserve"> income </w:t>
      </w:r>
      <w:r w:rsidR="00D832B5">
        <w:t xml:space="preserve">is a </w:t>
      </w:r>
      <w:r w:rsidR="00B204BF" w:rsidRPr="005E5909">
        <w:t>measure</w:t>
      </w:r>
      <w:r w:rsidR="00D832B5">
        <w:t xml:space="preserve"> of </w:t>
      </w:r>
      <w:r w:rsidR="00B204BF" w:rsidRPr="005E5909">
        <w:t xml:space="preserve">gross </w:t>
      </w:r>
      <w:r w:rsidR="00D832B5">
        <w:t>returns to capital</w:t>
      </w:r>
      <w:r w:rsidR="00B204BF" w:rsidRPr="005E5909">
        <w:t>, before deductions of tax, depreciation and interest.</w:t>
      </w:r>
      <w:r w:rsidR="00B204BF">
        <w:rPr>
          <w:rStyle w:val="FootnoteReference"/>
        </w:rPr>
        <w:footnoteReference w:id="3"/>
      </w:r>
    </w:p>
    <w:p w:rsidR="00D832B5" w:rsidRDefault="006B14C4" w:rsidP="00501666">
      <w:pPr>
        <w:pStyle w:val="BodyText"/>
      </w:pPr>
      <w:r>
        <w:t xml:space="preserve">This division between capital and labour income requires an allocation of proprietors’ income (Krueger 1999). </w:t>
      </w:r>
      <w:r w:rsidR="00C561B3">
        <w:t>The i</w:t>
      </w:r>
      <w:r w:rsidR="00D832B5">
        <w:t>ncome of proprietors</w:t>
      </w:r>
      <w:r w:rsidR="00A8718A">
        <w:t>, labelled gross mixed income in national accounts data, combines a capital component (return on proprietor</w:t>
      </w:r>
      <w:r w:rsidR="00C561B3">
        <w:t>s</w:t>
      </w:r>
      <w:r w:rsidR="00A8718A">
        <w:t>’ capital) and a labour component (return to proprietor</w:t>
      </w:r>
      <w:r w:rsidR="00C561B3">
        <w:t>s</w:t>
      </w:r>
      <w:r w:rsidR="00A8718A">
        <w:t xml:space="preserve">’ labour input). </w:t>
      </w:r>
      <w:r w:rsidR="00C561B3">
        <w:t>Figure 3.1 gives an idea of the i</w:t>
      </w:r>
      <w:r w:rsidR="00B900DC">
        <w:t>mportance of gross mixed income</w:t>
      </w:r>
      <w:r w:rsidR="00C561B3">
        <w:t xml:space="preserve"> relative to income received by incorporated businesses </w:t>
      </w:r>
      <w:r w:rsidR="00931F9D">
        <w:t xml:space="preserve">(gross operating surplus) and </w:t>
      </w:r>
      <w:r w:rsidR="00C561B3">
        <w:t>labour costs.</w:t>
      </w:r>
      <w:r w:rsidR="00931F9D">
        <w:t xml:space="preserve"> </w:t>
      </w:r>
    </w:p>
    <w:p w:rsidR="006B14C4" w:rsidRDefault="006B14C4" w:rsidP="00501666">
      <w:pPr>
        <w:pStyle w:val="BodyText"/>
      </w:pPr>
      <w:r>
        <w:t>The allocation task can be approached in a number of ways (which accounts for some of the imprecision in estimates and differences across sources of estimates).</w:t>
      </w:r>
      <w:r>
        <w:rPr>
          <w:rStyle w:val="FootnoteReference"/>
        </w:rPr>
        <w:footnoteReference w:id="4"/>
      </w:r>
      <w:r>
        <w:t xml:space="preserve"> </w:t>
      </w:r>
    </w:p>
    <w:p w:rsidR="001D72C2" w:rsidRPr="00D60ED3" w:rsidRDefault="001D72C2" w:rsidP="005D48B0">
      <w:pPr>
        <w:pStyle w:val="FigureTitle"/>
        <w:rPr>
          <w:rFonts w:eastAsiaTheme="minorHAnsi"/>
          <w:lang w:eastAsia="en-US"/>
        </w:rPr>
      </w:pPr>
      <w:r w:rsidRPr="005D48B0">
        <w:rPr>
          <w:rFonts w:eastAsiaTheme="minorHAnsi"/>
          <w:b w:val="0"/>
          <w:lang w:eastAsia="en-US"/>
        </w:rPr>
        <w:t xml:space="preserve">Figure </w:t>
      </w:r>
      <w:r w:rsidRPr="005D48B0">
        <w:rPr>
          <w:rFonts w:eastAsiaTheme="minorHAnsi"/>
          <w:b w:val="0"/>
          <w:lang w:eastAsia="en-US"/>
        </w:rPr>
        <w:fldChar w:fldCharType="begin"/>
      </w:r>
      <w:r w:rsidRPr="005D48B0">
        <w:rPr>
          <w:rFonts w:eastAsiaTheme="minorHAnsi"/>
          <w:b w:val="0"/>
          <w:lang w:eastAsia="en-US"/>
        </w:rPr>
        <w:instrText xml:space="preserve"> COMMENTS  \* MERGEFORMAT </w:instrText>
      </w:r>
      <w:r w:rsidRPr="005D48B0">
        <w:rPr>
          <w:rFonts w:eastAsiaTheme="minorHAnsi"/>
          <w:b w:val="0"/>
          <w:lang w:eastAsia="en-US"/>
        </w:rPr>
        <w:fldChar w:fldCharType="separate"/>
      </w:r>
      <w:r w:rsidR="0075263D" w:rsidRPr="005D48B0">
        <w:rPr>
          <w:rFonts w:eastAsiaTheme="minorHAnsi"/>
          <w:b w:val="0"/>
          <w:lang w:eastAsia="en-US"/>
        </w:rPr>
        <w:t>3.</w:t>
      </w:r>
      <w:r w:rsidRPr="005D48B0">
        <w:rPr>
          <w:rFonts w:eastAsiaTheme="minorHAnsi"/>
          <w:b w:val="0"/>
          <w:lang w:eastAsia="en-US"/>
        </w:rPr>
        <w:fldChar w:fldCharType="end"/>
      </w:r>
      <w:r w:rsidRPr="005D48B0">
        <w:rPr>
          <w:rFonts w:eastAsiaTheme="minorHAnsi"/>
          <w:b w:val="0"/>
          <w:lang w:eastAsia="en-US"/>
        </w:rPr>
        <w:fldChar w:fldCharType="begin"/>
      </w:r>
      <w:r w:rsidRPr="005D48B0">
        <w:rPr>
          <w:rFonts w:eastAsiaTheme="minorHAnsi"/>
          <w:b w:val="0"/>
          <w:lang w:eastAsia="en-US"/>
        </w:rPr>
        <w:instrText xml:space="preserve"> SEQ Figure \* ARABIC </w:instrText>
      </w:r>
      <w:r w:rsidRPr="005D48B0">
        <w:rPr>
          <w:rFonts w:eastAsiaTheme="minorHAnsi"/>
          <w:b w:val="0"/>
          <w:lang w:eastAsia="en-US"/>
        </w:rPr>
        <w:fldChar w:fldCharType="separate"/>
      </w:r>
      <w:r w:rsidR="00C713B5">
        <w:rPr>
          <w:rFonts w:eastAsiaTheme="minorHAnsi"/>
          <w:b w:val="0"/>
          <w:noProof/>
          <w:lang w:eastAsia="en-US"/>
        </w:rPr>
        <w:t>1</w:t>
      </w:r>
      <w:r w:rsidRPr="005D48B0">
        <w:rPr>
          <w:rFonts w:eastAsiaTheme="minorHAnsi"/>
          <w:b w:val="0"/>
          <w:lang w:eastAsia="en-US"/>
        </w:rPr>
        <w:fldChar w:fldCharType="end"/>
      </w:r>
      <w:r w:rsidRPr="00D60ED3">
        <w:rPr>
          <w:rFonts w:eastAsiaTheme="minorHAnsi"/>
          <w:lang w:eastAsia="en-US"/>
        </w:rPr>
        <w:tab/>
        <w:t xml:space="preserve">Share of </w:t>
      </w:r>
      <w:r w:rsidR="00A549A1">
        <w:rPr>
          <w:rFonts w:eastAsiaTheme="minorHAnsi"/>
          <w:lang w:eastAsia="en-US"/>
        </w:rPr>
        <w:t xml:space="preserve">income </w:t>
      </w:r>
      <w:r w:rsidRPr="00D60ED3">
        <w:rPr>
          <w:rFonts w:eastAsiaTheme="minorHAnsi"/>
          <w:lang w:eastAsia="en-US"/>
        </w:rPr>
        <w:t>going to employees, companies</w:t>
      </w:r>
      <w:r w:rsidR="00B900DC">
        <w:rPr>
          <w:rFonts w:eastAsiaTheme="minorHAnsi"/>
          <w:lang w:eastAsia="en-US"/>
        </w:rPr>
        <w:t>,</w:t>
      </w:r>
      <w:r w:rsidRPr="00D60ED3">
        <w:rPr>
          <w:rFonts w:eastAsiaTheme="minorHAnsi"/>
          <w:lang w:eastAsia="en-US"/>
        </w:rPr>
        <w:t xml:space="preserve"> and proprietors</w:t>
      </w:r>
    </w:p>
    <w:p w:rsidR="001D72C2" w:rsidRPr="00D60ED3" w:rsidRDefault="001D72C2" w:rsidP="001D72C2">
      <w:pPr>
        <w:keepNext/>
        <w:keepLines/>
        <w:spacing w:after="80" w:line="200" w:lineRule="exact"/>
        <w:ind w:left="1474"/>
        <w:rPr>
          <w:rFonts w:ascii="Arial" w:eastAsiaTheme="minorHAnsi" w:hAnsi="Arial" w:cstheme="minorBidi"/>
          <w:sz w:val="20"/>
          <w:szCs w:val="22"/>
          <w:lang w:eastAsia="en-US"/>
        </w:rPr>
      </w:pPr>
      <w:r w:rsidRPr="00D60ED3">
        <w:rPr>
          <w:rFonts w:ascii="Arial" w:eastAsiaTheme="minorHAnsi" w:hAnsi="Arial" w:cstheme="minorBidi"/>
          <w:sz w:val="20"/>
          <w:szCs w:val="22"/>
          <w:lang w:eastAsia="en-US"/>
        </w:rPr>
        <w:t>per cent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D72C2" w:rsidRPr="00D60ED3" w:rsidTr="001D72C2">
        <w:tc>
          <w:tcPr>
            <w:tcW w:w="8777" w:type="dxa"/>
          </w:tcPr>
          <w:p w:rsidR="001D72C2" w:rsidRPr="00D60ED3" w:rsidRDefault="007D4C49" w:rsidP="001D72C2">
            <w:pPr>
              <w:keepNext/>
              <w:spacing w:before="120" w:after="120" w:line="240" w:lineRule="atLeast"/>
              <w:jc w:val="center"/>
              <w:rPr>
                <w:szCs w:val="20"/>
              </w:rPr>
            </w:pPr>
            <w:r>
              <w:rPr>
                <w:noProof/>
                <w:szCs w:val="20"/>
              </w:rPr>
              <w:drawing>
                <wp:inline distT="0" distB="0" distL="0" distR="0" wp14:anchorId="17362980" wp14:editId="13E2CC4C">
                  <wp:extent cx="4932045" cy="2743200"/>
                  <wp:effectExtent l="0" t="0" r="1905" b="0"/>
                  <wp:docPr id="2" name="Picture 2" descr="Share of income going to employees, companies and proprietors. This figure shows tha proportion of income going to employees rose in the early 1970s and then gradually declined until the end of the 1980s. The proportion going to companies has increased gradually while the proportion going to proprietors fell through the 1960s and 1970s." title="Share of income going to employees, companies, and proprie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2045" cy="2743200"/>
                          </a:xfrm>
                          <a:prstGeom prst="rect">
                            <a:avLst/>
                          </a:prstGeom>
                          <a:noFill/>
                        </pic:spPr>
                      </pic:pic>
                    </a:graphicData>
                  </a:graphic>
                </wp:inline>
              </w:drawing>
            </w:r>
          </w:p>
        </w:tc>
      </w:tr>
    </w:tbl>
    <w:p w:rsidR="001D72C2" w:rsidRPr="00D60ED3" w:rsidRDefault="001D72C2" w:rsidP="001D72C2">
      <w:pPr>
        <w:keepLines/>
        <w:spacing w:before="80" w:after="120" w:line="220" w:lineRule="exact"/>
        <w:jc w:val="both"/>
        <w:rPr>
          <w:rFonts w:ascii="Arial" w:hAnsi="Arial"/>
          <w:sz w:val="18"/>
          <w:szCs w:val="20"/>
        </w:rPr>
      </w:pPr>
      <w:r w:rsidRPr="00D60ED3">
        <w:rPr>
          <w:rFonts w:ascii="Arial" w:hAnsi="Arial"/>
          <w:i/>
          <w:sz w:val="18"/>
          <w:szCs w:val="20"/>
        </w:rPr>
        <w:t>Data source</w:t>
      </w:r>
      <w:r w:rsidRPr="00D60ED3">
        <w:rPr>
          <w:rFonts w:ascii="Arial" w:hAnsi="Arial"/>
          <w:sz w:val="18"/>
          <w:szCs w:val="20"/>
        </w:rPr>
        <w:t xml:space="preserve">: </w:t>
      </w:r>
      <w:r w:rsidR="004D7881">
        <w:rPr>
          <w:rFonts w:ascii="Arial" w:hAnsi="Arial"/>
          <w:sz w:val="18"/>
          <w:szCs w:val="20"/>
        </w:rPr>
        <w:t xml:space="preserve">ABS </w:t>
      </w:r>
      <w:r w:rsidR="005B69D9">
        <w:rPr>
          <w:rFonts w:ascii="Arial" w:hAnsi="Arial"/>
          <w:sz w:val="18"/>
          <w:szCs w:val="20"/>
        </w:rPr>
        <w:t>(</w:t>
      </w:r>
      <w:r w:rsidR="004D7881">
        <w:rPr>
          <w:rFonts w:ascii="Arial" w:hAnsi="Arial"/>
          <w:sz w:val="18"/>
          <w:szCs w:val="20"/>
        </w:rPr>
        <w:t>Cat</w:t>
      </w:r>
      <w:r w:rsidR="009F54DE">
        <w:rPr>
          <w:rFonts w:ascii="Arial" w:hAnsi="Arial"/>
          <w:sz w:val="18"/>
          <w:szCs w:val="20"/>
        </w:rPr>
        <w:t>.</w:t>
      </w:r>
      <w:r w:rsidR="004D7881">
        <w:rPr>
          <w:rFonts w:ascii="Arial" w:hAnsi="Arial"/>
          <w:sz w:val="18"/>
          <w:szCs w:val="20"/>
        </w:rPr>
        <w:t xml:space="preserve"> </w:t>
      </w:r>
      <w:r w:rsidR="009F54DE">
        <w:rPr>
          <w:rFonts w:ascii="Arial" w:hAnsi="Arial"/>
          <w:sz w:val="18"/>
          <w:szCs w:val="20"/>
        </w:rPr>
        <w:t>n</w:t>
      </w:r>
      <w:r w:rsidR="004D7881">
        <w:rPr>
          <w:rFonts w:ascii="Arial" w:hAnsi="Arial"/>
          <w:sz w:val="18"/>
          <w:szCs w:val="20"/>
        </w:rPr>
        <w:t>o</w:t>
      </w:r>
      <w:r w:rsidR="009F54DE">
        <w:rPr>
          <w:rFonts w:ascii="Arial" w:hAnsi="Arial"/>
          <w:sz w:val="18"/>
          <w:szCs w:val="20"/>
        </w:rPr>
        <w:t>.</w:t>
      </w:r>
      <w:r w:rsidR="004D7881">
        <w:rPr>
          <w:rFonts w:ascii="Arial" w:hAnsi="Arial"/>
          <w:sz w:val="18"/>
          <w:szCs w:val="20"/>
        </w:rPr>
        <w:t xml:space="preserve"> 5204.0</w:t>
      </w:r>
      <w:r w:rsidR="005B69D9">
        <w:rPr>
          <w:rFonts w:ascii="Arial" w:hAnsi="Arial"/>
          <w:sz w:val="18"/>
          <w:szCs w:val="20"/>
        </w:rPr>
        <w:t>).</w:t>
      </w:r>
    </w:p>
    <w:p w:rsidR="006B14C4" w:rsidRDefault="006B14C4" w:rsidP="00501666">
      <w:pPr>
        <w:pStyle w:val="BodyText"/>
      </w:pPr>
      <w:r>
        <w:lastRenderedPageBreak/>
        <w:t xml:space="preserve">The common starting point </w:t>
      </w:r>
      <w:r w:rsidR="00B900DC">
        <w:t xml:space="preserve">to </w:t>
      </w:r>
      <w:r w:rsidR="00EE563E">
        <w:t>allocating proprietors’</w:t>
      </w:r>
      <w:r w:rsidR="0091375A">
        <w:t xml:space="preserve"> </w:t>
      </w:r>
      <w:r w:rsidR="00EE563E">
        <w:t>income</w:t>
      </w:r>
      <w:r w:rsidR="00B900DC">
        <w:t xml:space="preserve"> </w:t>
      </w:r>
      <w:r>
        <w:t>is to impute a labour income component based on hours worked and the average</w:t>
      </w:r>
      <w:r w:rsidR="00A95512">
        <w:t xml:space="preserve"> </w:t>
      </w:r>
      <w:r w:rsidR="00EE563E">
        <w:t xml:space="preserve">employee wage </w:t>
      </w:r>
      <w:r w:rsidR="00C84126">
        <w:t>in the same industry.</w:t>
      </w:r>
      <w:r w:rsidR="00C84126">
        <w:rPr>
          <w:rStyle w:val="FootnoteReference"/>
        </w:rPr>
        <w:footnoteReference w:id="5"/>
      </w:r>
    </w:p>
    <w:p w:rsidR="00D832B5" w:rsidRDefault="00D832B5" w:rsidP="00501666">
      <w:pPr>
        <w:pStyle w:val="BodyText"/>
      </w:pPr>
      <w:r>
        <w:t>Since p</w:t>
      </w:r>
      <w:r w:rsidRPr="00B204BF">
        <w:t>ayments to labour and capital exhaust available income</w:t>
      </w:r>
      <w:r>
        <w:t>,</w:t>
      </w:r>
      <w:r w:rsidRPr="00B204BF">
        <w:t xml:space="preserve"> the labour income share and the capital income share sum to 100 in percentage terms.</w:t>
      </w:r>
      <w:r>
        <w:t xml:space="preserve"> Obviously, a fall in the labour income share means a rise of the same size in the capital income share.</w:t>
      </w:r>
    </w:p>
    <w:p w:rsidR="00B204BF" w:rsidRDefault="00B204BF" w:rsidP="00501666">
      <w:pPr>
        <w:pStyle w:val="BodyText"/>
      </w:pPr>
      <w:r>
        <w:t xml:space="preserve">This simple division of gross income between labour and capital means that important allocations of income </w:t>
      </w:r>
      <w:r w:rsidR="004D7881">
        <w:t xml:space="preserve">from production </w:t>
      </w:r>
      <w:r>
        <w:t xml:space="preserve">are </w:t>
      </w:r>
      <w:r w:rsidR="00D832B5">
        <w:t>overlooked, including those</w:t>
      </w:r>
      <w:r>
        <w:t xml:space="preserve"> to:</w:t>
      </w:r>
    </w:p>
    <w:p w:rsidR="00B204BF" w:rsidRDefault="00B204BF" w:rsidP="00B204BF">
      <w:pPr>
        <w:pStyle w:val="ListBullet"/>
      </w:pPr>
      <w:r>
        <w:t>governments th</w:t>
      </w:r>
      <w:r w:rsidR="009F54DE">
        <w:t>rough various taxes and charges</w:t>
      </w:r>
    </w:p>
    <w:p w:rsidR="00B204BF" w:rsidRDefault="00B204BF" w:rsidP="00B204BF">
      <w:pPr>
        <w:pStyle w:val="ListBullet"/>
      </w:pPr>
      <w:r>
        <w:t>depreciation to cover replacement of the nation’s capital stock and i</w:t>
      </w:r>
      <w:r w:rsidR="009F54DE">
        <w:t>ts income-earning potential</w:t>
      </w:r>
    </w:p>
    <w:p w:rsidR="00B204BF" w:rsidRDefault="00B204BF" w:rsidP="00B204BF">
      <w:pPr>
        <w:pStyle w:val="ListBullet"/>
      </w:pPr>
      <w:r>
        <w:t>foreigners, through their part ownership of the capital stock and through direct labour participation.</w:t>
      </w:r>
    </w:p>
    <w:p w:rsidR="00660E02" w:rsidRDefault="00C0297C" w:rsidP="00660E02">
      <w:pPr>
        <w:pStyle w:val="Heading2"/>
      </w:pPr>
      <w:r>
        <w:fldChar w:fldCharType="begin"/>
      </w:r>
      <w:r>
        <w:instrText xml:space="preserve"> COMMENTS  \* MERGEFORMAT </w:instrText>
      </w:r>
      <w:r>
        <w:fldChar w:fldCharType="separate"/>
      </w:r>
      <w:r w:rsidR="0075263D">
        <w:t>3.</w:t>
      </w:r>
      <w:r>
        <w:fldChar w:fldCharType="end"/>
      </w:r>
      <w:fldSimple w:instr=" SEQ Heading2 ">
        <w:r w:rsidR="00C713B5">
          <w:rPr>
            <w:noProof/>
          </w:rPr>
          <w:t>2</w:t>
        </w:r>
      </w:fldSimple>
      <w:r w:rsidR="00C84126">
        <w:tab/>
      </w:r>
      <w:r w:rsidR="00D832B5">
        <w:t>T</w:t>
      </w:r>
      <w:r w:rsidR="00660E02">
        <w:t>rends in the labour income share</w:t>
      </w:r>
    </w:p>
    <w:p w:rsidR="00D832B5" w:rsidRDefault="00E47800" w:rsidP="00D832B5">
      <w:pPr>
        <w:pStyle w:val="BodyText"/>
      </w:pPr>
      <w:r>
        <w:t xml:space="preserve">Trends in the labour income share </w:t>
      </w:r>
      <w:r w:rsidR="003644FA">
        <w:t>(</w:t>
      </w:r>
      <w:proofErr w:type="spellStart"/>
      <w:r w:rsidR="003644FA">
        <w:t>LIS</w:t>
      </w:r>
      <w:proofErr w:type="spellEnd"/>
      <w:r w:rsidR="003644FA">
        <w:t xml:space="preserve">) </w:t>
      </w:r>
      <w:r>
        <w:t>in Australia and other countries are now briefly reviewed.</w:t>
      </w:r>
      <w:r w:rsidR="003644FA">
        <w:t xml:space="preserve"> The review is intended to provide context, rather than detailed treatment of trends and causes.</w:t>
      </w:r>
      <w:r w:rsidR="00220E2E">
        <w:rPr>
          <w:rStyle w:val="FootnoteReference"/>
        </w:rPr>
        <w:footnoteReference w:id="6"/>
      </w:r>
    </w:p>
    <w:p w:rsidR="005A3945" w:rsidRDefault="00D832B5" w:rsidP="00D832B5">
      <w:pPr>
        <w:pStyle w:val="Heading3"/>
      </w:pPr>
      <w:r>
        <w:t>Historical</w:t>
      </w:r>
    </w:p>
    <w:p w:rsidR="00F12CCD" w:rsidRDefault="00883B8C" w:rsidP="00883B8C">
      <w:pPr>
        <w:pStyle w:val="BodyText"/>
      </w:pPr>
      <w:r>
        <w:t>Labour and capital income shares, or the functional distribution of income, w</w:t>
      </w:r>
      <w:r w:rsidR="00E47800">
        <w:t>ere</w:t>
      </w:r>
      <w:r>
        <w:t xml:space="preserve"> of keen interest to the classical economists of the 18</w:t>
      </w:r>
      <w:r w:rsidRPr="00AD6E14">
        <w:rPr>
          <w:vertAlign w:val="superscript"/>
        </w:rPr>
        <w:t>th</w:t>
      </w:r>
      <w:r>
        <w:t xml:space="preserve"> and 19</w:t>
      </w:r>
      <w:r w:rsidRPr="00AD6E14">
        <w:rPr>
          <w:vertAlign w:val="superscript"/>
        </w:rPr>
        <w:t>th</w:t>
      </w:r>
      <w:r>
        <w:t xml:space="preserve"> centuries and </w:t>
      </w:r>
      <w:r w:rsidR="00E47800">
        <w:t>later</w:t>
      </w:r>
      <w:r>
        <w:t xml:space="preserve"> to others such as the neoclassical, Marxian and post-Keynesian schools. But interest waned as evidence </w:t>
      </w:r>
      <w:r w:rsidR="00D6221B">
        <w:t xml:space="preserve">of the constancy of the labour and capital income shares </w:t>
      </w:r>
      <w:r>
        <w:t xml:space="preserve">came to light and </w:t>
      </w:r>
      <w:proofErr w:type="spellStart"/>
      <w:r>
        <w:t>Kaldor</w:t>
      </w:r>
      <w:proofErr w:type="spellEnd"/>
      <w:r>
        <w:t xml:space="preserve"> (1957) famously declared </w:t>
      </w:r>
      <w:r w:rsidR="00D6221B">
        <w:t>the constancy</w:t>
      </w:r>
      <w:r>
        <w:t xml:space="preserve"> to be a stylised fact.</w:t>
      </w:r>
      <w:r>
        <w:rPr>
          <w:rStyle w:val="FootnoteReference"/>
        </w:rPr>
        <w:footnoteReference w:id="7"/>
      </w:r>
      <w:r>
        <w:t xml:space="preserve"> The</w:t>
      </w:r>
    </w:p>
    <w:p w:rsidR="00F12CCD" w:rsidRDefault="00F12CCD" w:rsidP="00F12CCD">
      <w:pPr>
        <w:pStyle w:val="BodyText"/>
      </w:pPr>
      <w:r>
        <w:br w:type="page"/>
      </w:r>
    </w:p>
    <w:p w:rsidR="00883B8C" w:rsidRDefault="00883B8C" w:rsidP="00883B8C">
      <w:pPr>
        <w:pStyle w:val="BodyText"/>
      </w:pPr>
      <w:r>
        <w:lastRenderedPageBreak/>
        <w:t xml:space="preserve"> conventional wisdom became that upward movement</w:t>
      </w:r>
      <w:r w:rsidR="00F12CCD">
        <w:t xml:space="preserve">s in capital-labour ratios were </w:t>
      </w:r>
      <w:r>
        <w:t xml:space="preserve">offset by movements in the ratio of wage and profit rates, leaving the </w:t>
      </w:r>
      <w:proofErr w:type="spellStart"/>
      <w:r>
        <w:t>LIS</w:t>
      </w:r>
      <w:proofErr w:type="spellEnd"/>
      <w:r>
        <w:t xml:space="preserve"> constant.</w:t>
      </w:r>
      <w:r>
        <w:rPr>
          <w:rStyle w:val="FootnoteReference"/>
        </w:rPr>
        <w:footnoteReference w:id="8"/>
      </w:r>
    </w:p>
    <w:p w:rsidR="00CF48F4" w:rsidRPr="00883B8C" w:rsidRDefault="00CF48F4" w:rsidP="00883B8C">
      <w:pPr>
        <w:pStyle w:val="BodyText"/>
      </w:pPr>
      <w:r>
        <w:t xml:space="preserve">There was, nevertheless, scope for short-term variability in response to the business cycle </w:t>
      </w:r>
      <w:r w:rsidR="00D84933">
        <w:t>or temporary</w:t>
      </w:r>
      <w:r>
        <w:t xml:space="preserve"> shocks.</w:t>
      </w:r>
      <w:r w:rsidR="00D84933">
        <w:t xml:space="preserve"> The labour income share is considered to be counter-cyclical (EC 2007). It rises in the down phase of the cycle</w:t>
      </w:r>
      <w:r w:rsidR="00225BF6">
        <w:t>, for example,</w:t>
      </w:r>
      <w:r w:rsidR="00D84933">
        <w:t xml:space="preserve"> as businesses hoard labour and </w:t>
      </w:r>
      <w:r w:rsidR="00225BF6">
        <w:t>profits fall, while nominal wages remain ‘sticky’.</w:t>
      </w:r>
    </w:p>
    <w:p w:rsidR="00D832B5" w:rsidRDefault="00D832B5" w:rsidP="00D832B5">
      <w:pPr>
        <w:pStyle w:val="Heading4"/>
      </w:pPr>
      <w:r>
        <w:t>International</w:t>
      </w:r>
    </w:p>
    <w:p w:rsidR="00391B9F" w:rsidRDefault="009534C3" w:rsidP="00391B9F">
      <w:pPr>
        <w:pStyle w:val="BodyText"/>
      </w:pPr>
      <w:r>
        <w:t>I</w:t>
      </w:r>
      <w:r w:rsidR="00307C9A">
        <w:t xml:space="preserve">nterest </w:t>
      </w:r>
      <w:r w:rsidR="00D6221B">
        <w:t xml:space="preserve">in the </w:t>
      </w:r>
      <w:proofErr w:type="spellStart"/>
      <w:r w:rsidR="00D6221B">
        <w:t>LIS</w:t>
      </w:r>
      <w:proofErr w:type="spellEnd"/>
      <w:r w:rsidR="00D6221B">
        <w:t xml:space="preserve"> </w:t>
      </w:r>
      <w:r w:rsidR="003644FA">
        <w:t>was</w:t>
      </w:r>
      <w:r w:rsidR="00307C9A">
        <w:t xml:space="preserve"> rekindled with </w:t>
      </w:r>
      <w:r w:rsidR="00E47800">
        <w:t xml:space="preserve">evidence of </w:t>
      </w:r>
      <w:r w:rsidR="00307C9A">
        <w:t xml:space="preserve">medium- to long-term movements </w:t>
      </w:r>
      <w:r w:rsidR="003644FA">
        <w:t>in the post-WWII era</w:t>
      </w:r>
      <w:r w:rsidR="00307C9A">
        <w:t>.</w:t>
      </w:r>
      <w:r w:rsidR="00FC35AB">
        <w:t xml:space="preserve"> The evidence challenged earlier assumptions about the behaviour of income shares or, at least, the time periods over which correcting responses occurred.</w:t>
      </w:r>
    </w:p>
    <w:p w:rsidR="00391B9F" w:rsidRDefault="00A8718A" w:rsidP="00501666">
      <w:pPr>
        <w:pStyle w:val="BodyText"/>
        <w:spacing w:before="200"/>
      </w:pPr>
      <w:r w:rsidRPr="00A8718A">
        <w:t xml:space="preserve">As a general pattern across developed nations, the </w:t>
      </w:r>
      <w:proofErr w:type="spellStart"/>
      <w:r w:rsidRPr="00A8718A">
        <w:t>LIS</w:t>
      </w:r>
      <w:proofErr w:type="spellEnd"/>
      <w:r w:rsidRPr="00A8718A">
        <w:t xml:space="preserve"> rose in the late </w:t>
      </w:r>
      <w:proofErr w:type="spellStart"/>
      <w:r w:rsidRPr="00A8718A">
        <w:t>1960s</w:t>
      </w:r>
      <w:proofErr w:type="spellEnd"/>
      <w:r w:rsidRPr="00A8718A">
        <w:t xml:space="preserve"> and </w:t>
      </w:r>
      <w:proofErr w:type="spellStart"/>
      <w:r w:rsidRPr="00A8718A">
        <w:t>1970s</w:t>
      </w:r>
      <w:proofErr w:type="spellEnd"/>
      <w:r w:rsidRPr="00A8718A">
        <w:t xml:space="preserve">, and then declined gradually over the </w:t>
      </w:r>
      <w:proofErr w:type="spellStart"/>
      <w:r w:rsidRPr="00A8718A">
        <w:t>1980s</w:t>
      </w:r>
      <w:proofErr w:type="spellEnd"/>
      <w:r w:rsidRPr="00A8718A">
        <w:t xml:space="preserve"> and </w:t>
      </w:r>
      <w:proofErr w:type="spellStart"/>
      <w:r w:rsidRPr="00A8718A">
        <w:t>1990s</w:t>
      </w:r>
      <w:proofErr w:type="spellEnd"/>
      <w:r w:rsidRPr="00A8718A">
        <w:t xml:space="preserve"> </w:t>
      </w:r>
      <w:r w:rsidR="00391B9F">
        <w:t>(</w:t>
      </w:r>
      <w:r w:rsidR="00307C9A">
        <w:t>E</w:t>
      </w:r>
      <w:r w:rsidR="002463C0">
        <w:t>C</w:t>
      </w:r>
      <w:r w:rsidR="004853A5">
        <w:t xml:space="preserve"> 2007;</w:t>
      </w:r>
      <w:r w:rsidR="00307C9A">
        <w:t xml:space="preserve"> </w:t>
      </w:r>
      <w:r w:rsidR="00391B9F">
        <w:t xml:space="preserve">Rodriguez and </w:t>
      </w:r>
      <w:proofErr w:type="spellStart"/>
      <w:r w:rsidR="00391B9F">
        <w:t>Jayadev</w:t>
      </w:r>
      <w:proofErr w:type="spellEnd"/>
      <w:r w:rsidR="00391B9F">
        <w:t xml:space="preserve"> 2010</w:t>
      </w:r>
      <w:r w:rsidR="004853A5">
        <w:t>;</w:t>
      </w:r>
      <w:r w:rsidR="00307C9A">
        <w:t xml:space="preserve"> </w:t>
      </w:r>
      <w:proofErr w:type="spellStart"/>
      <w:r w:rsidR="00307C9A">
        <w:t>Karabarbounis</w:t>
      </w:r>
      <w:proofErr w:type="spellEnd"/>
      <w:r w:rsidR="00307C9A">
        <w:t xml:space="preserve"> and Neiman 2012</w:t>
      </w:r>
      <w:r w:rsidR="00391B9F">
        <w:t xml:space="preserve">). This was clearly evident, for example, in most European countries (and Japan), where the </w:t>
      </w:r>
      <w:proofErr w:type="spellStart"/>
      <w:r w:rsidR="00391B9F">
        <w:t>LIS</w:t>
      </w:r>
      <w:proofErr w:type="spellEnd"/>
      <w:r w:rsidR="00391B9F">
        <w:t xml:space="preserve"> rose to a peak in the late </w:t>
      </w:r>
      <w:proofErr w:type="spellStart"/>
      <w:r w:rsidR="00391B9F">
        <w:t>1970s</w:t>
      </w:r>
      <w:proofErr w:type="spellEnd"/>
      <w:r w:rsidR="00391B9F">
        <w:t xml:space="preserve"> and early </w:t>
      </w:r>
      <w:proofErr w:type="spellStart"/>
      <w:r w:rsidR="00391B9F">
        <w:t>1980s</w:t>
      </w:r>
      <w:proofErr w:type="spellEnd"/>
      <w:r w:rsidR="00391B9F">
        <w:t>, and then steadily declined (E</w:t>
      </w:r>
      <w:r w:rsidR="002463C0">
        <w:t>C</w:t>
      </w:r>
      <w:r w:rsidR="00391B9F">
        <w:t xml:space="preserve"> 2007). </w:t>
      </w:r>
      <w:r w:rsidR="00C84126">
        <w:t xml:space="preserve">It was </w:t>
      </w:r>
      <w:r w:rsidR="009237B2">
        <w:t xml:space="preserve">mildly </w:t>
      </w:r>
      <w:r w:rsidR="00C84126">
        <w:t>evident in the US (see below).</w:t>
      </w:r>
    </w:p>
    <w:p w:rsidR="00391B9F" w:rsidRDefault="00A8718A" w:rsidP="00501666">
      <w:pPr>
        <w:pStyle w:val="BodyText"/>
        <w:spacing w:before="200"/>
      </w:pPr>
      <w:r w:rsidRPr="00A8718A">
        <w:t xml:space="preserve">The </w:t>
      </w:r>
      <w:r w:rsidR="005D38A4">
        <w:t xml:space="preserve">general view is that the </w:t>
      </w:r>
      <w:r w:rsidRPr="00A8718A">
        <w:t>rises were associated with</w:t>
      </w:r>
      <w:r w:rsidR="005D38A4">
        <w:t xml:space="preserve"> a combination of</w:t>
      </w:r>
      <w:r w:rsidRPr="00A8718A">
        <w:t xml:space="preserve"> wage increases due to institutional arrangements that increased the bargaining power of labour</w:t>
      </w:r>
      <w:r w:rsidR="005D38A4">
        <w:t>, economic shocks (oil prices) and a slowdown in productivity growth (</w:t>
      </w:r>
      <w:proofErr w:type="spellStart"/>
      <w:r w:rsidR="005D38A4">
        <w:t>Bertoli</w:t>
      </w:r>
      <w:proofErr w:type="spellEnd"/>
      <w:r w:rsidR="005D38A4">
        <w:t xml:space="preserve"> and Farina 2007)</w:t>
      </w:r>
      <w:r w:rsidRPr="00A8718A">
        <w:t>.</w:t>
      </w:r>
      <w:r w:rsidR="00E47800">
        <w:t xml:space="preserve"> </w:t>
      </w:r>
    </w:p>
    <w:p w:rsidR="00A8718A" w:rsidRDefault="00A8718A" w:rsidP="00501666">
      <w:pPr>
        <w:pStyle w:val="BodyText"/>
        <w:spacing w:before="200"/>
      </w:pPr>
      <w:r w:rsidRPr="00A8718A">
        <w:t xml:space="preserve">The extent of the decline varied across countries, due in part to differences in the extent to which labour income shares had risen from their </w:t>
      </w:r>
      <w:r w:rsidR="00FC35AB">
        <w:t>pre-</w:t>
      </w:r>
      <w:proofErr w:type="spellStart"/>
      <w:r w:rsidR="00FC35AB">
        <w:t>1960s</w:t>
      </w:r>
      <w:proofErr w:type="spellEnd"/>
      <w:r w:rsidRPr="00A8718A">
        <w:t xml:space="preserve"> levels. The declines in Europe and Japan, for example, were much greater than the decline in the US.</w:t>
      </w:r>
    </w:p>
    <w:p w:rsidR="00CF48F4" w:rsidRDefault="005D38A4" w:rsidP="00501666">
      <w:pPr>
        <w:pStyle w:val="BodyText"/>
        <w:spacing w:before="200"/>
      </w:pPr>
      <w:r>
        <w:t xml:space="preserve">Various reasons for the decline in labour shares have been put forward. They include </w:t>
      </w:r>
      <w:r w:rsidRPr="00A8718A">
        <w:t xml:space="preserve">capital deepening (increases in the capital-labour ratio) as businesses substituted capital for </w:t>
      </w:r>
      <w:r>
        <w:t xml:space="preserve">more-expensive </w:t>
      </w:r>
      <w:r w:rsidRPr="00A8718A">
        <w:t xml:space="preserve">labour, </w:t>
      </w:r>
      <w:r>
        <w:t>technological advance</w:t>
      </w:r>
      <w:r w:rsidR="00CF48F4">
        <w:t xml:space="preserve"> that </w:t>
      </w:r>
      <w:r w:rsidR="00066CAE">
        <w:t xml:space="preserve">increased profits and augmented capital and </w:t>
      </w:r>
      <w:r w:rsidR="00CF48F4">
        <w:t>substituted against labour, shifts</w:t>
      </w:r>
      <w:r w:rsidR="00066CAE">
        <w:t xml:space="preserve"> in industry</w:t>
      </w:r>
      <w:r w:rsidR="00CF48F4">
        <w:t xml:space="preserve"> </w:t>
      </w:r>
      <w:r w:rsidR="00066CAE">
        <w:t xml:space="preserve">composition away from labour-intensive </w:t>
      </w:r>
      <w:r w:rsidR="00CF48F4">
        <w:t xml:space="preserve">toward </w:t>
      </w:r>
      <w:r w:rsidR="00066CAE">
        <w:t>capital-intensive industries</w:t>
      </w:r>
      <w:r w:rsidR="00CF48F4">
        <w:t xml:space="preserve">, more </w:t>
      </w:r>
      <w:r w:rsidR="00CF48F4">
        <w:lastRenderedPageBreak/>
        <w:t xml:space="preserve">competitive markets that reduced </w:t>
      </w:r>
      <w:r w:rsidR="00EE563E">
        <w:t xml:space="preserve">those </w:t>
      </w:r>
      <w:r w:rsidR="00CF48F4">
        <w:t>economic rents</w:t>
      </w:r>
      <w:r w:rsidR="00EE563E">
        <w:t xml:space="preserve"> captured by labour</w:t>
      </w:r>
      <w:r w:rsidR="00066CAE">
        <w:t>,</w:t>
      </w:r>
      <w:r w:rsidR="00CF48F4">
        <w:t xml:space="preserve"> increased globalisation that increased the global supply of cheap labour</w:t>
      </w:r>
      <w:r w:rsidR="009534C3">
        <w:t>,</w:t>
      </w:r>
      <w:r w:rsidR="00066CAE">
        <w:t xml:space="preserve"> and institutional developments that have reduced labour bargaining power</w:t>
      </w:r>
      <w:r w:rsidR="00CF48F4">
        <w:t xml:space="preserve"> (EC 2007</w:t>
      </w:r>
      <w:r w:rsidR="00D31972">
        <w:t>;</w:t>
      </w:r>
      <w:r w:rsidR="00CF48F4">
        <w:t xml:space="preserve"> </w:t>
      </w:r>
      <w:proofErr w:type="spellStart"/>
      <w:r w:rsidR="00CF48F4">
        <w:t>Bertoli</w:t>
      </w:r>
      <w:proofErr w:type="spellEnd"/>
      <w:r w:rsidR="00CF48F4">
        <w:t xml:space="preserve"> and Farina 2007</w:t>
      </w:r>
      <w:r w:rsidR="00D31972">
        <w:t>;</w:t>
      </w:r>
      <w:r w:rsidR="001D795B">
        <w:t xml:space="preserve"> OECD 2012</w:t>
      </w:r>
      <w:r w:rsidR="00D31972">
        <w:t>;</w:t>
      </w:r>
      <w:r w:rsidR="00066CAE">
        <w:t xml:space="preserve"> Sweeney 2013</w:t>
      </w:r>
      <w:r w:rsidR="00CF48F4">
        <w:t xml:space="preserve">). </w:t>
      </w:r>
      <w:r w:rsidR="00066CAE">
        <w:t>Of these, technological advance may be the most important over the broad sweep</w:t>
      </w:r>
      <w:r w:rsidR="00C50840">
        <w:t xml:space="preserve"> of the decline (</w:t>
      </w:r>
      <w:proofErr w:type="spellStart"/>
      <w:r w:rsidR="00C50840">
        <w:t>Bassanini</w:t>
      </w:r>
      <w:proofErr w:type="spellEnd"/>
      <w:r w:rsidR="00C50840">
        <w:t xml:space="preserve"> and </w:t>
      </w:r>
      <w:proofErr w:type="spellStart"/>
      <w:r w:rsidR="00C50840">
        <w:t>Manfredi</w:t>
      </w:r>
      <w:proofErr w:type="spellEnd"/>
      <w:r w:rsidR="00C50840">
        <w:t xml:space="preserve"> 2012).</w:t>
      </w:r>
    </w:p>
    <w:p w:rsidR="00CF48F4" w:rsidRDefault="00225BF6" w:rsidP="00501666">
      <w:pPr>
        <w:pStyle w:val="BodyText"/>
        <w:spacing w:before="200"/>
      </w:pPr>
      <w:r>
        <w:t xml:space="preserve">Interest in the labour income share has intensified </w:t>
      </w:r>
      <w:r w:rsidR="00D6221B">
        <w:t xml:space="preserve">in recent years </w:t>
      </w:r>
      <w:r>
        <w:t xml:space="preserve">as </w:t>
      </w:r>
      <w:r w:rsidR="003421C2">
        <w:t>part of more general concerns about a more unequal distribution of income in advanced economies</w:t>
      </w:r>
      <w:r w:rsidR="005E2D74">
        <w:t>. The concerns arise not only from an equity point of view</w:t>
      </w:r>
      <w:r w:rsidR="00747817">
        <w:t xml:space="preserve">, </w:t>
      </w:r>
      <w:r w:rsidR="005E2D74">
        <w:t xml:space="preserve">but also about </w:t>
      </w:r>
      <w:r w:rsidR="00747817">
        <w:t xml:space="preserve">macro stability </w:t>
      </w:r>
      <w:r w:rsidR="007D02F7">
        <w:t xml:space="preserve">(demand patterns and tax revenues) </w:t>
      </w:r>
      <w:r w:rsidR="00747817">
        <w:t>and even social cohesion</w:t>
      </w:r>
      <w:r w:rsidR="003421C2">
        <w:t xml:space="preserve"> (</w:t>
      </w:r>
      <w:r w:rsidR="00D31972">
        <w:t>EC 2007;</w:t>
      </w:r>
      <w:r w:rsidR="00747817">
        <w:t xml:space="preserve"> </w:t>
      </w:r>
      <w:r w:rsidR="003421C2">
        <w:t>OECD 2011, 2012).</w:t>
      </w:r>
    </w:p>
    <w:p w:rsidR="006F2D97" w:rsidRPr="00A8718A" w:rsidRDefault="006F2D97" w:rsidP="006F2D97">
      <w:pPr>
        <w:pStyle w:val="Heading4"/>
      </w:pPr>
      <w:r>
        <w:t>United States</w:t>
      </w:r>
    </w:p>
    <w:p w:rsidR="001A4631" w:rsidRDefault="006F2D97" w:rsidP="00333916">
      <w:pPr>
        <w:pStyle w:val="BodyText"/>
      </w:pPr>
      <w:r>
        <w:t xml:space="preserve">The </w:t>
      </w:r>
      <w:r w:rsidR="00501666">
        <w:t>US</w:t>
      </w:r>
      <w:r w:rsidR="001D795B">
        <w:t xml:space="preserve"> is a prominent case </w:t>
      </w:r>
      <w:r w:rsidR="00C50840">
        <w:t>in point</w:t>
      </w:r>
      <w:r w:rsidR="001D795B">
        <w:t xml:space="preserve">. </w:t>
      </w:r>
      <w:r w:rsidR="001A4631">
        <w:t xml:space="preserve">The US </w:t>
      </w:r>
      <w:r>
        <w:t xml:space="preserve">labour income share </w:t>
      </w:r>
      <w:r w:rsidR="001A4631">
        <w:t>ha</w:t>
      </w:r>
      <w:r w:rsidR="003421C2">
        <w:t>d</w:t>
      </w:r>
      <w:r w:rsidR="001A4631">
        <w:t xml:space="preserve"> been very stable, especially in comparison with other countries (EC 2007). But it has fallen </w:t>
      </w:r>
      <w:r w:rsidR="00D6221B">
        <w:t>sharply</w:t>
      </w:r>
      <w:r w:rsidR="001A4631">
        <w:t xml:space="preserve"> </w:t>
      </w:r>
      <w:r>
        <w:t xml:space="preserve">in the </w:t>
      </w:r>
      <w:proofErr w:type="spellStart"/>
      <w:r w:rsidR="001A4631">
        <w:t>2000s</w:t>
      </w:r>
      <w:proofErr w:type="spellEnd"/>
      <w:r w:rsidR="001A4631">
        <w:t xml:space="preserve">. </w:t>
      </w:r>
    </w:p>
    <w:p w:rsidR="006F2D97" w:rsidRDefault="001A4631" w:rsidP="00333916">
      <w:pPr>
        <w:pStyle w:val="BodyText"/>
      </w:pPr>
      <w:r>
        <w:t>F</w:t>
      </w:r>
      <w:r w:rsidR="006F2D97">
        <w:t>igure</w:t>
      </w:r>
      <w:r w:rsidR="003644FA">
        <w:t> </w:t>
      </w:r>
      <w:r w:rsidR="006F2D97">
        <w:t>3.2</w:t>
      </w:r>
      <w:r>
        <w:t xml:space="preserve"> shows the commonly-referenced data for</w:t>
      </w:r>
      <w:r w:rsidR="00CF22C4">
        <w:t xml:space="preserve"> the </w:t>
      </w:r>
      <w:r w:rsidR="003421C2">
        <w:t xml:space="preserve">US </w:t>
      </w:r>
      <w:r w:rsidR="00CF22C4">
        <w:t>non-farm business sector</w:t>
      </w:r>
      <w:r w:rsidR="00676E17">
        <w:t>.</w:t>
      </w:r>
      <w:r w:rsidR="000B7EAD">
        <w:rPr>
          <w:rStyle w:val="FootnoteReference"/>
        </w:rPr>
        <w:footnoteReference w:id="9"/>
      </w:r>
      <w:r w:rsidRPr="001A4631">
        <w:t xml:space="preserve"> </w:t>
      </w:r>
      <w:r>
        <w:t xml:space="preserve">Some downward trend is evident in the </w:t>
      </w:r>
      <w:proofErr w:type="spellStart"/>
      <w:r>
        <w:t>1980s</w:t>
      </w:r>
      <w:proofErr w:type="spellEnd"/>
      <w:r>
        <w:t xml:space="preserve"> and </w:t>
      </w:r>
      <w:proofErr w:type="spellStart"/>
      <w:r>
        <w:t>1990s</w:t>
      </w:r>
      <w:proofErr w:type="spellEnd"/>
      <w:r>
        <w:t xml:space="preserve">, but there was a recovery </w:t>
      </w:r>
      <w:r w:rsidR="009F54DE">
        <w:t>towards</w:t>
      </w:r>
      <w:r>
        <w:t xml:space="preserve"> the end of the </w:t>
      </w:r>
      <w:proofErr w:type="spellStart"/>
      <w:r>
        <w:t>1990s</w:t>
      </w:r>
      <w:proofErr w:type="spellEnd"/>
      <w:r>
        <w:t xml:space="preserve">. </w:t>
      </w:r>
      <w:r w:rsidR="000B7EAD" w:rsidRPr="00A8718A">
        <w:t>According to the</w:t>
      </w:r>
      <w:r w:rsidR="000B7EAD">
        <w:t>se</w:t>
      </w:r>
      <w:r w:rsidR="000B7EAD" w:rsidRPr="00A8718A">
        <w:t xml:space="preserve"> commonly-used estimates, the </w:t>
      </w:r>
      <w:proofErr w:type="spellStart"/>
      <w:r w:rsidR="000B7EAD" w:rsidRPr="00A8718A">
        <w:t>LIS</w:t>
      </w:r>
      <w:proofErr w:type="spellEnd"/>
      <w:r w:rsidR="000B7EAD" w:rsidRPr="00A8718A">
        <w:t xml:space="preserve"> has dropped more than </w:t>
      </w:r>
      <w:r w:rsidR="009F54DE">
        <w:t>5</w:t>
      </w:r>
      <w:r w:rsidR="000B7EAD" w:rsidRPr="00A8718A">
        <w:t xml:space="preserve"> percentage points since 2000 and is now, by far, below its previous low point during WWII (Fleck, Glaser and Sprague 2011).</w:t>
      </w:r>
      <w:r w:rsidR="000B7EAD">
        <w:t xml:space="preserve"> There is some dispute, however</w:t>
      </w:r>
      <w:r w:rsidR="00D6221B">
        <w:t>,</w:t>
      </w:r>
      <w:r w:rsidR="000B7EAD">
        <w:t xml:space="preserve"> about the depth of the fall and how ‘</w:t>
      </w:r>
      <w:proofErr w:type="spellStart"/>
      <w:r w:rsidR="000B7EAD">
        <w:t>out</w:t>
      </w:r>
      <w:proofErr w:type="spellEnd"/>
      <w:r w:rsidR="000B7EAD">
        <w:t xml:space="preserve"> of normal bounds’ it is (</w:t>
      </w:r>
      <w:proofErr w:type="spellStart"/>
      <w:r w:rsidR="000B7EAD">
        <w:t>Gomme</w:t>
      </w:r>
      <w:proofErr w:type="spellEnd"/>
      <w:r w:rsidR="000B7EAD">
        <w:t xml:space="preserve"> and Rupert 2004, Rupert 2012).</w:t>
      </w:r>
      <w:r w:rsidR="009778FE">
        <w:t xml:space="preserve"> On the other hand, the fact that the share should fall so far in the midst of a deep recession is unusual.</w:t>
      </w:r>
      <w:r w:rsidR="009778FE">
        <w:rPr>
          <w:rStyle w:val="FootnoteReference"/>
        </w:rPr>
        <w:footnoteReference w:id="10"/>
      </w:r>
      <w:r w:rsidR="009778FE">
        <w:t xml:space="preserve"> </w:t>
      </w:r>
    </w:p>
    <w:p w:rsidR="00F12CCD" w:rsidRDefault="00F12CCD" w:rsidP="00F12CCD">
      <w:pPr>
        <w:pStyle w:val="BodyText"/>
      </w:pPr>
      <w:r>
        <w:t>This</w:t>
      </w:r>
      <w:r w:rsidRPr="00A8718A">
        <w:t xml:space="preserve"> sharp fall has received a lot of attention</w:t>
      </w:r>
      <w:r>
        <w:t xml:space="preserve"> (for example, Jacobson and </w:t>
      </w:r>
      <w:proofErr w:type="spellStart"/>
      <w:r>
        <w:t>Occhino</w:t>
      </w:r>
      <w:proofErr w:type="spellEnd"/>
      <w:r>
        <w:t xml:space="preserve"> 2012; </w:t>
      </w:r>
      <w:proofErr w:type="spellStart"/>
      <w:r>
        <w:t>CEA</w:t>
      </w:r>
      <w:proofErr w:type="spellEnd"/>
      <w:r>
        <w:t xml:space="preserve"> 2013)</w:t>
      </w:r>
      <w:r w:rsidRPr="00A8718A">
        <w:t xml:space="preserve">. </w:t>
      </w:r>
      <w:r>
        <w:t>It is one element of concern in the US about a shift in the distribution of personal and household income toward high-income earners. The fall is seen as contributing to a more unequal distribution because capital income is distributed more unevenly than employment income (</w:t>
      </w:r>
      <w:proofErr w:type="spellStart"/>
      <w:r>
        <w:t>CBO</w:t>
      </w:r>
      <w:proofErr w:type="spellEnd"/>
      <w:r>
        <w:t xml:space="preserve"> 2011). The fall has also raised concern about the sustainability of government revenues, since capital income is taxed at a lower rate (</w:t>
      </w:r>
      <w:proofErr w:type="spellStart"/>
      <w:r>
        <w:t>CEA</w:t>
      </w:r>
      <w:proofErr w:type="spellEnd"/>
      <w:r>
        <w:t xml:space="preserve"> 2013).</w:t>
      </w:r>
    </w:p>
    <w:p w:rsidR="00DF59E9" w:rsidRDefault="00DF59E9">
      <w:pPr>
        <w:rPr>
          <w:szCs w:val="20"/>
        </w:rPr>
      </w:pPr>
      <w:r>
        <w:br w:type="page"/>
      </w:r>
    </w:p>
    <w:p w:rsidR="00501666" w:rsidRDefault="00501666" w:rsidP="00501666">
      <w:pPr>
        <w:pStyle w:val="BodyText"/>
      </w:pPr>
      <w:r>
        <w:lastRenderedPageBreak/>
        <w:t>The fall in the US labour share sits alongside related evidence of:</w:t>
      </w:r>
    </w:p>
    <w:p w:rsidR="00501666" w:rsidRDefault="00501666" w:rsidP="00501666">
      <w:pPr>
        <w:pStyle w:val="ListBullet"/>
      </w:pPr>
      <w:r>
        <w:t>a</w:t>
      </w:r>
      <w:r w:rsidRPr="00D60ED3">
        <w:t xml:space="preserve"> ‘decoupling’ of the real purchasing power of wages from productivity growth</w:t>
      </w:r>
      <w:r>
        <w:t xml:space="preserve">, according to which the typical worker has not received </w:t>
      </w:r>
      <w:r w:rsidR="00336DA2">
        <w:t xml:space="preserve">any </w:t>
      </w:r>
      <w:r>
        <w:t xml:space="preserve">gains from productivity growth </w:t>
      </w:r>
      <w:r w:rsidRPr="00D60ED3">
        <w:t>(</w:t>
      </w:r>
      <w:r>
        <w:t>Sharpe et al</w:t>
      </w:r>
      <w:r w:rsidR="009F54DE">
        <w:t>.</w:t>
      </w:r>
      <w:r>
        <w:t xml:space="preserve"> 2008</w:t>
      </w:r>
      <w:r w:rsidR="00AB64F7">
        <w:t>;</w:t>
      </w:r>
      <w:r>
        <w:t xml:space="preserve"> </w:t>
      </w:r>
      <w:r w:rsidRPr="00D60ED3">
        <w:t>Michel and Gee 2012)</w:t>
      </w:r>
    </w:p>
    <w:p w:rsidR="00501666" w:rsidRDefault="00501666" w:rsidP="00501666">
      <w:pPr>
        <w:pStyle w:val="ListBullet"/>
      </w:pPr>
      <w:r>
        <w:t>a concentration of earnings growth among high-income earners (</w:t>
      </w:r>
      <w:proofErr w:type="spellStart"/>
      <w:r>
        <w:t>CBO</w:t>
      </w:r>
      <w:proofErr w:type="spellEnd"/>
      <w:r>
        <w:t xml:space="preserve"> 2011</w:t>
      </w:r>
      <w:r w:rsidR="009F54DE">
        <w:t xml:space="preserve">; </w:t>
      </w:r>
      <w:proofErr w:type="spellStart"/>
      <w:r w:rsidR="009F54DE">
        <w:t>Brynjolfsson</w:t>
      </w:r>
      <w:proofErr w:type="spellEnd"/>
      <w:r w:rsidR="009F54DE">
        <w:t xml:space="preserve"> and McAfee 2012)</w:t>
      </w:r>
    </w:p>
    <w:p w:rsidR="00501666" w:rsidRDefault="00501666" w:rsidP="00501666">
      <w:pPr>
        <w:pStyle w:val="ListBullet"/>
      </w:pPr>
      <w:r>
        <w:t>a ‘hollowing out’ of the middle class through loss of job opportunities for middle-income and middle-skill workers, while opportunities have grown in low-pay jobs (</w:t>
      </w:r>
      <w:proofErr w:type="spellStart"/>
      <w:r>
        <w:t>Au</w:t>
      </w:r>
      <w:r w:rsidR="009F54DE">
        <w:t>tor</w:t>
      </w:r>
      <w:proofErr w:type="spellEnd"/>
      <w:r w:rsidR="009F54DE">
        <w:t>, Katz and Kearney 2008)</w:t>
      </w:r>
    </w:p>
    <w:p w:rsidR="00501666" w:rsidRDefault="00501666" w:rsidP="00501666">
      <w:pPr>
        <w:pStyle w:val="ListBullet"/>
      </w:pPr>
      <w:r>
        <w:t>an increase in unemployment</w:t>
      </w:r>
      <w:r w:rsidR="006A2299">
        <w:t xml:space="preserve"> and decline in participation</w:t>
      </w:r>
      <w:r>
        <w:t xml:space="preserve"> in the wake of the global financial crisis.</w:t>
      </w:r>
    </w:p>
    <w:p w:rsidR="00C620C9" w:rsidRDefault="00C50840" w:rsidP="00C50840">
      <w:pPr>
        <w:pStyle w:val="BodyText"/>
      </w:pPr>
      <w:r>
        <w:t xml:space="preserve">The concerns have undoubtedly come to the fore in the wake of the global financial crisis and the perception that the burden of stagnation and contraction has been </w:t>
      </w:r>
      <w:r w:rsidR="00D6221B">
        <w:t xml:space="preserve">borne </w:t>
      </w:r>
      <w:r>
        <w:t>disproportionately by low- and middl</w:t>
      </w:r>
      <w:r w:rsidR="009F54DE">
        <w:t>e-income earners, while the top-</w:t>
      </w:r>
      <w:r>
        <w:t xml:space="preserve">income earners have </w:t>
      </w:r>
      <w:r w:rsidR="005E2D74">
        <w:t xml:space="preserve">continued to </w:t>
      </w:r>
      <w:r>
        <w:t xml:space="preserve">prosper. </w:t>
      </w:r>
    </w:p>
    <w:p w:rsidR="00C50840" w:rsidRDefault="00660D04" w:rsidP="00C50840">
      <w:pPr>
        <w:pStyle w:val="BodyText"/>
      </w:pPr>
      <w:r>
        <w:t xml:space="preserve">Notwithstanding recent developments, the sharp drop since 2000 has </w:t>
      </w:r>
      <w:r w:rsidR="00D80743">
        <w:t>stirred</w:t>
      </w:r>
      <w:r w:rsidR="00C620C9">
        <w:t xml:space="preserve"> considerable international interest in the US case from the point of view that it may indicate </w:t>
      </w:r>
      <w:r>
        <w:t>what may be in store for</w:t>
      </w:r>
      <w:r w:rsidR="00C620C9">
        <w:t xml:space="preserve"> other countries (Sweeney 2013).</w:t>
      </w:r>
    </w:p>
    <w:p w:rsidR="00D832B5" w:rsidRDefault="00C50840" w:rsidP="00C50840">
      <w:pPr>
        <w:pStyle w:val="Heading4"/>
      </w:pPr>
      <w:r>
        <w:t>A</w:t>
      </w:r>
      <w:r w:rsidR="00D832B5">
        <w:t>ustralia</w:t>
      </w:r>
    </w:p>
    <w:p w:rsidR="001D72C2" w:rsidRDefault="00676E17" w:rsidP="001D72C2">
      <w:pPr>
        <w:pStyle w:val="BodyText"/>
      </w:pPr>
      <w:r>
        <w:t>A</w:t>
      </w:r>
      <w:r w:rsidR="00D6221B">
        <w:t xml:space="preserve">n </w:t>
      </w:r>
      <w:proofErr w:type="spellStart"/>
      <w:r w:rsidR="00D6221B">
        <w:t>LIS</w:t>
      </w:r>
      <w:proofErr w:type="spellEnd"/>
      <w:r>
        <w:t xml:space="preserve"> series for Australia’s market sector is shown in f</w:t>
      </w:r>
      <w:r w:rsidR="001D72C2">
        <w:t>igure</w:t>
      </w:r>
      <w:r>
        <w:t xml:space="preserve"> 3.3. The currently available series </w:t>
      </w:r>
      <w:r w:rsidR="00A549A1">
        <w:t xml:space="preserve">commences in </w:t>
      </w:r>
      <w:r>
        <w:t>1973-74.</w:t>
      </w:r>
      <w:r w:rsidR="004A1C08">
        <w:rPr>
          <w:rStyle w:val="FootnoteReference"/>
        </w:rPr>
        <w:footnoteReference w:id="11"/>
      </w:r>
      <w:r w:rsidR="00A549A1">
        <w:t xml:space="preserve"> </w:t>
      </w:r>
    </w:p>
    <w:p w:rsidR="004A1C08" w:rsidRDefault="004A1C08" w:rsidP="004A1C08">
      <w:pPr>
        <w:pStyle w:val="BodyText"/>
      </w:pPr>
      <w:r>
        <w:t xml:space="preserve">There is other evidence to suggest that the rise in the labour share from around 1973-74 to the late </w:t>
      </w:r>
      <w:proofErr w:type="spellStart"/>
      <w:r>
        <w:t>1980s</w:t>
      </w:r>
      <w:proofErr w:type="spellEnd"/>
      <w:r>
        <w:t xml:space="preserve"> was </w:t>
      </w:r>
      <w:r w:rsidR="00D6221B">
        <w:t>similar to the ‘hump shape’ evident in other countries</w:t>
      </w:r>
      <w:r>
        <w:t>. That is, the share was stable for some years prior to 1973-74 (</w:t>
      </w:r>
      <w:r w:rsidR="005E2D74">
        <w:t xml:space="preserve">see </w:t>
      </w:r>
      <w:r>
        <w:t>Parham et al</w:t>
      </w:r>
      <w:r w:rsidR="00195BD3">
        <w:t>.</w:t>
      </w:r>
      <w:r>
        <w:t xml:space="preserve"> 2000</w:t>
      </w:r>
      <w:r>
        <w:rPr>
          <w:rStyle w:val="FootnoteReference"/>
        </w:rPr>
        <w:footnoteReference w:id="12"/>
      </w:r>
      <w:r w:rsidR="005E2D74">
        <w:t xml:space="preserve"> and the wage shares in</w:t>
      </w:r>
      <w:r w:rsidR="006E75D5">
        <w:t xml:space="preserve"> figure</w:t>
      </w:r>
      <w:r w:rsidR="005E2D74">
        <w:t>s 3.1 and</w:t>
      </w:r>
      <w:r w:rsidR="006E75D5">
        <w:t xml:space="preserve"> 3.4).</w:t>
      </w:r>
      <w:r w:rsidR="00D6221B">
        <w:t xml:space="preserve"> It then rose </w:t>
      </w:r>
      <w:r w:rsidR="00F951F9">
        <w:t>before falling to the long</w:t>
      </w:r>
      <w:r w:rsidR="009F54DE">
        <w:t>er</w:t>
      </w:r>
      <w:r w:rsidR="00F951F9">
        <w:t xml:space="preserve"> run level at the end of the </w:t>
      </w:r>
      <w:proofErr w:type="spellStart"/>
      <w:r w:rsidR="00F951F9">
        <w:t>1980s</w:t>
      </w:r>
      <w:proofErr w:type="spellEnd"/>
      <w:r w:rsidR="00D6221B">
        <w:t>.</w:t>
      </w:r>
    </w:p>
    <w:p w:rsidR="00D55B9A" w:rsidRDefault="00D55B9A">
      <w:pPr>
        <w:rPr>
          <w:rFonts w:ascii="Arial" w:hAnsi="Arial"/>
          <w:sz w:val="24"/>
        </w:rPr>
      </w:pPr>
      <w:r>
        <w:rPr>
          <w:rFonts w:ascii="Arial" w:hAnsi="Arial"/>
          <w:sz w:val="24"/>
        </w:rPr>
        <w:br w:type="page"/>
      </w:r>
    </w:p>
    <w:p w:rsidR="00D55B9A" w:rsidRPr="00391B9F" w:rsidRDefault="00D55B9A" w:rsidP="005D48B0">
      <w:pPr>
        <w:pStyle w:val="FigureTitle"/>
        <w:rPr>
          <w:vertAlign w:val="superscript"/>
        </w:rPr>
      </w:pPr>
      <w:r w:rsidRPr="005D48B0">
        <w:rPr>
          <w:b w:val="0"/>
        </w:rPr>
        <w:lastRenderedPageBreak/>
        <w:t xml:space="preserve">Figure </w:t>
      </w:r>
      <w:r w:rsidRPr="005D48B0">
        <w:rPr>
          <w:b w:val="0"/>
        </w:rPr>
        <w:fldChar w:fldCharType="begin"/>
      </w:r>
      <w:r w:rsidRPr="005D48B0">
        <w:rPr>
          <w:b w:val="0"/>
        </w:rPr>
        <w:instrText xml:space="preserve"> COMMENTS  \* MERGEFORMAT </w:instrText>
      </w:r>
      <w:r w:rsidRPr="005D48B0">
        <w:rPr>
          <w:b w:val="0"/>
        </w:rPr>
        <w:fldChar w:fldCharType="separate"/>
      </w:r>
      <w:r w:rsidRPr="005D48B0">
        <w:rPr>
          <w:b w:val="0"/>
        </w:rPr>
        <w:t>3.</w:t>
      </w:r>
      <w:r w:rsidRPr="005D48B0">
        <w:rPr>
          <w:b w:val="0"/>
        </w:rPr>
        <w:fldChar w:fldCharType="end"/>
      </w:r>
      <w:r w:rsidRPr="005D48B0">
        <w:rPr>
          <w:b w:val="0"/>
        </w:rPr>
        <w:fldChar w:fldCharType="begin"/>
      </w:r>
      <w:r w:rsidRPr="005D48B0">
        <w:rPr>
          <w:b w:val="0"/>
        </w:rPr>
        <w:instrText xml:space="preserve"> SEQ Figure \* ARABIC </w:instrText>
      </w:r>
      <w:r w:rsidRPr="005D48B0">
        <w:rPr>
          <w:b w:val="0"/>
        </w:rPr>
        <w:fldChar w:fldCharType="separate"/>
      </w:r>
      <w:r w:rsidR="00C713B5">
        <w:rPr>
          <w:b w:val="0"/>
          <w:noProof/>
        </w:rPr>
        <w:t>2</w:t>
      </w:r>
      <w:r w:rsidRPr="005D48B0">
        <w:rPr>
          <w:b w:val="0"/>
        </w:rPr>
        <w:fldChar w:fldCharType="end"/>
      </w:r>
      <w:r w:rsidRPr="00391B9F">
        <w:tab/>
        <w:t>Labour income share in the US non-farm business sector</w:t>
      </w:r>
      <w:r w:rsidRPr="007D4C49">
        <w:rPr>
          <w:rStyle w:val="NoteLabel"/>
        </w:rPr>
        <w:t>a</w:t>
      </w:r>
    </w:p>
    <w:p w:rsidR="00D55B9A" w:rsidRPr="00391B9F" w:rsidRDefault="00D55B9A" w:rsidP="00D55B9A">
      <w:pPr>
        <w:keepNext/>
        <w:keepLines/>
        <w:spacing w:after="80" w:line="200" w:lineRule="exact"/>
        <w:ind w:left="1474"/>
        <w:rPr>
          <w:rFonts w:ascii="Arial" w:hAnsi="Arial"/>
          <w:sz w:val="20"/>
        </w:rPr>
      </w:pPr>
      <w:r w:rsidRPr="00391B9F">
        <w:rPr>
          <w:rFonts w:ascii="Arial" w:hAnsi="Arial"/>
          <w:sz w:val="20"/>
        </w:rP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55B9A" w:rsidRPr="00391B9F" w:rsidTr="0018495F">
        <w:tc>
          <w:tcPr>
            <w:tcW w:w="8777" w:type="dxa"/>
          </w:tcPr>
          <w:p w:rsidR="00D55B9A" w:rsidRPr="00391B9F" w:rsidRDefault="007D4C49" w:rsidP="005D48B0">
            <w:pPr>
              <w:pStyle w:val="Figure"/>
            </w:pPr>
            <w:r>
              <w:rPr>
                <w:noProof/>
              </w:rPr>
              <w:drawing>
                <wp:inline distT="0" distB="0" distL="0" distR="0" wp14:anchorId="15F2AEBF" wp14:editId="1A268BCA">
                  <wp:extent cx="4572635" cy="2743200"/>
                  <wp:effectExtent l="0" t="0" r="0" b="0"/>
                  <wp:docPr id="3" name="Picture 3" descr="Labour income share in the US non-farms business sector. This figure shows the US labour income share was volatile but steady from 1947 through to 2000, after which it has shown a relatively large decline. It also shows that the labour income share rises during recessions." title="Labour income share in the US non-farm business s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tc>
      </w:tr>
    </w:tbl>
    <w:p w:rsidR="00D55B9A" w:rsidRPr="00391B9F" w:rsidRDefault="00D55B9A" w:rsidP="00D55B9A">
      <w:pPr>
        <w:keepLines/>
        <w:spacing w:before="80" w:line="220" w:lineRule="exact"/>
        <w:jc w:val="both"/>
        <w:rPr>
          <w:rFonts w:ascii="Arial" w:hAnsi="Arial"/>
          <w:sz w:val="18"/>
          <w:szCs w:val="20"/>
        </w:rPr>
      </w:pPr>
      <w:proofErr w:type="spellStart"/>
      <w:r w:rsidRPr="00391B9F">
        <w:rPr>
          <w:rFonts w:ascii="Arial" w:hAnsi="Arial"/>
          <w:b/>
          <w:position w:val="6"/>
          <w:sz w:val="18"/>
          <w:szCs w:val="20"/>
        </w:rPr>
        <w:t>a</w:t>
      </w:r>
      <w:proofErr w:type="spellEnd"/>
      <w:r w:rsidRPr="00391B9F">
        <w:rPr>
          <w:rFonts w:ascii="Arial" w:hAnsi="Arial"/>
          <w:sz w:val="18"/>
          <w:szCs w:val="20"/>
        </w:rPr>
        <w:t xml:space="preserve"> Arrows indicate timing (and duration) of recessions as designated by the </w:t>
      </w:r>
      <w:r w:rsidR="009F54DE">
        <w:rPr>
          <w:rFonts w:ascii="Arial" w:hAnsi="Arial"/>
          <w:sz w:val="18"/>
          <w:szCs w:val="20"/>
        </w:rPr>
        <w:t>National Bureau of Economic Research</w:t>
      </w:r>
      <w:r w:rsidRPr="00391B9F">
        <w:rPr>
          <w:rFonts w:ascii="Arial" w:hAnsi="Arial"/>
          <w:sz w:val="18"/>
          <w:szCs w:val="20"/>
        </w:rPr>
        <w:t>.</w:t>
      </w:r>
    </w:p>
    <w:p w:rsidR="00D55B9A" w:rsidRPr="00391B9F" w:rsidRDefault="009F54DE" w:rsidP="005D48B0">
      <w:pPr>
        <w:pStyle w:val="Source"/>
      </w:pPr>
      <w:r>
        <w:rPr>
          <w:i/>
        </w:rPr>
        <w:t>Data s</w:t>
      </w:r>
      <w:r w:rsidR="00D55B9A" w:rsidRPr="00391B9F">
        <w:rPr>
          <w:i/>
        </w:rPr>
        <w:t>ource</w:t>
      </w:r>
      <w:r w:rsidR="00D55B9A" w:rsidRPr="00391B9F">
        <w:t>: Fleck, Glaser and Sprague (2011)</w:t>
      </w:r>
      <w:r w:rsidR="005B69D9">
        <w:t>.</w:t>
      </w:r>
    </w:p>
    <w:p w:rsidR="00391B9F" w:rsidRPr="00391B9F" w:rsidRDefault="00391B9F" w:rsidP="005D48B0">
      <w:pPr>
        <w:pStyle w:val="FigureTitle"/>
        <w:rPr>
          <w:vertAlign w:val="superscript"/>
        </w:rPr>
      </w:pPr>
      <w:r w:rsidRPr="005D48B0">
        <w:rPr>
          <w:b w:val="0"/>
        </w:rPr>
        <w:t xml:space="preserve">Figure </w:t>
      </w:r>
      <w:r w:rsidRPr="005D48B0">
        <w:rPr>
          <w:b w:val="0"/>
        </w:rPr>
        <w:fldChar w:fldCharType="begin"/>
      </w:r>
      <w:r w:rsidRPr="005D48B0">
        <w:rPr>
          <w:b w:val="0"/>
        </w:rPr>
        <w:instrText xml:space="preserve"> COMMENTS  \* MERGEFORMAT </w:instrText>
      </w:r>
      <w:r w:rsidRPr="005D48B0">
        <w:rPr>
          <w:b w:val="0"/>
        </w:rPr>
        <w:fldChar w:fldCharType="separate"/>
      </w:r>
      <w:r w:rsidR="0075263D" w:rsidRPr="005D48B0">
        <w:rPr>
          <w:b w:val="0"/>
        </w:rPr>
        <w:t>3.</w:t>
      </w:r>
      <w:r w:rsidRPr="005D48B0">
        <w:rPr>
          <w:b w:val="0"/>
        </w:rPr>
        <w:fldChar w:fldCharType="end"/>
      </w:r>
      <w:r w:rsidRPr="005D48B0">
        <w:rPr>
          <w:b w:val="0"/>
        </w:rPr>
        <w:fldChar w:fldCharType="begin"/>
      </w:r>
      <w:r w:rsidRPr="005D48B0">
        <w:rPr>
          <w:b w:val="0"/>
        </w:rPr>
        <w:instrText xml:space="preserve"> SEQ Figure \* ARABIC </w:instrText>
      </w:r>
      <w:r w:rsidRPr="005D48B0">
        <w:rPr>
          <w:b w:val="0"/>
        </w:rPr>
        <w:fldChar w:fldCharType="separate"/>
      </w:r>
      <w:r w:rsidR="00C713B5">
        <w:rPr>
          <w:b w:val="0"/>
          <w:noProof/>
        </w:rPr>
        <w:t>3</w:t>
      </w:r>
      <w:r w:rsidRPr="005D48B0">
        <w:rPr>
          <w:b w:val="0"/>
        </w:rPr>
        <w:fldChar w:fldCharType="end"/>
      </w:r>
      <w:r w:rsidRPr="00391B9F">
        <w:tab/>
        <w:t>The labour income share in Australia’s market sector</w:t>
      </w:r>
      <w:r w:rsidRPr="00A004BF">
        <w:rPr>
          <w:rStyle w:val="NoteLabel"/>
        </w:rPr>
        <w:t>a</w:t>
      </w:r>
    </w:p>
    <w:p w:rsidR="00391B9F" w:rsidRPr="00391B9F" w:rsidRDefault="00391B9F" w:rsidP="00391B9F">
      <w:pPr>
        <w:keepNext/>
        <w:keepLines/>
        <w:spacing w:after="80" w:line="200" w:lineRule="exact"/>
        <w:ind w:left="1474"/>
        <w:rPr>
          <w:rFonts w:ascii="Arial" w:hAnsi="Arial"/>
          <w:sz w:val="20"/>
        </w:rPr>
      </w:pPr>
      <w:r w:rsidRPr="00391B9F">
        <w:rPr>
          <w:rFonts w:ascii="Arial" w:hAnsi="Arial"/>
          <w:sz w:val="20"/>
        </w:rP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91B9F" w:rsidRPr="00391B9F" w:rsidTr="00A52709">
        <w:tc>
          <w:tcPr>
            <w:tcW w:w="8777" w:type="dxa"/>
          </w:tcPr>
          <w:p w:rsidR="00391B9F" w:rsidRPr="00391B9F" w:rsidRDefault="004957A4" w:rsidP="005D48B0">
            <w:pPr>
              <w:pStyle w:val="Figure"/>
            </w:pPr>
            <w:r>
              <w:rPr>
                <w:noProof/>
              </w:rPr>
              <w:drawing>
                <wp:inline distT="0" distB="0" distL="0" distR="0" wp14:anchorId="3F7BC584" wp14:editId="0A5526F5">
                  <wp:extent cx="4562475" cy="2743200"/>
                  <wp:effectExtent l="0" t="0" r="9525" b="0"/>
                  <wp:docPr id="1" name="Picture 1" descr="The labour income share in Australia’s market sector. This figure shows that Australia’s labour income share was relatively high in the 1970s, declined over the 1980s, was steady in the 1990s and declined in the 200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2475" cy="2743200"/>
                          </a:xfrm>
                          <a:prstGeom prst="rect">
                            <a:avLst/>
                          </a:prstGeom>
                          <a:noFill/>
                          <a:ln>
                            <a:noFill/>
                          </a:ln>
                        </pic:spPr>
                      </pic:pic>
                    </a:graphicData>
                  </a:graphic>
                </wp:inline>
              </w:drawing>
            </w:r>
          </w:p>
        </w:tc>
      </w:tr>
    </w:tbl>
    <w:p w:rsidR="00391B9F" w:rsidRPr="00391B9F" w:rsidRDefault="00391B9F" w:rsidP="00A549A1">
      <w:pPr>
        <w:keepLines/>
        <w:spacing w:before="80" w:line="220" w:lineRule="exact"/>
        <w:jc w:val="both"/>
        <w:rPr>
          <w:rFonts w:ascii="Arial" w:hAnsi="Arial"/>
          <w:sz w:val="18"/>
          <w:szCs w:val="20"/>
        </w:rPr>
      </w:pPr>
      <w:r w:rsidRPr="00391B9F">
        <w:rPr>
          <w:rFonts w:ascii="Arial" w:hAnsi="Arial"/>
          <w:b/>
          <w:position w:val="6"/>
          <w:sz w:val="18"/>
          <w:szCs w:val="20"/>
        </w:rPr>
        <w:t>a</w:t>
      </w:r>
      <w:r w:rsidRPr="00391B9F">
        <w:rPr>
          <w:rFonts w:ascii="Arial" w:hAnsi="Arial"/>
          <w:sz w:val="18"/>
          <w:szCs w:val="20"/>
        </w:rPr>
        <w:t xml:space="preserve"> 12-industry market sector.</w:t>
      </w:r>
    </w:p>
    <w:p w:rsidR="00391B9F" w:rsidRDefault="00391B9F" w:rsidP="00391B9F">
      <w:pPr>
        <w:keepLines/>
        <w:spacing w:before="80" w:after="120" w:line="220" w:lineRule="exact"/>
        <w:jc w:val="both"/>
        <w:rPr>
          <w:rFonts w:ascii="Arial" w:hAnsi="Arial"/>
          <w:sz w:val="18"/>
          <w:szCs w:val="20"/>
        </w:rPr>
      </w:pPr>
      <w:r w:rsidRPr="00391B9F">
        <w:rPr>
          <w:rFonts w:ascii="Arial" w:hAnsi="Arial"/>
          <w:i/>
          <w:sz w:val="18"/>
          <w:szCs w:val="20"/>
        </w:rPr>
        <w:t>Data source</w:t>
      </w:r>
      <w:r w:rsidRPr="00391B9F">
        <w:rPr>
          <w:rFonts w:ascii="Arial" w:hAnsi="Arial"/>
          <w:sz w:val="18"/>
          <w:szCs w:val="20"/>
        </w:rPr>
        <w:t xml:space="preserve">: ABS </w:t>
      </w:r>
      <w:r w:rsidR="005B69D9">
        <w:rPr>
          <w:rFonts w:ascii="Arial" w:hAnsi="Arial"/>
          <w:sz w:val="18"/>
          <w:szCs w:val="20"/>
        </w:rPr>
        <w:t>(</w:t>
      </w:r>
      <w:r w:rsidRPr="00391B9F">
        <w:rPr>
          <w:rFonts w:ascii="Arial" w:hAnsi="Arial"/>
          <w:sz w:val="18"/>
          <w:szCs w:val="20"/>
        </w:rPr>
        <w:t xml:space="preserve">Cat. </w:t>
      </w:r>
      <w:r w:rsidR="00501666">
        <w:rPr>
          <w:rFonts w:ascii="Arial" w:hAnsi="Arial"/>
          <w:sz w:val="18"/>
          <w:szCs w:val="20"/>
        </w:rPr>
        <w:t>n</w:t>
      </w:r>
      <w:r w:rsidRPr="00391B9F">
        <w:rPr>
          <w:rFonts w:ascii="Arial" w:hAnsi="Arial"/>
          <w:sz w:val="18"/>
          <w:szCs w:val="20"/>
        </w:rPr>
        <w:t>o. 5260.0.55.002</w:t>
      </w:r>
      <w:r w:rsidR="005B69D9">
        <w:rPr>
          <w:rFonts w:ascii="Arial" w:hAnsi="Arial"/>
          <w:sz w:val="18"/>
          <w:szCs w:val="20"/>
        </w:rPr>
        <w:t>).</w:t>
      </w:r>
    </w:p>
    <w:p w:rsidR="00D55B9A" w:rsidRDefault="00D55B9A">
      <w:pPr>
        <w:rPr>
          <w:szCs w:val="20"/>
        </w:rPr>
      </w:pPr>
      <w:r>
        <w:br w:type="page"/>
      </w:r>
    </w:p>
    <w:p w:rsidR="00D55B9A" w:rsidRPr="00A8718A" w:rsidRDefault="00D55B9A" w:rsidP="00D55B9A">
      <w:pPr>
        <w:pStyle w:val="BodyText"/>
      </w:pPr>
      <w:r w:rsidRPr="00A8718A">
        <w:lastRenderedPageBreak/>
        <w:t>As discussed in Parham et al</w:t>
      </w:r>
      <w:r w:rsidR="00A63354">
        <w:t>.</w:t>
      </w:r>
      <w:r w:rsidRPr="00A8718A">
        <w:t xml:space="preserve"> (2000) and ACTU (2013), Australia had:</w:t>
      </w:r>
    </w:p>
    <w:p w:rsidR="00D55B9A" w:rsidRPr="00A8718A" w:rsidRDefault="00D55B9A" w:rsidP="00D55B9A">
      <w:pPr>
        <w:pStyle w:val="ListBullet"/>
      </w:pPr>
      <w:r w:rsidRPr="00A8718A">
        <w:t xml:space="preserve">a strong increase in the </w:t>
      </w:r>
      <w:r>
        <w:t>labour share</w:t>
      </w:r>
      <w:r w:rsidRPr="00A8718A">
        <w:t xml:space="preserve"> in the early </w:t>
      </w:r>
      <w:proofErr w:type="spellStart"/>
      <w:r w:rsidRPr="00A8718A">
        <w:t>1970s</w:t>
      </w:r>
      <w:proofErr w:type="spellEnd"/>
      <w:r w:rsidRPr="00A8718A">
        <w:t xml:space="preserve"> (which was sustained until the early </w:t>
      </w:r>
      <w:proofErr w:type="spellStart"/>
      <w:r w:rsidRPr="00A8718A">
        <w:t>1980s</w:t>
      </w:r>
      <w:proofErr w:type="spellEnd"/>
      <w:r w:rsidRPr="00A8718A">
        <w:t>)</w:t>
      </w:r>
      <w:r w:rsidR="00A63354">
        <w:rPr>
          <w:rStyle w:val="FootnoteReference"/>
        </w:rPr>
        <w:footnoteReference w:id="13"/>
      </w:r>
    </w:p>
    <w:p w:rsidR="00D55B9A" w:rsidRPr="00A8718A" w:rsidRDefault="00D55B9A" w:rsidP="00D55B9A">
      <w:pPr>
        <w:pStyle w:val="ListBullet2"/>
      </w:pPr>
      <w:r w:rsidRPr="00A8718A">
        <w:t>this was associated with a wages ‘pus</w:t>
      </w:r>
      <w:r w:rsidR="00A63354">
        <w:t>h’ and the ‘real wage overhang’</w:t>
      </w:r>
    </w:p>
    <w:p w:rsidR="00D55B9A" w:rsidRPr="00A8718A" w:rsidRDefault="00D55B9A" w:rsidP="00D55B9A">
      <w:pPr>
        <w:pStyle w:val="ListBullet"/>
      </w:pPr>
      <w:r w:rsidRPr="00A8718A">
        <w:t xml:space="preserve">a decline in the </w:t>
      </w:r>
      <w:r>
        <w:t>labour share</w:t>
      </w:r>
      <w:r w:rsidRPr="00A8718A">
        <w:t xml:space="preserve"> through the </w:t>
      </w:r>
      <w:proofErr w:type="spellStart"/>
      <w:r w:rsidRPr="00A8718A">
        <w:t>1980s</w:t>
      </w:r>
      <w:proofErr w:type="spellEnd"/>
      <w:r w:rsidRPr="00A8718A">
        <w:t xml:space="preserve"> (ba</w:t>
      </w:r>
      <w:r w:rsidR="00A63354">
        <w:t>ck to around pre-</w:t>
      </w:r>
      <w:proofErr w:type="spellStart"/>
      <w:r w:rsidR="00A63354">
        <w:t>1970s</w:t>
      </w:r>
      <w:proofErr w:type="spellEnd"/>
      <w:r w:rsidR="00A63354">
        <w:t xml:space="preserve"> levels)</w:t>
      </w:r>
    </w:p>
    <w:p w:rsidR="00D55B9A" w:rsidRDefault="00D55B9A" w:rsidP="00D55B9A">
      <w:pPr>
        <w:pStyle w:val="ListBullet2"/>
      </w:pPr>
      <w:r w:rsidRPr="00A8718A">
        <w:t>this was engineered through the Prices and Incomes Accords, which traded benefits outside of labour remuneration (increases in the so-called ‘social wage’) for restraint in nominal wage</w:t>
      </w:r>
      <w:r>
        <w:t xml:space="preserve"> growth and this helped to bring</w:t>
      </w:r>
      <w:r w:rsidRPr="00A8718A">
        <w:t xml:space="preserve"> reductions in real wage costs</w:t>
      </w:r>
    </w:p>
    <w:p w:rsidR="00D55B9A" w:rsidRDefault="00D55B9A" w:rsidP="00D55B9A">
      <w:pPr>
        <w:pStyle w:val="ListBullet"/>
      </w:pPr>
      <w:r>
        <w:t xml:space="preserve">relative stability in the </w:t>
      </w:r>
      <w:proofErr w:type="spellStart"/>
      <w:r>
        <w:t>LIS</w:t>
      </w:r>
      <w:proofErr w:type="spellEnd"/>
      <w:r>
        <w:t xml:space="preserve"> through the productivity decade of the </w:t>
      </w:r>
      <w:proofErr w:type="spellStart"/>
      <w:r>
        <w:t>1990s</w:t>
      </w:r>
      <w:proofErr w:type="spellEnd"/>
      <w:r>
        <w:t>.</w:t>
      </w:r>
    </w:p>
    <w:p w:rsidR="00D55B9A" w:rsidRDefault="00D55B9A" w:rsidP="00D55B9A">
      <w:pPr>
        <w:pStyle w:val="BodyText"/>
      </w:pPr>
      <w:r>
        <w:t xml:space="preserve">The medium- to long-term movements in Australia’s </w:t>
      </w:r>
      <w:proofErr w:type="spellStart"/>
      <w:r>
        <w:t>LIS</w:t>
      </w:r>
      <w:proofErr w:type="spellEnd"/>
      <w:r>
        <w:t xml:space="preserve"> over the second half of the 20</w:t>
      </w:r>
      <w:r w:rsidRPr="00DB559C">
        <w:rPr>
          <w:vertAlign w:val="superscript"/>
        </w:rPr>
        <w:t>th</w:t>
      </w:r>
      <w:r>
        <w:t xml:space="preserve"> century were large by international standards (figure 3.4).</w:t>
      </w:r>
    </w:p>
    <w:p w:rsidR="00DE70A7" w:rsidRPr="006E75D5" w:rsidRDefault="00DE70A7" w:rsidP="00DE70A7">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C713B5">
        <w:rPr>
          <w:b w:val="0"/>
          <w:noProof/>
        </w:rPr>
        <w:t>4</w:t>
      </w:r>
      <w:r>
        <w:rPr>
          <w:b w:val="0"/>
        </w:rPr>
        <w:fldChar w:fldCharType="end"/>
      </w:r>
      <w:r>
        <w:tab/>
      </w:r>
      <w:bookmarkStart w:id="3" w:name="FigureTitle"/>
      <w:r>
        <w:t>Wage share in selected countries</w:t>
      </w:r>
      <w:bookmarkEnd w:id="3"/>
      <w:r w:rsidRPr="00473CA3">
        <w:rPr>
          <w:rStyle w:val="NoteLabel"/>
        </w:rPr>
        <w:t>a</w:t>
      </w:r>
    </w:p>
    <w:p w:rsidR="00DE70A7" w:rsidRDefault="00DE70A7" w:rsidP="00DE70A7">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E70A7" w:rsidTr="009237B2">
        <w:tc>
          <w:tcPr>
            <w:tcW w:w="8777" w:type="dxa"/>
          </w:tcPr>
          <w:p w:rsidR="00DE70A7" w:rsidRDefault="004957A4" w:rsidP="009237B2">
            <w:pPr>
              <w:pStyle w:val="Figure"/>
            </w:pPr>
            <w:r>
              <w:rPr>
                <w:noProof/>
              </w:rPr>
              <w:drawing>
                <wp:inline distT="0" distB="0" distL="0" distR="0" wp14:anchorId="1CB650CF" wp14:editId="1946E1A1">
                  <wp:extent cx="4562475" cy="2733675"/>
                  <wp:effectExtent l="0" t="0" r="9525" b="9525"/>
                  <wp:docPr id="6" name="Picture 6" descr="This figure shows that movements in the wage share of income since the 1960s have been large in Australia, in comparison to the US, the EU-15 and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2475" cy="2733675"/>
                          </a:xfrm>
                          <a:prstGeom prst="rect">
                            <a:avLst/>
                          </a:prstGeom>
                          <a:noFill/>
                          <a:ln>
                            <a:noFill/>
                          </a:ln>
                        </pic:spPr>
                      </pic:pic>
                    </a:graphicData>
                  </a:graphic>
                </wp:inline>
              </w:drawing>
            </w:r>
          </w:p>
        </w:tc>
      </w:tr>
    </w:tbl>
    <w:p w:rsidR="00DE70A7" w:rsidRDefault="00DE70A7" w:rsidP="00DE70A7">
      <w:pPr>
        <w:pStyle w:val="Note"/>
      </w:pPr>
      <w:r>
        <w:rPr>
          <w:rStyle w:val="NoteLabel"/>
        </w:rPr>
        <w:t>a</w:t>
      </w:r>
      <w:r>
        <w:t xml:space="preserve"> Compensation per employee in proportion to GDP per person.</w:t>
      </w:r>
    </w:p>
    <w:p w:rsidR="00DE70A7" w:rsidRDefault="00DE70A7" w:rsidP="00DE70A7">
      <w:pPr>
        <w:pStyle w:val="Source"/>
      </w:pPr>
      <w:r>
        <w:rPr>
          <w:i/>
        </w:rPr>
        <w:t>Data source</w:t>
      </w:r>
      <w:r w:rsidRPr="00167F06">
        <w:t xml:space="preserve">: </w:t>
      </w:r>
      <w:r>
        <w:t xml:space="preserve">EU </w:t>
      </w:r>
      <w:proofErr w:type="spellStart"/>
      <w:r>
        <w:t>AMECO</w:t>
      </w:r>
      <w:proofErr w:type="spellEnd"/>
      <w:r>
        <w:t xml:space="preserve"> database</w:t>
      </w:r>
      <w:r w:rsidR="005B69D9">
        <w:t>.</w:t>
      </w:r>
    </w:p>
    <w:p w:rsidR="00195BD3" w:rsidRDefault="00195BD3">
      <w:pPr>
        <w:rPr>
          <w:szCs w:val="20"/>
        </w:rPr>
      </w:pPr>
      <w:r>
        <w:br w:type="page"/>
      </w:r>
    </w:p>
    <w:p w:rsidR="00195BD3" w:rsidRDefault="00195BD3" w:rsidP="00195BD3">
      <w:pPr>
        <w:pStyle w:val="BodyText"/>
      </w:pPr>
      <w:r>
        <w:lastRenderedPageBreak/>
        <w:t xml:space="preserve">The labour share has fallen sharply in Australia in the </w:t>
      </w:r>
      <w:proofErr w:type="spellStart"/>
      <w:r>
        <w:t>2000s</w:t>
      </w:r>
      <w:proofErr w:type="spellEnd"/>
      <w:r>
        <w:t xml:space="preserve">. The exact size of the fall depends on which estimates are used. ABS data, relied on here in later chapters, suggests a fall of 4 percentage points. The ACTU (2013) used an alternative estimation method that generates a fall of 5.8 percentage points. According to OECD data, as presented in ACTU (2013), the fall in Australia (4.8 percentage points) was larger than in the US (4.0 percentage points). </w:t>
      </w:r>
    </w:p>
    <w:p w:rsidR="002E590F" w:rsidRDefault="002E590F" w:rsidP="002E590F">
      <w:pPr>
        <w:pStyle w:val="Heading4"/>
      </w:pPr>
      <w:r>
        <w:t>Causes</w:t>
      </w:r>
      <w:r w:rsidR="00306563">
        <w:t xml:space="preserve"> </w:t>
      </w:r>
      <w:r w:rsidR="00F951F9">
        <w:t>of change in the labour share of income</w:t>
      </w:r>
    </w:p>
    <w:p w:rsidR="00D60ED3" w:rsidRPr="00D60ED3" w:rsidRDefault="00306563" w:rsidP="00D60ED3">
      <w:pPr>
        <w:spacing w:before="240" w:line="320" w:lineRule="atLeast"/>
        <w:jc w:val="both"/>
        <w:rPr>
          <w:szCs w:val="20"/>
        </w:rPr>
      </w:pPr>
      <w:r>
        <w:rPr>
          <w:szCs w:val="20"/>
        </w:rPr>
        <w:t>As previously noted, a</w:t>
      </w:r>
      <w:r w:rsidR="00D60ED3" w:rsidRPr="00D60ED3">
        <w:rPr>
          <w:szCs w:val="20"/>
        </w:rPr>
        <w:t xml:space="preserve"> variety of research studies, analyses and commentaries have attributed </w:t>
      </w:r>
      <w:r w:rsidR="00187864">
        <w:rPr>
          <w:szCs w:val="20"/>
        </w:rPr>
        <w:t xml:space="preserve">the </w:t>
      </w:r>
      <w:r w:rsidR="00E31B1F">
        <w:rPr>
          <w:szCs w:val="20"/>
        </w:rPr>
        <w:t>changes in the distribution of market incomes in advanced economies</w:t>
      </w:r>
      <w:r w:rsidR="006A2299">
        <w:rPr>
          <w:szCs w:val="20"/>
        </w:rPr>
        <w:t xml:space="preserve"> </w:t>
      </w:r>
      <w:r w:rsidR="00D60ED3" w:rsidRPr="00D60ED3">
        <w:rPr>
          <w:szCs w:val="20"/>
        </w:rPr>
        <w:t xml:space="preserve">to a </w:t>
      </w:r>
      <w:r>
        <w:rPr>
          <w:szCs w:val="20"/>
        </w:rPr>
        <w:t>number</w:t>
      </w:r>
      <w:r w:rsidR="00D60ED3" w:rsidRPr="00D60ED3">
        <w:rPr>
          <w:szCs w:val="20"/>
        </w:rPr>
        <w:t xml:space="preserve"> of causes. The OECD (2011</w:t>
      </w:r>
      <w:r>
        <w:rPr>
          <w:szCs w:val="20"/>
        </w:rPr>
        <w:t>, 2012</w:t>
      </w:r>
      <w:r w:rsidR="00D60ED3" w:rsidRPr="00D60ED3">
        <w:rPr>
          <w:szCs w:val="20"/>
        </w:rPr>
        <w:t>)</w:t>
      </w:r>
      <w:r>
        <w:rPr>
          <w:szCs w:val="20"/>
        </w:rPr>
        <w:t>,</w:t>
      </w:r>
      <w:r w:rsidR="00D60ED3" w:rsidRPr="00D60ED3">
        <w:rPr>
          <w:szCs w:val="20"/>
        </w:rPr>
        <w:t xml:space="preserve"> </w:t>
      </w:r>
      <w:r>
        <w:rPr>
          <w:szCs w:val="20"/>
        </w:rPr>
        <w:t>in reviewing the evidence,</w:t>
      </w:r>
      <w:r w:rsidR="00D60ED3" w:rsidRPr="00D60ED3">
        <w:rPr>
          <w:szCs w:val="20"/>
        </w:rPr>
        <w:t xml:space="preserve"> emphasised:</w:t>
      </w:r>
    </w:p>
    <w:p w:rsidR="00D60ED3" w:rsidRPr="00D60ED3" w:rsidRDefault="00D60ED3" w:rsidP="00306563">
      <w:pPr>
        <w:pStyle w:val="ListBullet"/>
      </w:pPr>
      <w:r w:rsidRPr="00D60ED3">
        <w:t>sk</w:t>
      </w:r>
      <w:r w:rsidR="00A63354">
        <w:t>ill-biased technological change</w:t>
      </w:r>
    </w:p>
    <w:p w:rsidR="00D60ED3" w:rsidRPr="00D60ED3" w:rsidRDefault="00D60ED3" w:rsidP="00306563">
      <w:pPr>
        <w:pStyle w:val="ListBullet2"/>
      </w:pPr>
      <w:r w:rsidRPr="00D60ED3">
        <w:t>in particular, more intensive use of information and communications technologies is seen to substitute for low-skill jobs bu</w:t>
      </w:r>
      <w:r w:rsidR="00A63354">
        <w:t>t to complement high-skill jobs</w:t>
      </w:r>
    </w:p>
    <w:p w:rsidR="00D60ED3" w:rsidRPr="00D60ED3" w:rsidRDefault="00A63354" w:rsidP="00306563">
      <w:pPr>
        <w:pStyle w:val="ListBullet"/>
      </w:pPr>
      <w:r>
        <w:t>increased globalisation</w:t>
      </w:r>
    </w:p>
    <w:p w:rsidR="00D60ED3" w:rsidRDefault="00D60ED3" w:rsidP="00306563">
      <w:pPr>
        <w:pStyle w:val="ListBullet2"/>
      </w:pPr>
      <w:r w:rsidRPr="00D60ED3">
        <w:t>the internationalisation of production has effectively increased the supply of low- and middle-skill workers, which has reduced job opportunities and wages for these types of workers in high-income countries.</w:t>
      </w:r>
    </w:p>
    <w:p w:rsidR="00306563" w:rsidRPr="00D60ED3" w:rsidRDefault="00E23B77" w:rsidP="00306563">
      <w:pPr>
        <w:pStyle w:val="BodyText"/>
      </w:pPr>
      <w:r>
        <w:t>While t</w:t>
      </w:r>
      <w:r w:rsidR="00DA2670">
        <w:t>hese trends</w:t>
      </w:r>
      <w:r>
        <w:t xml:space="preserve"> contribute to higher growth in total income, they</w:t>
      </w:r>
      <w:r w:rsidR="00DA2670">
        <w:t xml:space="preserve"> tend to increase the </w:t>
      </w:r>
      <w:r>
        <w:t>dispersion of personal incomes</w:t>
      </w:r>
      <w:r w:rsidR="00A95512">
        <w:t xml:space="preserve">. </w:t>
      </w:r>
      <w:r w:rsidR="007F39F8">
        <w:t xml:space="preserve">In addressing </w:t>
      </w:r>
      <w:r w:rsidR="005413FA">
        <w:t>possible</w:t>
      </w:r>
      <w:r w:rsidR="007F39F8">
        <w:t xml:space="preserve"> policy response</w:t>
      </w:r>
      <w:r w:rsidR="005413FA">
        <w:t>s</w:t>
      </w:r>
      <w:r w:rsidR="00A95512">
        <w:t xml:space="preserve"> to the </w:t>
      </w:r>
      <w:r>
        <w:t>greater dispersion</w:t>
      </w:r>
      <w:r w:rsidR="007F39F8">
        <w:t>, t</w:t>
      </w:r>
      <w:r w:rsidR="00306563">
        <w:t xml:space="preserve">he OECD noted that </w:t>
      </w:r>
      <w:r w:rsidR="005413FA">
        <w:t>slowing down technological change and globalisation is not a sensible option, because these factors are important in determining the amount of income there is to share.</w:t>
      </w:r>
      <w:r>
        <w:rPr>
          <w:rStyle w:val="FootnoteReference"/>
        </w:rPr>
        <w:footnoteReference w:id="14"/>
      </w:r>
      <w:r w:rsidR="005413FA">
        <w:t xml:space="preserve"> </w:t>
      </w:r>
      <w:r w:rsidR="009C3842">
        <w:t>It put forward f</w:t>
      </w:r>
      <w:r w:rsidR="005413FA">
        <w:t xml:space="preserve">urther investment in human capital </w:t>
      </w:r>
      <w:r w:rsidR="009C3842">
        <w:t>as its</w:t>
      </w:r>
      <w:r w:rsidR="005413FA">
        <w:t xml:space="preserve"> favoured </w:t>
      </w:r>
      <w:r w:rsidR="007F695F">
        <w:t xml:space="preserve">remedial </w:t>
      </w:r>
      <w:r w:rsidR="005413FA">
        <w:t>approach.</w:t>
      </w:r>
    </w:p>
    <w:bookmarkStart w:id="4" w:name="begin"/>
    <w:bookmarkEnd w:id="4"/>
    <w:p w:rsidR="009D3937" w:rsidRDefault="00C74947" w:rsidP="009D3937">
      <w:pPr>
        <w:pStyle w:val="Heading2"/>
      </w:pPr>
      <w:r>
        <w:fldChar w:fldCharType="begin"/>
      </w:r>
      <w:r>
        <w:instrText xml:space="preserve"> COMMENTS  \* MERGEFORMAT </w:instrText>
      </w:r>
      <w:r>
        <w:fldChar w:fldCharType="separate"/>
      </w:r>
      <w:r w:rsidR="0075263D">
        <w:t>3.</w:t>
      </w:r>
      <w:r>
        <w:fldChar w:fldCharType="end"/>
      </w:r>
      <w:fldSimple w:instr=" SEQ Heading2 ">
        <w:r w:rsidR="00C713B5">
          <w:rPr>
            <w:noProof/>
          </w:rPr>
          <w:t>3</w:t>
        </w:r>
      </w:fldSimple>
      <w:r w:rsidR="009D3937">
        <w:tab/>
      </w:r>
      <w:r w:rsidR="00CD2C9C">
        <w:t>An Australia–</w:t>
      </w:r>
      <w:r w:rsidR="00660E02">
        <w:t>US comparison</w:t>
      </w:r>
    </w:p>
    <w:p w:rsidR="009C3842" w:rsidRDefault="009C3842" w:rsidP="00660E02">
      <w:pPr>
        <w:pStyle w:val="BodyText"/>
      </w:pPr>
      <w:r>
        <w:t>A key question is whether the fall in Australia’s labour income share is part of the international trend and, more specifically, a reflection of the same developments that appear to be at work in the US economy.</w:t>
      </w:r>
    </w:p>
    <w:p w:rsidR="009C3842" w:rsidRDefault="00660E02" w:rsidP="00660E02">
      <w:pPr>
        <w:pStyle w:val="BodyText"/>
      </w:pPr>
      <w:r>
        <w:lastRenderedPageBreak/>
        <w:t xml:space="preserve">A comparison </w:t>
      </w:r>
      <w:r w:rsidR="009C3842">
        <w:t xml:space="preserve">of selected economic conditions and developments in the </w:t>
      </w:r>
      <w:r w:rsidR="001705D3">
        <w:t>Australia</w:t>
      </w:r>
      <w:r w:rsidR="009C3842">
        <w:t>n</w:t>
      </w:r>
      <w:r w:rsidR="001705D3">
        <w:t xml:space="preserve"> and </w:t>
      </w:r>
      <w:r>
        <w:t xml:space="preserve">US </w:t>
      </w:r>
      <w:r w:rsidR="009C3842">
        <w:t>economies helps to address this question.</w:t>
      </w:r>
    </w:p>
    <w:p w:rsidR="0038617E" w:rsidRDefault="003636FB" w:rsidP="003636FB">
      <w:pPr>
        <w:pStyle w:val="Heading3"/>
      </w:pPr>
      <w:r>
        <w:t xml:space="preserve">Average income </w:t>
      </w:r>
      <w:r w:rsidR="003D3436">
        <w:t>growth</w:t>
      </w:r>
    </w:p>
    <w:p w:rsidR="0038617E" w:rsidRDefault="0038617E" w:rsidP="0038617E">
      <w:pPr>
        <w:pStyle w:val="BodyText"/>
      </w:pPr>
      <w:r>
        <w:t xml:space="preserve">The US did not share Australia’s continued growth in prosperity in the </w:t>
      </w:r>
      <w:proofErr w:type="spellStart"/>
      <w:r>
        <w:t>2000s</w:t>
      </w:r>
      <w:proofErr w:type="spellEnd"/>
      <w:r>
        <w:t xml:space="preserve">. While growth in real average income was very similar in the two countries over the </w:t>
      </w:r>
      <w:proofErr w:type="spellStart"/>
      <w:r>
        <w:t>1990s</w:t>
      </w:r>
      <w:proofErr w:type="spellEnd"/>
      <w:r>
        <w:t>, US growth drifted well behind Australi</w:t>
      </w:r>
      <w:r w:rsidR="001B4482">
        <w:t xml:space="preserve">an growth in the </w:t>
      </w:r>
      <w:proofErr w:type="spellStart"/>
      <w:r w:rsidR="001B4482">
        <w:t>2000s</w:t>
      </w:r>
      <w:proofErr w:type="spellEnd"/>
      <w:r w:rsidR="001B4482">
        <w:t xml:space="preserve"> (figure 3.</w:t>
      </w:r>
      <w:r w:rsidR="005E2D74">
        <w:t>5</w:t>
      </w:r>
      <w:r>
        <w:t xml:space="preserve">). </w:t>
      </w:r>
      <w:r w:rsidR="001B4482">
        <w:t>While growth in Australia’s average income accelerated (chapter 2), g</w:t>
      </w:r>
      <w:r>
        <w:t xml:space="preserve">rowth in US </w:t>
      </w:r>
      <w:r w:rsidR="001B4482">
        <w:t>average income</w:t>
      </w:r>
      <w:r>
        <w:t xml:space="preserve"> fell from a</w:t>
      </w:r>
      <w:r w:rsidR="001B4482">
        <w:t xml:space="preserve"> rate of</w:t>
      </w:r>
      <w:r>
        <w:t xml:space="preserve"> 2.1 per cent a year in the </w:t>
      </w:r>
      <w:proofErr w:type="spellStart"/>
      <w:r>
        <w:t>1990s</w:t>
      </w:r>
      <w:proofErr w:type="spellEnd"/>
      <w:r>
        <w:t xml:space="preserve"> to 0.6 per cent a year over the </w:t>
      </w:r>
      <w:r w:rsidR="00CE2C00">
        <w:t xml:space="preserve">decade of the </w:t>
      </w:r>
      <w:proofErr w:type="spellStart"/>
      <w:r w:rsidR="00CE2C00">
        <w:t>2000s</w:t>
      </w:r>
      <w:proofErr w:type="spellEnd"/>
      <w:r>
        <w:t>.</w:t>
      </w:r>
    </w:p>
    <w:p w:rsidR="00A432DA" w:rsidRPr="001B4482" w:rsidRDefault="00A432DA" w:rsidP="00A432DA">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75263D">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C713B5">
        <w:rPr>
          <w:b w:val="0"/>
          <w:noProof/>
        </w:rPr>
        <w:t>5</w:t>
      </w:r>
      <w:r>
        <w:rPr>
          <w:b w:val="0"/>
        </w:rPr>
        <w:fldChar w:fldCharType="end"/>
      </w:r>
      <w:r>
        <w:tab/>
        <w:t xml:space="preserve">Growth in real average income in Australia </w:t>
      </w:r>
      <w:r w:rsidR="00F321ED">
        <w:t xml:space="preserve">and </w:t>
      </w:r>
      <w:r>
        <w:t>the US</w:t>
      </w:r>
      <w:r w:rsidR="005046AF">
        <w:t xml:space="preserve"> since 1990</w:t>
      </w:r>
      <w:r w:rsidR="001B4482" w:rsidRPr="00473CA3">
        <w:rPr>
          <w:rStyle w:val="NoteLabel"/>
          <w:b/>
        </w:rPr>
        <w:t>a</w:t>
      </w:r>
    </w:p>
    <w:p w:rsidR="00A432DA" w:rsidRDefault="005046AF" w:rsidP="00A432DA">
      <w:pPr>
        <w:pStyle w:val="Subtitle"/>
      </w:pPr>
      <w:r>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432DA" w:rsidTr="00A432DA">
        <w:tc>
          <w:tcPr>
            <w:tcW w:w="8777" w:type="dxa"/>
          </w:tcPr>
          <w:p w:rsidR="00A432DA" w:rsidRDefault="004957A4" w:rsidP="00A432DA">
            <w:pPr>
              <w:pStyle w:val="Figure"/>
            </w:pPr>
            <w:r>
              <w:rPr>
                <w:noProof/>
              </w:rPr>
              <w:drawing>
                <wp:inline distT="0" distB="0" distL="0" distR="0" wp14:anchorId="4F4A9B74" wp14:editId="7C3A934B">
                  <wp:extent cx="4610100" cy="2724150"/>
                  <wp:effectExtent l="0" t="0" r="0" b="0"/>
                  <wp:docPr id="8" name="Picture 8" descr="Growth in real average income in Australia and the US since 1990. This figure shows that growth in average income in Australia and the US were closely aligned in the 1990s. Australia’s growth continues in the 2000s, while the US was slower and stagnated in the second half of the 200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100" cy="2724150"/>
                          </a:xfrm>
                          <a:prstGeom prst="rect">
                            <a:avLst/>
                          </a:prstGeom>
                          <a:noFill/>
                          <a:ln>
                            <a:noFill/>
                          </a:ln>
                        </pic:spPr>
                      </pic:pic>
                    </a:graphicData>
                  </a:graphic>
                </wp:inline>
              </w:drawing>
            </w:r>
          </w:p>
        </w:tc>
      </w:tr>
    </w:tbl>
    <w:p w:rsidR="001B4482" w:rsidRDefault="001B4482" w:rsidP="001B4482">
      <w:pPr>
        <w:pStyle w:val="Note"/>
      </w:pPr>
      <w:r>
        <w:rPr>
          <w:rStyle w:val="NoteLabel"/>
        </w:rPr>
        <w:t>a</w:t>
      </w:r>
      <w:r>
        <w:t xml:space="preserve"> </w:t>
      </w:r>
      <w:proofErr w:type="spellStart"/>
      <w:r>
        <w:t>GDI</w:t>
      </w:r>
      <w:proofErr w:type="spellEnd"/>
      <w:r>
        <w:t xml:space="preserve"> per person in Australia. GDP per person in the US.</w:t>
      </w:r>
      <w:r w:rsidRPr="001B4482">
        <w:rPr>
          <w:rFonts w:ascii="Times New Roman" w:hAnsi="Times New Roman"/>
          <w:sz w:val="26"/>
          <w:szCs w:val="24"/>
        </w:rPr>
        <w:t xml:space="preserve"> </w:t>
      </w:r>
      <w:r w:rsidRPr="001B4482">
        <w:t xml:space="preserve">The terms of trade contribution </w:t>
      </w:r>
      <w:r>
        <w:t xml:space="preserve">to real income growth </w:t>
      </w:r>
      <w:r w:rsidRPr="001B4482">
        <w:t xml:space="preserve">does not matter for the US. Trade represents only a small proportion of the US economy and, besides, the US terms of trade </w:t>
      </w:r>
      <w:r w:rsidRPr="001B4482">
        <w:rPr>
          <w:i/>
        </w:rPr>
        <w:t>fell</w:t>
      </w:r>
      <w:r w:rsidRPr="001B4482">
        <w:t xml:space="preserve"> in the </w:t>
      </w:r>
      <w:proofErr w:type="spellStart"/>
      <w:r w:rsidRPr="001B4482">
        <w:t>2000s</w:t>
      </w:r>
      <w:proofErr w:type="spellEnd"/>
      <w:r w:rsidRPr="001B4482">
        <w:t>.</w:t>
      </w:r>
    </w:p>
    <w:p w:rsidR="00A432DA" w:rsidRDefault="00A432DA" w:rsidP="00A432DA">
      <w:pPr>
        <w:pStyle w:val="Source"/>
      </w:pPr>
      <w:r>
        <w:rPr>
          <w:i/>
        </w:rPr>
        <w:t>Data source</w:t>
      </w:r>
      <w:r w:rsidR="00CD2C9C">
        <w:rPr>
          <w:i/>
        </w:rPr>
        <w:t>s</w:t>
      </w:r>
      <w:r w:rsidRPr="00167F06">
        <w:t xml:space="preserve">: </w:t>
      </w:r>
      <w:r>
        <w:t>US Bureau of Economic Analysis</w:t>
      </w:r>
      <w:r w:rsidR="00CD2C9C">
        <w:t>;</w:t>
      </w:r>
      <w:r w:rsidRPr="0046792E">
        <w:t xml:space="preserve"> </w:t>
      </w:r>
      <w:r w:rsidR="00DF78F8">
        <w:t>ABS.</w:t>
      </w:r>
    </w:p>
    <w:p w:rsidR="005E2D74" w:rsidRDefault="005E2D74" w:rsidP="005E2D74">
      <w:pPr>
        <w:pStyle w:val="BodyText"/>
      </w:pPr>
      <w:r>
        <w:t xml:space="preserve">The distributional changes over the </w:t>
      </w:r>
      <w:proofErr w:type="spellStart"/>
      <w:r>
        <w:t>2000s</w:t>
      </w:r>
      <w:proofErr w:type="spellEnd"/>
      <w:r>
        <w:t xml:space="preserve"> were therefore taking place in quite different contexts. It was t</w:t>
      </w:r>
      <w:r w:rsidRPr="003636FB">
        <w:t>he distribution of pain versus plenty</w:t>
      </w:r>
      <w:r>
        <w:t>. In the US, it was essentially sharing the burden of slow growth and contraction. In Australia, it was essentially sharing the bounty from continued expansion.</w:t>
      </w:r>
      <w:r w:rsidRPr="003636FB">
        <w:rPr>
          <w:szCs w:val="24"/>
        </w:rPr>
        <w:t xml:space="preserve"> </w:t>
      </w:r>
    </w:p>
    <w:p w:rsidR="003D3436" w:rsidRDefault="003D3436" w:rsidP="003636FB">
      <w:pPr>
        <w:pStyle w:val="Heading3"/>
      </w:pPr>
      <w:r>
        <w:lastRenderedPageBreak/>
        <w:t>Growth in labour and capital income</w:t>
      </w:r>
    </w:p>
    <w:p w:rsidR="00F321ED" w:rsidRDefault="00F321ED" w:rsidP="00F321ED">
      <w:pPr>
        <w:pStyle w:val="BodyText"/>
      </w:pPr>
      <w:r>
        <w:t xml:space="preserve">This distinction comes into sharp relief when trends in labour and capital income are compared. </w:t>
      </w:r>
    </w:p>
    <w:p w:rsidR="00660E02" w:rsidRDefault="00660E02" w:rsidP="00660E02">
      <w:pPr>
        <w:pStyle w:val="Heading4"/>
      </w:pPr>
      <w:r>
        <w:t>Deceleration versus acceleration in labour and capital incomes</w:t>
      </w:r>
    </w:p>
    <w:p w:rsidR="00660E02" w:rsidRDefault="00660E02" w:rsidP="00660E02">
      <w:pPr>
        <w:pStyle w:val="BodyText"/>
      </w:pPr>
      <w:r>
        <w:t xml:space="preserve">The labour income shares fell in the two economies for quite different reasons. There was a </w:t>
      </w:r>
      <w:r w:rsidR="00FD3809">
        <w:t>fall in</w:t>
      </w:r>
      <w:r>
        <w:t xml:space="preserve"> growth in labour income in the US, but not in Australia.</w:t>
      </w:r>
    </w:p>
    <w:p w:rsidR="00660E02" w:rsidRDefault="00660E02" w:rsidP="00660E02">
      <w:pPr>
        <w:pStyle w:val="BodyText"/>
      </w:pPr>
      <w:r>
        <w:t xml:space="preserve">In the US, the rate of growth in both capital income and labour income fell in the </w:t>
      </w:r>
      <w:proofErr w:type="spellStart"/>
      <w:r>
        <w:t>2000s</w:t>
      </w:r>
      <w:proofErr w:type="spellEnd"/>
      <w:r>
        <w:t xml:space="preserve">, compared with the </w:t>
      </w:r>
      <w:proofErr w:type="spellStart"/>
      <w:r>
        <w:t>1990s</w:t>
      </w:r>
      <w:proofErr w:type="spellEnd"/>
      <w:r>
        <w:t xml:space="preserve"> (figure 3</w:t>
      </w:r>
      <w:r w:rsidR="00F321ED">
        <w:t>.</w:t>
      </w:r>
      <w:r w:rsidR="005E2D74">
        <w:t>6</w:t>
      </w:r>
      <w:r>
        <w:t>). The labour income share fell because labour income decelerated more than capital income did.</w:t>
      </w:r>
    </w:p>
    <w:p w:rsidR="00660E02" w:rsidRPr="005046AF" w:rsidRDefault="00660E02" w:rsidP="00660E02">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75263D">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C713B5">
        <w:rPr>
          <w:b w:val="0"/>
          <w:noProof/>
        </w:rPr>
        <w:t>6</w:t>
      </w:r>
      <w:r>
        <w:rPr>
          <w:b w:val="0"/>
        </w:rPr>
        <w:fldChar w:fldCharType="end"/>
      </w:r>
      <w:r>
        <w:tab/>
        <w:t xml:space="preserve">Growth in labour </w:t>
      </w:r>
      <w:r w:rsidR="00F321ED">
        <w:t xml:space="preserve">and capital </w:t>
      </w:r>
      <w:r>
        <w:t xml:space="preserve">income in </w:t>
      </w:r>
      <w:r w:rsidR="00CD2C9C">
        <w:t xml:space="preserve">Australia </w:t>
      </w:r>
      <w:r w:rsidR="00F321ED">
        <w:t>and</w:t>
      </w:r>
      <w:r>
        <w:t xml:space="preserve"> </w:t>
      </w:r>
      <w:r w:rsidR="009203F8">
        <w:t xml:space="preserve">the </w:t>
      </w:r>
      <w:r w:rsidR="00CD2C9C">
        <w:t xml:space="preserve">US </w:t>
      </w:r>
      <w:r w:rsidR="005046AF">
        <w:t xml:space="preserve">in the </w:t>
      </w:r>
      <w:proofErr w:type="spellStart"/>
      <w:r w:rsidR="005046AF">
        <w:t>1990s</w:t>
      </w:r>
      <w:proofErr w:type="spellEnd"/>
      <w:r w:rsidR="005046AF">
        <w:t xml:space="preserve"> and </w:t>
      </w:r>
      <w:proofErr w:type="spellStart"/>
      <w:r w:rsidR="005046AF">
        <w:t>2000s</w:t>
      </w:r>
      <w:proofErr w:type="spellEnd"/>
      <w:r w:rsidR="005046AF" w:rsidRPr="00CB5B9E">
        <w:rPr>
          <w:rStyle w:val="NoteLabel"/>
          <w:b/>
        </w:rPr>
        <w:t>a</w:t>
      </w:r>
    </w:p>
    <w:p w:rsidR="00660E02" w:rsidRDefault="005046AF" w:rsidP="00660E02">
      <w:pPr>
        <w:pStyle w:val="Subtitle"/>
      </w:pPr>
      <w:r>
        <w:t xml:space="preserve">annual </w:t>
      </w:r>
      <w:r w:rsidR="00660E02">
        <w:t xml:space="preserve">average </w:t>
      </w:r>
      <w:r>
        <w:t>rate of growth</w:t>
      </w:r>
      <w:r w:rsidR="00660E02">
        <w:t xml:space="preserve"> (</w:t>
      </w:r>
      <w:r>
        <w:t>per cent</w:t>
      </w:r>
      <w:r w:rsidR="00660E02">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CB5B9E" w:rsidRPr="00CB5B9E" w:rsidTr="00B900DC">
        <w:tc>
          <w:tcPr>
            <w:tcW w:w="4388" w:type="dxa"/>
          </w:tcPr>
          <w:p w:rsidR="00CB5B9E" w:rsidRPr="00CB5B9E" w:rsidRDefault="00CD2C9C" w:rsidP="00CD2C9C">
            <w:pPr>
              <w:pStyle w:val="Figure"/>
              <w:spacing w:after="0"/>
              <w:rPr>
                <w:i/>
                <w:noProof/>
                <w:sz w:val="22"/>
                <w:szCs w:val="22"/>
              </w:rPr>
            </w:pPr>
            <w:r w:rsidRPr="00CB5B9E">
              <w:rPr>
                <w:i/>
                <w:noProof/>
                <w:sz w:val="22"/>
                <w:szCs w:val="22"/>
              </w:rPr>
              <w:t xml:space="preserve">Australia </w:t>
            </w:r>
          </w:p>
        </w:tc>
        <w:tc>
          <w:tcPr>
            <w:tcW w:w="4389" w:type="dxa"/>
          </w:tcPr>
          <w:p w:rsidR="00CB5B9E" w:rsidRPr="00CB5B9E" w:rsidRDefault="00CD2C9C" w:rsidP="00AB62ED">
            <w:pPr>
              <w:pStyle w:val="Figure"/>
              <w:spacing w:after="0"/>
              <w:rPr>
                <w:i/>
                <w:noProof/>
                <w:sz w:val="22"/>
                <w:szCs w:val="22"/>
              </w:rPr>
            </w:pPr>
            <w:r w:rsidRPr="00CB5B9E">
              <w:rPr>
                <w:i/>
                <w:noProof/>
                <w:sz w:val="22"/>
                <w:szCs w:val="22"/>
              </w:rPr>
              <w:t>US</w:t>
            </w:r>
          </w:p>
        </w:tc>
      </w:tr>
      <w:tr w:rsidR="004957A4" w:rsidRPr="00CB5B9E" w:rsidTr="00B900DC">
        <w:tc>
          <w:tcPr>
            <w:tcW w:w="4388" w:type="dxa"/>
          </w:tcPr>
          <w:p w:rsidR="004957A4" w:rsidRPr="00CB5B9E" w:rsidRDefault="004957A4" w:rsidP="004957A4">
            <w:pPr>
              <w:pStyle w:val="Figure"/>
              <w:tabs>
                <w:tab w:val="left" w:pos="2745"/>
              </w:tabs>
              <w:spacing w:after="0"/>
              <w:jc w:val="left"/>
              <w:rPr>
                <w:i/>
                <w:noProof/>
                <w:sz w:val="22"/>
                <w:szCs w:val="22"/>
              </w:rPr>
            </w:pPr>
            <w:r>
              <w:rPr>
                <w:i/>
                <w:noProof/>
                <w:sz w:val="22"/>
                <w:szCs w:val="22"/>
              </w:rPr>
              <w:drawing>
                <wp:inline distT="0" distB="0" distL="0" distR="0">
                  <wp:extent cx="2333625" cy="1962150"/>
                  <wp:effectExtent l="0" t="0" r="9525" b="0"/>
                  <wp:docPr id="14" name="Picture 14" descr="Growth in labour and capital income in Australia and the US in the 1990s and the 2000s. In Australia, the rate of growth in both labour and capital accelerated in the 2000s, with a greater acceleration in capital income. In the US the rates of growth in labour and capital income both decelerated in the 2000s, with a greater deceleration in labour in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3625" cy="1962150"/>
                          </a:xfrm>
                          <a:prstGeom prst="rect">
                            <a:avLst/>
                          </a:prstGeom>
                          <a:noFill/>
                          <a:ln>
                            <a:noFill/>
                          </a:ln>
                        </pic:spPr>
                      </pic:pic>
                    </a:graphicData>
                  </a:graphic>
                </wp:inline>
              </w:drawing>
            </w:r>
          </w:p>
        </w:tc>
        <w:tc>
          <w:tcPr>
            <w:tcW w:w="4389" w:type="dxa"/>
          </w:tcPr>
          <w:p w:rsidR="004957A4" w:rsidRPr="00CB5B9E" w:rsidRDefault="004957A4" w:rsidP="00AB62ED">
            <w:pPr>
              <w:pStyle w:val="Figure"/>
              <w:spacing w:after="0"/>
              <w:rPr>
                <w:i/>
                <w:noProof/>
                <w:sz w:val="22"/>
                <w:szCs w:val="22"/>
              </w:rPr>
            </w:pPr>
            <w:r>
              <w:rPr>
                <w:i/>
                <w:noProof/>
                <w:sz w:val="22"/>
                <w:szCs w:val="22"/>
              </w:rPr>
              <w:drawing>
                <wp:inline distT="0" distB="0" distL="0" distR="0">
                  <wp:extent cx="2324100" cy="1943100"/>
                  <wp:effectExtent l="0" t="0" r="0" b="0"/>
                  <wp:docPr id="13" name="Picture 13" descr="Growth in labour and capital income in Australia and the US in the 1990s and the 2000s. In Australia, the rate of growth in both labour and capital accelerated in the 2000s, with a greater acceleration in capital income. In the US the rates of growth in labour and capital income both decelerated in the 2000s, with a greater deceleration in labour in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4100" cy="1943100"/>
                          </a:xfrm>
                          <a:prstGeom prst="rect">
                            <a:avLst/>
                          </a:prstGeom>
                          <a:noFill/>
                          <a:ln>
                            <a:noFill/>
                          </a:ln>
                        </pic:spPr>
                      </pic:pic>
                    </a:graphicData>
                  </a:graphic>
                </wp:inline>
              </w:drawing>
            </w:r>
          </w:p>
        </w:tc>
      </w:tr>
    </w:tbl>
    <w:p w:rsidR="004B7FAA" w:rsidRDefault="004B7FAA" w:rsidP="00660E02">
      <w:pPr>
        <w:pStyle w:val="Source"/>
      </w:pPr>
      <w:r>
        <w:rPr>
          <w:rStyle w:val="NoteLabel"/>
        </w:rPr>
        <w:t>a</w:t>
      </w:r>
      <w:r>
        <w:t xml:space="preserve"> Labour income is compensation of employees. Capital income is </w:t>
      </w:r>
      <w:r w:rsidR="005046AF">
        <w:t>the residual (excluding ownership of dwellings)</w:t>
      </w:r>
      <w:r>
        <w:t>. Both are measured in current prices.</w:t>
      </w:r>
      <w:r w:rsidRPr="001B4482">
        <w:t xml:space="preserve"> </w:t>
      </w:r>
    </w:p>
    <w:p w:rsidR="00660E02" w:rsidRDefault="00660E02" w:rsidP="00660E02">
      <w:pPr>
        <w:pStyle w:val="Source"/>
      </w:pPr>
      <w:r>
        <w:rPr>
          <w:i/>
        </w:rPr>
        <w:t>Data source</w:t>
      </w:r>
      <w:r w:rsidR="00CD2C9C">
        <w:rPr>
          <w:i/>
        </w:rPr>
        <w:t>s</w:t>
      </w:r>
      <w:r w:rsidRPr="00167F06">
        <w:t xml:space="preserve">: </w:t>
      </w:r>
      <w:r>
        <w:t>US Bureau of Economic Analysis</w:t>
      </w:r>
      <w:r w:rsidR="00CD2C9C">
        <w:t xml:space="preserve">; </w:t>
      </w:r>
      <w:r>
        <w:t xml:space="preserve">ABS </w:t>
      </w:r>
      <w:r w:rsidR="00CD2C9C">
        <w:t>.</w:t>
      </w:r>
    </w:p>
    <w:p w:rsidR="005E2D74" w:rsidRPr="002753D7" w:rsidRDefault="005E2D74" w:rsidP="005E2D74">
      <w:pPr>
        <w:pStyle w:val="BodyText"/>
      </w:pPr>
      <w:r>
        <w:t xml:space="preserve">In Australia, the rate of growth in both labour and capital income picked up in the </w:t>
      </w:r>
      <w:proofErr w:type="spellStart"/>
      <w:r>
        <w:t>2000s</w:t>
      </w:r>
      <w:proofErr w:type="spellEnd"/>
      <w:r>
        <w:t>. The labour income share fell, not because there was slower growth in labour income, but because the acceleration in labour income was overshadowed by the acceleration in capital income.</w:t>
      </w:r>
    </w:p>
    <w:p w:rsidR="0038617E" w:rsidRPr="006D6021" w:rsidRDefault="003636FB" w:rsidP="003636FB">
      <w:pPr>
        <w:pStyle w:val="Heading3"/>
      </w:pPr>
      <w:r>
        <w:t>Industry sources</w:t>
      </w:r>
    </w:p>
    <w:p w:rsidR="0038617E" w:rsidRDefault="0038617E" w:rsidP="0038617E">
      <w:pPr>
        <w:pStyle w:val="BodyText"/>
      </w:pPr>
      <w:r>
        <w:t xml:space="preserve">The industry </w:t>
      </w:r>
      <w:r w:rsidR="00F321ED">
        <w:t>sources</w:t>
      </w:r>
      <w:r>
        <w:t xml:space="preserve"> of change in output and income growth were also very different. </w:t>
      </w:r>
    </w:p>
    <w:p w:rsidR="0038617E" w:rsidRDefault="0038617E" w:rsidP="0038617E">
      <w:pPr>
        <w:pStyle w:val="BodyText"/>
      </w:pPr>
      <w:r>
        <w:lastRenderedPageBreak/>
        <w:t xml:space="preserve">In </w:t>
      </w:r>
      <w:r w:rsidR="002646EC">
        <w:t>t</w:t>
      </w:r>
      <w:r>
        <w:t xml:space="preserve">he US, a much weaker manufacturing contribution was the major industry source of the </w:t>
      </w:r>
      <w:proofErr w:type="spellStart"/>
      <w:r>
        <w:t>2000s</w:t>
      </w:r>
      <w:proofErr w:type="spellEnd"/>
      <w:r>
        <w:t xml:space="preserve"> slowdown (figure </w:t>
      </w:r>
      <w:r w:rsidR="00F321ED">
        <w:t>3.</w:t>
      </w:r>
      <w:r w:rsidR="005E2D74">
        <w:t>7</w:t>
      </w:r>
      <w:r>
        <w:t xml:space="preserve">). </w:t>
      </w:r>
      <w:r w:rsidR="00F321ED">
        <w:t>The Council of Economic Advisors (</w:t>
      </w:r>
      <w:proofErr w:type="spellStart"/>
      <w:r w:rsidR="00F321ED">
        <w:t>CEA</w:t>
      </w:r>
      <w:proofErr w:type="spellEnd"/>
      <w:r w:rsidR="00F321ED">
        <w:t xml:space="preserve"> 2013) reported that about half the decline in the US labour share since 2000 is attributable to </w:t>
      </w:r>
      <w:r w:rsidR="00CD2C9C">
        <w:t>M</w:t>
      </w:r>
      <w:r w:rsidR="00F321ED">
        <w:t xml:space="preserve">anufacturing. </w:t>
      </w:r>
    </w:p>
    <w:p w:rsidR="002646EC" w:rsidRPr="002E4D18" w:rsidRDefault="002646EC" w:rsidP="002646EC">
      <w:pPr>
        <w:pStyle w:val="BodyText"/>
      </w:pPr>
      <w:r>
        <w:t xml:space="preserve">In contrast, </w:t>
      </w:r>
      <w:r w:rsidR="00CD2C9C">
        <w:t xml:space="preserve">Mining </w:t>
      </w:r>
      <w:r>
        <w:t xml:space="preserve">and </w:t>
      </w:r>
      <w:r w:rsidR="00CD2C9C">
        <w:t xml:space="preserve">Construction </w:t>
      </w:r>
      <w:r>
        <w:t>were the main sources of more-rapid expansion in the Australian economy (figure 3.7).</w:t>
      </w:r>
      <w:r>
        <w:rPr>
          <w:rStyle w:val="FootnoteReference"/>
        </w:rPr>
        <w:footnoteReference w:id="15"/>
      </w:r>
      <w:r>
        <w:t xml:space="preserve"> There was only a minor contraction in the </w:t>
      </w:r>
      <w:r w:rsidR="00CD2C9C">
        <w:t xml:space="preserve">Manufacturing </w:t>
      </w:r>
      <w:r>
        <w:t xml:space="preserve">contribution to growth in Australia. At face value, the mining boom and its associated construction activity </w:t>
      </w:r>
      <w:r w:rsidR="00A95512">
        <w:t>are the most likely source</w:t>
      </w:r>
      <w:r>
        <w:t xml:space="preserve"> of changes in income patterns in Australia. </w:t>
      </w:r>
      <w:r w:rsidR="006A2299">
        <w:t>The f</w:t>
      </w:r>
      <w:r w:rsidR="00C3541D">
        <w:t>ollowing chapters investigate the industry sources.</w:t>
      </w:r>
    </w:p>
    <w:p w:rsidR="0038617E" w:rsidRPr="004B7FAA" w:rsidRDefault="0038617E" w:rsidP="0038617E">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75263D">
        <w:rPr>
          <w:b w:val="0"/>
        </w:rPr>
        <w:t>3.</w:t>
      </w:r>
      <w:r>
        <w:rPr>
          <w:b w:val="0"/>
        </w:rPr>
        <w:fldChar w:fldCharType="end"/>
      </w:r>
      <w:r>
        <w:rPr>
          <w:b w:val="0"/>
        </w:rPr>
        <w:fldChar w:fldCharType="begin"/>
      </w:r>
      <w:r>
        <w:rPr>
          <w:b w:val="0"/>
        </w:rPr>
        <w:instrText xml:space="preserve"> SEQ Figure \* ARABIC </w:instrText>
      </w:r>
      <w:r>
        <w:rPr>
          <w:b w:val="0"/>
        </w:rPr>
        <w:fldChar w:fldCharType="separate"/>
      </w:r>
      <w:r w:rsidR="00C713B5">
        <w:rPr>
          <w:b w:val="0"/>
          <w:noProof/>
        </w:rPr>
        <w:t>7</w:t>
      </w:r>
      <w:r>
        <w:rPr>
          <w:b w:val="0"/>
        </w:rPr>
        <w:fldChar w:fldCharType="end"/>
      </w:r>
      <w:r>
        <w:tab/>
      </w:r>
      <w:r w:rsidR="004B7FAA">
        <w:t xml:space="preserve">Industry contributions to income growth in </w:t>
      </w:r>
      <w:r w:rsidR="00CD2C9C">
        <w:t xml:space="preserve">Australia </w:t>
      </w:r>
      <w:r w:rsidR="004B7FAA">
        <w:t xml:space="preserve">and </w:t>
      </w:r>
      <w:r w:rsidR="009203F8">
        <w:t xml:space="preserve">the </w:t>
      </w:r>
      <w:r w:rsidR="00CD2C9C">
        <w:t>US</w:t>
      </w:r>
      <w:r w:rsidR="004B7FAA" w:rsidRPr="00B068E5">
        <w:rPr>
          <w:rStyle w:val="NoteLabel"/>
        </w:rPr>
        <w:t>a</w:t>
      </w:r>
    </w:p>
    <w:p w:rsidR="0038617E" w:rsidRDefault="004B7FAA" w:rsidP="0038617E">
      <w:pPr>
        <w:pStyle w:val="Subtitle"/>
      </w:pPr>
      <w:r>
        <w:t>percentage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8"/>
      </w:tblGrid>
      <w:tr w:rsidR="00CD2C9C" w:rsidRPr="00B068E5" w:rsidTr="000A39DB">
        <w:tc>
          <w:tcPr>
            <w:tcW w:w="4388" w:type="dxa"/>
          </w:tcPr>
          <w:p w:rsidR="00CD2C9C" w:rsidRPr="00B068E5" w:rsidRDefault="00CD2C9C" w:rsidP="0081613B">
            <w:pPr>
              <w:pStyle w:val="Figure"/>
              <w:spacing w:after="0"/>
              <w:rPr>
                <w:i/>
                <w:noProof/>
                <w:sz w:val="22"/>
                <w:szCs w:val="22"/>
              </w:rPr>
            </w:pPr>
            <w:r w:rsidRPr="00B068E5">
              <w:rPr>
                <w:i/>
                <w:noProof/>
                <w:sz w:val="22"/>
                <w:szCs w:val="22"/>
              </w:rPr>
              <w:t>Australia</w:t>
            </w:r>
          </w:p>
        </w:tc>
        <w:tc>
          <w:tcPr>
            <w:tcW w:w="4388" w:type="dxa"/>
          </w:tcPr>
          <w:p w:rsidR="00CD2C9C" w:rsidRPr="00B068E5" w:rsidRDefault="00CD2C9C" w:rsidP="00B068E5">
            <w:pPr>
              <w:pStyle w:val="Figure"/>
              <w:spacing w:after="0"/>
              <w:rPr>
                <w:i/>
                <w:noProof/>
                <w:sz w:val="22"/>
                <w:szCs w:val="22"/>
              </w:rPr>
            </w:pPr>
            <w:r w:rsidRPr="00B068E5">
              <w:rPr>
                <w:i/>
                <w:noProof/>
                <w:sz w:val="22"/>
                <w:szCs w:val="22"/>
              </w:rPr>
              <w:t>US</w:t>
            </w:r>
          </w:p>
        </w:tc>
      </w:tr>
      <w:tr w:rsidR="00CD2C9C" w:rsidTr="000A39DB">
        <w:tc>
          <w:tcPr>
            <w:tcW w:w="4388" w:type="dxa"/>
          </w:tcPr>
          <w:p w:rsidR="00CD2C9C" w:rsidRPr="00815EC1" w:rsidRDefault="00AE1841" w:rsidP="0081613B">
            <w:pPr>
              <w:pStyle w:val="Figure"/>
              <w:spacing w:before="0" w:after="0"/>
              <w:rPr>
                <w:noProof/>
              </w:rPr>
            </w:pPr>
            <w:r>
              <w:rPr>
                <w:noProof/>
              </w:rPr>
              <w:drawing>
                <wp:inline distT="0" distB="0" distL="0" distR="0" wp14:anchorId="6E31A27F" wp14:editId="0133E4E4">
                  <wp:extent cx="2268220" cy="2554605"/>
                  <wp:effectExtent l="0" t="0" r="0" b="0"/>
                  <wp:docPr id="11" name="Picture 11" descr="Industry contributions to income growth in Australia and the US. This figure shows that the stronger income growth in Australia in the 2000s came primarily from Mining and Construction. The biggest contribution to the decline in US income growth in the 2000s came from Manufacturing." title="Industry contributions to income growth in the Australia and 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68220" cy="2554605"/>
                          </a:xfrm>
                          <a:prstGeom prst="rect">
                            <a:avLst/>
                          </a:prstGeom>
                          <a:noFill/>
                        </pic:spPr>
                      </pic:pic>
                    </a:graphicData>
                  </a:graphic>
                </wp:inline>
              </w:drawing>
            </w:r>
          </w:p>
        </w:tc>
        <w:tc>
          <w:tcPr>
            <w:tcW w:w="4388" w:type="dxa"/>
          </w:tcPr>
          <w:p w:rsidR="00CD2C9C" w:rsidRPr="00815EC1" w:rsidRDefault="00AE1841" w:rsidP="00B068E5">
            <w:pPr>
              <w:pStyle w:val="Figure"/>
              <w:spacing w:before="0" w:after="0"/>
              <w:rPr>
                <w:noProof/>
              </w:rPr>
            </w:pPr>
            <w:r>
              <w:rPr>
                <w:noProof/>
              </w:rPr>
              <w:drawing>
                <wp:inline distT="0" distB="0" distL="0" distR="0" wp14:anchorId="3EE0B0F5" wp14:editId="4CF16E56">
                  <wp:extent cx="2304415" cy="2560320"/>
                  <wp:effectExtent l="0" t="0" r="635" b="0"/>
                  <wp:docPr id="12" name="Picture 12" descr="Industry contributions to income growth in Australia and the US. This figure shows that the stronger income growth in Australia in the 2000s came primarily from Mining and Construction. The biggest contribution to the decline in US income growth in the 2000s came from Manufacturing." title="Industry contributions to income growth in the Australia and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04415" cy="2560320"/>
                          </a:xfrm>
                          <a:prstGeom prst="rect">
                            <a:avLst/>
                          </a:prstGeom>
                          <a:noFill/>
                        </pic:spPr>
                      </pic:pic>
                    </a:graphicData>
                  </a:graphic>
                </wp:inline>
              </w:drawing>
            </w:r>
          </w:p>
        </w:tc>
      </w:tr>
    </w:tbl>
    <w:p w:rsidR="004B7FAA" w:rsidRDefault="004B7FAA" w:rsidP="0038617E">
      <w:pPr>
        <w:pStyle w:val="Source"/>
      </w:pPr>
      <w:r>
        <w:rPr>
          <w:rStyle w:val="NoteLabel"/>
        </w:rPr>
        <w:t>a</w:t>
      </w:r>
      <w:r>
        <w:t xml:space="preserve"> Contributions to non-dwelling current price GDP</w:t>
      </w:r>
      <w:r w:rsidR="00CD2C9C">
        <w:t>.</w:t>
      </w:r>
    </w:p>
    <w:p w:rsidR="0038617E" w:rsidRDefault="0038617E" w:rsidP="0038617E">
      <w:pPr>
        <w:pStyle w:val="Source"/>
      </w:pPr>
      <w:r>
        <w:rPr>
          <w:i/>
        </w:rPr>
        <w:t>Data source</w:t>
      </w:r>
      <w:r w:rsidR="005B69D9">
        <w:rPr>
          <w:i/>
        </w:rPr>
        <w:t>s</w:t>
      </w:r>
      <w:r w:rsidRPr="00167F06">
        <w:t xml:space="preserve">: </w:t>
      </w:r>
      <w:r>
        <w:t>US Bureau of Economic Analysis</w:t>
      </w:r>
      <w:r w:rsidR="005B69D9">
        <w:t>;</w:t>
      </w:r>
      <w:r w:rsidRPr="0046792E">
        <w:t xml:space="preserve"> </w:t>
      </w:r>
      <w:r>
        <w:t>ABS</w:t>
      </w:r>
      <w:r w:rsidR="005B69D9">
        <w:t>.</w:t>
      </w:r>
    </w:p>
    <w:p w:rsidR="00195BD3" w:rsidRDefault="00195BD3">
      <w:pPr>
        <w:rPr>
          <w:rFonts w:ascii="Arial" w:hAnsi="Arial"/>
          <w:b/>
          <w:sz w:val="32"/>
          <w:szCs w:val="20"/>
        </w:rPr>
      </w:pPr>
      <w:r>
        <w:br w:type="page"/>
      </w:r>
    </w:p>
    <w:p w:rsidR="00AE7A60" w:rsidRDefault="00C0297C" w:rsidP="00AE7A60">
      <w:pPr>
        <w:pStyle w:val="Heading2"/>
      </w:pPr>
      <w:r>
        <w:lastRenderedPageBreak/>
        <w:fldChar w:fldCharType="begin"/>
      </w:r>
      <w:r>
        <w:instrText xml:space="preserve"> COMMENTS  \* MERGEFORMAT </w:instrText>
      </w:r>
      <w:r>
        <w:fldChar w:fldCharType="separate"/>
      </w:r>
      <w:r w:rsidR="0075263D">
        <w:t>3.</w:t>
      </w:r>
      <w:r>
        <w:fldChar w:fldCharType="end"/>
      </w:r>
      <w:fldSimple w:instr=" SEQ Heading2 ">
        <w:r w:rsidR="00C713B5">
          <w:rPr>
            <w:noProof/>
          </w:rPr>
          <w:t>4</w:t>
        </w:r>
      </w:fldSimple>
      <w:r w:rsidR="00691B4E">
        <w:tab/>
      </w:r>
      <w:r w:rsidR="00DA06F6">
        <w:t>Key point s</w:t>
      </w:r>
      <w:r w:rsidR="00F37DC4">
        <w:t>ummary</w:t>
      </w:r>
    </w:p>
    <w:p w:rsidR="005046AF" w:rsidRDefault="005046AF" w:rsidP="009F1602">
      <w:pPr>
        <w:pStyle w:val="ListBullet"/>
      </w:pPr>
      <w:r>
        <w:t xml:space="preserve">The labour income share is the proportion of income generated from production that is allocated to labour in wages and </w:t>
      </w:r>
      <w:r w:rsidR="001074D7">
        <w:t xml:space="preserve">associated </w:t>
      </w:r>
      <w:r>
        <w:t xml:space="preserve">on-costs. </w:t>
      </w:r>
    </w:p>
    <w:p w:rsidR="005046AF" w:rsidRDefault="005046AF" w:rsidP="009F1602">
      <w:pPr>
        <w:pStyle w:val="ListBullet"/>
      </w:pPr>
      <w:r>
        <w:t xml:space="preserve">The perception that the labour income share </w:t>
      </w:r>
      <w:r w:rsidR="009F1602">
        <w:t>remains</w:t>
      </w:r>
      <w:r>
        <w:t xml:space="preserve"> constant can be challenged on the evidence.</w:t>
      </w:r>
    </w:p>
    <w:p w:rsidR="005046AF" w:rsidRDefault="005046AF" w:rsidP="009F1602">
      <w:pPr>
        <w:pStyle w:val="ListBullet2"/>
      </w:pPr>
      <w:r>
        <w:t>In many countries, there was a ‘hump shaped’ pattern in the second half of the 20</w:t>
      </w:r>
      <w:r w:rsidRPr="005046AF">
        <w:rPr>
          <w:vertAlign w:val="superscript"/>
        </w:rPr>
        <w:t>th</w:t>
      </w:r>
      <w:r>
        <w:t xml:space="preserve"> century. The labour income share rose in the </w:t>
      </w:r>
      <w:proofErr w:type="spellStart"/>
      <w:r>
        <w:t>1960s</w:t>
      </w:r>
      <w:proofErr w:type="spellEnd"/>
      <w:r>
        <w:t xml:space="preserve"> and </w:t>
      </w:r>
      <w:proofErr w:type="spellStart"/>
      <w:r>
        <w:t>1970s</w:t>
      </w:r>
      <w:proofErr w:type="spellEnd"/>
      <w:r>
        <w:t xml:space="preserve"> and </w:t>
      </w:r>
      <w:r w:rsidR="001074D7">
        <w:t>return</w:t>
      </w:r>
      <w:r w:rsidR="00C3541D">
        <w:t>ed</w:t>
      </w:r>
      <w:r w:rsidR="001074D7">
        <w:t xml:space="preserve"> to longer run levels </w:t>
      </w:r>
      <w:r>
        <w:t xml:space="preserve">in the </w:t>
      </w:r>
      <w:proofErr w:type="spellStart"/>
      <w:r>
        <w:t>1980s</w:t>
      </w:r>
      <w:proofErr w:type="spellEnd"/>
      <w:r>
        <w:t xml:space="preserve"> and </w:t>
      </w:r>
      <w:proofErr w:type="spellStart"/>
      <w:r>
        <w:t>1990s</w:t>
      </w:r>
      <w:proofErr w:type="spellEnd"/>
      <w:r>
        <w:t>.</w:t>
      </w:r>
    </w:p>
    <w:p w:rsidR="007D02F7" w:rsidRDefault="007D02F7" w:rsidP="009F1602">
      <w:pPr>
        <w:pStyle w:val="ListBullet2"/>
      </w:pPr>
      <w:r>
        <w:t xml:space="preserve">There have been further falls in a number of countries in the </w:t>
      </w:r>
      <w:proofErr w:type="spellStart"/>
      <w:r>
        <w:t>2000s</w:t>
      </w:r>
      <w:proofErr w:type="spellEnd"/>
      <w:r>
        <w:t>.</w:t>
      </w:r>
    </w:p>
    <w:p w:rsidR="00513604" w:rsidRDefault="00513604" w:rsidP="00513604">
      <w:pPr>
        <w:pStyle w:val="ListBullet"/>
      </w:pPr>
      <w:r>
        <w:t>Technological advances and increased globalisation are considered to be major factors behind the general decline in the labour income share in advanced economies.</w:t>
      </w:r>
    </w:p>
    <w:p w:rsidR="007D02F7" w:rsidRDefault="009F1602" w:rsidP="007D02F7">
      <w:pPr>
        <w:pStyle w:val="ListBullet"/>
      </w:pPr>
      <w:r>
        <w:t xml:space="preserve">The US </w:t>
      </w:r>
      <w:r w:rsidR="007D02F7">
        <w:t>has taken a</w:t>
      </w:r>
      <w:r w:rsidR="00513604">
        <w:t xml:space="preserve"> somewhat</w:t>
      </w:r>
      <w:r w:rsidR="007D02F7">
        <w:t xml:space="preserve"> unusual path.</w:t>
      </w:r>
    </w:p>
    <w:p w:rsidR="009F1602" w:rsidRDefault="007D02F7" w:rsidP="00513604">
      <w:pPr>
        <w:pStyle w:val="ListBullet2"/>
      </w:pPr>
      <w:r>
        <w:t>It</w:t>
      </w:r>
      <w:r w:rsidR="00513604">
        <w:t>s labour share</w:t>
      </w:r>
      <w:r>
        <w:t xml:space="preserve"> </w:t>
      </w:r>
      <w:r w:rsidR="009F1602">
        <w:t>followed th</w:t>
      </w:r>
      <w:r>
        <w:t xml:space="preserve">e </w:t>
      </w:r>
      <w:r w:rsidR="00513604">
        <w:t>hump shape</w:t>
      </w:r>
      <w:r w:rsidR="009F1602">
        <w:t xml:space="preserve"> pattern to </w:t>
      </w:r>
      <w:r w:rsidR="00513604">
        <w:t>a mild</w:t>
      </w:r>
      <w:r w:rsidR="009F1602">
        <w:t xml:space="preserve"> degree</w:t>
      </w:r>
      <w:r>
        <w:t xml:space="preserve"> in the second half of the 20</w:t>
      </w:r>
      <w:r w:rsidRPr="007D02F7">
        <w:rPr>
          <w:vertAlign w:val="superscript"/>
        </w:rPr>
        <w:t>th</w:t>
      </w:r>
      <w:r>
        <w:t xml:space="preserve"> century</w:t>
      </w:r>
      <w:r w:rsidR="009F1602">
        <w:t xml:space="preserve">, but </w:t>
      </w:r>
      <w:r w:rsidR="00513604">
        <w:t>was essentially stable, especially in comparison to</w:t>
      </w:r>
      <w:r w:rsidR="009F1602">
        <w:t xml:space="preserve"> other countries.</w:t>
      </w:r>
    </w:p>
    <w:p w:rsidR="009F1602" w:rsidRDefault="005E2D74" w:rsidP="00513604">
      <w:pPr>
        <w:pStyle w:val="ListBullet2"/>
      </w:pPr>
      <w:r>
        <w:t>Its</w:t>
      </w:r>
      <w:r w:rsidR="00513604">
        <w:t xml:space="preserve"> share has fallen sharply in the </w:t>
      </w:r>
      <w:proofErr w:type="spellStart"/>
      <w:r w:rsidR="00513604">
        <w:t>2000s</w:t>
      </w:r>
      <w:proofErr w:type="spellEnd"/>
      <w:r w:rsidR="00513604">
        <w:t>.</w:t>
      </w:r>
      <w:r w:rsidR="00C24ABF">
        <w:t xml:space="preserve"> </w:t>
      </w:r>
    </w:p>
    <w:p w:rsidR="00594682" w:rsidRDefault="00747817" w:rsidP="009F1602">
      <w:pPr>
        <w:pStyle w:val="ListBullet3"/>
      </w:pPr>
      <w:r>
        <w:t xml:space="preserve">The fall is widely regarded as </w:t>
      </w:r>
      <w:r w:rsidR="00594682">
        <w:t>unprecedented</w:t>
      </w:r>
      <w:r>
        <w:t>.</w:t>
      </w:r>
    </w:p>
    <w:p w:rsidR="009F1602" w:rsidRDefault="00747817" w:rsidP="009F1602">
      <w:pPr>
        <w:pStyle w:val="ListBullet3"/>
      </w:pPr>
      <w:r>
        <w:t xml:space="preserve">It is </w:t>
      </w:r>
      <w:r w:rsidR="007D02F7">
        <w:t>one</w:t>
      </w:r>
      <w:r>
        <w:t xml:space="preserve"> of a number of developments that have raised concern about </w:t>
      </w:r>
      <w:r w:rsidR="001074D7">
        <w:t xml:space="preserve">growing </w:t>
      </w:r>
      <w:r>
        <w:t>disparities in the distribution of income</w:t>
      </w:r>
      <w:r w:rsidR="00513604">
        <w:t xml:space="preserve"> and </w:t>
      </w:r>
      <w:r w:rsidR="0097023B">
        <w:t xml:space="preserve">their </w:t>
      </w:r>
      <w:r w:rsidR="00513604">
        <w:t>broader economic and social impacts</w:t>
      </w:r>
      <w:r>
        <w:t>.</w:t>
      </w:r>
    </w:p>
    <w:p w:rsidR="009F1602" w:rsidRDefault="007D02F7" w:rsidP="009F1602">
      <w:pPr>
        <w:pStyle w:val="ListBullet3"/>
      </w:pPr>
      <w:r>
        <w:t>T</w:t>
      </w:r>
      <w:r w:rsidR="009F1602">
        <w:t xml:space="preserve">he US case </w:t>
      </w:r>
      <w:r>
        <w:t>has stirred international interest from the point of view that it might</w:t>
      </w:r>
      <w:r w:rsidR="009F1602">
        <w:t xml:space="preserve"> herald </w:t>
      </w:r>
      <w:r w:rsidR="001074D7">
        <w:t>trends for</w:t>
      </w:r>
      <w:r w:rsidR="009F1602">
        <w:t xml:space="preserve"> other countries.</w:t>
      </w:r>
    </w:p>
    <w:p w:rsidR="00513604" w:rsidRDefault="00A31B97" w:rsidP="00513604">
      <w:pPr>
        <w:pStyle w:val="ListBullet"/>
      </w:pPr>
      <w:r>
        <w:t>Australia</w:t>
      </w:r>
      <w:r w:rsidR="00513604">
        <w:t xml:space="preserve"> has shown considerable variation in its labour share</w:t>
      </w:r>
      <w:r w:rsidR="009B73E2">
        <w:t xml:space="preserve"> from an international perspective</w:t>
      </w:r>
      <w:r w:rsidR="00513604">
        <w:t>.</w:t>
      </w:r>
    </w:p>
    <w:p w:rsidR="00513604" w:rsidRDefault="00513604" w:rsidP="009B73E2">
      <w:pPr>
        <w:pStyle w:val="ListBullet2"/>
      </w:pPr>
      <w:r>
        <w:t>It followed the hump shape in the second half of the 20</w:t>
      </w:r>
      <w:r w:rsidRPr="00513604">
        <w:rPr>
          <w:vertAlign w:val="superscript"/>
        </w:rPr>
        <w:t>th</w:t>
      </w:r>
      <w:r>
        <w:t xml:space="preserve"> century, with a relatively large upswing in the </w:t>
      </w:r>
      <w:proofErr w:type="spellStart"/>
      <w:r>
        <w:t>1970s</w:t>
      </w:r>
      <w:proofErr w:type="spellEnd"/>
      <w:r>
        <w:t xml:space="preserve"> and reversion in the </w:t>
      </w:r>
      <w:proofErr w:type="spellStart"/>
      <w:r>
        <w:t>1980s</w:t>
      </w:r>
      <w:proofErr w:type="spellEnd"/>
      <w:r>
        <w:t>.</w:t>
      </w:r>
    </w:p>
    <w:p w:rsidR="009B73E2" w:rsidRDefault="009B73E2" w:rsidP="009B73E2">
      <w:pPr>
        <w:pStyle w:val="ListBullet2"/>
      </w:pPr>
      <w:r>
        <w:t xml:space="preserve">The share was stable through the </w:t>
      </w:r>
      <w:proofErr w:type="spellStart"/>
      <w:r>
        <w:t>1990s</w:t>
      </w:r>
      <w:proofErr w:type="spellEnd"/>
      <w:r>
        <w:t>.</w:t>
      </w:r>
    </w:p>
    <w:p w:rsidR="00C24ABF" w:rsidRDefault="009B73E2" w:rsidP="009B73E2">
      <w:pPr>
        <w:pStyle w:val="ListBullet2"/>
      </w:pPr>
      <w:r>
        <w:t xml:space="preserve">It fell sharply in the </w:t>
      </w:r>
      <w:proofErr w:type="spellStart"/>
      <w:r>
        <w:t>2000s</w:t>
      </w:r>
      <w:proofErr w:type="spellEnd"/>
      <w:r>
        <w:t xml:space="preserve"> — at </w:t>
      </w:r>
      <w:r w:rsidR="00A31B97">
        <w:t>least as sharply</w:t>
      </w:r>
      <w:r w:rsidR="007D02F7">
        <w:t xml:space="preserve"> as in the US</w:t>
      </w:r>
      <w:r>
        <w:t>.</w:t>
      </w:r>
    </w:p>
    <w:p w:rsidR="009B73E2" w:rsidRDefault="009B73E2" w:rsidP="009B73E2">
      <w:pPr>
        <w:pStyle w:val="ListBullet3"/>
      </w:pPr>
      <w:r>
        <w:t>This raises the question of whether the same factors are at work in Australia as in the US.</w:t>
      </w:r>
    </w:p>
    <w:p w:rsidR="00A31B97" w:rsidRDefault="00A31B97" w:rsidP="009F1602">
      <w:pPr>
        <w:pStyle w:val="ListBullet"/>
      </w:pPr>
      <w:r>
        <w:t xml:space="preserve">A comparison of economic developments in the US and Australia strongly suggests that the labour share </w:t>
      </w:r>
      <w:r w:rsidR="009F1602">
        <w:t xml:space="preserve">has fallen in the </w:t>
      </w:r>
      <w:r w:rsidR="00114CDF">
        <w:t xml:space="preserve">two countries </w:t>
      </w:r>
      <w:r>
        <w:t xml:space="preserve">for </w:t>
      </w:r>
      <w:r w:rsidR="009F1602">
        <w:t xml:space="preserve">quite </w:t>
      </w:r>
      <w:r>
        <w:t>different reasons.</w:t>
      </w:r>
    </w:p>
    <w:p w:rsidR="00A31B97" w:rsidRDefault="009B73E2" w:rsidP="009F1602">
      <w:pPr>
        <w:pStyle w:val="ListBullet2"/>
      </w:pPr>
      <w:r>
        <w:lastRenderedPageBreak/>
        <w:t>It has been a case of the d</w:t>
      </w:r>
      <w:r w:rsidR="00A31B97">
        <w:t xml:space="preserve">istribution of pain </w:t>
      </w:r>
      <w:r>
        <w:t xml:space="preserve">in the US </w:t>
      </w:r>
      <w:r w:rsidR="00A31B97">
        <w:t xml:space="preserve">versus </w:t>
      </w:r>
      <w:r>
        <w:t xml:space="preserve">the distribution of </w:t>
      </w:r>
      <w:r w:rsidR="00A31B97">
        <w:t>plenty</w:t>
      </w:r>
      <w:r>
        <w:t xml:space="preserve"> in </w:t>
      </w:r>
      <w:r w:rsidR="005E2D74">
        <w:t>Australia</w:t>
      </w:r>
      <w:r>
        <w:t>.</w:t>
      </w:r>
    </w:p>
    <w:p w:rsidR="00A31B97" w:rsidRDefault="009B73E2" w:rsidP="009F1602">
      <w:pPr>
        <w:pStyle w:val="ListBullet2"/>
      </w:pPr>
      <w:r>
        <w:t xml:space="preserve">The labour income share fell in the US because </w:t>
      </w:r>
      <w:r w:rsidR="004445DC">
        <w:t>growth in labour</w:t>
      </w:r>
      <w:r w:rsidR="00A31B97">
        <w:t xml:space="preserve"> income </w:t>
      </w:r>
      <w:r w:rsidRPr="005E2D74">
        <w:rPr>
          <w:i/>
        </w:rPr>
        <w:t xml:space="preserve">decelerated </w:t>
      </w:r>
      <w:r w:rsidR="004445DC">
        <w:rPr>
          <w:i/>
        </w:rPr>
        <w:t>more</w:t>
      </w:r>
      <w:r w:rsidR="00A31B97" w:rsidRPr="005E2D74">
        <w:rPr>
          <w:i/>
        </w:rPr>
        <w:t xml:space="preserve"> </w:t>
      </w:r>
      <w:r w:rsidR="00A31B97">
        <w:t xml:space="preserve">than </w:t>
      </w:r>
      <w:r w:rsidR="004445DC">
        <w:t>capital</w:t>
      </w:r>
      <w:r w:rsidR="00A31B97">
        <w:t xml:space="preserve"> income. </w:t>
      </w:r>
      <w:r>
        <w:t xml:space="preserve">The labour share fell in Australia because </w:t>
      </w:r>
      <w:r w:rsidR="004445DC">
        <w:t>growth in labour</w:t>
      </w:r>
      <w:r w:rsidR="00A31B97">
        <w:t xml:space="preserve"> income </w:t>
      </w:r>
      <w:r w:rsidRPr="004445DC">
        <w:rPr>
          <w:i/>
        </w:rPr>
        <w:t xml:space="preserve">accelerated </w:t>
      </w:r>
      <w:r w:rsidR="004445DC">
        <w:rPr>
          <w:i/>
        </w:rPr>
        <w:t>less</w:t>
      </w:r>
      <w:r w:rsidR="00A31B97">
        <w:t xml:space="preserve"> than </w:t>
      </w:r>
      <w:r w:rsidR="004445DC">
        <w:t>capital</w:t>
      </w:r>
      <w:r w:rsidR="00A31B97">
        <w:t xml:space="preserve"> income.</w:t>
      </w:r>
    </w:p>
    <w:p w:rsidR="009B73E2" w:rsidRDefault="009B73E2" w:rsidP="009B73E2">
      <w:pPr>
        <w:pStyle w:val="ListBullet3"/>
      </w:pPr>
      <w:r>
        <w:t xml:space="preserve">Growth in labour income </w:t>
      </w:r>
      <w:r w:rsidR="00C3541D">
        <w:t>slowed</w:t>
      </w:r>
      <w:r>
        <w:t xml:space="preserve"> in the US, but not in Australia</w:t>
      </w:r>
      <w:r w:rsidR="00A40F69">
        <w:t>.</w:t>
      </w:r>
    </w:p>
    <w:p w:rsidR="00C24ABF" w:rsidRDefault="009B73E2" w:rsidP="006A2299">
      <w:pPr>
        <w:pStyle w:val="ListBullet2"/>
      </w:pPr>
      <w:r>
        <w:t xml:space="preserve">The income </w:t>
      </w:r>
      <w:r w:rsidR="009778FE">
        <w:t>developments</w:t>
      </w:r>
      <w:r>
        <w:t xml:space="preserve"> had d</w:t>
      </w:r>
      <w:r w:rsidR="00A31B97">
        <w:t>ifferent industry sources</w:t>
      </w:r>
      <w:r w:rsidR="009F1602">
        <w:t xml:space="preserve">. </w:t>
      </w:r>
      <w:r>
        <w:t xml:space="preserve">The </w:t>
      </w:r>
      <w:r w:rsidR="00D6130B">
        <w:t xml:space="preserve">decline </w:t>
      </w:r>
      <w:r w:rsidR="009F1602">
        <w:t xml:space="preserve">of </w:t>
      </w:r>
      <w:r w:rsidR="00CD2C9C">
        <w:t xml:space="preserve">Manufacturing </w:t>
      </w:r>
      <w:r>
        <w:t xml:space="preserve">was at the heart of the slower growth in income </w:t>
      </w:r>
      <w:r w:rsidR="009F1602">
        <w:t>in the US</w:t>
      </w:r>
      <w:r>
        <w:t xml:space="preserve"> and the shift in income away from labour</w:t>
      </w:r>
      <w:r w:rsidR="009F1602">
        <w:t>. The mining boom</w:t>
      </w:r>
      <w:r w:rsidR="009778FE">
        <w:t xml:space="preserve">, manifest in the </w:t>
      </w:r>
      <w:r w:rsidR="00CD2C9C">
        <w:t xml:space="preserve">Mining </w:t>
      </w:r>
      <w:r w:rsidR="009778FE">
        <w:t xml:space="preserve">and </w:t>
      </w:r>
      <w:r w:rsidR="00CD2C9C">
        <w:t xml:space="preserve">Construction </w:t>
      </w:r>
      <w:r w:rsidR="009778FE">
        <w:t>industries,</w:t>
      </w:r>
      <w:r w:rsidR="009F1602">
        <w:t xml:space="preserve"> </w:t>
      </w:r>
      <w:r w:rsidR="009778FE">
        <w:t xml:space="preserve">was the main source of </w:t>
      </w:r>
      <w:r w:rsidR="006A2299">
        <w:t>growth in income in Australia.</w:t>
      </w:r>
    </w:p>
    <w:sectPr w:rsidR="00C24ABF" w:rsidSect="0075263D">
      <w:headerReference w:type="even" r:id="rId18"/>
      <w:headerReference w:type="default" r:id="rId19"/>
      <w:footerReference w:type="even" r:id="rId20"/>
      <w:footerReference w:type="default" r:id="rId21"/>
      <w:pgSz w:w="11907" w:h="16840" w:code="9"/>
      <w:pgMar w:top="1985" w:right="1304" w:bottom="1418" w:left="1814" w:header="1701" w:footer="567" w:gutter="0"/>
      <w:pgNumType w:start="3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95F" w:rsidRDefault="007F695F">
      <w:r>
        <w:separator/>
      </w:r>
    </w:p>
  </w:endnote>
  <w:endnote w:type="continuationSeparator" w:id="0">
    <w:p w:rsidR="007F695F" w:rsidRDefault="007F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F695F">
      <w:trPr>
        <w:trHeight w:hRule="exact" w:val="740"/>
      </w:trPr>
      <w:tc>
        <w:tcPr>
          <w:tcW w:w="510" w:type="dxa"/>
          <w:tcBorders>
            <w:top w:val="single" w:sz="6" w:space="0" w:color="auto"/>
          </w:tcBorders>
        </w:tcPr>
        <w:p w:rsidR="007F695F" w:rsidRDefault="007F695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0297C">
            <w:rPr>
              <w:rStyle w:val="PageNumber"/>
              <w:noProof/>
            </w:rPr>
            <w:t>50</w:t>
          </w:r>
          <w:r>
            <w:rPr>
              <w:rStyle w:val="PageNumber"/>
            </w:rPr>
            <w:fldChar w:fldCharType="end"/>
          </w:r>
        </w:p>
      </w:tc>
      <w:tc>
        <w:tcPr>
          <w:tcW w:w="1644" w:type="dxa"/>
          <w:tcBorders>
            <w:top w:val="single" w:sz="6" w:space="0" w:color="auto"/>
          </w:tcBorders>
        </w:tcPr>
        <w:p w:rsidR="007F695F" w:rsidRDefault="00C0297C" w:rsidP="00AE7A60">
          <w:pPr>
            <w:pStyle w:val="Footer"/>
          </w:pPr>
          <w:r>
            <w:fldChar w:fldCharType="begin"/>
          </w:r>
          <w:r>
            <w:instrText xml:space="preserve"> SUBJECT  \* MERGEFORMAT </w:instrText>
          </w:r>
          <w:r>
            <w:fldChar w:fldCharType="separate"/>
          </w:r>
          <w:r w:rsidR="00C713B5">
            <w:t>Labour's share of growth in income and prosperity</w:t>
          </w:r>
          <w:r>
            <w:fldChar w:fldCharType="end"/>
          </w:r>
        </w:p>
      </w:tc>
      <w:tc>
        <w:tcPr>
          <w:tcW w:w="6634" w:type="dxa"/>
        </w:tcPr>
        <w:p w:rsidR="007F695F" w:rsidRDefault="007F695F" w:rsidP="0019293B">
          <w:pPr>
            <w:pStyle w:val="Footer"/>
          </w:pPr>
        </w:p>
      </w:tc>
    </w:tr>
  </w:tbl>
  <w:p w:rsidR="007F695F" w:rsidRDefault="007F695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F695F">
      <w:trPr>
        <w:trHeight w:hRule="exact" w:val="740"/>
      </w:trPr>
      <w:tc>
        <w:tcPr>
          <w:tcW w:w="6634" w:type="dxa"/>
        </w:tcPr>
        <w:p w:rsidR="007F695F" w:rsidRDefault="007F695F">
          <w:pPr>
            <w:pStyle w:val="Footer"/>
            <w:ind w:right="360" w:firstLine="360"/>
          </w:pPr>
        </w:p>
      </w:tc>
      <w:tc>
        <w:tcPr>
          <w:tcW w:w="1644" w:type="dxa"/>
          <w:tcBorders>
            <w:top w:val="single" w:sz="6" w:space="0" w:color="auto"/>
          </w:tcBorders>
        </w:tcPr>
        <w:p w:rsidR="007F695F" w:rsidRDefault="00C0297C">
          <w:pPr>
            <w:pStyle w:val="Footer"/>
          </w:pPr>
          <w:r>
            <w:fldChar w:fldCharType="begin"/>
          </w:r>
          <w:r>
            <w:instrText xml:space="preserve"> TITLE  \* MERGEFORMAT </w:instrText>
          </w:r>
          <w:r>
            <w:fldChar w:fldCharType="separate"/>
          </w:r>
          <w:r w:rsidR="00C713B5">
            <w:t>Historical and international perspectives</w:t>
          </w:r>
          <w:r>
            <w:fldChar w:fldCharType="end"/>
          </w:r>
        </w:p>
      </w:tc>
      <w:tc>
        <w:tcPr>
          <w:tcW w:w="510" w:type="dxa"/>
          <w:tcBorders>
            <w:top w:val="single" w:sz="6" w:space="0" w:color="auto"/>
          </w:tcBorders>
        </w:tcPr>
        <w:p w:rsidR="007F695F" w:rsidRDefault="007F695F">
          <w:pPr>
            <w:pStyle w:val="Footer"/>
            <w:jc w:val="right"/>
          </w:pPr>
          <w:r>
            <w:rPr>
              <w:rStyle w:val="PageNumber"/>
            </w:rPr>
            <w:fldChar w:fldCharType="begin"/>
          </w:r>
          <w:r>
            <w:rPr>
              <w:rStyle w:val="PageNumber"/>
            </w:rPr>
            <w:instrText xml:space="preserve">PAGE  </w:instrText>
          </w:r>
          <w:r>
            <w:rPr>
              <w:rStyle w:val="PageNumber"/>
            </w:rPr>
            <w:fldChar w:fldCharType="separate"/>
          </w:r>
          <w:r w:rsidR="00C0297C">
            <w:rPr>
              <w:rStyle w:val="PageNumber"/>
              <w:noProof/>
            </w:rPr>
            <w:t>37</w:t>
          </w:r>
          <w:r>
            <w:rPr>
              <w:rStyle w:val="PageNumber"/>
            </w:rPr>
            <w:fldChar w:fldCharType="end"/>
          </w:r>
        </w:p>
      </w:tc>
    </w:tr>
  </w:tbl>
  <w:p w:rsidR="007F695F" w:rsidRDefault="007F695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95F" w:rsidRDefault="007F695F">
      <w:r>
        <w:separator/>
      </w:r>
    </w:p>
  </w:footnote>
  <w:footnote w:type="continuationSeparator" w:id="0">
    <w:p w:rsidR="007F695F" w:rsidRDefault="007F695F">
      <w:r>
        <w:continuationSeparator/>
      </w:r>
    </w:p>
  </w:footnote>
  <w:footnote w:id="1">
    <w:p w:rsidR="007F695F" w:rsidRDefault="007F695F" w:rsidP="00B2539E">
      <w:pPr>
        <w:pStyle w:val="FootnoteText"/>
      </w:pPr>
      <w:r>
        <w:rPr>
          <w:rStyle w:val="FootnoteReference"/>
        </w:rPr>
        <w:footnoteRef/>
      </w:r>
      <w:r>
        <w:tab/>
        <w:t>According to ABS conventions, labour income</w:t>
      </w:r>
      <w:r w:rsidRPr="005E5909">
        <w:t xml:space="preserve"> cover</w:t>
      </w:r>
      <w:r>
        <w:t>s</w:t>
      </w:r>
      <w:r w:rsidRPr="005E5909">
        <w:t xml:space="preserve"> wages, salaries and supplements such as allowances, bonuses and overtime payments</w:t>
      </w:r>
      <w:r>
        <w:t xml:space="preserve"> and</w:t>
      </w:r>
      <w:r w:rsidRPr="005E5909">
        <w:t xml:space="preserve"> indirect payments such as employer contributions to superannuation and workers’ compensation schemes, and payments in kind. All forms of employment are included — casual, permanent, full-</w:t>
      </w:r>
      <w:r>
        <w:t xml:space="preserve"> </w:t>
      </w:r>
      <w:r w:rsidRPr="005E5909">
        <w:t>and part-time. Remuneration packages to senior executives are also included.</w:t>
      </w:r>
    </w:p>
  </w:footnote>
  <w:footnote w:id="2">
    <w:p w:rsidR="007F695F" w:rsidRDefault="007F695F" w:rsidP="00B204BF">
      <w:pPr>
        <w:pStyle w:val="FootnoteText"/>
      </w:pPr>
      <w:r>
        <w:rPr>
          <w:rStyle w:val="FootnoteReference"/>
        </w:rPr>
        <w:footnoteRef/>
      </w:r>
      <w:r>
        <w:tab/>
        <w:t>Current producer prices reflect increases in export prices received and lower import prices paid on intermediate inputs.</w:t>
      </w:r>
    </w:p>
  </w:footnote>
  <w:footnote w:id="3">
    <w:p w:rsidR="007F695F" w:rsidRDefault="007F695F" w:rsidP="00B204BF">
      <w:pPr>
        <w:pStyle w:val="FootnoteText"/>
      </w:pPr>
      <w:r>
        <w:rPr>
          <w:rStyle w:val="FootnoteReference"/>
        </w:rPr>
        <w:footnoteRef/>
      </w:r>
      <w:r>
        <w:tab/>
        <w:t xml:space="preserve">Income attributed to capital is essentially what is left over from revenue after paying for intermediate goods and services and all labour costs. </w:t>
      </w:r>
    </w:p>
  </w:footnote>
  <w:footnote w:id="4">
    <w:p w:rsidR="007F695F" w:rsidRDefault="007F695F" w:rsidP="006B14C4">
      <w:pPr>
        <w:pStyle w:val="FootnoteText"/>
      </w:pPr>
      <w:r>
        <w:rPr>
          <w:rStyle w:val="FootnoteReference"/>
        </w:rPr>
        <w:footnoteRef/>
      </w:r>
      <w:r>
        <w:tab/>
        <w:t xml:space="preserve">Another important issue that accounts for differences in estimates is industry coverage. Broad </w:t>
      </w:r>
      <w:proofErr w:type="spellStart"/>
      <w:r>
        <w:t>economy-wide</w:t>
      </w:r>
      <w:proofErr w:type="spellEnd"/>
      <w:r>
        <w:t xml:space="preserve"> estimates include owner-occupied housing, which only has a capital income component, and the government sector, for which capital income is taken not to accrue. With reliance on market sector estimates in later chapters, these issues do not arise in this paper.</w:t>
      </w:r>
    </w:p>
  </w:footnote>
  <w:footnote w:id="5">
    <w:p w:rsidR="007F695F" w:rsidRDefault="007F695F">
      <w:pPr>
        <w:pStyle w:val="FootnoteText"/>
      </w:pPr>
      <w:r>
        <w:rPr>
          <w:rStyle w:val="FootnoteReference"/>
        </w:rPr>
        <w:footnoteRef/>
      </w:r>
      <w:r>
        <w:tab/>
      </w:r>
      <w:r w:rsidRPr="00C84126">
        <w:t xml:space="preserve">For details and comparisons of imputation methods for Australian estimates see, for example, ACTU (2013), </w:t>
      </w:r>
      <w:r w:rsidR="009F54DE">
        <w:t>a</w:t>
      </w:r>
      <w:r w:rsidRPr="00C84126">
        <w:t>ppendix A.</w:t>
      </w:r>
    </w:p>
  </w:footnote>
  <w:footnote w:id="6">
    <w:p w:rsidR="007F695F" w:rsidRDefault="007F695F">
      <w:pPr>
        <w:pStyle w:val="FootnoteText"/>
      </w:pPr>
      <w:r>
        <w:rPr>
          <w:rStyle w:val="FootnoteReference"/>
        </w:rPr>
        <w:footnoteRef/>
      </w:r>
      <w:r>
        <w:tab/>
        <w:t xml:space="preserve">EC (2007) and </w:t>
      </w:r>
      <w:proofErr w:type="spellStart"/>
      <w:r>
        <w:t>Bertoli</w:t>
      </w:r>
      <w:proofErr w:type="spellEnd"/>
      <w:r>
        <w:t xml:space="preserve"> and </w:t>
      </w:r>
      <w:proofErr w:type="spellStart"/>
      <w:r>
        <w:t>Ferina</w:t>
      </w:r>
      <w:proofErr w:type="spellEnd"/>
      <w:r>
        <w:t xml:space="preserve"> (2007) provide reviews of contemporary issues and literature.</w:t>
      </w:r>
    </w:p>
  </w:footnote>
  <w:footnote w:id="7">
    <w:p w:rsidR="007F695F" w:rsidRDefault="007F695F" w:rsidP="00883B8C">
      <w:pPr>
        <w:pStyle w:val="FootnoteText"/>
      </w:pPr>
      <w:r>
        <w:rPr>
          <w:rStyle w:val="FootnoteReference"/>
        </w:rPr>
        <w:footnoteRef/>
      </w:r>
      <w:r>
        <w:tab/>
        <w:t xml:space="preserve">The constancy of the factor income shares is also known as </w:t>
      </w:r>
      <w:proofErr w:type="spellStart"/>
      <w:r>
        <w:t>Bowley’s</w:t>
      </w:r>
      <w:proofErr w:type="spellEnd"/>
      <w:r>
        <w:t xml:space="preserve"> Law, after a British statistician who drew attention to it in the </w:t>
      </w:r>
      <w:proofErr w:type="spellStart"/>
      <w:r>
        <w:t>1920s</w:t>
      </w:r>
      <w:proofErr w:type="spellEnd"/>
      <w:r>
        <w:t xml:space="preserve"> (see for example, </w:t>
      </w:r>
      <w:proofErr w:type="spellStart"/>
      <w:r>
        <w:t>Schnieder</w:t>
      </w:r>
      <w:proofErr w:type="spellEnd"/>
      <w:r>
        <w:t xml:space="preserve"> 2011).</w:t>
      </w:r>
    </w:p>
  </w:footnote>
  <w:footnote w:id="8">
    <w:p w:rsidR="007F695F" w:rsidRDefault="007F695F" w:rsidP="00883B8C">
      <w:pPr>
        <w:pStyle w:val="FootnoteText"/>
      </w:pPr>
      <w:r>
        <w:rPr>
          <w:rStyle w:val="FootnoteReference"/>
        </w:rPr>
        <w:footnoteRef/>
      </w:r>
      <w:r>
        <w:tab/>
        <w:t>This happens if the e</w:t>
      </w:r>
      <w:r w:rsidRPr="00BD6137">
        <w:t>lasticity of substitution</w:t>
      </w:r>
      <w:r>
        <w:t xml:space="preserve"> between capital and labour has a value of one (and factors are paid in line with their marginal products). The constancy of labour and capital income shares has been taken as support for the validity of the Cobb-Douglas production function and its implied unitary elasticity of substitution between labour and capital. While estimates of this elasticity vary, more recent estimates suggest that it could be well above 1 (</w:t>
      </w:r>
      <w:proofErr w:type="spellStart"/>
      <w:r>
        <w:t>Karabarbounis</w:t>
      </w:r>
      <w:proofErr w:type="spellEnd"/>
      <w:r>
        <w:t xml:space="preserve"> and Neiman 2013).</w:t>
      </w:r>
    </w:p>
  </w:footnote>
  <w:footnote w:id="9">
    <w:p w:rsidR="007F695F" w:rsidRDefault="007F695F">
      <w:pPr>
        <w:pStyle w:val="FootnoteText"/>
      </w:pPr>
      <w:r>
        <w:rPr>
          <w:rStyle w:val="FootnoteReference"/>
        </w:rPr>
        <w:footnoteRef/>
      </w:r>
      <w:r>
        <w:tab/>
      </w:r>
      <w:r w:rsidRPr="000B7EAD">
        <w:t xml:space="preserve">Of passing interest, figure 3.2 also shows the short-term variations that tend to be associated with the business cycle. </w:t>
      </w:r>
    </w:p>
  </w:footnote>
  <w:footnote w:id="10">
    <w:p w:rsidR="007F695F" w:rsidRDefault="007F695F">
      <w:pPr>
        <w:pStyle w:val="FootnoteText"/>
      </w:pPr>
      <w:r>
        <w:rPr>
          <w:rStyle w:val="FootnoteReference"/>
        </w:rPr>
        <w:footnoteRef/>
      </w:r>
      <w:r>
        <w:tab/>
        <w:t>As noted above, the labour share usually behaves in a counter-cyclical fashion. According to figure 3.2, the late-</w:t>
      </w:r>
      <w:proofErr w:type="spellStart"/>
      <w:r>
        <w:t>2000s</w:t>
      </w:r>
      <w:proofErr w:type="spellEnd"/>
      <w:r>
        <w:t xml:space="preserve"> recession only brought a temporary stay in the fall.</w:t>
      </w:r>
    </w:p>
  </w:footnote>
  <w:footnote w:id="11">
    <w:p w:rsidR="007F695F" w:rsidRDefault="007F695F">
      <w:pPr>
        <w:pStyle w:val="FootnoteText"/>
      </w:pPr>
      <w:r>
        <w:rPr>
          <w:rStyle w:val="FootnoteReference"/>
        </w:rPr>
        <w:footnoteRef/>
      </w:r>
      <w:r>
        <w:tab/>
      </w:r>
      <w:r w:rsidRPr="004A1C08">
        <w:t>Of passing note, Australia’s labour income share appears to be lower than the US share and has shown wider medium- to long-term variation. This pattern is confirmed in other sources that use comparable data. The difference in levels could be due in part to different industry mixes in the two economies.</w:t>
      </w:r>
    </w:p>
  </w:footnote>
  <w:footnote w:id="12">
    <w:p w:rsidR="007F695F" w:rsidRDefault="007F695F" w:rsidP="004A1C08">
      <w:pPr>
        <w:pStyle w:val="FootnoteText"/>
      </w:pPr>
      <w:r>
        <w:rPr>
          <w:rStyle w:val="FootnoteReference"/>
        </w:rPr>
        <w:footnoteRef/>
      </w:r>
      <w:r>
        <w:tab/>
        <w:t>Estimates in Parham et al</w:t>
      </w:r>
      <w:r w:rsidR="009F54DE">
        <w:t>.</w:t>
      </w:r>
      <w:r>
        <w:t xml:space="preserve"> (2000) commence in 1964-65 and show little change in the labour income share until around 1973-74.</w:t>
      </w:r>
    </w:p>
  </w:footnote>
  <w:footnote w:id="13">
    <w:p w:rsidR="00A63354" w:rsidRDefault="00A63354" w:rsidP="00A63354">
      <w:pPr>
        <w:pStyle w:val="FootnoteText"/>
      </w:pPr>
      <w:r>
        <w:rPr>
          <w:rStyle w:val="FootnoteReference"/>
        </w:rPr>
        <w:footnoteRef/>
      </w:r>
      <w:r>
        <w:tab/>
        <w:t>The recession around 1982-83 may also have propped up the labour share.</w:t>
      </w:r>
    </w:p>
  </w:footnote>
  <w:footnote w:id="14">
    <w:p w:rsidR="007F695F" w:rsidRDefault="007F695F">
      <w:pPr>
        <w:pStyle w:val="FootnoteText"/>
      </w:pPr>
      <w:r>
        <w:rPr>
          <w:rStyle w:val="FootnoteReference"/>
        </w:rPr>
        <w:footnoteRef/>
      </w:r>
      <w:r>
        <w:t xml:space="preserve"> Recent research </w:t>
      </w:r>
      <w:r w:rsidR="00DF78F8">
        <w:t xml:space="preserve">paper </w:t>
      </w:r>
      <w:r>
        <w:t xml:space="preserve">by Commission staff found that while there has been in increased dispersion of hourly wages and individual market incomes in Australia, all income </w:t>
      </w:r>
      <w:proofErr w:type="spellStart"/>
      <w:r>
        <w:t>deciles</w:t>
      </w:r>
      <w:proofErr w:type="spellEnd"/>
      <w:r>
        <w:t xml:space="preserve"> had experienced significant income growth o</w:t>
      </w:r>
      <w:r w:rsidR="00DF78F8">
        <w:t xml:space="preserve">ver the last decade (Greenville, </w:t>
      </w:r>
      <w:proofErr w:type="spellStart"/>
      <w:r w:rsidR="00DF78F8">
        <w:t>Pobke</w:t>
      </w:r>
      <w:proofErr w:type="spellEnd"/>
      <w:r w:rsidR="00DF78F8">
        <w:t xml:space="preserve"> and Rogers </w:t>
      </w:r>
      <w:r>
        <w:t>2013).</w:t>
      </w:r>
    </w:p>
  </w:footnote>
  <w:footnote w:id="15">
    <w:p w:rsidR="007F695F" w:rsidRDefault="007F695F" w:rsidP="002646EC">
      <w:pPr>
        <w:pStyle w:val="FootnoteText"/>
      </w:pPr>
      <w:r>
        <w:rPr>
          <w:rStyle w:val="FootnoteReference"/>
        </w:rPr>
        <w:footnoteRef/>
      </w:r>
      <w:r>
        <w:t xml:space="preserve"> This was shown for the market sector in chapter 2, but is also true for the economy in general as shown here.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F695F">
      <w:tc>
        <w:tcPr>
          <w:tcW w:w="2155" w:type="dxa"/>
          <w:tcBorders>
            <w:top w:val="single" w:sz="24" w:space="0" w:color="auto"/>
          </w:tcBorders>
        </w:tcPr>
        <w:p w:rsidR="007F695F" w:rsidRDefault="007F695F" w:rsidP="0019293B">
          <w:pPr>
            <w:pStyle w:val="HeaderEven"/>
          </w:pPr>
        </w:p>
      </w:tc>
      <w:tc>
        <w:tcPr>
          <w:tcW w:w="6634" w:type="dxa"/>
          <w:tcBorders>
            <w:top w:val="single" w:sz="6" w:space="0" w:color="auto"/>
          </w:tcBorders>
        </w:tcPr>
        <w:p w:rsidR="007F695F" w:rsidRDefault="007F695F" w:rsidP="0019293B">
          <w:pPr>
            <w:pStyle w:val="HeaderEven"/>
          </w:pPr>
        </w:p>
      </w:tc>
    </w:tr>
  </w:tbl>
  <w:p w:rsidR="007F695F" w:rsidRDefault="007F695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F695F">
      <w:tc>
        <w:tcPr>
          <w:tcW w:w="6634" w:type="dxa"/>
          <w:tcBorders>
            <w:top w:val="single" w:sz="6" w:space="0" w:color="auto"/>
          </w:tcBorders>
        </w:tcPr>
        <w:p w:rsidR="007F695F" w:rsidRDefault="007F695F" w:rsidP="00E669E2">
          <w:pPr>
            <w:pStyle w:val="HeaderOdd"/>
          </w:pPr>
        </w:p>
      </w:tc>
      <w:tc>
        <w:tcPr>
          <w:tcW w:w="2155" w:type="dxa"/>
          <w:tcBorders>
            <w:top w:val="single" w:sz="24" w:space="0" w:color="auto"/>
          </w:tcBorders>
        </w:tcPr>
        <w:p w:rsidR="007F695F" w:rsidRDefault="007F695F" w:rsidP="00E669E2">
          <w:pPr>
            <w:pStyle w:val="HeaderOdd"/>
          </w:pPr>
        </w:p>
      </w:tc>
    </w:tr>
  </w:tbl>
  <w:p w:rsidR="007F695F" w:rsidRDefault="007F695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istorical and international perspectives"/>
    <w:docVar w:name="ShortReportTitle" w:val="Labour's share of growth in income and prosperity"/>
  </w:docVars>
  <w:rsids>
    <w:rsidRoot w:val="00AE7A60"/>
    <w:rsid w:val="00011192"/>
    <w:rsid w:val="0001434A"/>
    <w:rsid w:val="00014DEB"/>
    <w:rsid w:val="00015E54"/>
    <w:rsid w:val="000227D5"/>
    <w:rsid w:val="000245AA"/>
    <w:rsid w:val="00024FCD"/>
    <w:rsid w:val="0003664B"/>
    <w:rsid w:val="000406E1"/>
    <w:rsid w:val="0004111F"/>
    <w:rsid w:val="000415F3"/>
    <w:rsid w:val="00046AAE"/>
    <w:rsid w:val="0004754B"/>
    <w:rsid w:val="00051AF8"/>
    <w:rsid w:val="000565B3"/>
    <w:rsid w:val="00066CAE"/>
    <w:rsid w:val="0007150B"/>
    <w:rsid w:val="00075963"/>
    <w:rsid w:val="000844B9"/>
    <w:rsid w:val="000848DD"/>
    <w:rsid w:val="000938F5"/>
    <w:rsid w:val="000939BB"/>
    <w:rsid w:val="00094DCC"/>
    <w:rsid w:val="00096E55"/>
    <w:rsid w:val="00096EC4"/>
    <w:rsid w:val="000A2039"/>
    <w:rsid w:val="000A2991"/>
    <w:rsid w:val="000A35EE"/>
    <w:rsid w:val="000A5C84"/>
    <w:rsid w:val="000A77F5"/>
    <w:rsid w:val="000B2B9F"/>
    <w:rsid w:val="000B4E18"/>
    <w:rsid w:val="000B601B"/>
    <w:rsid w:val="000B7EAD"/>
    <w:rsid w:val="000C207E"/>
    <w:rsid w:val="000C5E6E"/>
    <w:rsid w:val="000D18B9"/>
    <w:rsid w:val="000D4987"/>
    <w:rsid w:val="000D7342"/>
    <w:rsid w:val="000E4BC4"/>
    <w:rsid w:val="000E5772"/>
    <w:rsid w:val="000E7724"/>
    <w:rsid w:val="000F0035"/>
    <w:rsid w:val="000F420B"/>
    <w:rsid w:val="001004F9"/>
    <w:rsid w:val="00107337"/>
    <w:rsid w:val="001074D7"/>
    <w:rsid w:val="00110116"/>
    <w:rsid w:val="001109DF"/>
    <w:rsid w:val="00114222"/>
    <w:rsid w:val="00114CDF"/>
    <w:rsid w:val="00120072"/>
    <w:rsid w:val="001258AA"/>
    <w:rsid w:val="001266E0"/>
    <w:rsid w:val="00126E1C"/>
    <w:rsid w:val="00126EB8"/>
    <w:rsid w:val="001274D4"/>
    <w:rsid w:val="00131BB8"/>
    <w:rsid w:val="00132C8B"/>
    <w:rsid w:val="00133E5E"/>
    <w:rsid w:val="001363AA"/>
    <w:rsid w:val="00144706"/>
    <w:rsid w:val="001705D3"/>
    <w:rsid w:val="00175136"/>
    <w:rsid w:val="00175C1D"/>
    <w:rsid w:val="00177053"/>
    <w:rsid w:val="00177FB9"/>
    <w:rsid w:val="0018062B"/>
    <w:rsid w:val="001821FB"/>
    <w:rsid w:val="00183E82"/>
    <w:rsid w:val="00184797"/>
    <w:rsid w:val="00187864"/>
    <w:rsid w:val="001878BB"/>
    <w:rsid w:val="00191AE0"/>
    <w:rsid w:val="0019293B"/>
    <w:rsid w:val="00195BD3"/>
    <w:rsid w:val="00197237"/>
    <w:rsid w:val="001A0A1A"/>
    <w:rsid w:val="001A1BDF"/>
    <w:rsid w:val="001A269D"/>
    <w:rsid w:val="001A4631"/>
    <w:rsid w:val="001B4482"/>
    <w:rsid w:val="001C0865"/>
    <w:rsid w:val="001C3ABA"/>
    <w:rsid w:val="001C4B4C"/>
    <w:rsid w:val="001C60A3"/>
    <w:rsid w:val="001C75E5"/>
    <w:rsid w:val="001D27F6"/>
    <w:rsid w:val="001D54AE"/>
    <w:rsid w:val="001D72C2"/>
    <w:rsid w:val="001D795B"/>
    <w:rsid w:val="001E181F"/>
    <w:rsid w:val="001E789F"/>
    <w:rsid w:val="001E7BE8"/>
    <w:rsid w:val="001F0248"/>
    <w:rsid w:val="001F1431"/>
    <w:rsid w:val="001F3EB3"/>
    <w:rsid w:val="001F4F26"/>
    <w:rsid w:val="001F4F86"/>
    <w:rsid w:val="001F6A00"/>
    <w:rsid w:val="002015FF"/>
    <w:rsid w:val="00201E64"/>
    <w:rsid w:val="00202C2C"/>
    <w:rsid w:val="00204737"/>
    <w:rsid w:val="00206E91"/>
    <w:rsid w:val="002135AB"/>
    <w:rsid w:val="002144BE"/>
    <w:rsid w:val="00220B7F"/>
    <w:rsid w:val="00220E2E"/>
    <w:rsid w:val="00225BF6"/>
    <w:rsid w:val="002360A9"/>
    <w:rsid w:val="00236819"/>
    <w:rsid w:val="00237150"/>
    <w:rsid w:val="00241C99"/>
    <w:rsid w:val="00242279"/>
    <w:rsid w:val="00245C82"/>
    <w:rsid w:val="002463C0"/>
    <w:rsid w:val="00250622"/>
    <w:rsid w:val="00260445"/>
    <w:rsid w:val="002646EC"/>
    <w:rsid w:val="00267386"/>
    <w:rsid w:val="00273485"/>
    <w:rsid w:val="00274EC7"/>
    <w:rsid w:val="00276446"/>
    <w:rsid w:val="00276C7A"/>
    <w:rsid w:val="002814D9"/>
    <w:rsid w:val="00285CE6"/>
    <w:rsid w:val="00290B8F"/>
    <w:rsid w:val="00290B94"/>
    <w:rsid w:val="00291B40"/>
    <w:rsid w:val="002935D1"/>
    <w:rsid w:val="002A3BBD"/>
    <w:rsid w:val="002A4C51"/>
    <w:rsid w:val="002A62E9"/>
    <w:rsid w:val="002B4008"/>
    <w:rsid w:val="002B7305"/>
    <w:rsid w:val="002C4974"/>
    <w:rsid w:val="002C720E"/>
    <w:rsid w:val="002D0E8E"/>
    <w:rsid w:val="002D5B3A"/>
    <w:rsid w:val="002E22C3"/>
    <w:rsid w:val="002E501B"/>
    <w:rsid w:val="002E590F"/>
    <w:rsid w:val="00301189"/>
    <w:rsid w:val="00303F7E"/>
    <w:rsid w:val="00306323"/>
    <w:rsid w:val="00306563"/>
    <w:rsid w:val="00307C9A"/>
    <w:rsid w:val="003127A3"/>
    <w:rsid w:val="00312DC4"/>
    <w:rsid w:val="0032196A"/>
    <w:rsid w:val="00323E09"/>
    <w:rsid w:val="0032712C"/>
    <w:rsid w:val="00332700"/>
    <w:rsid w:val="00333916"/>
    <w:rsid w:val="00333932"/>
    <w:rsid w:val="00336DA2"/>
    <w:rsid w:val="003421C2"/>
    <w:rsid w:val="003435FC"/>
    <w:rsid w:val="00345CF3"/>
    <w:rsid w:val="003518AA"/>
    <w:rsid w:val="00352165"/>
    <w:rsid w:val="00353182"/>
    <w:rsid w:val="00355A7D"/>
    <w:rsid w:val="003565D9"/>
    <w:rsid w:val="003602E1"/>
    <w:rsid w:val="003636FB"/>
    <w:rsid w:val="003644FA"/>
    <w:rsid w:val="0037026F"/>
    <w:rsid w:val="00371240"/>
    <w:rsid w:val="00374731"/>
    <w:rsid w:val="00375F2A"/>
    <w:rsid w:val="00376E59"/>
    <w:rsid w:val="00376F6E"/>
    <w:rsid w:val="00377401"/>
    <w:rsid w:val="0038069A"/>
    <w:rsid w:val="0038307A"/>
    <w:rsid w:val="003855DC"/>
    <w:rsid w:val="0038617E"/>
    <w:rsid w:val="003919F9"/>
    <w:rsid w:val="00391B9F"/>
    <w:rsid w:val="00392E1F"/>
    <w:rsid w:val="003970D7"/>
    <w:rsid w:val="003A61A1"/>
    <w:rsid w:val="003B2299"/>
    <w:rsid w:val="003B42C9"/>
    <w:rsid w:val="003B64EF"/>
    <w:rsid w:val="003C172A"/>
    <w:rsid w:val="003C21EF"/>
    <w:rsid w:val="003C38B5"/>
    <w:rsid w:val="003C4EAE"/>
    <w:rsid w:val="003C5D99"/>
    <w:rsid w:val="003C6E5D"/>
    <w:rsid w:val="003D3436"/>
    <w:rsid w:val="003E1423"/>
    <w:rsid w:val="003E2F59"/>
    <w:rsid w:val="003E57F1"/>
    <w:rsid w:val="003E67E0"/>
    <w:rsid w:val="003E75CB"/>
    <w:rsid w:val="003E7CD3"/>
    <w:rsid w:val="003F0789"/>
    <w:rsid w:val="003F3354"/>
    <w:rsid w:val="003F5559"/>
    <w:rsid w:val="00401882"/>
    <w:rsid w:val="00402D53"/>
    <w:rsid w:val="004100C8"/>
    <w:rsid w:val="00411A91"/>
    <w:rsid w:val="00411DBD"/>
    <w:rsid w:val="00412ACE"/>
    <w:rsid w:val="00417C49"/>
    <w:rsid w:val="004261E2"/>
    <w:rsid w:val="00426C45"/>
    <w:rsid w:val="00431249"/>
    <w:rsid w:val="00433382"/>
    <w:rsid w:val="00434C19"/>
    <w:rsid w:val="004351E4"/>
    <w:rsid w:val="0043705F"/>
    <w:rsid w:val="0044217D"/>
    <w:rsid w:val="004445DC"/>
    <w:rsid w:val="00445F3D"/>
    <w:rsid w:val="00447513"/>
    <w:rsid w:val="00447891"/>
    <w:rsid w:val="00450810"/>
    <w:rsid w:val="004528BB"/>
    <w:rsid w:val="00454A5F"/>
    <w:rsid w:val="00457959"/>
    <w:rsid w:val="00461269"/>
    <w:rsid w:val="0046433F"/>
    <w:rsid w:val="00466389"/>
    <w:rsid w:val="00473CA3"/>
    <w:rsid w:val="00474460"/>
    <w:rsid w:val="00477144"/>
    <w:rsid w:val="00480357"/>
    <w:rsid w:val="004853A5"/>
    <w:rsid w:val="00487DB2"/>
    <w:rsid w:val="00491380"/>
    <w:rsid w:val="0049459F"/>
    <w:rsid w:val="004957A4"/>
    <w:rsid w:val="0049773F"/>
    <w:rsid w:val="004A1463"/>
    <w:rsid w:val="004A1C08"/>
    <w:rsid w:val="004A2634"/>
    <w:rsid w:val="004A38DD"/>
    <w:rsid w:val="004B43AE"/>
    <w:rsid w:val="004B7FAA"/>
    <w:rsid w:val="004C1393"/>
    <w:rsid w:val="004C30ED"/>
    <w:rsid w:val="004D1E46"/>
    <w:rsid w:val="004D3DF4"/>
    <w:rsid w:val="004D41B5"/>
    <w:rsid w:val="004D5675"/>
    <w:rsid w:val="004D5F0A"/>
    <w:rsid w:val="004D7881"/>
    <w:rsid w:val="004E230D"/>
    <w:rsid w:val="004E7AEA"/>
    <w:rsid w:val="004F5428"/>
    <w:rsid w:val="00501666"/>
    <w:rsid w:val="005030AC"/>
    <w:rsid w:val="005046AF"/>
    <w:rsid w:val="00510D42"/>
    <w:rsid w:val="00513604"/>
    <w:rsid w:val="005137A3"/>
    <w:rsid w:val="005233C3"/>
    <w:rsid w:val="00523639"/>
    <w:rsid w:val="0052690D"/>
    <w:rsid w:val="00531FE5"/>
    <w:rsid w:val="0053208A"/>
    <w:rsid w:val="005365D5"/>
    <w:rsid w:val="005402FA"/>
    <w:rsid w:val="00540B8D"/>
    <w:rsid w:val="005413FA"/>
    <w:rsid w:val="0054221F"/>
    <w:rsid w:val="00542BE1"/>
    <w:rsid w:val="00552342"/>
    <w:rsid w:val="00552AEE"/>
    <w:rsid w:val="005650AD"/>
    <w:rsid w:val="00565C54"/>
    <w:rsid w:val="00570886"/>
    <w:rsid w:val="00571693"/>
    <w:rsid w:val="00573D04"/>
    <w:rsid w:val="00574DF5"/>
    <w:rsid w:val="00576941"/>
    <w:rsid w:val="0058101D"/>
    <w:rsid w:val="0058159D"/>
    <w:rsid w:val="00583C39"/>
    <w:rsid w:val="00584A26"/>
    <w:rsid w:val="00587F28"/>
    <w:rsid w:val="005909CF"/>
    <w:rsid w:val="00591E71"/>
    <w:rsid w:val="00594682"/>
    <w:rsid w:val="0059597D"/>
    <w:rsid w:val="005A0D41"/>
    <w:rsid w:val="005A3945"/>
    <w:rsid w:val="005A7197"/>
    <w:rsid w:val="005B1416"/>
    <w:rsid w:val="005B278D"/>
    <w:rsid w:val="005B69D9"/>
    <w:rsid w:val="005B7516"/>
    <w:rsid w:val="005C3281"/>
    <w:rsid w:val="005C38C0"/>
    <w:rsid w:val="005C38D0"/>
    <w:rsid w:val="005D38A4"/>
    <w:rsid w:val="005D48B0"/>
    <w:rsid w:val="005E02AD"/>
    <w:rsid w:val="005E2D74"/>
    <w:rsid w:val="005E4C15"/>
    <w:rsid w:val="005E5909"/>
    <w:rsid w:val="005E61E5"/>
    <w:rsid w:val="005E7DA1"/>
    <w:rsid w:val="005F4C84"/>
    <w:rsid w:val="00600485"/>
    <w:rsid w:val="00607BF1"/>
    <w:rsid w:val="006235BC"/>
    <w:rsid w:val="006236C2"/>
    <w:rsid w:val="00630D4D"/>
    <w:rsid w:val="00632A74"/>
    <w:rsid w:val="0063342C"/>
    <w:rsid w:val="00634B70"/>
    <w:rsid w:val="00640041"/>
    <w:rsid w:val="006522FA"/>
    <w:rsid w:val="0066007C"/>
    <w:rsid w:val="00660D04"/>
    <w:rsid w:val="00660E02"/>
    <w:rsid w:val="00667A52"/>
    <w:rsid w:val="0067594E"/>
    <w:rsid w:val="00676E17"/>
    <w:rsid w:val="006824EB"/>
    <w:rsid w:val="00682A13"/>
    <w:rsid w:val="00683740"/>
    <w:rsid w:val="00691B4E"/>
    <w:rsid w:val="00693C7A"/>
    <w:rsid w:val="00694B58"/>
    <w:rsid w:val="00695DAF"/>
    <w:rsid w:val="00696C89"/>
    <w:rsid w:val="006A0539"/>
    <w:rsid w:val="006A2299"/>
    <w:rsid w:val="006A402D"/>
    <w:rsid w:val="006A4655"/>
    <w:rsid w:val="006B14C4"/>
    <w:rsid w:val="006B2B3C"/>
    <w:rsid w:val="006C1D81"/>
    <w:rsid w:val="006C2195"/>
    <w:rsid w:val="006C6D8E"/>
    <w:rsid w:val="006C7038"/>
    <w:rsid w:val="006C754E"/>
    <w:rsid w:val="006C79AF"/>
    <w:rsid w:val="006E73EF"/>
    <w:rsid w:val="006E75D5"/>
    <w:rsid w:val="006F2468"/>
    <w:rsid w:val="006F2D97"/>
    <w:rsid w:val="006F6AAA"/>
    <w:rsid w:val="006F6CF0"/>
    <w:rsid w:val="00706603"/>
    <w:rsid w:val="00706AD3"/>
    <w:rsid w:val="00711099"/>
    <w:rsid w:val="00714D4D"/>
    <w:rsid w:val="00721025"/>
    <w:rsid w:val="007255CE"/>
    <w:rsid w:val="00747817"/>
    <w:rsid w:val="007501CB"/>
    <w:rsid w:val="00751B83"/>
    <w:rsid w:val="0075263D"/>
    <w:rsid w:val="007604BB"/>
    <w:rsid w:val="0076277D"/>
    <w:rsid w:val="00772A50"/>
    <w:rsid w:val="007816B2"/>
    <w:rsid w:val="00785232"/>
    <w:rsid w:val="0079588E"/>
    <w:rsid w:val="007A21EB"/>
    <w:rsid w:val="007A7525"/>
    <w:rsid w:val="007B1A93"/>
    <w:rsid w:val="007B5893"/>
    <w:rsid w:val="007C36C9"/>
    <w:rsid w:val="007C4BD9"/>
    <w:rsid w:val="007C5BF4"/>
    <w:rsid w:val="007D02F7"/>
    <w:rsid w:val="007D2239"/>
    <w:rsid w:val="007D4C49"/>
    <w:rsid w:val="007D546D"/>
    <w:rsid w:val="007D6401"/>
    <w:rsid w:val="007E01E4"/>
    <w:rsid w:val="007E74C9"/>
    <w:rsid w:val="007F04AF"/>
    <w:rsid w:val="007F0B78"/>
    <w:rsid w:val="007F3972"/>
    <w:rsid w:val="007F39F8"/>
    <w:rsid w:val="007F4555"/>
    <w:rsid w:val="007F5F9C"/>
    <w:rsid w:val="007F695F"/>
    <w:rsid w:val="007F7107"/>
    <w:rsid w:val="007F7B3D"/>
    <w:rsid w:val="007F7C3D"/>
    <w:rsid w:val="00800D4C"/>
    <w:rsid w:val="0080715F"/>
    <w:rsid w:val="0081030F"/>
    <w:rsid w:val="008123D1"/>
    <w:rsid w:val="008129BB"/>
    <w:rsid w:val="00820083"/>
    <w:rsid w:val="0082087D"/>
    <w:rsid w:val="008332E9"/>
    <w:rsid w:val="0083519E"/>
    <w:rsid w:val="00835771"/>
    <w:rsid w:val="00836E2B"/>
    <w:rsid w:val="00842933"/>
    <w:rsid w:val="008539A1"/>
    <w:rsid w:val="00854A53"/>
    <w:rsid w:val="00857542"/>
    <w:rsid w:val="0086082C"/>
    <w:rsid w:val="00864ADC"/>
    <w:rsid w:val="008710B7"/>
    <w:rsid w:val="00875BCD"/>
    <w:rsid w:val="00875DA6"/>
    <w:rsid w:val="00880153"/>
    <w:rsid w:val="00880F97"/>
    <w:rsid w:val="008811C6"/>
    <w:rsid w:val="0088133A"/>
    <w:rsid w:val="00883B8C"/>
    <w:rsid w:val="00884FD6"/>
    <w:rsid w:val="00892415"/>
    <w:rsid w:val="0089285E"/>
    <w:rsid w:val="0089436C"/>
    <w:rsid w:val="008A2F09"/>
    <w:rsid w:val="008A6472"/>
    <w:rsid w:val="008C6C43"/>
    <w:rsid w:val="008D365C"/>
    <w:rsid w:val="008D7790"/>
    <w:rsid w:val="008E6F9A"/>
    <w:rsid w:val="008F1436"/>
    <w:rsid w:val="008F3DBA"/>
    <w:rsid w:val="008F58A0"/>
    <w:rsid w:val="008F6882"/>
    <w:rsid w:val="009030BF"/>
    <w:rsid w:val="0091024F"/>
    <w:rsid w:val="0091032F"/>
    <w:rsid w:val="00912FB1"/>
    <w:rsid w:val="0091375A"/>
    <w:rsid w:val="00914368"/>
    <w:rsid w:val="00916EB9"/>
    <w:rsid w:val="009203F8"/>
    <w:rsid w:val="009237B2"/>
    <w:rsid w:val="00931076"/>
    <w:rsid w:val="00931F9D"/>
    <w:rsid w:val="009345D9"/>
    <w:rsid w:val="00934B15"/>
    <w:rsid w:val="00940C87"/>
    <w:rsid w:val="00942B62"/>
    <w:rsid w:val="00945BBB"/>
    <w:rsid w:val="00946988"/>
    <w:rsid w:val="00952E89"/>
    <w:rsid w:val="0095323B"/>
    <w:rsid w:val="009534C3"/>
    <w:rsid w:val="0095657B"/>
    <w:rsid w:val="00956A0C"/>
    <w:rsid w:val="00956BD9"/>
    <w:rsid w:val="00960694"/>
    <w:rsid w:val="00962489"/>
    <w:rsid w:val="0097023B"/>
    <w:rsid w:val="00971C34"/>
    <w:rsid w:val="00972E13"/>
    <w:rsid w:val="00973565"/>
    <w:rsid w:val="009778FE"/>
    <w:rsid w:val="00981EA8"/>
    <w:rsid w:val="00982022"/>
    <w:rsid w:val="009879CE"/>
    <w:rsid w:val="00990C2C"/>
    <w:rsid w:val="00992CF0"/>
    <w:rsid w:val="009A086C"/>
    <w:rsid w:val="009A2825"/>
    <w:rsid w:val="009A3D83"/>
    <w:rsid w:val="009A604B"/>
    <w:rsid w:val="009B032C"/>
    <w:rsid w:val="009B126D"/>
    <w:rsid w:val="009B41BB"/>
    <w:rsid w:val="009B4EA1"/>
    <w:rsid w:val="009B6CC6"/>
    <w:rsid w:val="009B73E2"/>
    <w:rsid w:val="009C3842"/>
    <w:rsid w:val="009C3B52"/>
    <w:rsid w:val="009C4085"/>
    <w:rsid w:val="009D3937"/>
    <w:rsid w:val="009E022B"/>
    <w:rsid w:val="009E13CD"/>
    <w:rsid w:val="009E1844"/>
    <w:rsid w:val="009E710A"/>
    <w:rsid w:val="009F0D1B"/>
    <w:rsid w:val="009F1602"/>
    <w:rsid w:val="009F54DE"/>
    <w:rsid w:val="009F696D"/>
    <w:rsid w:val="009F6BC6"/>
    <w:rsid w:val="00A00342"/>
    <w:rsid w:val="00A004BF"/>
    <w:rsid w:val="00A03FA4"/>
    <w:rsid w:val="00A15A41"/>
    <w:rsid w:val="00A15E66"/>
    <w:rsid w:val="00A16153"/>
    <w:rsid w:val="00A17328"/>
    <w:rsid w:val="00A22EC9"/>
    <w:rsid w:val="00A23A20"/>
    <w:rsid w:val="00A23C2F"/>
    <w:rsid w:val="00A24C02"/>
    <w:rsid w:val="00A268B9"/>
    <w:rsid w:val="00A2703A"/>
    <w:rsid w:val="00A30DEA"/>
    <w:rsid w:val="00A31B97"/>
    <w:rsid w:val="00A31D9A"/>
    <w:rsid w:val="00A32684"/>
    <w:rsid w:val="00A32788"/>
    <w:rsid w:val="00A33DFF"/>
    <w:rsid w:val="00A35115"/>
    <w:rsid w:val="00A36D9A"/>
    <w:rsid w:val="00A40F69"/>
    <w:rsid w:val="00A432DA"/>
    <w:rsid w:val="00A44201"/>
    <w:rsid w:val="00A52709"/>
    <w:rsid w:val="00A549A1"/>
    <w:rsid w:val="00A554AB"/>
    <w:rsid w:val="00A57062"/>
    <w:rsid w:val="00A62D2A"/>
    <w:rsid w:val="00A63354"/>
    <w:rsid w:val="00A63EC0"/>
    <w:rsid w:val="00A77C69"/>
    <w:rsid w:val="00A83086"/>
    <w:rsid w:val="00A84B73"/>
    <w:rsid w:val="00A8718A"/>
    <w:rsid w:val="00A91E7F"/>
    <w:rsid w:val="00A92B53"/>
    <w:rsid w:val="00A94FA6"/>
    <w:rsid w:val="00A95512"/>
    <w:rsid w:val="00AA49A0"/>
    <w:rsid w:val="00AA6108"/>
    <w:rsid w:val="00AA6710"/>
    <w:rsid w:val="00AA7162"/>
    <w:rsid w:val="00AB0681"/>
    <w:rsid w:val="00AB468D"/>
    <w:rsid w:val="00AB62ED"/>
    <w:rsid w:val="00AB64F7"/>
    <w:rsid w:val="00AB742E"/>
    <w:rsid w:val="00AC2034"/>
    <w:rsid w:val="00AD0925"/>
    <w:rsid w:val="00AD520B"/>
    <w:rsid w:val="00AD5E80"/>
    <w:rsid w:val="00AE17D3"/>
    <w:rsid w:val="00AE1841"/>
    <w:rsid w:val="00AE2D61"/>
    <w:rsid w:val="00AE406A"/>
    <w:rsid w:val="00AE629A"/>
    <w:rsid w:val="00AE7A60"/>
    <w:rsid w:val="00AF1451"/>
    <w:rsid w:val="00B01F9D"/>
    <w:rsid w:val="00B068E5"/>
    <w:rsid w:val="00B204BF"/>
    <w:rsid w:val="00B2539E"/>
    <w:rsid w:val="00B266A1"/>
    <w:rsid w:val="00B33E50"/>
    <w:rsid w:val="00B34C87"/>
    <w:rsid w:val="00B36B6D"/>
    <w:rsid w:val="00B37327"/>
    <w:rsid w:val="00B425C3"/>
    <w:rsid w:val="00B440AD"/>
    <w:rsid w:val="00B466A2"/>
    <w:rsid w:val="00B53081"/>
    <w:rsid w:val="00B53A4B"/>
    <w:rsid w:val="00B53E7E"/>
    <w:rsid w:val="00B55339"/>
    <w:rsid w:val="00B62802"/>
    <w:rsid w:val="00B6342E"/>
    <w:rsid w:val="00B65D1A"/>
    <w:rsid w:val="00B65E61"/>
    <w:rsid w:val="00B7030C"/>
    <w:rsid w:val="00B7113F"/>
    <w:rsid w:val="00B717A9"/>
    <w:rsid w:val="00B900DC"/>
    <w:rsid w:val="00B9028C"/>
    <w:rsid w:val="00B912C5"/>
    <w:rsid w:val="00B97659"/>
    <w:rsid w:val="00BA73B6"/>
    <w:rsid w:val="00BA7E27"/>
    <w:rsid w:val="00BB2603"/>
    <w:rsid w:val="00BB399D"/>
    <w:rsid w:val="00BB4FCD"/>
    <w:rsid w:val="00BB59FD"/>
    <w:rsid w:val="00BC04E9"/>
    <w:rsid w:val="00BC35FC"/>
    <w:rsid w:val="00BC758B"/>
    <w:rsid w:val="00BD13EA"/>
    <w:rsid w:val="00BD23D9"/>
    <w:rsid w:val="00BD7005"/>
    <w:rsid w:val="00BD7B10"/>
    <w:rsid w:val="00BE193C"/>
    <w:rsid w:val="00BE2153"/>
    <w:rsid w:val="00BE3808"/>
    <w:rsid w:val="00BF6EB5"/>
    <w:rsid w:val="00C014A1"/>
    <w:rsid w:val="00C0297C"/>
    <w:rsid w:val="00C062E9"/>
    <w:rsid w:val="00C07B64"/>
    <w:rsid w:val="00C13721"/>
    <w:rsid w:val="00C14FE4"/>
    <w:rsid w:val="00C237FB"/>
    <w:rsid w:val="00C24ABF"/>
    <w:rsid w:val="00C27525"/>
    <w:rsid w:val="00C3066D"/>
    <w:rsid w:val="00C307F8"/>
    <w:rsid w:val="00C32FB1"/>
    <w:rsid w:val="00C34ABA"/>
    <w:rsid w:val="00C3541D"/>
    <w:rsid w:val="00C36CD5"/>
    <w:rsid w:val="00C431EF"/>
    <w:rsid w:val="00C448EC"/>
    <w:rsid w:val="00C47BA2"/>
    <w:rsid w:val="00C47E26"/>
    <w:rsid w:val="00C50840"/>
    <w:rsid w:val="00C5101B"/>
    <w:rsid w:val="00C52416"/>
    <w:rsid w:val="00C543F4"/>
    <w:rsid w:val="00C54E39"/>
    <w:rsid w:val="00C55902"/>
    <w:rsid w:val="00C561B3"/>
    <w:rsid w:val="00C56F14"/>
    <w:rsid w:val="00C620C9"/>
    <w:rsid w:val="00C6215F"/>
    <w:rsid w:val="00C6291C"/>
    <w:rsid w:val="00C633CB"/>
    <w:rsid w:val="00C63EF7"/>
    <w:rsid w:val="00C63F89"/>
    <w:rsid w:val="00C65F83"/>
    <w:rsid w:val="00C7044A"/>
    <w:rsid w:val="00C713B5"/>
    <w:rsid w:val="00C736B7"/>
    <w:rsid w:val="00C74947"/>
    <w:rsid w:val="00C74A66"/>
    <w:rsid w:val="00C81D4A"/>
    <w:rsid w:val="00C84126"/>
    <w:rsid w:val="00C8762C"/>
    <w:rsid w:val="00C90DAE"/>
    <w:rsid w:val="00C9417E"/>
    <w:rsid w:val="00CA00F9"/>
    <w:rsid w:val="00CA215E"/>
    <w:rsid w:val="00CA2961"/>
    <w:rsid w:val="00CA537E"/>
    <w:rsid w:val="00CA67EA"/>
    <w:rsid w:val="00CA6BBD"/>
    <w:rsid w:val="00CB0FEF"/>
    <w:rsid w:val="00CB41B3"/>
    <w:rsid w:val="00CB50D7"/>
    <w:rsid w:val="00CB5B9E"/>
    <w:rsid w:val="00CB6215"/>
    <w:rsid w:val="00CB7177"/>
    <w:rsid w:val="00CC17EB"/>
    <w:rsid w:val="00CC1998"/>
    <w:rsid w:val="00CC4946"/>
    <w:rsid w:val="00CC5098"/>
    <w:rsid w:val="00CD072D"/>
    <w:rsid w:val="00CD0DDA"/>
    <w:rsid w:val="00CD2C9C"/>
    <w:rsid w:val="00CD35DA"/>
    <w:rsid w:val="00CE2C00"/>
    <w:rsid w:val="00CF22C4"/>
    <w:rsid w:val="00CF48F4"/>
    <w:rsid w:val="00D00313"/>
    <w:rsid w:val="00D033CB"/>
    <w:rsid w:val="00D03722"/>
    <w:rsid w:val="00D179C2"/>
    <w:rsid w:val="00D201A4"/>
    <w:rsid w:val="00D203F4"/>
    <w:rsid w:val="00D2293F"/>
    <w:rsid w:val="00D25BA3"/>
    <w:rsid w:val="00D270A4"/>
    <w:rsid w:val="00D31972"/>
    <w:rsid w:val="00D31FE9"/>
    <w:rsid w:val="00D34E1B"/>
    <w:rsid w:val="00D376BA"/>
    <w:rsid w:val="00D45634"/>
    <w:rsid w:val="00D47604"/>
    <w:rsid w:val="00D5568A"/>
    <w:rsid w:val="00D55B9A"/>
    <w:rsid w:val="00D60ED3"/>
    <w:rsid w:val="00D6130B"/>
    <w:rsid w:val="00D61637"/>
    <w:rsid w:val="00D61696"/>
    <w:rsid w:val="00D6221B"/>
    <w:rsid w:val="00D63D73"/>
    <w:rsid w:val="00D64452"/>
    <w:rsid w:val="00D66E1E"/>
    <w:rsid w:val="00D67B30"/>
    <w:rsid w:val="00D73BD8"/>
    <w:rsid w:val="00D754C7"/>
    <w:rsid w:val="00D75722"/>
    <w:rsid w:val="00D762B9"/>
    <w:rsid w:val="00D7713C"/>
    <w:rsid w:val="00D80743"/>
    <w:rsid w:val="00D80CF5"/>
    <w:rsid w:val="00D832B5"/>
    <w:rsid w:val="00D84320"/>
    <w:rsid w:val="00D84933"/>
    <w:rsid w:val="00D879C4"/>
    <w:rsid w:val="00DA06F6"/>
    <w:rsid w:val="00DA2670"/>
    <w:rsid w:val="00DA45BD"/>
    <w:rsid w:val="00DA5BBA"/>
    <w:rsid w:val="00DA759B"/>
    <w:rsid w:val="00DB26D2"/>
    <w:rsid w:val="00DB3B60"/>
    <w:rsid w:val="00DB559C"/>
    <w:rsid w:val="00DB67C9"/>
    <w:rsid w:val="00DC0C95"/>
    <w:rsid w:val="00DC48E3"/>
    <w:rsid w:val="00DC5EF4"/>
    <w:rsid w:val="00DD4411"/>
    <w:rsid w:val="00DD6580"/>
    <w:rsid w:val="00DE1D44"/>
    <w:rsid w:val="00DE3325"/>
    <w:rsid w:val="00DE5ABC"/>
    <w:rsid w:val="00DE62A1"/>
    <w:rsid w:val="00DE70A7"/>
    <w:rsid w:val="00DF0E43"/>
    <w:rsid w:val="00DF21A8"/>
    <w:rsid w:val="00DF3BDA"/>
    <w:rsid w:val="00DF41B0"/>
    <w:rsid w:val="00DF59E9"/>
    <w:rsid w:val="00DF78F8"/>
    <w:rsid w:val="00E021C4"/>
    <w:rsid w:val="00E04188"/>
    <w:rsid w:val="00E17229"/>
    <w:rsid w:val="00E17C72"/>
    <w:rsid w:val="00E21FC6"/>
    <w:rsid w:val="00E22384"/>
    <w:rsid w:val="00E23B77"/>
    <w:rsid w:val="00E25F10"/>
    <w:rsid w:val="00E26A3F"/>
    <w:rsid w:val="00E31B1F"/>
    <w:rsid w:val="00E32889"/>
    <w:rsid w:val="00E3470A"/>
    <w:rsid w:val="00E41841"/>
    <w:rsid w:val="00E431A9"/>
    <w:rsid w:val="00E472C5"/>
    <w:rsid w:val="00E47800"/>
    <w:rsid w:val="00E47936"/>
    <w:rsid w:val="00E5257C"/>
    <w:rsid w:val="00E54FD8"/>
    <w:rsid w:val="00E5618E"/>
    <w:rsid w:val="00E56BD0"/>
    <w:rsid w:val="00E61409"/>
    <w:rsid w:val="00E62FB4"/>
    <w:rsid w:val="00E63789"/>
    <w:rsid w:val="00E669E2"/>
    <w:rsid w:val="00E66B0C"/>
    <w:rsid w:val="00E74082"/>
    <w:rsid w:val="00E76135"/>
    <w:rsid w:val="00E80FBA"/>
    <w:rsid w:val="00E82F4F"/>
    <w:rsid w:val="00E84235"/>
    <w:rsid w:val="00E92120"/>
    <w:rsid w:val="00E92278"/>
    <w:rsid w:val="00EA0C33"/>
    <w:rsid w:val="00EB11D9"/>
    <w:rsid w:val="00EC1E12"/>
    <w:rsid w:val="00EC2844"/>
    <w:rsid w:val="00EC4181"/>
    <w:rsid w:val="00EC5500"/>
    <w:rsid w:val="00EC6B8D"/>
    <w:rsid w:val="00EC7010"/>
    <w:rsid w:val="00ED17DA"/>
    <w:rsid w:val="00ED4B39"/>
    <w:rsid w:val="00ED7B90"/>
    <w:rsid w:val="00EE563E"/>
    <w:rsid w:val="00EF1A46"/>
    <w:rsid w:val="00EF277A"/>
    <w:rsid w:val="00EF6C6C"/>
    <w:rsid w:val="00F04AEE"/>
    <w:rsid w:val="00F04D03"/>
    <w:rsid w:val="00F056FC"/>
    <w:rsid w:val="00F075D8"/>
    <w:rsid w:val="00F10476"/>
    <w:rsid w:val="00F10F4E"/>
    <w:rsid w:val="00F12CCD"/>
    <w:rsid w:val="00F135D8"/>
    <w:rsid w:val="00F21722"/>
    <w:rsid w:val="00F31299"/>
    <w:rsid w:val="00F321ED"/>
    <w:rsid w:val="00F337F8"/>
    <w:rsid w:val="00F338AF"/>
    <w:rsid w:val="00F3534A"/>
    <w:rsid w:val="00F37792"/>
    <w:rsid w:val="00F37DC4"/>
    <w:rsid w:val="00F51609"/>
    <w:rsid w:val="00F62C18"/>
    <w:rsid w:val="00F63606"/>
    <w:rsid w:val="00F64A3A"/>
    <w:rsid w:val="00F6547F"/>
    <w:rsid w:val="00F66C36"/>
    <w:rsid w:val="00F81006"/>
    <w:rsid w:val="00F837AE"/>
    <w:rsid w:val="00F85325"/>
    <w:rsid w:val="00F942C1"/>
    <w:rsid w:val="00F944A6"/>
    <w:rsid w:val="00F94CB1"/>
    <w:rsid w:val="00F951F9"/>
    <w:rsid w:val="00FA104B"/>
    <w:rsid w:val="00FA1E43"/>
    <w:rsid w:val="00FC35AB"/>
    <w:rsid w:val="00FC360E"/>
    <w:rsid w:val="00FD22B1"/>
    <w:rsid w:val="00FD3809"/>
    <w:rsid w:val="00FE238D"/>
    <w:rsid w:val="00FE5397"/>
    <w:rsid w:val="00FF280B"/>
    <w:rsid w:val="00FF3F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8718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B900D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900DC"/>
    <w:rPr>
      <w:szCs w:val="24"/>
    </w:rPr>
  </w:style>
  <w:style w:type="character" w:customStyle="1" w:styleId="CommentSubjectChar">
    <w:name w:val="Comment Subject Char"/>
    <w:basedOn w:val="CommentTextChar"/>
    <w:link w:val="CommentSubject"/>
    <w:rsid w:val="00B900DC"/>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8718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B900D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900DC"/>
    <w:rPr>
      <w:szCs w:val="24"/>
    </w:rPr>
  </w:style>
  <w:style w:type="character" w:customStyle="1" w:styleId="CommentSubjectChar">
    <w:name w:val="Comment Subject Char"/>
    <w:basedOn w:val="CommentTextChar"/>
    <w:link w:val="CommentSubject"/>
    <w:rsid w:val="00B900DC"/>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521974">
      <w:bodyDiv w:val="1"/>
      <w:marLeft w:val="0"/>
      <w:marRight w:val="0"/>
      <w:marTop w:val="0"/>
      <w:marBottom w:val="0"/>
      <w:divBdr>
        <w:top w:val="none" w:sz="0" w:space="0" w:color="auto"/>
        <w:left w:val="none" w:sz="0" w:space="0" w:color="auto"/>
        <w:bottom w:val="none" w:sz="0" w:space="0" w:color="auto"/>
        <w:right w:val="none" w:sz="0" w:space="0" w:color="auto"/>
      </w:divBdr>
    </w:div>
    <w:div w:id="566066255">
      <w:bodyDiv w:val="1"/>
      <w:marLeft w:val="0"/>
      <w:marRight w:val="0"/>
      <w:marTop w:val="0"/>
      <w:marBottom w:val="0"/>
      <w:divBdr>
        <w:top w:val="none" w:sz="0" w:space="0" w:color="auto"/>
        <w:left w:val="none" w:sz="0" w:space="0" w:color="auto"/>
        <w:bottom w:val="none" w:sz="0" w:space="0" w:color="auto"/>
        <w:right w:val="none" w:sz="0" w:space="0" w:color="auto"/>
      </w:divBdr>
    </w:div>
    <w:div w:id="1121806470">
      <w:bodyDiv w:val="1"/>
      <w:marLeft w:val="0"/>
      <w:marRight w:val="0"/>
      <w:marTop w:val="0"/>
      <w:marBottom w:val="0"/>
      <w:divBdr>
        <w:top w:val="none" w:sz="0" w:space="0" w:color="auto"/>
        <w:left w:val="none" w:sz="0" w:space="0" w:color="auto"/>
        <w:bottom w:val="none" w:sz="0" w:space="0" w:color="auto"/>
        <w:right w:val="none" w:sz="0" w:space="0" w:color="auto"/>
      </w:divBdr>
    </w:div>
    <w:div w:id="1145507748">
      <w:bodyDiv w:val="1"/>
      <w:marLeft w:val="0"/>
      <w:marRight w:val="0"/>
      <w:marTop w:val="0"/>
      <w:marBottom w:val="0"/>
      <w:divBdr>
        <w:top w:val="none" w:sz="0" w:space="0" w:color="auto"/>
        <w:left w:val="none" w:sz="0" w:space="0" w:color="auto"/>
        <w:bottom w:val="none" w:sz="0" w:space="0" w:color="auto"/>
        <w:right w:val="none" w:sz="0" w:space="0" w:color="auto"/>
      </w:divBdr>
    </w:div>
    <w:div w:id="1576090891">
      <w:bodyDiv w:val="1"/>
      <w:marLeft w:val="0"/>
      <w:marRight w:val="0"/>
      <w:marTop w:val="0"/>
      <w:marBottom w:val="0"/>
      <w:divBdr>
        <w:top w:val="none" w:sz="0" w:space="0" w:color="auto"/>
        <w:left w:val="none" w:sz="0" w:space="0" w:color="auto"/>
        <w:bottom w:val="none" w:sz="0" w:space="0" w:color="auto"/>
        <w:right w:val="none" w:sz="0" w:space="0" w:color="auto"/>
      </w:divBdr>
    </w:div>
    <w:div w:id="1629385911">
      <w:bodyDiv w:val="1"/>
      <w:marLeft w:val="0"/>
      <w:marRight w:val="0"/>
      <w:marTop w:val="0"/>
      <w:marBottom w:val="0"/>
      <w:divBdr>
        <w:top w:val="none" w:sz="0" w:space="0" w:color="auto"/>
        <w:left w:val="none" w:sz="0" w:space="0" w:color="auto"/>
        <w:bottom w:val="none" w:sz="0" w:space="0" w:color="auto"/>
        <w:right w:val="none" w:sz="0" w:space="0" w:color="auto"/>
      </w:divBdr>
    </w:div>
    <w:div w:id="1640303910">
      <w:bodyDiv w:val="1"/>
      <w:marLeft w:val="0"/>
      <w:marRight w:val="0"/>
      <w:marTop w:val="0"/>
      <w:marBottom w:val="0"/>
      <w:divBdr>
        <w:top w:val="none" w:sz="0" w:space="0" w:color="auto"/>
        <w:left w:val="none" w:sz="0" w:space="0" w:color="auto"/>
        <w:bottom w:val="none" w:sz="0" w:space="0" w:color="auto"/>
        <w:right w:val="none" w:sz="0" w:space="0" w:color="auto"/>
      </w:divBdr>
    </w:div>
    <w:div w:id="1845589924">
      <w:bodyDiv w:val="1"/>
      <w:marLeft w:val="0"/>
      <w:marRight w:val="0"/>
      <w:marTop w:val="0"/>
      <w:marBottom w:val="0"/>
      <w:divBdr>
        <w:top w:val="none" w:sz="0" w:space="0" w:color="auto"/>
        <w:left w:val="none" w:sz="0" w:space="0" w:color="auto"/>
        <w:bottom w:val="none" w:sz="0" w:space="0" w:color="auto"/>
        <w:right w:val="none" w:sz="0" w:space="0" w:color="auto"/>
      </w:divBdr>
    </w:div>
    <w:div w:id="18806232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5816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718BC-5421-4DD8-BB57-2C4FD561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174</TotalTime>
  <Pages>14</Pages>
  <Words>3022</Words>
  <Characters>15724</Characters>
  <Application>Microsoft Office Word</Application>
  <DocSecurity>0</DocSecurity>
  <Lines>317</Lines>
  <Paragraphs>130</Paragraphs>
  <ScaleCrop>false</ScaleCrop>
  <HeadingPairs>
    <vt:vector size="2" baseType="variant">
      <vt:variant>
        <vt:lpstr>Title</vt:lpstr>
      </vt:variant>
      <vt:variant>
        <vt:i4>1</vt:i4>
      </vt:variant>
    </vt:vector>
  </HeadingPairs>
  <TitlesOfParts>
    <vt:vector size="1" baseType="lpstr">
      <vt:lpstr>Historical and international perspectives</vt:lpstr>
    </vt:vector>
  </TitlesOfParts>
  <Company>Productivity Commission</Company>
  <LinksUpToDate>false</LinksUpToDate>
  <CharactersWithSpaces>18674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Historical and international perspectives</dc:title>
  <dc:subject>Labour's share of growth in income and prosperity</dc:subject>
  <dc:creator>Productivity Commission</dc:creator>
  <dc:description>3.</dc:description>
  <cp:lastModifiedBy>Productivity Commission</cp:lastModifiedBy>
  <cp:revision>17</cp:revision>
  <cp:lastPrinted>2013-09-19T04:32:00Z</cp:lastPrinted>
  <dcterms:created xsi:type="dcterms:W3CDTF">2013-07-15T02:01:00Z</dcterms:created>
  <dcterms:modified xsi:type="dcterms:W3CDTF">2013-09-24T04:53:00Z</dcterms:modified>
</cp:coreProperties>
</file>