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52B17" w:rsidP="00852B17">
      <w:pPr>
        <w:pStyle w:val="Chapter"/>
        <w:ind w:left="907" w:hanging="907"/>
      </w:pPr>
      <w:bookmarkStart w:id="0" w:name="ChapterNumber"/>
      <w:bookmarkStart w:id="1" w:name="_GoBack"/>
      <w:bookmarkEnd w:id="1"/>
      <w:r>
        <w:t>4</w:t>
      </w:r>
      <w:bookmarkEnd w:id="0"/>
      <w:r>
        <w:tab/>
      </w:r>
      <w:bookmarkStart w:id="2" w:name="ChapterTitle"/>
      <w:r>
        <w:t>The labour share: aggregate perspective</w:t>
      </w:r>
      <w:bookmarkEnd w:id="2"/>
      <w:r w:rsidR="009C3B52">
        <w:tab/>
      </w:r>
    </w:p>
    <w:p w:rsidR="00E045E3" w:rsidRDefault="00024FCD" w:rsidP="00024FCD">
      <w:pPr>
        <w:pStyle w:val="BodyText"/>
      </w:pPr>
      <w:r>
        <w:t>This chapter</w:t>
      </w:r>
      <w:r w:rsidR="00197237">
        <w:t xml:space="preserve"> </w:t>
      </w:r>
      <w:r w:rsidR="00E045E3">
        <w:t xml:space="preserve">returns to Australia’s market sector and seeks further </w:t>
      </w:r>
      <w:r w:rsidR="000806D1">
        <w:t xml:space="preserve">proximate </w:t>
      </w:r>
      <w:r w:rsidR="00E045E3">
        <w:t>explanations for the fall in the labour income share.</w:t>
      </w:r>
    </w:p>
    <w:p w:rsidR="00454A5F" w:rsidRDefault="00454A5F" w:rsidP="00024FCD">
      <w:pPr>
        <w:pStyle w:val="BodyText"/>
      </w:pPr>
      <w:r>
        <w:t>The chapter takes the following course.</w:t>
      </w:r>
    </w:p>
    <w:p w:rsidR="000806D1" w:rsidRDefault="002C4974" w:rsidP="002C4974">
      <w:pPr>
        <w:pStyle w:val="ListBullet"/>
      </w:pPr>
      <w:r>
        <w:t>S</w:t>
      </w:r>
      <w:r w:rsidR="00454A5F">
        <w:t xml:space="preserve">ection </w:t>
      </w:r>
      <w:r w:rsidR="000806D1">
        <w:t>4</w:t>
      </w:r>
      <w:r w:rsidR="00454A5F">
        <w:t xml:space="preserve">.1 </w:t>
      </w:r>
      <w:r w:rsidR="000806D1">
        <w:t>reviews trends in the labour income share in the market sector over the 1990s and 2000s.</w:t>
      </w:r>
    </w:p>
    <w:p w:rsidR="000806D1" w:rsidRDefault="00433382" w:rsidP="002C4974">
      <w:pPr>
        <w:pStyle w:val="ListBullet"/>
      </w:pPr>
      <w:r>
        <w:t>S</w:t>
      </w:r>
      <w:r w:rsidR="00454A5F">
        <w:t xml:space="preserve">ection </w:t>
      </w:r>
      <w:r w:rsidR="000806D1">
        <w:t>4</w:t>
      </w:r>
      <w:r w:rsidR="00454A5F">
        <w:t xml:space="preserve">.2 </w:t>
      </w:r>
      <w:r w:rsidR="000806D1">
        <w:t>reiterates the explanation for the fall in labour share in terms of a stronger acceleration in capital income than in labour income.</w:t>
      </w:r>
    </w:p>
    <w:p w:rsidR="002C4974" w:rsidRDefault="00433382" w:rsidP="002C4974">
      <w:pPr>
        <w:pStyle w:val="ListBullet"/>
      </w:pPr>
      <w:r>
        <w:t>S</w:t>
      </w:r>
      <w:r w:rsidR="002C4974">
        <w:t xml:space="preserve">ections </w:t>
      </w:r>
      <w:r w:rsidR="000806D1">
        <w:t>4</w:t>
      </w:r>
      <w:r w:rsidR="002C4974">
        <w:t xml:space="preserve">.3 and </w:t>
      </w:r>
      <w:r w:rsidR="000806D1">
        <w:t>4</w:t>
      </w:r>
      <w:r w:rsidR="002C4974">
        <w:t xml:space="preserve">.4 </w:t>
      </w:r>
      <w:r w:rsidR="00B62802">
        <w:t>find</w:t>
      </w:r>
      <w:r w:rsidR="002C4974">
        <w:t xml:space="preserve"> explanations in terms of:</w:t>
      </w:r>
    </w:p>
    <w:p w:rsidR="00301DDE" w:rsidRDefault="002C4974" w:rsidP="002C4974">
      <w:pPr>
        <w:pStyle w:val="ListBullet2"/>
      </w:pPr>
      <w:r>
        <w:t>increased capital intensity</w:t>
      </w:r>
    </w:p>
    <w:p w:rsidR="002C4974" w:rsidRDefault="004D41B5" w:rsidP="002C4974">
      <w:pPr>
        <w:pStyle w:val="ListBullet2"/>
      </w:pPr>
      <w:r>
        <w:t>a gap between</w:t>
      </w:r>
      <w:r w:rsidR="002C4974">
        <w:t xml:space="preserve"> real wage growth </w:t>
      </w:r>
      <w:r>
        <w:t>and</w:t>
      </w:r>
      <w:r w:rsidR="002C4974">
        <w:t xml:space="preserve"> labour productivity growth</w:t>
      </w:r>
      <w:r w:rsidR="00433382">
        <w:t>.</w:t>
      </w:r>
    </w:p>
    <w:p w:rsidR="002C4974" w:rsidRDefault="00433382" w:rsidP="002C4974">
      <w:pPr>
        <w:pStyle w:val="ListBullet"/>
      </w:pPr>
      <w:r>
        <w:t>S</w:t>
      </w:r>
      <w:r w:rsidR="00B62802">
        <w:t xml:space="preserve">ection </w:t>
      </w:r>
      <w:r w:rsidR="000806D1">
        <w:t>4</w:t>
      </w:r>
      <w:r w:rsidR="00B62802">
        <w:t>.</w:t>
      </w:r>
      <w:r w:rsidR="000806D1">
        <w:t>5</w:t>
      </w:r>
      <w:r w:rsidR="002C4974">
        <w:t xml:space="preserve"> provide</w:t>
      </w:r>
      <w:r w:rsidR="00B62802">
        <w:t>s a summary</w:t>
      </w:r>
      <w:r w:rsidR="002C4974">
        <w:t xml:space="preserve">. </w:t>
      </w:r>
    </w:p>
    <w:bookmarkStart w:id="3" w:name="begin"/>
    <w:bookmarkEnd w:id="3"/>
    <w:p w:rsidR="00DE62A1" w:rsidRDefault="00B72446" w:rsidP="00DE62A1">
      <w:pPr>
        <w:pStyle w:val="Heading2"/>
      </w:pPr>
      <w:r>
        <w:fldChar w:fldCharType="begin"/>
      </w:r>
      <w:r>
        <w:instrText xml:space="preserve"> COMMENTS  \* MERGEFORMAT </w:instrText>
      </w:r>
      <w:r>
        <w:fldChar w:fldCharType="separate"/>
      </w:r>
      <w:r w:rsidR="00852B17">
        <w:t>4.</w:t>
      </w:r>
      <w:r>
        <w:fldChar w:fldCharType="end"/>
      </w:r>
      <w:r w:rsidR="00CC6F1B">
        <w:fldChar w:fldCharType="begin"/>
      </w:r>
      <w:r w:rsidR="00CC6F1B">
        <w:instrText xml:space="preserve"> SEQ Heading2 </w:instrText>
      </w:r>
      <w:r w:rsidR="00CC6F1B">
        <w:fldChar w:fldCharType="separate"/>
      </w:r>
      <w:r w:rsidR="000F443A">
        <w:rPr>
          <w:noProof/>
        </w:rPr>
        <w:t>1</w:t>
      </w:r>
      <w:r w:rsidR="00CC6F1B">
        <w:rPr>
          <w:noProof/>
        </w:rPr>
        <w:fldChar w:fldCharType="end"/>
      </w:r>
      <w:r w:rsidR="00CA6BBD">
        <w:tab/>
      </w:r>
      <w:r w:rsidR="00E045E3">
        <w:t>The labour income share in the market sector</w:t>
      </w:r>
    </w:p>
    <w:p w:rsidR="007043E0" w:rsidRDefault="007043E0" w:rsidP="00DE62A1">
      <w:pPr>
        <w:spacing w:before="240" w:line="320" w:lineRule="atLeast"/>
        <w:jc w:val="both"/>
        <w:rPr>
          <w:szCs w:val="20"/>
        </w:rPr>
      </w:pPr>
      <w:r>
        <w:rPr>
          <w:szCs w:val="20"/>
        </w:rPr>
        <w:t>The labour income share</w:t>
      </w:r>
      <w:r w:rsidR="006103E3">
        <w:rPr>
          <w:szCs w:val="20"/>
        </w:rPr>
        <w:t xml:space="preserve"> (LIS)</w:t>
      </w:r>
      <w:r>
        <w:rPr>
          <w:szCs w:val="20"/>
        </w:rPr>
        <w:t xml:space="preserve"> was generally flat over the course of the productivity decade, but f</w:t>
      </w:r>
      <w:r w:rsidR="004276BD">
        <w:rPr>
          <w:szCs w:val="20"/>
        </w:rPr>
        <w:t>e</w:t>
      </w:r>
      <w:r>
        <w:rPr>
          <w:szCs w:val="20"/>
        </w:rPr>
        <w:t>ll markedly over the terms of trade decade.</w:t>
      </w:r>
    </w:p>
    <w:p w:rsidR="00A44201" w:rsidRDefault="007043E0" w:rsidP="00A44201">
      <w:pPr>
        <w:pStyle w:val="Heading3"/>
      </w:pPr>
      <w:r>
        <w:t>Income shares</w:t>
      </w:r>
      <w:r w:rsidR="00A44201">
        <w:t xml:space="preserve"> over the past two decades</w:t>
      </w:r>
    </w:p>
    <w:p w:rsidR="007255CE" w:rsidRDefault="00576941" w:rsidP="00576941">
      <w:pPr>
        <w:spacing w:before="240" w:line="320" w:lineRule="atLeast"/>
        <w:jc w:val="both"/>
        <w:rPr>
          <w:szCs w:val="20"/>
        </w:rPr>
      </w:pPr>
      <w:r>
        <w:rPr>
          <w:szCs w:val="20"/>
        </w:rPr>
        <w:t xml:space="preserve">ABS estimates of the </w:t>
      </w:r>
      <w:r w:rsidR="009E022B">
        <w:rPr>
          <w:szCs w:val="20"/>
        </w:rPr>
        <w:t xml:space="preserve">LIS </w:t>
      </w:r>
      <w:r w:rsidR="007255CE">
        <w:rPr>
          <w:szCs w:val="20"/>
        </w:rPr>
        <w:t xml:space="preserve">in </w:t>
      </w:r>
      <w:r>
        <w:rPr>
          <w:szCs w:val="20"/>
        </w:rPr>
        <w:t xml:space="preserve">the market sector of the economy </w:t>
      </w:r>
      <w:r w:rsidR="007255CE">
        <w:rPr>
          <w:szCs w:val="20"/>
        </w:rPr>
        <w:t>are used to examine trends. The market sector</w:t>
      </w:r>
      <w:r>
        <w:rPr>
          <w:szCs w:val="20"/>
        </w:rPr>
        <w:t xml:space="preserve"> is used for </w:t>
      </w:r>
      <w:r w:rsidR="00062C99">
        <w:rPr>
          <w:szCs w:val="20"/>
        </w:rPr>
        <w:t>three</w:t>
      </w:r>
      <w:r>
        <w:rPr>
          <w:szCs w:val="20"/>
        </w:rPr>
        <w:t xml:space="preserve"> reasons</w:t>
      </w:r>
      <w:r w:rsidR="007255CE">
        <w:rPr>
          <w:szCs w:val="20"/>
        </w:rPr>
        <w:t>.</w:t>
      </w:r>
    </w:p>
    <w:p w:rsidR="007255CE" w:rsidRDefault="00576941" w:rsidP="00576941">
      <w:pPr>
        <w:spacing w:before="240" w:line="320" w:lineRule="atLeast"/>
        <w:jc w:val="both"/>
        <w:rPr>
          <w:szCs w:val="20"/>
        </w:rPr>
      </w:pPr>
      <w:r>
        <w:rPr>
          <w:szCs w:val="20"/>
        </w:rPr>
        <w:t xml:space="preserve">First, the ABS </w:t>
      </w:r>
      <w:r w:rsidR="00C62003">
        <w:rPr>
          <w:szCs w:val="20"/>
        </w:rPr>
        <w:t xml:space="preserve">only </w:t>
      </w:r>
      <w:r>
        <w:rPr>
          <w:szCs w:val="20"/>
        </w:rPr>
        <w:t>apportion</w:t>
      </w:r>
      <w:r w:rsidR="00C62003">
        <w:rPr>
          <w:szCs w:val="20"/>
        </w:rPr>
        <w:t>s</w:t>
      </w:r>
      <w:r>
        <w:rPr>
          <w:szCs w:val="20"/>
        </w:rPr>
        <w:t xml:space="preserve"> the income of proprietors </w:t>
      </w:r>
      <w:r w:rsidR="004C1393">
        <w:rPr>
          <w:szCs w:val="20"/>
        </w:rPr>
        <w:t xml:space="preserve">(who provide a combination of capital and labour services) </w:t>
      </w:r>
      <w:r>
        <w:rPr>
          <w:szCs w:val="20"/>
        </w:rPr>
        <w:t>into a capital component and a labour component</w:t>
      </w:r>
      <w:r w:rsidR="00E41042">
        <w:rPr>
          <w:szCs w:val="20"/>
        </w:rPr>
        <w:t xml:space="preserve"> </w:t>
      </w:r>
      <w:r w:rsidR="0043782F">
        <w:rPr>
          <w:szCs w:val="20"/>
        </w:rPr>
        <w:t>for</w:t>
      </w:r>
      <w:r w:rsidR="00E41042">
        <w:rPr>
          <w:szCs w:val="20"/>
        </w:rPr>
        <w:t xml:space="preserve"> </w:t>
      </w:r>
      <w:r>
        <w:rPr>
          <w:szCs w:val="20"/>
        </w:rPr>
        <w:t>the market sector</w:t>
      </w:r>
      <w:r w:rsidR="00945BBB">
        <w:rPr>
          <w:szCs w:val="20"/>
        </w:rPr>
        <w:t>.</w:t>
      </w:r>
      <w:r>
        <w:rPr>
          <w:szCs w:val="20"/>
        </w:rPr>
        <w:t xml:space="preserve"> </w:t>
      </w:r>
    </w:p>
    <w:p w:rsidR="00062C99" w:rsidRDefault="00062C99" w:rsidP="00576941">
      <w:pPr>
        <w:spacing w:before="240" w:line="320" w:lineRule="atLeast"/>
        <w:jc w:val="both"/>
        <w:rPr>
          <w:szCs w:val="20"/>
        </w:rPr>
      </w:pPr>
      <w:r>
        <w:rPr>
          <w:szCs w:val="20"/>
        </w:rPr>
        <w:t xml:space="preserve">Second, use of the market sector avoids complications that arise from the inclusion of ownership of dwellings (capital income only) and industries in the government sector (no </w:t>
      </w:r>
      <w:r w:rsidR="008A7137">
        <w:rPr>
          <w:szCs w:val="20"/>
        </w:rPr>
        <w:t>return on capital</w:t>
      </w:r>
      <w:r>
        <w:rPr>
          <w:szCs w:val="20"/>
        </w:rPr>
        <w:t>).</w:t>
      </w:r>
    </w:p>
    <w:p w:rsidR="00576941" w:rsidRDefault="00062C99" w:rsidP="00576941">
      <w:pPr>
        <w:spacing w:before="240" w:line="320" w:lineRule="atLeast"/>
        <w:jc w:val="both"/>
        <w:rPr>
          <w:szCs w:val="20"/>
        </w:rPr>
      </w:pPr>
      <w:r>
        <w:rPr>
          <w:szCs w:val="20"/>
        </w:rPr>
        <w:lastRenderedPageBreak/>
        <w:t>Third</w:t>
      </w:r>
      <w:r w:rsidR="00576941">
        <w:rPr>
          <w:szCs w:val="20"/>
        </w:rPr>
        <w:t>, the use of market sector data on the LIS allows the analysis to be integrated with productivity estimates</w:t>
      </w:r>
      <w:r w:rsidR="00576941" w:rsidRPr="00094DCC">
        <w:rPr>
          <w:szCs w:val="20"/>
        </w:rPr>
        <w:t xml:space="preserve"> </w:t>
      </w:r>
      <w:r w:rsidR="00576941">
        <w:rPr>
          <w:szCs w:val="20"/>
        </w:rPr>
        <w:t xml:space="preserve">that are better-formed with respect to the market sector. </w:t>
      </w:r>
    </w:p>
    <w:p w:rsidR="00051AF8" w:rsidRDefault="00051AF8" w:rsidP="00051AF8">
      <w:pPr>
        <w:spacing w:before="240" w:line="320" w:lineRule="atLeast"/>
        <w:jc w:val="both"/>
        <w:rPr>
          <w:szCs w:val="20"/>
        </w:rPr>
      </w:pPr>
      <w:r>
        <w:rPr>
          <w:szCs w:val="20"/>
        </w:rPr>
        <w:t xml:space="preserve">Data for the 12-industry market sector (MS12) are used </w:t>
      </w:r>
      <w:r w:rsidR="007043E0">
        <w:rPr>
          <w:szCs w:val="20"/>
        </w:rPr>
        <w:t xml:space="preserve">in the rest of </w:t>
      </w:r>
      <w:r>
        <w:rPr>
          <w:szCs w:val="20"/>
        </w:rPr>
        <w:t xml:space="preserve">this paper, because they encompass all of the 1990s, as well as the 2000s. </w:t>
      </w:r>
      <w:r w:rsidR="008A7137">
        <w:rPr>
          <w:szCs w:val="20"/>
        </w:rPr>
        <w:t>T</w:t>
      </w:r>
      <w:r w:rsidR="00A03D12">
        <w:rPr>
          <w:szCs w:val="20"/>
        </w:rPr>
        <w:t>he data for the 16</w:t>
      </w:r>
      <w:r w:rsidR="00A03D12">
        <w:rPr>
          <w:szCs w:val="20"/>
        </w:rPr>
        <w:noBreakHyphen/>
      </w:r>
      <w:r>
        <w:rPr>
          <w:szCs w:val="20"/>
        </w:rPr>
        <w:t>industry market sector (MS16) do not span the 1990s</w:t>
      </w:r>
      <w:r w:rsidR="008A7137">
        <w:rPr>
          <w:szCs w:val="20"/>
        </w:rPr>
        <w:t>.</w:t>
      </w:r>
      <w:r>
        <w:rPr>
          <w:szCs w:val="20"/>
        </w:rPr>
        <w:t xml:space="preserve"> </w:t>
      </w:r>
    </w:p>
    <w:p w:rsidR="008A7137" w:rsidRDefault="008A7137" w:rsidP="008A7137">
      <w:pPr>
        <w:pStyle w:val="Heading4"/>
      </w:pPr>
      <w:r>
        <w:t>The 1990s</w:t>
      </w:r>
    </w:p>
    <w:p w:rsidR="00D00313" w:rsidRDefault="00051AF8" w:rsidP="00D00313">
      <w:pPr>
        <w:pStyle w:val="BodyText"/>
      </w:pPr>
      <w:r>
        <w:t>Australia’s labour income share changed little overall in the productivity decade of the 1990s</w:t>
      </w:r>
      <w:r w:rsidR="00A83086">
        <w:t>.</w:t>
      </w:r>
      <w:r>
        <w:t xml:space="preserve"> </w:t>
      </w:r>
      <w:r w:rsidR="00A83086">
        <w:t>Although</w:t>
      </w:r>
      <w:r>
        <w:t xml:space="preserve"> there was a rise in the early part of the decade, its significance can be heavily discounted </w:t>
      </w:r>
      <w:r w:rsidR="004F50F4">
        <w:t xml:space="preserve">as </w:t>
      </w:r>
      <w:r>
        <w:t xml:space="preserve">it was </w:t>
      </w:r>
      <w:r w:rsidR="0043782F">
        <w:t xml:space="preserve">a temporary change </w:t>
      </w:r>
      <w:r>
        <w:t>associated with the recession at that time.</w:t>
      </w:r>
      <w:r>
        <w:rPr>
          <w:rStyle w:val="FootnoteReference"/>
        </w:rPr>
        <w:footnoteReference w:id="1"/>
      </w:r>
      <w:r>
        <w:t xml:space="preserve"> The LIS declined by </w:t>
      </w:r>
      <w:r w:rsidR="006103E3">
        <w:t>2</w:t>
      </w:r>
      <w:r>
        <w:t xml:space="preserve"> percentage points between 1989-90 and </w:t>
      </w:r>
      <w:r w:rsidR="00A83086">
        <w:t>1999-00, on the raw data (figure </w:t>
      </w:r>
      <w:r w:rsidR="008B37A7">
        <w:t>4.1</w:t>
      </w:r>
      <w:r w:rsidR="00A83086">
        <w:t xml:space="preserve">). In another long-term ABS series, </w:t>
      </w:r>
      <w:r w:rsidR="009E022B">
        <w:t xml:space="preserve">in </w:t>
      </w:r>
      <w:r w:rsidR="00A83086">
        <w:t>which some of the year-to-year volatility</w:t>
      </w:r>
      <w:r w:rsidR="009E022B" w:rsidRPr="009E022B">
        <w:t xml:space="preserve"> </w:t>
      </w:r>
      <w:r w:rsidR="009E022B">
        <w:t>has been removed</w:t>
      </w:r>
      <w:r w:rsidR="00A83086">
        <w:t>, the</w:t>
      </w:r>
      <w:r w:rsidR="00A31D9A">
        <w:t xml:space="preserve"> LIS did not</w:t>
      </w:r>
      <w:r w:rsidR="00A83086">
        <w:t xml:space="preserve"> change over the decade.</w:t>
      </w:r>
      <w:r w:rsidR="00A83086">
        <w:rPr>
          <w:rStyle w:val="FootnoteReference"/>
        </w:rPr>
        <w:footnoteReference w:id="2"/>
      </w:r>
      <w:r w:rsidR="00D00313" w:rsidRPr="00D00313">
        <w:t xml:space="preserve"> </w:t>
      </w:r>
      <w:r w:rsidR="00C61875">
        <w:t>The ACTU (2013) study shows and notes no overall change in the LIS over the 1990s.</w:t>
      </w:r>
    </w:p>
    <w:p w:rsidR="008A7137" w:rsidRDefault="008A7137" w:rsidP="008A7137">
      <w:pPr>
        <w:pStyle w:val="Heading4"/>
      </w:pPr>
      <w:r>
        <w:t>The 2000s</w:t>
      </w:r>
    </w:p>
    <w:p w:rsidR="00D00313" w:rsidRDefault="00D00313" w:rsidP="00D00313">
      <w:pPr>
        <w:pStyle w:val="BodyText"/>
      </w:pPr>
      <w:r>
        <w:t xml:space="preserve">The LIS clearly fell more sharply, however, over the terms of trade decade. It fell by </w:t>
      </w:r>
      <w:r w:rsidR="006103E3">
        <w:t>4</w:t>
      </w:r>
      <w:r>
        <w:t xml:space="preserve"> percentage points in both the </w:t>
      </w:r>
      <w:r w:rsidRPr="001A1095">
        <w:t>12-industry and 16-industry</w:t>
      </w:r>
      <w:r>
        <w:t xml:space="preserve"> market sectors</w:t>
      </w:r>
      <w:r>
        <w:rPr>
          <w:rStyle w:val="FootnoteReference"/>
        </w:rPr>
        <w:footnoteReference w:id="3"/>
      </w:r>
      <w:r>
        <w:t xml:space="preserve"> between 1999-00 and 2009-10 (figure </w:t>
      </w:r>
      <w:r w:rsidR="008B37A7">
        <w:t>4.1</w:t>
      </w:r>
      <w:r>
        <w:t>). The LIS fell further, but recovered, over the following two years.</w:t>
      </w:r>
    </w:p>
    <w:p w:rsidR="008A7137" w:rsidRDefault="008A7137" w:rsidP="008A7137">
      <w:pPr>
        <w:pStyle w:val="BodyText"/>
      </w:pPr>
      <w:r>
        <w:t xml:space="preserve">By way of comparison, the ACTU (2013) </w:t>
      </w:r>
      <w:r w:rsidR="00C61875">
        <w:t xml:space="preserve">study </w:t>
      </w:r>
      <w:r>
        <w:t xml:space="preserve">reports a fall in the LIS of 5.8 </w:t>
      </w:r>
      <w:r w:rsidR="000A0733">
        <w:t>percentage points</w:t>
      </w:r>
      <w:r>
        <w:t xml:space="preserve"> between 1999-00 and 2011-12. The ACTU paper canvasses a range of methods which provide results that are different in degree, but all show there has been a large fall in the LIS over the 2000s. The 4 </w:t>
      </w:r>
      <w:r w:rsidR="000A0733">
        <w:t>percentage points</w:t>
      </w:r>
      <w:r>
        <w:t xml:space="preserve"> gap presented here, based on ABS market sector data, would appear to be at the low end of the range of estimates.</w:t>
      </w:r>
    </w:p>
    <w:p w:rsidR="00D47604" w:rsidRDefault="00D47604">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1</w:t>
      </w:r>
      <w:r>
        <w:rPr>
          <w:b w:val="0"/>
        </w:rPr>
        <w:fldChar w:fldCharType="end"/>
      </w:r>
      <w:r>
        <w:tab/>
      </w:r>
      <w:r w:rsidR="000415F3">
        <w:t>Labour income share in Australia’s 12-industry market sector (MS12) and 16-industry market sector (MS16)</w:t>
      </w:r>
    </w:p>
    <w:p w:rsidR="00D47604" w:rsidRDefault="000415F3">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47604" w:rsidTr="006A0539">
        <w:tc>
          <w:tcPr>
            <w:tcW w:w="8777" w:type="dxa"/>
          </w:tcPr>
          <w:p w:rsidR="00D47604" w:rsidRDefault="0082240F">
            <w:pPr>
              <w:pStyle w:val="Figure"/>
            </w:pPr>
            <w:r>
              <w:rPr>
                <w:noProof/>
              </w:rPr>
              <w:drawing>
                <wp:inline distT="0" distB="0" distL="0" distR="0" wp14:anchorId="2D2E3DDE" wp14:editId="62084457">
                  <wp:extent cx="4819650" cy="2714625"/>
                  <wp:effectExtent l="0" t="0" r="0" b="0"/>
                  <wp:docPr id="11" name="Picture 11" descr="Labour income share in Australia’s 12-industry market sector and 16-industry market sector. This figure shows that the labour income share in the 12-industry market sector was basically steady in the 1990s apart from a rise in the early 1990s recession. It fell in the 2000s. The labour income share in the 16-industry market sector is higher but followed the same pattern through its shorter time s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9650" cy="2714625"/>
                          </a:xfrm>
                          <a:prstGeom prst="rect">
                            <a:avLst/>
                          </a:prstGeom>
                          <a:noFill/>
                          <a:ln>
                            <a:noFill/>
                          </a:ln>
                        </pic:spPr>
                      </pic:pic>
                    </a:graphicData>
                  </a:graphic>
                </wp:inline>
              </w:drawing>
            </w:r>
          </w:p>
        </w:tc>
      </w:tr>
    </w:tbl>
    <w:p w:rsidR="00D47604" w:rsidRDefault="00D47604">
      <w:pPr>
        <w:pStyle w:val="Note"/>
      </w:pPr>
      <w:r>
        <w:rPr>
          <w:rStyle w:val="NoteLabel"/>
        </w:rPr>
        <w:t>a</w:t>
      </w:r>
      <w:r>
        <w:t xml:space="preserve"> </w:t>
      </w:r>
      <w:r w:rsidR="000415F3">
        <w:t>The coverage of the 12-industry and 16-industry market sector is outlined in box 2.1</w:t>
      </w:r>
      <w:r>
        <w:t>.</w:t>
      </w:r>
    </w:p>
    <w:p w:rsidR="00D47604" w:rsidRDefault="00D47604">
      <w:pPr>
        <w:pStyle w:val="Source"/>
        <w:rPr>
          <w:color w:val="00B050"/>
        </w:rPr>
      </w:pPr>
      <w:r>
        <w:rPr>
          <w:i/>
        </w:rPr>
        <w:t>Data source</w:t>
      </w:r>
      <w:r w:rsidRPr="00167F06">
        <w:t xml:space="preserve">: </w:t>
      </w:r>
      <w:r w:rsidR="000415F3">
        <w:t xml:space="preserve">ABS </w:t>
      </w:r>
      <w:r w:rsidR="001A1095">
        <w:t>(</w:t>
      </w:r>
      <w:r w:rsidR="006103E3">
        <w:t>Cat. n</w:t>
      </w:r>
      <w:r w:rsidR="000415F3">
        <w:t>o.</w:t>
      </w:r>
      <w:r w:rsidR="000415F3" w:rsidRPr="00327858">
        <w:t xml:space="preserve"> 5260.0.55.002</w:t>
      </w:r>
      <w:r w:rsidR="001A1095">
        <w:t>).</w:t>
      </w:r>
    </w:p>
    <w:p w:rsidR="009D6729" w:rsidRDefault="00BF06DF" w:rsidP="009D6729">
      <w:pPr>
        <w:pStyle w:val="Heading2"/>
      </w:pPr>
      <w:fldSimple w:instr=" COMMENTS  \* MERGEFORMAT ">
        <w:r w:rsidR="00852B17">
          <w:t>4.</w:t>
        </w:r>
      </w:fldSimple>
      <w:r w:rsidR="00CC6F1B">
        <w:fldChar w:fldCharType="begin"/>
      </w:r>
      <w:r w:rsidR="00CC6F1B">
        <w:instrText xml:space="preserve"> SEQ Heading2 </w:instrText>
      </w:r>
      <w:r w:rsidR="00CC6F1B">
        <w:fldChar w:fldCharType="separate"/>
      </w:r>
      <w:r w:rsidR="000F443A">
        <w:rPr>
          <w:noProof/>
        </w:rPr>
        <w:t>2</w:t>
      </w:r>
      <w:r w:rsidR="00CC6F1B">
        <w:rPr>
          <w:noProof/>
        </w:rPr>
        <w:fldChar w:fldCharType="end"/>
      </w:r>
      <w:r w:rsidR="00343CDF">
        <w:tab/>
      </w:r>
      <w:r w:rsidR="009D6729">
        <w:t>Relative growth in capital and labour income</w:t>
      </w:r>
    </w:p>
    <w:p w:rsidR="009D6729" w:rsidRPr="009D6729" w:rsidRDefault="009D6729" w:rsidP="009D6729">
      <w:pPr>
        <w:pStyle w:val="BodyText"/>
      </w:pPr>
      <w:r>
        <w:t xml:space="preserve">The previous chapter noted that </w:t>
      </w:r>
      <w:r w:rsidR="008A7137">
        <w:t xml:space="preserve">economy-wide </w:t>
      </w:r>
      <w:r w:rsidR="0043782F">
        <w:t>capital</w:t>
      </w:r>
      <w:r w:rsidR="008B37A7">
        <w:t xml:space="preserve"> income</w:t>
      </w:r>
      <w:r>
        <w:t xml:space="preserve"> grew faster than </w:t>
      </w:r>
      <w:r w:rsidR="0043782F">
        <w:t xml:space="preserve">labour </w:t>
      </w:r>
      <w:r>
        <w:t xml:space="preserve">income in the 2000s. This </w:t>
      </w:r>
      <w:r w:rsidR="00A057CE">
        <w:t>was</w:t>
      </w:r>
      <w:r>
        <w:t xml:space="preserve"> also true </w:t>
      </w:r>
      <w:r w:rsidR="0043782F">
        <w:t xml:space="preserve">for </w:t>
      </w:r>
      <w:r>
        <w:t xml:space="preserve">the market sector. </w:t>
      </w:r>
    </w:p>
    <w:p w:rsidR="006235BC" w:rsidRDefault="008A7137" w:rsidP="008A7137">
      <w:pPr>
        <w:pStyle w:val="Heading3"/>
      </w:pPr>
      <w:r>
        <w:t>Growth in capital income exceeded growth in labour income</w:t>
      </w:r>
    </w:p>
    <w:p w:rsidR="007C5762" w:rsidRDefault="00ED5DF8" w:rsidP="006235BC">
      <w:pPr>
        <w:pStyle w:val="BodyText"/>
      </w:pPr>
      <w:r>
        <w:t xml:space="preserve">The fact that </w:t>
      </w:r>
      <w:r w:rsidR="008A7137">
        <w:t>there was more growth in capital income</w:t>
      </w:r>
      <w:r w:rsidR="009E08FD">
        <w:t xml:space="preserve"> than in </w:t>
      </w:r>
      <w:r w:rsidR="000939BB">
        <w:t>labour income</w:t>
      </w:r>
      <w:r>
        <w:t xml:space="preserve"> in the 2000s meant that, by definition,</w:t>
      </w:r>
      <w:r w:rsidRPr="00ED5DF8">
        <w:t xml:space="preserve"> </w:t>
      </w:r>
      <w:r>
        <w:t>the labour income share fell</w:t>
      </w:r>
      <w:r w:rsidR="009E08FD">
        <w:t xml:space="preserve">. </w:t>
      </w:r>
      <w:r>
        <w:t>F</w:t>
      </w:r>
      <w:r w:rsidR="009E08FD">
        <w:t xml:space="preserve">igure 4.2, which shows in the right panel that capital income </w:t>
      </w:r>
      <w:r w:rsidR="008B37A7">
        <w:t>more than doubled</w:t>
      </w:r>
      <w:r w:rsidR="009E08FD">
        <w:t xml:space="preserve"> between 1999-00 and 2009-10</w:t>
      </w:r>
      <w:r w:rsidR="007C5762">
        <w:t>, whereas labour income grew</w:t>
      </w:r>
      <w:r w:rsidR="009E08FD">
        <w:t xml:space="preserve"> 80 per cent</w:t>
      </w:r>
      <w:r w:rsidR="007C5762">
        <w:t xml:space="preserve">. In terms of annual average rates, capital income grew 1.6 </w:t>
      </w:r>
      <w:r w:rsidR="000A0733">
        <w:t>percentage points</w:t>
      </w:r>
      <w:r w:rsidR="007C5762">
        <w:t xml:space="preserve"> f</w:t>
      </w:r>
      <w:r w:rsidR="00772D38">
        <w:t>aster than labour income (table </w:t>
      </w:r>
      <w:r w:rsidR="007C5762">
        <w:t>4.1).</w:t>
      </w:r>
    </w:p>
    <w:p w:rsidR="007C5762" w:rsidRDefault="007C5762" w:rsidP="00FD6397">
      <w:pPr>
        <w:pStyle w:val="Heading4"/>
      </w:pPr>
      <w:r>
        <w:t xml:space="preserve">There was no </w:t>
      </w:r>
      <w:r w:rsidR="00C62003">
        <w:t>reduction in growth in</w:t>
      </w:r>
      <w:r>
        <w:t xml:space="preserve"> labour income</w:t>
      </w:r>
    </w:p>
    <w:p w:rsidR="00683740" w:rsidRDefault="007C5762" w:rsidP="006235BC">
      <w:pPr>
        <w:pStyle w:val="BodyText"/>
      </w:pPr>
      <w:r>
        <w:t xml:space="preserve">As suggested in the previous chapter, and unlike what happened in the US, the labour income share did not fall as a result of a </w:t>
      </w:r>
      <w:r w:rsidR="004F50F4">
        <w:t>slowdown in growth in</w:t>
      </w:r>
      <w:r>
        <w:t xml:space="preserve"> labour income.</w:t>
      </w:r>
      <w:r w:rsidR="000939BB">
        <w:t xml:space="preserve"> </w:t>
      </w:r>
      <w:r w:rsidR="00051AF8">
        <w:t xml:space="preserve">In fact, </w:t>
      </w:r>
      <w:r w:rsidR="00FD6397">
        <w:t xml:space="preserve">as figure 4.2 shows, </w:t>
      </w:r>
      <w:r w:rsidR="00A83086">
        <w:t xml:space="preserve">nominal </w:t>
      </w:r>
      <w:r w:rsidR="00051AF8">
        <w:t xml:space="preserve">labour income grew </w:t>
      </w:r>
      <w:r w:rsidR="00A03FA4">
        <w:t>more</w:t>
      </w:r>
      <w:r w:rsidR="00051AF8">
        <w:t xml:space="preserve"> in the </w:t>
      </w:r>
      <w:r>
        <w:t xml:space="preserve">2000s </w:t>
      </w:r>
      <w:r>
        <w:lastRenderedPageBreak/>
        <w:t>decade</w:t>
      </w:r>
      <w:r w:rsidR="00051AF8">
        <w:t xml:space="preserve"> </w:t>
      </w:r>
      <w:r w:rsidR="00DE1D44">
        <w:t>(</w:t>
      </w:r>
      <w:r>
        <w:t>80</w:t>
      </w:r>
      <w:r w:rsidR="00DE1D44">
        <w:t xml:space="preserve"> per cent) </w:t>
      </w:r>
      <w:r w:rsidR="00051AF8">
        <w:t xml:space="preserve">than </w:t>
      </w:r>
      <w:r w:rsidR="00FD6397">
        <w:t xml:space="preserve">it did </w:t>
      </w:r>
      <w:r w:rsidR="00051AF8">
        <w:t>in the 1990s</w:t>
      </w:r>
      <w:r w:rsidR="007A7525">
        <w:t xml:space="preserve"> (</w:t>
      </w:r>
      <w:r w:rsidR="00DE1D44">
        <w:t>5</w:t>
      </w:r>
      <w:r w:rsidR="00FD6397">
        <w:t>5</w:t>
      </w:r>
      <w:r w:rsidR="00DE1D44">
        <w:t xml:space="preserve"> per cent</w:t>
      </w:r>
      <w:r w:rsidR="00FD6397">
        <w:t>)</w:t>
      </w:r>
      <w:r w:rsidR="00051AF8">
        <w:t xml:space="preserve">. </w:t>
      </w:r>
      <w:r w:rsidR="00FD6397">
        <w:t>The a</w:t>
      </w:r>
      <w:r w:rsidR="00683740">
        <w:t>nnual average</w:t>
      </w:r>
      <w:r w:rsidR="007A7525">
        <w:t xml:space="preserve"> rate of growth</w:t>
      </w:r>
      <w:r w:rsidR="00FD6397">
        <w:t xml:space="preserve"> was</w:t>
      </w:r>
      <w:r w:rsidR="00683740">
        <w:t xml:space="preserve"> 1.</w:t>
      </w:r>
      <w:r w:rsidR="006103E3">
        <w:t>5</w:t>
      </w:r>
      <w:r w:rsidR="00683740">
        <w:t xml:space="preserve"> percentage points faster in the 2000s </w:t>
      </w:r>
      <w:r w:rsidR="009E022B">
        <w:t xml:space="preserve">decade </w:t>
      </w:r>
      <w:r w:rsidR="00683740">
        <w:t xml:space="preserve">(table </w:t>
      </w:r>
      <w:r w:rsidR="00FD6397">
        <w:t>4.1</w:t>
      </w:r>
      <w:r w:rsidR="00683740">
        <w:t>).</w:t>
      </w:r>
    </w:p>
    <w:p w:rsidR="003E7CD3" w:rsidRDefault="003E7CD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2</w:t>
      </w:r>
      <w:r>
        <w:rPr>
          <w:b w:val="0"/>
        </w:rPr>
        <w:fldChar w:fldCharType="end"/>
      </w:r>
      <w:r>
        <w:tab/>
      </w:r>
      <w:r w:rsidR="00C237FB">
        <w:t>Cumulative growth in labour and capital income</w:t>
      </w:r>
      <w:r w:rsidR="007A7525">
        <w:t xml:space="preserve"> and the labour income share</w:t>
      </w:r>
      <w:r w:rsidR="00C237FB">
        <w:t xml:space="preserve"> in the 1990s and the 2000s</w:t>
      </w:r>
    </w:p>
    <w:p w:rsidR="003E7CD3" w:rsidRDefault="00C237FB">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247718" w:rsidRPr="00247718" w:rsidTr="001C42C2">
        <w:tc>
          <w:tcPr>
            <w:tcW w:w="4388" w:type="dxa"/>
          </w:tcPr>
          <w:p w:rsidR="00247718" w:rsidRPr="00247718" w:rsidRDefault="00247718" w:rsidP="00247718">
            <w:pPr>
              <w:pStyle w:val="Figure"/>
              <w:spacing w:after="0"/>
              <w:rPr>
                <w:i/>
                <w:noProof/>
                <w:sz w:val="22"/>
                <w:szCs w:val="22"/>
              </w:rPr>
            </w:pPr>
            <w:r w:rsidRPr="00247718">
              <w:rPr>
                <w:i/>
                <w:noProof/>
                <w:sz w:val="22"/>
                <w:szCs w:val="22"/>
              </w:rPr>
              <w:t>1990s</w:t>
            </w:r>
          </w:p>
        </w:tc>
        <w:tc>
          <w:tcPr>
            <w:tcW w:w="4389" w:type="dxa"/>
          </w:tcPr>
          <w:p w:rsidR="00247718" w:rsidRPr="00247718" w:rsidRDefault="00247718" w:rsidP="00247718">
            <w:pPr>
              <w:pStyle w:val="Figure"/>
              <w:spacing w:after="0"/>
              <w:rPr>
                <w:i/>
                <w:noProof/>
                <w:sz w:val="22"/>
                <w:szCs w:val="22"/>
              </w:rPr>
            </w:pPr>
            <w:r w:rsidRPr="00247718">
              <w:rPr>
                <w:i/>
                <w:noProof/>
                <w:sz w:val="22"/>
                <w:szCs w:val="22"/>
              </w:rPr>
              <w:t>2000s</w:t>
            </w:r>
          </w:p>
        </w:tc>
      </w:tr>
      <w:tr w:rsidR="000A0733" w:rsidTr="001C42C2">
        <w:tc>
          <w:tcPr>
            <w:tcW w:w="4388" w:type="dxa"/>
          </w:tcPr>
          <w:p w:rsidR="000A0733" w:rsidRPr="0032196A" w:rsidRDefault="00EF47F6" w:rsidP="00247718">
            <w:pPr>
              <w:pStyle w:val="Figure"/>
              <w:spacing w:before="0"/>
              <w:rPr>
                <w:noProof/>
              </w:rPr>
            </w:pPr>
            <w:r>
              <w:rPr>
                <w:noProof/>
              </w:rPr>
              <w:drawing>
                <wp:inline distT="0" distB="0" distL="0" distR="0" wp14:anchorId="72329D83" wp14:editId="1AD1979D">
                  <wp:extent cx="2562225" cy="2362200"/>
                  <wp:effectExtent l="0" t="0" r="9525" b="0"/>
                  <wp:docPr id="12" name="Picture 12" descr="Cumulative annual growth in labour and capital income and the labour income share in the 1990s and the 2000s. This figure shows that, in the 1990s, growth in capital and labour income was closely aligned and so the labour income was steady. In the 2000s, there was stronger growth in capital income than in labour income and so the labour income share f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2225" cy="2362200"/>
                          </a:xfrm>
                          <a:prstGeom prst="rect">
                            <a:avLst/>
                          </a:prstGeom>
                          <a:noFill/>
                          <a:ln>
                            <a:noFill/>
                          </a:ln>
                        </pic:spPr>
                      </pic:pic>
                    </a:graphicData>
                  </a:graphic>
                </wp:inline>
              </w:drawing>
            </w:r>
          </w:p>
        </w:tc>
        <w:tc>
          <w:tcPr>
            <w:tcW w:w="4389" w:type="dxa"/>
          </w:tcPr>
          <w:p w:rsidR="000A0733" w:rsidRPr="0032196A" w:rsidRDefault="00EF47F6" w:rsidP="00247718">
            <w:pPr>
              <w:pStyle w:val="Figure"/>
              <w:spacing w:before="0"/>
              <w:rPr>
                <w:noProof/>
              </w:rPr>
            </w:pPr>
            <w:r>
              <w:rPr>
                <w:noProof/>
              </w:rPr>
              <w:drawing>
                <wp:inline distT="0" distB="0" distL="0" distR="0" wp14:anchorId="75B22099" wp14:editId="4D99811F">
                  <wp:extent cx="2590800" cy="2352675"/>
                  <wp:effectExtent l="0" t="0" r="0" b="9525"/>
                  <wp:docPr id="13" name="Picture 13" descr="Cumulative annual growth in labour and capital income and the labour income share in the 1990s and the 2000s. This figure shows that, in the 1990s, growth in capital and labour income was closely aligned and so the labour income was steady. In the 2000s, there was stronger growth in capital income than in labour income and so the labour income share f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2352675"/>
                          </a:xfrm>
                          <a:prstGeom prst="rect">
                            <a:avLst/>
                          </a:prstGeom>
                          <a:noFill/>
                          <a:ln>
                            <a:noFill/>
                          </a:ln>
                        </pic:spPr>
                      </pic:pic>
                    </a:graphicData>
                  </a:graphic>
                </wp:inline>
              </w:drawing>
            </w:r>
          </w:p>
        </w:tc>
      </w:tr>
    </w:tbl>
    <w:p w:rsidR="003E7CD3" w:rsidRDefault="003E7CD3">
      <w:pPr>
        <w:pStyle w:val="Source"/>
      </w:pPr>
      <w:r>
        <w:rPr>
          <w:i/>
        </w:rPr>
        <w:t>Data source</w:t>
      </w:r>
      <w:r w:rsidRPr="00167F06">
        <w:t>:</w:t>
      </w:r>
      <w:r w:rsidR="005C38C0">
        <w:t xml:space="preserve"> ABS </w:t>
      </w:r>
      <w:r w:rsidR="001A1095">
        <w:t>(</w:t>
      </w:r>
      <w:r w:rsidR="006103E3">
        <w:t>Cat. n</w:t>
      </w:r>
      <w:r w:rsidR="005C38C0">
        <w:t>o.</w:t>
      </w:r>
      <w:r w:rsidR="005C38C0" w:rsidRPr="00327858">
        <w:t xml:space="preserve"> 5260.0.55.002</w:t>
      </w:r>
      <w:r w:rsidR="001A1095">
        <w:t>)</w:t>
      </w:r>
      <w:r w:rsidR="00D6509C">
        <w:t>.</w:t>
      </w:r>
      <w:r w:rsidRPr="00167F06">
        <w:t xml:space="preserve"> </w:t>
      </w:r>
    </w:p>
    <w:p w:rsidR="00D16911" w:rsidRDefault="00D1691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Table \* ARABIC </w:instrText>
      </w:r>
      <w:r>
        <w:rPr>
          <w:b w:val="0"/>
        </w:rPr>
        <w:fldChar w:fldCharType="separate"/>
      </w:r>
      <w:r w:rsidR="000F443A">
        <w:rPr>
          <w:b w:val="0"/>
          <w:noProof/>
        </w:rPr>
        <w:t>1</w:t>
      </w:r>
      <w:r>
        <w:rPr>
          <w:b w:val="0"/>
        </w:rPr>
        <w:fldChar w:fldCharType="end"/>
      </w:r>
      <w:r>
        <w:tab/>
        <w:t xml:space="preserve">Growth in labour, capital and total income, 1990s and 2000s </w:t>
      </w:r>
    </w:p>
    <w:p w:rsidR="00D16911" w:rsidRDefault="00D16911">
      <w:pPr>
        <w:pStyle w:val="Subtitle"/>
      </w:pPr>
      <w:r>
        <w:t xml:space="preserve">per cent per year </w:t>
      </w:r>
    </w:p>
    <w:tbl>
      <w:tblPr>
        <w:tblW w:w="5000" w:type="pct"/>
        <w:tblCellMar>
          <w:left w:w="0" w:type="dxa"/>
          <w:right w:w="0" w:type="dxa"/>
        </w:tblCellMar>
        <w:tblLook w:val="0000" w:firstRow="0" w:lastRow="0" w:firstColumn="0" w:lastColumn="0" w:noHBand="0" w:noVBand="0"/>
      </w:tblPr>
      <w:tblGrid>
        <w:gridCol w:w="2203"/>
        <w:gridCol w:w="2197"/>
        <w:gridCol w:w="2195"/>
        <w:gridCol w:w="2194"/>
      </w:tblGrid>
      <w:tr w:rsidR="00D16911" w:rsidTr="00D16911">
        <w:tc>
          <w:tcPr>
            <w:tcW w:w="1253" w:type="pct"/>
            <w:tcBorders>
              <w:top w:val="single" w:sz="6" w:space="0" w:color="auto"/>
              <w:bottom w:val="single" w:sz="6" w:space="0" w:color="auto"/>
            </w:tcBorders>
            <w:shd w:val="clear" w:color="auto" w:fill="auto"/>
          </w:tcPr>
          <w:p w:rsidR="00D16911" w:rsidRDefault="00D16911" w:rsidP="00D16911">
            <w:pPr>
              <w:pStyle w:val="TableColumnHeading"/>
            </w:pPr>
          </w:p>
        </w:tc>
        <w:tc>
          <w:tcPr>
            <w:tcW w:w="1250" w:type="pct"/>
            <w:tcBorders>
              <w:top w:val="single" w:sz="6" w:space="0" w:color="auto"/>
              <w:bottom w:val="single" w:sz="6" w:space="0" w:color="auto"/>
            </w:tcBorders>
            <w:shd w:val="clear" w:color="auto" w:fill="auto"/>
          </w:tcPr>
          <w:p w:rsidR="00D16911" w:rsidRPr="00CC5EF0" w:rsidRDefault="00C66BCE" w:rsidP="00D16911">
            <w:pPr>
              <w:pStyle w:val="TableColumnHeading"/>
            </w:pPr>
            <w:r>
              <w:br/>
            </w:r>
            <w:r w:rsidR="00D16911" w:rsidRPr="00CC5EF0">
              <w:t>1989-90 to 1999-00</w:t>
            </w:r>
          </w:p>
        </w:tc>
        <w:tc>
          <w:tcPr>
            <w:tcW w:w="1249" w:type="pct"/>
            <w:tcBorders>
              <w:top w:val="single" w:sz="6" w:space="0" w:color="auto"/>
              <w:bottom w:val="single" w:sz="6" w:space="0" w:color="auto"/>
            </w:tcBorders>
          </w:tcPr>
          <w:p w:rsidR="00D16911" w:rsidRPr="00CC5EF0" w:rsidRDefault="00C66BCE" w:rsidP="00D16911">
            <w:pPr>
              <w:pStyle w:val="TableColumnHeading"/>
            </w:pPr>
            <w:r>
              <w:br/>
            </w:r>
            <w:r w:rsidR="00D16911" w:rsidRPr="00CC5EF0">
              <w:t>1999-00 to 2009-10</w:t>
            </w:r>
          </w:p>
        </w:tc>
        <w:tc>
          <w:tcPr>
            <w:tcW w:w="1248" w:type="pct"/>
            <w:tcBorders>
              <w:top w:val="single" w:sz="6" w:space="0" w:color="auto"/>
              <w:bottom w:val="single" w:sz="6" w:space="0" w:color="auto"/>
            </w:tcBorders>
            <w:shd w:val="clear" w:color="auto" w:fill="auto"/>
          </w:tcPr>
          <w:p w:rsidR="00D16911" w:rsidRPr="00CC5EF0" w:rsidRDefault="00241FF6" w:rsidP="00D16911">
            <w:pPr>
              <w:pStyle w:val="TableColumnHeading"/>
            </w:pPr>
            <w:r>
              <w:t>Percentage point c</w:t>
            </w:r>
            <w:r w:rsidR="00D16911" w:rsidRPr="00CC5EF0">
              <w:t>hange</w:t>
            </w:r>
          </w:p>
        </w:tc>
      </w:tr>
      <w:tr w:rsidR="00D16911" w:rsidTr="00D16911">
        <w:tc>
          <w:tcPr>
            <w:tcW w:w="1253" w:type="pct"/>
          </w:tcPr>
          <w:p w:rsidR="00D16911" w:rsidRPr="00CC5EF0" w:rsidRDefault="00D16911" w:rsidP="00D16911">
            <w:pPr>
              <w:pStyle w:val="TableBodyText"/>
              <w:spacing w:before="120"/>
              <w:jc w:val="left"/>
            </w:pPr>
            <w:r w:rsidRPr="00CC5EF0">
              <w:t>Total income</w:t>
            </w:r>
          </w:p>
        </w:tc>
        <w:tc>
          <w:tcPr>
            <w:tcW w:w="1250" w:type="pct"/>
          </w:tcPr>
          <w:p w:rsidR="00D16911" w:rsidRPr="00CC5EF0" w:rsidRDefault="00D16911" w:rsidP="00D16911">
            <w:pPr>
              <w:pStyle w:val="TableBodyText"/>
              <w:spacing w:before="120"/>
            </w:pPr>
            <w:r w:rsidRPr="00CC5EF0">
              <w:t>4.5</w:t>
            </w:r>
          </w:p>
        </w:tc>
        <w:tc>
          <w:tcPr>
            <w:tcW w:w="1249" w:type="pct"/>
          </w:tcPr>
          <w:p w:rsidR="00D16911" w:rsidRPr="00CC5EF0" w:rsidRDefault="00D16911" w:rsidP="00D16911">
            <w:pPr>
              <w:pStyle w:val="TableBodyText"/>
              <w:spacing w:before="120"/>
            </w:pPr>
            <w:r w:rsidRPr="00CC5EF0">
              <w:t>6.6</w:t>
            </w:r>
          </w:p>
        </w:tc>
        <w:tc>
          <w:tcPr>
            <w:tcW w:w="1248" w:type="pct"/>
          </w:tcPr>
          <w:p w:rsidR="00D16911" w:rsidRPr="00CC5EF0" w:rsidRDefault="00D16911" w:rsidP="00D16911">
            <w:pPr>
              <w:pStyle w:val="TableBodyText"/>
              <w:spacing w:before="120"/>
            </w:pPr>
            <w:r w:rsidRPr="00CC5EF0">
              <w:t>2.0</w:t>
            </w:r>
          </w:p>
        </w:tc>
      </w:tr>
      <w:tr w:rsidR="00D16911" w:rsidTr="00D16911">
        <w:tc>
          <w:tcPr>
            <w:tcW w:w="1253" w:type="pct"/>
          </w:tcPr>
          <w:p w:rsidR="00D16911" w:rsidRPr="00CC5EF0" w:rsidRDefault="00D16911" w:rsidP="00D16911">
            <w:pPr>
              <w:pStyle w:val="TableBodyText"/>
              <w:jc w:val="left"/>
            </w:pPr>
            <w:r w:rsidRPr="00CC5EF0">
              <w:t>Labour income</w:t>
            </w:r>
          </w:p>
        </w:tc>
        <w:tc>
          <w:tcPr>
            <w:tcW w:w="1250" w:type="pct"/>
          </w:tcPr>
          <w:p w:rsidR="00D16911" w:rsidRPr="00CC5EF0" w:rsidRDefault="00D16911" w:rsidP="00D16911">
            <w:pPr>
              <w:pStyle w:val="TableBodyText"/>
            </w:pPr>
            <w:r w:rsidRPr="00CC5EF0">
              <w:t>4.3</w:t>
            </w:r>
          </w:p>
        </w:tc>
        <w:tc>
          <w:tcPr>
            <w:tcW w:w="1249" w:type="pct"/>
          </w:tcPr>
          <w:p w:rsidR="00D16911" w:rsidRPr="00CC5EF0" w:rsidRDefault="00D16911" w:rsidP="00D16911">
            <w:pPr>
              <w:pStyle w:val="TableBodyText"/>
            </w:pPr>
            <w:r w:rsidRPr="00CC5EF0">
              <w:t>5.8</w:t>
            </w:r>
          </w:p>
        </w:tc>
        <w:tc>
          <w:tcPr>
            <w:tcW w:w="1248" w:type="pct"/>
          </w:tcPr>
          <w:p w:rsidR="00D16911" w:rsidRPr="00CC5EF0" w:rsidRDefault="00D16911" w:rsidP="00D16911">
            <w:pPr>
              <w:pStyle w:val="TableBodyText"/>
            </w:pPr>
            <w:r w:rsidRPr="00CC5EF0">
              <w:t>1.5</w:t>
            </w:r>
          </w:p>
        </w:tc>
      </w:tr>
      <w:tr w:rsidR="00D16911" w:rsidTr="00D16911">
        <w:tc>
          <w:tcPr>
            <w:tcW w:w="1253" w:type="pct"/>
          </w:tcPr>
          <w:p w:rsidR="00D16911" w:rsidRPr="00CC5EF0" w:rsidRDefault="00D16911" w:rsidP="00D16911">
            <w:pPr>
              <w:pStyle w:val="TableBodyText"/>
              <w:jc w:val="left"/>
            </w:pPr>
            <w:r w:rsidRPr="00CC5EF0">
              <w:t>Capital income</w:t>
            </w:r>
          </w:p>
        </w:tc>
        <w:tc>
          <w:tcPr>
            <w:tcW w:w="1250" w:type="pct"/>
          </w:tcPr>
          <w:p w:rsidR="00D16911" w:rsidRPr="00CC5EF0" w:rsidRDefault="00D16911" w:rsidP="00D16911">
            <w:pPr>
              <w:pStyle w:val="TableBodyText"/>
            </w:pPr>
            <w:r w:rsidRPr="00CC5EF0">
              <w:t>4.9</w:t>
            </w:r>
          </w:p>
        </w:tc>
        <w:tc>
          <w:tcPr>
            <w:tcW w:w="1249" w:type="pct"/>
          </w:tcPr>
          <w:p w:rsidR="00D16911" w:rsidRPr="00CC5EF0" w:rsidRDefault="00D16911" w:rsidP="00D16911">
            <w:pPr>
              <w:pStyle w:val="TableBodyText"/>
            </w:pPr>
            <w:r w:rsidRPr="00CC5EF0">
              <w:t>7.5</w:t>
            </w:r>
          </w:p>
        </w:tc>
        <w:tc>
          <w:tcPr>
            <w:tcW w:w="1248" w:type="pct"/>
          </w:tcPr>
          <w:p w:rsidR="00D16911" w:rsidRPr="00CC5EF0" w:rsidRDefault="00D16911" w:rsidP="00D16911">
            <w:pPr>
              <w:pStyle w:val="TableBodyText"/>
            </w:pPr>
            <w:r w:rsidRPr="00CC5EF0">
              <w:t>2.6</w:t>
            </w:r>
          </w:p>
        </w:tc>
      </w:tr>
      <w:tr w:rsidR="00D16911" w:rsidTr="00D16911">
        <w:tc>
          <w:tcPr>
            <w:tcW w:w="1253" w:type="pct"/>
            <w:tcBorders>
              <w:bottom w:val="single" w:sz="4" w:space="0" w:color="auto"/>
            </w:tcBorders>
          </w:tcPr>
          <w:p w:rsidR="00D16911" w:rsidRPr="00CC5EF0" w:rsidRDefault="00D16911" w:rsidP="00D16911">
            <w:pPr>
              <w:pStyle w:val="TableBodyText"/>
              <w:jc w:val="left"/>
            </w:pPr>
            <w:r w:rsidRPr="00CC5EF0">
              <w:t>Difference (cap - lab)</w:t>
            </w:r>
          </w:p>
        </w:tc>
        <w:tc>
          <w:tcPr>
            <w:tcW w:w="1250" w:type="pct"/>
            <w:tcBorders>
              <w:bottom w:val="single" w:sz="4" w:space="0" w:color="auto"/>
            </w:tcBorders>
          </w:tcPr>
          <w:p w:rsidR="00D16911" w:rsidRPr="00CC5EF0" w:rsidRDefault="00D16911" w:rsidP="00D16911">
            <w:pPr>
              <w:pStyle w:val="TableBodyText"/>
            </w:pPr>
            <w:r w:rsidRPr="00CC5EF0">
              <w:t>0.6</w:t>
            </w:r>
          </w:p>
        </w:tc>
        <w:tc>
          <w:tcPr>
            <w:tcW w:w="1249" w:type="pct"/>
            <w:tcBorders>
              <w:bottom w:val="single" w:sz="4" w:space="0" w:color="auto"/>
            </w:tcBorders>
          </w:tcPr>
          <w:p w:rsidR="00D16911" w:rsidRPr="00CC5EF0" w:rsidRDefault="00D16911" w:rsidP="00D16911">
            <w:pPr>
              <w:pStyle w:val="TableBodyText"/>
            </w:pPr>
            <w:r w:rsidRPr="00CC5EF0">
              <w:t>1.6</w:t>
            </w:r>
          </w:p>
        </w:tc>
        <w:tc>
          <w:tcPr>
            <w:tcW w:w="1248" w:type="pct"/>
            <w:tcBorders>
              <w:bottom w:val="single" w:sz="4" w:space="0" w:color="auto"/>
            </w:tcBorders>
          </w:tcPr>
          <w:p w:rsidR="00D16911" w:rsidRPr="00CC5EF0" w:rsidRDefault="00D16911" w:rsidP="00D16911">
            <w:pPr>
              <w:pStyle w:val="TableBodyText"/>
            </w:pPr>
            <w:r w:rsidRPr="00CC5EF0">
              <w:t>1.1</w:t>
            </w:r>
          </w:p>
        </w:tc>
      </w:tr>
    </w:tbl>
    <w:p w:rsidR="00D16911" w:rsidRPr="00D16911" w:rsidRDefault="00D16911" w:rsidP="00D16911">
      <w:pPr>
        <w:pStyle w:val="Source"/>
      </w:pPr>
      <w:r>
        <w:rPr>
          <w:i/>
        </w:rPr>
        <w:t>Source:</w:t>
      </w:r>
      <w:r>
        <w:rPr>
          <w:i/>
        </w:rPr>
        <w:tab/>
      </w:r>
      <w:r>
        <w:t>Author’s estimates</w:t>
      </w:r>
      <w:r w:rsidR="00444140">
        <w:t xml:space="preserve"> based on ABS </w:t>
      </w:r>
      <w:r w:rsidR="001A1095">
        <w:t>(</w:t>
      </w:r>
      <w:r w:rsidR="006103E3">
        <w:t>Cat. n</w:t>
      </w:r>
      <w:r w:rsidR="00444140">
        <w:t>o.</w:t>
      </w:r>
      <w:r w:rsidR="00444140" w:rsidRPr="00327858">
        <w:t xml:space="preserve"> 5260.0.55.002</w:t>
      </w:r>
      <w:r w:rsidR="001A1095">
        <w:t>)</w:t>
      </w:r>
      <w:r w:rsidR="005248AA">
        <w:t>.</w:t>
      </w:r>
    </w:p>
    <w:p w:rsidR="00D16911" w:rsidRDefault="00D16911" w:rsidP="00D16911">
      <w:pPr>
        <w:pStyle w:val="Heading4"/>
      </w:pPr>
      <w:r>
        <w:t>There was a stronger acceleration in capital income</w:t>
      </w:r>
    </w:p>
    <w:p w:rsidR="00D16911" w:rsidRDefault="00C62003" w:rsidP="00D16911">
      <w:pPr>
        <w:pStyle w:val="BodyText"/>
      </w:pPr>
      <w:r>
        <w:t>Capital income growth exceeded labour income growth in the 2000s because capital income accelerated more than labour income</w:t>
      </w:r>
      <w:r w:rsidR="00AF5636">
        <w:t>,</w:t>
      </w:r>
      <w:r>
        <w:t xml:space="preserve"> from </w:t>
      </w:r>
      <w:r w:rsidR="00E41042">
        <w:t>the</w:t>
      </w:r>
      <w:r w:rsidR="00AF5636">
        <w:t>ir</w:t>
      </w:r>
      <w:r>
        <w:t xml:space="preserve"> </w:t>
      </w:r>
      <w:r w:rsidR="00E41042">
        <w:t>growth rates of the 1990s</w:t>
      </w:r>
      <w:r w:rsidR="00D16911">
        <w:t xml:space="preserve">. The growth </w:t>
      </w:r>
      <w:r w:rsidR="00ED5EA6">
        <w:t xml:space="preserve">rates </w:t>
      </w:r>
      <w:r w:rsidR="00E41042">
        <w:t xml:space="preserve">of capital and labour </w:t>
      </w:r>
      <w:r w:rsidR="00ED5EA6">
        <w:t>were</w:t>
      </w:r>
      <w:r w:rsidR="00D16911">
        <w:t xml:space="preserve"> similar in the 1990s, with capital income growing around 60 per cent or at a rate of 4.9 per cent a year. In the 2000s, capital income grew an additional 50 </w:t>
      </w:r>
      <w:r w:rsidR="000A0733">
        <w:t>percentage point</w:t>
      </w:r>
      <w:r w:rsidR="00D16911">
        <w:t xml:space="preserve">s or at 7.5 per cent annual average rate. The 2.6 </w:t>
      </w:r>
      <w:r w:rsidR="000A0733">
        <w:t>percentage points</w:t>
      </w:r>
      <w:r w:rsidR="00D16911">
        <w:t xml:space="preserve"> acceleration in the rate of capital income g</w:t>
      </w:r>
      <w:r w:rsidR="006103E3">
        <w:t>rowth rate compares with the 1.5</w:t>
      </w:r>
      <w:r w:rsidR="00D16911">
        <w:t xml:space="preserve"> </w:t>
      </w:r>
      <w:r w:rsidR="000A0733">
        <w:t>percentage points</w:t>
      </w:r>
      <w:r w:rsidR="00D16911">
        <w:t xml:space="preserve"> acceleration in the labour income rate.</w:t>
      </w:r>
    </w:p>
    <w:p w:rsidR="00AE7A60" w:rsidRDefault="00BF06DF" w:rsidP="001A269D">
      <w:pPr>
        <w:pStyle w:val="Heading2"/>
      </w:pPr>
      <w:fldSimple w:instr=" COMMENTS  \* MERGEFORMAT ">
        <w:r w:rsidR="00852B17">
          <w:t>4.</w:t>
        </w:r>
      </w:fldSimple>
      <w:r w:rsidR="00CC6F1B">
        <w:fldChar w:fldCharType="begin"/>
      </w:r>
      <w:r w:rsidR="00CC6F1B">
        <w:instrText xml:space="preserve"> SEQ Heading2 </w:instrText>
      </w:r>
      <w:r w:rsidR="00CC6F1B">
        <w:fldChar w:fldCharType="separate"/>
      </w:r>
      <w:r w:rsidR="000F443A">
        <w:rPr>
          <w:noProof/>
        </w:rPr>
        <w:t>3</w:t>
      </w:r>
      <w:r w:rsidR="00CC6F1B">
        <w:rPr>
          <w:noProof/>
        </w:rPr>
        <w:fldChar w:fldCharType="end"/>
      </w:r>
      <w:r w:rsidR="00CA6BBD">
        <w:tab/>
      </w:r>
      <w:r w:rsidR="00AE7A60">
        <w:t>Factor proportions and relative rewards</w:t>
      </w:r>
    </w:p>
    <w:p w:rsidR="00B33E50" w:rsidRDefault="00540B8D" w:rsidP="00B33E50">
      <w:pPr>
        <w:pStyle w:val="BodyText"/>
      </w:pPr>
      <w:r>
        <w:t>T</w:t>
      </w:r>
      <w:r w:rsidR="00FF280B">
        <w:t xml:space="preserve">he </w:t>
      </w:r>
      <w:r w:rsidR="004351E4">
        <w:t xml:space="preserve">stronger growth and </w:t>
      </w:r>
      <w:r w:rsidR="00FF280B">
        <w:t>acceleration in capital income</w:t>
      </w:r>
      <w:r w:rsidR="005C38D0">
        <w:t>, relative to labour income,</w:t>
      </w:r>
      <w:r w:rsidR="00FF280B">
        <w:t xml:space="preserve"> </w:t>
      </w:r>
      <w:r>
        <w:t>could be</w:t>
      </w:r>
      <w:r w:rsidR="00FF280B">
        <w:t xml:space="preserve"> due to</w:t>
      </w:r>
      <w:r>
        <w:t xml:space="preserve"> one or a combination of</w:t>
      </w:r>
      <w:r w:rsidR="00FF280B">
        <w:t>:</w:t>
      </w:r>
      <w:r w:rsidR="008710B7">
        <w:t xml:space="preserve"> </w:t>
      </w:r>
    </w:p>
    <w:p w:rsidR="00D73BD8" w:rsidRDefault="006103E3" w:rsidP="00B33E50">
      <w:pPr>
        <w:pStyle w:val="ListBullet"/>
      </w:pPr>
      <w:r>
        <w:t>a quantity effect</w:t>
      </w:r>
    </w:p>
    <w:p w:rsidR="00D73BD8" w:rsidRDefault="00D73BD8" w:rsidP="00D73BD8">
      <w:pPr>
        <w:pStyle w:val="ListBullet2"/>
      </w:pPr>
      <w:r>
        <w:t xml:space="preserve">the </w:t>
      </w:r>
      <w:r w:rsidR="00B33E50">
        <w:t xml:space="preserve">quantity of </w:t>
      </w:r>
      <w:r>
        <w:t>capital</w:t>
      </w:r>
      <w:r w:rsidR="00B33E50">
        <w:t xml:space="preserve"> </w:t>
      </w:r>
      <w:r w:rsidR="00FF280B">
        <w:t xml:space="preserve">used </w:t>
      </w:r>
      <w:r w:rsidR="00B33E50">
        <w:t>increase</w:t>
      </w:r>
      <w:r w:rsidR="00540B8D">
        <w:t>s</w:t>
      </w:r>
      <w:r w:rsidR="00B33E50">
        <w:t xml:space="preserve"> relative to </w:t>
      </w:r>
      <w:r w:rsidR="003C172A">
        <w:t xml:space="preserve">the </w:t>
      </w:r>
      <w:r w:rsidR="00FF280B">
        <w:t>use</w:t>
      </w:r>
      <w:r w:rsidR="00B33E50">
        <w:t xml:space="preserve"> of </w:t>
      </w:r>
      <w:r w:rsidR="006103E3">
        <w:t>labour</w:t>
      </w:r>
    </w:p>
    <w:p w:rsidR="00B33E50" w:rsidRDefault="00B33E50" w:rsidP="00D73BD8">
      <w:pPr>
        <w:pStyle w:val="ListBullet2"/>
      </w:pPr>
      <w:r>
        <w:t xml:space="preserve">this </w:t>
      </w:r>
      <w:r w:rsidR="00BE2153">
        <w:t>would be</w:t>
      </w:r>
      <w:r>
        <w:t xml:space="preserve"> a ‘factor proportions’ </w:t>
      </w:r>
      <w:r w:rsidR="00175C1D">
        <w:t>contribut</w:t>
      </w:r>
      <w:r w:rsidR="003C172A">
        <w:t>ion</w:t>
      </w:r>
      <w:r>
        <w:t>;</w:t>
      </w:r>
    </w:p>
    <w:p w:rsidR="00D73BD8" w:rsidRDefault="006103E3" w:rsidP="00D73BD8">
      <w:pPr>
        <w:pStyle w:val="ListBullet"/>
      </w:pPr>
      <w:r>
        <w:t>a price effect</w:t>
      </w:r>
    </w:p>
    <w:p w:rsidR="00B33E50" w:rsidRDefault="002B7305" w:rsidP="00D73BD8">
      <w:pPr>
        <w:pStyle w:val="ListBullet2"/>
      </w:pPr>
      <w:r>
        <w:t xml:space="preserve">the </w:t>
      </w:r>
      <w:r w:rsidR="00B33E50">
        <w:t xml:space="preserve">rate of payment </w:t>
      </w:r>
      <w:r w:rsidR="00540B8D">
        <w:t xml:space="preserve">of income </w:t>
      </w:r>
      <w:r>
        <w:t>to</w:t>
      </w:r>
      <w:r w:rsidR="00B33E50">
        <w:t xml:space="preserve"> </w:t>
      </w:r>
      <w:r w:rsidR="00540B8D">
        <w:t>capital increases</w:t>
      </w:r>
      <w:r w:rsidR="00D73BD8" w:rsidRPr="00227582">
        <w:t>, relative to the rate</w:t>
      </w:r>
      <w:r w:rsidR="00B33E50">
        <w:t xml:space="preserve"> of </w:t>
      </w:r>
      <w:r w:rsidR="00540B8D">
        <w:t>payment to labour</w:t>
      </w:r>
    </w:p>
    <w:p w:rsidR="00D73BD8" w:rsidRDefault="00B33E50" w:rsidP="00D73BD8">
      <w:pPr>
        <w:pStyle w:val="ListBullet2"/>
      </w:pPr>
      <w:r>
        <w:t xml:space="preserve">this </w:t>
      </w:r>
      <w:r w:rsidR="00BE2153">
        <w:t>would be</w:t>
      </w:r>
      <w:r>
        <w:t xml:space="preserve"> a ‘relative rewards’ </w:t>
      </w:r>
      <w:r w:rsidR="00175C1D">
        <w:t>contribut</w:t>
      </w:r>
      <w:r w:rsidR="003C172A">
        <w:t>ion</w:t>
      </w:r>
      <w:r w:rsidR="00D73BD8" w:rsidRPr="00227582">
        <w:t>.</w:t>
      </w:r>
    </w:p>
    <w:p w:rsidR="003F3354" w:rsidRDefault="003F3354" w:rsidP="00D73BD8">
      <w:pPr>
        <w:pStyle w:val="BodyText"/>
      </w:pPr>
      <w:r>
        <w:t>The objective in this section is to discover whether the quantity or price effect dominated in the 2000s.</w:t>
      </w:r>
    </w:p>
    <w:p w:rsidR="003F3354" w:rsidRPr="00FA104B" w:rsidRDefault="003F3354" w:rsidP="003F3354">
      <w:pPr>
        <w:pStyle w:val="BodyText"/>
      </w:pPr>
      <w:r>
        <w:t>In the assessment that follows, the capital-labour ratio (</w:t>
      </w:r>
      <w:r w:rsidRPr="00CE324F">
        <w:rPr>
          <w:i/>
        </w:rPr>
        <w:t>K/L</w:t>
      </w:r>
      <w:r>
        <w:t xml:space="preserve">) is defined in terms of capital services </w:t>
      </w:r>
      <w:r w:rsidR="00DF41B0">
        <w:t>delivered</w:t>
      </w:r>
      <w:r>
        <w:t xml:space="preserve"> </w:t>
      </w:r>
      <w:r w:rsidR="00B65E61">
        <w:t>(</w:t>
      </w:r>
      <w:r w:rsidR="00B65E61" w:rsidRPr="00B65E61">
        <w:rPr>
          <w:i/>
        </w:rPr>
        <w:t>K</w:t>
      </w:r>
      <w:r w:rsidR="00B65E61">
        <w:t xml:space="preserve">) </w:t>
      </w:r>
      <w:r>
        <w:t>and hours of work provided</w:t>
      </w:r>
      <w:r w:rsidR="00B65E61">
        <w:t xml:space="preserve"> (</w:t>
      </w:r>
      <w:r w:rsidR="00B65E61" w:rsidRPr="00B65E61">
        <w:rPr>
          <w:i/>
        </w:rPr>
        <w:t>L</w:t>
      </w:r>
      <w:r w:rsidR="00B65E61">
        <w:t>)</w:t>
      </w:r>
      <w:r>
        <w:t xml:space="preserve">. The </w:t>
      </w:r>
      <w:r w:rsidR="00CC5EF0">
        <w:t xml:space="preserve">reward </w:t>
      </w:r>
      <w:r>
        <w:t>ratio (</w:t>
      </w:r>
      <w:r>
        <w:rPr>
          <w:i/>
        </w:rPr>
        <w:t>w</w:t>
      </w:r>
      <w:r w:rsidRPr="00CE324F">
        <w:rPr>
          <w:i/>
        </w:rPr>
        <w:t>/r</w:t>
      </w:r>
      <w:r>
        <w:t xml:space="preserve">) is formed from labour income divided by hours worked and capital income divided by the productive capital stock. The wage rate is therefore the average hourly </w:t>
      </w:r>
      <w:r w:rsidR="00ED5EA6">
        <w:t xml:space="preserve">cost </w:t>
      </w:r>
      <w:r>
        <w:t>of labour</w:t>
      </w:r>
      <w:r w:rsidR="00B65E61">
        <w:t xml:space="preserve"> (</w:t>
      </w:r>
      <w:r w:rsidR="00B65E61" w:rsidRPr="00B65E61">
        <w:rPr>
          <w:i/>
        </w:rPr>
        <w:t>w</w:t>
      </w:r>
      <w:r w:rsidR="00B65E61">
        <w:t>)</w:t>
      </w:r>
      <w:r>
        <w:t xml:space="preserve">. The </w:t>
      </w:r>
      <w:r w:rsidR="00B65E61">
        <w:t xml:space="preserve">gross </w:t>
      </w:r>
      <w:r>
        <w:t>rate</w:t>
      </w:r>
      <w:r w:rsidR="00DF41B0">
        <w:t xml:space="preserve"> of return</w:t>
      </w:r>
      <w:r>
        <w:t xml:space="preserve"> </w:t>
      </w:r>
      <w:r w:rsidR="00B65E61">
        <w:t>(</w:t>
      </w:r>
      <w:r w:rsidR="00B65E61" w:rsidRPr="00B65E61">
        <w:rPr>
          <w:i/>
        </w:rPr>
        <w:t>r</w:t>
      </w:r>
      <w:r w:rsidR="00B65E61">
        <w:t xml:space="preserve">) </w:t>
      </w:r>
      <w:r>
        <w:t>is the average gross return on capital, before tax, depreciation and interest.</w:t>
      </w:r>
      <w:r>
        <w:rPr>
          <w:rStyle w:val="FootnoteReference"/>
        </w:rPr>
        <w:footnoteReference w:id="4"/>
      </w:r>
    </w:p>
    <w:p w:rsidR="003F3354" w:rsidRDefault="003F3354" w:rsidP="003F3354">
      <w:pPr>
        <w:pStyle w:val="Heading3"/>
      </w:pPr>
      <w:r>
        <w:t>Factor proportions, reward ratios and the labour income share</w:t>
      </w:r>
    </w:p>
    <w:p w:rsidR="00C014A1" w:rsidRDefault="001C75E5" w:rsidP="00D73BD8">
      <w:pPr>
        <w:pStyle w:val="BodyText"/>
      </w:pPr>
      <w:r>
        <w:t>The capital-labour ratio</w:t>
      </w:r>
      <w:r w:rsidR="00AB742E">
        <w:t xml:space="preserve"> tends to </w:t>
      </w:r>
      <w:r w:rsidR="002B7305">
        <w:t xml:space="preserve">increase over time. </w:t>
      </w:r>
      <w:r w:rsidR="004528BB">
        <w:t>For</w:t>
      </w:r>
      <w:r w:rsidR="00DD4411">
        <w:t xml:space="preserve"> t</w:t>
      </w:r>
      <w:r w:rsidR="002B7305">
        <w:t xml:space="preserve">he LIS </w:t>
      </w:r>
      <w:r w:rsidR="004528BB">
        <w:t xml:space="preserve">to </w:t>
      </w:r>
      <w:r w:rsidR="002B7305">
        <w:t xml:space="preserve">remain constant </w:t>
      </w:r>
      <w:r w:rsidR="004528BB">
        <w:t xml:space="preserve">in these circumstances, </w:t>
      </w:r>
      <w:r w:rsidR="00BE2153">
        <w:t xml:space="preserve">growth in the </w:t>
      </w:r>
      <w:r w:rsidR="00D00313">
        <w:t xml:space="preserve">reward </w:t>
      </w:r>
      <w:r w:rsidR="005C38D0">
        <w:t xml:space="preserve">ratio </w:t>
      </w:r>
      <w:r w:rsidR="00D00313">
        <w:t>(</w:t>
      </w:r>
      <w:r w:rsidR="005C38D0">
        <w:t xml:space="preserve">wage rate </w:t>
      </w:r>
      <w:r w:rsidR="00D00313">
        <w:t>to</w:t>
      </w:r>
      <w:r w:rsidR="005C38D0">
        <w:t xml:space="preserve"> rate </w:t>
      </w:r>
      <w:r w:rsidR="00DF41B0">
        <w:t>of return</w:t>
      </w:r>
      <w:r w:rsidR="00D00313">
        <w:t>)</w:t>
      </w:r>
      <w:r w:rsidR="00BE2153">
        <w:t xml:space="preserve"> </w:t>
      </w:r>
      <w:r w:rsidR="004528BB">
        <w:t xml:space="preserve">has to </w:t>
      </w:r>
      <w:r w:rsidR="00BE2153">
        <w:t xml:space="preserve">match </w:t>
      </w:r>
      <w:r w:rsidR="002B7305">
        <w:t>growth in the capital-labour ratio</w:t>
      </w:r>
      <w:r w:rsidR="00AB742E">
        <w:t xml:space="preserve">. </w:t>
      </w:r>
      <w:r w:rsidR="0024345B">
        <w:t>A fall in the LIS means that growth in factor proportions exceeds growth in the reward ratio (b</w:t>
      </w:r>
      <w:r w:rsidR="004528BB" w:rsidRPr="00D00313">
        <w:t xml:space="preserve">ox </w:t>
      </w:r>
      <w:r w:rsidR="0024345B">
        <w:t>4.1)</w:t>
      </w:r>
      <w:r w:rsidR="004528BB" w:rsidRPr="00D00313">
        <w:t>.</w:t>
      </w:r>
    </w:p>
    <w:p w:rsidR="00D16911" w:rsidRDefault="00D1691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16911" w:rsidTr="00D16911">
        <w:tc>
          <w:tcPr>
            <w:tcW w:w="8771" w:type="dxa"/>
            <w:tcBorders>
              <w:top w:val="single" w:sz="6" w:space="0" w:color="auto"/>
              <w:bottom w:val="nil"/>
            </w:tcBorders>
          </w:tcPr>
          <w:p w:rsidR="00D16911" w:rsidRDefault="00D16911" w:rsidP="00D16911">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Box \* ARABIC </w:instrText>
            </w:r>
            <w:r>
              <w:rPr>
                <w:b w:val="0"/>
              </w:rPr>
              <w:fldChar w:fldCharType="separate"/>
            </w:r>
            <w:r w:rsidR="000F443A">
              <w:rPr>
                <w:b w:val="0"/>
                <w:noProof/>
              </w:rPr>
              <w:t>1</w:t>
            </w:r>
            <w:r>
              <w:rPr>
                <w:b w:val="0"/>
              </w:rPr>
              <w:fldChar w:fldCharType="end"/>
            </w:r>
            <w:r>
              <w:tab/>
              <w:t>Changes in the LIS and quantity and price contributions</w:t>
            </w:r>
          </w:p>
        </w:tc>
      </w:tr>
      <w:tr w:rsidR="00D16911" w:rsidTr="00D16911">
        <w:trPr>
          <w:cantSplit/>
        </w:trPr>
        <w:tc>
          <w:tcPr>
            <w:tcW w:w="8771" w:type="dxa"/>
            <w:tcBorders>
              <w:top w:val="nil"/>
              <w:left w:val="single" w:sz="6" w:space="0" w:color="auto"/>
              <w:bottom w:val="nil"/>
              <w:right w:val="single" w:sz="6" w:space="0" w:color="auto"/>
            </w:tcBorders>
          </w:tcPr>
          <w:p w:rsidR="00D16911" w:rsidRDefault="00D16911" w:rsidP="00D16911">
            <w:pPr>
              <w:pStyle w:val="Box"/>
            </w:pPr>
            <w:r w:rsidRPr="00C07AFD">
              <w:t xml:space="preserve">One way to capture the relationship between </w:t>
            </w:r>
            <w:r>
              <w:t xml:space="preserve">changes in </w:t>
            </w:r>
            <w:r w:rsidRPr="00C07AFD">
              <w:t xml:space="preserve">the labour income share </w:t>
            </w:r>
            <w:r>
              <w:t>(</w:t>
            </w:r>
            <w:r w:rsidRPr="00C07AFD">
              <w:t>LIS</w:t>
            </w:r>
            <w:r>
              <w:t>)</w:t>
            </w:r>
            <w:r w:rsidRPr="00C07AFD">
              <w:t xml:space="preserve"> and quantity and price effects is to express the ratio of the </w:t>
            </w:r>
            <w:r>
              <w:t xml:space="preserve">LIS </w:t>
            </w:r>
            <w:r w:rsidRPr="00C07AFD">
              <w:t xml:space="preserve">and the capital income share (KIS) in terms of their quantity and price components. </w:t>
            </w:r>
          </w:p>
          <w:p w:rsidR="00D16911" w:rsidRPr="00A03D12" w:rsidRDefault="00A03D12" w:rsidP="00A03D12">
            <w:pPr>
              <w:pStyle w:val="Box"/>
              <w:tabs>
                <w:tab w:val="left" w:pos="1112"/>
              </w:tabs>
              <w:rPr>
                <w:sz w:val="28"/>
                <w:szCs w:val="28"/>
              </w:rPr>
            </w:pPr>
            <w:r>
              <w:tab/>
            </w:r>
            <m:oMath>
              <m:f>
                <m:fPr>
                  <m:ctrlPr>
                    <w:rPr>
                      <w:rFonts w:ascii="Cambria Math" w:hAnsi="Cambria Math"/>
                      <w:i/>
                      <w:sz w:val="28"/>
                      <w:szCs w:val="28"/>
                    </w:rPr>
                  </m:ctrlPr>
                </m:fPr>
                <m:num>
                  <m:r>
                    <w:rPr>
                      <w:rFonts w:ascii="Cambria Math" w:hAnsi="Cambria Math"/>
                      <w:sz w:val="28"/>
                      <w:szCs w:val="28"/>
                    </w:rPr>
                    <m:t>LIS</m:t>
                  </m:r>
                </m:num>
                <m:den>
                  <m:r>
                    <w:rPr>
                      <w:rFonts w:ascii="Cambria Math" w:hAnsi="Cambria Math"/>
                      <w:sz w:val="28"/>
                      <w:szCs w:val="28"/>
                    </w:rPr>
                    <m:t>KIS</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L.w</m:t>
                  </m:r>
                </m:num>
                <m:den>
                  <m:r>
                    <w:rPr>
                      <w:rFonts w:ascii="Cambria Math" w:hAnsi="Cambria Math"/>
                      <w:sz w:val="28"/>
                      <w:szCs w:val="28"/>
                    </w:rPr>
                    <m:t>K.r</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Y</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L</m:t>
                  </m:r>
                </m:num>
                <m:den>
                  <m:r>
                    <w:rPr>
                      <w:rFonts w:ascii="Cambria Math" w:hAnsi="Cambria Math"/>
                      <w:sz w:val="28"/>
                      <w:szCs w:val="28"/>
                    </w:rPr>
                    <m:t>K</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w</m:t>
                  </m:r>
                </m:num>
                <m:den>
                  <m:r>
                    <w:rPr>
                      <w:rFonts w:ascii="Cambria Math" w:hAnsi="Cambria Math"/>
                      <w:sz w:val="28"/>
                      <w:szCs w:val="28"/>
                    </w:rPr>
                    <m:t>r</m:t>
                  </m:r>
                </m:den>
              </m:f>
            </m:oMath>
          </w:p>
          <w:p w:rsidR="00D16911" w:rsidRPr="00C07AFD" w:rsidRDefault="00D16911" w:rsidP="00D16911">
            <w:pPr>
              <w:pStyle w:val="Box"/>
            </w:pPr>
            <w:r w:rsidRPr="00C07AFD">
              <w:t xml:space="preserve">where </w:t>
            </w:r>
            <w:r w:rsidRPr="008539A1">
              <w:rPr>
                <w:rFonts w:ascii="Times New Roman" w:hAnsi="Times New Roman"/>
                <w:i/>
                <w:sz w:val="26"/>
                <w:szCs w:val="26"/>
              </w:rPr>
              <w:t>K</w:t>
            </w:r>
            <w:r w:rsidRPr="00C07AFD">
              <w:t xml:space="preserve"> is capital services, </w:t>
            </w:r>
            <w:r w:rsidRPr="008539A1">
              <w:rPr>
                <w:rFonts w:ascii="Times New Roman" w:hAnsi="Times New Roman"/>
                <w:i/>
                <w:sz w:val="26"/>
                <w:szCs w:val="26"/>
              </w:rPr>
              <w:t>L</w:t>
            </w:r>
            <w:r w:rsidRPr="00C07AFD">
              <w:t xml:space="preserve"> is hours worked, </w:t>
            </w:r>
            <w:r w:rsidRPr="008539A1">
              <w:rPr>
                <w:rFonts w:ascii="Times New Roman" w:hAnsi="Times New Roman"/>
                <w:i/>
                <w:sz w:val="26"/>
                <w:szCs w:val="26"/>
              </w:rPr>
              <w:t>w</w:t>
            </w:r>
            <w:r w:rsidRPr="00C07AFD">
              <w:t xml:space="preserve"> is the nominal average hourly wage rate, </w:t>
            </w:r>
            <w:r w:rsidRPr="008539A1">
              <w:rPr>
                <w:rFonts w:ascii="Times New Roman" w:hAnsi="Times New Roman"/>
                <w:i/>
                <w:sz w:val="26"/>
                <w:szCs w:val="26"/>
              </w:rPr>
              <w:t>r</w:t>
            </w:r>
            <w:r w:rsidRPr="008539A1">
              <w:rPr>
                <w:rFonts w:ascii="Times New Roman" w:hAnsi="Times New Roman"/>
                <w:sz w:val="26"/>
                <w:szCs w:val="26"/>
              </w:rPr>
              <w:t xml:space="preserve"> </w:t>
            </w:r>
            <w:r w:rsidRPr="00C07AFD">
              <w:t xml:space="preserve">is the rate of return on capital and </w:t>
            </w:r>
            <w:r w:rsidRPr="00C07AFD">
              <w:rPr>
                <w:i/>
              </w:rPr>
              <w:t>Y</w:t>
            </w:r>
            <w:r w:rsidRPr="00C07AFD">
              <w:t xml:space="preserve"> is nominal output.</w:t>
            </w:r>
          </w:p>
          <w:p w:rsidR="00D16911" w:rsidRPr="00C07AFD" w:rsidRDefault="00D16911" w:rsidP="00D16911">
            <w:pPr>
              <w:pStyle w:val="Box"/>
            </w:pPr>
            <w:r w:rsidRPr="00C07AFD">
              <w:t>To put this relationship in growth rate terms:</w:t>
            </w:r>
          </w:p>
          <w:p w:rsidR="00D16911" w:rsidRPr="00137063" w:rsidRDefault="00A03D12" w:rsidP="00A03D12">
            <w:pPr>
              <w:pStyle w:val="Box"/>
              <w:tabs>
                <w:tab w:val="left" w:pos="1171"/>
              </w:tabs>
              <w:rPr>
                <w:sz w:val="24"/>
                <w:szCs w:val="24"/>
              </w:rPr>
            </w:pPr>
            <w:r>
              <w:tab/>
            </w:r>
            <m:oMath>
              <m:acc>
                <m:accPr>
                  <m:ctrlPr>
                    <w:rPr>
                      <w:rFonts w:ascii="Cambria Math" w:hAnsi="Cambria Math"/>
                      <w:i/>
                      <w:sz w:val="24"/>
                      <w:szCs w:val="24"/>
                    </w:rPr>
                  </m:ctrlPr>
                </m:accPr>
                <m:e>
                  <m:r>
                    <w:rPr>
                      <w:rFonts w:ascii="Cambria Math" w:hAnsi="Cambria Math"/>
                      <w:sz w:val="24"/>
                      <w:szCs w:val="24"/>
                    </w:rPr>
                    <m:t>LIS</m:t>
                  </m:r>
                </m:e>
              </m:acc>
              <m:r>
                <w:rPr>
                  <w:rFonts w:ascii="Cambria Math" w:hAnsi="Cambria Math"/>
                  <w:sz w:val="24"/>
                  <w:szCs w:val="24"/>
                </w:rPr>
                <m:t>-</m:t>
              </m:r>
              <m:acc>
                <m:accPr>
                  <m:ctrlPr>
                    <w:rPr>
                      <w:rFonts w:ascii="Cambria Math" w:hAnsi="Cambria Math"/>
                      <w:i/>
                      <w:sz w:val="24"/>
                      <w:szCs w:val="24"/>
                    </w:rPr>
                  </m:ctrlPr>
                </m:accPr>
                <m:e>
                  <m:r>
                    <w:rPr>
                      <w:rFonts w:ascii="Cambria Math" w:hAnsi="Cambria Math"/>
                      <w:sz w:val="24"/>
                      <w:szCs w:val="24"/>
                    </w:rPr>
                    <m:t>KIS</m:t>
                  </m:r>
                </m:e>
              </m:acc>
              <m:r>
                <w:rPr>
                  <w:rFonts w:ascii="Cambria Math" w:hAnsi="Cambria Math"/>
                  <w:sz w:val="24"/>
                  <w:szCs w:val="24"/>
                </w:rPr>
                <m:t>=</m:t>
              </m:r>
              <m:acc>
                <m:accPr>
                  <m:ctrlPr>
                    <w:rPr>
                      <w:rFonts w:ascii="Cambria Math" w:hAnsi="Cambria Math"/>
                      <w:i/>
                      <w:sz w:val="24"/>
                      <w:szCs w:val="24"/>
                    </w:rPr>
                  </m:ctrlPr>
                </m:acc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w</m:t>
                          </m:r>
                        </m:num>
                        <m:den>
                          <m:r>
                            <w:rPr>
                              <w:rFonts w:ascii="Cambria Math" w:hAnsi="Cambria Math"/>
                              <w:sz w:val="24"/>
                              <w:szCs w:val="24"/>
                            </w:rPr>
                            <m:t>r</m:t>
                          </m:r>
                        </m:den>
                      </m:f>
                    </m:e>
                  </m:d>
                </m:e>
              </m:acc>
              <m:r>
                <w:rPr>
                  <w:rFonts w:ascii="Cambria Math" w:hAnsi="Cambria Math"/>
                  <w:sz w:val="24"/>
                  <w:szCs w:val="24"/>
                </w:rPr>
                <m:t>-</m:t>
              </m:r>
              <m:acc>
                <m:accPr>
                  <m:ctrlPr>
                    <w:rPr>
                      <w:rFonts w:ascii="Cambria Math" w:hAnsi="Cambria Math"/>
                      <w:i/>
                      <w:sz w:val="24"/>
                      <w:szCs w:val="24"/>
                    </w:rPr>
                  </m:ctrlPr>
                </m:accPr>
                <m:e>
                  <m:d>
                    <m:dPr>
                      <m:begChr m:val="["/>
                      <m:endChr m:val="]"/>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K</m:t>
                          </m:r>
                        </m:num>
                        <m:den>
                          <m:r>
                            <w:rPr>
                              <w:rFonts w:ascii="Cambria Math" w:hAnsi="Cambria Math"/>
                              <w:sz w:val="24"/>
                              <w:szCs w:val="24"/>
                            </w:rPr>
                            <m:t>L</m:t>
                          </m:r>
                        </m:den>
                      </m:f>
                    </m:e>
                  </m:d>
                </m:e>
              </m:acc>
            </m:oMath>
          </w:p>
          <w:p w:rsidR="00D16911" w:rsidRPr="00C07AFD" w:rsidRDefault="00D16911" w:rsidP="00D16911">
            <w:pPr>
              <w:pStyle w:val="Box"/>
            </w:pPr>
            <w:r w:rsidRPr="00C07AFD">
              <w:t>where the hat symbol ‘^’ over a variable refers to a growth rate in that variable.</w:t>
            </w:r>
          </w:p>
          <w:p w:rsidR="00D16911" w:rsidRPr="00C07AFD" w:rsidRDefault="00732052" w:rsidP="00D16911">
            <w:pPr>
              <w:pStyle w:val="Box"/>
            </w:pPr>
            <w:r>
              <w:t>I</w:t>
            </w:r>
            <w:r w:rsidR="00D16911" w:rsidRPr="00C07AFD">
              <w:t>f the LIS remains constant, so does the KIS</w:t>
            </w:r>
            <w:r>
              <w:t xml:space="preserve"> (because KIS = 1- LIS)</w:t>
            </w:r>
            <w:r w:rsidR="00ED5DF8">
              <w:t>.</w:t>
            </w:r>
            <w:r w:rsidR="00D16911" w:rsidRPr="00C07AFD">
              <w:t xml:space="preserve"> </w:t>
            </w:r>
            <w:r w:rsidR="00444140">
              <w:t xml:space="preserve">In this </w:t>
            </w:r>
            <w:r w:rsidR="00D16911" w:rsidRPr="00C07AFD">
              <w:t xml:space="preserve">case the left hand side equals zero and the condition for that </w:t>
            </w:r>
            <w:r w:rsidR="00D16911">
              <w:t xml:space="preserve">result </w:t>
            </w:r>
            <w:r w:rsidR="00D16911" w:rsidRPr="00C07AFD">
              <w:t xml:space="preserve">is that growth in the capital labour ratio is equal to the growth in the reward ratio. </w:t>
            </w:r>
          </w:p>
          <w:p w:rsidR="00D16911" w:rsidRDefault="00D16911" w:rsidP="00EB780A">
            <w:pPr>
              <w:pStyle w:val="Box"/>
            </w:pPr>
            <w:r w:rsidRPr="00C07AFD">
              <w:t>A</w:t>
            </w:r>
            <w:r>
              <w:t xml:space="preserve"> de</w:t>
            </w:r>
            <w:r w:rsidRPr="00C07AFD">
              <w:t xml:space="preserve">crease in the LIS will mean that the left hand side is </w:t>
            </w:r>
            <w:r w:rsidR="00EB780A">
              <w:t>negative</w:t>
            </w:r>
            <w:r w:rsidR="00EB780A" w:rsidRPr="00C07AFD">
              <w:t xml:space="preserve"> </w:t>
            </w:r>
            <w:r w:rsidRPr="00C07AFD">
              <w:t xml:space="preserve">and growth in the capital-labour ratio is greater than growth in the reward ratio. </w:t>
            </w:r>
            <w:r w:rsidR="00732052">
              <w:t>However, the size of the gap between growth in the price and quantity ratios does not indicate the extent of the decline in the LIS.</w:t>
            </w:r>
          </w:p>
        </w:tc>
      </w:tr>
      <w:tr w:rsidR="00D16911" w:rsidTr="00D16911">
        <w:trPr>
          <w:cantSplit/>
        </w:trPr>
        <w:tc>
          <w:tcPr>
            <w:tcW w:w="8771" w:type="dxa"/>
            <w:tcBorders>
              <w:top w:val="nil"/>
              <w:left w:val="single" w:sz="6" w:space="0" w:color="auto"/>
              <w:bottom w:val="single" w:sz="6" w:space="0" w:color="auto"/>
              <w:right w:val="single" w:sz="6" w:space="0" w:color="auto"/>
            </w:tcBorders>
          </w:tcPr>
          <w:p w:rsidR="00D16911" w:rsidRDefault="00D16911" w:rsidP="00D16911">
            <w:pPr>
              <w:pStyle w:val="Box"/>
              <w:spacing w:before="0" w:line="120" w:lineRule="exact"/>
            </w:pPr>
          </w:p>
        </w:tc>
      </w:tr>
      <w:tr w:rsidR="00D16911" w:rsidRPr="000863A5" w:rsidTr="00D16911">
        <w:tc>
          <w:tcPr>
            <w:tcW w:w="8771" w:type="dxa"/>
            <w:tcBorders>
              <w:top w:val="nil"/>
              <w:left w:val="nil"/>
              <w:bottom w:val="nil"/>
              <w:right w:val="nil"/>
            </w:tcBorders>
          </w:tcPr>
          <w:p w:rsidR="00D16911" w:rsidRPr="000863A5" w:rsidRDefault="00D16911" w:rsidP="00D16911">
            <w:pPr>
              <w:pStyle w:val="Box"/>
              <w:keepNext w:val="0"/>
              <w:spacing w:before="60" w:after="60" w:line="80" w:lineRule="exact"/>
              <w:rPr>
                <w:b/>
                <w:sz w:val="14"/>
              </w:rPr>
            </w:pPr>
          </w:p>
        </w:tc>
      </w:tr>
    </w:tbl>
    <w:p w:rsidR="00E77096" w:rsidRDefault="00E77096" w:rsidP="00E77096">
      <w:pPr>
        <w:pStyle w:val="BodyText"/>
      </w:pPr>
      <w:r>
        <w:t>The 1990s experience provides an illustration, albeit an inexact one.</w:t>
      </w:r>
      <w:r w:rsidRPr="00772A50">
        <w:t xml:space="preserve"> </w:t>
      </w:r>
      <w:r>
        <w:t>The labour income share was mostly flat and, as figure 4.3 (left panel) shows, growth in the capital-labour ratio and the reward ratio were fairly closely aligned over the decade.</w:t>
      </w:r>
      <w:r>
        <w:rPr>
          <w:rStyle w:val="FootnoteReference"/>
        </w:rPr>
        <w:footnoteReference w:id="5"/>
      </w:r>
      <w:r>
        <w:t xml:space="preserve"> </w:t>
      </w:r>
    </w:p>
    <w:p w:rsidR="00E77096" w:rsidRDefault="00E77096" w:rsidP="00E77096">
      <w:pPr>
        <w:pStyle w:val="BodyText"/>
      </w:pPr>
      <w:r>
        <w:t xml:space="preserve">The 2000s, when the LIS fell more markedly, </w:t>
      </w:r>
      <w:r w:rsidR="00943F18">
        <w:t>were</w:t>
      </w:r>
      <w:r>
        <w:t xml:space="preserve"> different. As the right-hand panel of figure 4.3 shows, the capital-labour ratio grew much more (53 per cent) than the wage-return ratio (32 per cent).</w:t>
      </w:r>
    </w:p>
    <w:p w:rsidR="00655F72" w:rsidRDefault="00655F72" w:rsidP="00E77096">
      <w:pPr>
        <w:pStyle w:val="BodyText"/>
      </w:pPr>
      <w:r>
        <w:t>However, the growth in the quantity and price ratios should be treated as orders of magnitude, rather than as precise estimates. As will be discussed in chapter 6, there is some uncertainty about the accuracy of the capital and rate of return estimates.</w:t>
      </w:r>
    </w:p>
    <w:p w:rsidR="004528BD" w:rsidRPr="009E710A" w:rsidRDefault="004528BD" w:rsidP="004528BD">
      <w:pPr>
        <w:pStyle w:val="FigureTitle"/>
        <w:rPr>
          <w:vertAlign w:val="superscript"/>
        </w:rPr>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3</w:t>
      </w:r>
      <w:r>
        <w:rPr>
          <w:b w:val="0"/>
        </w:rPr>
        <w:fldChar w:fldCharType="end"/>
      </w:r>
      <w:r>
        <w:tab/>
        <w:t>Cumulative annual growth in factor proportions and reward ratios and the labour income share, 1990s and 2000s</w:t>
      </w:r>
      <w:r w:rsidRPr="00FE77A9">
        <w:rPr>
          <w:rStyle w:val="NoteLabel"/>
        </w:rPr>
        <w:t>a</w:t>
      </w:r>
    </w:p>
    <w:p w:rsidR="004528BD" w:rsidRDefault="004528BD" w:rsidP="004528BD">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247718" w:rsidRPr="00247718" w:rsidTr="001C42C2">
        <w:tc>
          <w:tcPr>
            <w:tcW w:w="4388" w:type="dxa"/>
          </w:tcPr>
          <w:p w:rsidR="00247718" w:rsidRPr="00247718" w:rsidRDefault="00247718" w:rsidP="00247718">
            <w:pPr>
              <w:pStyle w:val="Figure"/>
              <w:spacing w:after="0"/>
              <w:rPr>
                <w:i/>
                <w:noProof/>
                <w:sz w:val="22"/>
                <w:szCs w:val="22"/>
              </w:rPr>
            </w:pPr>
            <w:r w:rsidRPr="00247718">
              <w:rPr>
                <w:i/>
                <w:noProof/>
                <w:sz w:val="22"/>
                <w:szCs w:val="22"/>
              </w:rPr>
              <w:t>1990s</w:t>
            </w:r>
          </w:p>
        </w:tc>
        <w:tc>
          <w:tcPr>
            <w:tcW w:w="4389" w:type="dxa"/>
          </w:tcPr>
          <w:p w:rsidR="00247718" w:rsidRPr="00247718" w:rsidRDefault="00247718" w:rsidP="00247718">
            <w:pPr>
              <w:pStyle w:val="Figure"/>
              <w:spacing w:after="0"/>
              <w:rPr>
                <w:i/>
                <w:noProof/>
                <w:sz w:val="22"/>
                <w:szCs w:val="22"/>
              </w:rPr>
            </w:pPr>
            <w:r w:rsidRPr="00247718">
              <w:rPr>
                <w:i/>
                <w:noProof/>
                <w:sz w:val="22"/>
                <w:szCs w:val="22"/>
              </w:rPr>
              <w:t>2000s</w:t>
            </w:r>
          </w:p>
        </w:tc>
      </w:tr>
      <w:tr w:rsidR="001C42C2" w:rsidTr="001C42C2">
        <w:tc>
          <w:tcPr>
            <w:tcW w:w="4388" w:type="dxa"/>
          </w:tcPr>
          <w:p w:rsidR="001C42C2" w:rsidRPr="00696C89" w:rsidRDefault="00EF47F6" w:rsidP="00247718">
            <w:pPr>
              <w:pStyle w:val="Figure"/>
              <w:spacing w:before="0"/>
              <w:rPr>
                <w:noProof/>
              </w:rPr>
            </w:pPr>
            <w:r>
              <w:rPr>
                <w:noProof/>
              </w:rPr>
              <w:drawing>
                <wp:inline distT="0" distB="0" distL="0" distR="0" wp14:anchorId="6EC8FEB8" wp14:editId="2FE0C784">
                  <wp:extent cx="2505075" cy="2466975"/>
                  <wp:effectExtent l="0" t="0" r="9525" b="0"/>
                  <wp:docPr id="14" name="Picture 14" descr="Cumulative annual growth in factor proportions and reward ratios and the labour income share, 1990s and 2000s. This figure show that, during the 1990s when the labour income share was stable, growth in the capital-to-labour ratio and the wage-to-return ratio were closely aligned. In the 2000s, when the labour income share fell, growth in the capital-to-labour ratio was much stronger than growth in the wage-to-return 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2466975"/>
                          </a:xfrm>
                          <a:prstGeom prst="rect">
                            <a:avLst/>
                          </a:prstGeom>
                          <a:noFill/>
                          <a:ln>
                            <a:noFill/>
                          </a:ln>
                        </pic:spPr>
                      </pic:pic>
                    </a:graphicData>
                  </a:graphic>
                </wp:inline>
              </w:drawing>
            </w:r>
          </w:p>
        </w:tc>
        <w:tc>
          <w:tcPr>
            <w:tcW w:w="4389" w:type="dxa"/>
          </w:tcPr>
          <w:p w:rsidR="001C42C2" w:rsidRPr="00696C89" w:rsidRDefault="00EF47F6" w:rsidP="00247718">
            <w:pPr>
              <w:pStyle w:val="Figure"/>
              <w:spacing w:before="0"/>
              <w:rPr>
                <w:noProof/>
              </w:rPr>
            </w:pPr>
            <w:r>
              <w:rPr>
                <w:noProof/>
              </w:rPr>
              <w:drawing>
                <wp:inline distT="0" distB="0" distL="0" distR="0" wp14:anchorId="5D52D15E" wp14:editId="4D36E8C0">
                  <wp:extent cx="2571750" cy="2457450"/>
                  <wp:effectExtent l="0" t="0" r="0" b="0"/>
                  <wp:docPr id="15" name="Picture 15" descr="Cumulative annual growth in factor proportions and reward ratios and the labour income share, 1990s and 2000s. This figure show that, during the 1990s when the labour income share was stable, growth in the capital-to-labour ratio and the wage-to-return ratio were closely aligned. In the 2000s, when the labour income share fell, growth in the capital-to-labour ratio was much stronger than growth in the wage-to-return rat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1750" cy="2457450"/>
                          </a:xfrm>
                          <a:prstGeom prst="rect">
                            <a:avLst/>
                          </a:prstGeom>
                          <a:noFill/>
                          <a:ln>
                            <a:noFill/>
                          </a:ln>
                        </pic:spPr>
                      </pic:pic>
                    </a:graphicData>
                  </a:graphic>
                </wp:inline>
              </w:drawing>
            </w:r>
          </w:p>
        </w:tc>
      </w:tr>
    </w:tbl>
    <w:p w:rsidR="004528BD" w:rsidRDefault="004528BD" w:rsidP="004528BD">
      <w:pPr>
        <w:pStyle w:val="Note"/>
      </w:pPr>
      <w:r>
        <w:rPr>
          <w:rStyle w:val="NoteLabel"/>
        </w:rPr>
        <w:t>a</w:t>
      </w:r>
      <w:r>
        <w:t xml:space="preserve"> 1989-90 to 1999-00 and 1999-00 to 2009-10.</w:t>
      </w:r>
    </w:p>
    <w:p w:rsidR="004528BD" w:rsidRDefault="006103E3" w:rsidP="004528BD">
      <w:pPr>
        <w:pStyle w:val="Source"/>
      </w:pPr>
      <w:r>
        <w:rPr>
          <w:i/>
        </w:rPr>
        <w:t xml:space="preserve">Data </w:t>
      </w:r>
      <w:r w:rsidR="00EF47F6">
        <w:rPr>
          <w:i/>
        </w:rPr>
        <w:t>s</w:t>
      </w:r>
      <w:r w:rsidR="004528BD">
        <w:rPr>
          <w:i/>
        </w:rPr>
        <w:t>ource</w:t>
      </w:r>
      <w:r w:rsidR="004528BD" w:rsidRPr="00167F06">
        <w:t xml:space="preserve">: </w:t>
      </w:r>
      <w:r w:rsidR="004528BD">
        <w:t xml:space="preserve">Author’s estimates </w:t>
      </w:r>
      <w:r w:rsidR="00444140">
        <w:t xml:space="preserve">based on ABS </w:t>
      </w:r>
      <w:r w:rsidR="001A1095">
        <w:t>(</w:t>
      </w:r>
      <w:r>
        <w:t>Cat. n</w:t>
      </w:r>
      <w:r w:rsidR="00444140">
        <w:t>o.</w:t>
      </w:r>
      <w:r w:rsidR="00444140" w:rsidRPr="00327858">
        <w:t xml:space="preserve"> 5260.0.55.002</w:t>
      </w:r>
      <w:r w:rsidR="001A1095">
        <w:t>)</w:t>
      </w:r>
      <w:r w:rsidR="00444140">
        <w:t>.</w:t>
      </w:r>
    </w:p>
    <w:p w:rsidR="009B6CC6" w:rsidRDefault="009B6CC6" w:rsidP="009B6CC6">
      <w:pPr>
        <w:pStyle w:val="Heading4"/>
      </w:pPr>
      <w:r>
        <w:t>The quantity effect dominated</w:t>
      </w:r>
    </w:p>
    <w:p w:rsidR="00971C34" w:rsidRDefault="002015FF" w:rsidP="00CB6215">
      <w:pPr>
        <w:pStyle w:val="BodyText"/>
      </w:pPr>
      <w:r>
        <w:t xml:space="preserve">If the 1990s </w:t>
      </w:r>
      <w:r w:rsidR="00F63606">
        <w:t>are</w:t>
      </w:r>
      <w:r>
        <w:t xml:space="preserve"> taken as a benchmark in which </w:t>
      </w:r>
      <w:r w:rsidR="00E25F10">
        <w:t>‘</w:t>
      </w:r>
      <w:r>
        <w:t>typical</w:t>
      </w:r>
      <w:r w:rsidR="00E25F10">
        <w:t>’</w:t>
      </w:r>
      <w:r>
        <w:t xml:space="preserve"> growth in the capital-labour ratio is </w:t>
      </w:r>
      <w:r w:rsidR="00374AAD">
        <w:t xml:space="preserve">approximately </w:t>
      </w:r>
      <w:r>
        <w:t xml:space="preserve">offset by </w:t>
      </w:r>
      <w:r w:rsidR="00E25F10">
        <w:t>‘</w:t>
      </w:r>
      <w:r>
        <w:t>typical</w:t>
      </w:r>
      <w:r w:rsidR="00E25F10">
        <w:t>’</w:t>
      </w:r>
      <w:r>
        <w:t xml:space="preserve"> growth in the reward ratio</w:t>
      </w:r>
      <w:r w:rsidR="00F63606">
        <w:rPr>
          <w:rStyle w:val="FootnoteReference"/>
        </w:rPr>
        <w:footnoteReference w:id="6"/>
      </w:r>
      <w:r>
        <w:t>, t</w:t>
      </w:r>
      <w:r w:rsidR="009B6CC6">
        <w:t>he fall in the LIS in the 2000s can be attributed predominantly to a</w:t>
      </w:r>
      <w:r w:rsidR="00943F18">
        <w:t>n increased</w:t>
      </w:r>
      <w:r w:rsidR="009B6CC6">
        <w:t xml:space="preserve"> quantity effect.</w:t>
      </w:r>
      <w:r w:rsidR="00CB6215">
        <w:t xml:space="preserve"> </w:t>
      </w:r>
      <w:r w:rsidR="001D27F6">
        <w:t xml:space="preserve">Factor proportions grew much more in the 2000s (70 per cent) </w:t>
      </w:r>
      <w:r w:rsidR="00F63606">
        <w:t>than</w:t>
      </w:r>
      <w:r w:rsidR="001D27F6">
        <w:t xml:space="preserve"> they did in the 1990s (34 </w:t>
      </w:r>
      <w:r w:rsidR="00C90DAE">
        <w:t>per cent), whereas growth in the reward ratio was similar (</w:t>
      </w:r>
      <w:r w:rsidR="00971C34">
        <w:t xml:space="preserve">32 and 26 per cent respectively). </w:t>
      </w:r>
      <w:r w:rsidR="001D27F6">
        <w:t xml:space="preserve">(See figure </w:t>
      </w:r>
      <w:r w:rsidR="00E77096">
        <w:t>4.3</w:t>
      </w:r>
      <w:r w:rsidR="000F54ED">
        <w:t>.</w:t>
      </w:r>
      <w:r w:rsidR="001D27F6">
        <w:t>)</w:t>
      </w:r>
    </w:p>
    <w:p w:rsidR="00CB6215" w:rsidRDefault="00971C34" w:rsidP="00CB6215">
      <w:pPr>
        <w:pStyle w:val="BodyText"/>
      </w:pPr>
      <w:r>
        <w:t xml:space="preserve">Table </w:t>
      </w:r>
      <w:r w:rsidR="00E77096">
        <w:t>4.2</w:t>
      </w:r>
      <w:r>
        <w:t xml:space="preserve"> provides the comparisons in growth rate</w:t>
      </w:r>
      <w:r w:rsidR="00241FF6">
        <w:t>s</w:t>
      </w:r>
      <w:r>
        <w:t xml:space="preserve">. The average annual rate of growth in the capital-labour ratio </w:t>
      </w:r>
      <w:r w:rsidR="00CB6215">
        <w:t xml:space="preserve">accelerated </w:t>
      </w:r>
      <w:r>
        <w:t xml:space="preserve">by </w:t>
      </w:r>
      <w:r w:rsidR="006103E3">
        <w:t>1</w:t>
      </w:r>
      <w:r>
        <w:t xml:space="preserve"> percentage point </w:t>
      </w:r>
      <w:r w:rsidR="00E77096">
        <w:t>between the decades, whereas t</w:t>
      </w:r>
      <w:r>
        <w:t>he rate of growth in the reward ratio remained stable.</w:t>
      </w:r>
    </w:p>
    <w:p w:rsidR="00C014A1" w:rsidRDefault="00C014A1" w:rsidP="00C014A1">
      <w:pPr>
        <w:pStyle w:val="Heading4"/>
      </w:pPr>
      <w:r>
        <w:t>The quantity effect was the result of an investment boom</w:t>
      </w:r>
    </w:p>
    <w:p w:rsidR="00C014A1" w:rsidRDefault="00C014A1" w:rsidP="00C014A1">
      <w:pPr>
        <w:pStyle w:val="BodyText"/>
      </w:pPr>
      <w:r>
        <w:t>The faster growth in the capital-labour ratio in the 2000s was due to more rapid growth in capital</w:t>
      </w:r>
      <w:r w:rsidR="00627BBE">
        <w:t xml:space="preserve"> (table 4.2)</w:t>
      </w:r>
      <w:r>
        <w:t xml:space="preserve">. While growth in hours worked picked up in the </w:t>
      </w:r>
      <w:r w:rsidR="00627BBE">
        <w:t>2000s</w:t>
      </w:r>
      <w:r>
        <w:t xml:space="preserve"> (</w:t>
      </w:r>
      <w:r w:rsidR="00627BBE">
        <w:t xml:space="preserve">a </w:t>
      </w:r>
      <w:r>
        <w:t>0.</w:t>
      </w:r>
      <w:r w:rsidR="00627BBE">
        <w:t>5</w:t>
      </w:r>
      <w:r>
        <w:t xml:space="preserve"> </w:t>
      </w:r>
      <w:r w:rsidR="000A0733">
        <w:t>percentage points</w:t>
      </w:r>
      <w:r>
        <w:t xml:space="preserve"> faster </w:t>
      </w:r>
      <w:r w:rsidR="00627BBE">
        <w:t>rate</w:t>
      </w:r>
      <w:r>
        <w:t>), the 2000s investment boom lifted the rate of growth in the capital stock by even more (1.5</w:t>
      </w:r>
      <w:r w:rsidR="000A0733">
        <w:t xml:space="preserve"> percentage points </w:t>
      </w:r>
      <w:r>
        <w:t xml:space="preserve">faster). Capital </w:t>
      </w:r>
      <w:r w:rsidR="00627BBE">
        <w:lastRenderedPageBreak/>
        <w:t xml:space="preserve">input </w:t>
      </w:r>
      <w:r>
        <w:t xml:space="preserve">growth was a very rapid 5.0 per cent a year on average over the </w:t>
      </w:r>
      <w:r w:rsidR="002015FF">
        <w:t xml:space="preserve">first decade of the </w:t>
      </w:r>
      <w:r>
        <w:t xml:space="preserve">2000s. </w:t>
      </w:r>
    </w:p>
    <w:p w:rsidR="00D16911" w:rsidRDefault="00D16911" w:rsidP="00D16911">
      <w:pPr>
        <w:pStyle w:val="Heading4"/>
      </w:pPr>
      <w:r>
        <w:t>Increased growth in wages and profits largely offset each other</w:t>
      </w:r>
    </w:p>
    <w:p w:rsidR="00D16911" w:rsidRDefault="00D16911" w:rsidP="00D16911">
      <w:pPr>
        <w:pStyle w:val="BodyText"/>
      </w:pPr>
      <w:r>
        <w:t xml:space="preserve">The rate of growth in wages and profits both lifted in the 1990s, but to about the same extent. Growth in nominal wage rates rose </w:t>
      </w:r>
      <w:r w:rsidR="007E7A51">
        <w:t>1</w:t>
      </w:r>
      <w:r w:rsidR="000A0733">
        <w:t xml:space="preserve"> percentage point </w:t>
      </w:r>
      <w:r>
        <w:t>and growth in rates of return rose 1</w:t>
      </w:r>
      <w:r w:rsidR="007E7A51">
        <w:t>.1</w:t>
      </w:r>
      <w:r w:rsidR="000A0733">
        <w:t xml:space="preserve"> percentage points </w:t>
      </w:r>
      <w:r>
        <w:t>(table 4.2). And so, the growth in the reward ratio was approximately the same over the two decades.</w:t>
      </w:r>
    </w:p>
    <w:p w:rsidR="00D16911" w:rsidRPr="00132C8B" w:rsidRDefault="00D16911" w:rsidP="00D16911">
      <w:pPr>
        <w:pStyle w:val="TableTitle"/>
        <w:rPr>
          <w:vertAlign w:val="superscript"/>
        </w:rPr>
      </w:pPr>
      <w:r>
        <w:rPr>
          <w:b w:val="0"/>
        </w:rPr>
        <w:t xml:space="preserve">Table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Table \* ARABIC </w:instrText>
      </w:r>
      <w:r>
        <w:rPr>
          <w:b w:val="0"/>
        </w:rPr>
        <w:fldChar w:fldCharType="separate"/>
      </w:r>
      <w:r w:rsidR="000F443A">
        <w:rPr>
          <w:b w:val="0"/>
          <w:noProof/>
        </w:rPr>
        <w:t>2</w:t>
      </w:r>
      <w:r>
        <w:rPr>
          <w:b w:val="0"/>
        </w:rPr>
        <w:fldChar w:fldCharType="end"/>
      </w:r>
      <w:r>
        <w:tab/>
        <w:t>Rate of growth in factor proportions, reward ratios and their components</w:t>
      </w:r>
      <w:r w:rsidRPr="00D16911">
        <w:rPr>
          <w:rStyle w:val="NoteLabel"/>
          <w:b/>
        </w:rPr>
        <w:t>a</w:t>
      </w:r>
    </w:p>
    <w:p w:rsidR="00D16911" w:rsidRDefault="00D16911" w:rsidP="00D16911">
      <w:pPr>
        <w:pStyle w:val="Subtitle"/>
      </w:pPr>
      <w:r>
        <w:t>per cent per year</w:t>
      </w:r>
    </w:p>
    <w:tbl>
      <w:tblPr>
        <w:tblW w:w="5000" w:type="pct"/>
        <w:tblCellMar>
          <w:left w:w="0" w:type="dxa"/>
          <w:right w:w="0" w:type="dxa"/>
        </w:tblCellMar>
        <w:tblLook w:val="0000" w:firstRow="0" w:lastRow="0" w:firstColumn="0" w:lastColumn="0" w:noHBand="0" w:noVBand="0"/>
      </w:tblPr>
      <w:tblGrid>
        <w:gridCol w:w="2081"/>
        <w:gridCol w:w="2869"/>
        <w:gridCol w:w="2420"/>
        <w:gridCol w:w="1419"/>
      </w:tblGrid>
      <w:tr w:rsidR="00D16911" w:rsidTr="00D16911">
        <w:tc>
          <w:tcPr>
            <w:tcW w:w="1184" w:type="pct"/>
            <w:tcBorders>
              <w:top w:val="single" w:sz="6" w:space="0" w:color="auto"/>
              <w:bottom w:val="single" w:sz="6" w:space="0" w:color="auto"/>
            </w:tcBorders>
            <w:shd w:val="clear" w:color="auto" w:fill="auto"/>
          </w:tcPr>
          <w:p w:rsidR="00D16911" w:rsidRDefault="00D16911" w:rsidP="00C66BCE">
            <w:pPr>
              <w:pStyle w:val="TableColumnHeading"/>
            </w:pPr>
          </w:p>
        </w:tc>
        <w:tc>
          <w:tcPr>
            <w:tcW w:w="1632" w:type="pct"/>
            <w:tcBorders>
              <w:top w:val="single" w:sz="6" w:space="0" w:color="auto"/>
              <w:bottom w:val="single" w:sz="6" w:space="0" w:color="auto"/>
            </w:tcBorders>
            <w:shd w:val="clear" w:color="auto" w:fill="auto"/>
          </w:tcPr>
          <w:p w:rsidR="00D16911" w:rsidRDefault="006103E3" w:rsidP="00C66BCE">
            <w:pPr>
              <w:pStyle w:val="TableColumnHeading"/>
            </w:pPr>
            <w:r>
              <w:br/>
            </w:r>
            <w:r w:rsidR="00D16911">
              <w:t>1989-90 to 1999-90</w:t>
            </w:r>
          </w:p>
        </w:tc>
        <w:tc>
          <w:tcPr>
            <w:tcW w:w="1377" w:type="pct"/>
            <w:tcBorders>
              <w:top w:val="single" w:sz="6" w:space="0" w:color="auto"/>
              <w:bottom w:val="single" w:sz="6" w:space="0" w:color="auto"/>
            </w:tcBorders>
            <w:shd w:val="clear" w:color="auto" w:fill="auto"/>
          </w:tcPr>
          <w:p w:rsidR="00D16911" w:rsidRDefault="006103E3" w:rsidP="006103E3">
            <w:pPr>
              <w:pStyle w:val="TableColumnHeading"/>
            </w:pPr>
            <w:r>
              <w:br/>
            </w:r>
            <w:r w:rsidR="00D16911">
              <w:t>1999-</w:t>
            </w:r>
            <w:r>
              <w:t>0</w:t>
            </w:r>
            <w:r w:rsidR="00D16911">
              <w:t>0 to 2009-10</w:t>
            </w:r>
          </w:p>
        </w:tc>
        <w:tc>
          <w:tcPr>
            <w:tcW w:w="807" w:type="pct"/>
            <w:tcBorders>
              <w:top w:val="single" w:sz="6" w:space="0" w:color="auto"/>
              <w:bottom w:val="single" w:sz="6" w:space="0" w:color="auto"/>
            </w:tcBorders>
          </w:tcPr>
          <w:p w:rsidR="00D16911" w:rsidRPr="00147E77" w:rsidRDefault="00241FF6" w:rsidP="00C66BCE">
            <w:pPr>
              <w:pStyle w:val="TableColumnHeading"/>
              <w:rPr>
                <w:rFonts w:cs="Arial"/>
              </w:rPr>
            </w:pPr>
            <w:r>
              <w:rPr>
                <w:rFonts w:cs="Arial"/>
              </w:rPr>
              <w:t xml:space="preserve">Percentage point </w:t>
            </w:r>
            <w:r w:rsidR="00D16911" w:rsidRPr="00147E77">
              <w:rPr>
                <w:rFonts w:cs="Arial"/>
              </w:rPr>
              <w:t>change</w:t>
            </w:r>
          </w:p>
        </w:tc>
      </w:tr>
      <w:tr w:rsidR="00D16911" w:rsidTr="00D16911">
        <w:tc>
          <w:tcPr>
            <w:tcW w:w="1184" w:type="pct"/>
            <w:tcBorders>
              <w:top w:val="single" w:sz="6" w:space="0" w:color="auto"/>
            </w:tcBorders>
          </w:tcPr>
          <w:p w:rsidR="00D16911" w:rsidRDefault="00D16911" w:rsidP="00C66BCE">
            <w:pPr>
              <w:pStyle w:val="TableBodyText"/>
              <w:spacing w:before="120"/>
              <w:jc w:val="left"/>
            </w:pPr>
            <w:r>
              <w:t>Capital [K]</w:t>
            </w:r>
          </w:p>
        </w:tc>
        <w:tc>
          <w:tcPr>
            <w:tcW w:w="1632" w:type="pct"/>
            <w:tcBorders>
              <w:top w:val="single" w:sz="6" w:space="0" w:color="auto"/>
            </w:tcBorders>
          </w:tcPr>
          <w:p w:rsidR="00D16911" w:rsidRDefault="00D16911" w:rsidP="00C66BCE">
            <w:pPr>
              <w:pStyle w:val="TableBodyText"/>
              <w:spacing w:before="120"/>
            </w:pPr>
            <w:r>
              <w:t>3.5</w:t>
            </w:r>
          </w:p>
        </w:tc>
        <w:tc>
          <w:tcPr>
            <w:tcW w:w="1377" w:type="pct"/>
            <w:tcBorders>
              <w:top w:val="single" w:sz="6" w:space="0" w:color="auto"/>
            </w:tcBorders>
          </w:tcPr>
          <w:p w:rsidR="00D16911" w:rsidRDefault="00D16911" w:rsidP="00C66BCE">
            <w:pPr>
              <w:pStyle w:val="TableBodyText"/>
              <w:spacing w:before="120"/>
            </w:pPr>
            <w:r>
              <w:t>5.0</w:t>
            </w:r>
          </w:p>
        </w:tc>
        <w:tc>
          <w:tcPr>
            <w:tcW w:w="807" w:type="pct"/>
            <w:tcBorders>
              <w:top w:val="single" w:sz="6" w:space="0" w:color="auto"/>
            </w:tcBorders>
          </w:tcPr>
          <w:p w:rsidR="00D16911" w:rsidRPr="00147E77" w:rsidRDefault="00D16911" w:rsidP="00C66BCE">
            <w:pPr>
              <w:pStyle w:val="TableBodyText"/>
              <w:spacing w:before="120"/>
              <w:rPr>
                <w:rFonts w:cs="Arial"/>
              </w:rPr>
            </w:pPr>
            <w:r w:rsidRPr="00147E77">
              <w:rPr>
                <w:rFonts w:cs="Arial"/>
              </w:rPr>
              <w:t>1.5</w:t>
            </w:r>
          </w:p>
        </w:tc>
      </w:tr>
      <w:tr w:rsidR="00D16911" w:rsidTr="00D16911">
        <w:tc>
          <w:tcPr>
            <w:tcW w:w="1184" w:type="pct"/>
          </w:tcPr>
          <w:p w:rsidR="00D16911" w:rsidRDefault="00D16911" w:rsidP="00C66BCE">
            <w:pPr>
              <w:pStyle w:val="TableBodyText"/>
              <w:jc w:val="left"/>
            </w:pPr>
            <w:r>
              <w:t>Labour [L]</w:t>
            </w:r>
          </w:p>
        </w:tc>
        <w:tc>
          <w:tcPr>
            <w:tcW w:w="1632" w:type="pct"/>
          </w:tcPr>
          <w:p w:rsidR="00D16911" w:rsidRDefault="00D16911" w:rsidP="00C66BCE">
            <w:pPr>
              <w:pStyle w:val="TableBodyText"/>
            </w:pPr>
            <w:r>
              <w:t>0.5</w:t>
            </w:r>
          </w:p>
        </w:tc>
        <w:tc>
          <w:tcPr>
            <w:tcW w:w="1377" w:type="pct"/>
          </w:tcPr>
          <w:p w:rsidR="00D16911" w:rsidRDefault="00D16911" w:rsidP="00C66BCE">
            <w:pPr>
              <w:pStyle w:val="TableBodyText"/>
            </w:pPr>
            <w:r>
              <w:t>1.1</w:t>
            </w:r>
          </w:p>
        </w:tc>
        <w:tc>
          <w:tcPr>
            <w:tcW w:w="807" w:type="pct"/>
          </w:tcPr>
          <w:p w:rsidR="00D16911" w:rsidRPr="00147E77" w:rsidRDefault="00D16911" w:rsidP="00C66BCE">
            <w:pPr>
              <w:pStyle w:val="TableBodyText"/>
              <w:rPr>
                <w:rFonts w:cs="Arial"/>
              </w:rPr>
            </w:pPr>
            <w:r w:rsidRPr="00147E77">
              <w:rPr>
                <w:rFonts w:cs="Arial"/>
              </w:rPr>
              <w:t>0.5</w:t>
            </w:r>
          </w:p>
        </w:tc>
      </w:tr>
      <w:tr w:rsidR="00D16911" w:rsidTr="00D16911">
        <w:tc>
          <w:tcPr>
            <w:tcW w:w="1184" w:type="pct"/>
          </w:tcPr>
          <w:p w:rsidR="00D16911" w:rsidRDefault="00D16911" w:rsidP="00C66BCE">
            <w:pPr>
              <w:pStyle w:val="TableBodyText"/>
              <w:jc w:val="left"/>
            </w:pPr>
            <w:r>
              <w:t>K/L</w:t>
            </w:r>
          </w:p>
        </w:tc>
        <w:tc>
          <w:tcPr>
            <w:tcW w:w="1632" w:type="pct"/>
          </w:tcPr>
          <w:p w:rsidR="00D16911" w:rsidRDefault="00D16911" w:rsidP="00C66BCE">
            <w:pPr>
              <w:pStyle w:val="TableBodyText"/>
            </w:pPr>
            <w:r>
              <w:t>2.9</w:t>
            </w:r>
          </w:p>
        </w:tc>
        <w:tc>
          <w:tcPr>
            <w:tcW w:w="1377" w:type="pct"/>
          </w:tcPr>
          <w:p w:rsidR="00D16911" w:rsidRDefault="00D16911" w:rsidP="00C66BCE">
            <w:pPr>
              <w:pStyle w:val="TableBodyText"/>
            </w:pPr>
            <w:r>
              <w:t>3.9</w:t>
            </w:r>
          </w:p>
        </w:tc>
        <w:tc>
          <w:tcPr>
            <w:tcW w:w="807" w:type="pct"/>
          </w:tcPr>
          <w:p w:rsidR="00D16911" w:rsidRPr="00147E77" w:rsidRDefault="00D16911" w:rsidP="00C66BCE">
            <w:pPr>
              <w:pStyle w:val="TableBodyText"/>
              <w:rPr>
                <w:rFonts w:cs="Arial"/>
              </w:rPr>
            </w:pPr>
            <w:r w:rsidRPr="00147E77">
              <w:rPr>
                <w:rFonts w:cs="Arial"/>
              </w:rPr>
              <w:t>1.0</w:t>
            </w:r>
          </w:p>
        </w:tc>
      </w:tr>
      <w:tr w:rsidR="00D16911" w:rsidTr="00D16911">
        <w:tc>
          <w:tcPr>
            <w:tcW w:w="1184" w:type="pct"/>
          </w:tcPr>
          <w:p w:rsidR="00D16911" w:rsidRDefault="00D16911" w:rsidP="00C66BCE">
            <w:pPr>
              <w:pStyle w:val="TableBodyText"/>
              <w:jc w:val="left"/>
            </w:pPr>
            <w:r>
              <w:t>Wage rate [w]</w:t>
            </w:r>
          </w:p>
        </w:tc>
        <w:tc>
          <w:tcPr>
            <w:tcW w:w="1632" w:type="pct"/>
          </w:tcPr>
          <w:p w:rsidR="00D16911" w:rsidRDefault="00D16911" w:rsidP="00C66BCE">
            <w:pPr>
              <w:pStyle w:val="TableBodyText"/>
            </w:pPr>
            <w:r>
              <w:t>3.8</w:t>
            </w:r>
          </w:p>
        </w:tc>
        <w:tc>
          <w:tcPr>
            <w:tcW w:w="1377" w:type="pct"/>
          </w:tcPr>
          <w:p w:rsidR="00D16911" w:rsidRDefault="00D16911" w:rsidP="007E7A51">
            <w:pPr>
              <w:pStyle w:val="TableBodyText"/>
            </w:pPr>
            <w:r>
              <w:t>4.</w:t>
            </w:r>
            <w:r w:rsidR="007E7A51">
              <w:t>8</w:t>
            </w:r>
          </w:p>
        </w:tc>
        <w:tc>
          <w:tcPr>
            <w:tcW w:w="807" w:type="pct"/>
          </w:tcPr>
          <w:p w:rsidR="00D16911" w:rsidRPr="00147E77" w:rsidRDefault="007E7A51" w:rsidP="007E7A51">
            <w:pPr>
              <w:pStyle w:val="TableBodyText"/>
              <w:rPr>
                <w:rFonts w:cs="Arial"/>
              </w:rPr>
            </w:pPr>
            <w:r>
              <w:rPr>
                <w:rFonts w:cs="Arial"/>
              </w:rPr>
              <w:t>1.0</w:t>
            </w:r>
          </w:p>
        </w:tc>
      </w:tr>
      <w:tr w:rsidR="00D16911" w:rsidTr="00D16911">
        <w:tc>
          <w:tcPr>
            <w:tcW w:w="1184" w:type="pct"/>
          </w:tcPr>
          <w:p w:rsidR="00D16911" w:rsidRDefault="00D16911" w:rsidP="00C66BCE">
            <w:pPr>
              <w:pStyle w:val="TableBodyText"/>
              <w:jc w:val="left"/>
            </w:pPr>
            <w:r>
              <w:t>Profit rate [r]</w:t>
            </w:r>
          </w:p>
        </w:tc>
        <w:tc>
          <w:tcPr>
            <w:tcW w:w="1632" w:type="pct"/>
          </w:tcPr>
          <w:p w:rsidR="00D16911" w:rsidRDefault="00D16911" w:rsidP="007E7A51">
            <w:pPr>
              <w:pStyle w:val="TableBodyText"/>
            </w:pPr>
            <w:r>
              <w:t>1.</w:t>
            </w:r>
            <w:r w:rsidR="007E7A51">
              <w:t>4</w:t>
            </w:r>
          </w:p>
        </w:tc>
        <w:tc>
          <w:tcPr>
            <w:tcW w:w="1377" w:type="pct"/>
          </w:tcPr>
          <w:p w:rsidR="00D16911" w:rsidRDefault="00D16911" w:rsidP="00C66BCE">
            <w:pPr>
              <w:pStyle w:val="TableBodyText"/>
            </w:pPr>
            <w:r>
              <w:t>2.5</w:t>
            </w:r>
          </w:p>
        </w:tc>
        <w:tc>
          <w:tcPr>
            <w:tcW w:w="807" w:type="pct"/>
          </w:tcPr>
          <w:p w:rsidR="00D16911" w:rsidRPr="00147E77" w:rsidRDefault="00D16911" w:rsidP="007E7A51">
            <w:pPr>
              <w:pStyle w:val="TableBodyText"/>
              <w:rPr>
                <w:rFonts w:cs="Arial"/>
              </w:rPr>
            </w:pPr>
            <w:r w:rsidRPr="00147E77">
              <w:rPr>
                <w:rFonts w:cs="Arial"/>
              </w:rPr>
              <w:t>1.</w:t>
            </w:r>
            <w:r w:rsidR="007E7A51">
              <w:rPr>
                <w:rFonts w:cs="Arial"/>
              </w:rPr>
              <w:t>1</w:t>
            </w:r>
          </w:p>
        </w:tc>
      </w:tr>
      <w:tr w:rsidR="00D16911" w:rsidTr="00D16911">
        <w:tc>
          <w:tcPr>
            <w:tcW w:w="1184" w:type="pct"/>
          </w:tcPr>
          <w:p w:rsidR="00D16911" w:rsidRDefault="00D16911" w:rsidP="00C66BCE">
            <w:pPr>
              <w:pStyle w:val="TableBodyText"/>
              <w:jc w:val="left"/>
            </w:pPr>
            <w:r>
              <w:t>w/r</w:t>
            </w:r>
          </w:p>
        </w:tc>
        <w:tc>
          <w:tcPr>
            <w:tcW w:w="1632" w:type="pct"/>
          </w:tcPr>
          <w:p w:rsidR="00D16911" w:rsidRDefault="00D16911" w:rsidP="007E7A51">
            <w:pPr>
              <w:pStyle w:val="TableBodyText"/>
            </w:pPr>
            <w:r>
              <w:t>2.</w:t>
            </w:r>
            <w:r w:rsidR="007E7A51">
              <w:t>4</w:t>
            </w:r>
          </w:p>
        </w:tc>
        <w:tc>
          <w:tcPr>
            <w:tcW w:w="1377" w:type="pct"/>
          </w:tcPr>
          <w:p w:rsidR="00D16911" w:rsidRDefault="00D16911" w:rsidP="007E7A51">
            <w:pPr>
              <w:pStyle w:val="TableBodyText"/>
            </w:pPr>
            <w:r>
              <w:t>2.</w:t>
            </w:r>
            <w:r w:rsidR="007E7A51">
              <w:t>3</w:t>
            </w:r>
          </w:p>
        </w:tc>
        <w:tc>
          <w:tcPr>
            <w:tcW w:w="807" w:type="pct"/>
          </w:tcPr>
          <w:p w:rsidR="00D16911" w:rsidRPr="00147E77" w:rsidRDefault="00D16911" w:rsidP="00C66BCE">
            <w:pPr>
              <w:pStyle w:val="TableBodyText"/>
              <w:rPr>
                <w:rFonts w:cs="Arial"/>
              </w:rPr>
            </w:pPr>
            <w:r w:rsidRPr="00147E77">
              <w:rPr>
                <w:rFonts w:cs="Arial"/>
              </w:rPr>
              <w:t>-0.1</w:t>
            </w:r>
          </w:p>
        </w:tc>
      </w:tr>
      <w:tr w:rsidR="00D16911" w:rsidTr="00D16911">
        <w:tc>
          <w:tcPr>
            <w:tcW w:w="1184" w:type="pct"/>
            <w:tcBorders>
              <w:bottom w:val="single" w:sz="6" w:space="0" w:color="auto"/>
            </w:tcBorders>
            <w:shd w:val="clear" w:color="auto" w:fill="auto"/>
          </w:tcPr>
          <w:p w:rsidR="00D16911" w:rsidRPr="005B278D" w:rsidRDefault="00CC6F1B" w:rsidP="00C66BCE">
            <w:pPr>
              <w:pStyle w:val="TableBodyText"/>
            </w:pPr>
            <m:oMathPara>
              <m:oMathParaPr>
                <m:jc m:val="left"/>
              </m:oMathParaPr>
              <m:oMath>
                <m:acc>
                  <m:accPr>
                    <m:ctrlPr>
                      <w:rPr>
                        <w:rFonts w:ascii="Cambria Math" w:hAnsi="Cambria Math"/>
                      </w:rPr>
                    </m:ctrlPr>
                  </m:accPr>
                  <m:e>
                    <m:r>
                      <w:rPr>
                        <w:rFonts w:ascii="Cambria Math" w:hAnsi="Cambria Math"/>
                      </w:rPr>
                      <m:t>LIS</m:t>
                    </m:r>
                  </m:e>
                </m:acc>
                <m:r>
                  <m:rPr>
                    <m:sty m:val="p"/>
                  </m:rPr>
                  <w:rPr>
                    <w:rFonts w:ascii="Cambria Math" w:hAnsi="Cambria Math"/>
                  </w:rPr>
                  <m:t>-</m:t>
                </m:r>
                <m:acc>
                  <m:accPr>
                    <m:ctrlPr>
                      <w:rPr>
                        <w:rFonts w:ascii="Cambria Math" w:hAnsi="Cambria Math"/>
                      </w:rPr>
                    </m:ctrlPr>
                  </m:accPr>
                  <m:e>
                    <m:r>
                      <w:rPr>
                        <w:rFonts w:ascii="Cambria Math" w:hAnsi="Cambria Math"/>
                      </w:rPr>
                      <m:t>KIS</m:t>
                    </m:r>
                  </m:e>
                </m:acc>
              </m:oMath>
            </m:oMathPara>
          </w:p>
        </w:tc>
        <w:tc>
          <w:tcPr>
            <w:tcW w:w="1632" w:type="pct"/>
            <w:tcBorders>
              <w:bottom w:val="single" w:sz="6" w:space="0" w:color="auto"/>
            </w:tcBorders>
            <w:shd w:val="clear" w:color="auto" w:fill="auto"/>
          </w:tcPr>
          <w:p w:rsidR="00D16911" w:rsidRDefault="00147E77" w:rsidP="00C66BCE">
            <w:pPr>
              <w:pStyle w:val="TableBodyText"/>
            </w:pPr>
            <w:r>
              <w:t>-</w:t>
            </w:r>
            <w:r w:rsidR="00D16911">
              <w:t>0.6</w:t>
            </w:r>
          </w:p>
        </w:tc>
        <w:tc>
          <w:tcPr>
            <w:tcW w:w="1377" w:type="pct"/>
            <w:tcBorders>
              <w:bottom w:val="single" w:sz="6" w:space="0" w:color="auto"/>
            </w:tcBorders>
            <w:shd w:val="clear" w:color="auto" w:fill="auto"/>
          </w:tcPr>
          <w:p w:rsidR="00D16911" w:rsidRDefault="00147E77" w:rsidP="007E7A51">
            <w:pPr>
              <w:pStyle w:val="TableBodyText"/>
            </w:pPr>
            <w:r>
              <w:t>-</w:t>
            </w:r>
            <w:r w:rsidR="00D16911">
              <w:t>1.</w:t>
            </w:r>
            <w:r w:rsidR="007E7A51">
              <w:t>6</w:t>
            </w:r>
          </w:p>
        </w:tc>
        <w:tc>
          <w:tcPr>
            <w:tcW w:w="807" w:type="pct"/>
            <w:tcBorders>
              <w:bottom w:val="single" w:sz="6" w:space="0" w:color="auto"/>
            </w:tcBorders>
          </w:tcPr>
          <w:p w:rsidR="00D16911" w:rsidRPr="00147E77" w:rsidRDefault="00147E77" w:rsidP="007E7A51">
            <w:pPr>
              <w:pStyle w:val="TableBodyText"/>
              <w:rPr>
                <w:rFonts w:cs="Arial"/>
              </w:rPr>
            </w:pPr>
            <w:r>
              <w:rPr>
                <w:rFonts w:cs="Arial"/>
              </w:rPr>
              <w:t>-</w:t>
            </w:r>
            <w:r w:rsidR="00D16911" w:rsidRPr="00147E77">
              <w:rPr>
                <w:rFonts w:cs="Arial"/>
              </w:rPr>
              <w:t>1.</w:t>
            </w:r>
            <w:r w:rsidR="007E7A51">
              <w:rPr>
                <w:rFonts w:cs="Arial"/>
              </w:rPr>
              <w:t>0</w:t>
            </w:r>
          </w:p>
        </w:tc>
      </w:tr>
    </w:tbl>
    <w:p w:rsidR="00D16911" w:rsidRDefault="00D16911" w:rsidP="00D16911">
      <w:pPr>
        <w:pStyle w:val="Note"/>
      </w:pPr>
      <w:r w:rsidRPr="005B278D">
        <w:rPr>
          <w:rStyle w:val="NoteLabel"/>
        </w:rPr>
        <w:t>a</w:t>
      </w:r>
      <w:r>
        <w:t xml:space="preserve"> See box 4.1 for derivation of relationships.</w:t>
      </w:r>
    </w:p>
    <w:p w:rsidR="00D16911" w:rsidRPr="005B278D" w:rsidRDefault="00D16911" w:rsidP="00D16911">
      <w:pPr>
        <w:pStyle w:val="Source"/>
      </w:pPr>
      <w:r>
        <w:rPr>
          <w:i/>
        </w:rPr>
        <w:t>Source</w:t>
      </w:r>
      <w:r>
        <w:t>: Author’s estimates</w:t>
      </w:r>
      <w:r>
        <w:tab/>
      </w:r>
      <w:r w:rsidR="00444140">
        <w:t xml:space="preserve">, based on ABS </w:t>
      </w:r>
      <w:r w:rsidR="001A1095">
        <w:t>(</w:t>
      </w:r>
      <w:r w:rsidR="006103E3">
        <w:t>Cat. n</w:t>
      </w:r>
      <w:r w:rsidR="00444140">
        <w:t>o.</w:t>
      </w:r>
      <w:r w:rsidR="00444140" w:rsidRPr="00327858">
        <w:t xml:space="preserve"> 5260.0.55.002</w:t>
      </w:r>
      <w:r w:rsidR="001A1095">
        <w:t>)</w:t>
      </w:r>
      <w:r w:rsidR="00444140">
        <w:t>.</w:t>
      </w:r>
    </w:p>
    <w:p w:rsidR="00CD27CF" w:rsidRDefault="00CD27CF" w:rsidP="00CD27CF">
      <w:pPr>
        <w:pStyle w:val="Heading4"/>
      </w:pPr>
      <w:r>
        <w:t>Labour and capital had stronger growth in both quantity and price terms in the 2000s</w:t>
      </w:r>
    </w:p>
    <w:p w:rsidR="00D16911" w:rsidRDefault="00CD27CF" w:rsidP="00D16911">
      <w:pPr>
        <w:pStyle w:val="BodyText"/>
      </w:pPr>
      <w:r>
        <w:t>All labour and capital quantities and prices grew more rapidly in the 2000s (figure 4.4). On the labour side, the hours worked growth rate picked up from 0.5 to 1.1 per cent a year, and</w:t>
      </w:r>
      <w:r w:rsidR="00A057CE">
        <w:t xml:space="preserve"> the rate of</w:t>
      </w:r>
      <w:r>
        <w:t xml:space="preserve"> wages growth picked up from 3.8 to 4.</w:t>
      </w:r>
      <w:r w:rsidR="007E7A51">
        <w:t>8</w:t>
      </w:r>
      <w:r>
        <w:t xml:space="preserve"> per cent a year.</w:t>
      </w:r>
      <w:r w:rsidR="00D16911" w:rsidRPr="00D16911">
        <w:t xml:space="preserve"> </w:t>
      </w:r>
    </w:p>
    <w:p w:rsidR="00D16911" w:rsidRDefault="00D16911" w:rsidP="00D16911">
      <w:pPr>
        <w:pStyle w:val="BodyText"/>
      </w:pPr>
      <w:r>
        <w:t xml:space="preserve">The growth in capital and labour inputs over the 2000s </w:t>
      </w:r>
      <w:r w:rsidR="00241FF6">
        <w:t xml:space="preserve">was </w:t>
      </w:r>
      <w:r>
        <w:t>strong by historical standards. The average rate of growth in hours worked of 1.1 per cent a year compares with a long-term average of 0.8 per cent a year.</w:t>
      </w:r>
      <w:r>
        <w:rPr>
          <w:rStyle w:val="FootnoteReference"/>
        </w:rPr>
        <w:footnoteReference w:id="7"/>
      </w:r>
      <w:r>
        <w:t xml:space="preserve"> The average rate of growth in capital services of 5.0 per cent a year compares with a long-term average of 4.2 per cent a year.</w:t>
      </w:r>
    </w:p>
    <w:p w:rsidR="00D16911" w:rsidRDefault="00D16911" w:rsidP="00D16911">
      <w:pPr>
        <w:pStyle w:val="BodyText"/>
      </w:pPr>
      <w:r>
        <w:lastRenderedPageBreak/>
        <w:t>Similar data on long-term average rates of growth in wages and rates of return are not available.</w:t>
      </w:r>
    </w:p>
    <w:p w:rsidR="00F837AE" w:rsidRPr="007B5893" w:rsidRDefault="00F837AE">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4</w:t>
      </w:r>
      <w:r>
        <w:rPr>
          <w:b w:val="0"/>
        </w:rPr>
        <w:fldChar w:fldCharType="end"/>
      </w:r>
      <w:r>
        <w:tab/>
        <w:t>Growth in factor proportions, reward ratios and their components</w:t>
      </w:r>
    </w:p>
    <w:p w:rsidR="00F837AE" w:rsidRDefault="00F837AE">
      <w:pPr>
        <w:pStyle w:val="Subtitle"/>
      </w:pPr>
      <w:r>
        <w:t>per cent per year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9B4A31" w:rsidTr="00F837AE">
        <w:tc>
          <w:tcPr>
            <w:tcW w:w="8777" w:type="dxa"/>
            <w:gridSpan w:val="2"/>
          </w:tcPr>
          <w:p w:rsidR="009B4A31" w:rsidRPr="00F837AE" w:rsidRDefault="00EF47F6" w:rsidP="008E0B10">
            <w:pPr>
              <w:pStyle w:val="Figure"/>
              <w:spacing w:before="0" w:after="0"/>
              <w:rPr>
                <w:noProof/>
              </w:rPr>
            </w:pPr>
            <w:r>
              <w:rPr>
                <w:noProof/>
              </w:rPr>
              <w:drawing>
                <wp:inline distT="0" distB="0" distL="0" distR="0" wp14:anchorId="4E8BF347" wp14:editId="6A00C95A">
                  <wp:extent cx="2085975" cy="2009775"/>
                  <wp:effectExtent l="0" t="0" r="9525" b="9525"/>
                  <wp:docPr id="18" name="Picture 18" descr="Growth in factor proportions, reward ratios and their components. This is a three part figure. The first part shows that while the capital-to-labour ratio accelerated in the 2000s, growth in the wage-to-return ratio. The second part shows that the acceleration in the capital-to-labour ratio was due to stronger acceleration in capital than in labour. The third part shows that while the wage rate and the gross rate of return both accelerated in the 2000s, they accelerated to the same de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85975" cy="2009775"/>
                          </a:xfrm>
                          <a:prstGeom prst="rect">
                            <a:avLst/>
                          </a:prstGeom>
                          <a:noFill/>
                          <a:ln>
                            <a:noFill/>
                          </a:ln>
                        </pic:spPr>
                      </pic:pic>
                    </a:graphicData>
                  </a:graphic>
                </wp:inline>
              </w:drawing>
            </w:r>
          </w:p>
        </w:tc>
      </w:tr>
      <w:tr w:rsidR="008E0B10" w:rsidTr="00F55045">
        <w:tc>
          <w:tcPr>
            <w:tcW w:w="4388" w:type="dxa"/>
          </w:tcPr>
          <w:p w:rsidR="008E0B10" w:rsidRPr="00F837AE" w:rsidRDefault="00EF47F6">
            <w:pPr>
              <w:pStyle w:val="Figure"/>
              <w:rPr>
                <w:noProof/>
              </w:rPr>
            </w:pPr>
            <w:r>
              <w:rPr>
                <w:noProof/>
              </w:rPr>
              <w:drawing>
                <wp:inline distT="0" distB="0" distL="0" distR="0" wp14:anchorId="3B396460" wp14:editId="23CC992F">
                  <wp:extent cx="2105025" cy="2028825"/>
                  <wp:effectExtent l="0" t="0" r="0" b="0"/>
                  <wp:docPr id="17" name="Picture 17" descr="Growth in factor proportions, reward ratios and their components. This is a three part figure. The first part shows that while the capital-to-labour ratio accelerated in the 2000s, growth in the wage-to-return ratio. The second part shows that the acceleration in the capital-to-labour ratio was due to stronger acceleration in capital than in labour. The third part shows that while the wage rate and the gross rate of return both accelerated in the 2000s, they accelerated to the same de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5025" cy="2028825"/>
                          </a:xfrm>
                          <a:prstGeom prst="rect">
                            <a:avLst/>
                          </a:prstGeom>
                          <a:noFill/>
                          <a:ln>
                            <a:noFill/>
                          </a:ln>
                        </pic:spPr>
                      </pic:pic>
                    </a:graphicData>
                  </a:graphic>
                </wp:inline>
              </w:drawing>
            </w:r>
          </w:p>
        </w:tc>
        <w:tc>
          <w:tcPr>
            <w:tcW w:w="4389" w:type="dxa"/>
          </w:tcPr>
          <w:p w:rsidR="008E0B10" w:rsidRPr="00F837AE" w:rsidRDefault="00EF47F6">
            <w:pPr>
              <w:pStyle w:val="Figure"/>
              <w:rPr>
                <w:noProof/>
              </w:rPr>
            </w:pPr>
            <w:r>
              <w:rPr>
                <w:noProof/>
              </w:rPr>
              <w:drawing>
                <wp:inline distT="0" distB="0" distL="0" distR="0" wp14:anchorId="7B1D5F89" wp14:editId="30E70534">
                  <wp:extent cx="2095500" cy="2019300"/>
                  <wp:effectExtent l="0" t="0" r="0" b="0"/>
                  <wp:docPr id="16" name="Picture 16" descr="Growth in factor proportions, reward ratios and their components. This is a three part figure. The first part shows that while the capital-to-labour ratio accelerated in the 2000s, growth in the wage-to-return ratio. The second part shows that the acceleration in the capital-to-labour ratio was due to stronger acceleration in capital than in labour. The third part shows that while the wage rate and the gross rate of return both accelerated in the 2000s, they accelerated to the same deg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2019300"/>
                          </a:xfrm>
                          <a:prstGeom prst="rect">
                            <a:avLst/>
                          </a:prstGeom>
                          <a:noFill/>
                          <a:ln>
                            <a:noFill/>
                          </a:ln>
                        </pic:spPr>
                      </pic:pic>
                    </a:graphicData>
                  </a:graphic>
                </wp:inline>
              </w:drawing>
            </w:r>
          </w:p>
        </w:tc>
      </w:tr>
    </w:tbl>
    <w:p w:rsidR="00F837AE" w:rsidRDefault="006103E3">
      <w:pPr>
        <w:pStyle w:val="Source"/>
      </w:pPr>
      <w:r>
        <w:rPr>
          <w:i/>
        </w:rPr>
        <w:t>Data s</w:t>
      </w:r>
      <w:r w:rsidR="00F837AE">
        <w:rPr>
          <w:i/>
        </w:rPr>
        <w:t>ource</w:t>
      </w:r>
      <w:r w:rsidR="00F837AE" w:rsidRPr="00167F06">
        <w:t xml:space="preserve">: </w:t>
      </w:r>
      <w:r w:rsidR="007B5893">
        <w:t>Author’s estimates</w:t>
      </w:r>
      <w:r w:rsidR="008E6F9A">
        <w:t xml:space="preserve"> </w:t>
      </w:r>
      <w:r w:rsidR="00241FF6">
        <w:t xml:space="preserve">based on ABS </w:t>
      </w:r>
      <w:r w:rsidR="001A1095">
        <w:t>(</w:t>
      </w:r>
      <w:r>
        <w:t>Cat. n</w:t>
      </w:r>
      <w:r w:rsidR="00241FF6">
        <w:t>o.</w:t>
      </w:r>
      <w:r w:rsidR="00241FF6" w:rsidRPr="00327858">
        <w:t xml:space="preserve"> 5260.0.55.002</w:t>
      </w:r>
      <w:r w:rsidR="001A1095">
        <w:t>)</w:t>
      </w:r>
      <w:r w:rsidR="005248AA">
        <w:t>.</w:t>
      </w:r>
    </w:p>
    <w:p w:rsidR="00AE7A60" w:rsidRDefault="00BF06DF" w:rsidP="00AE7A60">
      <w:pPr>
        <w:pStyle w:val="Heading2"/>
      </w:pPr>
      <w:fldSimple w:instr=" COMMENTS  \* MERGEFORMAT ">
        <w:r w:rsidR="00852B17">
          <w:t>4.</w:t>
        </w:r>
      </w:fldSimple>
      <w:r w:rsidR="00CC6F1B">
        <w:fldChar w:fldCharType="begin"/>
      </w:r>
      <w:r w:rsidR="00CC6F1B">
        <w:instrText xml:space="preserve"> SEQ Heading2 </w:instrText>
      </w:r>
      <w:r w:rsidR="00CC6F1B">
        <w:fldChar w:fldCharType="separate"/>
      </w:r>
      <w:r w:rsidR="000F443A">
        <w:rPr>
          <w:noProof/>
        </w:rPr>
        <w:t>4</w:t>
      </w:r>
      <w:r w:rsidR="00CC6F1B">
        <w:rPr>
          <w:noProof/>
        </w:rPr>
        <w:fldChar w:fldCharType="end"/>
      </w:r>
      <w:r w:rsidR="00CA6BBD">
        <w:tab/>
      </w:r>
      <w:r w:rsidR="00AE7A60">
        <w:t>Productivity and costs</w:t>
      </w:r>
    </w:p>
    <w:p w:rsidR="00B717A9" w:rsidRDefault="004D5F0A" w:rsidP="00B717A9">
      <w:pPr>
        <w:pStyle w:val="BodyText"/>
      </w:pPr>
      <w:r>
        <w:t>The</w:t>
      </w:r>
      <w:r w:rsidR="00B717A9">
        <w:t xml:space="preserve"> fall in the labour income share </w:t>
      </w:r>
      <w:r>
        <w:t xml:space="preserve">can be viewed </w:t>
      </w:r>
      <w:r w:rsidR="00107337">
        <w:t xml:space="preserve">in </w:t>
      </w:r>
      <w:r w:rsidR="00E80FBA">
        <w:t xml:space="preserve">yet </w:t>
      </w:r>
      <w:r w:rsidR="00107337">
        <w:t xml:space="preserve">another way. The LIS is equivalent to the real unit cost of labour, which is the real </w:t>
      </w:r>
      <w:r w:rsidR="00107337" w:rsidRPr="001821FB">
        <w:rPr>
          <w:i/>
        </w:rPr>
        <w:t>cost</w:t>
      </w:r>
      <w:r w:rsidR="00107337">
        <w:t xml:space="preserve"> of an hour of labour (the real wage) divided by the real </w:t>
      </w:r>
      <w:r w:rsidR="00107337" w:rsidRPr="001821FB">
        <w:rPr>
          <w:i/>
        </w:rPr>
        <w:t>product</w:t>
      </w:r>
      <w:r w:rsidR="00107337">
        <w:t xml:space="preserve"> of an hour of labour (labour productivity).</w:t>
      </w:r>
      <w:r w:rsidR="00B717A9">
        <w:t xml:space="preserve"> Box </w:t>
      </w:r>
      <w:r w:rsidR="00EB36C6">
        <w:t>4.2</w:t>
      </w:r>
      <w:r w:rsidR="00B717A9">
        <w:t xml:space="preserve"> demonstrates the equivalence</w:t>
      </w:r>
      <w:r w:rsidR="00220B7F">
        <w:t xml:space="preserve"> between the LIS and real unit labour costs (RULC)</w:t>
      </w:r>
      <w:r w:rsidR="00B717A9">
        <w:t>.</w:t>
      </w:r>
      <w:r>
        <w:t xml:space="preserve"> </w:t>
      </w:r>
    </w:p>
    <w:p w:rsidR="00CD27CF" w:rsidRDefault="00CD27CF" w:rsidP="00CD27CF">
      <w:pPr>
        <w:pStyle w:val="BodyText"/>
      </w:pPr>
      <w:r>
        <w:t xml:space="preserve">The real wage concept used in this context warrants explanation. Growth in real wages here is the change in </w:t>
      </w:r>
      <w:r w:rsidR="00655F72">
        <w:t xml:space="preserve">the real </w:t>
      </w:r>
      <w:r>
        <w:t xml:space="preserve">cost of labour to producers. The nominal wage rate is the hourly cost of labour (all forms of compensation, including on-costs). The real cost of labour is measured with reference to movements in the prices of the </w:t>
      </w:r>
      <w:r>
        <w:lastRenderedPageBreak/>
        <w:t xml:space="preserve">goods and services for which the labour is engaged to produce. That is, movements in </w:t>
      </w:r>
      <w:r w:rsidRPr="004D5F0A">
        <w:rPr>
          <w:i/>
        </w:rPr>
        <w:t>produc</w:t>
      </w:r>
      <w:r>
        <w:rPr>
          <w:i/>
        </w:rPr>
        <w:t>t</w:t>
      </w:r>
      <w:r>
        <w:t xml:space="preserve"> prices are used to convert nominal wage costs into real wage costs. A real wage increase means the nominal cost of an hour of labour has risen faster than product prices.</w:t>
      </w:r>
    </w:p>
    <w:p w:rsidR="00CD27CF" w:rsidRDefault="00CD27CF" w:rsidP="00CD27CF">
      <w:pPr>
        <w:pStyle w:val="BodyText"/>
      </w:pPr>
      <w:r>
        <w:t xml:space="preserve">This real wage is referred to as ‘the real product wage’ (RPW). As will be seen in chapter 7, it is important to distinguish between a real wage based on the prices of goods and services </w:t>
      </w:r>
      <w:r w:rsidRPr="0038069A">
        <w:rPr>
          <w:i/>
        </w:rPr>
        <w:t>produced</w:t>
      </w:r>
      <w:r>
        <w:t xml:space="preserve"> and a real wage based on the prices of goods and services </w:t>
      </w:r>
      <w:r w:rsidRPr="0038069A">
        <w:rPr>
          <w:i/>
        </w:rPr>
        <w:t>consumed</w:t>
      </w:r>
      <w:r>
        <w:t>.</w:t>
      </w:r>
    </w:p>
    <w:p w:rsidR="00C014A1" w:rsidRDefault="00C014A1" w:rsidP="00C014A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14A1" w:rsidTr="00D879C4">
        <w:tc>
          <w:tcPr>
            <w:tcW w:w="8771" w:type="dxa"/>
            <w:tcBorders>
              <w:top w:val="single" w:sz="6" w:space="0" w:color="auto"/>
              <w:bottom w:val="nil"/>
            </w:tcBorders>
          </w:tcPr>
          <w:p w:rsidR="00C014A1" w:rsidRDefault="00C014A1" w:rsidP="00D879C4">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Box \* ARABIC </w:instrText>
            </w:r>
            <w:r>
              <w:rPr>
                <w:b w:val="0"/>
              </w:rPr>
              <w:fldChar w:fldCharType="separate"/>
            </w:r>
            <w:r w:rsidR="000F443A">
              <w:rPr>
                <w:b w:val="0"/>
                <w:noProof/>
              </w:rPr>
              <w:t>2</w:t>
            </w:r>
            <w:r>
              <w:rPr>
                <w:b w:val="0"/>
              </w:rPr>
              <w:fldChar w:fldCharType="end"/>
            </w:r>
            <w:r>
              <w:tab/>
              <w:t>The labour income share, growth in real wages and labour productivity and real unit labour costs</w:t>
            </w:r>
          </w:p>
        </w:tc>
      </w:tr>
      <w:tr w:rsidR="00C014A1" w:rsidTr="00D879C4">
        <w:trPr>
          <w:cantSplit/>
        </w:trPr>
        <w:tc>
          <w:tcPr>
            <w:tcW w:w="8771" w:type="dxa"/>
            <w:tcBorders>
              <w:top w:val="nil"/>
              <w:left w:val="single" w:sz="6" w:space="0" w:color="auto"/>
              <w:bottom w:val="nil"/>
              <w:right w:val="single" w:sz="6" w:space="0" w:color="auto"/>
            </w:tcBorders>
          </w:tcPr>
          <w:p w:rsidR="00C014A1" w:rsidRPr="005137A3" w:rsidRDefault="00C014A1" w:rsidP="006103E3">
            <w:pPr>
              <w:pStyle w:val="Box"/>
              <w:tabs>
                <w:tab w:val="left" w:pos="687"/>
                <w:tab w:val="left" w:pos="1396"/>
              </w:tabs>
            </w:pPr>
            <w:r w:rsidRPr="005137A3">
              <w:t>The labour income share is mathematically equivalent to the real unit cost of labour.</w:t>
            </w:r>
          </w:p>
          <w:p w:rsidR="00C014A1" w:rsidRDefault="00C014A1" w:rsidP="006103E3">
            <w:pPr>
              <w:pStyle w:val="Box"/>
              <w:tabs>
                <w:tab w:val="left" w:pos="687"/>
                <w:tab w:val="left" w:pos="1396"/>
              </w:tabs>
            </w:pPr>
            <w:r>
              <w:t>Real unit labour costs (</w:t>
            </w:r>
            <w:r w:rsidRPr="005137A3">
              <w:rPr>
                <w:rFonts w:ascii="Times New Roman" w:hAnsi="Times New Roman"/>
                <w:i/>
                <w:sz w:val="26"/>
                <w:szCs w:val="26"/>
              </w:rPr>
              <w:t>RULC</w:t>
            </w:r>
            <w:r>
              <w:t>) are the real costs of labour (</w:t>
            </w:r>
            <m:oMath>
              <m:sSup>
                <m:sSupPr>
                  <m:ctrlPr>
                    <w:rPr>
                      <w:rFonts w:ascii="Cambria Math" w:hAnsi="Cambria Math"/>
                      <w:i/>
                      <w:sz w:val="26"/>
                      <w:szCs w:val="26"/>
                    </w:rPr>
                  </m:ctrlPr>
                </m:sSupPr>
                <m:e>
                  <m:r>
                    <w:rPr>
                      <w:rFonts w:ascii="Cambria Math" w:hAnsi="Cambria Math"/>
                      <w:sz w:val="26"/>
                      <w:szCs w:val="26"/>
                    </w:rPr>
                    <m:t>LC</m:t>
                  </m:r>
                </m:e>
                <m:sup>
                  <m:r>
                    <w:rPr>
                      <w:rFonts w:ascii="Cambria Math" w:hAnsi="Cambria Math"/>
                      <w:sz w:val="26"/>
                      <w:szCs w:val="26"/>
                    </w:rPr>
                    <m:t>r</m:t>
                  </m:r>
                </m:sup>
              </m:sSup>
              <m:r>
                <w:rPr>
                  <w:rFonts w:ascii="Cambria Math" w:hAnsi="Cambria Math"/>
                  <w:sz w:val="26"/>
                  <w:szCs w:val="26"/>
                </w:rPr>
                <m:t>)</m:t>
              </m:r>
            </m:oMath>
            <w:r>
              <w:t xml:space="preserve"> divided by the number of units of output (</w:t>
            </w:r>
            <m:oMath>
              <m:sSup>
                <m:sSupPr>
                  <m:ctrlPr>
                    <w:rPr>
                      <w:rFonts w:ascii="Cambria Math" w:hAnsi="Cambria Math"/>
                      <w:i/>
                      <w:sz w:val="26"/>
                      <w:szCs w:val="26"/>
                    </w:rPr>
                  </m:ctrlPr>
                </m:sSupPr>
                <m:e>
                  <m:r>
                    <w:rPr>
                      <w:rFonts w:ascii="Cambria Math" w:hAnsi="Cambria Math"/>
                      <w:sz w:val="26"/>
                      <w:szCs w:val="26"/>
                    </w:rPr>
                    <m:t>Y</m:t>
                  </m:r>
                </m:e>
                <m:sup>
                  <m:r>
                    <w:rPr>
                      <w:rFonts w:ascii="Cambria Math" w:hAnsi="Cambria Math"/>
                      <w:sz w:val="26"/>
                      <w:szCs w:val="26"/>
                    </w:rPr>
                    <m:t>r</m:t>
                  </m:r>
                </m:sup>
              </m:sSup>
            </m:oMath>
            <w:r>
              <w:rPr>
                <w:sz w:val="26"/>
                <w:szCs w:val="26"/>
              </w:rPr>
              <w:t>):</w:t>
            </w:r>
          </w:p>
          <w:p w:rsidR="00C014A1" w:rsidRDefault="00D16911" w:rsidP="006103E3">
            <w:pPr>
              <w:pStyle w:val="Box"/>
              <w:tabs>
                <w:tab w:val="left" w:pos="687"/>
                <w:tab w:val="left" w:pos="1396"/>
                <w:tab w:val="right" w:pos="8341"/>
              </w:tabs>
              <w:rPr>
                <w:sz w:val="32"/>
                <w:szCs w:val="32"/>
              </w:rPr>
            </w:pPr>
            <w:r>
              <w:tab/>
            </w:r>
            <m:oMath>
              <m:r>
                <w:rPr>
                  <w:rFonts w:ascii="Cambria Math" w:hAnsi="Cambria Math"/>
                </w:rPr>
                <m:t>RULC</m:t>
              </m:r>
              <m:r>
                <w:rPr>
                  <w:rFonts w:ascii="Cambria Math" w:hAnsi="Cambria Math"/>
                  <w:sz w:val="32"/>
                  <w:szCs w:val="32"/>
                </w:rPr>
                <m:t>=</m:t>
              </m:r>
              <m:f>
                <m:fPr>
                  <m:ctrlPr>
                    <w:rPr>
                      <w:rFonts w:ascii="Cambria Math" w:hAnsi="Cambria Math"/>
                      <w:i/>
                      <w:sz w:val="32"/>
                      <w:szCs w:val="32"/>
                    </w:rPr>
                  </m:ctrlPr>
                </m:fPr>
                <m:num>
                  <m:sSup>
                    <m:sSupPr>
                      <m:ctrlPr>
                        <w:rPr>
                          <w:rFonts w:ascii="Cambria Math" w:hAnsi="Cambria Math"/>
                          <w:i/>
                          <w:sz w:val="32"/>
                          <w:szCs w:val="32"/>
                        </w:rPr>
                      </m:ctrlPr>
                    </m:sSupPr>
                    <m:e>
                      <m:r>
                        <w:rPr>
                          <w:rFonts w:ascii="Cambria Math" w:hAnsi="Cambria Math"/>
                          <w:sz w:val="32"/>
                          <w:szCs w:val="32"/>
                        </w:rPr>
                        <m:t>LC</m:t>
                      </m:r>
                    </m:e>
                    <m:sup>
                      <m:r>
                        <w:rPr>
                          <w:rFonts w:ascii="Cambria Math" w:hAnsi="Cambria Math"/>
                          <w:sz w:val="32"/>
                          <w:szCs w:val="32"/>
                        </w:rPr>
                        <m:t>r</m:t>
                      </m:r>
                    </m:sup>
                  </m:sSup>
                </m:num>
                <m:den>
                  <m:sSup>
                    <m:sSupPr>
                      <m:ctrlPr>
                        <w:rPr>
                          <w:rFonts w:ascii="Cambria Math" w:hAnsi="Cambria Math"/>
                          <w:i/>
                          <w:sz w:val="32"/>
                          <w:szCs w:val="32"/>
                        </w:rPr>
                      </m:ctrlPr>
                    </m:sSupPr>
                    <m:e>
                      <m:r>
                        <w:rPr>
                          <w:rFonts w:ascii="Cambria Math" w:hAnsi="Cambria Math"/>
                          <w:sz w:val="32"/>
                          <w:szCs w:val="32"/>
                        </w:rPr>
                        <m:t>Y</m:t>
                      </m:r>
                    </m:e>
                    <m:sup>
                      <m:r>
                        <w:rPr>
                          <w:rFonts w:ascii="Cambria Math" w:hAnsi="Cambria Math"/>
                          <w:sz w:val="32"/>
                          <w:szCs w:val="32"/>
                        </w:rPr>
                        <m:t>r</m:t>
                      </m:r>
                    </m:sup>
                  </m:sSup>
                </m:den>
              </m:f>
            </m:oMath>
            <w:r w:rsidR="00C014A1">
              <w:rPr>
                <w:sz w:val="32"/>
                <w:szCs w:val="32"/>
              </w:rPr>
              <w:t xml:space="preserve"> </w:t>
            </w:r>
            <w:r>
              <w:rPr>
                <w:sz w:val="32"/>
                <w:szCs w:val="32"/>
              </w:rPr>
              <w:tab/>
            </w:r>
            <w:r w:rsidR="00C014A1" w:rsidRPr="005137A3">
              <w:t>(1)</w:t>
            </w:r>
          </w:p>
          <w:p w:rsidR="00C014A1" w:rsidRDefault="00C014A1" w:rsidP="006103E3">
            <w:pPr>
              <w:pStyle w:val="Box"/>
              <w:tabs>
                <w:tab w:val="left" w:pos="687"/>
                <w:tab w:val="left" w:pos="1396"/>
                <w:tab w:val="right" w:pos="8341"/>
              </w:tabs>
            </w:pPr>
            <w:r>
              <w:t>The labour income share (</w:t>
            </w:r>
            <w:r w:rsidRPr="005137A3">
              <w:rPr>
                <w:rFonts w:ascii="Times New Roman" w:hAnsi="Times New Roman"/>
                <w:i/>
                <w:sz w:val="26"/>
                <w:szCs w:val="26"/>
              </w:rPr>
              <w:t>LIS</w:t>
            </w:r>
            <w:r>
              <w:t>) is the nominal cost of labour (</w:t>
            </w:r>
            <m:oMath>
              <m:sSup>
                <m:sSupPr>
                  <m:ctrlPr>
                    <w:rPr>
                      <w:rFonts w:ascii="Cambria Math" w:hAnsi="Cambria Math"/>
                      <w:i/>
                      <w:sz w:val="26"/>
                      <w:szCs w:val="26"/>
                    </w:rPr>
                  </m:ctrlPr>
                </m:sSupPr>
                <m:e>
                  <m:r>
                    <w:rPr>
                      <w:rFonts w:ascii="Cambria Math" w:hAnsi="Cambria Math"/>
                      <w:sz w:val="26"/>
                      <w:szCs w:val="26"/>
                    </w:rPr>
                    <m:t>LC</m:t>
                  </m:r>
                </m:e>
                <m:sup>
                  <m:r>
                    <w:rPr>
                      <w:rFonts w:ascii="Cambria Math" w:hAnsi="Cambria Math"/>
                      <w:sz w:val="26"/>
                      <w:szCs w:val="26"/>
                    </w:rPr>
                    <m:t>n</m:t>
                  </m:r>
                </m:sup>
              </m:sSup>
            </m:oMath>
            <w:r>
              <w:t>) divided by the nominal amount of income (</w:t>
            </w:r>
            <m:oMath>
              <m:sSup>
                <m:sSupPr>
                  <m:ctrlPr>
                    <w:rPr>
                      <w:rFonts w:ascii="Cambria Math" w:hAnsi="Cambria Math"/>
                      <w:i/>
                      <w:sz w:val="26"/>
                      <w:szCs w:val="26"/>
                    </w:rPr>
                  </m:ctrlPr>
                </m:sSupPr>
                <m:e>
                  <m:r>
                    <w:rPr>
                      <w:rFonts w:ascii="Cambria Math" w:hAnsi="Cambria Math"/>
                      <w:sz w:val="26"/>
                      <w:szCs w:val="26"/>
                    </w:rPr>
                    <m:t>Y</m:t>
                  </m:r>
                </m:e>
                <m:sup>
                  <m:r>
                    <w:rPr>
                      <w:rFonts w:ascii="Cambria Math" w:hAnsi="Cambria Math"/>
                      <w:sz w:val="26"/>
                      <w:szCs w:val="26"/>
                    </w:rPr>
                    <m:t>n</m:t>
                  </m:r>
                </m:sup>
              </m:sSup>
            </m:oMath>
            <w:r>
              <w:t xml:space="preserve">): </w:t>
            </w:r>
          </w:p>
          <w:p w:rsidR="00C014A1" w:rsidRPr="00676105" w:rsidRDefault="00D16911" w:rsidP="006103E3">
            <w:pPr>
              <w:pStyle w:val="Box"/>
              <w:tabs>
                <w:tab w:val="left" w:pos="687"/>
                <w:tab w:val="left" w:pos="1396"/>
                <w:tab w:val="right" w:pos="8341"/>
              </w:tabs>
            </w:pPr>
            <w:r>
              <w:tab/>
            </w:r>
            <m:oMath>
              <m:r>
                <w:rPr>
                  <w:rFonts w:ascii="Cambria Math" w:hAnsi="Cambria Math"/>
                  <w:sz w:val="26"/>
                  <w:szCs w:val="26"/>
                </w:rPr>
                <m:t>LIS=</m:t>
              </m:r>
              <m:f>
                <m:fPr>
                  <m:ctrlPr>
                    <w:rPr>
                      <w:rFonts w:ascii="Cambria Math" w:hAnsi="Cambria Math"/>
                      <w:i/>
                      <w:sz w:val="26"/>
                      <w:szCs w:val="26"/>
                    </w:rPr>
                  </m:ctrlPr>
                </m:fPr>
                <m:num>
                  <m:sSup>
                    <m:sSupPr>
                      <m:ctrlPr>
                        <w:rPr>
                          <w:rFonts w:ascii="Cambria Math" w:hAnsi="Cambria Math"/>
                          <w:i/>
                          <w:sz w:val="26"/>
                          <w:szCs w:val="26"/>
                        </w:rPr>
                      </m:ctrlPr>
                    </m:sSupPr>
                    <m:e>
                      <m:r>
                        <w:rPr>
                          <w:rFonts w:ascii="Cambria Math" w:hAnsi="Cambria Math"/>
                          <w:sz w:val="26"/>
                          <w:szCs w:val="26"/>
                        </w:rPr>
                        <m:t>LC</m:t>
                      </m:r>
                    </m:e>
                    <m:sup>
                      <m:r>
                        <w:rPr>
                          <w:rFonts w:ascii="Cambria Math" w:hAnsi="Cambria Math"/>
                          <w:sz w:val="26"/>
                          <w:szCs w:val="26"/>
                        </w:rPr>
                        <m:t>n</m:t>
                      </m:r>
                    </m:sup>
                  </m:sSup>
                </m:num>
                <m:den>
                  <m:sSup>
                    <m:sSupPr>
                      <m:ctrlPr>
                        <w:rPr>
                          <w:rFonts w:ascii="Cambria Math" w:hAnsi="Cambria Math"/>
                          <w:i/>
                          <w:sz w:val="26"/>
                          <w:szCs w:val="26"/>
                        </w:rPr>
                      </m:ctrlPr>
                    </m:sSupPr>
                    <m:e>
                      <m:r>
                        <w:rPr>
                          <w:rFonts w:ascii="Cambria Math" w:hAnsi="Cambria Math"/>
                          <w:sz w:val="26"/>
                          <w:szCs w:val="26"/>
                        </w:rPr>
                        <m:t>Y</m:t>
                      </m:r>
                    </m:e>
                    <m:sup>
                      <m:r>
                        <w:rPr>
                          <w:rFonts w:ascii="Cambria Math" w:hAnsi="Cambria Math"/>
                          <w:sz w:val="26"/>
                          <w:szCs w:val="26"/>
                        </w:rPr>
                        <m:t>n</m:t>
                      </m:r>
                    </m:sup>
                  </m:sSup>
                </m:den>
              </m:f>
            </m:oMath>
          </w:p>
          <w:p w:rsidR="00C014A1" w:rsidRDefault="00D16911" w:rsidP="006103E3">
            <w:pPr>
              <w:pStyle w:val="BodyText"/>
              <w:tabs>
                <w:tab w:val="left" w:pos="687"/>
                <w:tab w:val="left" w:pos="1112"/>
                <w:tab w:val="right" w:pos="8341"/>
              </w:tabs>
              <w:rPr>
                <w:sz w:val="32"/>
                <w:szCs w:val="32"/>
              </w:rPr>
            </w:pPr>
            <w:r>
              <w:tab/>
            </w:r>
            <w:r>
              <w:tab/>
            </w:r>
            <m:oMath>
              <m:r>
                <w:rPr>
                  <w:rFonts w:ascii="Cambria Math" w:hAnsi="Cambria Math"/>
                  <w:szCs w:val="26"/>
                </w:rPr>
                <m:t>=</m:t>
              </m:r>
              <m:f>
                <m:fPr>
                  <m:ctrlPr>
                    <w:rPr>
                      <w:rFonts w:ascii="Cambria Math" w:hAnsi="Cambria Math"/>
                      <w:i/>
                      <w:szCs w:val="26"/>
                    </w:rPr>
                  </m:ctrlPr>
                </m:fPr>
                <m:num>
                  <m:sSup>
                    <m:sSupPr>
                      <m:ctrlPr>
                        <w:rPr>
                          <w:rFonts w:ascii="Cambria Math" w:hAnsi="Cambria Math"/>
                          <w:i/>
                          <w:szCs w:val="26"/>
                        </w:rPr>
                      </m:ctrlPr>
                    </m:sSupPr>
                    <m:e>
                      <m:r>
                        <w:rPr>
                          <w:rFonts w:ascii="Cambria Math" w:hAnsi="Cambria Math"/>
                          <w:szCs w:val="26"/>
                        </w:rPr>
                        <m:t>LC</m:t>
                      </m:r>
                    </m:e>
                    <m:sup>
                      <m:r>
                        <w:rPr>
                          <w:rFonts w:ascii="Cambria Math" w:hAnsi="Cambria Math"/>
                          <w:szCs w:val="26"/>
                        </w:rPr>
                        <m:t>n</m:t>
                      </m:r>
                    </m:sup>
                  </m:sSup>
                </m:num>
                <m:den>
                  <m:sSup>
                    <m:sSupPr>
                      <m:ctrlPr>
                        <w:rPr>
                          <w:rFonts w:ascii="Cambria Math" w:hAnsi="Cambria Math"/>
                          <w:i/>
                          <w:szCs w:val="26"/>
                        </w:rPr>
                      </m:ctrlPr>
                    </m:sSupPr>
                    <m:e>
                      <m:r>
                        <w:rPr>
                          <w:rFonts w:ascii="Cambria Math" w:hAnsi="Cambria Math"/>
                          <w:szCs w:val="26"/>
                        </w:rPr>
                        <m:t>Y</m:t>
                      </m:r>
                    </m:e>
                    <m:sup>
                      <m:r>
                        <w:rPr>
                          <w:rFonts w:ascii="Cambria Math" w:hAnsi="Cambria Math"/>
                          <w:szCs w:val="26"/>
                        </w:rPr>
                        <m:t>n</m:t>
                      </m:r>
                    </m:sup>
                  </m:sSup>
                </m:den>
              </m:f>
              <m:r>
                <w:rPr>
                  <w:rFonts w:ascii="Cambria Math" w:hAnsi="Cambria Math"/>
                  <w:szCs w:val="26"/>
                </w:rPr>
                <m:t>.</m:t>
              </m:r>
              <m:f>
                <m:fPr>
                  <m:ctrlPr>
                    <w:rPr>
                      <w:rFonts w:ascii="Cambria Math" w:hAnsi="Cambria Math"/>
                      <w:i/>
                      <w:szCs w:val="26"/>
                    </w:rPr>
                  </m:ctrlPr>
                </m:fPr>
                <m:num>
                  <m:sSup>
                    <m:sSupPr>
                      <m:ctrlPr>
                        <w:rPr>
                          <w:rFonts w:ascii="Cambria Math" w:hAnsi="Cambria Math"/>
                          <w:i/>
                          <w:szCs w:val="26"/>
                        </w:rPr>
                      </m:ctrlPr>
                    </m:sSupPr>
                    <m:e>
                      <m:r>
                        <w:rPr>
                          <w:rFonts w:ascii="Cambria Math" w:hAnsi="Cambria Math"/>
                          <w:szCs w:val="26"/>
                        </w:rPr>
                        <m:t>P</m:t>
                      </m:r>
                    </m:e>
                    <m:sup>
                      <m:r>
                        <w:rPr>
                          <w:rFonts w:ascii="Cambria Math" w:hAnsi="Cambria Math"/>
                          <w:szCs w:val="26"/>
                        </w:rPr>
                        <m:t>Y</m:t>
                      </m:r>
                    </m:sup>
                  </m:sSup>
                </m:num>
                <m:den>
                  <m:sSup>
                    <m:sSupPr>
                      <m:ctrlPr>
                        <w:rPr>
                          <w:rFonts w:ascii="Cambria Math" w:hAnsi="Cambria Math"/>
                          <w:i/>
                          <w:szCs w:val="26"/>
                        </w:rPr>
                      </m:ctrlPr>
                    </m:sSupPr>
                    <m:e>
                      <m:r>
                        <w:rPr>
                          <w:rFonts w:ascii="Cambria Math" w:hAnsi="Cambria Math"/>
                          <w:szCs w:val="26"/>
                        </w:rPr>
                        <m:t>P</m:t>
                      </m:r>
                    </m:e>
                    <m:sup>
                      <m:r>
                        <w:rPr>
                          <w:rFonts w:ascii="Cambria Math" w:hAnsi="Cambria Math"/>
                          <w:szCs w:val="26"/>
                        </w:rPr>
                        <m:t>Y</m:t>
                      </m:r>
                    </m:sup>
                  </m:sSup>
                </m:den>
              </m:f>
              <m:r>
                <w:rPr>
                  <w:rFonts w:ascii="Cambria Math" w:hAnsi="Cambria Math"/>
                  <w:szCs w:val="26"/>
                </w:rPr>
                <m:t>=</m:t>
              </m:r>
              <m:f>
                <m:fPr>
                  <m:ctrlPr>
                    <w:rPr>
                      <w:rFonts w:ascii="Cambria Math" w:hAnsi="Cambria Math"/>
                      <w:i/>
                      <w:szCs w:val="26"/>
                    </w:rPr>
                  </m:ctrlPr>
                </m:fPr>
                <m:num>
                  <m:sSup>
                    <m:sSupPr>
                      <m:ctrlPr>
                        <w:rPr>
                          <w:rFonts w:ascii="Cambria Math" w:hAnsi="Cambria Math"/>
                          <w:i/>
                          <w:szCs w:val="26"/>
                        </w:rPr>
                      </m:ctrlPr>
                    </m:sSupPr>
                    <m:e>
                      <m:r>
                        <w:rPr>
                          <w:rFonts w:ascii="Cambria Math" w:hAnsi="Cambria Math"/>
                          <w:szCs w:val="26"/>
                        </w:rPr>
                        <m:t>LC</m:t>
                      </m:r>
                    </m:e>
                    <m:sup>
                      <m:r>
                        <w:rPr>
                          <w:rFonts w:ascii="Cambria Math" w:hAnsi="Cambria Math"/>
                          <w:szCs w:val="26"/>
                        </w:rPr>
                        <m:t>r</m:t>
                      </m:r>
                    </m:sup>
                  </m:sSup>
                </m:num>
                <m:den>
                  <m:sSup>
                    <m:sSupPr>
                      <m:ctrlPr>
                        <w:rPr>
                          <w:rFonts w:ascii="Cambria Math" w:hAnsi="Cambria Math"/>
                          <w:i/>
                          <w:szCs w:val="26"/>
                        </w:rPr>
                      </m:ctrlPr>
                    </m:sSupPr>
                    <m:e>
                      <m:r>
                        <w:rPr>
                          <w:rFonts w:ascii="Cambria Math" w:hAnsi="Cambria Math"/>
                          <w:szCs w:val="26"/>
                        </w:rPr>
                        <m:t>Y</m:t>
                      </m:r>
                    </m:e>
                    <m:sup>
                      <m:r>
                        <w:rPr>
                          <w:rFonts w:ascii="Cambria Math" w:hAnsi="Cambria Math"/>
                          <w:szCs w:val="26"/>
                        </w:rPr>
                        <m:t>r</m:t>
                      </m:r>
                    </m:sup>
                  </m:sSup>
                </m:den>
              </m:f>
              <m:r>
                <w:rPr>
                  <w:rFonts w:ascii="Cambria Math" w:hAnsi="Cambria Math"/>
                  <w:szCs w:val="26"/>
                </w:rPr>
                <m:t>=RULC</m:t>
              </m:r>
            </m:oMath>
          </w:p>
          <w:p w:rsidR="00C014A1" w:rsidRDefault="00C014A1" w:rsidP="006103E3">
            <w:pPr>
              <w:pStyle w:val="Box"/>
              <w:tabs>
                <w:tab w:val="left" w:pos="687"/>
                <w:tab w:val="left" w:pos="1396"/>
                <w:tab w:val="right" w:pos="8341"/>
              </w:tabs>
            </w:pPr>
            <w:r>
              <w:t>Real unit labour costs can be defined in terms of the real product wage (RPW) and labour productivity (LP). Multiplying and dividing (1) by the number of hours worked:</w:t>
            </w:r>
          </w:p>
          <w:p w:rsidR="00C014A1" w:rsidRDefault="00D16911" w:rsidP="006103E3">
            <w:pPr>
              <w:pStyle w:val="BodyText"/>
              <w:tabs>
                <w:tab w:val="left" w:pos="687"/>
                <w:tab w:val="left" w:pos="1396"/>
                <w:tab w:val="right" w:pos="8341"/>
              </w:tabs>
              <w:rPr>
                <w:sz w:val="32"/>
                <w:szCs w:val="32"/>
              </w:rPr>
            </w:pPr>
            <w:r>
              <w:rPr>
                <w:sz w:val="28"/>
                <w:szCs w:val="28"/>
              </w:rPr>
              <w:tab/>
            </w:r>
            <m:oMath>
              <m:r>
                <w:rPr>
                  <w:rFonts w:ascii="Cambria Math" w:hAnsi="Cambria Math"/>
                  <w:szCs w:val="26"/>
                </w:rPr>
                <m:t>RULC=</m:t>
              </m:r>
              <m:f>
                <m:fPr>
                  <m:ctrlPr>
                    <w:rPr>
                      <w:rFonts w:ascii="Cambria Math" w:hAnsi="Cambria Math"/>
                      <w:i/>
                      <w:szCs w:val="26"/>
                    </w:rPr>
                  </m:ctrlPr>
                </m:fPr>
                <m:num>
                  <m:sSup>
                    <m:sSupPr>
                      <m:ctrlPr>
                        <w:rPr>
                          <w:rFonts w:ascii="Cambria Math" w:hAnsi="Cambria Math"/>
                          <w:i/>
                          <w:szCs w:val="26"/>
                        </w:rPr>
                      </m:ctrlPr>
                    </m:sSupPr>
                    <m:e>
                      <m:r>
                        <w:rPr>
                          <w:rFonts w:ascii="Cambria Math" w:hAnsi="Cambria Math"/>
                          <w:szCs w:val="26"/>
                        </w:rPr>
                        <m:t>LC</m:t>
                      </m:r>
                    </m:e>
                    <m:sup>
                      <m:r>
                        <w:rPr>
                          <w:rFonts w:ascii="Cambria Math" w:hAnsi="Cambria Math"/>
                          <w:szCs w:val="26"/>
                        </w:rPr>
                        <m:t>r</m:t>
                      </m:r>
                    </m:sup>
                  </m:sSup>
                </m:num>
                <m:den>
                  <m:r>
                    <w:rPr>
                      <w:rFonts w:ascii="Cambria Math" w:hAnsi="Cambria Math"/>
                      <w:szCs w:val="26"/>
                    </w:rPr>
                    <m:t>H</m:t>
                  </m:r>
                </m:den>
              </m:f>
              <m:r>
                <w:rPr>
                  <w:rFonts w:ascii="Cambria Math" w:hAnsi="Cambria Math"/>
                  <w:szCs w:val="26"/>
                </w:rPr>
                <m:t>.</m:t>
              </m:r>
              <m:f>
                <m:fPr>
                  <m:ctrlPr>
                    <w:rPr>
                      <w:rFonts w:ascii="Cambria Math" w:hAnsi="Cambria Math"/>
                      <w:i/>
                      <w:szCs w:val="26"/>
                    </w:rPr>
                  </m:ctrlPr>
                </m:fPr>
                <m:num>
                  <m:r>
                    <w:rPr>
                      <w:rFonts w:ascii="Cambria Math" w:hAnsi="Cambria Math"/>
                      <w:szCs w:val="26"/>
                    </w:rPr>
                    <m:t>H</m:t>
                  </m:r>
                </m:num>
                <m:den>
                  <m:sSup>
                    <m:sSupPr>
                      <m:ctrlPr>
                        <w:rPr>
                          <w:rFonts w:ascii="Cambria Math" w:hAnsi="Cambria Math"/>
                          <w:i/>
                          <w:szCs w:val="26"/>
                        </w:rPr>
                      </m:ctrlPr>
                    </m:sSupPr>
                    <m:e>
                      <m:r>
                        <w:rPr>
                          <w:rFonts w:ascii="Cambria Math" w:hAnsi="Cambria Math"/>
                          <w:szCs w:val="26"/>
                        </w:rPr>
                        <m:t>Y</m:t>
                      </m:r>
                    </m:e>
                    <m:sup>
                      <m:r>
                        <w:rPr>
                          <w:rFonts w:ascii="Cambria Math" w:hAnsi="Cambria Math"/>
                          <w:szCs w:val="26"/>
                        </w:rPr>
                        <m:t>r</m:t>
                      </m:r>
                    </m:sup>
                  </m:sSup>
                </m:den>
              </m:f>
            </m:oMath>
          </w:p>
          <w:p w:rsidR="00C014A1" w:rsidRDefault="00D16911" w:rsidP="006103E3">
            <w:pPr>
              <w:pStyle w:val="Box"/>
              <w:tabs>
                <w:tab w:val="left" w:pos="687"/>
                <w:tab w:val="left" w:pos="1396"/>
                <w:tab w:val="right" w:pos="8341"/>
              </w:tabs>
              <w:rPr>
                <w:sz w:val="32"/>
                <w:szCs w:val="32"/>
              </w:rPr>
            </w:pPr>
            <w:r>
              <w:rPr>
                <w:sz w:val="32"/>
                <w:szCs w:val="32"/>
              </w:rPr>
              <w:tab/>
            </w:r>
            <w:r>
              <w:rPr>
                <w:sz w:val="32"/>
                <w:szCs w:val="32"/>
              </w:rPr>
              <w:tab/>
            </w:r>
            <m:oMath>
              <m:r>
                <w:rPr>
                  <w:rFonts w:ascii="Cambria Math" w:hAnsi="Cambria Math"/>
                  <w:sz w:val="32"/>
                  <w:szCs w:val="32"/>
                </w:rPr>
                <m:t xml:space="preserve"> =</m:t>
              </m:r>
              <m:f>
                <m:fPr>
                  <m:ctrlPr>
                    <w:rPr>
                      <w:rFonts w:ascii="Cambria Math" w:hAnsi="Cambria Math"/>
                      <w:i/>
                      <w:sz w:val="32"/>
                      <w:szCs w:val="32"/>
                    </w:rPr>
                  </m:ctrlPr>
                </m:fPr>
                <m:num>
                  <m:r>
                    <w:rPr>
                      <w:rFonts w:ascii="Cambria Math" w:hAnsi="Cambria Math"/>
                      <w:sz w:val="32"/>
                      <w:szCs w:val="32"/>
                    </w:rPr>
                    <m:t>RPW</m:t>
                  </m:r>
                </m:num>
                <m:den>
                  <m:r>
                    <w:rPr>
                      <w:rFonts w:ascii="Cambria Math" w:hAnsi="Cambria Math"/>
                      <w:sz w:val="32"/>
                      <w:szCs w:val="32"/>
                    </w:rPr>
                    <m:t>LP</m:t>
                  </m:r>
                </m:den>
              </m:f>
            </m:oMath>
            <w:r>
              <w:rPr>
                <w:sz w:val="32"/>
                <w:szCs w:val="32"/>
              </w:rPr>
              <w:tab/>
            </w:r>
            <w:r w:rsidR="00C014A1" w:rsidRPr="00D83EB4">
              <w:t>(</w:t>
            </w:r>
            <w:r w:rsidR="00C014A1" w:rsidRPr="006236C2">
              <w:rPr>
                <w:rFonts w:cs="Arial"/>
                <w:szCs w:val="22"/>
              </w:rPr>
              <w:t>2</w:t>
            </w:r>
            <w:r w:rsidR="00C014A1" w:rsidRPr="00D83EB4">
              <w:t>)</w:t>
            </w:r>
          </w:p>
          <w:p w:rsidR="00C014A1" w:rsidRDefault="00C014A1" w:rsidP="006103E3">
            <w:pPr>
              <w:pStyle w:val="Box"/>
              <w:tabs>
                <w:tab w:val="left" w:pos="687"/>
                <w:tab w:val="left" w:pos="1396"/>
                <w:tab w:val="right" w:pos="8341"/>
              </w:tabs>
            </w:pPr>
            <w:r>
              <w:t>Equation (2) can be expressed in growth rate terms, where a hat ‘</w:t>
            </w:r>
            <w:r>
              <w:rPr>
                <w:rFonts w:ascii="Times New Roman" w:hAnsi="Times New Roman"/>
              </w:rPr>
              <w:t>^</w:t>
            </w:r>
            <w:r>
              <w:t>’ over a variable signifies a growth rate in that variable:</w:t>
            </w:r>
          </w:p>
          <w:p w:rsidR="005248AA" w:rsidRPr="005248AA" w:rsidRDefault="005248AA" w:rsidP="006103E3">
            <w:pPr>
              <w:pStyle w:val="Box"/>
              <w:tabs>
                <w:tab w:val="left" w:pos="687"/>
                <w:tab w:val="left" w:pos="1396"/>
                <w:tab w:val="right" w:pos="8341"/>
              </w:tabs>
              <w:rPr>
                <w:rFonts w:ascii="Times New Roman" w:hAnsi="Times New Roman"/>
                <w:sz w:val="24"/>
                <w:szCs w:val="24"/>
              </w:rPr>
            </w:pPr>
            <w:r>
              <w:rPr>
                <w:sz w:val="26"/>
                <w:szCs w:val="26"/>
              </w:rPr>
              <w:t xml:space="preserve">       </w:t>
            </w:r>
            <m:oMath>
              <m:acc>
                <m:accPr>
                  <m:ctrlPr>
                    <w:rPr>
                      <w:rFonts w:ascii="Cambria Math" w:hAnsi="Cambria Math"/>
                      <w:i/>
                      <w:sz w:val="26"/>
                      <w:szCs w:val="26"/>
                    </w:rPr>
                  </m:ctrlPr>
                </m:accPr>
                <m:e>
                  <m:r>
                    <w:rPr>
                      <w:rFonts w:ascii="Cambria Math" w:hAnsi="Cambria Math"/>
                      <w:sz w:val="26"/>
                      <w:szCs w:val="26"/>
                    </w:rPr>
                    <m:t>RULC=</m:t>
                  </m:r>
                </m:e>
              </m:acc>
              <m:acc>
                <m:accPr>
                  <m:ctrlPr>
                    <w:rPr>
                      <w:rFonts w:ascii="Cambria Math" w:hAnsi="Cambria Math"/>
                      <w:i/>
                      <w:sz w:val="26"/>
                      <w:szCs w:val="26"/>
                    </w:rPr>
                  </m:ctrlPr>
                </m:accPr>
                <m:e>
                  <m:r>
                    <w:rPr>
                      <w:rFonts w:ascii="Cambria Math" w:hAnsi="Cambria Math"/>
                      <w:sz w:val="26"/>
                      <w:szCs w:val="26"/>
                    </w:rPr>
                    <m:t>RPW</m:t>
                  </m:r>
                </m:e>
              </m:acc>
              <m:r>
                <w:rPr>
                  <w:rFonts w:ascii="Cambria Math" w:hAnsi="Cambria Math"/>
                  <w:sz w:val="26"/>
                  <w:szCs w:val="26"/>
                </w:rPr>
                <m:t>-</m:t>
              </m:r>
              <m:acc>
                <m:accPr>
                  <m:ctrlPr>
                    <w:rPr>
                      <w:rFonts w:ascii="Cambria Math" w:hAnsi="Cambria Math"/>
                      <w:i/>
                      <w:sz w:val="26"/>
                      <w:szCs w:val="26"/>
                    </w:rPr>
                  </m:ctrlPr>
                </m:accPr>
                <m:e>
                  <m:r>
                    <w:rPr>
                      <w:rFonts w:ascii="Cambria Math" w:hAnsi="Cambria Math"/>
                      <w:sz w:val="26"/>
                      <w:szCs w:val="26"/>
                    </w:rPr>
                    <m:t>LP</m:t>
                  </m:r>
                </m:e>
              </m:acc>
              <m:r>
                <w:rPr>
                  <w:rFonts w:ascii="Cambria Math" w:hAnsi="Cambria Math"/>
                  <w:sz w:val="26"/>
                  <w:szCs w:val="26"/>
                </w:rPr>
                <m:t xml:space="preserve">  </m:t>
              </m:r>
              <m:d>
                <m:dPr>
                  <m:begChr m:val="["/>
                  <m:endChr m:val="]"/>
                  <m:ctrlPr>
                    <w:rPr>
                      <w:rFonts w:ascii="Cambria Math" w:hAnsi="Cambria Math"/>
                      <w:i/>
                      <w:sz w:val="26"/>
                      <w:szCs w:val="26"/>
                    </w:rPr>
                  </m:ctrlPr>
                </m:dPr>
                <m:e>
                  <m:r>
                    <w:rPr>
                      <w:rFonts w:ascii="Cambria Math" w:hAnsi="Cambria Math"/>
                      <w:sz w:val="26"/>
                      <w:szCs w:val="26"/>
                    </w:rPr>
                    <m:t>=</m:t>
                  </m:r>
                  <m:acc>
                    <m:accPr>
                      <m:ctrlPr>
                        <w:rPr>
                          <w:rFonts w:ascii="Cambria Math" w:hAnsi="Cambria Math"/>
                          <w:i/>
                          <w:sz w:val="26"/>
                          <w:szCs w:val="26"/>
                        </w:rPr>
                      </m:ctrlPr>
                    </m:accPr>
                    <m:e>
                      <m:r>
                        <w:rPr>
                          <w:rFonts w:ascii="Cambria Math" w:hAnsi="Cambria Math"/>
                          <w:sz w:val="26"/>
                          <w:szCs w:val="26"/>
                        </w:rPr>
                        <m:t>LIS</m:t>
                      </m:r>
                    </m:e>
                  </m:acc>
                </m:e>
              </m:d>
            </m:oMath>
            <w:r w:rsidR="006103E3">
              <w:rPr>
                <w:sz w:val="26"/>
                <w:szCs w:val="26"/>
              </w:rPr>
              <w:tab/>
            </w:r>
            <w:r w:rsidRPr="006103E3">
              <w:t>(3)</w:t>
            </w:r>
          </w:p>
        </w:tc>
      </w:tr>
      <w:tr w:rsidR="005248AA" w:rsidTr="00D879C4">
        <w:trPr>
          <w:cantSplit/>
        </w:trPr>
        <w:tc>
          <w:tcPr>
            <w:tcW w:w="8771" w:type="dxa"/>
            <w:tcBorders>
              <w:top w:val="nil"/>
              <w:left w:val="single" w:sz="6" w:space="0" w:color="auto"/>
              <w:bottom w:val="single" w:sz="6" w:space="0" w:color="auto"/>
              <w:right w:val="single" w:sz="6" w:space="0" w:color="auto"/>
            </w:tcBorders>
          </w:tcPr>
          <w:p w:rsidR="005248AA" w:rsidRDefault="005248AA" w:rsidP="00D879C4">
            <w:pPr>
              <w:pStyle w:val="Box"/>
              <w:spacing w:before="0" w:line="120" w:lineRule="exact"/>
            </w:pPr>
          </w:p>
        </w:tc>
      </w:tr>
    </w:tbl>
    <w:p w:rsidR="001A1095" w:rsidRDefault="001A1095" w:rsidP="00D16911">
      <w:pPr>
        <w:pStyle w:val="Heading3"/>
      </w:pPr>
    </w:p>
    <w:p w:rsidR="001A1095" w:rsidRDefault="001A1095" w:rsidP="001A1095">
      <w:pPr>
        <w:pStyle w:val="BodyText"/>
        <w:rPr>
          <w:rFonts w:ascii="Arial" w:hAnsi="Arial"/>
        </w:rPr>
      </w:pPr>
      <w:r>
        <w:br w:type="page"/>
      </w:r>
    </w:p>
    <w:p w:rsidR="00D16911" w:rsidRDefault="00D16911" w:rsidP="00D16911">
      <w:pPr>
        <w:pStyle w:val="Heading3"/>
      </w:pPr>
      <w:r>
        <w:lastRenderedPageBreak/>
        <w:t>Labour productivity and wages</w:t>
      </w:r>
    </w:p>
    <w:p w:rsidR="00D16911" w:rsidRDefault="00D16911" w:rsidP="00D16911">
      <w:pPr>
        <w:pStyle w:val="BodyText"/>
      </w:pPr>
      <w:r>
        <w:t>According to the decomposition in box 4.2, a decline in the LIS means there is a decline in RULC, which in turn means that growth in real wage rates does not keep pace with growth in labour productivity</w:t>
      </w:r>
      <w:r w:rsidR="006103E3">
        <w:t xml:space="preserve"> (LP)</w:t>
      </w:r>
      <w:r>
        <w:t>. The evidence from the 2000s (figure 4.5) bears this out.</w:t>
      </w:r>
    </w:p>
    <w:p w:rsidR="00D16911" w:rsidRDefault="00D16911" w:rsidP="00D16911">
      <w:pPr>
        <w:pStyle w:val="Heading4"/>
      </w:pPr>
      <w:r>
        <w:t>Real wage growth did not keep pace with productivity growth in the 2000s</w:t>
      </w:r>
    </w:p>
    <w:p w:rsidR="00D16911" w:rsidRDefault="00D16911" w:rsidP="00D16911">
      <w:pPr>
        <w:pStyle w:val="BodyText"/>
      </w:pPr>
      <w:r>
        <w:t xml:space="preserve">The real product wage moved mostly in line with </w:t>
      </w:r>
      <w:r w:rsidR="00301DDE">
        <w:t>LP</w:t>
      </w:r>
      <w:r>
        <w:t xml:space="preserve"> growth during the productivity decade of the 1990s.</w:t>
      </w:r>
      <w:r>
        <w:rPr>
          <w:rStyle w:val="FootnoteReference"/>
        </w:rPr>
        <w:footnoteReference w:id="8"/>
      </w:r>
      <w:r>
        <w:t xml:space="preserve"> There was little change in both RULC and the LIS (left panel of figure 4.5).</w:t>
      </w:r>
    </w:p>
    <w:p w:rsidR="00DC48E3" w:rsidRPr="00231D45" w:rsidRDefault="00DC48E3" w:rsidP="00DC48E3">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5</w:t>
      </w:r>
      <w:r>
        <w:rPr>
          <w:b w:val="0"/>
        </w:rPr>
        <w:fldChar w:fldCharType="end"/>
      </w:r>
      <w:r>
        <w:tab/>
      </w:r>
      <w:r w:rsidR="00552342">
        <w:t>Cumulative growth in t</w:t>
      </w:r>
      <w:r>
        <w:t xml:space="preserve">he real </w:t>
      </w:r>
      <w:r w:rsidR="008C6C43">
        <w:t xml:space="preserve">product wage </w:t>
      </w:r>
      <w:r w:rsidR="006103E3">
        <w:t>(</w:t>
      </w:r>
      <w:r w:rsidR="008C6C43">
        <w:t>RPW</w:t>
      </w:r>
      <w:r>
        <w:t>), labour productivity (LP)</w:t>
      </w:r>
      <w:r w:rsidRPr="001C3CDE">
        <w:t xml:space="preserve"> </w:t>
      </w:r>
      <w:r>
        <w:t xml:space="preserve">and </w:t>
      </w:r>
      <w:r w:rsidR="00552342">
        <w:t>real unit labour costs (RULC) and the level of the labour income share (LIS),1990s and 2000s</w:t>
      </w:r>
    </w:p>
    <w:p w:rsidR="00DC48E3" w:rsidRDefault="00DC48E3" w:rsidP="00DC48E3">
      <w:pPr>
        <w:pStyle w:val="Subtitle"/>
      </w:pPr>
      <w:r>
        <w:t>index</w:t>
      </w:r>
      <w:r w:rsidR="00A22EC9">
        <w:t>, 1999-00=100</w:t>
      </w:r>
      <w:r>
        <w:t xml:space="preserve"> (left hand side) and per cent (right hand side)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2C7B2E" w:rsidRPr="002C7B2E" w:rsidTr="00F55045">
        <w:tc>
          <w:tcPr>
            <w:tcW w:w="4388" w:type="dxa"/>
          </w:tcPr>
          <w:p w:rsidR="002C7B2E" w:rsidRPr="002C7B2E" w:rsidRDefault="002C7B2E" w:rsidP="002C7B2E">
            <w:pPr>
              <w:pStyle w:val="BodyText"/>
              <w:spacing w:before="60"/>
              <w:jc w:val="center"/>
              <w:rPr>
                <w:i/>
                <w:noProof/>
                <w:sz w:val="22"/>
                <w:szCs w:val="22"/>
              </w:rPr>
            </w:pPr>
            <w:r w:rsidRPr="002C7B2E">
              <w:rPr>
                <w:i/>
                <w:noProof/>
                <w:sz w:val="22"/>
                <w:szCs w:val="22"/>
              </w:rPr>
              <w:t>1990s</w:t>
            </w:r>
          </w:p>
        </w:tc>
        <w:tc>
          <w:tcPr>
            <w:tcW w:w="4389" w:type="dxa"/>
          </w:tcPr>
          <w:p w:rsidR="002C7B2E" w:rsidRPr="002C7B2E" w:rsidRDefault="002C7B2E" w:rsidP="002C7B2E">
            <w:pPr>
              <w:pStyle w:val="BodyText"/>
              <w:spacing w:before="60"/>
              <w:jc w:val="center"/>
              <w:rPr>
                <w:i/>
                <w:noProof/>
                <w:sz w:val="22"/>
                <w:szCs w:val="22"/>
              </w:rPr>
            </w:pPr>
            <w:r w:rsidRPr="002C7B2E">
              <w:rPr>
                <w:i/>
                <w:noProof/>
                <w:sz w:val="22"/>
                <w:szCs w:val="22"/>
              </w:rPr>
              <w:t>2000s</w:t>
            </w:r>
          </w:p>
        </w:tc>
      </w:tr>
      <w:tr w:rsidR="00F55045" w:rsidTr="00F55045">
        <w:tc>
          <w:tcPr>
            <w:tcW w:w="4388" w:type="dxa"/>
          </w:tcPr>
          <w:p w:rsidR="00F55045" w:rsidRPr="000B2B9F" w:rsidRDefault="00EF47F6" w:rsidP="00C36CD5">
            <w:pPr>
              <w:pStyle w:val="Figure"/>
              <w:rPr>
                <w:noProof/>
              </w:rPr>
            </w:pPr>
            <w:r>
              <w:rPr>
                <w:noProof/>
              </w:rPr>
              <w:drawing>
                <wp:inline distT="0" distB="0" distL="0" distR="0">
                  <wp:extent cx="2409825" cy="2152650"/>
                  <wp:effectExtent l="0" t="0" r="0" b="0"/>
                  <wp:docPr id="20" name="Picture 20" descr="Cumulative growth in the real product wage (RPW), labour productivity (LP) and real unit labour costs and the level of the labour income share, 1990s and 2000s. This figure shows that in the 1990s, when the labour income share was stable, real unit labour costs were stable and growth in the RPW and LP were closely aligned. In the 2000s, when the labour income share fell, real unit labour costs fell and growth in LP was stronger than growth in R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09825" cy="2152650"/>
                          </a:xfrm>
                          <a:prstGeom prst="rect">
                            <a:avLst/>
                          </a:prstGeom>
                          <a:noFill/>
                          <a:ln>
                            <a:noFill/>
                          </a:ln>
                        </pic:spPr>
                      </pic:pic>
                    </a:graphicData>
                  </a:graphic>
                </wp:inline>
              </w:drawing>
            </w:r>
          </w:p>
        </w:tc>
        <w:tc>
          <w:tcPr>
            <w:tcW w:w="4389" w:type="dxa"/>
          </w:tcPr>
          <w:p w:rsidR="00F55045" w:rsidRPr="000B2B9F" w:rsidRDefault="00EF47F6" w:rsidP="00C36CD5">
            <w:pPr>
              <w:pStyle w:val="Figure"/>
              <w:rPr>
                <w:noProof/>
              </w:rPr>
            </w:pPr>
            <w:r>
              <w:rPr>
                <w:noProof/>
              </w:rPr>
              <w:drawing>
                <wp:inline distT="0" distB="0" distL="0" distR="0">
                  <wp:extent cx="2419350" cy="2143125"/>
                  <wp:effectExtent l="0" t="0" r="0" b="0"/>
                  <wp:docPr id="21" name="Picture 21" descr="Cumulative growth in the real product wage (RPW), labour productivity (LP) and real unit labour costs and the level of the labour income share, 1990s and 2000s. This figure shows that in the 1990s, when the labour income share was stable, real unit labour costs were stable and growth in the RPW and LP were closely aligned. In the 2000s, when the labour income share fell, real unit labour costs fell and growth in LP was stronger than growth in R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9350" cy="2143125"/>
                          </a:xfrm>
                          <a:prstGeom prst="rect">
                            <a:avLst/>
                          </a:prstGeom>
                          <a:noFill/>
                          <a:ln>
                            <a:noFill/>
                          </a:ln>
                        </pic:spPr>
                      </pic:pic>
                    </a:graphicData>
                  </a:graphic>
                </wp:inline>
              </w:drawing>
            </w:r>
          </w:p>
        </w:tc>
      </w:tr>
    </w:tbl>
    <w:p w:rsidR="00D16911" w:rsidRDefault="00B55339" w:rsidP="00B55339">
      <w:pPr>
        <w:pStyle w:val="Source"/>
      </w:pPr>
      <w:r>
        <w:rPr>
          <w:i/>
        </w:rPr>
        <w:t>S</w:t>
      </w:r>
      <w:r w:rsidR="00DC48E3">
        <w:rPr>
          <w:i/>
        </w:rPr>
        <w:t>ource</w:t>
      </w:r>
      <w:r w:rsidR="00DC48E3" w:rsidRPr="00167F06">
        <w:t xml:space="preserve">: </w:t>
      </w:r>
      <w:r>
        <w:t>A</w:t>
      </w:r>
      <w:r w:rsidR="00DC48E3">
        <w:t xml:space="preserve">uthor’s estimates </w:t>
      </w:r>
      <w:r w:rsidR="005248AA">
        <w:t xml:space="preserve">based on ABS </w:t>
      </w:r>
      <w:r w:rsidR="001A1095">
        <w:t>(</w:t>
      </w:r>
      <w:r w:rsidR="006103E3">
        <w:t>Cat. n</w:t>
      </w:r>
      <w:r w:rsidR="005248AA">
        <w:t>o.</w:t>
      </w:r>
      <w:r w:rsidR="005248AA" w:rsidRPr="00327858">
        <w:t xml:space="preserve"> 5260.0.55.002</w:t>
      </w:r>
      <w:r w:rsidR="001A1095">
        <w:t>)</w:t>
      </w:r>
      <w:r w:rsidR="005248AA">
        <w:t>.</w:t>
      </w:r>
    </w:p>
    <w:p w:rsidR="00D16911" w:rsidRDefault="00D16911" w:rsidP="00D16911">
      <w:pPr>
        <w:pStyle w:val="BodyText"/>
      </w:pPr>
      <w:r>
        <w:t xml:space="preserve">However, growth in the RPW was about 9 percentage points below </w:t>
      </w:r>
      <w:r w:rsidR="006103E3">
        <w:t xml:space="preserve">LP </w:t>
      </w:r>
      <w:r>
        <w:t xml:space="preserve"> growth over the first decade of the 2000s (right panel of figure 4.5). In keeping with the growth gap, RULC declined by 9 per cent.</w:t>
      </w:r>
      <w:r>
        <w:rPr>
          <w:rStyle w:val="FootnoteReference"/>
        </w:rPr>
        <w:footnoteReference w:id="9"/>
      </w:r>
    </w:p>
    <w:p w:rsidR="00D16911" w:rsidRDefault="00D16911" w:rsidP="00D16911">
      <w:pPr>
        <w:pStyle w:val="BodyText"/>
      </w:pPr>
      <w:r>
        <w:t>In terms of annual average rates, growth in the real product wage was 0.</w:t>
      </w:r>
      <w:r w:rsidR="0092251F">
        <w:t>7</w:t>
      </w:r>
      <w:r w:rsidR="00F34F3B">
        <w:t xml:space="preserve"> of a</w:t>
      </w:r>
      <w:r w:rsidR="000A0733">
        <w:t xml:space="preserve"> percentage point </w:t>
      </w:r>
      <w:r>
        <w:t>behind LP growth in the 2000s (table 4.3).</w:t>
      </w:r>
    </w:p>
    <w:p w:rsidR="00D16911" w:rsidRDefault="00D16911" w:rsidP="00D16911">
      <w:pPr>
        <w:pStyle w:val="Heading4"/>
      </w:pPr>
      <w:r>
        <w:lastRenderedPageBreak/>
        <w:t>Growth in real wages slowed even more than productivity growth</w:t>
      </w:r>
    </w:p>
    <w:p w:rsidR="00D16911" w:rsidRDefault="00D16911" w:rsidP="00D16911">
      <w:pPr>
        <w:pStyle w:val="BodyText"/>
      </w:pPr>
      <w:r>
        <w:t xml:space="preserve">It is well known that productivity growth slowed from the record highs achieved in the 1990s. A slowdown is reflected in the </w:t>
      </w:r>
      <w:r w:rsidR="0092251F">
        <w:t>0.8 of a</w:t>
      </w:r>
      <w:r w:rsidR="000A0733">
        <w:t xml:space="preserve"> percentage point </w:t>
      </w:r>
      <w:r>
        <w:t xml:space="preserve">slower decadal rate of growth in </w:t>
      </w:r>
      <w:r w:rsidR="006103E3">
        <w:t>LP</w:t>
      </w:r>
      <w:r>
        <w:t xml:space="preserve"> presented here (table 4.3).</w:t>
      </w:r>
    </w:p>
    <w:p w:rsidR="00D16911" w:rsidRDefault="00D16911" w:rsidP="00D16911">
      <w:pPr>
        <w:pStyle w:val="BodyText"/>
      </w:pPr>
      <w:r>
        <w:t>However, the slowdown in real wage growth was even larger (figure 4.5). Annual average RPW growth was 1.</w:t>
      </w:r>
      <w:r w:rsidR="0092251F">
        <w:t>2</w:t>
      </w:r>
      <w:r w:rsidR="000A0733">
        <w:t xml:space="preserve"> percentage points </w:t>
      </w:r>
      <w:r>
        <w:t xml:space="preserve">slower in the 2000s than in the 1990s (table 4.3). </w:t>
      </w:r>
    </w:p>
    <w:p w:rsidR="009C3B52" w:rsidRDefault="0083519E" w:rsidP="00D16911">
      <w:pPr>
        <w:pStyle w:val="TableTitle"/>
      </w:pPr>
      <w:r w:rsidRPr="003402A1">
        <w:rPr>
          <w:b w:val="0"/>
          <w:sz w:val="20"/>
        </w:rPr>
        <w:t xml:space="preserve"> </w:t>
      </w:r>
      <w:r w:rsidR="009C3B52" w:rsidRPr="003402A1">
        <w:rPr>
          <w:b w:val="0"/>
        </w:rPr>
        <w:t xml:space="preserve">Table </w:t>
      </w:r>
      <w:r w:rsidR="009C3B52" w:rsidRPr="003402A1">
        <w:rPr>
          <w:b w:val="0"/>
        </w:rPr>
        <w:fldChar w:fldCharType="begin"/>
      </w:r>
      <w:r w:rsidR="009C3B52" w:rsidRPr="003402A1">
        <w:rPr>
          <w:b w:val="0"/>
        </w:rPr>
        <w:instrText xml:space="preserve"> COMMENTS  \* MERGEFORMAT </w:instrText>
      </w:r>
      <w:r w:rsidR="009C3B52" w:rsidRPr="003402A1">
        <w:rPr>
          <w:b w:val="0"/>
        </w:rPr>
        <w:fldChar w:fldCharType="separate"/>
      </w:r>
      <w:r w:rsidR="00852B17">
        <w:rPr>
          <w:b w:val="0"/>
        </w:rPr>
        <w:t>4.</w:t>
      </w:r>
      <w:r w:rsidR="009C3B52" w:rsidRPr="003402A1">
        <w:rPr>
          <w:b w:val="0"/>
        </w:rPr>
        <w:fldChar w:fldCharType="end"/>
      </w:r>
      <w:r w:rsidR="009C3B52" w:rsidRPr="003402A1">
        <w:rPr>
          <w:b w:val="0"/>
        </w:rPr>
        <w:fldChar w:fldCharType="begin"/>
      </w:r>
      <w:r w:rsidR="009C3B52" w:rsidRPr="003402A1">
        <w:rPr>
          <w:b w:val="0"/>
        </w:rPr>
        <w:instrText xml:space="preserve"> SEQ Table \* ARABIC </w:instrText>
      </w:r>
      <w:r w:rsidR="009C3B52" w:rsidRPr="003402A1">
        <w:rPr>
          <w:b w:val="0"/>
        </w:rPr>
        <w:fldChar w:fldCharType="separate"/>
      </w:r>
      <w:r w:rsidR="000F443A">
        <w:rPr>
          <w:b w:val="0"/>
          <w:noProof/>
        </w:rPr>
        <w:t>3</w:t>
      </w:r>
      <w:r w:rsidR="009C3B52" w:rsidRPr="003402A1">
        <w:rPr>
          <w:b w:val="0"/>
        </w:rPr>
        <w:fldChar w:fldCharType="end"/>
      </w:r>
      <w:r w:rsidR="009C3B52">
        <w:tab/>
      </w:r>
      <w:r w:rsidR="009C3B52" w:rsidRPr="00847024">
        <w:t xml:space="preserve">Decomposition of growth in real unit labour costs into growth in the real </w:t>
      </w:r>
      <w:r w:rsidR="009C3B52">
        <w:t xml:space="preserve">product wage </w:t>
      </w:r>
      <w:r w:rsidR="009C3B52" w:rsidRPr="00847024">
        <w:t>and growth in labour productivity</w:t>
      </w:r>
    </w:p>
    <w:p w:rsidR="009C3B52" w:rsidRDefault="009C3B52">
      <w:pPr>
        <w:pStyle w:val="Subtitle"/>
      </w:pPr>
      <w:r>
        <w:t>per cent per year</w:t>
      </w:r>
    </w:p>
    <w:tbl>
      <w:tblPr>
        <w:tblW w:w="5000" w:type="pct"/>
        <w:tblCellMar>
          <w:left w:w="0" w:type="dxa"/>
          <w:right w:w="0" w:type="dxa"/>
        </w:tblCellMar>
        <w:tblLook w:val="04A0" w:firstRow="1" w:lastRow="0" w:firstColumn="1" w:lastColumn="0" w:noHBand="0" w:noVBand="1"/>
      </w:tblPr>
      <w:tblGrid>
        <w:gridCol w:w="3445"/>
        <w:gridCol w:w="1543"/>
        <w:gridCol w:w="1543"/>
        <w:gridCol w:w="2258"/>
      </w:tblGrid>
      <w:tr w:rsidR="009C3B52" w:rsidRPr="009C3B52" w:rsidTr="00D16911">
        <w:trPr>
          <w:trHeight w:val="300"/>
        </w:trPr>
        <w:tc>
          <w:tcPr>
            <w:tcW w:w="1968" w:type="pct"/>
            <w:tcBorders>
              <w:top w:val="single" w:sz="6" w:space="0" w:color="auto"/>
              <w:left w:val="nil"/>
              <w:bottom w:val="single" w:sz="6" w:space="0" w:color="auto"/>
              <w:right w:val="nil"/>
            </w:tcBorders>
            <w:shd w:val="clear" w:color="auto" w:fill="auto"/>
            <w:noWrap/>
            <w:vAlign w:val="bottom"/>
            <w:hideMark/>
          </w:tcPr>
          <w:p w:rsidR="009C3B52" w:rsidRPr="009C3B52" w:rsidRDefault="009C3B52" w:rsidP="009C3B52">
            <w:pPr>
              <w:pStyle w:val="TableColumnHeading"/>
              <w:jc w:val="left"/>
            </w:pPr>
          </w:p>
        </w:tc>
        <w:tc>
          <w:tcPr>
            <w:tcW w:w="886" w:type="pct"/>
            <w:tcBorders>
              <w:top w:val="single" w:sz="6" w:space="0" w:color="auto"/>
              <w:left w:val="nil"/>
              <w:bottom w:val="single" w:sz="6" w:space="0" w:color="auto"/>
              <w:right w:val="nil"/>
            </w:tcBorders>
            <w:shd w:val="clear" w:color="auto" w:fill="auto"/>
            <w:noWrap/>
            <w:vAlign w:val="bottom"/>
            <w:hideMark/>
          </w:tcPr>
          <w:p w:rsidR="009C3B52" w:rsidRPr="009C3B52" w:rsidRDefault="009C3B52" w:rsidP="009C3B52">
            <w:pPr>
              <w:pStyle w:val="TableColumnHeading"/>
            </w:pPr>
            <w:r w:rsidRPr="009C3B52">
              <w:t>1990s</w:t>
            </w:r>
          </w:p>
        </w:tc>
        <w:tc>
          <w:tcPr>
            <w:tcW w:w="886" w:type="pct"/>
            <w:tcBorders>
              <w:top w:val="single" w:sz="6" w:space="0" w:color="auto"/>
              <w:left w:val="nil"/>
              <w:bottom w:val="single" w:sz="6" w:space="0" w:color="auto"/>
              <w:right w:val="nil"/>
            </w:tcBorders>
            <w:shd w:val="clear" w:color="auto" w:fill="auto"/>
            <w:noWrap/>
            <w:vAlign w:val="bottom"/>
            <w:hideMark/>
          </w:tcPr>
          <w:p w:rsidR="009C3B52" w:rsidRPr="009C3B52" w:rsidRDefault="009C3B52" w:rsidP="009C3B52">
            <w:pPr>
              <w:pStyle w:val="TableColumnHeading"/>
            </w:pPr>
            <w:r w:rsidRPr="009C3B52">
              <w:t>2000s</w:t>
            </w:r>
          </w:p>
        </w:tc>
        <w:tc>
          <w:tcPr>
            <w:tcW w:w="1259" w:type="pct"/>
            <w:tcBorders>
              <w:top w:val="single" w:sz="6" w:space="0" w:color="auto"/>
              <w:left w:val="nil"/>
              <w:bottom w:val="single" w:sz="6" w:space="0" w:color="auto"/>
              <w:right w:val="nil"/>
            </w:tcBorders>
            <w:shd w:val="clear" w:color="auto" w:fill="auto"/>
            <w:noWrap/>
            <w:vAlign w:val="bottom"/>
            <w:hideMark/>
          </w:tcPr>
          <w:p w:rsidR="009C3B52" w:rsidRPr="009C3B52" w:rsidRDefault="002B5D57" w:rsidP="009C3B52">
            <w:pPr>
              <w:pStyle w:val="TableColumnHeading"/>
              <w:ind w:right="28"/>
            </w:pPr>
            <w:r>
              <w:t xml:space="preserve">Percentage point </w:t>
            </w:r>
            <w:r w:rsidR="003A61A1">
              <w:t>change</w:t>
            </w:r>
          </w:p>
        </w:tc>
      </w:tr>
      <w:tr w:rsidR="009C3B52" w:rsidRPr="009C3B52" w:rsidTr="00D16911">
        <w:trPr>
          <w:trHeight w:val="300"/>
        </w:trPr>
        <w:tc>
          <w:tcPr>
            <w:tcW w:w="1968" w:type="pct"/>
            <w:tcBorders>
              <w:top w:val="single" w:sz="6" w:space="0" w:color="auto"/>
              <w:left w:val="nil"/>
              <w:bottom w:val="nil"/>
              <w:right w:val="nil"/>
            </w:tcBorders>
            <w:shd w:val="clear" w:color="auto" w:fill="auto"/>
            <w:noWrap/>
            <w:vAlign w:val="bottom"/>
            <w:hideMark/>
          </w:tcPr>
          <w:p w:rsidR="009C3B52" w:rsidRPr="009C3B52" w:rsidRDefault="002B5D57" w:rsidP="009C3B52">
            <w:pPr>
              <w:pStyle w:val="TableBodyText"/>
              <w:jc w:val="left"/>
            </w:pPr>
            <w:r>
              <w:t>Real product wage (</w:t>
            </w:r>
            <w:r w:rsidR="009C3B52" w:rsidRPr="009C3B52">
              <w:t>RPW</w:t>
            </w:r>
            <w:r>
              <w:t>)</w:t>
            </w:r>
          </w:p>
        </w:tc>
        <w:tc>
          <w:tcPr>
            <w:tcW w:w="886" w:type="pct"/>
            <w:tcBorders>
              <w:top w:val="single" w:sz="6" w:space="0" w:color="auto"/>
              <w:left w:val="nil"/>
              <w:bottom w:val="nil"/>
              <w:right w:val="nil"/>
            </w:tcBorders>
            <w:shd w:val="clear" w:color="auto" w:fill="auto"/>
            <w:noWrap/>
            <w:vAlign w:val="bottom"/>
            <w:hideMark/>
          </w:tcPr>
          <w:p w:rsidR="009C3B52" w:rsidRPr="009C3B52" w:rsidRDefault="009C3B52" w:rsidP="009C3B52">
            <w:pPr>
              <w:pStyle w:val="TableBodyText"/>
            </w:pPr>
            <w:r w:rsidRPr="009C3B52">
              <w:t>2.7</w:t>
            </w:r>
          </w:p>
        </w:tc>
        <w:tc>
          <w:tcPr>
            <w:tcW w:w="886" w:type="pct"/>
            <w:tcBorders>
              <w:top w:val="single" w:sz="6" w:space="0" w:color="auto"/>
              <w:left w:val="nil"/>
              <w:bottom w:val="nil"/>
              <w:right w:val="nil"/>
            </w:tcBorders>
            <w:shd w:val="clear" w:color="auto" w:fill="auto"/>
            <w:noWrap/>
            <w:vAlign w:val="bottom"/>
            <w:hideMark/>
          </w:tcPr>
          <w:p w:rsidR="009C3B52" w:rsidRPr="009C3B52" w:rsidRDefault="009C3B52" w:rsidP="009C3B52">
            <w:pPr>
              <w:pStyle w:val="TableBodyText"/>
            </w:pPr>
            <w:r w:rsidRPr="009C3B52">
              <w:t>1.4</w:t>
            </w:r>
          </w:p>
        </w:tc>
        <w:tc>
          <w:tcPr>
            <w:tcW w:w="1259" w:type="pct"/>
            <w:tcBorders>
              <w:top w:val="single" w:sz="6" w:space="0" w:color="auto"/>
              <w:left w:val="nil"/>
              <w:bottom w:val="nil"/>
              <w:right w:val="nil"/>
            </w:tcBorders>
            <w:shd w:val="clear" w:color="auto" w:fill="auto"/>
            <w:noWrap/>
            <w:vAlign w:val="bottom"/>
            <w:hideMark/>
          </w:tcPr>
          <w:p w:rsidR="009C3B52" w:rsidRPr="009C3B52" w:rsidRDefault="009C3B52" w:rsidP="003A61A1">
            <w:pPr>
              <w:pStyle w:val="TableBodyText"/>
              <w:ind w:right="28"/>
            </w:pPr>
            <w:r w:rsidRPr="009C3B52">
              <w:t>-1.</w:t>
            </w:r>
            <w:r w:rsidR="003A61A1">
              <w:t>2</w:t>
            </w:r>
          </w:p>
        </w:tc>
      </w:tr>
      <w:tr w:rsidR="009C3B52" w:rsidRPr="009C3B52" w:rsidTr="00D16911">
        <w:trPr>
          <w:trHeight w:val="300"/>
        </w:trPr>
        <w:tc>
          <w:tcPr>
            <w:tcW w:w="1968" w:type="pct"/>
            <w:tcBorders>
              <w:top w:val="nil"/>
              <w:left w:val="nil"/>
              <w:bottom w:val="nil"/>
              <w:right w:val="nil"/>
            </w:tcBorders>
            <w:shd w:val="clear" w:color="auto" w:fill="auto"/>
            <w:noWrap/>
            <w:vAlign w:val="bottom"/>
            <w:hideMark/>
          </w:tcPr>
          <w:p w:rsidR="009C3B52" w:rsidRPr="009C3B52" w:rsidRDefault="00D16911" w:rsidP="00D16911">
            <w:pPr>
              <w:pStyle w:val="TableBodyText"/>
              <w:tabs>
                <w:tab w:val="left" w:pos="142"/>
                <w:tab w:val="left" w:pos="426"/>
              </w:tabs>
              <w:jc w:val="left"/>
            </w:pPr>
            <w:r>
              <w:tab/>
              <w:t>–</w:t>
            </w:r>
            <w:r>
              <w:tab/>
            </w:r>
            <w:r w:rsidR="009C3B52" w:rsidRPr="009C3B52">
              <w:t>nominal wages</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3.8</w:t>
            </w:r>
          </w:p>
        </w:tc>
        <w:tc>
          <w:tcPr>
            <w:tcW w:w="886" w:type="pct"/>
            <w:tcBorders>
              <w:top w:val="nil"/>
              <w:left w:val="nil"/>
              <w:bottom w:val="nil"/>
              <w:right w:val="nil"/>
            </w:tcBorders>
            <w:shd w:val="clear" w:color="auto" w:fill="auto"/>
            <w:noWrap/>
            <w:vAlign w:val="bottom"/>
            <w:hideMark/>
          </w:tcPr>
          <w:p w:rsidR="009C3B52" w:rsidRPr="009C3B52" w:rsidRDefault="009C3B52" w:rsidP="003A61A1">
            <w:pPr>
              <w:pStyle w:val="TableBodyText"/>
            </w:pPr>
            <w:r w:rsidRPr="009C3B52">
              <w:t>4.</w:t>
            </w:r>
            <w:r w:rsidR="003A61A1">
              <w:t>8</w:t>
            </w:r>
          </w:p>
        </w:tc>
        <w:tc>
          <w:tcPr>
            <w:tcW w:w="1259" w:type="pct"/>
            <w:tcBorders>
              <w:top w:val="nil"/>
              <w:left w:val="nil"/>
              <w:bottom w:val="nil"/>
              <w:right w:val="nil"/>
            </w:tcBorders>
            <w:shd w:val="clear" w:color="auto" w:fill="auto"/>
            <w:noWrap/>
            <w:vAlign w:val="bottom"/>
            <w:hideMark/>
          </w:tcPr>
          <w:p w:rsidR="009C3B52" w:rsidRPr="009C3B52" w:rsidRDefault="003A61A1" w:rsidP="003A61A1">
            <w:pPr>
              <w:pStyle w:val="TableBodyText"/>
              <w:ind w:right="28"/>
            </w:pPr>
            <w:r>
              <w:t>1.</w:t>
            </w:r>
            <w:r w:rsidR="009C3B52" w:rsidRPr="009C3B52">
              <w:t>0</w:t>
            </w:r>
          </w:p>
        </w:tc>
      </w:tr>
      <w:tr w:rsidR="009C3B52" w:rsidRPr="009C3B52" w:rsidTr="00D16911">
        <w:trPr>
          <w:trHeight w:val="300"/>
        </w:trPr>
        <w:tc>
          <w:tcPr>
            <w:tcW w:w="1968" w:type="pct"/>
            <w:tcBorders>
              <w:top w:val="nil"/>
              <w:left w:val="nil"/>
              <w:bottom w:val="nil"/>
              <w:right w:val="nil"/>
            </w:tcBorders>
            <w:shd w:val="clear" w:color="auto" w:fill="auto"/>
            <w:noWrap/>
            <w:vAlign w:val="bottom"/>
            <w:hideMark/>
          </w:tcPr>
          <w:p w:rsidR="009C3B52" w:rsidRPr="009C3B52" w:rsidRDefault="00D16911" w:rsidP="00D16911">
            <w:pPr>
              <w:pStyle w:val="TableBodyText"/>
              <w:tabs>
                <w:tab w:val="left" w:pos="142"/>
                <w:tab w:val="left" w:pos="426"/>
              </w:tabs>
              <w:jc w:val="left"/>
            </w:pPr>
            <w:r>
              <w:tab/>
              <w:t>–</w:t>
            </w:r>
            <w:r>
              <w:tab/>
            </w:r>
            <w:r w:rsidR="00357EC5">
              <w:t xml:space="preserve">output </w:t>
            </w:r>
            <w:r w:rsidR="009C3B52" w:rsidRPr="009C3B52">
              <w:t>prices</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1.1</w:t>
            </w:r>
          </w:p>
        </w:tc>
        <w:tc>
          <w:tcPr>
            <w:tcW w:w="886" w:type="pct"/>
            <w:tcBorders>
              <w:top w:val="nil"/>
              <w:left w:val="nil"/>
              <w:bottom w:val="nil"/>
              <w:right w:val="nil"/>
            </w:tcBorders>
            <w:shd w:val="clear" w:color="auto" w:fill="auto"/>
            <w:noWrap/>
            <w:vAlign w:val="bottom"/>
            <w:hideMark/>
          </w:tcPr>
          <w:p w:rsidR="009C3B52" w:rsidRPr="009C3B52" w:rsidRDefault="003A61A1" w:rsidP="009C3B52">
            <w:pPr>
              <w:pStyle w:val="TableBodyText"/>
            </w:pPr>
            <w:r>
              <w:t>3.4</w:t>
            </w:r>
          </w:p>
        </w:tc>
        <w:tc>
          <w:tcPr>
            <w:tcW w:w="1259" w:type="pct"/>
            <w:tcBorders>
              <w:top w:val="nil"/>
              <w:left w:val="nil"/>
              <w:bottom w:val="nil"/>
              <w:right w:val="nil"/>
            </w:tcBorders>
            <w:shd w:val="clear" w:color="auto" w:fill="auto"/>
            <w:noWrap/>
            <w:vAlign w:val="bottom"/>
            <w:hideMark/>
          </w:tcPr>
          <w:p w:rsidR="009C3B52" w:rsidRPr="009C3B52" w:rsidRDefault="009C3B52" w:rsidP="003A61A1">
            <w:pPr>
              <w:pStyle w:val="TableBodyText"/>
              <w:ind w:right="28"/>
            </w:pPr>
            <w:r w:rsidRPr="009C3B52">
              <w:t>2.</w:t>
            </w:r>
            <w:r w:rsidR="003A61A1">
              <w:t>3</w:t>
            </w:r>
          </w:p>
        </w:tc>
      </w:tr>
      <w:tr w:rsidR="009C3B52" w:rsidRPr="009C3B52" w:rsidTr="00D16911">
        <w:trPr>
          <w:trHeight w:val="300"/>
        </w:trPr>
        <w:tc>
          <w:tcPr>
            <w:tcW w:w="1968" w:type="pct"/>
            <w:tcBorders>
              <w:top w:val="nil"/>
              <w:left w:val="nil"/>
              <w:bottom w:val="nil"/>
              <w:right w:val="nil"/>
            </w:tcBorders>
            <w:shd w:val="clear" w:color="auto" w:fill="auto"/>
            <w:noWrap/>
            <w:vAlign w:val="bottom"/>
            <w:hideMark/>
          </w:tcPr>
          <w:p w:rsidR="009C3B52" w:rsidRPr="009C3B52" w:rsidRDefault="002B5D57" w:rsidP="00D16911">
            <w:pPr>
              <w:pStyle w:val="TableBodyText"/>
              <w:tabs>
                <w:tab w:val="left" w:pos="142"/>
                <w:tab w:val="left" w:pos="426"/>
              </w:tabs>
              <w:jc w:val="left"/>
            </w:pPr>
            <w:r>
              <w:t>Labour productivity (</w:t>
            </w:r>
            <w:r w:rsidR="009C3B52" w:rsidRPr="009C3B52">
              <w:t>LP</w:t>
            </w:r>
            <w:r>
              <w:t>)</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2.9</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2.1</w:t>
            </w:r>
          </w:p>
        </w:tc>
        <w:tc>
          <w:tcPr>
            <w:tcW w:w="1259" w:type="pct"/>
            <w:tcBorders>
              <w:top w:val="nil"/>
              <w:left w:val="nil"/>
              <w:bottom w:val="nil"/>
              <w:right w:val="nil"/>
            </w:tcBorders>
            <w:shd w:val="clear" w:color="auto" w:fill="auto"/>
            <w:noWrap/>
            <w:vAlign w:val="bottom"/>
            <w:hideMark/>
          </w:tcPr>
          <w:p w:rsidR="009C3B52" w:rsidRPr="009C3B52" w:rsidRDefault="009C3B52" w:rsidP="009C3B52">
            <w:pPr>
              <w:pStyle w:val="TableBodyText"/>
              <w:ind w:right="28"/>
            </w:pPr>
            <w:r w:rsidRPr="009C3B52">
              <w:t>-0.8</w:t>
            </w:r>
          </w:p>
        </w:tc>
      </w:tr>
      <w:tr w:rsidR="009C3B52" w:rsidRPr="009C3B52" w:rsidTr="00D16911">
        <w:trPr>
          <w:trHeight w:val="300"/>
        </w:trPr>
        <w:tc>
          <w:tcPr>
            <w:tcW w:w="1968" w:type="pct"/>
            <w:tcBorders>
              <w:top w:val="nil"/>
              <w:left w:val="nil"/>
              <w:bottom w:val="nil"/>
              <w:right w:val="nil"/>
            </w:tcBorders>
            <w:shd w:val="clear" w:color="auto" w:fill="auto"/>
            <w:noWrap/>
            <w:vAlign w:val="bottom"/>
            <w:hideMark/>
          </w:tcPr>
          <w:p w:rsidR="009C3B52" w:rsidRPr="009C3B52" w:rsidRDefault="00D16911" w:rsidP="00D16911">
            <w:pPr>
              <w:pStyle w:val="TableBodyText"/>
              <w:tabs>
                <w:tab w:val="left" w:pos="142"/>
                <w:tab w:val="left" w:pos="426"/>
              </w:tabs>
              <w:jc w:val="left"/>
            </w:pPr>
            <w:r>
              <w:tab/>
              <w:t>–</w:t>
            </w:r>
            <w:r>
              <w:tab/>
            </w:r>
            <w:r w:rsidR="00357EC5">
              <w:t xml:space="preserve">real </w:t>
            </w:r>
            <w:r w:rsidR="009C3B52" w:rsidRPr="009C3B52">
              <w:t>output</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3.4</w:t>
            </w:r>
          </w:p>
        </w:tc>
        <w:tc>
          <w:tcPr>
            <w:tcW w:w="886" w:type="pct"/>
            <w:tcBorders>
              <w:top w:val="nil"/>
              <w:left w:val="nil"/>
              <w:bottom w:val="nil"/>
              <w:right w:val="nil"/>
            </w:tcBorders>
            <w:shd w:val="clear" w:color="auto" w:fill="auto"/>
            <w:noWrap/>
            <w:vAlign w:val="bottom"/>
            <w:hideMark/>
          </w:tcPr>
          <w:p w:rsidR="009C3B52" w:rsidRPr="009C3B52" w:rsidRDefault="009C3B52" w:rsidP="009C3B52">
            <w:pPr>
              <w:pStyle w:val="TableBodyText"/>
            </w:pPr>
            <w:r w:rsidRPr="009C3B52">
              <w:t>3.2</w:t>
            </w:r>
          </w:p>
        </w:tc>
        <w:tc>
          <w:tcPr>
            <w:tcW w:w="1259" w:type="pct"/>
            <w:tcBorders>
              <w:top w:val="nil"/>
              <w:left w:val="nil"/>
              <w:bottom w:val="nil"/>
              <w:right w:val="nil"/>
            </w:tcBorders>
            <w:shd w:val="clear" w:color="auto" w:fill="auto"/>
            <w:noWrap/>
            <w:vAlign w:val="bottom"/>
            <w:hideMark/>
          </w:tcPr>
          <w:p w:rsidR="009C3B52" w:rsidRPr="009C3B52" w:rsidRDefault="009C3B52" w:rsidP="009C3B52">
            <w:pPr>
              <w:pStyle w:val="TableBodyText"/>
              <w:ind w:right="28"/>
            </w:pPr>
            <w:r w:rsidRPr="009C3B52">
              <w:t>-0.2</w:t>
            </w:r>
          </w:p>
        </w:tc>
      </w:tr>
      <w:tr w:rsidR="009C3B52" w:rsidRPr="009C3B52" w:rsidTr="00D16911">
        <w:trPr>
          <w:trHeight w:val="300"/>
        </w:trPr>
        <w:tc>
          <w:tcPr>
            <w:tcW w:w="1968" w:type="pct"/>
            <w:tcBorders>
              <w:top w:val="nil"/>
              <w:left w:val="nil"/>
              <w:right w:val="nil"/>
            </w:tcBorders>
            <w:shd w:val="clear" w:color="auto" w:fill="auto"/>
            <w:noWrap/>
            <w:vAlign w:val="bottom"/>
            <w:hideMark/>
          </w:tcPr>
          <w:p w:rsidR="009C3B52" w:rsidRPr="009C3B52" w:rsidRDefault="009C3B52" w:rsidP="00D16911">
            <w:pPr>
              <w:pStyle w:val="TableBodyText"/>
              <w:tabs>
                <w:tab w:val="left" w:pos="142"/>
                <w:tab w:val="left" w:pos="426"/>
              </w:tabs>
              <w:jc w:val="left"/>
            </w:pPr>
            <w:r w:rsidRPr="009C3B52">
              <w:t xml:space="preserve"> </w:t>
            </w:r>
            <w:r w:rsidR="00D16911">
              <w:tab/>
              <w:t>–</w:t>
            </w:r>
            <w:r w:rsidR="00D16911">
              <w:tab/>
            </w:r>
            <w:r w:rsidRPr="009C3B52">
              <w:t>hours</w:t>
            </w:r>
            <w:r w:rsidR="00357EC5">
              <w:t xml:space="preserve"> worked</w:t>
            </w:r>
          </w:p>
        </w:tc>
        <w:tc>
          <w:tcPr>
            <w:tcW w:w="886" w:type="pct"/>
            <w:tcBorders>
              <w:top w:val="nil"/>
              <w:left w:val="nil"/>
              <w:right w:val="nil"/>
            </w:tcBorders>
            <w:shd w:val="clear" w:color="auto" w:fill="auto"/>
            <w:noWrap/>
            <w:vAlign w:val="bottom"/>
            <w:hideMark/>
          </w:tcPr>
          <w:p w:rsidR="009C3B52" w:rsidRPr="009C3B52" w:rsidRDefault="009C3B52" w:rsidP="009C3B52">
            <w:pPr>
              <w:pStyle w:val="TableBodyText"/>
            </w:pPr>
            <w:r w:rsidRPr="009C3B52">
              <w:t>0.5</w:t>
            </w:r>
          </w:p>
        </w:tc>
        <w:tc>
          <w:tcPr>
            <w:tcW w:w="886" w:type="pct"/>
            <w:tcBorders>
              <w:top w:val="nil"/>
              <w:left w:val="nil"/>
              <w:right w:val="nil"/>
            </w:tcBorders>
            <w:shd w:val="clear" w:color="auto" w:fill="auto"/>
            <w:noWrap/>
            <w:vAlign w:val="bottom"/>
            <w:hideMark/>
          </w:tcPr>
          <w:p w:rsidR="009C3B52" w:rsidRPr="009C3B52" w:rsidRDefault="009C3B52" w:rsidP="009C3B52">
            <w:pPr>
              <w:pStyle w:val="TableBodyText"/>
            </w:pPr>
            <w:r w:rsidRPr="009C3B52">
              <w:t>1.1</w:t>
            </w:r>
          </w:p>
        </w:tc>
        <w:tc>
          <w:tcPr>
            <w:tcW w:w="1259" w:type="pct"/>
            <w:tcBorders>
              <w:top w:val="nil"/>
              <w:left w:val="nil"/>
              <w:right w:val="nil"/>
            </w:tcBorders>
            <w:shd w:val="clear" w:color="auto" w:fill="auto"/>
            <w:noWrap/>
            <w:vAlign w:val="bottom"/>
            <w:hideMark/>
          </w:tcPr>
          <w:p w:rsidR="009C3B52" w:rsidRPr="009C3B52" w:rsidRDefault="009C3B52" w:rsidP="009C3B52">
            <w:pPr>
              <w:pStyle w:val="TableBodyText"/>
              <w:ind w:right="28"/>
            </w:pPr>
            <w:r w:rsidRPr="009C3B52">
              <w:t>0.5</w:t>
            </w:r>
          </w:p>
        </w:tc>
      </w:tr>
      <w:tr w:rsidR="009C3B52" w:rsidRPr="009C3B52" w:rsidTr="00D16911">
        <w:trPr>
          <w:trHeight w:val="300"/>
        </w:trPr>
        <w:tc>
          <w:tcPr>
            <w:tcW w:w="1968" w:type="pct"/>
            <w:tcBorders>
              <w:top w:val="nil"/>
              <w:left w:val="nil"/>
              <w:bottom w:val="single" w:sz="6" w:space="0" w:color="auto"/>
              <w:right w:val="nil"/>
            </w:tcBorders>
            <w:shd w:val="clear" w:color="auto" w:fill="auto"/>
            <w:noWrap/>
            <w:vAlign w:val="bottom"/>
            <w:hideMark/>
          </w:tcPr>
          <w:p w:rsidR="009C3B52" w:rsidRPr="009C3B52" w:rsidRDefault="002B5D57" w:rsidP="009C3B52">
            <w:pPr>
              <w:pStyle w:val="TableBodyText"/>
              <w:jc w:val="left"/>
            </w:pPr>
            <w:r>
              <w:t>Real unit labour cost (</w:t>
            </w:r>
            <w:r w:rsidR="009C3B52" w:rsidRPr="009C3B52">
              <w:t>RULC</w:t>
            </w:r>
            <w:r>
              <w:t>)</w:t>
            </w:r>
          </w:p>
        </w:tc>
        <w:tc>
          <w:tcPr>
            <w:tcW w:w="886" w:type="pct"/>
            <w:tcBorders>
              <w:top w:val="nil"/>
              <w:left w:val="nil"/>
              <w:bottom w:val="single" w:sz="6" w:space="0" w:color="auto"/>
              <w:right w:val="nil"/>
            </w:tcBorders>
            <w:shd w:val="clear" w:color="auto" w:fill="auto"/>
            <w:noWrap/>
            <w:vAlign w:val="bottom"/>
            <w:hideMark/>
          </w:tcPr>
          <w:p w:rsidR="009C3B52" w:rsidRPr="009C3B52" w:rsidRDefault="009C3B52" w:rsidP="009C3B52">
            <w:pPr>
              <w:pStyle w:val="TableBodyText"/>
            </w:pPr>
            <w:r w:rsidRPr="009C3B52">
              <w:t>-0.2</w:t>
            </w:r>
          </w:p>
        </w:tc>
        <w:tc>
          <w:tcPr>
            <w:tcW w:w="886" w:type="pct"/>
            <w:tcBorders>
              <w:top w:val="nil"/>
              <w:left w:val="nil"/>
              <w:bottom w:val="single" w:sz="6" w:space="0" w:color="auto"/>
              <w:right w:val="nil"/>
            </w:tcBorders>
            <w:shd w:val="clear" w:color="auto" w:fill="auto"/>
            <w:noWrap/>
            <w:vAlign w:val="bottom"/>
            <w:hideMark/>
          </w:tcPr>
          <w:p w:rsidR="009C3B52" w:rsidRPr="009C3B52" w:rsidRDefault="009C3B52" w:rsidP="009C3B52">
            <w:pPr>
              <w:pStyle w:val="TableBodyText"/>
            </w:pPr>
            <w:r w:rsidRPr="009C3B52">
              <w:t>-0.7</w:t>
            </w:r>
          </w:p>
        </w:tc>
        <w:tc>
          <w:tcPr>
            <w:tcW w:w="1259" w:type="pct"/>
            <w:tcBorders>
              <w:top w:val="nil"/>
              <w:left w:val="nil"/>
              <w:bottom w:val="single" w:sz="6" w:space="0" w:color="auto"/>
              <w:right w:val="nil"/>
            </w:tcBorders>
            <w:shd w:val="clear" w:color="auto" w:fill="auto"/>
            <w:noWrap/>
            <w:vAlign w:val="bottom"/>
            <w:hideMark/>
          </w:tcPr>
          <w:p w:rsidR="009C3B52" w:rsidRPr="009C3B52" w:rsidRDefault="009C3B52" w:rsidP="009C3B52">
            <w:pPr>
              <w:pStyle w:val="TableBodyText"/>
              <w:ind w:right="28"/>
            </w:pPr>
            <w:r w:rsidRPr="009C3B52">
              <w:t>-0.5</w:t>
            </w:r>
          </w:p>
        </w:tc>
      </w:tr>
    </w:tbl>
    <w:p w:rsidR="009C3B52" w:rsidRPr="009C3B52" w:rsidRDefault="009C3B52" w:rsidP="009C3B52">
      <w:pPr>
        <w:pStyle w:val="Source"/>
      </w:pPr>
      <w:r>
        <w:rPr>
          <w:i/>
        </w:rPr>
        <w:t>Source</w:t>
      </w:r>
      <w:r>
        <w:t>: Author’s estimates</w:t>
      </w:r>
      <w:r w:rsidR="002B5D57">
        <w:t xml:space="preserve"> based on ABS </w:t>
      </w:r>
      <w:r w:rsidR="001A1095">
        <w:t>(</w:t>
      </w:r>
      <w:r w:rsidR="00301DDE">
        <w:t>Cat. n</w:t>
      </w:r>
      <w:r w:rsidR="002B5D57">
        <w:t>o.</w:t>
      </w:r>
      <w:r w:rsidR="002B5D57" w:rsidRPr="00327858">
        <w:t xml:space="preserve"> 5260.0.55.002</w:t>
      </w:r>
      <w:r w:rsidR="001A1095">
        <w:t>)</w:t>
      </w:r>
      <w:r w:rsidR="002B5D57">
        <w:t>.</w:t>
      </w:r>
    </w:p>
    <w:p w:rsidR="00A058B9" w:rsidRDefault="00A058B9" w:rsidP="00A058B9">
      <w:pPr>
        <w:pStyle w:val="Heading4"/>
      </w:pPr>
      <w:r>
        <w:t>The slowdown in real wage growth was mainly due to faster output price inflation</w:t>
      </w:r>
    </w:p>
    <w:p w:rsidR="00DC48E3" w:rsidRDefault="00A058B9" w:rsidP="00DC48E3">
      <w:pPr>
        <w:pStyle w:val="BodyText"/>
      </w:pPr>
      <w:r>
        <w:t xml:space="preserve">Table </w:t>
      </w:r>
      <w:r w:rsidR="008A738E">
        <w:t>4.3</w:t>
      </w:r>
      <w:r>
        <w:t xml:space="preserve"> also provides a decomposition of the growth in the RPW into </w:t>
      </w:r>
      <w:r w:rsidR="008A738E">
        <w:t xml:space="preserve">its nominal wage and product price </w:t>
      </w:r>
      <w:r>
        <w:t xml:space="preserve">components. Here, product </w:t>
      </w:r>
      <w:r w:rsidR="00250622">
        <w:t xml:space="preserve">prices refer to goods and services produced in the </w:t>
      </w:r>
      <w:r w:rsidR="008A738E">
        <w:t>market sector</w:t>
      </w:r>
      <w:r w:rsidR="00DC48E3">
        <w:rPr>
          <w:rStyle w:val="FootnoteReference"/>
        </w:rPr>
        <w:footnoteReference w:id="10"/>
      </w:r>
      <w:r w:rsidR="00DC48E3">
        <w:t>. Growth in RP</w:t>
      </w:r>
      <w:r w:rsidR="007F7C3D">
        <w:t>W</w:t>
      </w:r>
      <w:r w:rsidR="00DC48E3">
        <w:t xml:space="preserve"> is</w:t>
      </w:r>
      <w:r w:rsidR="00695DAF">
        <w:t>, of course,</w:t>
      </w:r>
      <w:r w:rsidR="00DC48E3">
        <w:t xml:space="preserve"> equal to growth in the nominal </w:t>
      </w:r>
      <w:r w:rsidR="008A738E">
        <w:t>wage</w:t>
      </w:r>
      <w:r w:rsidR="00DC48E3">
        <w:t xml:space="preserve"> less the rate of inflation in </w:t>
      </w:r>
      <w:r w:rsidR="0083519E">
        <w:t>produc</w:t>
      </w:r>
      <w:r w:rsidR="006C79AF">
        <w:t>t</w:t>
      </w:r>
      <w:r w:rsidR="00DC48E3">
        <w:t xml:space="preserve"> prices.</w:t>
      </w:r>
    </w:p>
    <w:p w:rsidR="00DC48E3" w:rsidRDefault="00DC48E3" w:rsidP="00DC48E3">
      <w:pPr>
        <w:pStyle w:val="BodyText"/>
      </w:pPr>
      <w:r>
        <w:t xml:space="preserve">The much stronger </w:t>
      </w:r>
      <w:r w:rsidR="004261E2">
        <w:t xml:space="preserve">inflation in </w:t>
      </w:r>
      <w:r w:rsidR="00250622">
        <w:t>produc</w:t>
      </w:r>
      <w:r w:rsidR="006C79AF">
        <w:t>t</w:t>
      </w:r>
      <w:r>
        <w:t xml:space="preserve"> price</w:t>
      </w:r>
      <w:r w:rsidR="004261E2">
        <w:t>s</w:t>
      </w:r>
      <w:r>
        <w:t xml:space="preserve"> was the main reason for the slower </w:t>
      </w:r>
      <w:r w:rsidR="006C79AF">
        <w:t xml:space="preserve">RPW </w:t>
      </w:r>
      <w:r>
        <w:t xml:space="preserve">growth in the 2000s. </w:t>
      </w:r>
      <w:r w:rsidR="004261E2" w:rsidRPr="0020070E">
        <w:t>As noted before</w:t>
      </w:r>
      <w:r w:rsidR="004261E2">
        <w:t xml:space="preserve">, </w:t>
      </w:r>
      <w:r>
        <w:t xml:space="preserve">nominal </w:t>
      </w:r>
      <w:r w:rsidR="007F7C3D">
        <w:t>wages</w:t>
      </w:r>
      <w:r>
        <w:t xml:space="preserve"> grew at a healthy 4.</w:t>
      </w:r>
      <w:r w:rsidR="0092251F">
        <w:t>8</w:t>
      </w:r>
      <w:r w:rsidR="00445F3D">
        <w:t> </w:t>
      </w:r>
      <w:r>
        <w:t>per cent a year</w:t>
      </w:r>
      <w:r w:rsidR="004261E2">
        <w:t>, or</w:t>
      </w:r>
      <w:r>
        <w:t xml:space="preserve"> </w:t>
      </w:r>
      <w:r w:rsidR="0092251F">
        <w:t>1</w:t>
      </w:r>
      <w:r w:rsidR="000A0733">
        <w:t xml:space="preserve"> percentage point </w:t>
      </w:r>
      <w:r>
        <w:t>a year faster than in the 1990s</w:t>
      </w:r>
      <w:r w:rsidR="004261E2">
        <w:t>. But a 2.</w:t>
      </w:r>
      <w:r w:rsidR="0092251F">
        <w:t>3</w:t>
      </w:r>
      <w:r w:rsidR="00A057CE">
        <w:t xml:space="preserve"> percentage point</w:t>
      </w:r>
      <w:r w:rsidR="000A0733">
        <w:t xml:space="preserve"> </w:t>
      </w:r>
      <w:r w:rsidR="004261E2">
        <w:t xml:space="preserve">acceleration in </w:t>
      </w:r>
      <w:r w:rsidR="008A738E">
        <w:t xml:space="preserve">the rate of </w:t>
      </w:r>
      <w:r w:rsidR="0083519E">
        <w:t>produc</w:t>
      </w:r>
      <w:r w:rsidR="006C79AF">
        <w:t>t</w:t>
      </w:r>
      <w:r w:rsidR="004261E2">
        <w:t xml:space="preserve"> price inflation more than offset the acceleration in nominal wage</w:t>
      </w:r>
      <w:r w:rsidR="006C79AF">
        <w:t xml:space="preserve"> growth</w:t>
      </w:r>
      <w:r w:rsidR="004261E2">
        <w:t xml:space="preserve">. </w:t>
      </w:r>
      <w:r w:rsidR="008A738E">
        <w:t xml:space="preserve">And so, the rate of </w:t>
      </w:r>
      <w:r w:rsidR="004261E2">
        <w:t>RPW growth fell</w:t>
      </w:r>
      <w:r>
        <w:t>.</w:t>
      </w:r>
      <w:r w:rsidR="007F7C3D">
        <w:t xml:space="preserve"> </w:t>
      </w:r>
    </w:p>
    <w:p w:rsidR="00DC48E3" w:rsidRDefault="00DC48E3" w:rsidP="00DC48E3">
      <w:pPr>
        <w:pStyle w:val="BodyText"/>
      </w:pPr>
      <w:r>
        <w:t xml:space="preserve">The full decomposition of RULC growth for the 2000s is presented visually in figure </w:t>
      </w:r>
      <w:r w:rsidR="008A738E">
        <w:t>4.6</w:t>
      </w:r>
      <w:r w:rsidR="00F63606">
        <w:t>.</w:t>
      </w:r>
      <w:r>
        <w:t xml:space="preserve"> </w:t>
      </w:r>
    </w:p>
    <w:p w:rsidR="00285CE6" w:rsidRDefault="00285CE6">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852B17">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0F443A">
        <w:rPr>
          <w:b w:val="0"/>
          <w:noProof/>
        </w:rPr>
        <w:t>6</w:t>
      </w:r>
      <w:r>
        <w:rPr>
          <w:b w:val="0"/>
        </w:rPr>
        <w:fldChar w:fldCharType="end"/>
      </w:r>
      <w:r>
        <w:tab/>
        <w:t>Decomposition of 2000s</w:t>
      </w:r>
      <w:r w:rsidR="00355A7D" w:rsidRPr="00522C05">
        <w:rPr>
          <w:rStyle w:val="NoteLabel"/>
        </w:rPr>
        <w:t>a</w:t>
      </w:r>
      <w:r>
        <w:t xml:space="preserve"> growth in RULC into elements of productivity and costs</w:t>
      </w:r>
    </w:p>
    <w:p w:rsidR="00285CE6" w:rsidRDefault="00285CE6">
      <w:pPr>
        <w:pStyle w:val="Subtitle"/>
      </w:pPr>
      <w:r>
        <w:t>per cent per year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85CE6" w:rsidTr="00285CE6">
        <w:tc>
          <w:tcPr>
            <w:tcW w:w="8777" w:type="dxa"/>
          </w:tcPr>
          <w:p w:rsidR="00285CE6" w:rsidRDefault="00EF47F6">
            <w:pPr>
              <w:pStyle w:val="Figure"/>
            </w:pPr>
            <w:r>
              <w:rPr>
                <w:noProof/>
              </w:rPr>
              <w:drawing>
                <wp:inline distT="0" distB="0" distL="0" distR="0">
                  <wp:extent cx="4972050" cy="2438400"/>
                  <wp:effectExtent l="0" t="0" r="0" b="0"/>
                  <wp:docPr id="22" name="Picture 22" descr="Decomposition of 2000s growth in RULC into elements of productivity and costs. This figure shows that the moderate growth in the RPW was associated with very strong growth in nominal wages and strong growth in product prices. The stronger growth in labour productivity was associated with strong growth in output and moderate growth in hours wor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438400"/>
                          </a:xfrm>
                          <a:prstGeom prst="rect">
                            <a:avLst/>
                          </a:prstGeom>
                          <a:noFill/>
                          <a:ln>
                            <a:noFill/>
                          </a:ln>
                        </pic:spPr>
                      </pic:pic>
                    </a:graphicData>
                  </a:graphic>
                </wp:inline>
              </w:drawing>
            </w:r>
          </w:p>
        </w:tc>
      </w:tr>
    </w:tbl>
    <w:p w:rsidR="00355A7D" w:rsidRDefault="00355A7D" w:rsidP="00355A7D">
      <w:pPr>
        <w:pStyle w:val="Note"/>
      </w:pPr>
      <w:r>
        <w:rPr>
          <w:rStyle w:val="NoteLabel"/>
        </w:rPr>
        <w:t>a</w:t>
      </w:r>
      <w:r>
        <w:t xml:space="preserve"> 1999-00 to 2009-10.</w:t>
      </w:r>
    </w:p>
    <w:p w:rsidR="00285CE6" w:rsidRDefault="006420BA">
      <w:pPr>
        <w:pStyle w:val="Source"/>
      </w:pPr>
      <w:r>
        <w:rPr>
          <w:i/>
        </w:rPr>
        <w:t>Data s</w:t>
      </w:r>
      <w:r w:rsidR="00285CE6">
        <w:rPr>
          <w:i/>
        </w:rPr>
        <w:t>ource</w:t>
      </w:r>
      <w:r w:rsidR="00285CE6" w:rsidRPr="00167F06">
        <w:t xml:space="preserve">: </w:t>
      </w:r>
      <w:r w:rsidR="00285CE6">
        <w:t>Author’s estimates</w:t>
      </w:r>
      <w:r w:rsidR="002B5D57">
        <w:t xml:space="preserve"> based on ABS </w:t>
      </w:r>
      <w:r w:rsidR="001A1095">
        <w:t>(</w:t>
      </w:r>
      <w:r w:rsidR="002B5D57">
        <w:t xml:space="preserve">Cat. </w:t>
      </w:r>
      <w:r>
        <w:t>n</w:t>
      </w:r>
      <w:r w:rsidR="002B5D57">
        <w:t>o.</w:t>
      </w:r>
      <w:r w:rsidR="002B5D57" w:rsidRPr="00327858">
        <w:t xml:space="preserve"> 5260.0.55.002</w:t>
      </w:r>
      <w:r w:rsidR="001A1095">
        <w:t>)</w:t>
      </w:r>
      <w:r w:rsidR="002B5D57">
        <w:t>.</w:t>
      </w:r>
    </w:p>
    <w:p w:rsidR="00AE7A60" w:rsidRDefault="00BF06DF" w:rsidP="00AE7A60">
      <w:pPr>
        <w:pStyle w:val="Heading2"/>
      </w:pPr>
      <w:fldSimple w:instr=" COMMENTS  \* MERGEFORMAT ">
        <w:r w:rsidR="00852B17">
          <w:t>4.</w:t>
        </w:r>
      </w:fldSimple>
      <w:r w:rsidR="00CC6F1B">
        <w:fldChar w:fldCharType="begin"/>
      </w:r>
      <w:r w:rsidR="00CC6F1B">
        <w:instrText xml:space="preserve"> SEQ Heading2 </w:instrText>
      </w:r>
      <w:r w:rsidR="00CC6F1B">
        <w:fldChar w:fldCharType="separate"/>
      </w:r>
      <w:r w:rsidR="000F443A">
        <w:rPr>
          <w:noProof/>
        </w:rPr>
        <w:t>5</w:t>
      </w:r>
      <w:r w:rsidR="00CC6F1B">
        <w:rPr>
          <w:noProof/>
        </w:rPr>
        <w:fldChar w:fldCharType="end"/>
      </w:r>
      <w:r w:rsidR="00691B4E">
        <w:tab/>
      </w:r>
      <w:r w:rsidR="008B37A7">
        <w:t>Key point s</w:t>
      </w:r>
      <w:r w:rsidR="00F37DC4">
        <w:t>ummary</w:t>
      </w:r>
    </w:p>
    <w:p w:rsidR="008B1AE2" w:rsidRDefault="008B1AE2" w:rsidP="008B1AE2">
      <w:pPr>
        <w:pStyle w:val="ListBullet"/>
      </w:pPr>
      <w:r>
        <w:t>The labour income share in the market sector of the economy was stable over the 1990s, but fell 4 percentage points over the 2000s.</w:t>
      </w:r>
    </w:p>
    <w:p w:rsidR="008B1AE2" w:rsidRDefault="008B1AE2" w:rsidP="008B1AE2">
      <w:pPr>
        <w:pStyle w:val="ListBullet2"/>
      </w:pPr>
      <w:r>
        <w:t>This is at the low end of a range of estimates of the fall.</w:t>
      </w:r>
    </w:p>
    <w:p w:rsidR="008B1AE2" w:rsidRDefault="008B1AE2" w:rsidP="008B1AE2">
      <w:pPr>
        <w:pStyle w:val="ListBullet"/>
      </w:pPr>
      <w:r>
        <w:t xml:space="preserve">The LIS fell in the 2000s because there was stronger growth in capital income than </w:t>
      </w:r>
      <w:r w:rsidR="0020070E">
        <w:t xml:space="preserve">in </w:t>
      </w:r>
      <w:r>
        <w:t>labour income.</w:t>
      </w:r>
    </w:p>
    <w:p w:rsidR="008B1AE2" w:rsidRDefault="008B1AE2" w:rsidP="008B1AE2">
      <w:pPr>
        <w:pStyle w:val="ListBullet2"/>
      </w:pPr>
      <w:r>
        <w:t>Capital income more than doubled over the decade, whereas labour income increased by 80 per cent.</w:t>
      </w:r>
    </w:p>
    <w:p w:rsidR="008B1AE2" w:rsidRDefault="008C4ABE" w:rsidP="00147E77">
      <w:pPr>
        <w:pStyle w:val="ListBullet"/>
      </w:pPr>
      <w:r>
        <w:t>But t</w:t>
      </w:r>
      <w:r w:rsidR="008B1AE2">
        <w:t>here was more growth in labour income in the 2000s (80 per cent) than in the 1990s (55 per cent).</w:t>
      </w:r>
    </w:p>
    <w:p w:rsidR="008B1AE2" w:rsidRDefault="008B1AE2" w:rsidP="000F54ED">
      <w:pPr>
        <w:pStyle w:val="ListBullet"/>
      </w:pPr>
      <w:r>
        <w:t>The fall in the LIS was predominantly associated with an increased quantity effect.</w:t>
      </w:r>
    </w:p>
    <w:p w:rsidR="008B1AE2" w:rsidRDefault="008B1AE2" w:rsidP="000F54ED">
      <w:pPr>
        <w:pStyle w:val="ListBullet2"/>
      </w:pPr>
      <w:r>
        <w:t>Comp</w:t>
      </w:r>
      <w:r w:rsidR="000F54ED">
        <w:t>a</w:t>
      </w:r>
      <w:r>
        <w:t>red with the 1990s,</w:t>
      </w:r>
      <w:r w:rsidR="000F54ED">
        <w:t xml:space="preserve"> there was much</w:t>
      </w:r>
      <w:r w:rsidR="006420BA">
        <w:t xml:space="preserve"> stronger growth in the capital</w:t>
      </w:r>
      <w:r w:rsidR="006420BA">
        <w:noBreakHyphen/>
      </w:r>
      <w:r w:rsidR="000F54ED">
        <w:t>labour ratio.</w:t>
      </w:r>
    </w:p>
    <w:p w:rsidR="000F54ED" w:rsidRDefault="000F54ED" w:rsidP="000F54ED">
      <w:pPr>
        <w:pStyle w:val="ListBullet3"/>
      </w:pPr>
      <w:r>
        <w:t xml:space="preserve">Capital and labour both grew more rapidly in the 2000s. </w:t>
      </w:r>
    </w:p>
    <w:p w:rsidR="000F54ED" w:rsidRDefault="000F54ED" w:rsidP="000F54ED">
      <w:pPr>
        <w:pStyle w:val="ListBullet3"/>
      </w:pPr>
      <w:r>
        <w:t xml:space="preserve">But the investment boom meant that growth in the capital stock picked up more than </w:t>
      </w:r>
      <w:r w:rsidR="0020070E">
        <w:t xml:space="preserve">did </w:t>
      </w:r>
      <w:r>
        <w:t>growth in the use of labour.</w:t>
      </w:r>
    </w:p>
    <w:p w:rsidR="000F54ED" w:rsidRDefault="000F54ED" w:rsidP="000F54ED">
      <w:pPr>
        <w:pStyle w:val="ListBullet2"/>
      </w:pPr>
      <w:r>
        <w:t>The reward ratio grew at about the same rate as it did in the 1990s.</w:t>
      </w:r>
    </w:p>
    <w:p w:rsidR="000F54ED" w:rsidRDefault="000F54ED" w:rsidP="000F54ED">
      <w:pPr>
        <w:pStyle w:val="ListBullet3"/>
      </w:pPr>
      <w:r>
        <w:lastRenderedPageBreak/>
        <w:t>There was also stronger growth in both the wage rate and the rate of return in the 2000s.</w:t>
      </w:r>
    </w:p>
    <w:p w:rsidR="000F54ED" w:rsidRDefault="000F54ED" w:rsidP="000F54ED">
      <w:pPr>
        <w:pStyle w:val="ListBullet3"/>
      </w:pPr>
      <w:r>
        <w:t>But they accelerated from the 1990s to about the same degree.</w:t>
      </w:r>
    </w:p>
    <w:p w:rsidR="000F54ED" w:rsidRDefault="000F54ED" w:rsidP="00F552B1">
      <w:pPr>
        <w:pStyle w:val="ListBullet"/>
      </w:pPr>
      <w:r>
        <w:t>The fall in the LIS is equivalent to a fall in real unit labour costs.</w:t>
      </w:r>
    </w:p>
    <w:p w:rsidR="000F54ED" w:rsidRDefault="000F54ED" w:rsidP="00F552B1">
      <w:pPr>
        <w:pStyle w:val="ListBullet2"/>
      </w:pPr>
      <w:r>
        <w:t xml:space="preserve">This means that </w:t>
      </w:r>
      <w:r w:rsidR="009046D1">
        <w:t xml:space="preserve">growth in the real product wage does not keep pace with growth in </w:t>
      </w:r>
      <w:r w:rsidR="006420BA">
        <w:t>LP</w:t>
      </w:r>
      <w:r w:rsidR="009046D1">
        <w:t>.</w:t>
      </w:r>
    </w:p>
    <w:p w:rsidR="009046D1" w:rsidRDefault="00F552B1" w:rsidP="00F552B1">
      <w:pPr>
        <w:pStyle w:val="ListBullet2"/>
      </w:pPr>
      <w:r>
        <w:t xml:space="preserve">The slowdown in growth </w:t>
      </w:r>
      <w:r w:rsidR="009046D1">
        <w:t>in the real product wage in the 2000s</w:t>
      </w:r>
      <w:r>
        <w:t xml:space="preserve"> was even greater than the </w:t>
      </w:r>
      <w:r w:rsidR="0020070E">
        <w:t xml:space="preserve">slowdown in </w:t>
      </w:r>
      <w:r>
        <w:t>productivity growth.</w:t>
      </w:r>
    </w:p>
    <w:p w:rsidR="00F552B1" w:rsidRDefault="00F552B1" w:rsidP="00F552B1">
      <w:pPr>
        <w:pStyle w:val="ListBullet3"/>
      </w:pPr>
      <w:r>
        <w:t>This was due to more rapid inflation in product prices in the 2000s.</w:t>
      </w:r>
    </w:p>
    <w:p w:rsidR="00F552B1" w:rsidRDefault="00F552B1" w:rsidP="00F552B1">
      <w:pPr>
        <w:pStyle w:val="ListBullet3"/>
      </w:pPr>
      <w:r>
        <w:t xml:space="preserve">The growth in nominal wages was </w:t>
      </w:r>
      <w:r w:rsidR="00E85BAB">
        <w:t>stronger</w:t>
      </w:r>
      <w:r>
        <w:t xml:space="preserve"> in the 2000s than in the 1990s.</w:t>
      </w:r>
    </w:p>
    <w:p w:rsidR="00F552B1" w:rsidRDefault="00F552B1" w:rsidP="001A1095">
      <w:pPr>
        <w:pStyle w:val="BodyText"/>
      </w:pPr>
    </w:p>
    <w:p w:rsidR="001A1095" w:rsidRDefault="001A1095" w:rsidP="001A1095">
      <w:pPr>
        <w:pStyle w:val="BodyText"/>
      </w:pPr>
    </w:p>
    <w:p w:rsidR="001A1095" w:rsidRDefault="001A1095" w:rsidP="001A1095">
      <w:pPr>
        <w:pStyle w:val="ListBullet2"/>
        <w:numPr>
          <w:ilvl w:val="0"/>
          <w:numId w:val="0"/>
        </w:numPr>
        <w:ind w:left="680"/>
      </w:pPr>
    </w:p>
    <w:sectPr w:rsidR="001A1095" w:rsidSect="00852B17">
      <w:headerReference w:type="even" r:id="rId20"/>
      <w:headerReference w:type="default" r:id="rId21"/>
      <w:footerReference w:type="even" r:id="rId22"/>
      <w:footerReference w:type="default" r:id="rId23"/>
      <w:headerReference w:type="first" r:id="rId24"/>
      <w:footerReference w:type="first" r:id="rId25"/>
      <w:pgSz w:w="11907" w:h="16840" w:code="9"/>
      <w:pgMar w:top="1985" w:right="1304" w:bottom="1418" w:left="1814" w:header="1701" w:footer="567" w:gutter="0"/>
      <w:pgNumType w:start="5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3E3" w:rsidRDefault="006103E3">
      <w:r>
        <w:separator/>
      </w:r>
    </w:p>
  </w:endnote>
  <w:endnote w:type="continuationSeparator" w:id="0">
    <w:p w:rsidR="006103E3" w:rsidRDefault="0061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03E3">
      <w:trPr>
        <w:trHeight w:hRule="exact" w:val="740"/>
      </w:trPr>
      <w:tc>
        <w:tcPr>
          <w:tcW w:w="510" w:type="dxa"/>
          <w:tcBorders>
            <w:top w:val="single" w:sz="6" w:space="0" w:color="auto"/>
          </w:tcBorders>
        </w:tcPr>
        <w:p w:rsidR="006103E3" w:rsidRDefault="006103E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C6F1B">
            <w:rPr>
              <w:rStyle w:val="PageNumber"/>
              <w:noProof/>
            </w:rPr>
            <w:t>64</w:t>
          </w:r>
          <w:r>
            <w:rPr>
              <w:rStyle w:val="PageNumber"/>
            </w:rPr>
            <w:fldChar w:fldCharType="end"/>
          </w:r>
        </w:p>
      </w:tc>
      <w:tc>
        <w:tcPr>
          <w:tcW w:w="1644" w:type="dxa"/>
          <w:tcBorders>
            <w:top w:val="single" w:sz="6" w:space="0" w:color="auto"/>
          </w:tcBorders>
        </w:tcPr>
        <w:p w:rsidR="006103E3" w:rsidRDefault="00BF06DF" w:rsidP="00AE7A60">
          <w:pPr>
            <w:pStyle w:val="Footer"/>
          </w:pPr>
          <w:fldSimple w:instr=" SUBJECT  \* MERGEFORMAT ">
            <w:r w:rsidR="000F443A">
              <w:t>Labour's share of growth in income and prosperity</w:t>
            </w:r>
          </w:fldSimple>
        </w:p>
      </w:tc>
      <w:tc>
        <w:tcPr>
          <w:tcW w:w="6634" w:type="dxa"/>
        </w:tcPr>
        <w:p w:rsidR="006103E3" w:rsidRDefault="006103E3" w:rsidP="0019293B">
          <w:pPr>
            <w:pStyle w:val="Footer"/>
          </w:pPr>
        </w:p>
      </w:tc>
    </w:tr>
  </w:tbl>
  <w:p w:rsidR="006103E3" w:rsidRDefault="006103E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03E3">
      <w:trPr>
        <w:trHeight w:hRule="exact" w:val="740"/>
      </w:trPr>
      <w:tc>
        <w:tcPr>
          <w:tcW w:w="6634" w:type="dxa"/>
        </w:tcPr>
        <w:p w:rsidR="006103E3" w:rsidRDefault="006103E3">
          <w:pPr>
            <w:pStyle w:val="Footer"/>
            <w:ind w:right="360" w:firstLine="360"/>
          </w:pPr>
        </w:p>
      </w:tc>
      <w:tc>
        <w:tcPr>
          <w:tcW w:w="1644" w:type="dxa"/>
          <w:tcBorders>
            <w:top w:val="single" w:sz="6" w:space="0" w:color="auto"/>
          </w:tcBorders>
        </w:tcPr>
        <w:p w:rsidR="006103E3" w:rsidRDefault="00BF06DF">
          <w:pPr>
            <w:pStyle w:val="Footer"/>
          </w:pPr>
          <w:fldSimple w:instr=" TITLE  \* MERGEFORMAT ">
            <w:r w:rsidR="000F443A">
              <w:t>The labour share: aggregate perspective</w:t>
            </w:r>
          </w:fldSimple>
        </w:p>
      </w:tc>
      <w:tc>
        <w:tcPr>
          <w:tcW w:w="510" w:type="dxa"/>
          <w:tcBorders>
            <w:top w:val="single" w:sz="6" w:space="0" w:color="auto"/>
          </w:tcBorders>
        </w:tcPr>
        <w:p w:rsidR="006103E3" w:rsidRDefault="006103E3">
          <w:pPr>
            <w:pStyle w:val="Footer"/>
            <w:jc w:val="right"/>
          </w:pPr>
          <w:r>
            <w:rPr>
              <w:rStyle w:val="PageNumber"/>
            </w:rPr>
            <w:fldChar w:fldCharType="begin"/>
          </w:r>
          <w:r>
            <w:rPr>
              <w:rStyle w:val="PageNumber"/>
            </w:rPr>
            <w:instrText xml:space="preserve">PAGE  </w:instrText>
          </w:r>
          <w:r>
            <w:rPr>
              <w:rStyle w:val="PageNumber"/>
            </w:rPr>
            <w:fldChar w:fldCharType="separate"/>
          </w:r>
          <w:r w:rsidR="00CC6F1B">
            <w:rPr>
              <w:rStyle w:val="PageNumber"/>
              <w:noProof/>
            </w:rPr>
            <w:t>51</w:t>
          </w:r>
          <w:r>
            <w:rPr>
              <w:rStyle w:val="PageNumber"/>
            </w:rPr>
            <w:fldChar w:fldCharType="end"/>
          </w:r>
        </w:p>
      </w:tc>
    </w:tr>
  </w:tbl>
  <w:p w:rsidR="006103E3" w:rsidRDefault="006103E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223" w:rsidRDefault="006222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3E3" w:rsidRDefault="006103E3">
      <w:r>
        <w:separator/>
      </w:r>
    </w:p>
  </w:footnote>
  <w:footnote w:type="continuationSeparator" w:id="0">
    <w:p w:rsidR="006103E3" w:rsidRDefault="006103E3">
      <w:r>
        <w:continuationSeparator/>
      </w:r>
    </w:p>
  </w:footnote>
  <w:footnote w:id="1">
    <w:p w:rsidR="006103E3" w:rsidRDefault="006103E3" w:rsidP="00051AF8">
      <w:pPr>
        <w:pStyle w:val="FootnoteText"/>
      </w:pPr>
      <w:r>
        <w:rPr>
          <w:rStyle w:val="FootnoteReference"/>
        </w:rPr>
        <w:footnoteRef/>
      </w:r>
      <w:r>
        <w:tab/>
        <w:t>The LIS tends to rise in recessions, as businesses hoard labour and wages are ‘sticky’ or limited in their downward movements, while profits fall (chapter 3).</w:t>
      </w:r>
    </w:p>
  </w:footnote>
  <w:footnote w:id="2">
    <w:p w:rsidR="006103E3" w:rsidRDefault="006103E3" w:rsidP="00A83086">
      <w:pPr>
        <w:pStyle w:val="FootnoteText"/>
      </w:pPr>
      <w:r>
        <w:rPr>
          <w:rStyle w:val="FootnoteReference"/>
        </w:rPr>
        <w:footnoteRef/>
      </w:r>
      <w:r>
        <w:tab/>
        <w:t>The ABS publishes two LIS series for the 12-industry market sector: one from 1989-90 and another from 1973-74, which contains two-period averages. The latter is presented in figure 3.3 in the previous chapter.</w:t>
      </w:r>
    </w:p>
  </w:footnote>
  <w:footnote w:id="3">
    <w:p w:rsidR="006103E3" w:rsidRDefault="006103E3" w:rsidP="00D00313">
      <w:pPr>
        <w:pStyle w:val="FootnoteText"/>
      </w:pPr>
      <w:r>
        <w:rPr>
          <w:rStyle w:val="FootnoteReference"/>
        </w:rPr>
        <w:footnoteRef/>
      </w:r>
      <w:r>
        <w:tab/>
        <w:t>See box 2.1 in chapter 2 for the industry composition of the two market sectors.</w:t>
      </w:r>
    </w:p>
  </w:footnote>
  <w:footnote w:id="4">
    <w:p w:rsidR="006103E3" w:rsidRDefault="006103E3" w:rsidP="003F3354">
      <w:pPr>
        <w:pStyle w:val="FootnoteText"/>
      </w:pPr>
      <w:r>
        <w:rPr>
          <w:rStyle w:val="FootnoteReference"/>
        </w:rPr>
        <w:footnoteRef/>
      </w:r>
      <w:r>
        <w:tab/>
        <w:t xml:space="preserve">Data from the ABS productivity accounts are used to generate the estimates in this section. Consequently, capital is measured as a capital services index and the gross profit rate is measured as an index of capital income per unit of capital service (and since capital services are proportional to the productive capital stock this index is also an index of the gross rate of return on the productive capital stock). While this does not conform to the normal concept of a gross rate of profit, a very similar pattern of divergence between the capital-labour ratio and the wage to gross profit ratio (as shown in figure 4.3) emerges if capital is measured as net capital stock. </w:t>
      </w:r>
    </w:p>
  </w:footnote>
  <w:footnote w:id="5">
    <w:p w:rsidR="006103E3" w:rsidRDefault="006103E3" w:rsidP="00E77096">
      <w:pPr>
        <w:pStyle w:val="FootnoteText"/>
      </w:pPr>
      <w:r>
        <w:rPr>
          <w:rStyle w:val="FootnoteReference"/>
        </w:rPr>
        <w:footnoteRef/>
      </w:r>
      <w:r>
        <w:tab/>
      </w:r>
      <w:r w:rsidRPr="009B6CC6">
        <w:t>Again, there was a temporary aberration in the early 1990s associated with the recession, when profit rates declined relative to wage rates.</w:t>
      </w:r>
    </w:p>
  </w:footnote>
  <w:footnote w:id="6">
    <w:p w:rsidR="006103E3" w:rsidRDefault="006103E3">
      <w:pPr>
        <w:pStyle w:val="FootnoteText"/>
      </w:pPr>
      <w:r>
        <w:rPr>
          <w:rStyle w:val="FootnoteReference"/>
        </w:rPr>
        <w:footnoteRef/>
      </w:r>
      <w:r>
        <w:tab/>
        <w:t>There are no equivalent data to determine long-term trends.</w:t>
      </w:r>
    </w:p>
  </w:footnote>
  <w:footnote w:id="7">
    <w:p w:rsidR="006103E3" w:rsidRDefault="006103E3" w:rsidP="00D16911">
      <w:pPr>
        <w:pStyle w:val="FootnoteText"/>
      </w:pPr>
      <w:r>
        <w:rPr>
          <w:rStyle w:val="FootnoteReference"/>
        </w:rPr>
        <w:footnoteRef/>
      </w:r>
      <w:r>
        <w:tab/>
        <w:t>The long-term averages provided in ABS data are from 1973-74 to 2007-08.</w:t>
      </w:r>
    </w:p>
  </w:footnote>
  <w:footnote w:id="8">
    <w:p w:rsidR="006103E3" w:rsidRDefault="006103E3" w:rsidP="00D16911">
      <w:pPr>
        <w:pStyle w:val="FootnoteText"/>
      </w:pPr>
      <w:r>
        <w:rPr>
          <w:rStyle w:val="FootnoteReference"/>
        </w:rPr>
        <w:footnoteRef/>
      </w:r>
      <w:r>
        <w:tab/>
        <w:t>Again the aberration associated with the early 1990s recession is evident.</w:t>
      </w:r>
    </w:p>
  </w:footnote>
  <w:footnote w:id="9">
    <w:p w:rsidR="006103E3" w:rsidRDefault="006103E3" w:rsidP="00D16911">
      <w:pPr>
        <w:pStyle w:val="FootnoteText"/>
      </w:pPr>
      <w:r>
        <w:rPr>
          <w:rStyle w:val="FootnoteReference"/>
        </w:rPr>
        <w:footnoteRef/>
      </w:r>
      <w:r>
        <w:tab/>
        <w:t xml:space="preserve">A decline in LIS from 57 to 53 per cent is a 7 per cent decline. The difference between 7 per cent and the 9 per cent decline in RULC is likely to be due to ‘rounding’, since the LIS is expressed only in terms of integers and not </w:t>
      </w:r>
      <w:r w:rsidR="00A057CE">
        <w:t xml:space="preserve">with </w:t>
      </w:r>
      <w:r>
        <w:t>decimal place precision.</w:t>
      </w:r>
    </w:p>
  </w:footnote>
  <w:footnote w:id="10">
    <w:p w:rsidR="006103E3" w:rsidRDefault="006103E3" w:rsidP="00DC48E3">
      <w:pPr>
        <w:pStyle w:val="FootnoteText"/>
      </w:pPr>
      <w:r>
        <w:rPr>
          <w:rStyle w:val="FootnoteReference"/>
        </w:rPr>
        <w:footnoteRef/>
      </w:r>
      <w:r>
        <w:tab/>
        <w:t xml:space="preserve">Output prices are measured as implicit prices for value added </w:t>
      </w:r>
      <w:r w:rsidR="006420BA">
        <w:t>— that is, the ratio of current</w:t>
      </w:r>
      <w:r w:rsidR="006420BA">
        <w:noBreakHyphen/>
      </w:r>
      <w:r>
        <w:t>price value added to the volume of value added.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03E3">
      <w:tc>
        <w:tcPr>
          <w:tcW w:w="2155" w:type="dxa"/>
          <w:tcBorders>
            <w:top w:val="single" w:sz="24" w:space="0" w:color="auto"/>
          </w:tcBorders>
        </w:tcPr>
        <w:p w:rsidR="006103E3" w:rsidRDefault="006103E3" w:rsidP="0019293B">
          <w:pPr>
            <w:pStyle w:val="HeaderEven"/>
          </w:pPr>
        </w:p>
      </w:tc>
      <w:tc>
        <w:tcPr>
          <w:tcW w:w="6634" w:type="dxa"/>
          <w:tcBorders>
            <w:top w:val="single" w:sz="6" w:space="0" w:color="auto"/>
          </w:tcBorders>
        </w:tcPr>
        <w:p w:rsidR="006103E3" w:rsidRDefault="006103E3" w:rsidP="0019293B">
          <w:pPr>
            <w:pStyle w:val="HeaderEven"/>
          </w:pPr>
        </w:p>
      </w:tc>
    </w:tr>
  </w:tbl>
  <w:p w:rsidR="006103E3" w:rsidRDefault="006103E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03E3">
      <w:tc>
        <w:tcPr>
          <w:tcW w:w="6634" w:type="dxa"/>
          <w:tcBorders>
            <w:top w:val="single" w:sz="6" w:space="0" w:color="auto"/>
          </w:tcBorders>
        </w:tcPr>
        <w:p w:rsidR="006103E3" w:rsidRDefault="006103E3" w:rsidP="00E669E2">
          <w:pPr>
            <w:pStyle w:val="HeaderOdd"/>
          </w:pPr>
        </w:p>
      </w:tc>
      <w:tc>
        <w:tcPr>
          <w:tcW w:w="2155" w:type="dxa"/>
          <w:tcBorders>
            <w:top w:val="single" w:sz="24" w:space="0" w:color="auto"/>
          </w:tcBorders>
        </w:tcPr>
        <w:p w:rsidR="006103E3" w:rsidRDefault="006103E3" w:rsidP="00E669E2">
          <w:pPr>
            <w:pStyle w:val="HeaderOdd"/>
          </w:pPr>
        </w:p>
      </w:tc>
    </w:tr>
  </w:tbl>
  <w:p w:rsidR="006103E3" w:rsidRDefault="006103E3"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223" w:rsidRDefault="006222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labour share: aggregate perspective"/>
    <w:docVar w:name="ShortReportTitle" w:val="Labour's share of growth in income and prosperity"/>
  </w:docVars>
  <w:rsids>
    <w:rsidRoot w:val="00AE7A60"/>
    <w:rsid w:val="00004D84"/>
    <w:rsid w:val="0001434A"/>
    <w:rsid w:val="00015E54"/>
    <w:rsid w:val="000227D5"/>
    <w:rsid w:val="000245AA"/>
    <w:rsid w:val="00024FCD"/>
    <w:rsid w:val="00031820"/>
    <w:rsid w:val="0003664B"/>
    <w:rsid w:val="0004111F"/>
    <w:rsid w:val="000415F3"/>
    <w:rsid w:val="00041F8F"/>
    <w:rsid w:val="00046AAE"/>
    <w:rsid w:val="0004754B"/>
    <w:rsid w:val="00051AF8"/>
    <w:rsid w:val="000565B3"/>
    <w:rsid w:val="00062C99"/>
    <w:rsid w:val="000670AF"/>
    <w:rsid w:val="0007150B"/>
    <w:rsid w:val="00075963"/>
    <w:rsid w:val="000806D1"/>
    <w:rsid w:val="000848DD"/>
    <w:rsid w:val="000938F5"/>
    <w:rsid w:val="000939BB"/>
    <w:rsid w:val="00094DCC"/>
    <w:rsid w:val="00096E55"/>
    <w:rsid w:val="00096EC4"/>
    <w:rsid w:val="000A0733"/>
    <w:rsid w:val="000A2991"/>
    <w:rsid w:val="000A35EE"/>
    <w:rsid w:val="000A5C84"/>
    <w:rsid w:val="000B2B9F"/>
    <w:rsid w:val="000B4B0A"/>
    <w:rsid w:val="000B4E18"/>
    <w:rsid w:val="000B601B"/>
    <w:rsid w:val="000C207E"/>
    <w:rsid w:val="000C5E6E"/>
    <w:rsid w:val="000D4987"/>
    <w:rsid w:val="000D7342"/>
    <w:rsid w:val="000E4BC4"/>
    <w:rsid w:val="000E5772"/>
    <w:rsid w:val="000E7724"/>
    <w:rsid w:val="000F0035"/>
    <w:rsid w:val="000F420B"/>
    <w:rsid w:val="000F443A"/>
    <w:rsid w:val="000F54ED"/>
    <w:rsid w:val="001004F9"/>
    <w:rsid w:val="00107337"/>
    <w:rsid w:val="00110116"/>
    <w:rsid w:val="001109DF"/>
    <w:rsid w:val="00114222"/>
    <w:rsid w:val="00120072"/>
    <w:rsid w:val="001258AA"/>
    <w:rsid w:val="001266E0"/>
    <w:rsid w:val="00126E1C"/>
    <w:rsid w:val="00126EB8"/>
    <w:rsid w:val="001274D4"/>
    <w:rsid w:val="00131BB8"/>
    <w:rsid w:val="00132C8B"/>
    <w:rsid w:val="001363AA"/>
    <w:rsid w:val="00144706"/>
    <w:rsid w:val="00147E77"/>
    <w:rsid w:val="00175136"/>
    <w:rsid w:val="00175C1D"/>
    <w:rsid w:val="00177053"/>
    <w:rsid w:val="00177FB9"/>
    <w:rsid w:val="0018062B"/>
    <w:rsid w:val="001821FB"/>
    <w:rsid w:val="00183E82"/>
    <w:rsid w:val="00184797"/>
    <w:rsid w:val="001878BB"/>
    <w:rsid w:val="00191AE0"/>
    <w:rsid w:val="0019293B"/>
    <w:rsid w:val="00197237"/>
    <w:rsid w:val="001A0A1A"/>
    <w:rsid w:val="001A1095"/>
    <w:rsid w:val="001A1BDF"/>
    <w:rsid w:val="001A269D"/>
    <w:rsid w:val="001C0865"/>
    <w:rsid w:val="001C3ABA"/>
    <w:rsid w:val="001C42C2"/>
    <w:rsid w:val="001C4B4C"/>
    <w:rsid w:val="001C75E5"/>
    <w:rsid w:val="001D27F6"/>
    <w:rsid w:val="001D54AE"/>
    <w:rsid w:val="001E0DEB"/>
    <w:rsid w:val="001E367E"/>
    <w:rsid w:val="001E789F"/>
    <w:rsid w:val="001E7BE8"/>
    <w:rsid w:val="001F0248"/>
    <w:rsid w:val="001F1431"/>
    <w:rsid w:val="001F3EB3"/>
    <w:rsid w:val="001F4F26"/>
    <w:rsid w:val="001F4F86"/>
    <w:rsid w:val="001F6A00"/>
    <w:rsid w:val="0020070E"/>
    <w:rsid w:val="002015FF"/>
    <w:rsid w:val="00201E64"/>
    <w:rsid w:val="00202C2C"/>
    <w:rsid w:val="00204737"/>
    <w:rsid w:val="002135AB"/>
    <w:rsid w:val="002144BE"/>
    <w:rsid w:val="00220B7F"/>
    <w:rsid w:val="002273B8"/>
    <w:rsid w:val="002360A9"/>
    <w:rsid w:val="00236819"/>
    <w:rsid w:val="00241C99"/>
    <w:rsid w:val="00241FF6"/>
    <w:rsid w:val="00242279"/>
    <w:rsid w:val="0024345B"/>
    <w:rsid w:val="00245C82"/>
    <w:rsid w:val="00247718"/>
    <w:rsid w:val="00250622"/>
    <w:rsid w:val="00267386"/>
    <w:rsid w:val="00273485"/>
    <w:rsid w:val="00274EC7"/>
    <w:rsid w:val="00276446"/>
    <w:rsid w:val="00276C7A"/>
    <w:rsid w:val="002814D9"/>
    <w:rsid w:val="00285CE6"/>
    <w:rsid w:val="00290B8F"/>
    <w:rsid w:val="00290B94"/>
    <w:rsid w:val="00291B40"/>
    <w:rsid w:val="002935D1"/>
    <w:rsid w:val="002A4C51"/>
    <w:rsid w:val="002A62E9"/>
    <w:rsid w:val="002B4008"/>
    <w:rsid w:val="002B5D57"/>
    <w:rsid w:val="002B7305"/>
    <w:rsid w:val="002C4974"/>
    <w:rsid w:val="002C720E"/>
    <w:rsid w:val="002C7B2E"/>
    <w:rsid w:val="002D0E8E"/>
    <w:rsid w:val="002D5B3A"/>
    <w:rsid w:val="002E22C3"/>
    <w:rsid w:val="002E3E34"/>
    <w:rsid w:val="002E501B"/>
    <w:rsid w:val="00301189"/>
    <w:rsid w:val="00301DDE"/>
    <w:rsid w:val="00303F7E"/>
    <w:rsid w:val="00306323"/>
    <w:rsid w:val="003127A3"/>
    <w:rsid w:val="00312DC4"/>
    <w:rsid w:val="0032196A"/>
    <w:rsid w:val="00323E09"/>
    <w:rsid w:val="0032712C"/>
    <w:rsid w:val="00333932"/>
    <w:rsid w:val="00335EEB"/>
    <w:rsid w:val="003402A1"/>
    <w:rsid w:val="00341A6D"/>
    <w:rsid w:val="003435FC"/>
    <w:rsid w:val="00343CDF"/>
    <w:rsid w:val="003518AA"/>
    <w:rsid w:val="00352165"/>
    <w:rsid w:val="00353182"/>
    <w:rsid w:val="003533DE"/>
    <w:rsid w:val="00355A7D"/>
    <w:rsid w:val="003565D9"/>
    <w:rsid w:val="00357EC5"/>
    <w:rsid w:val="003602E1"/>
    <w:rsid w:val="0037026F"/>
    <w:rsid w:val="00371240"/>
    <w:rsid w:val="00374731"/>
    <w:rsid w:val="00374AAD"/>
    <w:rsid w:val="00375F2A"/>
    <w:rsid w:val="00376E59"/>
    <w:rsid w:val="00376F6E"/>
    <w:rsid w:val="00377401"/>
    <w:rsid w:val="0038069A"/>
    <w:rsid w:val="0038277D"/>
    <w:rsid w:val="0038307A"/>
    <w:rsid w:val="003855DC"/>
    <w:rsid w:val="00387A28"/>
    <w:rsid w:val="003919F9"/>
    <w:rsid w:val="00392E1F"/>
    <w:rsid w:val="003970D7"/>
    <w:rsid w:val="003A61A1"/>
    <w:rsid w:val="003B2299"/>
    <w:rsid w:val="003B42C9"/>
    <w:rsid w:val="003B64EF"/>
    <w:rsid w:val="003C172A"/>
    <w:rsid w:val="003C21EF"/>
    <w:rsid w:val="003C38B5"/>
    <w:rsid w:val="003C4EAE"/>
    <w:rsid w:val="003C5D99"/>
    <w:rsid w:val="003D68F5"/>
    <w:rsid w:val="003E1423"/>
    <w:rsid w:val="003E2F59"/>
    <w:rsid w:val="003E57F1"/>
    <w:rsid w:val="003E67E0"/>
    <w:rsid w:val="003E6F47"/>
    <w:rsid w:val="003E75CB"/>
    <w:rsid w:val="003E7CD3"/>
    <w:rsid w:val="003F0789"/>
    <w:rsid w:val="003F3354"/>
    <w:rsid w:val="003F5CBE"/>
    <w:rsid w:val="00401882"/>
    <w:rsid w:val="00402D53"/>
    <w:rsid w:val="004100C8"/>
    <w:rsid w:val="00411A91"/>
    <w:rsid w:val="00411DBD"/>
    <w:rsid w:val="00412ACE"/>
    <w:rsid w:val="004160C4"/>
    <w:rsid w:val="00417C49"/>
    <w:rsid w:val="004261E2"/>
    <w:rsid w:val="004276BD"/>
    <w:rsid w:val="00431249"/>
    <w:rsid w:val="00433382"/>
    <w:rsid w:val="00434C19"/>
    <w:rsid w:val="004351E4"/>
    <w:rsid w:val="004361AF"/>
    <w:rsid w:val="0043705F"/>
    <w:rsid w:val="0043782F"/>
    <w:rsid w:val="0044217D"/>
    <w:rsid w:val="00444140"/>
    <w:rsid w:val="00445F3D"/>
    <w:rsid w:val="00447513"/>
    <w:rsid w:val="00447891"/>
    <w:rsid w:val="00450810"/>
    <w:rsid w:val="004528BB"/>
    <w:rsid w:val="004528BD"/>
    <w:rsid w:val="00454A5F"/>
    <w:rsid w:val="00461269"/>
    <w:rsid w:val="0046433F"/>
    <w:rsid w:val="00466389"/>
    <w:rsid w:val="00474460"/>
    <w:rsid w:val="00477144"/>
    <w:rsid w:val="00480357"/>
    <w:rsid w:val="00491380"/>
    <w:rsid w:val="0049459F"/>
    <w:rsid w:val="0049773F"/>
    <w:rsid w:val="004A1463"/>
    <w:rsid w:val="004A38DD"/>
    <w:rsid w:val="004B43AE"/>
    <w:rsid w:val="004C1393"/>
    <w:rsid w:val="004C30ED"/>
    <w:rsid w:val="004D3DF4"/>
    <w:rsid w:val="004D41B5"/>
    <w:rsid w:val="004D5675"/>
    <w:rsid w:val="004D5F0A"/>
    <w:rsid w:val="004E230D"/>
    <w:rsid w:val="004E7583"/>
    <w:rsid w:val="004E7AEA"/>
    <w:rsid w:val="004F50F4"/>
    <w:rsid w:val="004F5428"/>
    <w:rsid w:val="005030AC"/>
    <w:rsid w:val="005050D4"/>
    <w:rsid w:val="00510D42"/>
    <w:rsid w:val="005137A3"/>
    <w:rsid w:val="00522C05"/>
    <w:rsid w:val="005233C3"/>
    <w:rsid w:val="00523639"/>
    <w:rsid w:val="005248AA"/>
    <w:rsid w:val="00531FE5"/>
    <w:rsid w:val="0053208A"/>
    <w:rsid w:val="005402FA"/>
    <w:rsid w:val="00540B8D"/>
    <w:rsid w:val="0054221F"/>
    <w:rsid w:val="00542BE1"/>
    <w:rsid w:val="00552342"/>
    <w:rsid w:val="00552AEE"/>
    <w:rsid w:val="005650AD"/>
    <w:rsid w:val="00565C54"/>
    <w:rsid w:val="00573D04"/>
    <w:rsid w:val="00576941"/>
    <w:rsid w:val="0058101D"/>
    <w:rsid w:val="0058159D"/>
    <w:rsid w:val="00583C39"/>
    <w:rsid w:val="00584A26"/>
    <w:rsid w:val="00587F28"/>
    <w:rsid w:val="005909CF"/>
    <w:rsid w:val="00591E71"/>
    <w:rsid w:val="0059597D"/>
    <w:rsid w:val="005A0D41"/>
    <w:rsid w:val="005A7197"/>
    <w:rsid w:val="005B1416"/>
    <w:rsid w:val="005B278D"/>
    <w:rsid w:val="005B7516"/>
    <w:rsid w:val="005C3281"/>
    <w:rsid w:val="005C38C0"/>
    <w:rsid w:val="005C38D0"/>
    <w:rsid w:val="005E02AD"/>
    <w:rsid w:val="005E4C15"/>
    <w:rsid w:val="005E5909"/>
    <w:rsid w:val="005E61E5"/>
    <w:rsid w:val="005E7DA1"/>
    <w:rsid w:val="005F4C84"/>
    <w:rsid w:val="00600538"/>
    <w:rsid w:val="00607BF1"/>
    <w:rsid w:val="006103E3"/>
    <w:rsid w:val="00622223"/>
    <w:rsid w:val="006235BC"/>
    <w:rsid w:val="006236C2"/>
    <w:rsid w:val="00627BBE"/>
    <w:rsid w:val="00630D4D"/>
    <w:rsid w:val="00632A74"/>
    <w:rsid w:val="0063342C"/>
    <w:rsid w:val="00634B70"/>
    <w:rsid w:val="00640041"/>
    <w:rsid w:val="006420BA"/>
    <w:rsid w:val="006522FA"/>
    <w:rsid w:val="00655F72"/>
    <w:rsid w:val="0066007C"/>
    <w:rsid w:val="00667A52"/>
    <w:rsid w:val="0067594E"/>
    <w:rsid w:val="00680A67"/>
    <w:rsid w:val="00682A13"/>
    <w:rsid w:val="00682E65"/>
    <w:rsid w:val="00683740"/>
    <w:rsid w:val="00691B4E"/>
    <w:rsid w:val="00693C7A"/>
    <w:rsid w:val="00694B58"/>
    <w:rsid w:val="00695DAF"/>
    <w:rsid w:val="00696C89"/>
    <w:rsid w:val="006A0539"/>
    <w:rsid w:val="006A402D"/>
    <w:rsid w:val="006A4655"/>
    <w:rsid w:val="006B2B3C"/>
    <w:rsid w:val="006C1D81"/>
    <w:rsid w:val="006C2195"/>
    <w:rsid w:val="006C6D8E"/>
    <w:rsid w:val="006C7038"/>
    <w:rsid w:val="006C754E"/>
    <w:rsid w:val="006C79AF"/>
    <w:rsid w:val="006E73EF"/>
    <w:rsid w:val="006F2468"/>
    <w:rsid w:val="006F6AAA"/>
    <w:rsid w:val="006F6CF0"/>
    <w:rsid w:val="007043E0"/>
    <w:rsid w:val="00706603"/>
    <w:rsid w:val="00711099"/>
    <w:rsid w:val="00714D4D"/>
    <w:rsid w:val="00721025"/>
    <w:rsid w:val="007255CE"/>
    <w:rsid w:val="00732052"/>
    <w:rsid w:val="007501CB"/>
    <w:rsid w:val="00751B83"/>
    <w:rsid w:val="007604BB"/>
    <w:rsid w:val="00772A50"/>
    <w:rsid w:val="00772D38"/>
    <w:rsid w:val="007816B2"/>
    <w:rsid w:val="00785232"/>
    <w:rsid w:val="00786455"/>
    <w:rsid w:val="007A21EB"/>
    <w:rsid w:val="007A7525"/>
    <w:rsid w:val="007B1A93"/>
    <w:rsid w:val="007B5893"/>
    <w:rsid w:val="007C36C9"/>
    <w:rsid w:val="007C5762"/>
    <w:rsid w:val="007C5BF4"/>
    <w:rsid w:val="007C5D5D"/>
    <w:rsid w:val="007D2239"/>
    <w:rsid w:val="007D6401"/>
    <w:rsid w:val="007E01E4"/>
    <w:rsid w:val="007E74C9"/>
    <w:rsid w:val="007E7A51"/>
    <w:rsid w:val="007F04AF"/>
    <w:rsid w:val="007F0B78"/>
    <w:rsid w:val="007F5F9C"/>
    <w:rsid w:val="007F7107"/>
    <w:rsid w:val="007F7B3D"/>
    <w:rsid w:val="007F7C3D"/>
    <w:rsid w:val="00800D4C"/>
    <w:rsid w:val="00802566"/>
    <w:rsid w:val="0080715F"/>
    <w:rsid w:val="0081030F"/>
    <w:rsid w:val="008123D1"/>
    <w:rsid w:val="008129BB"/>
    <w:rsid w:val="00820083"/>
    <w:rsid w:val="0082087D"/>
    <w:rsid w:val="0082240F"/>
    <w:rsid w:val="008332E9"/>
    <w:rsid w:val="008336A7"/>
    <w:rsid w:val="0083519E"/>
    <w:rsid w:val="00835771"/>
    <w:rsid w:val="00836E2B"/>
    <w:rsid w:val="00842933"/>
    <w:rsid w:val="00852B17"/>
    <w:rsid w:val="008539A1"/>
    <w:rsid w:val="00854A53"/>
    <w:rsid w:val="00857542"/>
    <w:rsid w:val="0086082C"/>
    <w:rsid w:val="00864ADC"/>
    <w:rsid w:val="008710B7"/>
    <w:rsid w:val="00875BCD"/>
    <w:rsid w:val="00875DA6"/>
    <w:rsid w:val="00880153"/>
    <w:rsid w:val="00880F97"/>
    <w:rsid w:val="008811C6"/>
    <w:rsid w:val="0088133A"/>
    <w:rsid w:val="00892415"/>
    <w:rsid w:val="0089285E"/>
    <w:rsid w:val="00892EA7"/>
    <w:rsid w:val="0089436C"/>
    <w:rsid w:val="008A2F09"/>
    <w:rsid w:val="008A6472"/>
    <w:rsid w:val="008A7137"/>
    <w:rsid w:val="008A738E"/>
    <w:rsid w:val="008B1AE2"/>
    <w:rsid w:val="008B37A7"/>
    <w:rsid w:val="008C4ABE"/>
    <w:rsid w:val="008C6C43"/>
    <w:rsid w:val="008C767D"/>
    <w:rsid w:val="008D365C"/>
    <w:rsid w:val="008D7790"/>
    <w:rsid w:val="008E0B10"/>
    <w:rsid w:val="008E6F9A"/>
    <w:rsid w:val="008F1436"/>
    <w:rsid w:val="008F3DBA"/>
    <w:rsid w:val="008F58A0"/>
    <w:rsid w:val="008F6882"/>
    <w:rsid w:val="009030BF"/>
    <w:rsid w:val="009046D1"/>
    <w:rsid w:val="0091024F"/>
    <w:rsid w:val="0091032F"/>
    <w:rsid w:val="00912FB1"/>
    <w:rsid w:val="00914368"/>
    <w:rsid w:val="00916EB9"/>
    <w:rsid w:val="0092251F"/>
    <w:rsid w:val="00931076"/>
    <w:rsid w:val="009345D9"/>
    <w:rsid w:val="00934B15"/>
    <w:rsid w:val="00940C87"/>
    <w:rsid w:val="00942B62"/>
    <w:rsid w:val="00943F18"/>
    <w:rsid w:val="00945BBB"/>
    <w:rsid w:val="00946988"/>
    <w:rsid w:val="00952E89"/>
    <w:rsid w:val="0095323B"/>
    <w:rsid w:val="0095657B"/>
    <w:rsid w:val="00956A0C"/>
    <w:rsid w:val="00956BD9"/>
    <w:rsid w:val="00960694"/>
    <w:rsid w:val="00962489"/>
    <w:rsid w:val="00971C34"/>
    <w:rsid w:val="00982022"/>
    <w:rsid w:val="009879CE"/>
    <w:rsid w:val="00990C2C"/>
    <w:rsid w:val="00992CF0"/>
    <w:rsid w:val="009A086C"/>
    <w:rsid w:val="009A2825"/>
    <w:rsid w:val="009A3D83"/>
    <w:rsid w:val="009A604B"/>
    <w:rsid w:val="009B032C"/>
    <w:rsid w:val="009B126D"/>
    <w:rsid w:val="009B41BB"/>
    <w:rsid w:val="009B4A31"/>
    <w:rsid w:val="009B4EA1"/>
    <w:rsid w:val="009B6CC6"/>
    <w:rsid w:val="009C3B52"/>
    <w:rsid w:val="009C4085"/>
    <w:rsid w:val="009D6729"/>
    <w:rsid w:val="009E022B"/>
    <w:rsid w:val="009E08FD"/>
    <w:rsid w:val="009E13CD"/>
    <w:rsid w:val="009E1844"/>
    <w:rsid w:val="009E710A"/>
    <w:rsid w:val="009F0D1B"/>
    <w:rsid w:val="009F696D"/>
    <w:rsid w:val="009F6BC6"/>
    <w:rsid w:val="00A00342"/>
    <w:rsid w:val="00A03D12"/>
    <w:rsid w:val="00A03FA4"/>
    <w:rsid w:val="00A057CE"/>
    <w:rsid w:val="00A058B9"/>
    <w:rsid w:val="00A15A41"/>
    <w:rsid w:val="00A15E66"/>
    <w:rsid w:val="00A17328"/>
    <w:rsid w:val="00A22EC9"/>
    <w:rsid w:val="00A23A20"/>
    <w:rsid w:val="00A24C02"/>
    <w:rsid w:val="00A268B9"/>
    <w:rsid w:val="00A2703A"/>
    <w:rsid w:val="00A30DEA"/>
    <w:rsid w:val="00A31D9A"/>
    <w:rsid w:val="00A32684"/>
    <w:rsid w:val="00A33DFF"/>
    <w:rsid w:val="00A35115"/>
    <w:rsid w:val="00A36D9A"/>
    <w:rsid w:val="00A44201"/>
    <w:rsid w:val="00A554AB"/>
    <w:rsid w:val="00A57062"/>
    <w:rsid w:val="00A62D2A"/>
    <w:rsid w:val="00A63EC0"/>
    <w:rsid w:val="00A77C69"/>
    <w:rsid w:val="00A83086"/>
    <w:rsid w:val="00A84B73"/>
    <w:rsid w:val="00A92B53"/>
    <w:rsid w:val="00A94FA6"/>
    <w:rsid w:val="00AA49A0"/>
    <w:rsid w:val="00AA6710"/>
    <w:rsid w:val="00AA7162"/>
    <w:rsid w:val="00AB0681"/>
    <w:rsid w:val="00AB468D"/>
    <w:rsid w:val="00AB5ED8"/>
    <w:rsid w:val="00AB742E"/>
    <w:rsid w:val="00AC2034"/>
    <w:rsid w:val="00AD0925"/>
    <w:rsid w:val="00AD520B"/>
    <w:rsid w:val="00AD5E80"/>
    <w:rsid w:val="00AE17D3"/>
    <w:rsid w:val="00AE406A"/>
    <w:rsid w:val="00AE629A"/>
    <w:rsid w:val="00AE7A60"/>
    <w:rsid w:val="00AF5636"/>
    <w:rsid w:val="00AF7648"/>
    <w:rsid w:val="00B25A01"/>
    <w:rsid w:val="00B33E50"/>
    <w:rsid w:val="00B34C87"/>
    <w:rsid w:val="00B36B6D"/>
    <w:rsid w:val="00B37327"/>
    <w:rsid w:val="00B425C3"/>
    <w:rsid w:val="00B440AD"/>
    <w:rsid w:val="00B466A2"/>
    <w:rsid w:val="00B53081"/>
    <w:rsid w:val="00B53A4B"/>
    <w:rsid w:val="00B53E7E"/>
    <w:rsid w:val="00B55339"/>
    <w:rsid w:val="00B62802"/>
    <w:rsid w:val="00B6342E"/>
    <w:rsid w:val="00B65D1A"/>
    <w:rsid w:val="00B65E61"/>
    <w:rsid w:val="00B67F51"/>
    <w:rsid w:val="00B7030C"/>
    <w:rsid w:val="00B7113F"/>
    <w:rsid w:val="00B717A9"/>
    <w:rsid w:val="00B72446"/>
    <w:rsid w:val="00B941CE"/>
    <w:rsid w:val="00B967B2"/>
    <w:rsid w:val="00B97659"/>
    <w:rsid w:val="00BA73B6"/>
    <w:rsid w:val="00BA7E27"/>
    <w:rsid w:val="00BB2603"/>
    <w:rsid w:val="00BB4FCD"/>
    <w:rsid w:val="00BB59FD"/>
    <w:rsid w:val="00BC04E9"/>
    <w:rsid w:val="00BC35FC"/>
    <w:rsid w:val="00BC758B"/>
    <w:rsid w:val="00BD13EA"/>
    <w:rsid w:val="00BD23D9"/>
    <w:rsid w:val="00BD7005"/>
    <w:rsid w:val="00BD7B10"/>
    <w:rsid w:val="00BE193C"/>
    <w:rsid w:val="00BE2153"/>
    <w:rsid w:val="00BE3808"/>
    <w:rsid w:val="00BF06DF"/>
    <w:rsid w:val="00BF6EB5"/>
    <w:rsid w:val="00C014A1"/>
    <w:rsid w:val="00C062E9"/>
    <w:rsid w:val="00C07B64"/>
    <w:rsid w:val="00C13721"/>
    <w:rsid w:val="00C14FE4"/>
    <w:rsid w:val="00C20053"/>
    <w:rsid w:val="00C237FB"/>
    <w:rsid w:val="00C27525"/>
    <w:rsid w:val="00C3066D"/>
    <w:rsid w:val="00C307F8"/>
    <w:rsid w:val="00C32FB1"/>
    <w:rsid w:val="00C34ABA"/>
    <w:rsid w:val="00C36CD5"/>
    <w:rsid w:val="00C431EF"/>
    <w:rsid w:val="00C448EC"/>
    <w:rsid w:val="00C47E26"/>
    <w:rsid w:val="00C5101B"/>
    <w:rsid w:val="00C52416"/>
    <w:rsid w:val="00C543F4"/>
    <w:rsid w:val="00C54E39"/>
    <w:rsid w:val="00C55902"/>
    <w:rsid w:val="00C56F14"/>
    <w:rsid w:val="00C61875"/>
    <w:rsid w:val="00C62003"/>
    <w:rsid w:val="00C6215F"/>
    <w:rsid w:val="00C6291C"/>
    <w:rsid w:val="00C633CB"/>
    <w:rsid w:val="00C63EF7"/>
    <w:rsid w:val="00C63F89"/>
    <w:rsid w:val="00C65F83"/>
    <w:rsid w:val="00C66BCE"/>
    <w:rsid w:val="00C7044A"/>
    <w:rsid w:val="00C736B7"/>
    <w:rsid w:val="00C74A66"/>
    <w:rsid w:val="00C81D4A"/>
    <w:rsid w:val="00C8762C"/>
    <w:rsid w:val="00C90DAE"/>
    <w:rsid w:val="00C9417E"/>
    <w:rsid w:val="00CA00F9"/>
    <w:rsid w:val="00CA2961"/>
    <w:rsid w:val="00CA67EA"/>
    <w:rsid w:val="00CA6BBD"/>
    <w:rsid w:val="00CB0FEF"/>
    <w:rsid w:val="00CB41B3"/>
    <w:rsid w:val="00CB50D7"/>
    <w:rsid w:val="00CB6215"/>
    <w:rsid w:val="00CB7177"/>
    <w:rsid w:val="00CC17EB"/>
    <w:rsid w:val="00CC1998"/>
    <w:rsid w:val="00CC47A4"/>
    <w:rsid w:val="00CC4946"/>
    <w:rsid w:val="00CC5098"/>
    <w:rsid w:val="00CC5EF0"/>
    <w:rsid w:val="00CC6F1B"/>
    <w:rsid w:val="00CD0DDA"/>
    <w:rsid w:val="00CD27CF"/>
    <w:rsid w:val="00CD35DA"/>
    <w:rsid w:val="00CF6F85"/>
    <w:rsid w:val="00D00313"/>
    <w:rsid w:val="00D033CB"/>
    <w:rsid w:val="00D03722"/>
    <w:rsid w:val="00D16911"/>
    <w:rsid w:val="00D179C2"/>
    <w:rsid w:val="00D203F4"/>
    <w:rsid w:val="00D2293F"/>
    <w:rsid w:val="00D270A4"/>
    <w:rsid w:val="00D27C27"/>
    <w:rsid w:val="00D306BE"/>
    <w:rsid w:val="00D31FE9"/>
    <w:rsid w:val="00D34E1B"/>
    <w:rsid w:val="00D376BA"/>
    <w:rsid w:val="00D45634"/>
    <w:rsid w:val="00D47604"/>
    <w:rsid w:val="00D5568A"/>
    <w:rsid w:val="00D61637"/>
    <w:rsid w:val="00D61696"/>
    <w:rsid w:val="00D63D73"/>
    <w:rsid w:val="00D64452"/>
    <w:rsid w:val="00D6509C"/>
    <w:rsid w:val="00D66E1E"/>
    <w:rsid w:val="00D67B30"/>
    <w:rsid w:val="00D73BD8"/>
    <w:rsid w:val="00D754C7"/>
    <w:rsid w:val="00D75722"/>
    <w:rsid w:val="00D762B9"/>
    <w:rsid w:val="00D7713C"/>
    <w:rsid w:val="00D80CF5"/>
    <w:rsid w:val="00D84320"/>
    <w:rsid w:val="00D879C4"/>
    <w:rsid w:val="00DA45BD"/>
    <w:rsid w:val="00DA5BBA"/>
    <w:rsid w:val="00DA759B"/>
    <w:rsid w:val="00DB26D2"/>
    <w:rsid w:val="00DB3B60"/>
    <w:rsid w:val="00DB67C9"/>
    <w:rsid w:val="00DC0C95"/>
    <w:rsid w:val="00DC48E3"/>
    <w:rsid w:val="00DC5EF4"/>
    <w:rsid w:val="00DD4411"/>
    <w:rsid w:val="00DD6580"/>
    <w:rsid w:val="00DD6D6F"/>
    <w:rsid w:val="00DE1D44"/>
    <w:rsid w:val="00DE3325"/>
    <w:rsid w:val="00DE5ABC"/>
    <w:rsid w:val="00DE62A1"/>
    <w:rsid w:val="00DF0E43"/>
    <w:rsid w:val="00DF41B0"/>
    <w:rsid w:val="00E021C4"/>
    <w:rsid w:val="00E04188"/>
    <w:rsid w:val="00E045E3"/>
    <w:rsid w:val="00E17229"/>
    <w:rsid w:val="00E17C72"/>
    <w:rsid w:val="00E21FC6"/>
    <w:rsid w:val="00E22384"/>
    <w:rsid w:val="00E25F10"/>
    <w:rsid w:val="00E26A3F"/>
    <w:rsid w:val="00E3470A"/>
    <w:rsid w:val="00E41042"/>
    <w:rsid w:val="00E41841"/>
    <w:rsid w:val="00E41CD6"/>
    <w:rsid w:val="00E431A9"/>
    <w:rsid w:val="00E472C5"/>
    <w:rsid w:val="00E5257C"/>
    <w:rsid w:val="00E5618E"/>
    <w:rsid w:val="00E56BD0"/>
    <w:rsid w:val="00E61409"/>
    <w:rsid w:val="00E62FB4"/>
    <w:rsid w:val="00E63789"/>
    <w:rsid w:val="00E669E2"/>
    <w:rsid w:val="00E74082"/>
    <w:rsid w:val="00E76135"/>
    <w:rsid w:val="00E77096"/>
    <w:rsid w:val="00E80FBA"/>
    <w:rsid w:val="00E82F4F"/>
    <w:rsid w:val="00E84235"/>
    <w:rsid w:val="00E85BAB"/>
    <w:rsid w:val="00E92278"/>
    <w:rsid w:val="00EA0C33"/>
    <w:rsid w:val="00EB11D9"/>
    <w:rsid w:val="00EB36C6"/>
    <w:rsid w:val="00EB780A"/>
    <w:rsid w:val="00EC1E12"/>
    <w:rsid w:val="00EC2844"/>
    <w:rsid w:val="00EC4181"/>
    <w:rsid w:val="00EC5500"/>
    <w:rsid w:val="00EC6B8D"/>
    <w:rsid w:val="00EC7010"/>
    <w:rsid w:val="00ED17DA"/>
    <w:rsid w:val="00ED3E16"/>
    <w:rsid w:val="00ED464E"/>
    <w:rsid w:val="00ED4B39"/>
    <w:rsid w:val="00ED5DF8"/>
    <w:rsid w:val="00ED5EA6"/>
    <w:rsid w:val="00EF1A46"/>
    <w:rsid w:val="00EF277A"/>
    <w:rsid w:val="00EF47F6"/>
    <w:rsid w:val="00EF6C6C"/>
    <w:rsid w:val="00F04AEE"/>
    <w:rsid w:val="00F04D03"/>
    <w:rsid w:val="00F056FC"/>
    <w:rsid w:val="00F075D8"/>
    <w:rsid w:val="00F10476"/>
    <w:rsid w:val="00F10F4E"/>
    <w:rsid w:val="00F135D8"/>
    <w:rsid w:val="00F21722"/>
    <w:rsid w:val="00F31299"/>
    <w:rsid w:val="00F337F8"/>
    <w:rsid w:val="00F338AF"/>
    <w:rsid w:val="00F34F3B"/>
    <w:rsid w:val="00F3534A"/>
    <w:rsid w:val="00F37792"/>
    <w:rsid w:val="00F37DC4"/>
    <w:rsid w:val="00F42FA5"/>
    <w:rsid w:val="00F50CC0"/>
    <w:rsid w:val="00F51609"/>
    <w:rsid w:val="00F55045"/>
    <w:rsid w:val="00F552B1"/>
    <w:rsid w:val="00F63606"/>
    <w:rsid w:val="00F6547F"/>
    <w:rsid w:val="00F66C36"/>
    <w:rsid w:val="00F81006"/>
    <w:rsid w:val="00F837AE"/>
    <w:rsid w:val="00F85325"/>
    <w:rsid w:val="00F942C1"/>
    <w:rsid w:val="00F944A6"/>
    <w:rsid w:val="00F94CB1"/>
    <w:rsid w:val="00FA104B"/>
    <w:rsid w:val="00FA1E43"/>
    <w:rsid w:val="00FC360E"/>
    <w:rsid w:val="00FD22B1"/>
    <w:rsid w:val="00FD6397"/>
    <w:rsid w:val="00FE238D"/>
    <w:rsid w:val="00FE5397"/>
    <w:rsid w:val="00FE77A9"/>
    <w:rsid w:val="00FF28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ED3E1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D3E16"/>
    <w:rPr>
      <w:szCs w:val="24"/>
    </w:rPr>
  </w:style>
  <w:style w:type="character" w:customStyle="1" w:styleId="CommentSubjectChar">
    <w:name w:val="Comment Subject Char"/>
    <w:basedOn w:val="CommentTextChar"/>
    <w:link w:val="CommentSubject"/>
    <w:rsid w:val="00ED3E16"/>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ED3E1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D3E16"/>
    <w:rPr>
      <w:szCs w:val="24"/>
    </w:rPr>
  </w:style>
  <w:style w:type="character" w:customStyle="1" w:styleId="CommentSubjectChar">
    <w:name w:val="Comment Subject Char"/>
    <w:basedOn w:val="CommentTextChar"/>
    <w:link w:val="CommentSubject"/>
    <w:rsid w:val="00ED3E16"/>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51965">
      <w:bodyDiv w:val="1"/>
      <w:marLeft w:val="0"/>
      <w:marRight w:val="0"/>
      <w:marTop w:val="0"/>
      <w:marBottom w:val="0"/>
      <w:divBdr>
        <w:top w:val="none" w:sz="0" w:space="0" w:color="auto"/>
        <w:left w:val="none" w:sz="0" w:space="0" w:color="auto"/>
        <w:bottom w:val="none" w:sz="0" w:space="0" w:color="auto"/>
        <w:right w:val="none" w:sz="0" w:space="0" w:color="auto"/>
      </w:divBdr>
    </w:div>
    <w:div w:id="523521974">
      <w:bodyDiv w:val="1"/>
      <w:marLeft w:val="0"/>
      <w:marRight w:val="0"/>
      <w:marTop w:val="0"/>
      <w:marBottom w:val="0"/>
      <w:divBdr>
        <w:top w:val="none" w:sz="0" w:space="0" w:color="auto"/>
        <w:left w:val="none" w:sz="0" w:space="0" w:color="auto"/>
        <w:bottom w:val="none" w:sz="0" w:space="0" w:color="auto"/>
        <w:right w:val="none" w:sz="0" w:space="0" w:color="auto"/>
      </w:divBdr>
    </w:div>
    <w:div w:id="566066255">
      <w:bodyDiv w:val="1"/>
      <w:marLeft w:val="0"/>
      <w:marRight w:val="0"/>
      <w:marTop w:val="0"/>
      <w:marBottom w:val="0"/>
      <w:divBdr>
        <w:top w:val="none" w:sz="0" w:space="0" w:color="auto"/>
        <w:left w:val="none" w:sz="0" w:space="0" w:color="auto"/>
        <w:bottom w:val="none" w:sz="0" w:space="0" w:color="auto"/>
        <w:right w:val="none" w:sz="0" w:space="0" w:color="auto"/>
      </w:divBdr>
    </w:div>
    <w:div w:id="1121806470">
      <w:bodyDiv w:val="1"/>
      <w:marLeft w:val="0"/>
      <w:marRight w:val="0"/>
      <w:marTop w:val="0"/>
      <w:marBottom w:val="0"/>
      <w:divBdr>
        <w:top w:val="none" w:sz="0" w:space="0" w:color="auto"/>
        <w:left w:val="none" w:sz="0" w:space="0" w:color="auto"/>
        <w:bottom w:val="none" w:sz="0" w:space="0" w:color="auto"/>
        <w:right w:val="none" w:sz="0" w:space="0" w:color="auto"/>
      </w:divBdr>
    </w:div>
    <w:div w:id="1145507748">
      <w:bodyDiv w:val="1"/>
      <w:marLeft w:val="0"/>
      <w:marRight w:val="0"/>
      <w:marTop w:val="0"/>
      <w:marBottom w:val="0"/>
      <w:divBdr>
        <w:top w:val="none" w:sz="0" w:space="0" w:color="auto"/>
        <w:left w:val="none" w:sz="0" w:space="0" w:color="auto"/>
        <w:bottom w:val="none" w:sz="0" w:space="0" w:color="auto"/>
        <w:right w:val="none" w:sz="0" w:space="0" w:color="auto"/>
      </w:divBdr>
    </w:div>
    <w:div w:id="1576090891">
      <w:bodyDiv w:val="1"/>
      <w:marLeft w:val="0"/>
      <w:marRight w:val="0"/>
      <w:marTop w:val="0"/>
      <w:marBottom w:val="0"/>
      <w:divBdr>
        <w:top w:val="none" w:sz="0" w:space="0" w:color="auto"/>
        <w:left w:val="none" w:sz="0" w:space="0" w:color="auto"/>
        <w:bottom w:val="none" w:sz="0" w:space="0" w:color="auto"/>
        <w:right w:val="none" w:sz="0" w:space="0" w:color="auto"/>
      </w:divBdr>
    </w:div>
    <w:div w:id="1629385911">
      <w:bodyDiv w:val="1"/>
      <w:marLeft w:val="0"/>
      <w:marRight w:val="0"/>
      <w:marTop w:val="0"/>
      <w:marBottom w:val="0"/>
      <w:divBdr>
        <w:top w:val="none" w:sz="0" w:space="0" w:color="auto"/>
        <w:left w:val="none" w:sz="0" w:space="0" w:color="auto"/>
        <w:bottom w:val="none" w:sz="0" w:space="0" w:color="auto"/>
        <w:right w:val="none" w:sz="0" w:space="0" w:color="auto"/>
      </w:divBdr>
    </w:div>
    <w:div w:id="1640303910">
      <w:bodyDiv w:val="1"/>
      <w:marLeft w:val="0"/>
      <w:marRight w:val="0"/>
      <w:marTop w:val="0"/>
      <w:marBottom w:val="0"/>
      <w:divBdr>
        <w:top w:val="none" w:sz="0" w:space="0" w:color="auto"/>
        <w:left w:val="none" w:sz="0" w:space="0" w:color="auto"/>
        <w:bottom w:val="none" w:sz="0" w:space="0" w:color="auto"/>
        <w:right w:val="none" w:sz="0" w:space="0" w:color="auto"/>
      </w:divBdr>
    </w:div>
    <w:div w:id="1845589924">
      <w:bodyDiv w:val="1"/>
      <w:marLeft w:val="0"/>
      <w:marRight w:val="0"/>
      <w:marTop w:val="0"/>
      <w:marBottom w:val="0"/>
      <w:divBdr>
        <w:top w:val="none" w:sz="0" w:space="0" w:color="auto"/>
        <w:left w:val="none" w:sz="0" w:space="0" w:color="auto"/>
        <w:bottom w:val="none" w:sz="0" w:space="0" w:color="auto"/>
        <w:right w:val="none" w:sz="0" w:space="0" w:color="auto"/>
      </w:divBdr>
    </w:div>
    <w:div w:id="18806232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6261682">
      <w:bodyDiv w:val="1"/>
      <w:marLeft w:val="0"/>
      <w:marRight w:val="0"/>
      <w:marTop w:val="0"/>
      <w:marBottom w:val="0"/>
      <w:divBdr>
        <w:top w:val="none" w:sz="0" w:space="0" w:color="auto"/>
        <w:left w:val="none" w:sz="0" w:space="0" w:color="auto"/>
        <w:bottom w:val="none" w:sz="0" w:space="0" w:color="auto"/>
        <w:right w:val="none" w:sz="0" w:space="0" w:color="auto"/>
      </w:divBdr>
    </w:div>
    <w:div w:id="20581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0C533-339A-4366-B184-E298D792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397</TotalTime>
  <Pages>14</Pages>
  <Words>3278</Words>
  <Characters>16715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The labour share: aggregate perspective</vt:lpstr>
    </vt:vector>
  </TitlesOfParts>
  <Company>Productivity Commission</Company>
  <LinksUpToDate>false</LinksUpToDate>
  <CharactersWithSpaces>19954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labour share: aggregate perspective</dc:title>
  <dc:subject>Labour's share of growth in income and prosperity</dc:subject>
  <dc:creator>Productivity Commission</dc:creator>
  <dc:description>4.</dc:description>
  <cp:lastModifiedBy>Productivity Commission</cp:lastModifiedBy>
  <cp:revision>20</cp:revision>
  <cp:lastPrinted>2013-09-19T04:35:00Z</cp:lastPrinted>
  <dcterms:created xsi:type="dcterms:W3CDTF">2013-07-15T02:11:00Z</dcterms:created>
  <dcterms:modified xsi:type="dcterms:W3CDTF">2013-09-24T04:55:00Z</dcterms:modified>
</cp:coreProperties>
</file>