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E5264" w:rsidP="005E5264">
      <w:pPr>
        <w:pStyle w:val="Heading1"/>
        <w:spacing w:before="0"/>
      </w:pPr>
      <w:bookmarkStart w:id="0" w:name="ChapterNumber"/>
      <w:bookmarkStart w:id="1" w:name="_GoBack"/>
      <w:bookmarkEnd w:id="1"/>
      <w:r>
        <w:t>5</w:t>
      </w:r>
      <w:bookmarkEnd w:id="0"/>
      <w:r>
        <w:tab/>
      </w:r>
      <w:bookmarkStart w:id="2" w:name="ChapterTitle"/>
      <w:r>
        <w:t xml:space="preserve">The contribution of changes in industry structure </w:t>
      </w:r>
      <w:bookmarkEnd w:id="2"/>
    </w:p>
    <w:p w:rsidR="00FE226F" w:rsidRDefault="00FE226F" w:rsidP="0096286A">
      <w:pPr>
        <w:pStyle w:val="BodyText"/>
      </w:pPr>
      <w:r>
        <w:t xml:space="preserve">Chapter 2 </w:t>
      </w:r>
      <w:r w:rsidR="000E30CD">
        <w:t>pointed</w:t>
      </w:r>
      <w:r w:rsidR="006A47EE">
        <w:t xml:space="preserve"> to the mining boom</w:t>
      </w:r>
      <w:r>
        <w:t xml:space="preserve"> </w:t>
      </w:r>
      <w:r w:rsidR="000E30CD">
        <w:t xml:space="preserve">as being the main source of additional </w:t>
      </w:r>
      <w:r>
        <w:t xml:space="preserve">income </w:t>
      </w:r>
      <w:r w:rsidR="006A47EE">
        <w:t>growth</w:t>
      </w:r>
      <w:r>
        <w:t xml:space="preserve"> in the </w:t>
      </w:r>
      <w:proofErr w:type="spellStart"/>
      <w:r>
        <w:t>2000s</w:t>
      </w:r>
      <w:proofErr w:type="spellEnd"/>
      <w:r>
        <w:t xml:space="preserve">. The financial sector continued to be important, but the mining and construction sectors together accounted for two-thirds of the </w:t>
      </w:r>
      <w:r w:rsidRPr="000E30CD">
        <w:t>additional</w:t>
      </w:r>
      <w:r>
        <w:t xml:space="preserve"> growth in income</w:t>
      </w:r>
      <w:r w:rsidR="008B21F8">
        <w:t xml:space="preserve">, relative to the </w:t>
      </w:r>
      <w:proofErr w:type="spellStart"/>
      <w:r w:rsidR="008B21F8">
        <w:t>1990s</w:t>
      </w:r>
      <w:proofErr w:type="spellEnd"/>
      <w:r>
        <w:t>.</w:t>
      </w:r>
      <w:r w:rsidR="004B38A9">
        <w:t xml:space="preserve"> At the same time, the relative importance of the manufacturing sector as a source of output and income </w:t>
      </w:r>
      <w:r w:rsidR="00BD0F4F">
        <w:t>declined</w:t>
      </w:r>
      <w:r w:rsidR="004B38A9">
        <w:t>.</w:t>
      </w:r>
    </w:p>
    <w:p w:rsidR="004B38A9" w:rsidRDefault="00FE226F" w:rsidP="0096286A">
      <w:pPr>
        <w:pStyle w:val="BodyText"/>
      </w:pPr>
      <w:r>
        <w:t xml:space="preserve">Chapters 3 and 4 noted that the labour income share </w:t>
      </w:r>
      <w:r w:rsidR="000457C9">
        <w:t>(</w:t>
      </w:r>
      <w:proofErr w:type="spellStart"/>
      <w:r w:rsidR="000457C9">
        <w:t>LIS</w:t>
      </w:r>
      <w:proofErr w:type="spellEnd"/>
      <w:r w:rsidR="000457C9">
        <w:t xml:space="preserve">) </w:t>
      </w:r>
      <w:r>
        <w:t xml:space="preserve">declined </w:t>
      </w:r>
      <w:r w:rsidR="006A47EE">
        <w:t xml:space="preserve">in the </w:t>
      </w:r>
      <w:proofErr w:type="spellStart"/>
      <w:r w:rsidR="006A47EE">
        <w:t>2000s</w:t>
      </w:r>
      <w:proofErr w:type="spellEnd"/>
      <w:r w:rsidR="006A47EE">
        <w:t xml:space="preserve"> </w:t>
      </w:r>
      <w:r>
        <w:t xml:space="preserve">because there was more growth in capital income than </w:t>
      </w:r>
      <w:r w:rsidR="008B21F8">
        <w:t xml:space="preserve">in </w:t>
      </w:r>
      <w:r>
        <w:t xml:space="preserve">labour income. Chapter 4 went on to </w:t>
      </w:r>
      <w:r w:rsidR="004B38A9">
        <w:t xml:space="preserve">attribute the divergence between capital and </w:t>
      </w:r>
      <w:r w:rsidR="008B21F8">
        <w:t xml:space="preserve">labour </w:t>
      </w:r>
      <w:r w:rsidR="004B38A9">
        <w:t>income growth primarily to a quantity effect</w:t>
      </w:r>
      <w:r w:rsidR="008B21F8">
        <w:t xml:space="preserve"> </w:t>
      </w:r>
      <w:r w:rsidR="004B38A9">
        <w:t>—</w:t>
      </w:r>
      <w:r w:rsidR="008B21F8">
        <w:t xml:space="preserve"> </w:t>
      </w:r>
      <w:r w:rsidR="004B38A9">
        <w:t>that is, to an increase in capital intensity. Th</w:t>
      </w:r>
      <w:r w:rsidR="006A47EE">
        <w:t>at</w:t>
      </w:r>
      <w:r w:rsidR="004B38A9">
        <w:t xml:space="preserve"> chapter also explained the fall in the labour share as a failure of growth in the real product wage to keep pace with </w:t>
      </w:r>
      <w:r w:rsidR="000E30CD">
        <w:t xml:space="preserve">growth in </w:t>
      </w:r>
      <w:r w:rsidR="004B38A9">
        <w:t>labour productivity, primarily because of much stronger product price inflation.</w:t>
      </w:r>
    </w:p>
    <w:p w:rsidR="00512AD3" w:rsidRDefault="009E39E0" w:rsidP="00512AD3">
      <w:pPr>
        <w:pStyle w:val="BodyText"/>
      </w:pPr>
      <w:r>
        <w:t>T</w:t>
      </w:r>
      <w:r w:rsidR="00275222">
        <w:t>h</w:t>
      </w:r>
      <w:r w:rsidR="002335D7">
        <w:t xml:space="preserve">is </w:t>
      </w:r>
      <w:r w:rsidR="004B38A9">
        <w:t xml:space="preserve">and the next </w:t>
      </w:r>
      <w:r w:rsidR="002335D7">
        <w:t xml:space="preserve">chapter </w:t>
      </w:r>
      <w:r w:rsidR="004B38A9">
        <w:t xml:space="preserve">explore </w:t>
      </w:r>
      <w:r w:rsidR="006A47EE">
        <w:t xml:space="preserve">the role that </w:t>
      </w:r>
      <w:r w:rsidR="0080348A">
        <w:t xml:space="preserve">structural change </w:t>
      </w:r>
      <w:r w:rsidR="000E30CD">
        <w:t>ha</w:t>
      </w:r>
      <w:r w:rsidR="0080348A">
        <w:t>s</w:t>
      </w:r>
      <w:r w:rsidR="000E30CD">
        <w:t xml:space="preserve"> </w:t>
      </w:r>
      <w:r w:rsidR="006A47EE">
        <w:t>played in the</w:t>
      </w:r>
      <w:r w:rsidR="000E30CD">
        <w:t xml:space="preserve"> decline in the labour share</w:t>
      </w:r>
      <w:r w:rsidR="006A47EE">
        <w:t xml:space="preserve">. Whether industries </w:t>
      </w:r>
      <w:r w:rsidR="00512AD3">
        <w:t xml:space="preserve">associated with the mining boom — or other industries or other factors — played a </w:t>
      </w:r>
      <w:r w:rsidR="006A47EE">
        <w:t xml:space="preserve">key </w:t>
      </w:r>
      <w:r w:rsidR="00512AD3">
        <w:t xml:space="preserve">role </w:t>
      </w:r>
      <w:r w:rsidR="006A47EE">
        <w:t>is of particular interest.</w:t>
      </w:r>
      <w:r w:rsidR="00512AD3">
        <w:t xml:space="preserve"> This chapter looks at changes in the structure of industries and </w:t>
      </w:r>
      <w:r w:rsidR="006A47EE">
        <w:t xml:space="preserve">the </w:t>
      </w:r>
      <w:r w:rsidR="00512AD3">
        <w:t>industr</w:t>
      </w:r>
      <w:r w:rsidR="006A47EE">
        <w:t xml:space="preserve">y structure of </w:t>
      </w:r>
      <w:r w:rsidR="00512AD3">
        <w:t>labour and capital income. Industry contributions to the ‘quantity versus price’ and ‘productivity and costs’ explanations are considered in the next chapter.</w:t>
      </w:r>
    </w:p>
    <w:p w:rsidR="008B5B6E" w:rsidRDefault="008B5B6E" w:rsidP="0096286A">
      <w:pPr>
        <w:pStyle w:val="BodyText"/>
      </w:pPr>
      <w:r>
        <w:t xml:space="preserve">The </w:t>
      </w:r>
      <w:r w:rsidR="000E30CD">
        <w:t>importance of</w:t>
      </w:r>
      <w:r>
        <w:t xml:space="preserve"> the mining boom and structural change is not as obvious as it might </w:t>
      </w:r>
      <w:r w:rsidR="00DD4043">
        <w:t xml:space="preserve">at </w:t>
      </w:r>
      <w:r>
        <w:t xml:space="preserve">first seem. The ACTU (2013) study concluded that structural change only played a small part. It attributed the fall in the labour share primarily to widespread shifts </w:t>
      </w:r>
      <w:r w:rsidR="008B21F8">
        <w:t xml:space="preserve">in income </w:t>
      </w:r>
      <w:r>
        <w:t xml:space="preserve">away from labour within </w:t>
      </w:r>
      <w:r w:rsidR="000E30CD">
        <w:t xml:space="preserve">individual </w:t>
      </w:r>
      <w:r>
        <w:t>industries.</w:t>
      </w:r>
    </w:p>
    <w:p w:rsidR="000E30CD" w:rsidRDefault="000E30CD" w:rsidP="0096286A">
      <w:pPr>
        <w:pStyle w:val="BodyText"/>
      </w:pPr>
      <w:r>
        <w:t>To some extent, th</w:t>
      </w:r>
      <w:r w:rsidR="00025E68">
        <w:t xml:space="preserve">ere </w:t>
      </w:r>
      <w:r>
        <w:t>is a methodological issue</w:t>
      </w:r>
      <w:r w:rsidR="00025E68">
        <w:t xml:space="preserve"> tied up in this conclusion</w:t>
      </w:r>
      <w:r>
        <w:t xml:space="preserve">. The vehicle typically used </w:t>
      </w:r>
      <w:r w:rsidR="00025E68">
        <w:t xml:space="preserve">to compare structural change and within-industry effects </w:t>
      </w:r>
      <w:r>
        <w:t>— shift-share analysis — has some limitations in this context</w:t>
      </w:r>
      <w:r w:rsidR="00025E68">
        <w:t xml:space="preserve"> of factor income shares</w:t>
      </w:r>
      <w:r>
        <w:t>. An alternative method is put forward</w:t>
      </w:r>
      <w:r w:rsidR="0015045F">
        <w:t xml:space="preserve"> that leads to a different </w:t>
      </w:r>
      <w:r w:rsidR="00BD0F4F">
        <w:t>conclusion</w:t>
      </w:r>
      <w:r w:rsidR="0015045F">
        <w:t xml:space="preserve"> — one in which the mining boom </w:t>
      </w:r>
      <w:r w:rsidR="00DD4043">
        <w:t xml:space="preserve">essentially </w:t>
      </w:r>
      <w:r w:rsidR="0015045F">
        <w:t xml:space="preserve">explains </w:t>
      </w:r>
      <w:r w:rsidR="00DD4043">
        <w:t xml:space="preserve">all </w:t>
      </w:r>
      <w:r w:rsidR="0015045F">
        <w:t xml:space="preserve">of the change in </w:t>
      </w:r>
      <w:proofErr w:type="spellStart"/>
      <w:r w:rsidR="0015045F">
        <w:t>LIS</w:t>
      </w:r>
      <w:proofErr w:type="spellEnd"/>
      <w:r>
        <w:t>.</w:t>
      </w:r>
    </w:p>
    <w:p w:rsidR="00C40DCE" w:rsidRDefault="00C40DCE">
      <w:pPr>
        <w:rPr>
          <w:szCs w:val="20"/>
        </w:rPr>
      </w:pPr>
      <w:r>
        <w:br w:type="page"/>
      </w:r>
    </w:p>
    <w:p w:rsidR="0096286A" w:rsidRDefault="000457C9" w:rsidP="0096286A">
      <w:pPr>
        <w:pStyle w:val="BodyText"/>
      </w:pPr>
      <w:r>
        <w:lastRenderedPageBreak/>
        <w:t>In this</w:t>
      </w:r>
      <w:r w:rsidR="008B5B6E">
        <w:t xml:space="preserve"> chapter</w:t>
      </w:r>
      <w:r w:rsidR="0096286A">
        <w:t>:</w:t>
      </w:r>
    </w:p>
    <w:p w:rsidR="008B5B6E" w:rsidRDefault="000457C9" w:rsidP="0096286A">
      <w:pPr>
        <w:pStyle w:val="ListBullet"/>
      </w:pPr>
      <w:r>
        <w:t xml:space="preserve">section 5.1 outlines </w:t>
      </w:r>
      <w:r w:rsidR="008B5B6E">
        <w:t xml:space="preserve">the </w:t>
      </w:r>
      <w:r w:rsidR="005415A4">
        <w:t>changes in the industry structure of activity</w:t>
      </w:r>
      <w:r w:rsidR="008B5B6E">
        <w:t xml:space="preserve"> and changes in industry structure of </w:t>
      </w:r>
      <w:r w:rsidR="005415A4">
        <w:t xml:space="preserve">factor </w:t>
      </w:r>
      <w:r w:rsidR="008B5B6E">
        <w:t>incom</w:t>
      </w:r>
      <w:r>
        <w:t xml:space="preserve">es that took place in the </w:t>
      </w:r>
      <w:proofErr w:type="spellStart"/>
      <w:r>
        <w:t>2000s</w:t>
      </w:r>
      <w:proofErr w:type="spellEnd"/>
    </w:p>
    <w:p w:rsidR="00273123" w:rsidRDefault="000457C9" w:rsidP="00273123">
      <w:pPr>
        <w:pStyle w:val="ListBullet"/>
      </w:pPr>
      <w:r>
        <w:t xml:space="preserve">section 5.2 reports </w:t>
      </w:r>
      <w:r w:rsidR="00273123">
        <w:t xml:space="preserve">the relative contributions of changes in industry mix and changes within industries </w:t>
      </w:r>
      <w:r w:rsidR="005415A4">
        <w:t>in explaining the fall in the labour income share</w:t>
      </w:r>
      <w:r w:rsidR="00364F7C">
        <w:t>, using shift-share analysis</w:t>
      </w:r>
      <w:r w:rsidR="00273123">
        <w:t xml:space="preserve"> </w:t>
      </w:r>
    </w:p>
    <w:p w:rsidR="00CC3458" w:rsidRDefault="000457C9" w:rsidP="0096286A">
      <w:pPr>
        <w:pStyle w:val="ListBullet"/>
      </w:pPr>
      <w:r>
        <w:t>section 5.3 identifies the</w:t>
      </w:r>
      <w:r w:rsidR="0096286A">
        <w:t xml:space="preserve"> industries </w:t>
      </w:r>
      <w:r w:rsidR="00B149C7">
        <w:t xml:space="preserve">that </w:t>
      </w:r>
      <w:r w:rsidR="0096286A">
        <w:t xml:space="preserve">contributed to the </w:t>
      </w:r>
      <w:r w:rsidR="00364F7C">
        <w:t xml:space="preserve">disparity in </w:t>
      </w:r>
      <w:r w:rsidR="0096286A">
        <w:t xml:space="preserve">growth in </w:t>
      </w:r>
      <w:r w:rsidR="005415A4">
        <w:t>factor</w:t>
      </w:r>
      <w:r w:rsidR="0096286A">
        <w:t xml:space="preserve"> income</w:t>
      </w:r>
      <w:r w:rsidR="005415A4">
        <w:t>s</w:t>
      </w:r>
      <w:r w:rsidR="0096286A">
        <w:t xml:space="preserve"> </w:t>
      </w:r>
      <w:r w:rsidR="006E5188">
        <w:t>at the market sector level</w:t>
      </w:r>
      <w:r>
        <w:t>.</w:t>
      </w:r>
    </w:p>
    <w:p w:rsidR="00236ABF" w:rsidRDefault="00236ABF" w:rsidP="00236ABF">
      <w:pPr>
        <w:pStyle w:val="BodyText"/>
      </w:pPr>
      <w:r>
        <w:t xml:space="preserve">Section </w:t>
      </w:r>
      <w:r w:rsidR="00B149C7">
        <w:t>5.</w:t>
      </w:r>
      <w:r w:rsidR="006E5188">
        <w:t>4</w:t>
      </w:r>
      <w:r>
        <w:t xml:space="preserve"> provides a</w:t>
      </w:r>
      <w:r w:rsidR="006E5188">
        <w:t>n assessment of the role of structural change and the mining boom and section 5.5 provides the key point</w:t>
      </w:r>
      <w:r>
        <w:t xml:space="preserve"> summary. </w:t>
      </w:r>
    </w:p>
    <w:bookmarkStart w:id="3" w:name="begin"/>
    <w:bookmarkEnd w:id="3"/>
    <w:p w:rsidR="00F94B77" w:rsidRDefault="00A60453" w:rsidP="002802B2">
      <w:pPr>
        <w:pStyle w:val="Heading2"/>
      </w:pPr>
      <w:r>
        <w:fldChar w:fldCharType="begin"/>
      </w:r>
      <w:r>
        <w:instrText xml:space="preserve"> COMMENTS  \* MERGEFORMAT </w:instrText>
      </w:r>
      <w:r>
        <w:fldChar w:fldCharType="separate"/>
      </w:r>
      <w:r w:rsidR="005E5264">
        <w:t>5.</w:t>
      </w:r>
      <w:r>
        <w:fldChar w:fldCharType="end"/>
      </w:r>
      <w:fldSimple w:instr=" SEQ Heading2 ">
        <w:r w:rsidR="00F92682">
          <w:rPr>
            <w:noProof/>
          </w:rPr>
          <w:t>1</w:t>
        </w:r>
      </w:fldSimple>
      <w:r>
        <w:tab/>
      </w:r>
      <w:r w:rsidR="00F94B77">
        <w:t>Industry sources of factor</w:t>
      </w:r>
      <w:r w:rsidR="00F94B77" w:rsidRPr="00CF71A2">
        <w:t xml:space="preserve"> </w:t>
      </w:r>
      <w:r w:rsidR="00F94B77">
        <w:t>income growth</w:t>
      </w:r>
    </w:p>
    <w:p w:rsidR="00CE1428" w:rsidRDefault="00273123" w:rsidP="005B6390">
      <w:pPr>
        <w:pStyle w:val="BodyText"/>
      </w:pPr>
      <w:r>
        <w:t>Chapter 2 identified the</w:t>
      </w:r>
      <w:r w:rsidR="00CE1428">
        <w:t xml:space="preserve"> large and rapid redistributions of </w:t>
      </w:r>
      <w:r>
        <w:t>output and</w:t>
      </w:r>
      <w:r w:rsidR="00CE1428">
        <w:t xml:space="preserve"> incomes</w:t>
      </w:r>
      <w:r>
        <w:t xml:space="preserve"> across industries that</w:t>
      </w:r>
      <w:r w:rsidR="00CE1428">
        <w:t xml:space="preserve"> </w:t>
      </w:r>
      <w:r>
        <w:t xml:space="preserve">took place </w:t>
      </w:r>
      <w:r w:rsidR="00CE1428">
        <w:t xml:space="preserve">in the </w:t>
      </w:r>
      <w:proofErr w:type="spellStart"/>
      <w:r w:rsidR="00CE1428">
        <w:t>2000s</w:t>
      </w:r>
      <w:proofErr w:type="spellEnd"/>
      <w:r w:rsidR="00CE1428">
        <w:t>.</w:t>
      </w:r>
      <w:r>
        <w:t xml:space="preserve"> </w:t>
      </w:r>
    </w:p>
    <w:p w:rsidR="00273123" w:rsidRDefault="00273123" w:rsidP="005B6390">
      <w:pPr>
        <w:pStyle w:val="BodyText"/>
      </w:pPr>
      <w:r>
        <w:t xml:space="preserve">As will now be shown, those redistributions also brought large and rapid </w:t>
      </w:r>
      <w:r w:rsidR="0015045F">
        <w:t xml:space="preserve">changes in the </w:t>
      </w:r>
      <w:r>
        <w:t>distributions of factor incomes.</w:t>
      </w:r>
    </w:p>
    <w:p w:rsidR="00577B74" w:rsidRDefault="005B6390" w:rsidP="00B63DC1">
      <w:pPr>
        <w:pStyle w:val="Heading3"/>
      </w:pPr>
      <w:r>
        <w:t>Labour income</w:t>
      </w:r>
    </w:p>
    <w:p w:rsidR="00CE1428" w:rsidRDefault="00F1595A" w:rsidP="00CE1428">
      <w:pPr>
        <w:pStyle w:val="BodyText"/>
      </w:pPr>
      <w:r>
        <w:t>L</w:t>
      </w:r>
      <w:r w:rsidR="00CE1428">
        <w:t>abour income</w:t>
      </w:r>
      <w:r>
        <w:t xml:space="preserve"> </w:t>
      </w:r>
      <w:r w:rsidR="00273123">
        <w:t>with</w:t>
      </w:r>
      <w:r>
        <w:t>in industries grew in a range</w:t>
      </w:r>
      <w:r w:rsidR="00CE1428">
        <w:t xml:space="preserve"> </w:t>
      </w:r>
      <w:r w:rsidR="00025E68">
        <w:t>of</w:t>
      </w:r>
      <w:r w:rsidR="00CE1428">
        <w:t xml:space="preserve"> 1 per cent a year </w:t>
      </w:r>
      <w:r w:rsidR="00983DDE">
        <w:t xml:space="preserve">(Agriculture) </w:t>
      </w:r>
      <w:r w:rsidR="00CE1428">
        <w:t>to 10</w:t>
      </w:r>
      <w:r w:rsidR="00B63DC1">
        <w:t>.4</w:t>
      </w:r>
      <w:r w:rsidR="00CE1428">
        <w:t xml:space="preserve"> per cent a year</w:t>
      </w:r>
      <w:r w:rsidR="00983DDE">
        <w:t xml:space="preserve"> (Mining)</w:t>
      </w:r>
      <w:r w:rsidR="00020DB3">
        <w:t xml:space="preserve">, around a </w:t>
      </w:r>
      <w:r w:rsidR="00F97CB6">
        <w:t>market sector</w:t>
      </w:r>
      <w:r w:rsidR="00020DB3">
        <w:t xml:space="preserve"> average of 5.8 per cent a year</w:t>
      </w:r>
      <w:r w:rsidR="00523979">
        <w:t xml:space="preserve"> (table </w:t>
      </w:r>
      <w:r w:rsidR="002A7650">
        <w:t>5.1</w:t>
      </w:r>
      <w:r w:rsidR="00523979">
        <w:t>)</w:t>
      </w:r>
      <w:r w:rsidR="00CE1428">
        <w:t>.</w:t>
      </w:r>
    </w:p>
    <w:p w:rsidR="00CE1428" w:rsidRDefault="00B17BE4" w:rsidP="00CE1428">
      <w:pPr>
        <w:pStyle w:val="BodyText"/>
      </w:pPr>
      <w:r>
        <w:t xml:space="preserve">Even with </w:t>
      </w:r>
      <w:r w:rsidR="00983DDE">
        <w:t>10</w:t>
      </w:r>
      <w:r w:rsidR="00B63DC1">
        <w:t>.4</w:t>
      </w:r>
      <w:r w:rsidR="00983DDE">
        <w:t xml:space="preserve"> per cent a year growth</w:t>
      </w:r>
      <w:r>
        <w:t>,</w:t>
      </w:r>
      <w:r w:rsidR="00983DDE">
        <w:t xml:space="preserve"> </w:t>
      </w:r>
      <w:r w:rsidR="00523979">
        <w:t>Mining remained a relatively small source of labour income in the market sector. It accounted for less than 5 per cent of labour income in 2009-10</w:t>
      </w:r>
      <w:r w:rsidR="00025E68">
        <w:t xml:space="preserve"> (table 5.1)</w:t>
      </w:r>
      <w:r w:rsidR="00523979">
        <w:t>.</w:t>
      </w:r>
    </w:p>
    <w:p w:rsidR="00B63DC1" w:rsidRDefault="002A7650" w:rsidP="00CE1428">
      <w:pPr>
        <w:pStyle w:val="BodyText"/>
      </w:pPr>
      <w:r>
        <w:t>C</w:t>
      </w:r>
      <w:r w:rsidR="00523979">
        <w:t>onstruction</w:t>
      </w:r>
      <w:r w:rsidR="00B63DC1">
        <w:t xml:space="preserve">’s 7.8 per cent a year growth made </w:t>
      </w:r>
      <w:r>
        <w:t>the industry</w:t>
      </w:r>
      <w:r w:rsidR="00523979">
        <w:t xml:space="preserve"> the largest source of labour income in the m</w:t>
      </w:r>
      <w:r w:rsidR="009172D0">
        <w:t>arket sector (over 15 per cent)</w:t>
      </w:r>
      <w:r w:rsidR="00273123">
        <w:t xml:space="preserve"> by the end of the decade</w:t>
      </w:r>
      <w:r w:rsidR="00020DB3">
        <w:t>.</w:t>
      </w:r>
      <w:r w:rsidR="00523979">
        <w:t xml:space="preserve"> </w:t>
      </w:r>
    </w:p>
    <w:p w:rsidR="0075504B" w:rsidRDefault="0075504B" w:rsidP="00CE1428">
      <w:pPr>
        <w:pStyle w:val="BodyText"/>
      </w:pPr>
      <w:r>
        <w:t xml:space="preserve">Manufacturing lost the most share of </w:t>
      </w:r>
      <w:r w:rsidR="00F97CB6">
        <w:t>market sector</w:t>
      </w:r>
      <w:r>
        <w:t xml:space="preserve"> labour income. </w:t>
      </w:r>
      <w:r w:rsidR="00B17BE4">
        <w:t xml:space="preserve">Because its growth was </w:t>
      </w:r>
      <w:r>
        <w:t>weak</w:t>
      </w:r>
      <w:r w:rsidR="00F1595A">
        <w:t xml:space="preserve"> relative to other industries</w:t>
      </w:r>
      <w:r w:rsidR="00B17BE4">
        <w:t>,</w:t>
      </w:r>
      <w:r>
        <w:t xml:space="preserve"> </w:t>
      </w:r>
      <w:r w:rsidR="000F78A8">
        <w:t>its share fell 4 percentage points</w:t>
      </w:r>
      <w:r w:rsidR="005415A4" w:rsidRPr="005415A4">
        <w:t xml:space="preserve"> </w:t>
      </w:r>
      <w:r w:rsidR="005415A4">
        <w:t>over the decade</w:t>
      </w:r>
      <w:r w:rsidR="000F78A8">
        <w:t xml:space="preserve">. </w:t>
      </w:r>
      <w:r w:rsidR="005415A4">
        <w:t xml:space="preserve">In the process, </w:t>
      </w:r>
      <w:r>
        <w:t>Manufacturing</w:t>
      </w:r>
      <w:r w:rsidR="00B63DC1">
        <w:t xml:space="preserve"> lost its position as the prime source of labour income </w:t>
      </w:r>
      <w:r w:rsidR="00B17BE4">
        <w:t>in the market sector</w:t>
      </w:r>
      <w:r>
        <w:t>.</w:t>
      </w:r>
    </w:p>
    <w:p w:rsidR="00B63DC1" w:rsidRDefault="00B63DC1" w:rsidP="00CE1428">
      <w:pPr>
        <w:pStyle w:val="BodyText"/>
      </w:pPr>
      <w:r>
        <w:lastRenderedPageBreak/>
        <w:t>Growth in labour income was also relatively strong in Financial and insurance services (Financ</w:t>
      </w:r>
      <w:r w:rsidR="000F78A8">
        <w:t>e</w:t>
      </w:r>
      <w:r>
        <w:t>) and Electricity, gas, water and waste services</w:t>
      </w:r>
      <w:r w:rsidR="0015045F">
        <w:t xml:space="preserve"> (Utilities</w:t>
      </w:r>
      <w:r>
        <w:t>). Financ</w:t>
      </w:r>
      <w:r w:rsidR="005415A4">
        <w:t>e</w:t>
      </w:r>
      <w:r>
        <w:t xml:space="preserve"> increased its share to third place, behind Construction and Manufacturing.</w:t>
      </w:r>
    </w:p>
    <w:p w:rsidR="009A1F3F" w:rsidRDefault="009A1F3F">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5E5264">
        <w:rPr>
          <w:b w:val="0"/>
        </w:rPr>
        <w:t>5.</w:t>
      </w:r>
      <w:r>
        <w:rPr>
          <w:b w:val="0"/>
        </w:rPr>
        <w:fldChar w:fldCharType="end"/>
      </w:r>
      <w:r>
        <w:rPr>
          <w:b w:val="0"/>
        </w:rPr>
        <w:fldChar w:fldCharType="begin"/>
      </w:r>
      <w:r>
        <w:rPr>
          <w:b w:val="0"/>
        </w:rPr>
        <w:instrText xml:space="preserve"> SEQ Table \* ARABIC </w:instrText>
      </w:r>
      <w:r>
        <w:rPr>
          <w:b w:val="0"/>
        </w:rPr>
        <w:fldChar w:fldCharType="separate"/>
      </w:r>
      <w:r w:rsidR="00F92682">
        <w:rPr>
          <w:b w:val="0"/>
          <w:noProof/>
        </w:rPr>
        <w:t>1</w:t>
      </w:r>
      <w:r>
        <w:rPr>
          <w:b w:val="0"/>
        </w:rPr>
        <w:fldChar w:fldCharType="end"/>
      </w:r>
      <w:r>
        <w:tab/>
      </w:r>
      <w:r w:rsidRPr="00B63DC1">
        <w:t>Growth in labour income by industry and industry shares in market sector labour income</w:t>
      </w:r>
    </w:p>
    <w:p w:rsidR="009A1F3F" w:rsidRDefault="009A1F3F">
      <w:pPr>
        <w:pStyle w:val="Subtitle"/>
      </w:pPr>
      <w:r>
        <w:t xml:space="preserve">per cent per year </w:t>
      </w:r>
    </w:p>
    <w:tbl>
      <w:tblPr>
        <w:tblW w:w="8897" w:type="dxa"/>
        <w:tblLayout w:type="fixed"/>
        <w:tblCellMar>
          <w:left w:w="0" w:type="dxa"/>
          <w:right w:w="0" w:type="dxa"/>
        </w:tblCellMar>
        <w:tblLook w:val="0000" w:firstRow="0" w:lastRow="0" w:firstColumn="0" w:lastColumn="0" w:noHBand="0" w:noVBand="0"/>
      </w:tblPr>
      <w:tblGrid>
        <w:gridCol w:w="1843"/>
        <w:gridCol w:w="851"/>
        <w:gridCol w:w="850"/>
        <w:gridCol w:w="1276"/>
        <w:gridCol w:w="283"/>
        <w:gridCol w:w="993"/>
        <w:gridCol w:w="1134"/>
        <w:gridCol w:w="1667"/>
      </w:tblGrid>
      <w:tr w:rsidR="009A1F3F" w:rsidRPr="009A1F3F" w:rsidTr="006351AB">
        <w:tc>
          <w:tcPr>
            <w:tcW w:w="1843" w:type="dxa"/>
            <w:tcBorders>
              <w:top w:val="single" w:sz="6" w:space="0" w:color="auto"/>
            </w:tcBorders>
            <w:shd w:val="clear" w:color="auto" w:fill="auto"/>
          </w:tcPr>
          <w:p w:rsidR="009A1F3F" w:rsidRPr="009A1F3F" w:rsidRDefault="009A1F3F" w:rsidP="009A1F3F">
            <w:pPr>
              <w:pStyle w:val="TableColumnHeading"/>
            </w:pPr>
          </w:p>
        </w:tc>
        <w:tc>
          <w:tcPr>
            <w:tcW w:w="2977" w:type="dxa"/>
            <w:gridSpan w:val="3"/>
            <w:tcBorders>
              <w:top w:val="single" w:sz="6" w:space="0" w:color="auto"/>
              <w:bottom w:val="single" w:sz="6" w:space="0" w:color="auto"/>
            </w:tcBorders>
            <w:shd w:val="clear" w:color="auto" w:fill="auto"/>
            <w:vAlign w:val="bottom"/>
          </w:tcPr>
          <w:p w:rsidR="009A1F3F" w:rsidRPr="009A1F3F" w:rsidRDefault="009A1F3F" w:rsidP="009A1F3F">
            <w:pPr>
              <w:pStyle w:val="TableColumnHeading"/>
              <w:jc w:val="center"/>
            </w:pPr>
            <w:r w:rsidRPr="009A1F3F">
              <w:t>Growth rate</w:t>
            </w:r>
          </w:p>
        </w:tc>
        <w:tc>
          <w:tcPr>
            <w:tcW w:w="283" w:type="dxa"/>
            <w:tcBorders>
              <w:top w:val="single" w:sz="6" w:space="0" w:color="auto"/>
            </w:tcBorders>
          </w:tcPr>
          <w:p w:rsidR="009A1F3F" w:rsidRPr="009A1F3F" w:rsidRDefault="009A1F3F" w:rsidP="009A1F3F">
            <w:pPr>
              <w:pStyle w:val="TableColumnHeading"/>
              <w:jc w:val="center"/>
            </w:pPr>
          </w:p>
        </w:tc>
        <w:tc>
          <w:tcPr>
            <w:tcW w:w="3794" w:type="dxa"/>
            <w:gridSpan w:val="3"/>
            <w:tcBorders>
              <w:top w:val="single" w:sz="6" w:space="0" w:color="auto"/>
              <w:bottom w:val="single" w:sz="6" w:space="0" w:color="auto"/>
            </w:tcBorders>
            <w:vAlign w:val="bottom"/>
          </w:tcPr>
          <w:p w:rsidR="009A1F3F" w:rsidRPr="009A1F3F" w:rsidRDefault="009A1F3F" w:rsidP="009A1F3F">
            <w:pPr>
              <w:pStyle w:val="TableColumnHeading"/>
              <w:jc w:val="center"/>
            </w:pPr>
            <w:r w:rsidRPr="009A1F3F">
              <w:t>Industry shares</w:t>
            </w:r>
          </w:p>
        </w:tc>
      </w:tr>
      <w:tr w:rsidR="009A1F3F" w:rsidRPr="009A1F3F" w:rsidTr="006351AB">
        <w:tc>
          <w:tcPr>
            <w:tcW w:w="1843" w:type="dxa"/>
            <w:tcBorders>
              <w:bottom w:val="single" w:sz="6" w:space="0" w:color="auto"/>
            </w:tcBorders>
            <w:shd w:val="clear" w:color="auto" w:fill="auto"/>
          </w:tcPr>
          <w:p w:rsidR="009A1F3F" w:rsidRPr="009A1F3F" w:rsidRDefault="009A1F3F" w:rsidP="009A1F3F">
            <w:pPr>
              <w:pStyle w:val="TableColumnHeading"/>
            </w:pPr>
          </w:p>
        </w:tc>
        <w:tc>
          <w:tcPr>
            <w:tcW w:w="851" w:type="dxa"/>
            <w:tcBorders>
              <w:top w:val="single" w:sz="6" w:space="0" w:color="auto"/>
              <w:bottom w:val="single" w:sz="6" w:space="0" w:color="auto"/>
            </w:tcBorders>
            <w:shd w:val="clear" w:color="auto" w:fill="auto"/>
            <w:vAlign w:val="bottom"/>
          </w:tcPr>
          <w:p w:rsidR="009A1F3F" w:rsidRPr="009A1F3F" w:rsidRDefault="009A1F3F" w:rsidP="009A1F3F">
            <w:pPr>
              <w:pStyle w:val="TableColumnHeading"/>
            </w:pPr>
            <w:proofErr w:type="spellStart"/>
            <w:r w:rsidRPr="009A1F3F">
              <w:t>1990s</w:t>
            </w:r>
            <w:proofErr w:type="spellEnd"/>
          </w:p>
        </w:tc>
        <w:tc>
          <w:tcPr>
            <w:tcW w:w="850" w:type="dxa"/>
            <w:tcBorders>
              <w:top w:val="single" w:sz="6" w:space="0" w:color="auto"/>
              <w:bottom w:val="single" w:sz="6" w:space="0" w:color="auto"/>
            </w:tcBorders>
            <w:vAlign w:val="bottom"/>
          </w:tcPr>
          <w:p w:rsidR="009A1F3F" w:rsidRPr="009A1F3F" w:rsidRDefault="009A1F3F" w:rsidP="009A1F3F">
            <w:pPr>
              <w:pStyle w:val="TableColumnHeading"/>
            </w:pPr>
            <w:proofErr w:type="spellStart"/>
            <w:r w:rsidRPr="009A1F3F">
              <w:t>2000s</w:t>
            </w:r>
            <w:proofErr w:type="spellEnd"/>
          </w:p>
        </w:tc>
        <w:tc>
          <w:tcPr>
            <w:tcW w:w="1276" w:type="dxa"/>
            <w:tcBorders>
              <w:top w:val="single" w:sz="6" w:space="0" w:color="auto"/>
              <w:bottom w:val="single" w:sz="6" w:space="0" w:color="auto"/>
            </w:tcBorders>
            <w:vAlign w:val="bottom"/>
          </w:tcPr>
          <w:p w:rsidR="009A1F3F" w:rsidRPr="009A1F3F" w:rsidRDefault="00E434EB" w:rsidP="009A1F3F">
            <w:pPr>
              <w:pStyle w:val="TableColumnHeading"/>
            </w:pPr>
            <w:r>
              <w:t xml:space="preserve">Percentage point </w:t>
            </w:r>
            <w:r w:rsidR="009A1F3F" w:rsidRPr="009A1F3F">
              <w:t>change</w:t>
            </w:r>
          </w:p>
        </w:tc>
        <w:tc>
          <w:tcPr>
            <w:tcW w:w="283" w:type="dxa"/>
            <w:tcBorders>
              <w:bottom w:val="single" w:sz="6" w:space="0" w:color="auto"/>
            </w:tcBorders>
          </w:tcPr>
          <w:p w:rsidR="009A1F3F" w:rsidRPr="009A1F3F" w:rsidRDefault="009A1F3F" w:rsidP="009A1F3F">
            <w:pPr>
              <w:pStyle w:val="TableColumnHeading"/>
            </w:pPr>
          </w:p>
        </w:tc>
        <w:tc>
          <w:tcPr>
            <w:tcW w:w="993" w:type="dxa"/>
            <w:tcBorders>
              <w:top w:val="single" w:sz="6" w:space="0" w:color="auto"/>
              <w:bottom w:val="single" w:sz="6" w:space="0" w:color="auto"/>
            </w:tcBorders>
            <w:vAlign w:val="bottom"/>
          </w:tcPr>
          <w:p w:rsidR="009A1F3F" w:rsidRPr="009A1F3F" w:rsidRDefault="009A1F3F" w:rsidP="009A1F3F">
            <w:pPr>
              <w:pStyle w:val="TableColumnHeading"/>
            </w:pPr>
            <w:r w:rsidRPr="009A1F3F">
              <w:t>1999-00</w:t>
            </w:r>
          </w:p>
        </w:tc>
        <w:tc>
          <w:tcPr>
            <w:tcW w:w="1134" w:type="dxa"/>
            <w:tcBorders>
              <w:top w:val="single" w:sz="6" w:space="0" w:color="auto"/>
              <w:bottom w:val="single" w:sz="6" w:space="0" w:color="auto"/>
            </w:tcBorders>
            <w:vAlign w:val="bottom"/>
          </w:tcPr>
          <w:p w:rsidR="009A1F3F" w:rsidRPr="009A1F3F" w:rsidRDefault="009A1F3F" w:rsidP="009A1F3F">
            <w:pPr>
              <w:pStyle w:val="TableColumnHeading"/>
            </w:pPr>
            <w:r w:rsidRPr="009A1F3F">
              <w:t>2009-10</w:t>
            </w:r>
          </w:p>
        </w:tc>
        <w:tc>
          <w:tcPr>
            <w:tcW w:w="1667" w:type="dxa"/>
            <w:tcBorders>
              <w:top w:val="single" w:sz="6" w:space="0" w:color="auto"/>
              <w:bottom w:val="single" w:sz="6" w:space="0" w:color="auto"/>
            </w:tcBorders>
            <w:shd w:val="clear" w:color="auto" w:fill="auto"/>
            <w:vAlign w:val="bottom"/>
          </w:tcPr>
          <w:p w:rsidR="009A1F3F" w:rsidRPr="009A1F3F" w:rsidRDefault="00E434EB" w:rsidP="009A1F3F">
            <w:pPr>
              <w:pStyle w:val="TableColumnHeading"/>
            </w:pPr>
            <w:r>
              <w:t xml:space="preserve">Percentage point </w:t>
            </w:r>
            <w:r w:rsidR="009A1F3F" w:rsidRPr="009A1F3F">
              <w:t>change</w:t>
            </w:r>
          </w:p>
        </w:tc>
      </w:tr>
      <w:tr w:rsidR="009A1F3F" w:rsidTr="006351AB">
        <w:tc>
          <w:tcPr>
            <w:tcW w:w="1843" w:type="dxa"/>
            <w:vAlign w:val="bottom"/>
          </w:tcPr>
          <w:p w:rsidR="009A1F3F" w:rsidRPr="00577B74" w:rsidRDefault="009A1F3F" w:rsidP="000457C9">
            <w:pPr>
              <w:pStyle w:val="TableBodyText"/>
              <w:spacing w:before="120"/>
              <w:jc w:val="left"/>
            </w:pPr>
            <w:r w:rsidRPr="00577B74">
              <w:t>Agriculture</w:t>
            </w:r>
          </w:p>
        </w:tc>
        <w:tc>
          <w:tcPr>
            <w:tcW w:w="851" w:type="dxa"/>
            <w:vAlign w:val="bottom"/>
          </w:tcPr>
          <w:p w:rsidR="009A1F3F" w:rsidRPr="00577B74" w:rsidRDefault="009A1F3F" w:rsidP="000457C9">
            <w:pPr>
              <w:pStyle w:val="TableBodyText"/>
              <w:spacing w:before="120"/>
            </w:pPr>
            <w:r w:rsidRPr="00577B74">
              <w:t>4.0</w:t>
            </w:r>
          </w:p>
        </w:tc>
        <w:tc>
          <w:tcPr>
            <w:tcW w:w="850" w:type="dxa"/>
            <w:vAlign w:val="bottom"/>
          </w:tcPr>
          <w:p w:rsidR="009A1F3F" w:rsidRPr="00577B74" w:rsidRDefault="009A1F3F" w:rsidP="000457C9">
            <w:pPr>
              <w:pStyle w:val="TableBodyText"/>
              <w:spacing w:before="120"/>
            </w:pPr>
            <w:r w:rsidRPr="00577B74">
              <w:t>1.0</w:t>
            </w:r>
          </w:p>
        </w:tc>
        <w:tc>
          <w:tcPr>
            <w:tcW w:w="1276" w:type="dxa"/>
            <w:vAlign w:val="bottom"/>
          </w:tcPr>
          <w:p w:rsidR="009A1F3F" w:rsidRPr="00577B74" w:rsidRDefault="009A1F3F" w:rsidP="000457C9">
            <w:pPr>
              <w:pStyle w:val="TableBodyText"/>
              <w:spacing w:before="120"/>
            </w:pPr>
            <w:r w:rsidRPr="00577B74">
              <w:t>-3.0</w:t>
            </w:r>
          </w:p>
        </w:tc>
        <w:tc>
          <w:tcPr>
            <w:tcW w:w="283" w:type="dxa"/>
          </w:tcPr>
          <w:p w:rsidR="009A1F3F" w:rsidRDefault="009A1F3F" w:rsidP="000457C9">
            <w:pPr>
              <w:pStyle w:val="TableBodyText"/>
              <w:spacing w:before="120"/>
            </w:pPr>
          </w:p>
        </w:tc>
        <w:tc>
          <w:tcPr>
            <w:tcW w:w="993" w:type="dxa"/>
            <w:vAlign w:val="bottom"/>
          </w:tcPr>
          <w:p w:rsidR="009A1F3F" w:rsidRPr="00577B74" w:rsidRDefault="009A1F3F" w:rsidP="000457C9">
            <w:pPr>
              <w:pStyle w:val="TableBodyText"/>
              <w:spacing w:before="120"/>
            </w:pPr>
            <w:r w:rsidRPr="00577B74">
              <w:t>3.9</w:t>
            </w:r>
          </w:p>
        </w:tc>
        <w:tc>
          <w:tcPr>
            <w:tcW w:w="1134" w:type="dxa"/>
            <w:vAlign w:val="bottom"/>
          </w:tcPr>
          <w:p w:rsidR="009A1F3F" w:rsidRPr="00577B74" w:rsidRDefault="009A1F3F" w:rsidP="000457C9">
            <w:pPr>
              <w:pStyle w:val="TableBodyText"/>
              <w:spacing w:before="120"/>
            </w:pPr>
            <w:r w:rsidRPr="00577B74">
              <w:t>2.4</w:t>
            </w:r>
          </w:p>
        </w:tc>
        <w:tc>
          <w:tcPr>
            <w:tcW w:w="1667" w:type="dxa"/>
            <w:vAlign w:val="bottom"/>
          </w:tcPr>
          <w:p w:rsidR="009A1F3F" w:rsidRPr="00577B74" w:rsidRDefault="009A1F3F" w:rsidP="000457C9">
            <w:pPr>
              <w:pStyle w:val="TableBodyText"/>
              <w:spacing w:before="120"/>
            </w:pPr>
            <w:r w:rsidRPr="00577B74">
              <w:t>-1.5</w:t>
            </w:r>
          </w:p>
        </w:tc>
      </w:tr>
      <w:tr w:rsidR="009A1F3F" w:rsidTr="006351AB">
        <w:tc>
          <w:tcPr>
            <w:tcW w:w="1843" w:type="dxa"/>
            <w:vAlign w:val="bottom"/>
          </w:tcPr>
          <w:p w:rsidR="009A1F3F" w:rsidRPr="00577B74" w:rsidRDefault="009A1F3F" w:rsidP="009A1F3F">
            <w:pPr>
              <w:pStyle w:val="TableBodyText"/>
              <w:jc w:val="left"/>
            </w:pPr>
            <w:r w:rsidRPr="00577B74">
              <w:t>Mining</w:t>
            </w:r>
          </w:p>
        </w:tc>
        <w:tc>
          <w:tcPr>
            <w:tcW w:w="851" w:type="dxa"/>
            <w:vAlign w:val="bottom"/>
          </w:tcPr>
          <w:p w:rsidR="009A1F3F" w:rsidRPr="00577B74" w:rsidRDefault="009A1F3F" w:rsidP="009A1F3F">
            <w:pPr>
              <w:pStyle w:val="TableBodyText"/>
            </w:pPr>
            <w:r w:rsidRPr="00577B74">
              <w:t>1.6</w:t>
            </w:r>
          </w:p>
        </w:tc>
        <w:tc>
          <w:tcPr>
            <w:tcW w:w="850" w:type="dxa"/>
            <w:vAlign w:val="bottom"/>
          </w:tcPr>
          <w:p w:rsidR="009A1F3F" w:rsidRPr="00577B74" w:rsidRDefault="009A1F3F" w:rsidP="009A1F3F">
            <w:pPr>
              <w:pStyle w:val="TableBodyText"/>
            </w:pPr>
            <w:r w:rsidRPr="00577B74">
              <w:t>10.4</w:t>
            </w:r>
          </w:p>
        </w:tc>
        <w:tc>
          <w:tcPr>
            <w:tcW w:w="1276" w:type="dxa"/>
            <w:vAlign w:val="bottom"/>
          </w:tcPr>
          <w:p w:rsidR="009A1F3F" w:rsidRPr="00577B74" w:rsidRDefault="009A1F3F" w:rsidP="009A1F3F">
            <w:pPr>
              <w:pStyle w:val="TableBodyText"/>
            </w:pPr>
            <w:r w:rsidRPr="00577B74">
              <w:t>8.8</w:t>
            </w:r>
          </w:p>
        </w:tc>
        <w:tc>
          <w:tcPr>
            <w:tcW w:w="283" w:type="dxa"/>
          </w:tcPr>
          <w:p w:rsidR="009A1F3F" w:rsidRDefault="009A1F3F" w:rsidP="009A1F3F">
            <w:pPr>
              <w:pStyle w:val="TableBodyText"/>
            </w:pPr>
          </w:p>
        </w:tc>
        <w:tc>
          <w:tcPr>
            <w:tcW w:w="993" w:type="dxa"/>
            <w:vAlign w:val="bottom"/>
          </w:tcPr>
          <w:p w:rsidR="009A1F3F" w:rsidRPr="00577B74" w:rsidRDefault="009A1F3F" w:rsidP="009A1F3F">
            <w:pPr>
              <w:pStyle w:val="TableBodyText"/>
            </w:pPr>
            <w:r w:rsidRPr="00577B74">
              <w:t>2.8</w:t>
            </w:r>
          </w:p>
        </w:tc>
        <w:tc>
          <w:tcPr>
            <w:tcW w:w="1134" w:type="dxa"/>
            <w:vAlign w:val="bottom"/>
          </w:tcPr>
          <w:p w:rsidR="009A1F3F" w:rsidRPr="00577B74" w:rsidRDefault="009A1F3F" w:rsidP="009A1F3F">
            <w:pPr>
              <w:pStyle w:val="TableBodyText"/>
            </w:pPr>
            <w:r w:rsidRPr="00577B74">
              <w:t>4.5</w:t>
            </w:r>
          </w:p>
        </w:tc>
        <w:tc>
          <w:tcPr>
            <w:tcW w:w="1667" w:type="dxa"/>
            <w:vAlign w:val="bottom"/>
          </w:tcPr>
          <w:p w:rsidR="009A1F3F" w:rsidRPr="00577B74" w:rsidRDefault="009A1F3F" w:rsidP="009A1F3F">
            <w:pPr>
              <w:pStyle w:val="TableBodyText"/>
            </w:pPr>
            <w:r w:rsidRPr="00577B74">
              <w:t>1.6</w:t>
            </w:r>
          </w:p>
        </w:tc>
      </w:tr>
      <w:tr w:rsidR="009A1F3F" w:rsidTr="006351AB">
        <w:tc>
          <w:tcPr>
            <w:tcW w:w="1843" w:type="dxa"/>
            <w:vAlign w:val="bottom"/>
          </w:tcPr>
          <w:p w:rsidR="009A1F3F" w:rsidRPr="00577B74" w:rsidRDefault="009A1F3F" w:rsidP="009A1F3F">
            <w:pPr>
              <w:pStyle w:val="TableBodyText"/>
              <w:jc w:val="left"/>
            </w:pPr>
            <w:r w:rsidRPr="00577B74">
              <w:t>Manufacturing</w:t>
            </w:r>
          </w:p>
        </w:tc>
        <w:tc>
          <w:tcPr>
            <w:tcW w:w="851" w:type="dxa"/>
            <w:vAlign w:val="bottom"/>
          </w:tcPr>
          <w:p w:rsidR="009A1F3F" w:rsidRPr="00577B74" w:rsidRDefault="009A1F3F" w:rsidP="009A1F3F">
            <w:pPr>
              <w:pStyle w:val="TableBodyText"/>
            </w:pPr>
            <w:r w:rsidRPr="00577B74">
              <w:t>2.8</w:t>
            </w:r>
          </w:p>
        </w:tc>
        <w:tc>
          <w:tcPr>
            <w:tcW w:w="850" w:type="dxa"/>
            <w:vAlign w:val="bottom"/>
          </w:tcPr>
          <w:p w:rsidR="009A1F3F" w:rsidRPr="00577B74" w:rsidRDefault="009A1F3F" w:rsidP="009A1F3F">
            <w:pPr>
              <w:pStyle w:val="TableBodyText"/>
            </w:pPr>
            <w:r w:rsidRPr="00577B74">
              <w:t>3.5</w:t>
            </w:r>
          </w:p>
        </w:tc>
        <w:tc>
          <w:tcPr>
            <w:tcW w:w="1276" w:type="dxa"/>
            <w:vAlign w:val="bottom"/>
          </w:tcPr>
          <w:p w:rsidR="009A1F3F" w:rsidRPr="00577B74" w:rsidRDefault="009A1F3F" w:rsidP="009A1F3F">
            <w:pPr>
              <w:pStyle w:val="TableBodyText"/>
            </w:pPr>
            <w:r w:rsidRPr="00577B74">
              <w:t>0.8</w:t>
            </w:r>
          </w:p>
        </w:tc>
        <w:tc>
          <w:tcPr>
            <w:tcW w:w="283" w:type="dxa"/>
          </w:tcPr>
          <w:p w:rsidR="009A1F3F" w:rsidRDefault="009A1F3F" w:rsidP="009A1F3F">
            <w:pPr>
              <w:pStyle w:val="TableBodyText"/>
            </w:pPr>
          </w:p>
        </w:tc>
        <w:tc>
          <w:tcPr>
            <w:tcW w:w="993" w:type="dxa"/>
            <w:vAlign w:val="bottom"/>
          </w:tcPr>
          <w:p w:rsidR="009A1F3F" w:rsidRPr="00577B74" w:rsidRDefault="009A1F3F" w:rsidP="009A1F3F">
            <w:pPr>
              <w:pStyle w:val="TableBodyText"/>
            </w:pPr>
            <w:r w:rsidRPr="00577B74">
              <w:t>19.1</w:t>
            </w:r>
          </w:p>
        </w:tc>
        <w:tc>
          <w:tcPr>
            <w:tcW w:w="1134" w:type="dxa"/>
            <w:vAlign w:val="bottom"/>
          </w:tcPr>
          <w:p w:rsidR="009A1F3F" w:rsidRPr="00577B74" w:rsidRDefault="009A1F3F" w:rsidP="009A1F3F">
            <w:pPr>
              <w:pStyle w:val="TableBodyText"/>
            </w:pPr>
            <w:r w:rsidRPr="00577B74">
              <w:t>15.2</w:t>
            </w:r>
          </w:p>
        </w:tc>
        <w:tc>
          <w:tcPr>
            <w:tcW w:w="1667" w:type="dxa"/>
            <w:vAlign w:val="bottom"/>
          </w:tcPr>
          <w:p w:rsidR="009A1F3F" w:rsidRPr="00577B74" w:rsidRDefault="009A1F3F" w:rsidP="009A1F3F">
            <w:pPr>
              <w:pStyle w:val="TableBodyText"/>
            </w:pPr>
            <w:r w:rsidRPr="00577B74">
              <w:t>-4.0</w:t>
            </w:r>
          </w:p>
        </w:tc>
      </w:tr>
      <w:tr w:rsidR="009A1F3F" w:rsidTr="006351AB">
        <w:tc>
          <w:tcPr>
            <w:tcW w:w="1843" w:type="dxa"/>
            <w:vAlign w:val="bottom"/>
          </w:tcPr>
          <w:p w:rsidR="009A1F3F" w:rsidRPr="00577B74" w:rsidRDefault="00E434EB" w:rsidP="009A1F3F">
            <w:pPr>
              <w:pStyle w:val="TableBodyText"/>
              <w:jc w:val="left"/>
            </w:pPr>
            <w:r>
              <w:t>Utilities</w:t>
            </w:r>
          </w:p>
        </w:tc>
        <w:tc>
          <w:tcPr>
            <w:tcW w:w="851" w:type="dxa"/>
            <w:vAlign w:val="bottom"/>
          </w:tcPr>
          <w:p w:rsidR="009A1F3F" w:rsidRPr="00577B74" w:rsidRDefault="009A1F3F" w:rsidP="009A1F3F">
            <w:pPr>
              <w:pStyle w:val="TableBodyText"/>
            </w:pPr>
            <w:r w:rsidRPr="00577B74">
              <w:t>-2.2</w:t>
            </w:r>
          </w:p>
        </w:tc>
        <w:tc>
          <w:tcPr>
            <w:tcW w:w="850" w:type="dxa"/>
            <w:vAlign w:val="bottom"/>
          </w:tcPr>
          <w:p w:rsidR="009A1F3F" w:rsidRPr="00577B74" w:rsidRDefault="009A1F3F" w:rsidP="009A1F3F">
            <w:pPr>
              <w:pStyle w:val="TableBodyText"/>
            </w:pPr>
            <w:r w:rsidRPr="00577B74">
              <w:t>7.1</w:t>
            </w:r>
          </w:p>
        </w:tc>
        <w:tc>
          <w:tcPr>
            <w:tcW w:w="1276" w:type="dxa"/>
            <w:vAlign w:val="bottom"/>
          </w:tcPr>
          <w:p w:rsidR="009A1F3F" w:rsidRPr="00577B74" w:rsidRDefault="009A1F3F" w:rsidP="009A1F3F">
            <w:pPr>
              <w:pStyle w:val="TableBodyText"/>
            </w:pPr>
            <w:r w:rsidRPr="00577B74">
              <w:t>9.4</w:t>
            </w:r>
          </w:p>
        </w:tc>
        <w:tc>
          <w:tcPr>
            <w:tcW w:w="283" w:type="dxa"/>
          </w:tcPr>
          <w:p w:rsidR="009A1F3F" w:rsidRDefault="009A1F3F" w:rsidP="009A1F3F">
            <w:pPr>
              <w:pStyle w:val="TableBodyText"/>
            </w:pPr>
          </w:p>
        </w:tc>
        <w:tc>
          <w:tcPr>
            <w:tcW w:w="993" w:type="dxa"/>
            <w:vAlign w:val="bottom"/>
          </w:tcPr>
          <w:p w:rsidR="009A1F3F" w:rsidRPr="00577B74" w:rsidRDefault="009A1F3F" w:rsidP="009A1F3F">
            <w:pPr>
              <w:pStyle w:val="TableBodyText"/>
            </w:pPr>
            <w:r w:rsidRPr="00577B74">
              <w:t>2.2</w:t>
            </w:r>
          </w:p>
        </w:tc>
        <w:tc>
          <w:tcPr>
            <w:tcW w:w="1134" w:type="dxa"/>
            <w:vAlign w:val="bottom"/>
          </w:tcPr>
          <w:p w:rsidR="009A1F3F" w:rsidRPr="00577B74" w:rsidRDefault="009A1F3F" w:rsidP="009A1F3F">
            <w:pPr>
              <w:pStyle w:val="TableBodyText"/>
            </w:pPr>
            <w:r w:rsidRPr="00577B74">
              <w:t>2.5</w:t>
            </w:r>
          </w:p>
        </w:tc>
        <w:tc>
          <w:tcPr>
            <w:tcW w:w="1667" w:type="dxa"/>
            <w:vAlign w:val="bottom"/>
          </w:tcPr>
          <w:p w:rsidR="009A1F3F" w:rsidRPr="00577B74" w:rsidRDefault="009A1F3F" w:rsidP="009A1F3F">
            <w:pPr>
              <w:pStyle w:val="TableBodyText"/>
            </w:pPr>
            <w:r w:rsidRPr="00577B74">
              <w:t>0.3</w:t>
            </w:r>
          </w:p>
        </w:tc>
      </w:tr>
      <w:tr w:rsidR="009A1F3F" w:rsidTr="006351AB">
        <w:tc>
          <w:tcPr>
            <w:tcW w:w="1843" w:type="dxa"/>
            <w:vAlign w:val="bottom"/>
          </w:tcPr>
          <w:p w:rsidR="009A1F3F" w:rsidRPr="00577B74" w:rsidRDefault="009A1F3F" w:rsidP="009A1F3F">
            <w:pPr>
              <w:pStyle w:val="TableBodyText"/>
              <w:jc w:val="left"/>
            </w:pPr>
            <w:r w:rsidRPr="00577B74">
              <w:t>Construction</w:t>
            </w:r>
          </w:p>
        </w:tc>
        <w:tc>
          <w:tcPr>
            <w:tcW w:w="851" w:type="dxa"/>
            <w:vAlign w:val="bottom"/>
          </w:tcPr>
          <w:p w:rsidR="009A1F3F" w:rsidRPr="00577B74" w:rsidRDefault="009A1F3F" w:rsidP="009A1F3F">
            <w:pPr>
              <w:pStyle w:val="TableBodyText"/>
            </w:pPr>
            <w:r w:rsidRPr="00577B74">
              <w:t>4.0</w:t>
            </w:r>
          </w:p>
        </w:tc>
        <w:tc>
          <w:tcPr>
            <w:tcW w:w="850" w:type="dxa"/>
            <w:vAlign w:val="bottom"/>
          </w:tcPr>
          <w:p w:rsidR="009A1F3F" w:rsidRPr="00577B74" w:rsidRDefault="009A1F3F" w:rsidP="009A1F3F">
            <w:pPr>
              <w:pStyle w:val="TableBodyText"/>
            </w:pPr>
            <w:r w:rsidRPr="00577B74">
              <w:t>7.8</w:t>
            </w:r>
          </w:p>
        </w:tc>
        <w:tc>
          <w:tcPr>
            <w:tcW w:w="1276" w:type="dxa"/>
            <w:vAlign w:val="bottom"/>
          </w:tcPr>
          <w:p w:rsidR="009A1F3F" w:rsidRPr="00577B74" w:rsidRDefault="009A1F3F" w:rsidP="009A1F3F">
            <w:pPr>
              <w:pStyle w:val="TableBodyText"/>
            </w:pPr>
            <w:r w:rsidRPr="00577B74">
              <w:t>3.8</w:t>
            </w:r>
          </w:p>
        </w:tc>
        <w:tc>
          <w:tcPr>
            <w:tcW w:w="283" w:type="dxa"/>
          </w:tcPr>
          <w:p w:rsidR="009A1F3F" w:rsidRDefault="009A1F3F" w:rsidP="009A1F3F">
            <w:pPr>
              <w:pStyle w:val="TableBodyText"/>
            </w:pPr>
          </w:p>
        </w:tc>
        <w:tc>
          <w:tcPr>
            <w:tcW w:w="993" w:type="dxa"/>
            <w:vAlign w:val="bottom"/>
          </w:tcPr>
          <w:p w:rsidR="009A1F3F" w:rsidRPr="00577B74" w:rsidRDefault="009A1F3F" w:rsidP="009A1F3F">
            <w:pPr>
              <w:pStyle w:val="TableBodyText"/>
            </w:pPr>
            <w:r w:rsidRPr="00577B74">
              <w:t>12.8</w:t>
            </w:r>
          </w:p>
        </w:tc>
        <w:tc>
          <w:tcPr>
            <w:tcW w:w="1134" w:type="dxa"/>
            <w:vAlign w:val="bottom"/>
          </w:tcPr>
          <w:p w:rsidR="009A1F3F" w:rsidRPr="00577B74" w:rsidRDefault="009A1F3F" w:rsidP="009A1F3F">
            <w:pPr>
              <w:pStyle w:val="TableBodyText"/>
            </w:pPr>
            <w:r w:rsidRPr="00577B74">
              <w:t>15.6</w:t>
            </w:r>
          </w:p>
        </w:tc>
        <w:tc>
          <w:tcPr>
            <w:tcW w:w="1667" w:type="dxa"/>
            <w:vAlign w:val="bottom"/>
          </w:tcPr>
          <w:p w:rsidR="009A1F3F" w:rsidRPr="00577B74" w:rsidRDefault="009A1F3F" w:rsidP="009A1F3F">
            <w:pPr>
              <w:pStyle w:val="TableBodyText"/>
            </w:pPr>
            <w:r w:rsidRPr="00577B74">
              <w:t>2.8</w:t>
            </w:r>
          </w:p>
        </w:tc>
      </w:tr>
      <w:tr w:rsidR="009A1F3F" w:rsidTr="006351AB">
        <w:tc>
          <w:tcPr>
            <w:tcW w:w="1843" w:type="dxa"/>
            <w:vAlign w:val="bottom"/>
          </w:tcPr>
          <w:p w:rsidR="009A1F3F" w:rsidRPr="00577B74" w:rsidRDefault="009A1F3F" w:rsidP="009A1F3F">
            <w:pPr>
              <w:pStyle w:val="TableBodyText"/>
              <w:jc w:val="left"/>
            </w:pPr>
            <w:r w:rsidRPr="00577B74">
              <w:t>Wholesale</w:t>
            </w:r>
          </w:p>
        </w:tc>
        <w:tc>
          <w:tcPr>
            <w:tcW w:w="851" w:type="dxa"/>
            <w:vAlign w:val="bottom"/>
          </w:tcPr>
          <w:p w:rsidR="009A1F3F" w:rsidRPr="00577B74" w:rsidRDefault="009A1F3F" w:rsidP="009A1F3F">
            <w:pPr>
              <w:pStyle w:val="TableBodyText"/>
            </w:pPr>
            <w:r w:rsidRPr="00577B74">
              <w:t>4.9</w:t>
            </w:r>
          </w:p>
        </w:tc>
        <w:tc>
          <w:tcPr>
            <w:tcW w:w="850" w:type="dxa"/>
            <w:vAlign w:val="bottom"/>
          </w:tcPr>
          <w:p w:rsidR="009A1F3F" w:rsidRPr="00577B74" w:rsidRDefault="009A1F3F" w:rsidP="009A1F3F">
            <w:pPr>
              <w:pStyle w:val="TableBodyText"/>
            </w:pPr>
            <w:r w:rsidRPr="00577B74">
              <w:t>5.4</w:t>
            </w:r>
          </w:p>
        </w:tc>
        <w:tc>
          <w:tcPr>
            <w:tcW w:w="1276" w:type="dxa"/>
            <w:vAlign w:val="bottom"/>
          </w:tcPr>
          <w:p w:rsidR="009A1F3F" w:rsidRPr="00577B74" w:rsidRDefault="009A1F3F" w:rsidP="009A1F3F">
            <w:pPr>
              <w:pStyle w:val="TableBodyText"/>
            </w:pPr>
            <w:r w:rsidRPr="00577B74">
              <w:t>0.4</w:t>
            </w:r>
          </w:p>
        </w:tc>
        <w:tc>
          <w:tcPr>
            <w:tcW w:w="283" w:type="dxa"/>
          </w:tcPr>
          <w:p w:rsidR="009A1F3F" w:rsidRDefault="009A1F3F" w:rsidP="009A1F3F">
            <w:pPr>
              <w:pStyle w:val="TableBodyText"/>
            </w:pPr>
          </w:p>
        </w:tc>
        <w:tc>
          <w:tcPr>
            <w:tcW w:w="993" w:type="dxa"/>
            <w:vAlign w:val="bottom"/>
          </w:tcPr>
          <w:p w:rsidR="009A1F3F" w:rsidRPr="00577B74" w:rsidRDefault="009A1F3F" w:rsidP="009A1F3F">
            <w:pPr>
              <w:pStyle w:val="TableBodyText"/>
            </w:pPr>
            <w:r w:rsidRPr="00577B74">
              <w:t>9.2</w:t>
            </w:r>
          </w:p>
        </w:tc>
        <w:tc>
          <w:tcPr>
            <w:tcW w:w="1134" w:type="dxa"/>
            <w:vAlign w:val="bottom"/>
          </w:tcPr>
          <w:p w:rsidR="009A1F3F" w:rsidRPr="00577B74" w:rsidRDefault="009A1F3F" w:rsidP="009A1F3F">
            <w:pPr>
              <w:pStyle w:val="TableBodyText"/>
            </w:pPr>
            <w:r w:rsidRPr="00577B74">
              <w:t>8.8</w:t>
            </w:r>
          </w:p>
        </w:tc>
        <w:tc>
          <w:tcPr>
            <w:tcW w:w="1667" w:type="dxa"/>
            <w:vAlign w:val="bottom"/>
          </w:tcPr>
          <w:p w:rsidR="009A1F3F" w:rsidRPr="00577B74" w:rsidRDefault="009A1F3F" w:rsidP="009A1F3F">
            <w:pPr>
              <w:pStyle w:val="TableBodyText"/>
            </w:pPr>
            <w:r w:rsidRPr="00577B74">
              <w:t>-0.4</w:t>
            </w:r>
          </w:p>
        </w:tc>
      </w:tr>
      <w:tr w:rsidR="009A1F3F" w:rsidTr="006351AB">
        <w:tc>
          <w:tcPr>
            <w:tcW w:w="1843" w:type="dxa"/>
            <w:vAlign w:val="bottom"/>
          </w:tcPr>
          <w:p w:rsidR="009A1F3F" w:rsidRPr="00577B74" w:rsidRDefault="009A1F3F" w:rsidP="009A1F3F">
            <w:pPr>
              <w:pStyle w:val="TableBodyText"/>
              <w:jc w:val="left"/>
            </w:pPr>
            <w:r w:rsidRPr="00577B74">
              <w:t>Retail</w:t>
            </w:r>
          </w:p>
        </w:tc>
        <w:tc>
          <w:tcPr>
            <w:tcW w:w="851" w:type="dxa"/>
            <w:vAlign w:val="bottom"/>
          </w:tcPr>
          <w:p w:rsidR="009A1F3F" w:rsidRPr="00577B74" w:rsidRDefault="009A1F3F" w:rsidP="009A1F3F">
            <w:pPr>
              <w:pStyle w:val="TableBodyText"/>
            </w:pPr>
            <w:r w:rsidRPr="00577B74">
              <w:t>5.9</w:t>
            </w:r>
          </w:p>
        </w:tc>
        <w:tc>
          <w:tcPr>
            <w:tcW w:w="850" w:type="dxa"/>
            <w:vAlign w:val="bottom"/>
          </w:tcPr>
          <w:p w:rsidR="009A1F3F" w:rsidRPr="00577B74" w:rsidRDefault="009A1F3F" w:rsidP="009A1F3F">
            <w:pPr>
              <w:pStyle w:val="TableBodyText"/>
            </w:pPr>
            <w:r w:rsidRPr="00577B74">
              <w:t>5.0</w:t>
            </w:r>
          </w:p>
        </w:tc>
        <w:tc>
          <w:tcPr>
            <w:tcW w:w="1276" w:type="dxa"/>
            <w:vAlign w:val="bottom"/>
          </w:tcPr>
          <w:p w:rsidR="009A1F3F" w:rsidRPr="00577B74" w:rsidRDefault="009A1F3F" w:rsidP="009A1F3F">
            <w:pPr>
              <w:pStyle w:val="TableBodyText"/>
            </w:pPr>
            <w:r w:rsidRPr="00577B74">
              <w:t>-0.8</w:t>
            </w:r>
          </w:p>
        </w:tc>
        <w:tc>
          <w:tcPr>
            <w:tcW w:w="283" w:type="dxa"/>
          </w:tcPr>
          <w:p w:rsidR="009A1F3F" w:rsidRDefault="009A1F3F" w:rsidP="009A1F3F">
            <w:pPr>
              <w:pStyle w:val="TableBodyText"/>
            </w:pPr>
          </w:p>
        </w:tc>
        <w:tc>
          <w:tcPr>
            <w:tcW w:w="993" w:type="dxa"/>
            <w:vAlign w:val="bottom"/>
          </w:tcPr>
          <w:p w:rsidR="009A1F3F" w:rsidRPr="00577B74" w:rsidRDefault="009A1F3F" w:rsidP="009A1F3F">
            <w:pPr>
              <w:pStyle w:val="TableBodyText"/>
            </w:pPr>
            <w:r w:rsidRPr="00577B74">
              <w:t>10.8</w:t>
            </w:r>
          </w:p>
        </w:tc>
        <w:tc>
          <w:tcPr>
            <w:tcW w:w="1134" w:type="dxa"/>
            <w:vAlign w:val="bottom"/>
          </w:tcPr>
          <w:p w:rsidR="009A1F3F" w:rsidRPr="00577B74" w:rsidRDefault="009A1F3F" w:rsidP="009A1F3F">
            <w:pPr>
              <w:pStyle w:val="TableBodyText"/>
            </w:pPr>
            <w:r w:rsidRPr="00577B74">
              <w:t>10.0</w:t>
            </w:r>
          </w:p>
        </w:tc>
        <w:tc>
          <w:tcPr>
            <w:tcW w:w="1667" w:type="dxa"/>
            <w:vAlign w:val="bottom"/>
          </w:tcPr>
          <w:p w:rsidR="009A1F3F" w:rsidRPr="00577B74" w:rsidRDefault="009A1F3F" w:rsidP="009A1F3F">
            <w:pPr>
              <w:pStyle w:val="TableBodyText"/>
            </w:pPr>
            <w:r w:rsidRPr="00577B74">
              <w:t>-0.9</w:t>
            </w:r>
          </w:p>
        </w:tc>
      </w:tr>
      <w:tr w:rsidR="009A1F3F" w:rsidTr="006351AB">
        <w:tc>
          <w:tcPr>
            <w:tcW w:w="1843" w:type="dxa"/>
            <w:vAlign w:val="bottom"/>
          </w:tcPr>
          <w:p w:rsidR="009A1F3F" w:rsidRPr="00577B74" w:rsidRDefault="009A1F3F" w:rsidP="009A1F3F">
            <w:pPr>
              <w:pStyle w:val="TableBodyText"/>
              <w:jc w:val="left"/>
            </w:pPr>
            <w:r w:rsidRPr="00577B74">
              <w:t>Accommodation</w:t>
            </w:r>
          </w:p>
        </w:tc>
        <w:tc>
          <w:tcPr>
            <w:tcW w:w="851" w:type="dxa"/>
            <w:vAlign w:val="bottom"/>
          </w:tcPr>
          <w:p w:rsidR="009A1F3F" w:rsidRPr="00577B74" w:rsidRDefault="009A1F3F" w:rsidP="009A1F3F">
            <w:pPr>
              <w:pStyle w:val="TableBodyText"/>
            </w:pPr>
            <w:r w:rsidRPr="00577B74">
              <w:t>7.8</w:t>
            </w:r>
          </w:p>
        </w:tc>
        <w:tc>
          <w:tcPr>
            <w:tcW w:w="850" w:type="dxa"/>
            <w:vAlign w:val="bottom"/>
          </w:tcPr>
          <w:p w:rsidR="009A1F3F" w:rsidRPr="00577B74" w:rsidRDefault="009A1F3F" w:rsidP="009A1F3F">
            <w:pPr>
              <w:pStyle w:val="TableBodyText"/>
            </w:pPr>
            <w:r w:rsidRPr="00577B74">
              <w:t>4.6</w:t>
            </w:r>
          </w:p>
        </w:tc>
        <w:tc>
          <w:tcPr>
            <w:tcW w:w="1276" w:type="dxa"/>
            <w:vAlign w:val="bottom"/>
          </w:tcPr>
          <w:p w:rsidR="009A1F3F" w:rsidRPr="00577B74" w:rsidRDefault="009A1F3F" w:rsidP="009A1F3F">
            <w:pPr>
              <w:pStyle w:val="TableBodyText"/>
            </w:pPr>
            <w:r w:rsidRPr="00577B74">
              <w:t>-3.2</w:t>
            </w:r>
          </w:p>
        </w:tc>
        <w:tc>
          <w:tcPr>
            <w:tcW w:w="283" w:type="dxa"/>
          </w:tcPr>
          <w:p w:rsidR="009A1F3F" w:rsidRDefault="009A1F3F" w:rsidP="009A1F3F">
            <w:pPr>
              <w:pStyle w:val="TableBodyText"/>
            </w:pPr>
          </w:p>
        </w:tc>
        <w:tc>
          <w:tcPr>
            <w:tcW w:w="993" w:type="dxa"/>
            <w:vAlign w:val="bottom"/>
          </w:tcPr>
          <w:p w:rsidR="009A1F3F" w:rsidRPr="00577B74" w:rsidRDefault="009A1F3F" w:rsidP="009A1F3F">
            <w:pPr>
              <w:pStyle w:val="TableBodyText"/>
            </w:pPr>
            <w:r w:rsidRPr="00577B74">
              <w:t>5.9</w:t>
            </w:r>
          </w:p>
        </w:tc>
        <w:tc>
          <w:tcPr>
            <w:tcW w:w="1134" w:type="dxa"/>
            <w:vAlign w:val="bottom"/>
          </w:tcPr>
          <w:p w:rsidR="009A1F3F" w:rsidRPr="00577B74" w:rsidRDefault="009A1F3F" w:rsidP="009A1F3F">
            <w:pPr>
              <w:pStyle w:val="TableBodyText"/>
            </w:pPr>
            <w:r w:rsidRPr="00577B74">
              <w:t>5.2</w:t>
            </w:r>
          </w:p>
        </w:tc>
        <w:tc>
          <w:tcPr>
            <w:tcW w:w="1667" w:type="dxa"/>
            <w:vAlign w:val="bottom"/>
          </w:tcPr>
          <w:p w:rsidR="009A1F3F" w:rsidRPr="00577B74" w:rsidRDefault="009A1F3F" w:rsidP="009A1F3F">
            <w:pPr>
              <w:pStyle w:val="TableBodyText"/>
            </w:pPr>
            <w:r w:rsidRPr="00577B74">
              <w:t>-0.7</w:t>
            </w:r>
          </w:p>
        </w:tc>
      </w:tr>
      <w:tr w:rsidR="009A1F3F" w:rsidTr="006351AB">
        <w:tc>
          <w:tcPr>
            <w:tcW w:w="1843" w:type="dxa"/>
            <w:vAlign w:val="bottom"/>
          </w:tcPr>
          <w:p w:rsidR="009A1F3F" w:rsidRPr="00577B74" w:rsidRDefault="009A1F3F" w:rsidP="009A1F3F">
            <w:pPr>
              <w:pStyle w:val="TableBodyText"/>
              <w:jc w:val="left"/>
            </w:pPr>
            <w:r w:rsidRPr="00577B74">
              <w:t>Transport</w:t>
            </w:r>
          </w:p>
        </w:tc>
        <w:tc>
          <w:tcPr>
            <w:tcW w:w="851" w:type="dxa"/>
            <w:vAlign w:val="bottom"/>
          </w:tcPr>
          <w:p w:rsidR="009A1F3F" w:rsidRPr="00577B74" w:rsidRDefault="009A1F3F" w:rsidP="009A1F3F">
            <w:pPr>
              <w:pStyle w:val="TableBodyText"/>
            </w:pPr>
            <w:r w:rsidRPr="00577B74">
              <w:t>3.8</w:t>
            </w:r>
          </w:p>
        </w:tc>
        <w:tc>
          <w:tcPr>
            <w:tcW w:w="850" w:type="dxa"/>
            <w:vAlign w:val="bottom"/>
          </w:tcPr>
          <w:p w:rsidR="009A1F3F" w:rsidRPr="00577B74" w:rsidRDefault="009A1F3F" w:rsidP="009A1F3F">
            <w:pPr>
              <w:pStyle w:val="TableBodyText"/>
            </w:pPr>
            <w:r w:rsidRPr="00577B74">
              <w:t>6.1</w:t>
            </w:r>
          </w:p>
        </w:tc>
        <w:tc>
          <w:tcPr>
            <w:tcW w:w="1276" w:type="dxa"/>
            <w:vAlign w:val="bottom"/>
          </w:tcPr>
          <w:p w:rsidR="009A1F3F" w:rsidRPr="00577B74" w:rsidRDefault="009A1F3F" w:rsidP="009A1F3F">
            <w:pPr>
              <w:pStyle w:val="TableBodyText"/>
            </w:pPr>
            <w:r w:rsidRPr="00577B74">
              <w:t>2.4</w:t>
            </w:r>
          </w:p>
        </w:tc>
        <w:tc>
          <w:tcPr>
            <w:tcW w:w="283" w:type="dxa"/>
          </w:tcPr>
          <w:p w:rsidR="009A1F3F" w:rsidRDefault="009A1F3F" w:rsidP="009A1F3F">
            <w:pPr>
              <w:pStyle w:val="TableBodyText"/>
            </w:pPr>
          </w:p>
        </w:tc>
        <w:tc>
          <w:tcPr>
            <w:tcW w:w="993" w:type="dxa"/>
            <w:vAlign w:val="bottom"/>
          </w:tcPr>
          <w:p w:rsidR="009A1F3F" w:rsidRPr="00577B74" w:rsidRDefault="009A1F3F" w:rsidP="009A1F3F">
            <w:pPr>
              <w:pStyle w:val="TableBodyText"/>
            </w:pPr>
            <w:r w:rsidRPr="00577B74">
              <w:t>8.4</w:t>
            </w:r>
          </w:p>
        </w:tc>
        <w:tc>
          <w:tcPr>
            <w:tcW w:w="1134" w:type="dxa"/>
            <w:vAlign w:val="bottom"/>
          </w:tcPr>
          <w:p w:rsidR="009A1F3F" w:rsidRPr="00577B74" w:rsidRDefault="009A1F3F" w:rsidP="009A1F3F">
            <w:pPr>
              <w:pStyle w:val="TableBodyText"/>
            </w:pPr>
            <w:r w:rsidRPr="00577B74">
              <w:t>8.6</w:t>
            </w:r>
          </w:p>
        </w:tc>
        <w:tc>
          <w:tcPr>
            <w:tcW w:w="1667" w:type="dxa"/>
            <w:vAlign w:val="bottom"/>
          </w:tcPr>
          <w:p w:rsidR="009A1F3F" w:rsidRPr="00577B74" w:rsidRDefault="009A1F3F" w:rsidP="009A1F3F">
            <w:pPr>
              <w:pStyle w:val="TableBodyText"/>
            </w:pPr>
            <w:r w:rsidRPr="00577B74">
              <w:t>0.3</w:t>
            </w:r>
          </w:p>
        </w:tc>
      </w:tr>
      <w:tr w:rsidR="009A1F3F" w:rsidTr="006351AB">
        <w:tc>
          <w:tcPr>
            <w:tcW w:w="1843" w:type="dxa"/>
            <w:vAlign w:val="bottom"/>
          </w:tcPr>
          <w:p w:rsidR="009A1F3F" w:rsidRPr="00577B74" w:rsidRDefault="009A1F3F" w:rsidP="009A1F3F">
            <w:pPr>
              <w:pStyle w:val="TableBodyText"/>
              <w:jc w:val="left"/>
            </w:pPr>
            <w:r w:rsidRPr="00577B74">
              <w:t>Telecoms</w:t>
            </w:r>
          </w:p>
        </w:tc>
        <w:tc>
          <w:tcPr>
            <w:tcW w:w="851" w:type="dxa"/>
            <w:vAlign w:val="bottom"/>
          </w:tcPr>
          <w:p w:rsidR="009A1F3F" w:rsidRPr="00577B74" w:rsidRDefault="009A1F3F" w:rsidP="009A1F3F">
            <w:pPr>
              <w:pStyle w:val="TableBodyText"/>
            </w:pPr>
            <w:r w:rsidRPr="00577B74">
              <w:t>5.0</w:t>
            </w:r>
          </w:p>
        </w:tc>
        <w:tc>
          <w:tcPr>
            <w:tcW w:w="850" w:type="dxa"/>
            <w:vAlign w:val="bottom"/>
          </w:tcPr>
          <w:p w:rsidR="009A1F3F" w:rsidRPr="00577B74" w:rsidRDefault="009A1F3F" w:rsidP="009A1F3F">
            <w:pPr>
              <w:pStyle w:val="TableBodyText"/>
            </w:pPr>
            <w:r w:rsidRPr="00577B74">
              <w:t>3.4</w:t>
            </w:r>
          </w:p>
        </w:tc>
        <w:tc>
          <w:tcPr>
            <w:tcW w:w="1276" w:type="dxa"/>
            <w:vAlign w:val="bottom"/>
          </w:tcPr>
          <w:p w:rsidR="009A1F3F" w:rsidRPr="00577B74" w:rsidRDefault="009A1F3F" w:rsidP="009A1F3F">
            <w:pPr>
              <w:pStyle w:val="TableBodyText"/>
            </w:pPr>
            <w:r w:rsidRPr="00577B74">
              <w:t>-1.6</w:t>
            </w:r>
          </w:p>
        </w:tc>
        <w:tc>
          <w:tcPr>
            <w:tcW w:w="283" w:type="dxa"/>
          </w:tcPr>
          <w:p w:rsidR="009A1F3F" w:rsidRDefault="009A1F3F" w:rsidP="009A1F3F">
            <w:pPr>
              <w:pStyle w:val="TableBodyText"/>
            </w:pPr>
          </w:p>
        </w:tc>
        <w:tc>
          <w:tcPr>
            <w:tcW w:w="993" w:type="dxa"/>
            <w:vAlign w:val="bottom"/>
          </w:tcPr>
          <w:p w:rsidR="009A1F3F" w:rsidRPr="00577B74" w:rsidRDefault="009A1F3F" w:rsidP="009A1F3F">
            <w:pPr>
              <w:pStyle w:val="TableBodyText"/>
            </w:pPr>
            <w:r w:rsidRPr="00577B74">
              <w:t>4.2</w:t>
            </w:r>
          </w:p>
        </w:tc>
        <w:tc>
          <w:tcPr>
            <w:tcW w:w="1134" w:type="dxa"/>
            <w:vAlign w:val="bottom"/>
          </w:tcPr>
          <w:p w:rsidR="009A1F3F" w:rsidRPr="00577B74" w:rsidRDefault="009A1F3F" w:rsidP="009A1F3F">
            <w:pPr>
              <w:pStyle w:val="TableBodyText"/>
            </w:pPr>
            <w:r w:rsidRPr="00577B74">
              <w:t>3.3</w:t>
            </w:r>
          </w:p>
        </w:tc>
        <w:tc>
          <w:tcPr>
            <w:tcW w:w="1667" w:type="dxa"/>
            <w:vAlign w:val="bottom"/>
          </w:tcPr>
          <w:p w:rsidR="009A1F3F" w:rsidRPr="00577B74" w:rsidRDefault="009A1F3F" w:rsidP="009A1F3F">
            <w:pPr>
              <w:pStyle w:val="TableBodyText"/>
            </w:pPr>
            <w:r w:rsidRPr="00577B74">
              <w:t>-0.9</w:t>
            </w:r>
          </w:p>
        </w:tc>
      </w:tr>
      <w:tr w:rsidR="009A1F3F" w:rsidTr="006351AB">
        <w:tc>
          <w:tcPr>
            <w:tcW w:w="1843" w:type="dxa"/>
            <w:vAlign w:val="bottom"/>
          </w:tcPr>
          <w:p w:rsidR="009A1F3F" w:rsidRPr="00577B74" w:rsidRDefault="009A1F3F" w:rsidP="009A1F3F">
            <w:pPr>
              <w:pStyle w:val="TableBodyText"/>
              <w:jc w:val="left"/>
            </w:pPr>
            <w:r w:rsidRPr="00577B74">
              <w:t>Financ</w:t>
            </w:r>
            <w:r>
              <w:t>e</w:t>
            </w:r>
          </w:p>
        </w:tc>
        <w:tc>
          <w:tcPr>
            <w:tcW w:w="851" w:type="dxa"/>
            <w:vAlign w:val="bottom"/>
          </w:tcPr>
          <w:p w:rsidR="009A1F3F" w:rsidRPr="00577B74" w:rsidRDefault="009A1F3F" w:rsidP="009A1F3F">
            <w:pPr>
              <w:pStyle w:val="TableBodyText"/>
            </w:pPr>
            <w:r w:rsidRPr="00577B74">
              <w:t>6.6</w:t>
            </w:r>
          </w:p>
        </w:tc>
        <w:tc>
          <w:tcPr>
            <w:tcW w:w="850" w:type="dxa"/>
            <w:vAlign w:val="bottom"/>
          </w:tcPr>
          <w:p w:rsidR="009A1F3F" w:rsidRPr="00577B74" w:rsidRDefault="009A1F3F" w:rsidP="009A1F3F">
            <w:pPr>
              <w:pStyle w:val="TableBodyText"/>
            </w:pPr>
            <w:r w:rsidRPr="00577B74">
              <w:t>7.9</w:t>
            </w:r>
          </w:p>
        </w:tc>
        <w:tc>
          <w:tcPr>
            <w:tcW w:w="1276" w:type="dxa"/>
            <w:vAlign w:val="bottom"/>
          </w:tcPr>
          <w:p w:rsidR="009A1F3F" w:rsidRPr="00577B74" w:rsidRDefault="009A1F3F" w:rsidP="009A1F3F">
            <w:pPr>
              <w:pStyle w:val="TableBodyText"/>
            </w:pPr>
            <w:r w:rsidRPr="00577B74">
              <w:t>1.3</w:t>
            </w:r>
          </w:p>
        </w:tc>
        <w:tc>
          <w:tcPr>
            <w:tcW w:w="283" w:type="dxa"/>
          </w:tcPr>
          <w:p w:rsidR="009A1F3F" w:rsidRDefault="009A1F3F" w:rsidP="009A1F3F">
            <w:pPr>
              <w:pStyle w:val="TableBodyText"/>
            </w:pPr>
          </w:p>
        </w:tc>
        <w:tc>
          <w:tcPr>
            <w:tcW w:w="993" w:type="dxa"/>
            <w:vAlign w:val="bottom"/>
          </w:tcPr>
          <w:p w:rsidR="009A1F3F" w:rsidRPr="00577B74" w:rsidRDefault="009A1F3F" w:rsidP="009A1F3F">
            <w:pPr>
              <w:pStyle w:val="TableBodyText"/>
            </w:pPr>
            <w:r w:rsidRPr="00577B74">
              <w:t>11.7</w:t>
            </w:r>
          </w:p>
        </w:tc>
        <w:tc>
          <w:tcPr>
            <w:tcW w:w="1134" w:type="dxa"/>
            <w:vAlign w:val="bottom"/>
          </w:tcPr>
          <w:p w:rsidR="009A1F3F" w:rsidRPr="00577B74" w:rsidRDefault="009A1F3F" w:rsidP="009A1F3F">
            <w:pPr>
              <w:pStyle w:val="TableBodyText"/>
            </w:pPr>
            <w:r w:rsidRPr="00577B74">
              <w:t>14.5</w:t>
            </w:r>
          </w:p>
        </w:tc>
        <w:tc>
          <w:tcPr>
            <w:tcW w:w="1667" w:type="dxa"/>
            <w:vAlign w:val="bottom"/>
          </w:tcPr>
          <w:p w:rsidR="009A1F3F" w:rsidRPr="00577B74" w:rsidRDefault="009A1F3F" w:rsidP="009A1F3F">
            <w:pPr>
              <w:pStyle w:val="TableBodyText"/>
            </w:pPr>
            <w:r w:rsidRPr="00577B74">
              <w:t>2.7</w:t>
            </w:r>
          </w:p>
        </w:tc>
      </w:tr>
      <w:tr w:rsidR="009A1F3F" w:rsidTr="00C40DCE">
        <w:tc>
          <w:tcPr>
            <w:tcW w:w="1843" w:type="dxa"/>
            <w:vAlign w:val="bottom"/>
          </w:tcPr>
          <w:p w:rsidR="009A1F3F" w:rsidRPr="00577B74" w:rsidRDefault="009A1F3F" w:rsidP="009A1F3F">
            <w:pPr>
              <w:pStyle w:val="TableBodyText"/>
              <w:jc w:val="left"/>
            </w:pPr>
            <w:r w:rsidRPr="00577B74">
              <w:t>Arts &amp; rec</w:t>
            </w:r>
          </w:p>
        </w:tc>
        <w:tc>
          <w:tcPr>
            <w:tcW w:w="851" w:type="dxa"/>
            <w:vAlign w:val="bottom"/>
          </w:tcPr>
          <w:p w:rsidR="009A1F3F" w:rsidRPr="00577B74" w:rsidRDefault="009A1F3F" w:rsidP="009A1F3F">
            <w:pPr>
              <w:pStyle w:val="TableBodyText"/>
            </w:pPr>
            <w:r w:rsidRPr="00577B74">
              <w:t>4.8</w:t>
            </w:r>
          </w:p>
        </w:tc>
        <w:tc>
          <w:tcPr>
            <w:tcW w:w="850" w:type="dxa"/>
            <w:vAlign w:val="bottom"/>
          </w:tcPr>
          <w:p w:rsidR="009A1F3F" w:rsidRPr="00577B74" w:rsidRDefault="009A1F3F" w:rsidP="009A1F3F">
            <w:pPr>
              <w:pStyle w:val="TableBodyText"/>
            </w:pPr>
            <w:r w:rsidRPr="00577B74">
              <w:t>6.5</w:t>
            </w:r>
          </w:p>
        </w:tc>
        <w:tc>
          <w:tcPr>
            <w:tcW w:w="1276" w:type="dxa"/>
            <w:vAlign w:val="bottom"/>
          </w:tcPr>
          <w:p w:rsidR="009A1F3F" w:rsidRPr="00577B74" w:rsidRDefault="009A1F3F" w:rsidP="009A1F3F">
            <w:pPr>
              <w:pStyle w:val="TableBodyText"/>
            </w:pPr>
            <w:r w:rsidRPr="00577B74">
              <w:t>1.7</w:t>
            </w:r>
          </w:p>
        </w:tc>
        <w:tc>
          <w:tcPr>
            <w:tcW w:w="283" w:type="dxa"/>
          </w:tcPr>
          <w:p w:rsidR="009A1F3F" w:rsidRDefault="009A1F3F" w:rsidP="009A1F3F">
            <w:pPr>
              <w:pStyle w:val="TableBodyText"/>
            </w:pPr>
          </w:p>
        </w:tc>
        <w:tc>
          <w:tcPr>
            <w:tcW w:w="993" w:type="dxa"/>
            <w:vAlign w:val="bottom"/>
          </w:tcPr>
          <w:p w:rsidR="009A1F3F" w:rsidRPr="00577B74" w:rsidRDefault="009A1F3F" w:rsidP="009A1F3F">
            <w:pPr>
              <w:pStyle w:val="TableBodyText"/>
            </w:pPr>
            <w:r w:rsidRPr="00577B74">
              <w:t>8.9</w:t>
            </w:r>
          </w:p>
        </w:tc>
        <w:tc>
          <w:tcPr>
            <w:tcW w:w="1134" w:type="dxa"/>
            <w:vAlign w:val="bottom"/>
          </w:tcPr>
          <w:p w:rsidR="009A1F3F" w:rsidRPr="00577B74" w:rsidRDefault="009A1F3F" w:rsidP="009A1F3F">
            <w:pPr>
              <w:pStyle w:val="TableBodyText"/>
            </w:pPr>
            <w:r w:rsidRPr="00577B74">
              <w:t>9.5</w:t>
            </w:r>
          </w:p>
        </w:tc>
        <w:tc>
          <w:tcPr>
            <w:tcW w:w="1667" w:type="dxa"/>
            <w:vAlign w:val="bottom"/>
          </w:tcPr>
          <w:p w:rsidR="009A1F3F" w:rsidRPr="00577B74" w:rsidRDefault="009A1F3F" w:rsidP="009A1F3F">
            <w:pPr>
              <w:pStyle w:val="TableBodyText"/>
            </w:pPr>
            <w:r w:rsidRPr="00577B74">
              <w:t>0.6</w:t>
            </w:r>
          </w:p>
        </w:tc>
      </w:tr>
      <w:tr w:rsidR="00C40DCE" w:rsidRPr="00C40DCE" w:rsidTr="00C40DCE">
        <w:tc>
          <w:tcPr>
            <w:tcW w:w="1843" w:type="dxa"/>
            <w:tcBorders>
              <w:bottom w:val="single" w:sz="4" w:space="0" w:color="auto"/>
            </w:tcBorders>
            <w:vAlign w:val="bottom"/>
          </w:tcPr>
          <w:p w:rsidR="00C40DCE" w:rsidRPr="00C40DCE" w:rsidRDefault="00C40DCE" w:rsidP="000457C9">
            <w:pPr>
              <w:pStyle w:val="TableBodyText"/>
              <w:spacing w:before="120"/>
              <w:jc w:val="left"/>
            </w:pPr>
            <w:r w:rsidRPr="00C40DCE">
              <w:t xml:space="preserve">Market sector </w:t>
            </w:r>
            <w:r w:rsidR="000457C9">
              <w:t>12</w:t>
            </w:r>
          </w:p>
        </w:tc>
        <w:tc>
          <w:tcPr>
            <w:tcW w:w="851" w:type="dxa"/>
            <w:tcBorders>
              <w:bottom w:val="single" w:sz="4" w:space="0" w:color="auto"/>
            </w:tcBorders>
            <w:vAlign w:val="bottom"/>
          </w:tcPr>
          <w:p w:rsidR="00C40DCE" w:rsidRPr="00C40DCE" w:rsidRDefault="00C40DCE" w:rsidP="000457C9">
            <w:pPr>
              <w:pStyle w:val="TableBodyText"/>
              <w:spacing w:before="120"/>
            </w:pPr>
            <w:r w:rsidRPr="00C40DCE">
              <w:t>4.3</w:t>
            </w:r>
          </w:p>
        </w:tc>
        <w:tc>
          <w:tcPr>
            <w:tcW w:w="850" w:type="dxa"/>
            <w:tcBorders>
              <w:bottom w:val="single" w:sz="4" w:space="0" w:color="auto"/>
            </w:tcBorders>
            <w:vAlign w:val="bottom"/>
          </w:tcPr>
          <w:p w:rsidR="00C40DCE" w:rsidRPr="00C40DCE" w:rsidRDefault="00C40DCE" w:rsidP="000457C9">
            <w:pPr>
              <w:pStyle w:val="TableBodyText"/>
              <w:spacing w:before="120"/>
            </w:pPr>
            <w:r w:rsidRPr="00C40DCE">
              <w:t>5.8</w:t>
            </w:r>
          </w:p>
        </w:tc>
        <w:tc>
          <w:tcPr>
            <w:tcW w:w="1276" w:type="dxa"/>
            <w:tcBorders>
              <w:bottom w:val="single" w:sz="4" w:space="0" w:color="auto"/>
            </w:tcBorders>
            <w:vAlign w:val="bottom"/>
          </w:tcPr>
          <w:p w:rsidR="00C40DCE" w:rsidRPr="00C40DCE" w:rsidRDefault="00C40DCE" w:rsidP="000457C9">
            <w:pPr>
              <w:pStyle w:val="TableBodyText"/>
              <w:spacing w:before="120"/>
            </w:pPr>
            <w:r w:rsidRPr="00C40DCE">
              <w:t>1.5</w:t>
            </w:r>
          </w:p>
        </w:tc>
        <w:tc>
          <w:tcPr>
            <w:tcW w:w="283" w:type="dxa"/>
            <w:tcBorders>
              <w:bottom w:val="single" w:sz="4" w:space="0" w:color="auto"/>
            </w:tcBorders>
          </w:tcPr>
          <w:p w:rsidR="00C40DCE" w:rsidRPr="00C40DCE" w:rsidRDefault="00C40DCE" w:rsidP="000457C9">
            <w:pPr>
              <w:pStyle w:val="TableBodyText"/>
              <w:spacing w:before="120"/>
            </w:pPr>
          </w:p>
        </w:tc>
        <w:tc>
          <w:tcPr>
            <w:tcW w:w="993" w:type="dxa"/>
            <w:tcBorders>
              <w:bottom w:val="single" w:sz="4" w:space="0" w:color="auto"/>
            </w:tcBorders>
            <w:vAlign w:val="bottom"/>
          </w:tcPr>
          <w:p w:rsidR="00C40DCE" w:rsidRPr="00C40DCE" w:rsidRDefault="00C40DCE" w:rsidP="000457C9">
            <w:pPr>
              <w:pStyle w:val="TableBodyText"/>
              <w:spacing w:before="120"/>
            </w:pPr>
            <w:r w:rsidRPr="00C40DCE">
              <w:t>100.0</w:t>
            </w:r>
          </w:p>
        </w:tc>
        <w:tc>
          <w:tcPr>
            <w:tcW w:w="1134" w:type="dxa"/>
            <w:tcBorders>
              <w:bottom w:val="single" w:sz="4" w:space="0" w:color="auto"/>
            </w:tcBorders>
            <w:vAlign w:val="bottom"/>
          </w:tcPr>
          <w:p w:rsidR="00C40DCE" w:rsidRPr="00C40DCE" w:rsidRDefault="00C40DCE" w:rsidP="000457C9">
            <w:pPr>
              <w:pStyle w:val="TableBodyText"/>
              <w:spacing w:before="120"/>
            </w:pPr>
            <w:r w:rsidRPr="00C40DCE">
              <w:t>100.0</w:t>
            </w:r>
          </w:p>
        </w:tc>
        <w:tc>
          <w:tcPr>
            <w:tcW w:w="1667" w:type="dxa"/>
            <w:tcBorders>
              <w:bottom w:val="single" w:sz="4" w:space="0" w:color="auto"/>
            </w:tcBorders>
            <w:vAlign w:val="bottom"/>
          </w:tcPr>
          <w:p w:rsidR="00C40DCE" w:rsidRPr="00C40DCE" w:rsidRDefault="00C40DCE" w:rsidP="000457C9">
            <w:pPr>
              <w:pStyle w:val="TableBodyText"/>
              <w:spacing w:before="120"/>
            </w:pPr>
          </w:p>
        </w:tc>
      </w:tr>
    </w:tbl>
    <w:p w:rsidR="00FE4740" w:rsidRDefault="00FE4740" w:rsidP="00FE4740">
      <w:pPr>
        <w:pStyle w:val="Source"/>
      </w:pPr>
      <w:r>
        <w:rPr>
          <w:i/>
        </w:rPr>
        <w:t>Source</w:t>
      </w:r>
      <w:r w:rsidRPr="00167F06">
        <w:t>:</w:t>
      </w:r>
      <w:r>
        <w:t xml:space="preserve"> Author’s estimates</w:t>
      </w:r>
      <w:r w:rsidRPr="00167F06">
        <w:t xml:space="preserve"> </w:t>
      </w:r>
      <w:r>
        <w:t xml:space="preserve">based on ABS </w:t>
      </w:r>
      <w:r w:rsidR="005E5264">
        <w:t>(</w:t>
      </w:r>
      <w:r w:rsidR="00F97CB6">
        <w:t xml:space="preserve">Cat. no. </w:t>
      </w:r>
      <w:r>
        <w:t>5260.0550.02</w:t>
      </w:r>
      <w:r w:rsidR="005E5264">
        <w:t>)</w:t>
      </w:r>
      <w:r>
        <w:t>.</w:t>
      </w:r>
    </w:p>
    <w:p w:rsidR="00A012BF" w:rsidRDefault="00A012BF" w:rsidP="00A012BF">
      <w:pPr>
        <w:pStyle w:val="Heading4"/>
      </w:pPr>
      <w:r>
        <w:t>Decadal change in growth</w:t>
      </w:r>
    </w:p>
    <w:p w:rsidR="00214109" w:rsidRDefault="00B17BE4" w:rsidP="00CE1428">
      <w:pPr>
        <w:pStyle w:val="BodyText"/>
      </w:pPr>
      <w:r>
        <w:t xml:space="preserve">It was noted in chapters 3 and 4 that growth in labour income in the </w:t>
      </w:r>
      <w:proofErr w:type="spellStart"/>
      <w:r>
        <w:t>2000s</w:t>
      </w:r>
      <w:proofErr w:type="spellEnd"/>
      <w:r>
        <w:t xml:space="preserve"> was more rapid than</w:t>
      </w:r>
      <w:r w:rsidR="000457C9">
        <w:t xml:space="preserve"> in the</w:t>
      </w:r>
      <w:r>
        <w:t xml:space="preserve"> </w:t>
      </w:r>
      <w:proofErr w:type="spellStart"/>
      <w:r>
        <w:t>1990s</w:t>
      </w:r>
      <w:proofErr w:type="spellEnd"/>
      <w:r w:rsidR="00214109">
        <w:t>.</w:t>
      </w:r>
    </w:p>
    <w:p w:rsidR="000F78A8" w:rsidRDefault="000F78A8" w:rsidP="000F78A8">
      <w:pPr>
        <w:pStyle w:val="BodyText"/>
      </w:pPr>
      <w:r>
        <w:t xml:space="preserve">That was mostly also true at the industry level. The biggest uplift in growth was in the Utilities, followed by Mining (table 5.1). Construction’s growth in labour income was also quite a deal stronger in the </w:t>
      </w:r>
      <w:proofErr w:type="spellStart"/>
      <w:r>
        <w:t>2000s</w:t>
      </w:r>
      <w:proofErr w:type="spellEnd"/>
      <w:r>
        <w:t xml:space="preserve">. </w:t>
      </w:r>
      <w:r w:rsidR="00364F7C">
        <w:t>And</w:t>
      </w:r>
      <w:r w:rsidR="005415A4">
        <w:t xml:space="preserve"> g</w:t>
      </w:r>
      <w:r>
        <w:t xml:space="preserve">rowth also picked up, albeit to a relatively small degree, in Manufacturing. </w:t>
      </w:r>
    </w:p>
    <w:p w:rsidR="00214109" w:rsidRDefault="00214109" w:rsidP="00214109">
      <w:pPr>
        <w:pStyle w:val="BodyText"/>
      </w:pPr>
      <w:r>
        <w:t>Growth was weaker in the second decade in Accommodation</w:t>
      </w:r>
      <w:r w:rsidR="000F78A8">
        <w:t xml:space="preserve"> and food services (Accommodation)</w:t>
      </w:r>
      <w:r>
        <w:t>, Agriculture</w:t>
      </w:r>
      <w:r w:rsidR="000F78A8">
        <w:t>, forestry and fishing (Agriculture)</w:t>
      </w:r>
      <w:r>
        <w:t xml:space="preserve">, and Information </w:t>
      </w:r>
      <w:r w:rsidR="000F78A8">
        <w:t>m</w:t>
      </w:r>
      <w:r>
        <w:t xml:space="preserve">edia and </w:t>
      </w:r>
      <w:r w:rsidR="000F78A8">
        <w:t>t</w:t>
      </w:r>
      <w:r>
        <w:t>elecommunications (Telecoms).</w:t>
      </w:r>
    </w:p>
    <w:p w:rsidR="00577B74" w:rsidRDefault="005B6390" w:rsidP="00BC59B0">
      <w:pPr>
        <w:pStyle w:val="Heading3"/>
      </w:pPr>
      <w:r>
        <w:lastRenderedPageBreak/>
        <w:t>Capital income</w:t>
      </w:r>
    </w:p>
    <w:p w:rsidR="0075504B" w:rsidRDefault="0075504B" w:rsidP="0075504B">
      <w:pPr>
        <w:pStyle w:val="BodyText"/>
      </w:pPr>
      <w:r>
        <w:t>Capital income grew in the range of 2.7 per cent a year in Manufacturing to 12.7 per cent a year in Mining</w:t>
      </w:r>
      <w:r w:rsidR="00020DB3">
        <w:t xml:space="preserve">, around a </w:t>
      </w:r>
      <w:r w:rsidR="00F97CB6">
        <w:t>market sector</w:t>
      </w:r>
      <w:r w:rsidR="00020DB3">
        <w:t xml:space="preserve"> average of 7.5 per cent a year</w:t>
      </w:r>
      <w:r>
        <w:t xml:space="preserve"> (table</w:t>
      </w:r>
      <w:r w:rsidR="000F78A8">
        <w:t> 5.2</w:t>
      </w:r>
      <w:r>
        <w:t>).</w:t>
      </w:r>
    </w:p>
    <w:p w:rsidR="005369B4" w:rsidRPr="00B63DC1" w:rsidRDefault="009A1F3F" w:rsidP="009A1F3F">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5E5264">
        <w:rPr>
          <w:b w:val="0"/>
        </w:rPr>
        <w:t>5.</w:t>
      </w:r>
      <w:r>
        <w:rPr>
          <w:b w:val="0"/>
        </w:rPr>
        <w:fldChar w:fldCharType="end"/>
      </w:r>
      <w:r>
        <w:rPr>
          <w:b w:val="0"/>
        </w:rPr>
        <w:fldChar w:fldCharType="begin"/>
      </w:r>
      <w:r>
        <w:rPr>
          <w:b w:val="0"/>
        </w:rPr>
        <w:instrText xml:space="preserve"> SEQ Table \* ARABIC </w:instrText>
      </w:r>
      <w:r>
        <w:rPr>
          <w:b w:val="0"/>
        </w:rPr>
        <w:fldChar w:fldCharType="separate"/>
      </w:r>
      <w:r w:rsidR="00F92682">
        <w:rPr>
          <w:b w:val="0"/>
          <w:noProof/>
        </w:rPr>
        <w:t>2</w:t>
      </w:r>
      <w:r>
        <w:rPr>
          <w:b w:val="0"/>
        </w:rPr>
        <w:fldChar w:fldCharType="end"/>
      </w:r>
      <w:r w:rsidR="005369B4" w:rsidRPr="00B63DC1">
        <w:tab/>
        <w:t xml:space="preserve">Growth in </w:t>
      </w:r>
      <w:r w:rsidR="005369B4">
        <w:t>capital</w:t>
      </w:r>
      <w:r w:rsidR="005369B4" w:rsidRPr="00B63DC1">
        <w:t xml:space="preserve"> income by industry and industry shares in market sector </w:t>
      </w:r>
      <w:r w:rsidR="005369B4">
        <w:t>capital</w:t>
      </w:r>
      <w:r w:rsidR="005369B4" w:rsidRPr="00B63DC1">
        <w:t xml:space="preserve"> income</w:t>
      </w:r>
    </w:p>
    <w:p w:rsidR="00577B74" w:rsidRDefault="005369B4" w:rsidP="009A1F3F">
      <w:pPr>
        <w:pStyle w:val="Subtitle"/>
      </w:pPr>
      <w:r>
        <w:t xml:space="preserve">per cent per year </w:t>
      </w:r>
    </w:p>
    <w:tbl>
      <w:tblPr>
        <w:tblW w:w="0" w:type="auto"/>
        <w:tblInd w:w="108" w:type="dxa"/>
        <w:tblLayout w:type="fixed"/>
        <w:tblLook w:val="04A0" w:firstRow="1" w:lastRow="0" w:firstColumn="1" w:lastColumn="0" w:noHBand="0" w:noVBand="1"/>
      </w:tblPr>
      <w:tblGrid>
        <w:gridCol w:w="2155"/>
        <w:gridCol w:w="993"/>
        <w:gridCol w:w="992"/>
        <w:gridCol w:w="1105"/>
        <w:gridCol w:w="241"/>
        <w:gridCol w:w="1165"/>
        <w:gridCol w:w="1165"/>
        <w:gridCol w:w="1081"/>
      </w:tblGrid>
      <w:tr w:rsidR="009A1F3F" w:rsidRPr="00577B74" w:rsidTr="00C40DCE">
        <w:trPr>
          <w:trHeight w:val="300"/>
        </w:trPr>
        <w:tc>
          <w:tcPr>
            <w:tcW w:w="2155" w:type="dxa"/>
            <w:tcBorders>
              <w:top w:val="single" w:sz="4" w:space="0" w:color="auto"/>
              <w:left w:val="nil"/>
              <w:right w:val="nil"/>
            </w:tcBorders>
            <w:shd w:val="clear" w:color="auto" w:fill="auto"/>
            <w:noWrap/>
            <w:vAlign w:val="bottom"/>
          </w:tcPr>
          <w:p w:rsidR="009A1F3F" w:rsidRPr="00577B74" w:rsidRDefault="009A1F3F" w:rsidP="00E76038">
            <w:pPr>
              <w:pStyle w:val="TableColumnHeading"/>
              <w:jc w:val="center"/>
            </w:pPr>
          </w:p>
        </w:tc>
        <w:tc>
          <w:tcPr>
            <w:tcW w:w="3090" w:type="dxa"/>
            <w:gridSpan w:val="3"/>
            <w:tcBorders>
              <w:top w:val="single" w:sz="4" w:space="0" w:color="auto"/>
              <w:left w:val="nil"/>
              <w:bottom w:val="single" w:sz="4" w:space="0" w:color="auto"/>
              <w:right w:val="nil"/>
            </w:tcBorders>
            <w:shd w:val="clear" w:color="auto" w:fill="auto"/>
            <w:noWrap/>
            <w:vAlign w:val="bottom"/>
          </w:tcPr>
          <w:p w:rsidR="009A1F3F" w:rsidRPr="00577B74" w:rsidRDefault="009A1F3F" w:rsidP="00E76038">
            <w:pPr>
              <w:pStyle w:val="TableColumnHeading"/>
              <w:jc w:val="center"/>
            </w:pPr>
            <w:r>
              <w:t>G</w:t>
            </w:r>
            <w:r w:rsidRPr="00577B74">
              <w:t>rowth rate</w:t>
            </w:r>
          </w:p>
        </w:tc>
        <w:tc>
          <w:tcPr>
            <w:tcW w:w="241" w:type="dxa"/>
            <w:tcBorders>
              <w:top w:val="single" w:sz="4" w:space="0" w:color="auto"/>
              <w:left w:val="nil"/>
              <w:right w:val="nil"/>
            </w:tcBorders>
          </w:tcPr>
          <w:p w:rsidR="009A1F3F" w:rsidRDefault="009A1F3F" w:rsidP="00E76038">
            <w:pPr>
              <w:pStyle w:val="TableColumnHeading"/>
              <w:jc w:val="center"/>
            </w:pPr>
          </w:p>
        </w:tc>
        <w:tc>
          <w:tcPr>
            <w:tcW w:w="3411" w:type="dxa"/>
            <w:gridSpan w:val="3"/>
            <w:tcBorders>
              <w:top w:val="single" w:sz="4" w:space="0" w:color="auto"/>
              <w:left w:val="nil"/>
              <w:bottom w:val="single" w:sz="4" w:space="0" w:color="auto"/>
              <w:right w:val="nil"/>
            </w:tcBorders>
            <w:shd w:val="clear" w:color="auto" w:fill="auto"/>
            <w:noWrap/>
            <w:vAlign w:val="bottom"/>
          </w:tcPr>
          <w:p w:rsidR="009A1F3F" w:rsidRPr="00577B74" w:rsidRDefault="009A1F3F" w:rsidP="00E76038">
            <w:pPr>
              <w:pStyle w:val="TableColumnHeading"/>
              <w:jc w:val="center"/>
            </w:pPr>
            <w:r w:rsidRPr="00577B74">
              <w:t>Industry shares</w:t>
            </w:r>
          </w:p>
        </w:tc>
      </w:tr>
      <w:tr w:rsidR="009A1F3F" w:rsidRPr="00577B74" w:rsidTr="00C40DCE">
        <w:trPr>
          <w:trHeight w:val="300"/>
        </w:trPr>
        <w:tc>
          <w:tcPr>
            <w:tcW w:w="2155" w:type="dxa"/>
            <w:tcBorders>
              <w:top w:val="nil"/>
              <w:left w:val="nil"/>
              <w:bottom w:val="single" w:sz="4" w:space="0" w:color="auto"/>
              <w:right w:val="nil"/>
            </w:tcBorders>
            <w:shd w:val="clear" w:color="auto" w:fill="auto"/>
            <w:noWrap/>
            <w:vAlign w:val="bottom"/>
            <w:hideMark/>
          </w:tcPr>
          <w:p w:rsidR="009A1F3F" w:rsidRPr="00577B74" w:rsidRDefault="009A1F3F" w:rsidP="005E5264">
            <w:pPr>
              <w:pStyle w:val="TableColumnHeading"/>
            </w:pPr>
          </w:p>
        </w:tc>
        <w:tc>
          <w:tcPr>
            <w:tcW w:w="993" w:type="dxa"/>
            <w:tcBorders>
              <w:top w:val="single" w:sz="4" w:space="0" w:color="auto"/>
              <w:left w:val="nil"/>
              <w:bottom w:val="single" w:sz="4" w:space="0" w:color="auto"/>
              <w:right w:val="nil"/>
            </w:tcBorders>
            <w:shd w:val="clear" w:color="auto" w:fill="auto"/>
            <w:noWrap/>
            <w:vAlign w:val="bottom"/>
            <w:hideMark/>
          </w:tcPr>
          <w:p w:rsidR="009A1F3F" w:rsidRPr="00577B74" w:rsidRDefault="009A1F3F" w:rsidP="005E5264">
            <w:pPr>
              <w:pStyle w:val="TableColumnHeading"/>
            </w:pPr>
            <w:proofErr w:type="spellStart"/>
            <w:r w:rsidRPr="00577B74">
              <w:t>1990s</w:t>
            </w:r>
            <w:proofErr w:type="spellEnd"/>
          </w:p>
        </w:tc>
        <w:tc>
          <w:tcPr>
            <w:tcW w:w="992" w:type="dxa"/>
            <w:tcBorders>
              <w:top w:val="single" w:sz="4" w:space="0" w:color="auto"/>
              <w:left w:val="nil"/>
              <w:bottom w:val="single" w:sz="4" w:space="0" w:color="auto"/>
              <w:right w:val="nil"/>
            </w:tcBorders>
            <w:shd w:val="clear" w:color="auto" w:fill="auto"/>
            <w:noWrap/>
            <w:vAlign w:val="bottom"/>
            <w:hideMark/>
          </w:tcPr>
          <w:p w:rsidR="009A1F3F" w:rsidRPr="00577B74" w:rsidRDefault="009A1F3F" w:rsidP="005E5264">
            <w:pPr>
              <w:pStyle w:val="TableColumnHeading"/>
            </w:pPr>
            <w:proofErr w:type="spellStart"/>
            <w:r w:rsidRPr="00577B74">
              <w:t>2000s</w:t>
            </w:r>
            <w:proofErr w:type="spellEnd"/>
          </w:p>
        </w:tc>
        <w:tc>
          <w:tcPr>
            <w:tcW w:w="1105" w:type="dxa"/>
            <w:tcBorders>
              <w:top w:val="single" w:sz="4" w:space="0" w:color="auto"/>
              <w:left w:val="nil"/>
              <w:bottom w:val="single" w:sz="4" w:space="0" w:color="auto"/>
              <w:right w:val="nil"/>
            </w:tcBorders>
            <w:shd w:val="clear" w:color="auto" w:fill="auto"/>
            <w:noWrap/>
            <w:vAlign w:val="bottom"/>
            <w:hideMark/>
          </w:tcPr>
          <w:p w:rsidR="009A1F3F" w:rsidRPr="00577B74" w:rsidRDefault="00FE37DE" w:rsidP="005E5264">
            <w:pPr>
              <w:pStyle w:val="TableColumnHeading"/>
            </w:pPr>
            <w:r w:rsidRPr="00577B74">
              <w:t>C</w:t>
            </w:r>
            <w:r w:rsidR="009A1F3F" w:rsidRPr="00577B74">
              <w:t>hange</w:t>
            </w:r>
            <w:r>
              <w:t xml:space="preserve"> (pp)</w:t>
            </w:r>
          </w:p>
        </w:tc>
        <w:tc>
          <w:tcPr>
            <w:tcW w:w="241" w:type="dxa"/>
            <w:tcBorders>
              <w:top w:val="nil"/>
              <w:left w:val="nil"/>
              <w:bottom w:val="single" w:sz="4" w:space="0" w:color="auto"/>
              <w:right w:val="nil"/>
            </w:tcBorders>
          </w:tcPr>
          <w:p w:rsidR="009A1F3F" w:rsidRPr="00577B74" w:rsidRDefault="009A1F3F" w:rsidP="005E5264">
            <w:pPr>
              <w:pStyle w:val="TableColumnHeading"/>
            </w:pPr>
          </w:p>
        </w:tc>
        <w:tc>
          <w:tcPr>
            <w:tcW w:w="1165" w:type="dxa"/>
            <w:tcBorders>
              <w:top w:val="single" w:sz="4" w:space="0" w:color="auto"/>
              <w:left w:val="nil"/>
              <w:bottom w:val="single" w:sz="4" w:space="0" w:color="auto"/>
              <w:right w:val="nil"/>
            </w:tcBorders>
            <w:shd w:val="clear" w:color="auto" w:fill="auto"/>
            <w:noWrap/>
            <w:vAlign w:val="bottom"/>
            <w:hideMark/>
          </w:tcPr>
          <w:p w:rsidR="009A1F3F" w:rsidRPr="00577B74" w:rsidRDefault="009A1F3F" w:rsidP="005E5264">
            <w:pPr>
              <w:pStyle w:val="TableColumnHeading"/>
            </w:pPr>
            <w:r w:rsidRPr="00577B74">
              <w:t>1999-00</w:t>
            </w:r>
          </w:p>
        </w:tc>
        <w:tc>
          <w:tcPr>
            <w:tcW w:w="1165" w:type="dxa"/>
            <w:tcBorders>
              <w:top w:val="single" w:sz="4" w:space="0" w:color="auto"/>
              <w:left w:val="nil"/>
              <w:bottom w:val="single" w:sz="4" w:space="0" w:color="auto"/>
              <w:right w:val="nil"/>
            </w:tcBorders>
            <w:shd w:val="clear" w:color="auto" w:fill="auto"/>
            <w:noWrap/>
            <w:vAlign w:val="bottom"/>
            <w:hideMark/>
          </w:tcPr>
          <w:p w:rsidR="009A1F3F" w:rsidRPr="00577B74" w:rsidRDefault="009A1F3F" w:rsidP="005E5264">
            <w:pPr>
              <w:pStyle w:val="TableColumnHeading"/>
            </w:pPr>
            <w:r w:rsidRPr="00577B74">
              <w:t>2009-10</w:t>
            </w:r>
          </w:p>
        </w:tc>
        <w:tc>
          <w:tcPr>
            <w:tcW w:w="1081" w:type="dxa"/>
            <w:tcBorders>
              <w:top w:val="single" w:sz="4" w:space="0" w:color="auto"/>
              <w:left w:val="nil"/>
              <w:bottom w:val="single" w:sz="4" w:space="0" w:color="auto"/>
              <w:right w:val="nil"/>
            </w:tcBorders>
            <w:shd w:val="clear" w:color="auto" w:fill="auto"/>
            <w:noWrap/>
            <w:vAlign w:val="bottom"/>
            <w:hideMark/>
          </w:tcPr>
          <w:p w:rsidR="009A1F3F" w:rsidRPr="00577B74" w:rsidRDefault="00FE37DE" w:rsidP="005E5264">
            <w:pPr>
              <w:pStyle w:val="TableColumnHeading"/>
            </w:pPr>
            <w:r w:rsidRPr="00577B74">
              <w:t>C</w:t>
            </w:r>
            <w:r w:rsidR="009A1F3F" w:rsidRPr="00577B74">
              <w:t>hange</w:t>
            </w:r>
            <w:r>
              <w:t xml:space="preserve"> (pp)</w:t>
            </w:r>
          </w:p>
        </w:tc>
      </w:tr>
      <w:tr w:rsidR="009A1F3F" w:rsidRPr="00577B74" w:rsidTr="00C40DCE">
        <w:trPr>
          <w:trHeight w:val="300"/>
        </w:trPr>
        <w:tc>
          <w:tcPr>
            <w:tcW w:w="2155" w:type="dxa"/>
            <w:tcBorders>
              <w:top w:val="single" w:sz="4" w:space="0" w:color="auto"/>
              <w:left w:val="nil"/>
              <w:bottom w:val="nil"/>
              <w:right w:val="nil"/>
            </w:tcBorders>
            <w:shd w:val="clear" w:color="auto" w:fill="auto"/>
            <w:noWrap/>
            <w:vAlign w:val="bottom"/>
            <w:hideMark/>
          </w:tcPr>
          <w:p w:rsidR="009A1F3F" w:rsidRPr="00577B74" w:rsidRDefault="009A1F3F" w:rsidP="000457C9">
            <w:pPr>
              <w:pStyle w:val="TableBodyText"/>
              <w:spacing w:before="120"/>
              <w:jc w:val="left"/>
            </w:pPr>
            <w:r w:rsidRPr="00577B74">
              <w:t>Agriculture</w:t>
            </w:r>
          </w:p>
        </w:tc>
        <w:tc>
          <w:tcPr>
            <w:tcW w:w="993" w:type="dxa"/>
            <w:tcBorders>
              <w:top w:val="single" w:sz="4" w:space="0" w:color="auto"/>
              <w:left w:val="nil"/>
              <w:bottom w:val="nil"/>
              <w:right w:val="nil"/>
            </w:tcBorders>
            <w:shd w:val="clear" w:color="auto" w:fill="auto"/>
            <w:noWrap/>
            <w:vAlign w:val="bottom"/>
            <w:hideMark/>
          </w:tcPr>
          <w:p w:rsidR="009A1F3F" w:rsidRPr="00577B74" w:rsidRDefault="009A1F3F" w:rsidP="000457C9">
            <w:pPr>
              <w:pStyle w:val="TableBodyText"/>
              <w:spacing w:before="120"/>
            </w:pPr>
            <w:r w:rsidRPr="00577B74">
              <w:t>0.3</w:t>
            </w:r>
          </w:p>
        </w:tc>
        <w:tc>
          <w:tcPr>
            <w:tcW w:w="992" w:type="dxa"/>
            <w:tcBorders>
              <w:top w:val="single" w:sz="4" w:space="0" w:color="auto"/>
              <w:left w:val="nil"/>
              <w:bottom w:val="nil"/>
              <w:right w:val="nil"/>
            </w:tcBorders>
            <w:shd w:val="clear" w:color="auto" w:fill="auto"/>
            <w:noWrap/>
            <w:vAlign w:val="bottom"/>
            <w:hideMark/>
          </w:tcPr>
          <w:p w:rsidR="009A1F3F" w:rsidRPr="00577B74" w:rsidRDefault="009A1F3F" w:rsidP="000457C9">
            <w:pPr>
              <w:pStyle w:val="TableBodyText"/>
              <w:spacing w:before="120"/>
            </w:pPr>
            <w:r w:rsidRPr="00577B74">
              <w:t>4.7</w:t>
            </w:r>
          </w:p>
        </w:tc>
        <w:tc>
          <w:tcPr>
            <w:tcW w:w="1105" w:type="dxa"/>
            <w:tcBorders>
              <w:top w:val="single" w:sz="4" w:space="0" w:color="auto"/>
              <w:left w:val="nil"/>
              <w:bottom w:val="nil"/>
              <w:right w:val="nil"/>
            </w:tcBorders>
            <w:shd w:val="clear" w:color="auto" w:fill="auto"/>
            <w:noWrap/>
            <w:vAlign w:val="bottom"/>
            <w:hideMark/>
          </w:tcPr>
          <w:p w:rsidR="009A1F3F" w:rsidRPr="00577B74" w:rsidRDefault="009A1F3F" w:rsidP="000457C9">
            <w:pPr>
              <w:pStyle w:val="TableBodyText"/>
              <w:spacing w:before="120"/>
            </w:pPr>
            <w:r w:rsidRPr="00577B74">
              <w:t>4.5</w:t>
            </w:r>
          </w:p>
        </w:tc>
        <w:tc>
          <w:tcPr>
            <w:tcW w:w="241" w:type="dxa"/>
            <w:tcBorders>
              <w:top w:val="single" w:sz="4" w:space="0" w:color="auto"/>
              <w:left w:val="nil"/>
              <w:bottom w:val="nil"/>
              <w:right w:val="nil"/>
            </w:tcBorders>
          </w:tcPr>
          <w:p w:rsidR="009A1F3F" w:rsidRPr="00577B74" w:rsidRDefault="009A1F3F" w:rsidP="000457C9">
            <w:pPr>
              <w:pStyle w:val="TableBodyText"/>
              <w:spacing w:before="120"/>
            </w:pPr>
          </w:p>
        </w:tc>
        <w:tc>
          <w:tcPr>
            <w:tcW w:w="1165" w:type="dxa"/>
            <w:tcBorders>
              <w:top w:val="single" w:sz="4" w:space="0" w:color="auto"/>
              <w:left w:val="nil"/>
              <w:bottom w:val="nil"/>
              <w:right w:val="nil"/>
            </w:tcBorders>
            <w:shd w:val="clear" w:color="auto" w:fill="auto"/>
            <w:noWrap/>
            <w:vAlign w:val="bottom"/>
            <w:hideMark/>
          </w:tcPr>
          <w:p w:rsidR="009A1F3F" w:rsidRPr="00577B74" w:rsidRDefault="009A1F3F" w:rsidP="000457C9">
            <w:pPr>
              <w:pStyle w:val="TableBodyText"/>
              <w:spacing w:before="120"/>
            </w:pPr>
            <w:r w:rsidRPr="00577B74">
              <w:t>6.5</w:t>
            </w:r>
          </w:p>
        </w:tc>
        <w:tc>
          <w:tcPr>
            <w:tcW w:w="1165" w:type="dxa"/>
            <w:tcBorders>
              <w:top w:val="single" w:sz="4" w:space="0" w:color="auto"/>
              <w:left w:val="nil"/>
              <w:bottom w:val="nil"/>
              <w:right w:val="nil"/>
            </w:tcBorders>
            <w:shd w:val="clear" w:color="auto" w:fill="auto"/>
            <w:noWrap/>
            <w:vAlign w:val="bottom"/>
            <w:hideMark/>
          </w:tcPr>
          <w:p w:rsidR="009A1F3F" w:rsidRPr="00577B74" w:rsidRDefault="009A1F3F" w:rsidP="000457C9">
            <w:pPr>
              <w:pStyle w:val="TableBodyText"/>
              <w:spacing w:before="120"/>
            </w:pPr>
            <w:r w:rsidRPr="00577B74">
              <w:t>4.9</w:t>
            </w:r>
          </w:p>
        </w:tc>
        <w:tc>
          <w:tcPr>
            <w:tcW w:w="1081" w:type="dxa"/>
            <w:tcBorders>
              <w:top w:val="single" w:sz="4" w:space="0" w:color="auto"/>
              <w:left w:val="nil"/>
              <w:bottom w:val="nil"/>
              <w:right w:val="nil"/>
            </w:tcBorders>
            <w:shd w:val="clear" w:color="auto" w:fill="auto"/>
            <w:noWrap/>
            <w:vAlign w:val="bottom"/>
            <w:hideMark/>
          </w:tcPr>
          <w:p w:rsidR="009A1F3F" w:rsidRPr="00577B74" w:rsidRDefault="009A1F3F" w:rsidP="000457C9">
            <w:pPr>
              <w:pStyle w:val="TableBodyText"/>
              <w:spacing w:before="120"/>
            </w:pPr>
            <w:r w:rsidRPr="00577B74">
              <w:t>-1.6</w:t>
            </w:r>
          </w:p>
        </w:tc>
      </w:tr>
      <w:tr w:rsidR="009A1F3F" w:rsidRPr="00577B74" w:rsidTr="00C40DCE">
        <w:trPr>
          <w:trHeight w:val="300"/>
        </w:trPr>
        <w:tc>
          <w:tcPr>
            <w:tcW w:w="2155" w:type="dxa"/>
            <w:tcBorders>
              <w:top w:val="nil"/>
              <w:left w:val="nil"/>
              <w:bottom w:val="nil"/>
              <w:right w:val="nil"/>
            </w:tcBorders>
            <w:shd w:val="clear" w:color="auto" w:fill="auto"/>
            <w:noWrap/>
            <w:vAlign w:val="bottom"/>
            <w:hideMark/>
          </w:tcPr>
          <w:p w:rsidR="009A1F3F" w:rsidRPr="00577B74" w:rsidRDefault="009A1F3F" w:rsidP="000457C9">
            <w:pPr>
              <w:pStyle w:val="TableBodyText"/>
              <w:jc w:val="left"/>
            </w:pPr>
            <w:r w:rsidRPr="00577B74">
              <w:t>Mining</w:t>
            </w:r>
          </w:p>
        </w:tc>
        <w:tc>
          <w:tcPr>
            <w:tcW w:w="993"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5.1</w:t>
            </w:r>
          </w:p>
        </w:tc>
        <w:tc>
          <w:tcPr>
            <w:tcW w:w="992"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12.7</w:t>
            </w:r>
          </w:p>
        </w:tc>
        <w:tc>
          <w:tcPr>
            <w:tcW w:w="110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7.6</w:t>
            </w:r>
          </w:p>
        </w:tc>
        <w:tc>
          <w:tcPr>
            <w:tcW w:w="241" w:type="dxa"/>
            <w:tcBorders>
              <w:top w:val="nil"/>
              <w:left w:val="nil"/>
              <w:bottom w:val="nil"/>
              <w:right w:val="nil"/>
            </w:tcBorders>
          </w:tcPr>
          <w:p w:rsidR="009A1F3F" w:rsidRPr="00577B74" w:rsidRDefault="009A1F3F" w:rsidP="000457C9">
            <w:pPr>
              <w:pStyle w:val="TableBodyText"/>
            </w:pP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12.3</w:t>
            </w: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20.7</w:t>
            </w:r>
          </w:p>
        </w:tc>
        <w:tc>
          <w:tcPr>
            <w:tcW w:w="1081"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8.4</w:t>
            </w:r>
          </w:p>
        </w:tc>
      </w:tr>
      <w:tr w:rsidR="009A1F3F" w:rsidRPr="00577B74" w:rsidTr="00C40DCE">
        <w:trPr>
          <w:trHeight w:val="300"/>
        </w:trPr>
        <w:tc>
          <w:tcPr>
            <w:tcW w:w="2155" w:type="dxa"/>
            <w:tcBorders>
              <w:top w:val="nil"/>
              <w:left w:val="nil"/>
              <w:bottom w:val="nil"/>
              <w:right w:val="nil"/>
            </w:tcBorders>
            <w:shd w:val="clear" w:color="auto" w:fill="auto"/>
            <w:noWrap/>
            <w:vAlign w:val="bottom"/>
            <w:hideMark/>
          </w:tcPr>
          <w:p w:rsidR="009A1F3F" w:rsidRPr="00577B74" w:rsidRDefault="009A1F3F" w:rsidP="000457C9">
            <w:pPr>
              <w:pStyle w:val="TableBodyText"/>
              <w:jc w:val="left"/>
            </w:pPr>
            <w:r w:rsidRPr="00577B74">
              <w:t>Manufacturing</w:t>
            </w:r>
          </w:p>
        </w:tc>
        <w:tc>
          <w:tcPr>
            <w:tcW w:w="993"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3.6</w:t>
            </w:r>
          </w:p>
        </w:tc>
        <w:tc>
          <w:tcPr>
            <w:tcW w:w="992"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2.7</w:t>
            </w:r>
          </w:p>
        </w:tc>
        <w:tc>
          <w:tcPr>
            <w:tcW w:w="110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-0.9</w:t>
            </w:r>
          </w:p>
        </w:tc>
        <w:tc>
          <w:tcPr>
            <w:tcW w:w="241" w:type="dxa"/>
            <w:tcBorders>
              <w:top w:val="nil"/>
              <w:left w:val="nil"/>
              <w:bottom w:val="nil"/>
              <w:right w:val="nil"/>
            </w:tcBorders>
          </w:tcPr>
          <w:p w:rsidR="009A1F3F" w:rsidRPr="00577B74" w:rsidRDefault="009A1F3F" w:rsidP="000457C9">
            <w:pPr>
              <w:pStyle w:val="TableBodyText"/>
            </w:pP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18.9</w:t>
            </w: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11.7</w:t>
            </w:r>
          </w:p>
        </w:tc>
        <w:tc>
          <w:tcPr>
            <w:tcW w:w="1081"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-7.2</w:t>
            </w:r>
          </w:p>
        </w:tc>
      </w:tr>
      <w:tr w:rsidR="009A1F3F" w:rsidRPr="00577B74" w:rsidTr="00C40DCE">
        <w:trPr>
          <w:trHeight w:val="300"/>
        </w:trPr>
        <w:tc>
          <w:tcPr>
            <w:tcW w:w="2155" w:type="dxa"/>
            <w:tcBorders>
              <w:top w:val="nil"/>
              <w:left w:val="nil"/>
              <w:bottom w:val="nil"/>
              <w:right w:val="nil"/>
            </w:tcBorders>
            <w:shd w:val="clear" w:color="auto" w:fill="auto"/>
            <w:noWrap/>
            <w:vAlign w:val="bottom"/>
            <w:hideMark/>
          </w:tcPr>
          <w:p w:rsidR="009A1F3F" w:rsidRPr="00577B74" w:rsidRDefault="00FE37DE" w:rsidP="000457C9">
            <w:pPr>
              <w:pStyle w:val="TableBodyText"/>
              <w:jc w:val="left"/>
            </w:pPr>
            <w:r>
              <w:t>Utilities</w:t>
            </w:r>
          </w:p>
        </w:tc>
        <w:tc>
          <w:tcPr>
            <w:tcW w:w="993"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2.9</w:t>
            </w:r>
          </w:p>
        </w:tc>
        <w:tc>
          <w:tcPr>
            <w:tcW w:w="992"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5.4</w:t>
            </w:r>
          </w:p>
        </w:tc>
        <w:tc>
          <w:tcPr>
            <w:tcW w:w="110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2.5</w:t>
            </w:r>
          </w:p>
        </w:tc>
        <w:tc>
          <w:tcPr>
            <w:tcW w:w="241" w:type="dxa"/>
            <w:tcBorders>
              <w:top w:val="nil"/>
              <w:left w:val="nil"/>
              <w:bottom w:val="nil"/>
              <w:right w:val="nil"/>
            </w:tcBorders>
          </w:tcPr>
          <w:p w:rsidR="009A1F3F" w:rsidRPr="00577B74" w:rsidRDefault="009A1F3F" w:rsidP="000457C9">
            <w:pPr>
              <w:pStyle w:val="TableBodyText"/>
            </w:pP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6.4</w:t>
            </w: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5.2</w:t>
            </w:r>
          </w:p>
        </w:tc>
        <w:tc>
          <w:tcPr>
            <w:tcW w:w="1081"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-1.2</w:t>
            </w:r>
          </w:p>
        </w:tc>
      </w:tr>
      <w:tr w:rsidR="009A1F3F" w:rsidRPr="00577B74" w:rsidTr="00C40DCE">
        <w:trPr>
          <w:trHeight w:val="300"/>
        </w:trPr>
        <w:tc>
          <w:tcPr>
            <w:tcW w:w="2155" w:type="dxa"/>
            <w:tcBorders>
              <w:top w:val="nil"/>
              <w:left w:val="nil"/>
              <w:bottom w:val="nil"/>
              <w:right w:val="nil"/>
            </w:tcBorders>
            <w:shd w:val="clear" w:color="auto" w:fill="auto"/>
            <w:noWrap/>
            <w:vAlign w:val="bottom"/>
            <w:hideMark/>
          </w:tcPr>
          <w:p w:rsidR="009A1F3F" w:rsidRPr="00577B74" w:rsidRDefault="009A1F3F" w:rsidP="000457C9">
            <w:pPr>
              <w:pStyle w:val="TableBodyText"/>
              <w:jc w:val="left"/>
            </w:pPr>
            <w:r w:rsidRPr="00577B74">
              <w:t>Construction</w:t>
            </w:r>
          </w:p>
        </w:tc>
        <w:tc>
          <w:tcPr>
            <w:tcW w:w="993"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4.0</w:t>
            </w:r>
          </w:p>
        </w:tc>
        <w:tc>
          <w:tcPr>
            <w:tcW w:w="992"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9.8</w:t>
            </w:r>
          </w:p>
        </w:tc>
        <w:tc>
          <w:tcPr>
            <w:tcW w:w="110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5.8</w:t>
            </w:r>
          </w:p>
        </w:tc>
        <w:tc>
          <w:tcPr>
            <w:tcW w:w="241" w:type="dxa"/>
            <w:tcBorders>
              <w:top w:val="nil"/>
              <w:left w:val="nil"/>
              <w:bottom w:val="nil"/>
              <w:right w:val="nil"/>
            </w:tcBorders>
          </w:tcPr>
          <w:p w:rsidR="009A1F3F" w:rsidRPr="00577B74" w:rsidRDefault="009A1F3F" w:rsidP="000457C9">
            <w:pPr>
              <w:pStyle w:val="TableBodyText"/>
            </w:pP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6.5</w:t>
            </w: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8.1</w:t>
            </w:r>
          </w:p>
        </w:tc>
        <w:tc>
          <w:tcPr>
            <w:tcW w:w="1081"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1.7</w:t>
            </w:r>
          </w:p>
        </w:tc>
      </w:tr>
      <w:tr w:rsidR="009A1F3F" w:rsidRPr="00577B74" w:rsidTr="00C40DCE">
        <w:trPr>
          <w:trHeight w:val="300"/>
        </w:trPr>
        <w:tc>
          <w:tcPr>
            <w:tcW w:w="2155" w:type="dxa"/>
            <w:tcBorders>
              <w:top w:val="nil"/>
              <w:left w:val="nil"/>
              <w:bottom w:val="nil"/>
              <w:right w:val="nil"/>
            </w:tcBorders>
            <w:shd w:val="clear" w:color="auto" w:fill="auto"/>
            <w:noWrap/>
            <w:vAlign w:val="bottom"/>
            <w:hideMark/>
          </w:tcPr>
          <w:p w:rsidR="009A1F3F" w:rsidRPr="00577B74" w:rsidRDefault="009A1F3F" w:rsidP="000457C9">
            <w:pPr>
              <w:pStyle w:val="TableBodyText"/>
              <w:jc w:val="left"/>
            </w:pPr>
            <w:r w:rsidRPr="00577B74">
              <w:t>Wholesale</w:t>
            </w:r>
          </w:p>
        </w:tc>
        <w:tc>
          <w:tcPr>
            <w:tcW w:w="993"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3.6</w:t>
            </w:r>
          </w:p>
        </w:tc>
        <w:tc>
          <w:tcPr>
            <w:tcW w:w="992"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6.3</w:t>
            </w:r>
          </w:p>
        </w:tc>
        <w:tc>
          <w:tcPr>
            <w:tcW w:w="110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2.7</w:t>
            </w:r>
          </w:p>
        </w:tc>
        <w:tc>
          <w:tcPr>
            <w:tcW w:w="241" w:type="dxa"/>
            <w:tcBorders>
              <w:top w:val="nil"/>
              <w:left w:val="nil"/>
              <w:bottom w:val="nil"/>
              <w:right w:val="nil"/>
            </w:tcBorders>
          </w:tcPr>
          <w:p w:rsidR="009A1F3F" w:rsidRPr="00577B74" w:rsidRDefault="009A1F3F" w:rsidP="000457C9">
            <w:pPr>
              <w:pStyle w:val="TableBodyText"/>
            </w:pP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5.6</w:t>
            </w: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5.0</w:t>
            </w:r>
          </w:p>
        </w:tc>
        <w:tc>
          <w:tcPr>
            <w:tcW w:w="1081"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-0.6</w:t>
            </w:r>
          </w:p>
        </w:tc>
      </w:tr>
      <w:tr w:rsidR="009A1F3F" w:rsidRPr="00577B74" w:rsidTr="00C40DCE">
        <w:trPr>
          <w:trHeight w:val="300"/>
        </w:trPr>
        <w:tc>
          <w:tcPr>
            <w:tcW w:w="2155" w:type="dxa"/>
            <w:tcBorders>
              <w:top w:val="nil"/>
              <w:left w:val="nil"/>
              <w:bottom w:val="nil"/>
              <w:right w:val="nil"/>
            </w:tcBorders>
            <w:shd w:val="clear" w:color="auto" w:fill="auto"/>
            <w:noWrap/>
            <w:vAlign w:val="bottom"/>
            <w:hideMark/>
          </w:tcPr>
          <w:p w:rsidR="009A1F3F" w:rsidRPr="00577B74" w:rsidRDefault="009A1F3F" w:rsidP="000457C9">
            <w:pPr>
              <w:pStyle w:val="TableBodyText"/>
              <w:jc w:val="left"/>
            </w:pPr>
            <w:r w:rsidRPr="00577B74">
              <w:t>Retail</w:t>
            </w:r>
          </w:p>
        </w:tc>
        <w:tc>
          <w:tcPr>
            <w:tcW w:w="993"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2.6</w:t>
            </w:r>
          </w:p>
        </w:tc>
        <w:tc>
          <w:tcPr>
            <w:tcW w:w="992"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8.3</w:t>
            </w:r>
          </w:p>
        </w:tc>
        <w:tc>
          <w:tcPr>
            <w:tcW w:w="110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5.8</w:t>
            </w:r>
          </w:p>
        </w:tc>
        <w:tc>
          <w:tcPr>
            <w:tcW w:w="241" w:type="dxa"/>
            <w:tcBorders>
              <w:top w:val="nil"/>
              <w:left w:val="nil"/>
              <w:bottom w:val="nil"/>
              <w:right w:val="nil"/>
            </w:tcBorders>
          </w:tcPr>
          <w:p w:rsidR="009A1F3F" w:rsidRPr="00577B74" w:rsidRDefault="009A1F3F" w:rsidP="000457C9">
            <w:pPr>
              <w:pStyle w:val="TableBodyText"/>
            </w:pP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3.9</w:t>
            </w: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4.3</w:t>
            </w:r>
          </w:p>
        </w:tc>
        <w:tc>
          <w:tcPr>
            <w:tcW w:w="1081"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0.4</w:t>
            </w:r>
          </w:p>
        </w:tc>
      </w:tr>
      <w:tr w:rsidR="009A1F3F" w:rsidRPr="00577B74" w:rsidTr="00C40DCE">
        <w:trPr>
          <w:trHeight w:val="300"/>
        </w:trPr>
        <w:tc>
          <w:tcPr>
            <w:tcW w:w="2155" w:type="dxa"/>
            <w:tcBorders>
              <w:top w:val="nil"/>
              <w:left w:val="nil"/>
              <w:bottom w:val="nil"/>
              <w:right w:val="nil"/>
            </w:tcBorders>
            <w:shd w:val="clear" w:color="auto" w:fill="auto"/>
            <w:noWrap/>
            <w:vAlign w:val="bottom"/>
            <w:hideMark/>
          </w:tcPr>
          <w:p w:rsidR="009A1F3F" w:rsidRPr="00577B74" w:rsidRDefault="009A1F3F" w:rsidP="000457C9">
            <w:pPr>
              <w:pStyle w:val="TableBodyText"/>
              <w:jc w:val="left"/>
            </w:pPr>
            <w:r w:rsidRPr="00577B74">
              <w:t>Accommodation</w:t>
            </w:r>
          </w:p>
        </w:tc>
        <w:tc>
          <w:tcPr>
            <w:tcW w:w="993"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5.4</w:t>
            </w:r>
          </w:p>
        </w:tc>
        <w:tc>
          <w:tcPr>
            <w:tcW w:w="992"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9.2</w:t>
            </w:r>
          </w:p>
        </w:tc>
        <w:tc>
          <w:tcPr>
            <w:tcW w:w="110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3.7</w:t>
            </w:r>
          </w:p>
        </w:tc>
        <w:tc>
          <w:tcPr>
            <w:tcW w:w="241" w:type="dxa"/>
            <w:tcBorders>
              <w:top w:val="nil"/>
              <w:left w:val="nil"/>
              <w:bottom w:val="nil"/>
              <w:right w:val="nil"/>
            </w:tcBorders>
          </w:tcPr>
          <w:p w:rsidR="009A1F3F" w:rsidRPr="00577B74" w:rsidRDefault="009A1F3F" w:rsidP="000457C9">
            <w:pPr>
              <w:pStyle w:val="TableBodyText"/>
            </w:pP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1.9</w:t>
            </w: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2.2</w:t>
            </w:r>
          </w:p>
        </w:tc>
        <w:tc>
          <w:tcPr>
            <w:tcW w:w="1081"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0.3</w:t>
            </w:r>
          </w:p>
        </w:tc>
      </w:tr>
      <w:tr w:rsidR="009A1F3F" w:rsidRPr="00577B74" w:rsidTr="00C40DCE">
        <w:trPr>
          <w:trHeight w:val="300"/>
        </w:trPr>
        <w:tc>
          <w:tcPr>
            <w:tcW w:w="2155" w:type="dxa"/>
            <w:tcBorders>
              <w:top w:val="nil"/>
              <w:left w:val="nil"/>
              <w:bottom w:val="nil"/>
              <w:right w:val="nil"/>
            </w:tcBorders>
            <w:shd w:val="clear" w:color="auto" w:fill="auto"/>
            <w:noWrap/>
            <w:vAlign w:val="bottom"/>
            <w:hideMark/>
          </w:tcPr>
          <w:p w:rsidR="009A1F3F" w:rsidRPr="00577B74" w:rsidRDefault="009A1F3F" w:rsidP="000457C9">
            <w:pPr>
              <w:pStyle w:val="TableBodyText"/>
              <w:jc w:val="left"/>
            </w:pPr>
            <w:r w:rsidRPr="00577B74">
              <w:t>Transport</w:t>
            </w:r>
          </w:p>
        </w:tc>
        <w:tc>
          <w:tcPr>
            <w:tcW w:w="993"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5.1</w:t>
            </w:r>
          </w:p>
        </w:tc>
        <w:tc>
          <w:tcPr>
            <w:tcW w:w="992"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7.4</w:t>
            </w:r>
          </w:p>
        </w:tc>
        <w:tc>
          <w:tcPr>
            <w:tcW w:w="110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2.3</w:t>
            </w:r>
          </w:p>
        </w:tc>
        <w:tc>
          <w:tcPr>
            <w:tcW w:w="241" w:type="dxa"/>
            <w:tcBorders>
              <w:top w:val="nil"/>
              <w:left w:val="nil"/>
              <w:bottom w:val="nil"/>
              <w:right w:val="nil"/>
            </w:tcBorders>
          </w:tcPr>
          <w:p w:rsidR="009A1F3F" w:rsidRPr="00577B74" w:rsidRDefault="009A1F3F" w:rsidP="000457C9">
            <w:pPr>
              <w:pStyle w:val="TableBodyText"/>
            </w:pP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7.3</w:t>
            </w: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7.2</w:t>
            </w:r>
          </w:p>
        </w:tc>
        <w:tc>
          <w:tcPr>
            <w:tcW w:w="1081"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-0.1</w:t>
            </w:r>
          </w:p>
        </w:tc>
      </w:tr>
      <w:tr w:rsidR="009A1F3F" w:rsidRPr="00577B74" w:rsidTr="00C40DCE">
        <w:trPr>
          <w:trHeight w:val="300"/>
        </w:trPr>
        <w:tc>
          <w:tcPr>
            <w:tcW w:w="2155" w:type="dxa"/>
            <w:tcBorders>
              <w:top w:val="nil"/>
              <w:left w:val="nil"/>
              <w:bottom w:val="nil"/>
              <w:right w:val="nil"/>
            </w:tcBorders>
            <w:shd w:val="clear" w:color="auto" w:fill="auto"/>
            <w:noWrap/>
            <w:vAlign w:val="bottom"/>
            <w:hideMark/>
          </w:tcPr>
          <w:p w:rsidR="009A1F3F" w:rsidRPr="00577B74" w:rsidRDefault="009A1F3F" w:rsidP="000457C9">
            <w:pPr>
              <w:pStyle w:val="TableBodyText"/>
              <w:jc w:val="left"/>
            </w:pPr>
            <w:r w:rsidRPr="00577B74">
              <w:t>Telecoms</w:t>
            </w:r>
          </w:p>
        </w:tc>
        <w:tc>
          <w:tcPr>
            <w:tcW w:w="993"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7.9</w:t>
            </w:r>
          </w:p>
        </w:tc>
        <w:tc>
          <w:tcPr>
            <w:tcW w:w="992"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6.0</w:t>
            </w:r>
          </w:p>
        </w:tc>
        <w:tc>
          <w:tcPr>
            <w:tcW w:w="110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-1.9</w:t>
            </w:r>
          </w:p>
        </w:tc>
        <w:tc>
          <w:tcPr>
            <w:tcW w:w="241" w:type="dxa"/>
            <w:tcBorders>
              <w:top w:val="nil"/>
              <w:left w:val="nil"/>
              <w:bottom w:val="nil"/>
              <w:right w:val="nil"/>
            </w:tcBorders>
          </w:tcPr>
          <w:p w:rsidR="009A1F3F" w:rsidRPr="00577B74" w:rsidRDefault="009A1F3F" w:rsidP="000457C9">
            <w:pPr>
              <w:pStyle w:val="TableBodyText"/>
            </w:pP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8.6</w:t>
            </w: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7.4</w:t>
            </w:r>
          </w:p>
        </w:tc>
        <w:tc>
          <w:tcPr>
            <w:tcW w:w="1081"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-1.2</w:t>
            </w:r>
          </w:p>
        </w:tc>
      </w:tr>
      <w:tr w:rsidR="009A1F3F" w:rsidRPr="00577B74" w:rsidTr="00C40DCE">
        <w:trPr>
          <w:trHeight w:val="300"/>
        </w:trPr>
        <w:tc>
          <w:tcPr>
            <w:tcW w:w="2155" w:type="dxa"/>
            <w:tcBorders>
              <w:top w:val="nil"/>
              <w:left w:val="nil"/>
              <w:bottom w:val="nil"/>
              <w:right w:val="nil"/>
            </w:tcBorders>
            <w:shd w:val="clear" w:color="auto" w:fill="auto"/>
            <w:noWrap/>
            <w:vAlign w:val="bottom"/>
            <w:hideMark/>
          </w:tcPr>
          <w:p w:rsidR="009A1F3F" w:rsidRPr="00577B74" w:rsidRDefault="009A1F3F" w:rsidP="000457C9">
            <w:pPr>
              <w:pStyle w:val="TableBodyText"/>
              <w:jc w:val="left"/>
            </w:pPr>
            <w:r w:rsidRPr="00577B74">
              <w:t>Financ</w:t>
            </w:r>
            <w:r w:rsidR="000457C9">
              <w:t>e</w:t>
            </w:r>
          </w:p>
        </w:tc>
        <w:tc>
          <w:tcPr>
            <w:tcW w:w="993"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11.5</w:t>
            </w:r>
          </w:p>
        </w:tc>
        <w:tc>
          <w:tcPr>
            <w:tcW w:w="992"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8.3</w:t>
            </w:r>
          </w:p>
        </w:tc>
        <w:tc>
          <w:tcPr>
            <w:tcW w:w="110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-3.2</w:t>
            </w:r>
          </w:p>
        </w:tc>
        <w:tc>
          <w:tcPr>
            <w:tcW w:w="241" w:type="dxa"/>
            <w:tcBorders>
              <w:top w:val="nil"/>
              <w:left w:val="nil"/>
              <w:bottom w:val="nil"/>
              <w:right w:val="nil"/>
            </w:tcBorders>
          </w:tcPr>
          <w:p w:rsidR="009A1F3F" w:rsidRPr="00577B74" w:rsidRDefault="009A1F3F" w:rsidP="000457C9">
            <w:pPr>
              <w:pStyle w:val="TableBodyText"/>
            </w:pP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15.4</w:t>
            </w:r>
          </w:p>
        </w:tc>
        <w:tc>
          <w:tcPr>
            <w:tcW w:w="1165"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16.8</w:t>
            </w:r>
          </w:p>
        </w:tc>
        <w:tc>
          <w:tcPr>
            <w:tcW w:w="1081" w:type="dxa"/>
            <w:tcBorders>
              <w:top w:val="nil"/>
              <w:left w:val="nil"/>
              <w:bottom w:val="nil"/>
              <w:right w:val="nil"/>
            </w:tcBorders>
            <w:shd w:val="clear" w:color="auto" w:fill="auto"/>
            <w:noWrap/>
            <w:vAlign w:val="bottom"/>
            <w:hideMark/>
          </w:tcPr>
          <w:p w:rsidR="009A1F3F" w:rsidRPr="00577B74" w:rsidRDefault="009A1F3F" w:rsidP="000457C9">
            <w:pPr>
              <w:pStyle w:val="TableBodyText"/>
            </w:pPr>
            <w:r w:rsidRPr="00577B74">
              <w:t>1.4</w:t>
            </w:r>
          </w:p>
        </w:tc>
      </w:tr>
      <w:tr w:rsidR="009A1F3F" w:rsidRPr="00577B74" w:rsidTr="00C40DCE">
        <w:trPr>
          <w:trHeight w:val="300"/>
        </w:trPr>
        <w:tc>
          <w:tcPr>
            <w:tcW w:w="2155" w:type="dxa"/>
            <w:tcBorders>
              <w:top w:val="nil"/>
              <w:left w:val="nil"/>
              <w:right w:val="nil"/>
            </w:tcBorders>
            <w:shd w:val="clear" w:color="auto" w:fill="auto"/>
            <w:noWrap/>
            <w:vAlign w:val="bottom"/>
            <w:hideMark/>
          </w:tcPr>
          <w:p w:rsidR="009A1F3F" w:rsidRPr="00577B74" w:rsidRDefault="009A1F3F" w:rsidP="000457C9">
            <w:pPr>
              <w:pStyle w:val="TableBodyText"/>
              <w:jc w:val="left"/>
            </w:pPr>
            <w:r w:rsidRPr="00577B74">
              <w:t>Arts &amp; rec</w:t>
            </w:r>
          </w:p>
        </w:tc>
        <w:tc>
          <w:tcPr>
            <w:tcW w:w="993" w:type="dxa"/>
            <w:tcBorders>
              <w:top w:val="nil"/>
              <w:left w:val="nil"/>
              <w:right w:val="nil"/>
            </w:tcBorders>
            <w:shd w:val="clear" w:color="auto" w:fill="auto"/>
            <w:noWrap/>
            <w:vAlign w:val="bottom"/>
            <w:hideMark/>
          </w:tcPr>
          <w:p w:rsidR="009A1F3F" w:rsidRPr="00577B74" w:rsidRDefault="009A1F3F" w:rsidP="000457C9">
            <w:pPr>
              <w:pStyle w:val="TableBodyText"/>
            </w:pPr>
            <w:r w:rsidRPr="00577B74">
              <w:t>4.8</w:t>
            </w:r>
          </w:p>
        </w:tc>
        <w:tc>
          <w:tcPr>
            <w:tcW w:w="992" w:type="dxa"/>
            <w:tcBorders>
              <w:top w:val="nil"/>
              <w:left w:val="nil"/>
              <w:right w:val="nil"/>
            </w:tcBorders>
            <w:shd w:val="clear" w:color="auto" w:fill="auto"/>
            <w:noWrap/>
            <w:vAlign w:val="bottom"/>
            <w:hideMark/>
          </w:tcPr>
          <w:p w:rsidR="009A1F3F" w:rsidRPr="00577B74" w:rsidRDefault="009A1F3F" w:rsidP="000457C9">
            <w:pPr>
              <w:pStyle w:val="TableBodyText"/>
            </w:pPr>
            <w:r w:rsidRPr="00577B74">
              <w:t>6.9</w:t>
            </w:r>
          </w:p>
        </w:tc>
        <w:tc>
          <w:tcPr>
            <w:tcW w:w="1105" w:type="dxa"/>
            <w:tcBorders>
              <w:top w:val="nil"/>
              <w:left w:val="nil"/>
              <w:right w:val="nil"/>
            </w:tcBorders>
            <w:shd w:val="clear" w:color="auto" w:fill="auto"/>
            <w:noWrap/>
            <w:vAlign w:val="bottom"/>
            <w:hideMark/>
          </w:tcPr>
          <w:p w:rsidR="009A1F3F" w:rsidRPr="00577B74" w:rsidRDefault="009A1F3F" w:rsidP="000457C9">
            <w:pPr>
              <w:pStyle w:val="TableBodyText"/>
            </w:pPr>
            <w:r w:rsidRPr="00577B74">
              <w:t>2.1</w:t>
            </w:r>
          </w:p>
        </w:tc>
        <w:tc>
          <w:tcPr>
            <w:tcW w:w="241" w:type="dxa"/>
            <w:tcBorders>
              <w:top w:val="nil"/>
              <w:left w:val="nil"/>
              <w:right w:val="nil"/>
            </w:tcBorders>
          </w:tcPr>
          <w:p w:rsidR="009A1F3F" w:rsidRPr="00577B74" w:rsidRDefault="009A1F3F" w:rsidP="000457C9">
            <w:pPr>
              <w:pStyle w:val="TableBodyText"/>
            </w:pPr>
          </w:p>
        </w:tc>
        <w:tc>
          <w:tcPr>
            <w:tcW w:w="1165" w:type="dxa"/>
            <w:tcBorders>
              <w:top w:val="nil"/>
              <w:left w:val="nil"/>
              <w:right w:val="nil"/>
            </w:tcBorders>
            <w:shd w:val="clear" w:color="auto" w:fill="auto"/>
            <w:noWrap/>
            <w:vAlign w:val="bottom"/>
            <w:hideMark/>
          </w:tcPr>
          <w:p w:rsidR="009A1F3F" w:rsidRPr="00577B74" w:rsidRDefault="009A1F3F" w:rsidP="000457C9">
            <w:pPr>
              <w:pStyle w:val="TableBodyText"/>
            </w:pPr>
            <w:r w:rsidRPr="00577B74">
              <w:t>6.8</w:t>
            </w:r>
          </w:p>
        </w:tc>
        <w:tc>
          <w:tcPr>
            <w:tcW w:w="1165" w:type="dxa"/>
            <w:tcBorders>
              <w:top w:val="nil"/>
              <w:left w:val="nil"/>
              <w:right w:val="nil"/>
            </w:tcBorders>
            <w:shd w:val="clear" w:color="auto" w:fill="auto"/>
            <w:noWrap/>
            <w:vAlign w:val="bottom"/>
            <w:hideMark/>
          </w:tcPr>
          <w:p w:rsidR="009A1F3F" w:rsidRPr="00577B74" w:rsidRDefault="009A1F3F" w:rsidP="000457C9">
            <w:pPr>
              <w:pStyle w:val="TableBodyText"/>
            </w:pPr>
            <w:r w:rsidRPr="00577B74">
              <w:t>6.4</w:t>
            </w:r>
          </w:p>
        </w:tc>
        <w:tc>
          <w:tcPr>
            <w:tcW w:w="1081" w:type="dxa"/>
            <w:tcBorders>
              <w:top w:val="nil"/>
              <w:left w:val="nil"/>
              <w:right w:val="nil"/>
            </w:tcBorders>
            <w:shd w:val="clear" w:color="auto" w:fill="auto"/>
            <w:noWrap/>
            <w:vAlign w:val="bottom"/>
            <w:hideMark/>
          </w:tcPr>
          <w:p w:rsidR="009A1F3F" w:rsidRPr="00577B74" w:rsidRDefault="009A1F3F" w:rsidP="000457C9">
            <w:pPr>
              <w:pStyle w:val="TableBodyText"/>
            </w:pPr>
            <w:r w:rsidRPr="00577B74">
              <w:t>-0.4</w:t>
            </w:r>
          </w:p>
        </w:tc>
      </w:tr>
      <w:tr w:rsidR="009A1F3F" w:rsidRPr="00577B74" w:rsidTr="00C40DCE">
        <w:trPr>
          <w:trHeight w:val="300"/>
        </w:trPr>
        <w:tc>
          <w:tcPr>
            <w:tcW w:w="2155" w:type="dxa"/>
            <w:tcBorders>
              <w:top w:val="nil"/>
              <w:left w:val="nil"/>
              <w:bottom w:val="single" w:sz="4" w:space="0" w:color="auto"/>
              <w:right w:val="nil"/>
            </w:tcBorders>
            <w:shd w:val="clear" w:color="auto" w:fill="auto"/>
            <w:noWrap/>
            <w:vAlign w:val="bottom"/>
            <w:hideMark/>
          </w:tcPr>
          <w:p w:rsidR="009A1F3F" w:rsidRPr="00577B74" w:rsidRDefault="009A1F3F" w:rsidP="000457C9">
            <w:pPr>
              <w:pStyle w:val="TableBodyText"/>
              <w:spacing w:before="120"/>
              <w:jc w:val="left"/>
            </w:pPr>
            <w:r w:rsidRPr="00577B74">
              <w:t>Market sector 12</w:t>
            </w:r>
          </w:p>
        </w:tc>
        <w:tc>
          <w:tcPr>
            <w:tcW w:w="993" w:type="dxa"/>
            <w:tcBorders>
              <w:top w:val="nil"/>
              <w:left w:val="nil"/>
              <w:bottom w:val="single" w:sz="4" w:space="0" w:color="auto"/>
              <w:right w:val="nil"/>
            </w:tcBorders>
            <w:shd w:val="clear" w:color="auto" w:fill="auto"/>
            <w:noWrap/>
            <w:vAlign w:val="bottom"/>
            <w:hideMark/>
          </w:tcPr>
          <w:p w:rsidR="009A1F3F" w:rsidRPr="00577B74" w:rsidRDefault="009A1F3F" w:rsidP="000457C9">
            <w:pPr>
              <w:pStyle w:val="TableBodyText"/>
              <w:spacing w:before="120"/>
            </w:pPr>
            <w:r w:rsidRPr="00577B74">
              <w:t>4.9</w:t>
            </w:r>
          </w:p>
        </w:tc>
        <w:tc>
          <w:tcPr>
            <w:tcW w:w="992" w:type="dxa"/>
            <w:tcBorders>
              <w:top w:val="nil"/>
              <w:left w:val="nil"/>
              <w:bottom w:val="single" w:sz="4" w:space="0" w:color="auto"/>
              <w:right w:val="nil"/>
            </w:tcBorders>
            <w:shd w:val="clear" w:color="auto" w:fill="auto"/>
            <w:noWrap/>
            <w:vAlign w:val="bottom"/>
            <w:hideMark/>
          </w:tcPr>
          <w:p w:rsidR="009A1F3F" w:rsidRPr="00577B74" w:rsidRDefault="009A1F3F" w:rsidP="000457C9">
            <w:pPr>
              <w:pStyle w:val="TableBodyText"/>
              <w:spacing w:before="120"/>
            </w:pPr>
            <w:r w:rsidRPr="00577B74">
              <w:t>7.5</w:t>
            </w:r>
          </w:p>
        </w:tc>
        <w:tc>
          <w:tcPr>
            <w:tcW w:w="1105" w:type="dxa"/>
            <w:tcBorders>
              <w:top w:val="nil"/>
              <w:left w:val="nil"/>
              <w:bottom w:val="single" w:sz="4" w:space="0" w:color="auto"/>
              <w:right w:val="nil"/>
            </w:tcBorders>
            <w:shd w:val="clear" w:color="auto" w:fill="auto"/>
            <w:noWrap/>
            <w:vAlign w:val="bottom"/>
            <w:hideMark/>
          </w:tcPr>
          <w:p w:rsidR="009A1F3F" w:rsidRPr="00577B74" w:rsidRDefault="009A1F3F" w:rsidP="000457C9">
            <w:pPr>
              <w:pStyle w:val="TableBodyText"/>
              <w:spacing w:before="120"/>
            </w:pPr>
            <w:r w:rsidRPr="00577B74">
              <w:t>2.6</w:t>
            </w:r>
          </w:p>
        </w:tc>
        <w:tc>
          <w:tcPr>
            <w:tcW w:w="241" w:type="dxa"/>
            <w:tcBorders>
              <w:top w:val="nil"/>
              <w:left w:val="nil"/>
              <w:bottom w:val="single" w:sz="4" w:space="0" w:color="auto"/>
              <w:right w:val="nil"/>
            </w:tcBorders>
          </w:tcPr>
          <w:p w:rsidR="009A1F3F" w:rsidRPr="00577B74" w:rsidRDefault="009A1F3F" w:rsidP="000457C9">
            <w:pPr>
              <w:pStyle w:val="TableBodyText"/>
              <w:spacing w:before="120"/>
            </w:pPr>
          </w:p>
        </w:tc>
        <w:tc>
          <w:tcPr>
            <w:tcW w:w="1165" w:type="dxa"/>
            <w:tcBorders>
              <w:top w:val="nil"/>
              <w:left w:val="nil"/>
              <w:bottom w:val="single" w:sz="4" w:space="0" w:color="auto"/>
              <w:right w:val="nil"/>
            </w:tcBorders>
            <w:shd w:val="clear" w:color="auto" w:fill="auto"/>
            <w:noWrap/>
            <w:vAlign w:val="bottom"/>
            <w:hideMark/>
          </w:tcPr>
          <w:p w:rsidR="009A1F3F" w:rsidRPr="00577B74" w:rsidRDefault="009A1F3F" w:rsidP="000457C9">
            <w:pPr>
              <w:pStyle w:val="TableBodyText"/>
              <w:spacing w:before="120"/>
            </w:pPr>
            <w:r w:rsidRPr="00577B74">
              <w:t>100.0</w:t>
            </w:r>
          </w:p>
        </w:tc>
        <w:tc>
          <w:tcPr>
            <w:tcW w:w="1165" w:type="dxa"/>
            <w:tcBorders>
              <w:top w:val="nil"/>
              <w:left w:val="nil"/>
              <w:bottom w:val="single" w:sz="4" w:space="0" w:color="auto"/>
              <w:right w:val="nil"/>
            </w:tcBorders>
            <w:shd w:val="clear" w:color="auto" w:fill="auto"/>
            <w:noWrap/>
            <w:vAlign w:val="bottom"/>
            <w:hideMark/>
          </w:tcPr>
          <w:p w:rsidR="009A1F3F" w:rsidRPr="00577B74" w:rsidRDefault="009A1F3F" w:rsidP="000457C9">
            <w:pPr>
              <w:pStyle w:val="TableBodyText"/>
              <w:spacing w:before="120"/>
            </w:pPr>
            <w:r w:rsidRPr="00577B74">
              <w:t>100.0</w:t>
            </w:r>
          </w:p>
        </w:tc>
        <w:tc>
          <w:tcPr>
            <w:tcW w:w="1081" w:type="dxa"/>
            <w:tcBorders>
              <w:top w:val="nil"/>
              <w:left w:val="nil"/>
              <w:bottom w:val="single" w:sz="4" w:space="0" w:color="auto"/>
              <w:right w:val="nil"/>
            </w:tcBorders>
            <w:shd w:val="clear" w:color="auto" w:fill="auto"/>
            <w:noWrap/>
            <w:vAlign w:val="bottom"/>
            <w:hideMark/>
          </w:tcPr>
          <w:p w:rsidR="009A1F3F" w:rsidRPr="00577B74" w:rsidRDefault="009A1F3F" w:rsidP="000457C9">
            <w:pPr>
              <w:pStyle w:val="TableBodyText"/>
              <w:spacing w:before="120"/>
            </w:pPr>
          </w:p>
        </w:tc>
      </w:tr>
    </w:tbl>
    <w:p w:rsidR="00FE4740" w:rsidRPr="005E5264" w:rsidRDefault="00FE4740" w:rsidP="005E5264">
      <w:pPr>
        <w:pStyle w:val="Source"/>
      </w:pPr>
      <w:r w:rsidRPr="005E5264">
        <w:rPr>
          <w:i/>
        </w:rPr>
        <w:t>Source:</w:t>
      </w:r>
      <w:r w:rsidRPr="005E5264">
        <w:t xml:space="preserve"> Author’s estimates based on ABS </w:t>
      </w:r>
      <w:r w:rsidR="005E5264" w:rsidRPr="005E5264">
        <w:t>(</w:t>
      </w:r>
      <w:r w:rsidR="000457C9">
        <w:t>Cat. n</w:t>
      </w:r>
      <w:r w:rsidRPr="005E5264">
        <w:t>o</w:t>
      </w:r>
      <w:r w:rsidR="000457C9">
        <w:t>.</w:t>
      </w:r>
      <w:r w:rsidRPr="005E5264">
        <w:t xml:space="preserve"> 5260.0550.02</w:t>
      </w:r>
      <w:r w:rsidR="005E5264" w:rsidRPr="005E5264">
        <w:t>)</w:t>
      </w:r>
      <w:r w:rsidRPr="005E5264">
        <w:t>.</w:t>
      </w:r>
    </w:p>
    <w:p w:rsidR="00025E68" w:rsidRDefault="00025E68" w:rsidP="00025E68">
      <w:pPr>
        <w:pStyle w:val="BodyText"/>
      </w:pPr>
      <w:r>
        <w:t xml:space="preserve">With such strong growth, Mining became the largest source of capital income by the end of the </w:t>
      </w:r>
      <w:proofErr w:type="spellStart"/>
      <w:r>
        <w:t>2000s</w:t>
      </w:r>
      <w:proofErr w:type="spellEnd"/>
      <w:r>
        <w:t xml:space="preserve"> decade, accounting for one in five dollars of capital income in the market sector.</w:t>
      </w:r>
    </w:p>
    <w:p w:rsidR="002B7BA1" w:rsidRDefault="002B7BA1" w:rsidP="002B7BA1">
      <w:pPr>
        <w:pStyle w:val="BodyText"/>
      </w:pPr>
      <w:r>
        <w:t>Construction had the next strongest growth at nearly 10 per cent a year, which pushed its share of market sector capital income to 8.1 per cent</w:t>
      </w:r>
      <w:r w:rsidRPr="002B7BA1">
        <w:t xml:space="preserve"> </w:t>
      </w:r>
      <w:r>
        <w:t xml:space="preserve">at the end of the decade. However, Construction remained a more important source of </w:t>
      </w:r>
      <w:r w:rsidR="00F97CB6">
        <w:t>market sector</w:t>
      </w:r>
      <w:r>
        <w:t xml:space="preserve"> labour income (15.6 per cent).</w:t>
      </w:r>
    </w:p>
    <w:p w:rsidR="002B7BA1" w:rsidRDefault="002B7BA1" w:rsidP="002B7BA1">
      <w:pPr>
        <w:pStyle w:val="BodyText"/>
      </w:pPr>
      <w:r>
        <w:t xml:space="preserve">With the weakest growth, Manufacturing lost </w:t>
      </w:r>
      <w:r w:rsidR="00E434EB">
        <w:t xml:space="preserve">the biggest </w:t>
      </w:r>
      <w:r>
        <w:t xml:space="preserve">share. It </w:t>
      </w:r>
      <w:r w:rsidR="00364F7C">
        <w:t>had been</w:t>
      </w:r>
      <w:r>
        <w:t xml:space="preserve"> the largest source of capital income in the market sector at the turn of the millennium, but its share fell 7.2 percentage points to 11.7 per cent, well behind Mining and Financ</w:t>
      </w:r>
      <w:r w:rsidR="005415A4">
        <w:t>e</w:t>
      </w:r>
      <w:r>
        <w:t>. Manufacturing lost more capital income share than labour income share.</w:t>
      </w:r>
    </w:p>
    <w:p w:rsidR="00B67B4A" w:rsidRDefault="00B67B4A" w:rsidP="00B67B4A">
      <w:pPr>
        <w:pStyle w:val="BodyText"/>
      </w:pPr>
      <w:r>
        <w:t>There was also relatively strong growth in Accommodation, Financ</w:t>
      </w:r>
      <w:r w:rsidR="002B7BA1">
        <w:t>e</w:t>
      </w:r>
      <w:r>
        <w:t xml:space="preserve"> and Retail</w:t>
      </w:r>
      <w:r w:rsidR="002B7BA1">
        <w:t xml:space="preserve"> trade (Retail)</w:t>
      </w:r>
      <w:r>
        <w:t xml:space="preserve">. Accommodation and Retail, however, are relatively small sources of capital </w:t>
      </w:r>
      <w:r>
        <w:lastRenderedPageBreak/>
        <w:t xml:space="preserve">income. </w:t>
      </w:r>
      <w:r w:rsidR="002B7BA1">
        <w:t>The f</w:t>
      </w:r>
      <w:r>
        <w:t>inanc</w:t>
      </w:r>
      <w:r w:rsidR="002B7BA1">
        <w:t>ial sector</w:t>
      </w:r>
      <w:r>
        <w:t xml:space="preserve"> remained the </w:t>
      </w:r>
      <w:r w:rsidR="001E3542">
        <w:t>second largest source of capital income over the decade.</w:t>
      </w:r>
    </w:p>
    <w:p w:rsidR="00B67B4A" w:rsidRDefault="00B67B4A" w:rsidP="00B67B4A">
      <w:pPr>
        <w:pStyle w:val="Heading4"/>
      </w:pPr>
      <w:r>
        <w:t>Decadal change in growth</w:t>
      </w:r>
    </w:p>
    <w:p w:rsidR="001E3542" w:rsidRDefault="009455A4" w:rsidP="00B67B4A">
      <w:pPr>
        <w:pStyle w:val="BodyText"/>
      </w:pPr>
      <w:r>
        <w:t>An acceleration in c</w:t>
      </w:r>
      <w:r w:rsidR="001E3542">
        <w:t xml:space="preserve">apital income growth </w:t>
      </w:r>
      <w:r>
        <w:t xml:space="preserve">from </w:t>
      </w:r>
      <w:proofErr w:type="spellStart"/>
      <w:r>
        <w:t>1990s</w:t>
      </w:r>
      <w:proofErr w:type="spellEnd"/>
      <w:r>
        <w:t xml:space="preserve"> rates was </w:t>
      </w:r>
      <w:r w:rsidR="002B7BA1">
        <w:t xml:space="preserve">also </w:t>
      </w:r>
      <w:r>
        <w:t>widespread.</w:t>
      </w:r>
      <w:r w:rsidR="001E3542">
        <w:t xml:space="preserve"> The strongest uplift was, un</w:t>
      </w:r>
      <w:r w:rsidR="00B67B4A">
        <w:t xml:space="preserve">surprisingly, </w:t>
      </w:r>
      <w:r w:rsidR="001E3542">
        <w:t xml:space="preserve">in </w:t>
      </w:r>
      <w:r w:rsidR="00B67B4A">
        <w:t>Mining</w:t>
      </w:r>
      <w:r w:rsidR="001E3542">
        <w:t xml:space="preserve">. Construction and Retail also had strong </w:t>
      </w:r>
      <w:r>
        <w:t>rises</w:t>
      </w:r>
      <w:r w:rsidR="001E3542">
        <w:t xml:space="preserve"> in growth</w:t>
      </w:r>
      <w:r>
        <w:t xml:space="preserve"> rates</w:t>
      </w:r>
      <w:r w:rsidR="001E3542">
        <w:t xml:space="preserve">. </w:t>
      </w:r>
    </w:p>
    <w:p w:rsidR="00B67B4A" w:rsidRDefault="001E3542" w:rsidP="00B67B4A">
      <w:pPr>
        <w:pStyle w:val="BodyText"/>
      </w:pPr>
      <w:r>
        <w:t>Growth slowed in Financ</w:t>
      </w:r>
      <w:r w:rsidR="002B7BA1">
        <w:t>e</w:t>
      </w:r>
      <w:r>
        <w:t xml:space="preserve"> (from a high rate), Telecoms and Manufacturing.</w:t>
      </w:r>
    </w:p>
    <w:p w:rsidR="00757CF7" w:rsidRDefault="00757CF7" w:rsidP="00A012BF">
      <w:pPr>
        <w:pStyle w:val="Heading3"/>
      </w:pPr>
      <w:r>
        <w:t>Industry labour income shares</w:t>
      </w:r>
    </w:p>
    <w:p w:rsidR="000F3B8B" w:rsidRDefault="005415A4" w:rsidP="00D86179">
      <w:pPr>
        <w:pStyle w:val="BodyText"/>
      </w:pPr>
      <w:r>
        <w:t>Since t</w:t>
      </w:r>
      <w:r w:rsidR="000F3B8B">
        <w:t>he incidence of stronger growth in capital income than in labour income was widespread</w:t>
      </w:r>
      <w:r w:rsidR="006B14B0">
        <w:t xml:space="preserve"> at the industry level</w:t>
      </w:r>
      <w:r w:rsidR="000F3B8B">
        <w:t xml:space="preserve">, the incidence of falls in the </w:t>
      </w:r>
      <w:proofErr w:type="spellStart"/>
      <w:r w:rsidR="000457C9">
        <w:t>LIS</w:t>
      </w:r>
      <w:proofErr w:type="spellEnd"/>
      <w:r w:rsidR="000F3B8B">
        <w:t xml:space="preserve"> was </w:t>
      </w:r>
      <w:r w:rsidR="009455A4">
        <w:t xml:space="preserve">also </w:t>
      </w:r>
      <w:r w:rsidR="000F3B8B">
        <w:t>widespread (table</w:t>
      </w:r>
      <w:r w:rsidR="009455A4">
        <w:t> </w:t>
      </w:r>
      <w:r w:rsidR="000F3B8B">
        <w:t>5.3):</w:t>
      </w:r>
    </w:p>
    <w:p w:rsidR="000F3B8B" w:rsidRDefault="00D86179" w:rsidP="001D58F6">
      <w:pPr>
        <w:pStyle w:val="ListBullet"/>
      </w:pPr>
      <w:r>
        <w:t xml:space="preserve">Mining and Construction </w:t>
      </w:r>
      <w:r w:rsidR="000F3B8B">
        <w:t>had falls of 4 percentage points</w:t>
      </w:r>
      <w:r w:rsidR="001D58F6">
        <w:t>.</w:t>
      </w:r>
    </w:p>
    <w:p w:rsidR="00536CCF" w:rsidRDefault="00536CCF" w:rsidP="00536CCF">
      <w:pPr>
        <w:pStyle w:val="ListBullet"/>
      </w:pPr>
      <w:r w:rsidRPr="000F3B8B">
        <w:t xml:space="preserve">The largest falls were in Agriculture (-9 </w:t>
      </w:r>
      <w:r w:rsidR="00E900F6">
        <w:t>percentage points), Accommodation (</w:t>
      </w:r>
      <w:r w:rsidR="00E900F6">
        <w:noBreakHyphen/>
        <w:t>8 percentage points</w:t>
      </w:r>
      <w:r w:rsidRPr="000F3B8B">
        <w:t>), Retail (</w:t>
      </w:r>
      <w:r w:rsidRPr="000F3B8B">
        <w:noBreakHyphen/>
        <w:t xml:space="preserve">6 </w:t>
      </w:r>
      <w:r w:rsidR="00E900F6">
        <w:t>percentage points) and Telecoms (</w:t>
      </w:r>
      <w:r w:rsidR="00E900F6">
        <w:noBreakHyphen/>
        <w:t>6 percentage points</w:t>
      </w:r>
      <w:r w:rsidRPr="000F3B8B">
        <w:t>).</w:t>
      </w:r>
    </w:p>
    <w:p w:rsidR="00E76038" w:rsidRDefault="00E76038">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5E5264">
        <w:rPr>
          <w:b w:val="0"/>
        </w:rPr>
        <w:t>5.</w:t>
      </w:r>
      <w:r>
        <w:rPr>
          <w:b w:val="0"/>
        </w:rPr>
        <w:fldChar w:fldCharType="end"/>
      </w:r>
      <w:r>
        <w:rPr>
          <w:b w:val="0"/>
        </w:rPr>
        <w:fldChar w:fldCharType="begin"/>
      </w:r>
      <w:r>
        <w:rPr>
          <w:b w:val="0"/>
        </w:rPr>
        <w:instrText xml:space="preserve"> SEQ Table \* ARABIC </w:instrText>
      </w:r>
      <w:r>
        <w:rPr>
          <w:b w:val="0"/>
        </w:rPr>
        <w:fldChar w:fldCharType="separate"/>
      </w:r>
      <w:r w:rsidR="00F92682">
        <w:rPr>
          <w:b w:val="0"/>
          <w:noProof/>
        </w:rPr>
        <w:t>3</w:t>
      </w:r>
      <w:r>
        <w:rPr>
          <w:b w:val="0"/>
        </w:rPr>
        <w:fldChar w:fldCharType="end"/>
      </w:r>
      <w:r>
        <w:tab/>
      </w:r>
      <w:r w:rsidR="00795EE9" w:rsidRPr="00F8789A">
        <w:t>Industry labour income shares</w:t>
      </w:r>
    </w:p>
    <w:p w:rsidR="000457C9" w:rsidRPr="000457C9" w:rsidRDefault="000457C9" w:rsidP="000457C9">
      <w:pPr>
        <w:pStyle w:val="Subtitle"/>
      </w:pPr>
      <w:r>
        <w:t>percentage points</w:t>
      </w:r>
    </w:p>
    <w:tbl>
      <w:tblPr>
        <w:tblW w:w="5000" w:type="pct"/>
        <w:tblCellMar>
          <w:left w:w="0" w:type="dxa"/>
          <w:right w:w="0" w:type="dxa"/>
        </w:tblCellMar>
        <w:tblLook w:val="0000" w:firstRow="0" w:lastRow="0" w:firstColumn="0" w:lastColumn="0" w:noHBand="0" w:noVBand="0"/>
      </w:tblPr>
      <w:tblGrid>
        <w:gridCol w:w="2600"/>
        <w:gridCol w:w="1427"/>
        <w:gridCol w:w="1427"/>
        <w:gridCol w:w="1427"/>
        <w:gridCol w:w="2304"/>
      </w:tblGrid>
      <w:tr w:rsidR="00795EE9" w:rsidTr="00795EE9">
        <w:tc>
          <w:tcPr>
            <w:tcW w:w="1415" w:type="pct"/>
            <w:tcBorders>
              <w:top w:val="single" w:sz="6" w:space="0" w:color="auto"/>
              <w:bottom w:val="single" w:sz="6" w:space="0" w:color="auto"/>
            </w:tcBorders>
            <w:shd w:val="clear" w:color="auto" w:fill="auto"/>
          </w:tcPr>
          <w:p w:rsidR="00795EE9" w:rsidRDefault="00795EE9" w:rsidP="00795EE9">
            <w:pPr>
              <w:pStyle w:val="TableColumnHeading"/>
              <w:jc w:val="left"/>
            </w:pPr>
          </w:p>
        </w:tc>
        <w:tc>
          <w:tcPr>
            <w:tcW w:w="777" w:type="pct"/>
            <w:tcBorders>
              <w:top w:val="single" w:sz="6" w:space="0" w:color="auto"/>
              <w:bottom w:val="single" w:sz="6" w:space="0" w:color="auto"/>
            </w:tcBorders>
            <w:shd w:val="clear" w:color="auto" w:fill="auto"/>
            <w:vAlign w:val="bottom"/>
          </w:tcPr>
          <w:p w:rsidR="00795EE9" w:rsidRPr="00F8789A" w:rsidRDefault="00795EE9" w:rsidP="00795EE9">
            <w:pPr>
              <w:pStyle w:val="TableColumnHeading"/>
            </w:pPr>
            <w:r w:rsidRPr="00F8789A">
              <w:t>1989-90</w:t>
            </w:r>
          </w:p>
        </w:tc>
        <w:tc>
          <w:tcPr>
            <w:tcW w:w="777" w:type="pct"/>
            <w:tcBorders>
              <w:top w:val="single" w:sz="6" w:space="0" w:color="auto"/>
              <w:bottom w:val="single" w:sz="6" w:space="0" w:color="auto"/>
            </w:tcBorders>
            <w:shd w:val="clear" w:color="auto" w:fill="auto"/>
            <w:vAlign w:val="bottom"/>
          </w:tcPr>
          <w:p w:rsidR="00795EE9" w:rsidRPr="00F8789A" w:rsidRDefault="00795EE9" w:rsidP="00795EE9">
            <w:pPr>
              <w:pStyle w:val="TableColumnHeading"/>
            </w:pPr>
            <w:r w:rsidRPr="00F8789A">
              <w:t>1999-00</w:t>
            </w:r>
          </w:p>
        </w:tc>
        <w:tc>
          <w:tcPr>
            <w:tcW w:w="777" w:type="pct"/>
            <w:tcBorders>
              <w:top w:val="single" w:sz="6" w:space="0" w:color="auto"/>
              <w:bottom w:val="single" w:sz="6" w:space="0" w:color="auto"/>
            </w:tcBorders>
            <w:vAlign w:val="bottom"/>
          </w:tcPr>
          <w:p w:rsidR="00795EE9" w:rsidRPr="00F8789A" w:rsidRDefault="00795EE9" w:rsidP="00795EE9">
            <w:pPr>
              <w:pStyle w:val="TableColumnHeading"/>
            </w:pPr>
            <w:r w:rsidRPr="00F8789A">
              <w:t>2009-10</w:t>
            </w:r>
          </w:p>
        </w:tc>
        <w:tc>
          <w:tcPr>
            <w:tcW w:w="1254" w:type="pct"/>
            <w:tcBorders>
              <w:top w:val="single" w:sz="6" w:space="0" w:color="auto"/>
              <w:bottom w:val="single" w:sz="6" w:space="0" w:color="auto"/>
            </w:tcBorders>
            <w:vAlign w:val="bottom"/>
          </w:tcPr>
          <w:p w:rsidR="00795EE9" w:rsidRPr="00F8789A" w:rsidRDefault="00795EE9" w:rsidP="00795EE9">
            <w:pPr>
              <w:pStyle w:val="TableColumnHeading"/>
            </w:pPr>
            <w:proofErr w:type="spellStart"/>
            <w:r w:rsidRPr="00F8789A">
              <w:t>2000s</w:t>
            </w:r>
            <w:proofErr w:type="spellEnd"/>
            <w:r w:rsidRPr="00F8789A">
              <w:t xml:space="preserve"> change</w:t>
            </w:r>
          </w:p>
        </w:tc>
      </w:tr>
      <w:tr w:rsidR="00795EE9" w:rsidTr="00795EE9">
        <w:tc>
          <w:tcPr>
            <w:tcW w:w="1415" w:type="pct"/>
            <w:vAlign w:val="bottom"/>
          </w:tcPr>
          <w:p w:rsidR="00795EE9" w:rsidRPr="00F8789A" w:rsidRDefault="00795EE9" w:rsidP="00795EE9">
            <w:pPr>
              <w:pStyle w:val="TableBodyText"/>
              <w:spacing w:before="120"/>
              <w:jc w:val="left"/>
            </w:pPr>
            <w:r w:rsidRPr="00F8789A">
              <w:t>Agriculture</w:t>
            </w:r>
          </w:p>
        </w:tc>
        <w:tc>
          <w:tcPr>
            <w:tcW w:w="777" w:type="pct"/>
            <w:vAlign w:val="bottom"/>
          </w:tcPr>
          <w:p w:rsidR="00795EE9" w:rsidRPr="00F8789A" w:rsidRDefault="00795EE9" w:rsidP="00795EE9">
            <w:pPr>
              <w:pStyle w:val="TableBodyText"/>
              <w:spacing w:before="120"/>
            </w:pPr>
            <w:r w:rsidRPr="00F8789A">
              <w:t>36</w:t>
            </w:r>
          </w:p>
        </w:tc>
        <w:tc>
          <w:tcPr>
            <w:tcW w:w="777" w:type="pct"/>
            <w:vAlign w:val="bottom"/>
          </w:tcPr>
          <w:p w:rsidR="00795EE9" w:rsidRPr="00F8789A" w:rsidRDefault="00795EE9" w:rsidP="00795EE9">
            <w:pPr>
              <w:pStyle w:val="TableBodyText"/>
              <w:spacing w:before="120"/>
            </w:pPr>
            <w:r w:rsidRPr="00F8789A">
              <w:t>45</w:t>
            </w:r>
          </w:p>
        </w:tc>
        <w:tc>
          <w:tcPr>
            <w:tcW w:w="777" w:type="pct"/>
            <w:vAlign w:val="bottom"/>
          </w:tcPr>
          <w:p w:rsidR="00795EE9" w:rsidRPr="00F8789A" w:rsidRDefault="00795EE9" w:rsidP="00795EE9">
            <w:pPr>
              <w:pStyle w:val="TableBodyText"/>
              <w:spacing w:before="120"/>
            </w:pPr>
            <w:r w:rsidRPr="00F8789A">
              <w:t>36</w:t>
            </w:r>
          </w:p>
        </w:tc>
        <w:tc>
          <w:tcPr>
            <w:tcW w:w="1254" w:type="pct"/>
            <w:vAlign w:val="bottom"/>
          </w:tcPr>
          <w:p w:rsidR="00795EE9" w:rsidRPr="00F8789A" w:rsidRDefault="00795EE9" w:rsidP="00795EE9">
            <w:pPr>
              <w:pStyle w:val="TableBodyText"/>
              <w:spacing w:before="120"/>
            </w:pPr>
            <w:r w:rsidRPr="00F8789A">
              <w:t>-9</w:t>
            </w:r>
          </w:p>
        </w:tc>
      </w:tr>
      <w:tr w:rsidR="00795EE9" w:rsidTr="00795EE9">
        <w:tc>
          <w:tcPr>
            <w:tcW w:w="1415" w:type="pct"/>
            <w:vAlign w:val="bottom"/>
          </w:tcPr>
          <w:p w:rsidR="00795EE9" w:rsidRPr="00F8789A" w:rsidRDefault="00795EE9" w:rsidP="00795EE9">
            <w:pPr>
              <w:pStyle w:val="TableBodyText"/>
              <w:jc w:val="left"/>
            </w:pPr>
            <w:r w:rsidRPr="00F8789A">
              <w:t>Mining</w:t>
            </w:r>
          </w:p>
        </w:tc>
        <w:tc>
          <w:tcPr>
            <w:tcW w:w="777" w:type="pct"/>
            <w:vAlign w:val="bottom"/>
          </w:tcPr>
          <w:p w:rsidR="00795EE9" w:rsidRPr="00F8789A" w:rsidRDefault="00795EE9" w:rsidP="00795EE9">
            <w:pPr>
              <w:pStyle w:val="TableBodyText"/>
            </w:pPr>
            <w:r w:rsidRPr="00F8789A">
              <w:t>31</w:t>
            </w:r>
          </w:p>
        </w:tc>
        <w:tc>
          <w:tcPr>
            <w:tcW w:w="777" w:type="pct"/>
            <w:vAlign w:val="bottom"/>
          </w:tcPr>
          <w:p w:rsidR="00795EE9" w:rsidRPr="00F8789A" w:rsidRDefault="00795EE9" w:rsidP="00795EE9">
            <w:pPr>
              <w:pStyle w:val="TableBodyText"/>
            </w:pPr>
            <w:r w:rsidRPr="00F8789A">
              <w:t>24</w:t>
            </w:r>
          </w:p>
        </w:tc>
        <w:tc>
          <w:tcPr>
            <w:tcW w:w="777" w:type="pct"/>
            <w:vAlign w:val="bottom"/>
          </w:tcPr>
          <w:p w:rsidR="00795EE9" w:rsidRPr="00F8789A" w:rsidRDefault="00795EE9" w:rsidP="00795EE9">
            <w:pPr>
              <w:pStyle w:val="TableBodyText"/>
            </w:pPr>
            <w:r w:rsidRPr="00F8789A">
              <w:t>20</w:t>
            </w:r>
          </w:p>
        </w:tc>
        <w:tc>
          <w:tcPr>
            <w:tcW w:w="1254" w:type="pct"/>
            <w:vAlign w:val="bottom"/>
          </w:tcPr>
          <w:p w:rsidR="00795EE9" w:rsidRPr="00F8789A" w:rsidRDefault="00795EE9" w:rsidP="00795EE9">
            <w:pPr>
              <w:pStyle w:val="TableBodyText"/>
            </w:pPr>
            <w:r w:rsidRPr="00F8789A">
              <w:t>-4</w:t>
            </w:r>
          </w:p>
        </w:tc>
      </w:tr>
      <w:tr w:rsidR="00795EE9" w:rsidTr="00795EE9">
        <w:tc>
          <w:tcPr>
            <w:tcW w:w="1415" w:type="pct"/>
            <w:vAlign w:val="bottom"/>
          </w:tcPr>
          <w:p w:rsidR="00795EE9" w:rsidRPr="00F8789A" w:rsidRDefault="00795EE9" w:rsidP="00795EE9">
            <w:pPr>
              <w:pStyle w:val="TableBodyText"/>
              <w:jc w:val="left"/>
            </w:pPr>
            <w:r w:rsidRPr="00F8789A">
              <w:t>Manufacturing</w:t>
            </w:r>
          </w:p>
        </w:tc>
        <w:tc>
          <w:tcPr>
            <w:tcW w:w="777" w:type="pct"/>
            <w:vAlign w:val="bottom"/>
          </w:tcPr>
          <w:p w:rsidR="00795EE9" w:rsidRPr="00F8789A" w:rsidRDefault="00795EE9" w:rsidP="00795EE9">
            <w:pPr>
              <w:pStyle w:val="TableBodyText"/>
            </w:pPr>
            <w:r w:rsidRPr="00F8789A">
              <w:t>60</w:t>
            </w:r>
          </w:p>
        </w:tc>
        <w:tc>
          <w:tcPr>
            <w:tcW w:w="777" w:type="pct"/>
            <w:vAlign w:val="bottom"/>
          </w:tcPr>
          <w:p w:rsidR="00795EE9" w:rsidRPr="00F8789A" w:rsidRDefault="00795EE9" w:rsidP="00795EE9">
            <w:pPr>
              <w:pStyle w:val="TableBodyText"/>
            </w:pPr>
            <w:r w:rsidRPr="00F8789A">
              <w:t>58</w:t>
            </w:r>
          </w:p>
        </w:tc>
        <w:tc>
          <w:tcPr>
            <w:tcW w:w="777" w:type="pct"/>
            <w:vAlign w:val="bottom"/>
          </w:tcPr>
          <w:p w:rsidR="00795EE9" w:rsidRPr="00F8789A" w:rsidRDefault="00795EE9" w:rsidP="00795EE9">
            <w:pPr>
              <w:pStyle w:val="TableBodyText"/>
            </w:pPr>
            <w:r w:rsidRPr="00F8789A">
              <w:t>60</w:t>
            </w:r>
          </w:p>
        </w:tc>
        <w:tc>
          <w:tcPr>
            <w:tcW w:w="1254" w:type="pct"/>
            <w:vAlign w:val="bottom"/>
          </w:tcPr>
          <w:p w:rsidR="00795EE9" w:rsidRPr="00F8789A" w:rsidRDefault="00795EE9" w:rsidP="00795EE9">
            <w:pPr>
              <w:pStyle w:val="TableBodyText"/>
            </w:pPr>
            <w:r w:rsidRPr="00F8789A">
              <w:t>2</w:t>
            </w:r>
          </w:p>
        </w:tc>
      </w:tr>
      <w:tr w:rsidR="00795EE9" w:rsidTr="00795EE9">
        <w:tc>
          <w:tcPr>
            <w:tcW w:w="1415" w:type="pct"/>
            <w:vAlign w:val="bottom"/>
          </w:tcPr>
          <w:p w:rsidR="00795EE9" w:rsidRPr="00F8789A" w:rsidRDefault="00FE37DE" w:rsidP="00795EE9">
            <w:pPr>
              <w:pStyle w:val="TableBodyText"/>
              <w:jc w:val="left"/>
            </w:pPr>
            <w:r>
              <w:t>Utilities</w:t>
            </w:r>
          </w:p>
        </w:tc>
        <w:tc>
          <w:tcPr>
            <w:tcW w:w="777" w:type="pct"/>
            <w:vAlign w:val="bottom"/>
          </w:tcPr>
          <w:p w:rsidR="00795EE9" w:rsidRPr="00F8789A" w:rsidRDefault="00795EE9" w:rsidP="00795EE9">
            <w:pPr>
              <w:pStyle w:val="TableBodyText"/>
            </w:pPr>
            <w:r w:rsidRPr="00F8789A">
              <w:t>44</w:t>
            </w:r>
          </w:p>
        </w:tc>
        <w:tc>
          <w:tcPr>
            <w:tcW w:w="777" w:type="pct"/>
            <w:vAlign w:val="bottom"/>
          </w:tcPr>
          <w:p w:rsidR="00795EE9" w:rsidRPr="00F8789A" w:rsidRDefault="00795EE9" w:rsidP="00795EE9">
            <w:pPr>
              <w:pStyle w:val="TableBodyText"/>
            </w:pPr>
            <w:r w:rsidRPr="00F8789A">
              <w:t>32</w:t>
            </w:r>
          </w:p>
        </w:tc>
        <w:tc>
          <w:tcPr>
            <w:tcW w:w="777" w:type="pct"/>
            <w:vAlign w:val="bottom"/>
          </w:tcPr>
          <w:p w:rsidR="00795EE9" w:rsidRPr="00F8789A" w:rsidRDefault="00795EE9" w:rsidP="00795EE9">
            <w:pPr>
              <w:pStyle w:val="TableBodyText"/>
            </w:pPr>
            <w:r w:rsidRPr="00F8789A">
              <w:t>36</w:t>
            </w:r>
          </w:p>
        </w:tc>
        <w:tc>
          <w:tcPr>
            <w:tcW w:w="1254" w:type="pct"/>
            <w:vAlign w:val="bottom"/>
          </w:tcPr>
          <w:p w:rsidR="00795EE9" w:rsidRPr="00F8789A" w:rsidRDefault="00795EE9" w:rsidP="00795EE9">
            <w:pPr>
              <w:pStyle w:val="TableBodyText"/>
            </w:pPr>
            <w:r w:rsidRPr="00F8789A">
              <w:t>4</w:t>
            </w:r>
          </w:p>
        </w:tc>
      </w:tr>
      <w:tr w:rsidR="00795EE9" w:rsidTr="00795EE9">
        <w:tc>
          <w:tcPr>
            <w:tcW w:w="1415" w:type="pct"/>
            <w:vAlign w:val="bottom"/>
          </w:tcPr>
          <w:p w:rsidR="00795EE9" w:rsidRPr="00F8789A" w:rsidRDefault="00795EE9" w:rsidP="00795EE9">
            <w:pPr>
              <w:pStyle w:val="TableBodyText"/>
              <w:jc w:val="left"/>
            </w:pPr>
            <w:r w:rsidRPr="00F8789A">
              <w:t>Construction</w:t>
            </w:r>
          </w:p>
        </w:tc>
        <w:tc>
          <w:tcPr>
            <w:tcW w:w="777" w:type="pct"/>
            <w:vAlign w:val="bottom"/>
          </w:tcPr>
          <w:p w:rsidR="00795EE9" w:rsidRPr="00F8789A" w:rsidRDefault="00795EE9" w:rsidP="00795EE9">
            <w:pPr>
              <w:pStyle w:val="TableBodyText"/>
            </w:pPr>
            <w:r w:rsidRPr="00F8789A">
              <w:t>73</w:t>
            </w:r>
          </w:p>
        </w:tc>
        <w:tc>
          <w:tcPr>
            <w:tcW w:w="777" w:type="pct"/>
            <w:vAlign w:val="bottom"/>
          </w:tcPr>
          <w:p w:rsidR="00795EE9" w:rsidRPr="00F8789A" w:rsidRDefault="00795EE9" w:rsidP="00795EE9">
            <w:pPr>
              <w:pStyle w:val="TableBodyText"/>
            </w:pPr>
            <w:r w:rsidRPr="00F8789A">
              <w:t>73</w:t>
            </w:r>
          </w:p>
        </w:tc>
        <w:tc>
          <w:tcPr>
            <w:tcW w:w="777" w:type="pct"/>
            <w:vAlign w:val="bottom"/>
          </w:tcPr>
          <w:p w:rsidR="00795EE9" w:rsidRPr="00F8789A" w:rsidRDefault="00795EE9" w:rsidP="00795EE9">
            <w:pPr>
              <w:pStyle w:val="TableBodyText"/>
            </w:pPr>
            <w:r w:rsidRPr="00F8789A">
              <w:t>69</w:t>
            </w:r>
          </w:p>
        </w:tc>
        <w:tc>
          <w:tcPr>
            <w:tcW w:w="1254" w:type="pct"/>
            <w:vAlign w:val="bottom"/>
          </w:tcPr>
          <w:p w:rsidR="00795EE9" w:rsidRPr="00F8789A" w:rsidRDefault="00795EE9" w:rsidP="00795EE9">
            <w:pPr>
              <w:pStyle w:val="TableBodyText"/>
            </w:pPr>
            <w:r w:rsidRPr="00F8789A">
              <w:t>-4</w:t>
            </w:r>
          </w:p>
        </w:tc>
      </w:tr>
      <w:tr w:rsidR="00795EE9" w:rsidTr="00795EE9">
        <w:tc>
          <w:tcPr>
            <w:tcW w:w="1415" w:type="pct"/>
            <w:vAlign w:val="bottom"/>
          </w:tcPr>
          <w:p w:rsidR="00795EE9" w:rsidRPr="00F8789A" w:rsidRDefault="00795EE9" w:rsidP="00795EE9">
            <w:pPr>
              <w:pStyle w:val="TableBodyText"/>
              <w:jc w:val="left"/>
            </w:pPr>
            <w:r w:rsidRPr="00F8789A">
              <w:t>Wholesale</w:t>
            </w:r>
          </w:p>
        </w:tc>
        <w:tc>
          <w:tcPr>
            <w:tcW w:w="777" w:type="pct"/>
            <w:vAlign w:val="bottom"/>
          </w:tcPr>
          <w:p w:rsidR="00795EE9" w:rsidRPr="00F8789A" w:rsidRDefault="00795EE9" w:rsidP="00795EE9">
            <w:pPr>
              <w:pStyle w:val="TableBodyText"/>
            </w:pPr>
            <w:r w:rsidRPr="00F8789A">
              <w:t>66</w:t>
            </w:r>
          </w:p>
        </w:tc>
        <w:tc>
          <w:tcPr>
            <w:tcW w:w="777" w:type="pct"/>
            <w:vAlign w:val="bottom"/>
          </w:tcPr>
          <w:p w:rsidR="00795EE9" w:rsidRPr="00F8789A" w:rsidRDefault="00795EE9" w:rsidP="00795EE9">
            <w:pPr>
              <w:pStyle w:val="TableBodyText"/>
            </w:pPr>
            <w:r w:rsidRPr="00F8789A">
              <w:t>69</w:t>
            </w:r>
          </w:p>
        </w:tc>
        <w:tc>
          <w:tcPr>
            <w:tcW w:w="777" w:type="pct"/>
            <w:vAlign w:val="bottom"/>
          </w:tcPr>
          <w:p w:rsidR="00795EE9" w:rsidRPr="00F8789A" w:rsidRDefault="00795EE9" w:rsidP="00795EE9">
            <w:pPr>
              <w:pStyle w:val="TableBodyText"/>
            </w:pPr>
            <w:r w:rsidRPr="00F8789A">
              <w:t>67</w:t>
            </w:r>
          </w:p>
        </w:tc>
        <w:tc>
          <w:tcPr>
            <w:tcW w:w="1254" w:type="pct"/>
            <w:vAlign w:val="bottom"/>
          </w:tcPr>
          <w:p w:rsidR="00795EE9" w:rsidRPr="00F8789A" w:rsidRDefault="00795EE9" w:rsidP="00795EE9">
            <w:pPr>
              <w:pStyle w:val="TableBodyText"/>
            </w:pPr>
            <w:r w:rsidRPr="00F8789A">
              <w:t>-2</w:t>
            </w:r>
          </w:p>
        </w:tc>
      </w:tr>
      <w:tr w:rsidR="00795EE9" w:rsidTr="00795EE9">
        <w:tc>
          <w:tcPr>
            <w:tcW w:w="1415" w:type="pct"/>
            <w:vAlign w:val="bottom"/>
          </w:tcPr>
          <w:p w:rsidR="00795EE9" w:rsidRPr="00F8789A" w:rsidRDefault="00795EE9" w:rsidP="00795EE9">
            <w:pPr>
              <w:pStyle w:val="TableBodyText"/>
              <w:jc w:val="left"/>
            </w:pPr>
            <w:r w:rsidRPr="00F8789A">
              <w:t>Retail</w:t>
            </w:r>
          </w:p>
        </w:tc>
        <w:tc>
          <w:tcPr>
            <w:tcW w:w="777" w:type="pct"/>
            <w:vAlign w:val="bottom"/>
          </w:tcPr>
          <w:p w:rsidR="00795EE9" w:rsidRPr="00F8789A" w:rsidRDefault="00795EE9" w:rsidP="00795EE9">
            <w:pPr>
              <w:pStyle w:val="TableBodyText"/>
            </w:pPr>
            <w:r w:rsidRPr="00F8789A">
              <w:t>73</w:t>
            </w:r>
          </w:p>
        </w:tc>
        <w:tc>
          <w:tcPr>
            <w:tcW w:w="777" w:type="pct"/>
            <w:vAlign w:val="bottom"/>
          </w:tcPr>
          <w:p w:rsidR="00795EE9" w:rsidRPr="00F8789A" w:rsidRDefault="00795EE9" w:rsidP="00795EE9">
            <w:pPr>
              <w:pStyle w:val="TableBodyText"/>
            </w:pPr>
            <w:r w:rsidRPr="00F8789A">
              <w:t>79</w:t>
            </w:r>
          </w:p>
        </w:tc>
        <w:tc>
          <w:tcPr>
            <w:tcW w:w="777" w:type="pct"/>
            <w:vAlign w:val="bottom"/>
          </w:tcPr>
          <w:p w:rsidR="00795EE9" w:rsidRPr="00F8789A" w:rsidRDefault="00795EE9" w:rsidP="00795EE9">
            <w:pPr>
              <w:pStyle w:val="TableBodyText"/>
            </w:pPr>
            <w:r w:rsidRPr="00F8789A">
              <w:t>73</w:t>
            </w:r>
          </w:p>
        </w:tc>
        <w:tc>
          <w:tcPr>
            <w:tcW w:w="1254" w:type="pct"/>
            <w:vAlign w:val="bottom"/>
          </w:tcPr>
          <w:p w:rsidR="00795EE9" w:rsidRPr="00F8789A" w:rsidRDefault="00795EE9" w:rsidP="00795EE9">
            <w:pPr>
              <w:pStyle w:val="TableBodyText"/>
            </w:pPr>
            <w:r w:rsidRPr="00F8789A">
              <w:t>-6</w:t>
            </w:r>
          </w:p>
        </w:tc>
      </w:tr>
      <w:tr w:rsidR="00795EE9" w:rsidTr="00795EE9">
        <w:tc>
          <w:tcPr>
            <w:tcW w:w="1415" w:type="pct"/>
            <w:vAlign w:val="bottom"/>
          </w:tcPr>
          <w:p w:rsidR="00795EE9" w:rsidRPr="00F8789A" w:rsidRDefault="00795EE9" w:rsidP="00795EE9">
            <w:pPr>
              <w:pStyle w:val="TableBodyText"/>
              <w:jc w:val="left"/>
            </w:pPr>
            <w:r w:rsidRPr="00F8789A">
              <w:t>Accommodation</w:t>
            </w:r>
          </w:p>
        </w:tc>
        <w:tc>
          <w:tcPr>
            <w:tcW w:w="777" w:type="pct"/>
            <w:vAlign w:val="bottom"/>
          </w:tcPr>
          <w:p w:rsidR="00795EE9" w:rsidRPr="00F8789A" w:rsidRDefault="00795EE9" w:rsidP="00795EE9">
            <w:pPr>
              <w:pStyle w:val="TableBodyText"/>
            </w:pPr>
            <w:r w:rsidRPr="00F8789A">
              <w:t>77</w:t>
            </w:r>
          </w:p>
        </w:tc>
        <w:tc>
          <w:tcPr>
            <w:tcW w:w="777" w:type="pct"/>
            <w:vAlign w:val="bottom"/>
          </w:tcPr>
          <w:p w:rsidR="00795EE9" w:rsidRPr="00F8789A" w:rsidRDefault="00795EE9" w:rsidP="00795EE9">
            <w:pPr>
              <w:pStyle w:val="TableBodyText"/>
            </w:pPr>
            <w:r w:rsidRPr="00F8789A">
              <w:t>81</w:t>
            </w:r>
          </w:p>
        </w:tc>
        <w:tc>
          <w:tcPr>
            <w:tcW w:w="777" w:type="pct"/>
            <w:vAlign w:val="bottom"/>
          </w:tcPr>
          <w:p w:rsidR="00795EE9" w:rsidRPr="00F8789A" w:rsidRDefault="00795EE9" w:rsidP="00795EE9">
            <w:pPr>
              <w:pStyle w:val="TableBodyText"/>
            </w:pPr>
            <w:r w:rsidRPr="00F8789A">
              <w:t>73</w:t>
            </w:r>
          </w:p>
        </w:tc>
        <w:tc>
          <w:tcPr>
            <w:tcW w:w="1254" w:type="pct"/>
            <w:vAlign w:val="bottom"/>
          </w:tcPr>
          <w:p w:rsidR="00795EE9" w:rsidRPr="00F8789A" w:rsidRDefault="00795EE9" w:rsidP="00795EE9">
            <w:pPr>
              <w:pStyle w:val="TableBodyText"/>
            </w:pPr>
            <w:r w:rsidRPr="00F8789A">
              <w:t>-8</w:t>
            </w:r>
          </w:p>
        </w:tc>
      </w:tr>
      <w:tr w:rsidR="00795EE9" w:rsidTr="00795EE9">
        <w:tc>
          <w:tcPr>
            <w:tcW w:w="1415" w:type="pct"/>
            <w:vAlign w:val="bottom"/>
          </w:tcPr>
          <w:p w:rsidR="00795EE9" w:rsidRPr="00F8789A" w:rsidRDefault="00795EE9" w:rsidP="00795EE9">
            <w:pPr>
              <w:pStyle w:val="TableBodyText"/>
              <w:jc w:val="left"/>
            </w:pPr>
            <w:r w:rsidRPr="00F8789A">
              <w:t>Transport</w:t>
            </w:r>
          </w:p>
        </w:tc>
        <w:tc>
          <w:tcPr>
            <w:tcW w:w="777" w:type="pct"/>
            <w:vAlign w:val="bottom"/>
          </w:tcPr>
          <w:p w:rsidR="00795EE9" w:rsidRPr="00F8789A" w:rsidRDefault="00795EE9" w:rsidP="00795EE9">
            <w:pPr>
              <w:pStyle w:val="TableBodyText"/>
            </w:pPr>
            <w:r w:rsidRPr="00F8789A">
              <w:t>64</w:t>
            </w:r>
          </w:p>
        </w:tc>
        <w:tc>
          <w:tcPr>
            <w:tcW w:w="777" w:type="pct"/>
            <w:vAlign w:val="bottom"/>
          </w:tcPr>
          <w:p w:rsidR="00795EE9" w:rsidRPr="00F8789A" w:rsidRDefault="00795EE9" w:rsidP="00795EE9">
            <w:pPr>
              <w:pStyle w:val="TableBodyText"/>
            </w:pPr>
            <w:r w:rsidRPr="00F8789A">
              <w:t>61</w:t>
            </w:r>
          </w:p>
        </w:tc>
        <w:tc>
          <w:tcPr>
            <w:tcW w:w="777" w:type="pct"/>
            <w:vAlign w:val="bottom"/>
          </w:tcPr>
          <w:p w:rsidR="00795EE9" w:rsidRPr="00F8789A" w:rsidRDefault="00795EE9" w:rsidP="00795EE9">
            <w:pPr>
              <w:pStyle w:val="TableBodyText"/>
            </w:pPr>
            <w:r w:rsidRPr="00F8789A">
              <w:t>58</w:t>
            </w:r>
          </w:p>
        </w:tc>
        <w:tc>
          <w:tcPr>
            <w:tcW w:w="1254" w:type="pct"/>
            <w:vAlign w:val="bottom"/>
          </w:tcPr>
          <w:p w:rsidR="00795EE9" w:rsidRPr="00F8789A" w:rsidRDefault="00795EE9" w:rsidP="00795EE9">
            <w:pPr>
              <w:pStyle w:val="TableBodyText"/>
            </w:pPr>
            <w:r w:rsidRPr="00F8789A">
              <w:t>-3</w:t>
            </w:r>
          </w:p>
        </w:tc>
      </w:tr>
      <w:tr w:rsidR="00795EE9" w:rsidTr="00795EE9">
        <w:tc>
          <w:tcPr>
            <w:tcW w:w="1415" w:type="pct"/>
            <w:vAlign w:val="bottom"/>
          </w:tcPr>
          <w:p w:rsidR="00795EE9" w:rsidRPr="00F8789A" w:rsidRDefault="00795EE9" w:rsidP="00795EE9">
            <w:pPr>
              <w:pStyle w:val="TableBodyText"/>
              <w:jc w:val="left"/>
            </w:pPr>
            <w:r w:rsidRPr="00F8789A">
              <w:t>Telecoms</w:t>
            </w:r>
          </w:p>
        </w:tc>
        <w:tc>
          <w:tcPr>
            <w:tcW w:w="777" w:type="pct"/>
            <w:vAlign w:val="bottom"/>
          </w:tcPr>
          <w:p w:rsidR="00795EE9" w:rsidRPr="00F8789A" w:rsidRDefault="00795EE9" w:rsidP="00795EE9">
            <w:pPr>
              <w:pStyle w:val="TableBodyText"/>
            </w:pPr>
            <w:r w:rsidRPr="00F8789A">
              <w:t>47</w:t>
            </w:r>
          </w:p>
        </w:tc>
        <w:tc>
          <w:tcPr>
            <w:tcW w:w="777" w:type="pct"/>
            <w:vAlign w:val="bottom"/>
          </w:tcPr>
          <w:p w:rsidR="00795EE9" w:rsidRPr="00F8789A" w:rsidRDefault="00795EE9" w:rsidP="00795EE9">
            <w:pPr>
              <w:pStyle w:val="TableBodyText"/>
            </w:pPr>
            <w:r w:rsidRPr="00F8789A">
              <w:t>40</w:t>
            </w:r>
          </w:p>
        </w:tc>
        <w:tc>
          <w:tcPr>
            <w:tcW w:w="777" w:type="pct"/>
            <w:vAlign w:val="bottom"/>
          </w:tcPr>
          <w:p w:rsidR="00795EE9" w:rsidRPr="00F8789A" w:rsidRDefault="00795EE9" w:rsidP="00795EE9">
            <w:pPr>
              <w:pStyle w:val="TableBodyText"/>
            </w:pPr>
            <w:r w:rsidRPr="00F8789A">
              <w:t>34</w:t>
            </w:r>
          </w:p>
        </w:tc>
        <w:tc>
          <w:tcPr>
            <w:tcW w:w="1254" w:type="pct"/>
            <w:vAlign w:val="bottom"/>
          </w:tcPr>
          <w:p w:rsidR="00795EE9" w:rsidRPr="00F8789A" w:rsidRDefault="00795EE9" w:rsidP="00795EE9">
            <w:pPr>
              <w:pStyle w:val="TableBodyText"/>
            </w:pPr>
            <w:r w:rsidRPr="00F8789A">
              <w:t>-6</w:t>
            </w:r>
          </w:p>
        </w:tc>
      </w:tr>
      <w:tr w:rsidR="00795EE9" w:rsidTr="00795EE9">
        <w:tc>
          <w:tcPr>
            <w:tcW w:w="1415" w:type="pct"/>
            <w:vAlign w:val="bottom"/>
          </w:tcPr>
          <w:p w:rsidR="00795EE9" w:rsidRPr="00F8789A" w:rsidRDefault="00795EE9" w:rsidP="00AE11E9">
            <w:pPr>
              <w:pStyle w:val="TableBodyText"/>
              <w:jc w:val="left"/>
            </w:pPr>
            <w:r w:rsidRPr="00F8789A">
              <w:t>Financ</w:t>
            </w:r>
            <w:r w:rsidR="00AE11E9">
              <w:t>e</w:t>
            </w:r>
          </w:p>
        </w:tc>
        <w:tc>
          <w:tcPr>
            <w:tcW w:w="777" w:type="pct"/>
            <w:vAlign w:val="bottom"/>
          </w:tcPr>
          <w:p w:rsidR="00795EE9" w:rsidRPr="00F8789A" w:rsidRDefault="00795EE9" w:rsidP="00795EE9">
            <w:pPr>
              <w:pStyle w:val="TableBodyText"/>
            </w:pPr>
            <w:r w:rsidRPr="00F8789A">
              <w:t>63</w:t>
            </w:r>
          </w:p>
        </w:tc>
        <w:tc>
          <w:tcPr>
            <w:tcW w:w="777" w:type="pct"/>
            <w:vAlign w:val="bottom"/>
          </w:tcPr>
          <w:p w:rsidR="00795EE9" w:rsidRPr="00F8789A" w:rsidRDefault="00795EE9" w:rsidP="00795EE9">
            <w:pPr>
              <w:pStyle w:val="TableBodyText"/>
            </w:pPr>
            <w:r w:rsidRPr="00F8789A">
              <w:t>51</w:t>
            </w:r>
          </w:p>
        </w:tc>
        <w:tc>
          <w:tcPr>
            <w:tcW w:w="777" w:type="pct"/>
            <w:vAlign w:val="bottom"/>
          </w:tcPr>
          <w:p w:rsidR="00795EE9" w:rsidRPr="00F8789A" w:rsidRDefault="00795EE9" w:rsidP="00795EE9">
            <w:pPr>
              <w:pStyle w:val="TableBodyText"/>
            </w:pPr>
            <w:r w:rsidRPr="00F8789A">
              <w:t>50</w:t>
            </w:r>
          </w:p>
        </w:tc>
        <w:tc>
          <w:tcPr>
            <w:tcW w:w="1254" w:type="pct"/>
            <w:vAlign w:val="bottom"/>
          </w:tcPr>
          <w:p w:rsidR="00795EE9" w:rsidRPr="00F8789A" w:rsidRDefault="00795EE9" w:rsidP="00795EE9">
            <w:pPr>
              <w:pStyle w:val="TableBodyText"/>
            </w:pPr>
            <w:r w:rsidRPr="00F8789A">
              <w:t>-1</w:t>
            </w:r>
          </w:p>
        </w:tc>
      </w:tr>
      <w:tr w:rsidR="00795EE9" w:rsidTr="00795EE9">
        <w:tc>
          <w:tcPr>
            <w:tcW w:w="1415" w:type="pct"/>
            <w:vAlign w:val="bottom"/>
          </w:tcPr>
          <w:p w:rsidR="00795EE9" w:rsidRPr="00F8789A" w:rsidRDefault="00795EE9" w:rsidP="00795EE9">
            <w:pPr>
              <w:pStyle w:val="TableBodyText"/>
              <w:jc w:val="left"/>
            </w:pPr>
            <w:r w:rsidRPr="00F8789A">
              <w:t>Arts &amp; rec</w:t>
            </w:r>
          </w:p>
        </w:tc>
        <w:tc>
          <w:tcPr>
            <w:tcW w:w="777" w:type="pct"/>
            <w:vAlign w:val="bottom"/>
          </w:tcPr>
          <w:p w:rsidR="00795EE9" w:rsidRPr="00F8789A" w:rsidRDefault="00795EE9" w:rsidP="00795EE9">
            <w:pPr>
              <w:pStyle w:val="TableBodyText"/>
            </w:pPr>
            <w:r w:rsidRPr="00F8789A">
              <w:t>64</w:t>
            </w:r>
          </w:p>
        </w:tc>
        <w:tc>
          <w:tcPr>
            <w:tcW w:w="777" w:type="pct"/>
            <w:vAlign w:val="bottom"/>
          </w:tcPr>
          <w:p w:rsidR="00795EE9" w:rsidRPr="00F8789A" w:rsidRDefault="00795EE9" w:rsidP="00795EE9">
            <w:pPr>
              <w:pStyle w:val="TableBodyText"/>
            </w:pPr>
            <w:r w:rsidRPr="00F8789A">
              <w:t>64</w:t>
            </w:r>
          </w:p>
        </w:tc>
        <w:tc>
          <w:tcPr>
            <w:tcW w:w="777" w:type="pct"/>
            <w:vAlign w:val="bottom"/>
          </w:tcPr>
          <w:p w:rsidR="00795EE9" w:rsidRPr="00F8789A" w:rsidRDefault="00795EE9" w:rsidP="00795EE9">
            <w:pPr>
              <w:pStyle w:val="TableBodyText"/>
            </w:pPr>
            <w:r w:rsidRPr="00F8789A">
              <w:t>63</w:t>
            </w:r>
          </w:p>
        </w:tc>
        <w:tc>
          <w:tcPr>
            <w:tcW w:w="1254" w:type="pct"/>
            <w:vAlign w:val="bottom"/>
          </w:tcPr>
          <w:p w:rsidR="00795EE9" w:rsidRPr="00F8789A" w:rsidRDefault="00795EE9" w:rsidP="00795EE9">
            <w:pPr>
              <w:pStyle w:val="TableBodyText"/>
            </w:pPr>
            <w:r w:rsidRPr="00F8789A">
              <w:t>-1</w:t>
            </w:r>
          </w:p>
        </w:tc>
      </w:tr>
      <w:tr w:rsidR="00795EE9" w:rsidRPr="00C40DCE" w:rsidTr="00795EE9">
        <w:tc>
          <w:tcPr>
            <w:tcW w:w="1415" w:type="pct"/>
            <w:tcBorders>
              <w:bottom w:val="single" w:sz="6" w:space="0" w:color="auto"/>
            </w:tcBorders>
            <w:shd w:val="clear" w:color="auto" w:fill="auto"/>
            <w:vAlign w:val="bottom"/>
          </w:tcPr>
          <w:p w:rsidR="00795EE9" w:rsidRPr="00C40DCE" w:rsidRDefault="00795EE9" w:rsidP="000457C9">
            <w:pPr>
              <w:pStyle w:val="TableBodyText"/>
              <w:spacing w:before="120"/>
              <w:jc w:val="left"/>
              <w:rPr>
                <w:bCs/>
              </w:rPr>
            </w:pPr>
            <w:r w:rsidRPr="00C40DCE">
              <w:rPr>
                <w:bCs/>
              </w:rPr>
              <w:t xml:space="preserve">Market sector </w:t>
            </w:r>
            <w:r w:rsidR="000457C9">
              <w:rPr>
                <w:bCs/>
              </w:rPr>
              <w:t>12</w:t>
            </w:r>
          </w:p>
        </w:tc>
        <w:tc>
          <w:tcPr>
            <w:tcW w:w="777" w:type="pct"/>
            <w:tcBorders>
              <w:bottom w:val="single" w:sz="6" w:space="0" w:color="auto"/>
            </w:tcBorders>
            <w:shd w:val="clear" w:color="auto" w:fill="auto"/>
            <w:vAlign w:val="bottom"/>
          </w:tcPr>
          <w:p w:rsidR="00795EE9" w:rsidRPr="00C40DCE" w:rsidRDefault="00795EE9" w:rsidP="000457C9">
            <w:pPr>
              <w:pStyle w:val="TableBodyText"/>
              <w:spacing w:before="120"/>
            </w:pPr>
            <w:r w:rsidRPr="00C40DCE">
              <w:t>59</w:t>
            </w:r>
          </w:p>
        </w:tc>
        <w:tc>
          <w:tcPr>
            <w:tcW w:w="777" w:type="pct"/>
            <w:tcBorders>
              <w:bottom w:val="single" w:sz="6" w:space="0" w:color="auto"/>
            </w:tcBorders>
            <w:shd w:val="clear" w:color="auto" w:fill="auto"/>
            <w:vAlign w:val="bottom"/>
          </w:tcPr>
          <w:p w:rsidR="00795EE9" w:rsidRPr="00C40DCE" w:rsidRDefault="00795EE9" w:rsidP="000457C9">
            <w:pPr>
              <w:pStyle w:val="TableBodyText"/>
              <w:spacing w:before="120"/>
            </w:pPr>
            <w:r w:rsidRPr="00C40DCE">
              <w:t>57</w:t>
            </w:r>
          </w:p>
        </w:tc>
        <w:tc>
          <w:tcPr>
            <w:tcW w:w="777" w:type="pct"/>
            <w:tcBorders>
              <w:bottom w:val="single" w:sz="6" w:space="0" w:color="auto"/>
            </w:tcBorders>
            <w:vAlign w:val="bottom"/>
          </w:tcPr>
          <w:p w:rsidR="00795EE9" w:rsidRPr="00C40DCE" w:rsidRDefault="00795EE9" w:rsidP="000457C9">
            <w:pPr>
              <w:pStyle w:val="TableBodyText"/>
              <w:spacing w:before="120"/>
            </w:pPr>
            <w:r w:rsidRPr="00C40DCE">
              <w:t>53</w:t>
            </w:r>
          </w:p>
        </w:tc>
        <w:tc>
          <w:tcPr>
            <w:tcW w:w="1254" w:type="pct"/>
            <w:tcBorders>
              <w:bottom w:val="single" w:sz="6" w:space="0" w:color="auto"/>
            </w:tcBorders>
            <w:vAlign w:val="bottom"/>
          </w:tcPr>
          <w:p w:rsidR="00795EE9" w:rsidRPr="00C40DCE" w:rsidRDefault="00795EE9" w:rsidP="000457C9">
            <w:pPr>
              <w:pStyle w:val="TableBodyText"/>
              <w:spacing w:before="120"/>
            </w:pPr>
            <w:r w:rsidRPr="00C40DCE">
              <w:t>-4</w:t>
            </w:r>
          </w:p>
        </w:tc>
      </w:tr>
    </w:tbl>
    <w:p w:rsidR="00E76038" w:rsidRPr="008E77FE" w:rsidRDefault="00795EE9" w:rsidP="00E900F6">
      <w:pPr>
        <w:pStyle w:val="Source"/>
      </w:pPr>
      <w:r>
        <w:rPr>
          <w:i/>
        </w:rPr>
        <w:t>Source</w:t>
      </w:r>
      <w:r w:rsidR="00E76038">
        <w:t xml:space="preserve">: </w:t>
      </w:r>
      <w:r>
        <w:t xml:space="preserve">ABS </w:t>
      </w:r>
      <w:r w:rsidR="005E5264">
        <w:t>(</w:t>
      </w:r>
      <w:r w:rsidR="000457C9">
        <w:t xml:space="preserve">Cat. no. </w:t>
      </w:r>
      <w:r>
        <w:t>5260.0550.02</w:t>
      </w:r>
      <w:r w:rsidR="005E5264">
        <w:t>)</w:t>
      </w:r>
      <w:r w:rsidR="00E76038">
        <w:t>.</w:t>
      </w:r>
    </w:p>
    <w:p w:rsidR="00025E68" w:rsidRDefault="005E5264" w:rsidP="000457C9">
      <w:pPr>
        <w:pStyle w:val="BodyText"/>
      </w:pPr>
      <w:r>
        <w:br w:type="page"/>
      </w:r>
      <w:r w:rsidR="00025E68" w:rsidRPr="006B14B0">
        <w:lastRenderedPageBreak/>
        <w:t xml:space="preserve">The </w:t>
      </w:r>
      <w:proofErr w:type="spellStart"/>
      <w:r w:rsidR="00025E68" w:rsidRPr="006B14B0">
        <w:t>LIS</w:t>
      </w:r>
      <w:proofErr w:type="spellEnd"/>
      <w:r w:rsidR="00025E68" w:rsidRPr="006B14B0">
        <w:t xml:space="preserve"> </w:t>
      </w:r>
      <w:r w:rsidR="00025E68" w:rsidRPr="00364F7C">
        <w:rPr>
          <w:i/>
        </w:rPr>
        <w:t>increased</w:t>
      </w:r>
      <w:r w:rsidR="00025E68" w:rsidRPr="006B14B0">
        <w:t xml:space="preserve"> in two industries — the Utilities (4 </w:t>
      </w:r>
      <w:r w:rsidR="00E900F6">
        <w:t>percentage points</w:t>
      </w:r>
      <w:r w:rsidR="00025E68" w:rsidRPr="006B14B0">
        <w:t>) and Manufacturing (2</w:t>
      </w:r>
      <w:r w:rsidR="00025E68">
        <w:t> </w:t>
      </w:r>
      <w:r w:rsidR="00E900F6">
        <w:t>percentage points</w:t>
      </w:r>
      <w:r w:rsidR="00025E68" w:rsidRPr="006B14B0">
        <w:t xml:space="preserve">). The increase in Manufacturing is </w:t>
      </w:r>
      <w:r w:rsidR="00025E68">
        <w:t xml:space="preserve">particularly noteworthy, as it suggests the relative decline of the industry was </w:t>
      </w:r>
      <w:r w:rsidR="00E900F6">
        <w:t>focused</w:t>
      </w:r>
      <w:r w:rsidR="00025E68">
        <w:t xml:space="preserve"> more on capital than on labour.</w:t>
      </w:r>
    </w:p>
    <w:p w:rsidR="00654C4E" w:rsidRDefault="00F92682" w:rsidP="00654C4E">
      <w:pPr>
        <w:pStyle w:val="Heading2"/>
      </w:pPr>
      <w:fldSimple w:instr=" COMMENTS  \* MERGEFORMAT ">
        <w:r w:rsidR="005E5264">
          <w:t>5.</w:t>
        </w:r>
      </w:fldSimple>
      <w:fldSimple w:instr=" SEQ Heading2 ">
        <w:r>
          <w:rPr>
            <w:noProof/>
          </w:rPr>
          <w:t>2</w:t>
        </w:r>
      </w:fldSimple>
      <w:r w:rsidR="00654C4E">
        <w:tab/>
      </w:r>
      <w:r w:rsidR="00126B30">
        <w:t>Changes in relative size and changes within industries</w:t>
      </w:r>
    </w:p>
    <w:p w:rsidR="004C13F9" w:rsidRDefault="004C13F9" w:rsidP="00654C4E">
      <w:pPr>
        <w:pStyle w:val="BodyText"/>
      </w:pPr>
      <w:r>
        <w:t xml:space="preserve">There were major reallocations of output and income among industries over the </w:t>
      </w:r>
      <w:proofErr w:type="spellStart"/>
      <w:r>
        <w:t>2000s</w:t>
      </w:r>
      <w:proofErr w:type="spellEnd"/>
      <w:r>
        <w:t xml:space="preserve"> decade (section 2.3 in chapter 2). In particular, a large share of total income was redistributed from </w:t>
      </w:r>
      <w:r w:rsidR="000457C9">
        <w:t xml:space="preserve">Manufacturing </w:t>
      </w:r>
      <w:r>
        <w:t xml:space="preserve">to </w:t>
      </w:r>
      <w:r w:rsidR="000457C9">
        <w:t>Mining</w:t>
      </w:r>
      <w:r>
        <w:t>. Financ</w:t>
      </w:r>
      <w:r w:rsidR="00536CCF">
        <w:t>e</w:t>
      </w:r>
      <w:r>
        <w:t xml:space="preserve"> and Construction also receive</w:t>
      </w:r>
      <w:r w:rsidR="00025E68">
        <w:t xml:space="preserve">d a higher proportion of income, while </w:t>
      </w:r>
      <w:r>
        <w:t xml:space="preserve">Agriculture received a lower proportion. </w:t>
      </w:r>
    </w:p>
    <w:p w:rsidR="00536CCF" w:rsidRDefault="00536CCF" w:rsidP="00654C4E">
      <w:pPr>
        <w:pStyle w:val="BodyText"/>
      </w:pPr>
      <w:r>
        <w:t>Output and income</w:t>
      </w:r>
      <w:r w:rsidR="004C13F9">
        <w:t xml:space="preserve"> reallocations </w:t>
      </w:r>
      <w:r>
        <w:t>affect</w:t>
      </w:r>
      <w:r w:rsidR="004C13F9">
        <w:t xml:space="preserve"> the market sector </w:t>
      </w:r>
      <w:proofErr w:type="spellStart"/>
      <w:r w:rsidR="004C13F9">
        <w:t>LIS</w:t>
      </w:r>
      <w:proofErr w:type="spellEnd"/>
      <w:r w:rsidR="001C5B43">
        <w:t>.</w:t>
      </w:r>
      <w:r w:rsidR="004C13F9">
        <w:t xml:space="preserve"> A shift toward industries with low </w:t>
      </w:r>
      <w:proofErr w:type="spellStart"/>
      <w:r w:rsidR="004C13F9">
        <w:t>LISs</w:t>
      </w:r>
      <w:proofErr w:type="spellEnd"/>
      <w:r w:rsidR="004C13F9">
        <w:t xml:space="preserve"> and away from industries with high </w:t>
      </w:r>
      <w:proofErr w:type="spellStart"/>
      <w:r w:rsidR="004C13F9">
        <w:t>LISs</w:t>
      </w:r>
      <w:proofErr w:type="spellEnd"/>
      <w:r w:rsidR="000457C9">
        <w:t xml:space="preserve"> will</w:t>
      </w:r>
      <w:r w:rsidR="004C13F9">
        <w:t xml:space="preserve"> </w:t>
      </w:r>
      <w:r w:rsidR="001C5B43">
        <w:t>bring about a fall in the average (</w:t>
      </w:r>
      <w:r w:rsidR="004C13F9">
        <w:t>aggregate</w:t>
      </w:r>
      <w:r w:rsidR="001C5B43">
        <w:t>)</w:t>
      </w:r>
      <w:r w:rsidR="004C13F9">
        <w:t xml:space="preserve"> </w:t>
      </w:r>
      <w:proofErr w:type="spellStart"/>
      <w:r w:rsidR="004C13F9">
        <w:t>LIS</w:t>
      </w:r>
      <w:proofErr w:type="spellEnd"/>
      <w:r w:rsidR="004C13F9">
        <w:t>.</w:t>
      </w:r>
      <w:r w:rsidR="001C5B43">
        <w:t xml:space="preserve"> </w:t>
      </w:r>
      <w:r>
        <w:t>The converse is also obviously true.</w:t>
      </w:r>
    </w:p>
    <w:p w:rsidR="004C13F9" w:rsidRDefault="00536CCF" w:rsidP="00654C4E">
      <w:pPr>
        <w:pStyle w:val="BodyText"/>
      </w:pPr>
      <w:r>
        <w:t xml:space="preserve">The </w:t>
      </w:r>
      <w:proofErr w:type="spellStart"/>
      <w:r>
        <w:t>2000s</w:t>
      </w:r>
      <w:proofErr w:type="spellEnd"/>
      <w:r>
        <w:t xml:space="preserve"> reallocations would have had mixed effects. </w:t>
      </w:r>
      <w:r w:rsidR="001C5B43">
        <w:t xml:space="preserve">Mining, being capital intensive, has a low </w:t>
      </w:r>
      <w:proofErr w:type="spellStart"/>
      <w:r w:rsidR="001C5B43">
        <w:t>LIS</w:t>
      </w:r>
      <w:proofErr w:type="spellEnd"/>
      <w:r w:rsidR="001C5B43">
        <w:t xml:space="preserve"> and Manufacturing has an </w:t>
      </w:r>
      <w:proofErr w:type="spellStart"/>
      <w:r w:rsidR="001C5B43">
        <w:t>LIS</w:t>
      </w:r>
      <w:proofErr w:type="spellEnd"/>
      <w:r w:rsidR="001C5B43">
        <w:t xml:space="preserve"> just above average (table</w:t>
      </w:r>
      <w:r>
        <w:t> </w:t>
      </w:r>
      <w:r w:rsidR="001C5B43">
        <w:t xml:space="preserve">5.3). </w:t>
      </w:r>
      <w:r w:rsidR="006B14B0">
        <w:t xml:space="preserve">Those reallocations would have reduced the aggregate </w:t>
      </w:r>
      <w:proofErr w:type="spellStart"/>
      <w:r w:rsidR="006B14B0">
        <w:t>LIS</w:t>
      </w:r>
      <w:proofErr w:type="spellEnd"/>
      <w:r w:rsidR="006B14B0">
        <w:t xml:space="preserve">. </w:t>
      </w:r>
      <w:r w:rsidR="001C5B43">
        <w:t xml:space="preserve">On the other hand, the shift toward the Construction industry, which has a high </w:t>
      </w:r>
      <w:proofErr w:type="spellStart"/>
      <w:r w:rsidR="001C5B43">
        <w:t>LIS</w:t>
      </w:r>
      <w:proofErr w:type="spellEnd"/>
      <w:r w:rsidR="001C5B43">
        <w:t xml:space="preserve">, would have increased the market sector </w:t>
      </w:r>
      <w:proofErr w:type="spellStart"/>
      <w:r w:rsidR="001C5B43">
        <w:t>LIS</w:t>
      </w:r>
      <w:proofErr w:type="spellEnd"/>
      <w:r w:rsidR="001C5B43">
        <w:t>.</w:t>
      </w:r>
    </w:p>
    <w:p w:rsidR="001C5B43" w:rsidRDefault="001C5B43" w:rsidP="00654C4E">
      <w:pPr>
        <w:pStyle w:val="BodyText"/>
      </w:pPr>
      <w:r>
        <w:t xml:space="preserve">The widespread falls in </w:t>
      </w:r>
      <w:proofErr w:type="spellStart"/>
      <w:r>
        <w:t>LIS</w:t>
      </w:r>
      <w:proofErr w:type="spellEnd"/>
      <w:r>
        <w:t xml:space="preserve"> </w:t>
      </w:r>
      <w:r w:rsidRPr="006B14B0">
        <w:rPr>
          <w:i/>
        </w:rPr>
        <w:t>within</w:t>
      </w:r>
      <w:r>
        <w:t xml:space="preserve"> industries would have worked to reduce the aggregate </w:t>
      </w:r>
      <w:proofErr w:type="spellStart"/>
      <w:r>
        <w:t>LIS</w:t>
      </w:r>
      <w:proofErr w:type="spellEnd"/>
      <w:r>
        <w:t>. On the other hand</w:t>
      </w:r>
      <w:r w:rsidR="00536CCF">
        <w:t>,</w:t>
      </w:r>
      <w:r>
        <w:t xml:space="preserve"> the rise in the </w:t>
      </w:r>
      <w:proofErr w:type="spellStart"/>
      <w:r>
        <w:t>LIS</w:t>
      </w:r>
      <w:proofErr w:type="spellEnd"/>
      <w:r>
        <w:t xml:space="preserve"> in the relatively large </w:t>
      </w:r>
      <w:r w:rsidR="000457C9">
        <w:t xml:space="preserve">Manufacturing </w:t>
      </w:r>
      <w:r w:rsidR="00F97CB6">
        <w:t>sector</w:t>
      </w:r>
      <w:r w:rsidR="00E80A85">
        <w:t xml:space="preserve"> would have raised the aggregate </w:t>
      </w:r>
      <w:proofErr w:type="spellStart"/>
      <w:r w:rsidR="00E80A85">
        <w:t>LIS</w:t>
      </w:r>
      <w:proofErr w:type="spellEnd"/>
      <w:r w:rsidR="00E80A85">
        <w:t>.</w:t>
      </w:r>
    </w:p>
    <w:p w:rsidR="00E80A85" w:rsidRDefault="00E80A85" w:rsidP="00E80A85">
      <w:pPr>
        <w:pStyle w:val="Heading3"/>
      </w:pPr>
      <w:r>
        <w:t>Shift-share analysis</w:t>
      </w:r>
    </w:p>
    <w:p w:rsidR="00654C4E" w:rsidRDefault="00654C4E" w:rsidP="00654C4E">
      <w:pPr>
        <w:pStyle w:val="BodyText"/>
      </w:pPr>
      <w:r>
        <w:t xml:space="preserve">Shift-share analysis provides a means of tracking the ‘within-industry’ changes in </w:t>
      </w:r>
      <w:proofErr w:type="spellStart"/>
      <w:r>
        <w:t>LIS</w:t>
      </w:r>
      <w:proofErr w:type="spellEnd"/>
      <w:r>
        <w:t xml:space="preserve"> and the ‘between-industry’ shifts in industry mix and establishing their relative importance in explaining the fall in aggregate </w:t>
      </w:r>
      <w:proofErr w:type="spellStart"/>
      <w:r>
        <w:t>LIS</w:t>
      </w:r>
      <w:proofErr w:type="spellEnd"/>
      <w:r>
        <w:t xml:space="preserve">. </w:t>
      </w:r>
    </w:p>
    <w:p w:rsidR="00654C4E" w:rsidRDefault="00654C4E" w:rsidP="00654C4E">
      <w:pPr>
        <w:pStyle w:val="BodyText"/>
      </w:pPr>
      <w:r>
        <w:t>The essence of the methodology is to add up:</w:t>
      </w:r>
    </w:p>
    <w:p w:rsidR="00654C4E" w:rsidRDefault="00654C4E" w:rsidP="00654C4E">
      <w:pPr>
        <w:pStyle w:val="ListBullet"/>
      </w:pPr>
      <w:r>
        <w:t>the within-indus</w:t>
      </w:r>
      <w:r w:rsidR="000457C9">
        <w:t xml:space="preserve">try or change in </w:t>
      </w:r>
      <w:proofErr w:type="spellStart"/>
      <w:r w:rsidR="000457C9">
        <w:t>LIS</w:t>
      </w:r>
      <w:proofErr w:type="spellEnd"/>
      <w:r w:rsidR="000457C9">
        <w:t xml:space="preserve"> components</w:t>
      </w:r>
    </w:p>
    <w:p w:rsidR="00654C4E" w:rsidRDefault="00654C4E" w:rsidP="00654C4E">
      <w:pPr>
        <w:pStyle w:val="ListBullet2"/>
      </w:pPr>
      <w:r>
        <w:t xml:space="preserve">these are the change in an industry’s </w:t>
      </w:r>
      <w:proofErr w:type="spellStart"/>
      <w:r>
        <w:t>LIS</w:t>
      </w:r>
      <w:proofErr w:type="spellEnd"/>
      <w:r>
        <w:t>, weighted by th</w:t>
      </w:r>
      <w:r w:rsidR="000457C9">
        <w:t>e relative size of the industry</w:t>
      </w:r>
    </w:p>
    <w:p w:rsidR="00654C4E" w:rsidRDefault="00654C4E" w:rsidP="00654C4E">
      <w:pPr>
        <w:pStyle w:val="ListBullet"/>
      </w:pPr>
      <w:r>
        <w:t xml:space="preserve">the </w:t>
      </w:r>
      <w:r w:rsidR="00536CCF">
        <w:t>between-</w:t>
      </w:r>
      <w:r>
        <w:t xml:space="preserve">industry </w:t>
      </w:r>
      <w:r w:rsidR="00536CCF">
        <w:t xml:space="preserve">or </w:t>
      </w:r>
      <w:r w:rsidR="000457C9">
        <w:t>structural change components</w:t>
      </w:r>
    </w:p>
    <w:p w:rsidR="00654C4E" w:rsidRDefault="00654C4E" w:rsidP="00654C4E">
      <w:pPr>
        <w:pStyle w:val="ListBullet2"/>
      </w:pPr>
      <w:r>
        <w:lastRenderedPageBreak/>
        <w:t xml:space="preserve">these are the change in the relative size </w:t>
      </w:r>
      <w:r w:rsidR="00126B30">
        <w:t xml:space="preserve">(total income) </w:t>
      </w:r>
      <w:r>
        <w:t xml:space="preserve">of an industry, weighted by the </w:t>
      </w:r>
      <w:proofErr w:type="spellStart"/>
      <w:r>
        <w:t>LIS</w:t>
      </w:r>
      <w:proofErr w:type="spellEnd"/>
      <w:r>
        <w:t xml:space="preserve"> of the industry.</w:t>
      </w:r>
    </w:p>
    <w:p w:rsidR="00654C4E" w:rsidRDefault="00654C4E" w:rsidP="00654C4E">
      <w:pPr>
        <w:pStyle w:val="BodyText"/>
      </w:pPr>
      <w:r>
        <w:t xml:space="preserve">The sum of these two components across industries equals the change in market sector </w:t>
      </w:r>
      <w:proofErr w:type="spellStart"/>
      <w:r>
        <w:t>LIS</w:t>
      </w:r>
      <w:proofErr w:type="spellEnd"/>
      <w:r>
        <w:t xml:space="preserve">. The methodology is set out in </w:t>
      </w:r>
      <w:r w:rsidRPr="00225FD1">
        <w:t>appendix A.</w:t>
      </w:r>
    </w:p>
    <w:p w:rsidR="00654C4E" w:rsidRDefault="00654C4E" w:rsidP="00654C4E">
      <w:pPr>
        <w:pStyle w:val="Heading4"/>
      </w:pPr>
      <w:r>
        <w:t>S</w:t>
      </w:r>
      <w:r w:rsidRPr="00ED4AA4">
        <w:t>tructural change</w:t>
      </w:r>
      <w:r>
        <w:t xml:space="preserve"> a major contributor</w:t>
      </w:r>
      <w:r w:rsidR="006B14B0">
        <w:t>, but ‘within-industry’ effects more important</w:t>
      </w:r>
    </w:p>
    <w:p w:rsidR="006B14B0" w:rsidRDefault="00654C4E" w:rsidP="00654C4E">
      <w:pPr>
        <w:pStyle w:val="BodyText"/>
      </w:pPr>
      <w:r>
        <w:t xml:space="preserve">The </w:t>
      </w:r>
      <w:r w:rsidR="006B14B0">
        <w:t xml:space="preserve">widespread falls in industry </w:t>
      </w:r>
      <w:proofErr w:type="spellStart"/>
      <w:r w:rsidR="006B14B0">
        <w:t>LISs</w:t>
      </w:r>
      <w:proofErr w:type="spellEnd"/>
      <w:r w:rsidR="006B14B0">
        <w:t xml:space="preserve"> had the greater effect on reducing the market sector </w:t>
      </w:r>
      <w:proofErr w:type="spellStart"/>
      <w:r w:rsidR="006B14B0">
        <w:t>LIS</w:t>
      </w:r>
      <w:proofErr w:type="spellEnd"/>
      <w:r w:rsidR="006B14B0">
        <w:t xml:space="preserve"> in the </w:t>
      </w:r>
      <w:proofErr w:type="spellStart"/>
      <w:r w:rsidR="006B14B0">
        <w:t>2000s</w:t>
      </w:r>
      <w:proofErr w:type="spellEnd"/>
      <w:r w:rsidR="006B14B0">
        <w:t xml:space="preserve"> (figure 5.</w:t>
      </w:r>
      <w:r w:rsidR="000528CD">
        <w:t>1</w:t>
      </w:r>
      <w:r w:rsidR="006B14B0">
        <w:t>).</w:t>
      </w:r>
    </w:p>
    <w:p w:rsidR="00536CCF" w:rsidRPr="00017AA0" w:rsidRDefault="006B14B0" w:rsidP="00536CCF">
      <w:pPr>
        <w:pStyle w:val="BodyText"/>
      </w:pPr>
      <w:r>
        <w:t xml:space="preserve">However, the structural change component was also important. </w:t>
      </w:r>
      <w:r w:rsidR="009404C7">
        <w:t>Between-industry effects</w:t>
      </w:r>
      <w:r w:rsidR="00654C4E">
        <w:t xml:space="preserve"> </w:t>
      </w:r>
      <w:r w:rsidR="00411E01">
        <w:t>accounted for around 40 per cent</w:t>
      </w:r>
      <w:r w:rsidR="009404C7">
        <w:t xml:space="preserve"> </w:t>
      </w:r>
      <w:r w:rsidR="00025E68">
        <w:t xml:space="preserve">of </w:t>
      </w:r>
      <w:r w:rsidR="009404C7">
        <w:t xml:space="preserve">the </w:t>
      </w:r>
      <w:proofErr w:type="spellStart"/>
      <w:r w:rsidR="009404C7">
        <w:t>2000s</w:t>
      </w:r>
      <w:proofErr w:type="spellEnd"/>
      <w:r w:rsidR="009404C7">
        <w:t xml:space="preserve"> fall</w:t>
      </w:r>
      <w:r w:rsidR="00654C4E">
        <w:t>.</w:t>
      </w:r>
      <w:r w:rsidR="00654C4E" w:rsidRPr="00823E55">
        <w:rPr>
          <w:rStyle w:val="FootnoteReference"/>
        </w:rPr>
        <w:t xml:space="preserve"> </w:t>
      </w:r>
      <w:r w:rsidR="009404C7">
        <w:t>The structural change component was pivotal in explaining the change between decades. It change</w:t>
      </w:r>
      <w:r w:rsidR="00411E01">
        <w:t>d</w:t>
      </w:r>
      <w:r w:rsidR="00536CCF">
        <w:t xml:space="preserve"> from a small positive component in the </w:t>
      </w:r>
      <w:proofErr w:type="spellStart"/>
      <w:r w:rsidR="00536CCF">
        <w:t>1990s</w:t>
      </w:r>
      <w:proofErr w:type="spellEnd"/>
      <w:r w:rsidR="00536CCF">
        <w:t xml:space="preserve"> to a much larger negative component in the </w:t>
      </w:r>
      <w:proofErr w:type="spellStart"/>
      <w:r w:rsidR="00536CCF">
        <w:t>2000s</w:t>
      </w:r>
      <w:proofErr w:type="spellEnd"/>
      <w:r w:rsidR="00536CCF">
        <w:t xml:space="preserve"> </w:t>
      </w:r>
      <w:r w:rsidR="009404C7">
        <w:t>(figure 5.</w:t>
      </w:r>
      <w:r w:rsidR="000528CD">
        <w:t>1</w:t>
      </w:r>
      <w:r w:rsidR="009404C7">
        <w:t>).</w:t>
      </w:r>
    </w:p>
    <w:p w:rsidR="00654C4E" w:rsidRPr="0036082D" w:rsidRDefault="00654C4E" w:rsidP="00654C4E">
      <w:pPr>
        <w:pStyle w:val="FigureTitle"/>
        <w:rPr>
          <w:vertAlign w:val="superscript"/>
        </w:rPr>
      </w:pPr>
      <w:r>
        <w:rPr>
          <w:b w:val="0"/>
        </w:rPr>
        <w:t xml:space="preserve">Figure </w:t>
      </w:r>
      <w:r>
        <w:rPr>
          <w:b w:val="0"/>
        </w:rPr>
        <w:fldChar w:fldCharType="begin"/>
      </w:r>
      <w:r>
        <w:rPr>
          <w:b w:val="0"/>
        </w:rPr>
        <w:instrText xml:space="preserve"> COMMENTS  \* MERGEFORMAT </w:instrText>
      </w:r>
      <w:r>
        <w:rPr>
          <w:b w:val="0"/>
        </w:rPr>
        <w:fldChar w:fldCharType="separate"/>
      </w:r>
      <w:r w:rsidR="005E5264">
        <w:rPr>
          <w:b w:val="0"/>
        </w:rPr>
        <w:t>5.</w:t>
      </w:r>
      <w:r>
        <w:rPr>
          <w:b w:val="0"/>
        </w:rPr>
        <w:fldChar w:fldCharType="end"/>
      </w:r>
      <w:r>
        <w:rPr>
          <w:b w:val="0"/>
        </w:rPr>
        <w:fldChar w:fldCharType="begin"/>
      </w:r>
      <w:r>
        <w:rPr>
          <w:b w:val="0"/>
        </w:rPr>
        <w:instrText xml:space="preserve"> SEQ Figure \* ARABIC </w:instrText>
      </w:r>
      <w:r>
        <w:rPr>
          <w:b w:val="0"/>
        </w:rPr>
        <w:fldChar w:fldCharType="separate"/>
      </w:r>
      <w:r w:rsidR="00F92682">
        <w:rPr>
          <w:b w:val="0"/>
          <w:noProof/>
        </w:rPr>
        <w:t>1</w:t>
      </w:r>
      <w:r>
        <w:rPr>
          <w:b w:val="0"/>
        </w:rPr>
        <w:fldChar w:fldCharType="end"/>
      </w:r>
      <w:r>
        <w:tab/>
        <w:t>Decomposition of change in the market sector labour income share into between-industry and within-industry components</w:t>
      </w:r>
      <w:r w:rsidRPr="00C87FBB">
        <w:rPr>
          <w:rStyle w:val="NoteLabel"/>
        </w:rPr>
        <w:t>a</w:t>
      </w:r>
    </w:p>
    <w:p w:rsidR="00654C4E" w:rsidRDefault="00654C4E" w:rsidP="00654C4E">
      <w:pPr>
        <w:pStyle w:val="Subtitle"/>
      </w:pPr>
      <w:r>
        <w:t>percentage points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54C4E" w:rsidTr="000528CD">
        <w:tc>
          <w:tcPr>
            <w:tcW w:w="8777" w:type="dxa"/>
          </w:tcPr>
          <w:p w:rsidR="00654C4E" w:rsidRDefault="00B23FF2" w:rsidP="00654C4E">
            <w:pPr>
              <w:pStyle w:val="Figure"/>
            </w:pPr>
            <w:r>
              <w:rPr>
                <w:noProof/>
              </w:rPr>
              <w:drawing>
                <wp:inline distT="0" distB="0" distL="0" distR="0" wp14:anchorId="0AC409C9" wp14:editId="1DB81A0C">
                  <wp:extent cx="4314825" cy="2295525"/>
                  <wp:effectExtent l="0" t="0" r="9525" b="9525"/>
                  <wp:docPr id="1" name="Picture 1" descr="Decomposition of change in the market sector labour income share into between-industry and within-industry components. This figure shows that there was little change in the size of the within-industry effect between the 1990s and the 2000s. The fall in the the labour income share in the 2000s was mostly associated with the between-industry effect going from mildly positive in the 1990s to clearly negative in the 200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4825" cy="2295525"/>
                          </a:xfrm>
                          <a:prstGeom prst="rect">
                            <a:avLst/>
                          </a:prstGeom>
                          <a:noFill/>
                          <a:ln>
                            <a:noFill/>
                          </a:ln>
                        </pic:spPr>
                      </pic:pic>
                    </a:graphicData>
                  </a:graphic>
                </wp:inline>
              </w:drawing>
            </w:r>
          </w:p>
        </w:tc>
      </w:tr>
    </w:tbl>
    <w:p w:rsidR="00654C4E" w:rsidRDefault="00654C4E" w:rsidP="00654C4E">
      <w:pPr>
        <w:pStyle w:val="Note"/>
      </w:pPr>
      <w:r>
        <w:rPr>
          <w:rStyle w:val="NoteLabel"/>
        </w:rPr>
        <w:t>a</w:t>
      </w:r>
      <w:r>
        <w:t xml:space="preserve"> 1989-90 to 1999-00 and 1999-00 to 2009-10.</w:t>
      </w:r>
    </w:p>
    <w:p w:rsidR="00654C4E" w:rsidRDefault="000457C9" w:rsidP="00654C4E">
      <w:pPr>
        <w:pStyle w:val="Source"/>
      </w:pPr>
      <w:r>
        <w:rPr>
          <w:i/>
        </w:rPr>
        <w:t>Data s</w:t>
      </w:r>
      <w:r w:rsidR="00654C4E">
        <w:rPr>
          <w:i/>
        </w:rPr>
        <w:t>ource</w:t>
      </w:r>
      <w:r w:rsidR="00654C4E" w:rsidRPr="00167F06">
        <w:t xml:space="preserve">: </w:t>
      </w:r>
      <w:r w:rsidR="00654C4E">
        <w:t>Author’s estimates</w:t>
      </w:r>
      <w:r w:rsidR="00FE37DE">
        <w:t xml:space="preserve"> based on ABS </w:t>
      </w:r>
      <w:r w:rsidR="005E5264">
        <w:t>(</w:t>
      </w:r>
      <w:r w:rsidR="00FE37DE">
        <w:t>Cat</w:t>
      </w:r>
      <w:r>
        <w:t>. no.</w:t>
      </w:r>
      <w:r w:rsidR="00FE37DE">
        <w:t xml:space="preserve"> 5260.0550.02</w:t>
      </w:r>
      <w:r w:rsidR="005E5264">
        <w:t>)</w:t>
      </w:r>
      <w:r w:rsidR="00FE37DE">
        <w:t>.</w:t>
      </w:r>
    </w:p>
    <w:p w:rsidR="000528CD" w:rsidRDefault="000528CD" w:rsidP="000528CD">
      <w:pPr>
        <w:pStyle w:val="Heading4"/>
      </w:pPr>
      <w:r>
        <w:t xml:space="preserve">Mining was the largest industry contributor to the </w:t>
      </w:r>
      <w:proofErr w:type="spellStart"/>
      <w:r>
        <w:t>2000s</w:t>
      </w:r>
      <w:proofErr w:type="spellEnd"/>
      <w:r>
        <w:t xml:space="preserve"> fall</w:t>
      </w:r>
    </w:p>
    <w:p w:rsidR="000528CD" w:rsidRDefault="000528CD" w:rsidP="000528CD">
      <w:pPr>
        <w:pStyle w:val="BodyText"/>
      </w:pPr>
      <w:r>
        <w:t>Industry results are presented in table 5.4. Entries in the ‘total contribution’ column are the sum of entries in the ‘within’ column and the ‘between’ column. The industry contributions sum to the market sector totals at the bottom of the table.</w:t>
      </w:r>
    </w:p>
    <w:p w:rsidR="000528CD" w:rsidRDefault="000528CD" w:rsidP="000528CD">
      <w:pPr>
        <w:pStyle w:val="BodyText"/>
      </w:pPr>
      <w:r>
        <w:lastRenderedPageBreak/>
        <w:t xml:space="preserve">The Mining </w:t>
      </w:r>
      <w:r w:rsidR="00F97CB6">
        <w:t>sector</w:t>
      </w:r>
      <w:r>
        <w:t xml:space="preserve"> was the stand-out contributor, accounting for half of the decline in </w:t>
      </w:r>
      <w:r w:rsidR="00F97CB6">
        <w:t>market sector</w:t>
      </w:r>
      <w:r>
        <w:t xml:space="preserve"> </w:t>
      </w:r>
      <w:proofErr w:type="spellStart"/>
      <w:r>
        <w:t>LIS</w:t>
      </w:r>
      <w:proofErr w:type="spellEnd"/>
      <w:r>
        <w:t>. Most of that contribution came from structural change — the shift in activity towards this capital-intensive industry. This was, by far, the largest single contribution of all the within-industry and structural change elements.</w:t>
      </w:r>
    </w:p>
    <w:p w:rsidR="000528CD" w:rsidRDefault="000528CD" w:rsidP="000528CD">
      <w:pPr>
        <w:pStyle w:val="BodyText"/>
      </w:pPr>
      <w:r>
        <w:t>It was quite a long way back to the ‘second tier’ contributions from Retail (</w:t>
      </w:r>
      <w:r>
        <w:noBreakHyphen/>
        <w:t>0.6 </w:t>
      </w:r>
      <w:r w:rsidR="006239C7">
        <w:t>percentage points</w:t>
      </w:r>
      <w:r>
        <w:t>) and Accommodation (</w:t>
      </w:r>
      <w:r>
        <w:noBreakHyphen/>
        <w:t>0.4</w:t>
      </w:r>
      <w:r w:rsidR="006239C7">
        <w:t xml:space="preserve"> percentage points</w:t>
      </w:r>
      <w:r>
        <w:t xml:space="preserve">). A within-industry fall in </w:t>
      </w:r>
      <w:proofErr w:type="spellStart"/>
      <w:r>
        <w:t>LIS</w:t>
      </w:r>
      <w:proofErr w:type="spellEnd"/>
      <w:r>
        <w:t xml:space="preserve"> was the more important element in both cases.</w:t>
      </w:r>
    </w:p>
    <w:p w:rsidR="000528CD" w:rsidRDefault="000528CD" w:rsidP="000528CD">
      <w:pPr>
        <w:pStyle w:val="BodyText"/>
      </w:pPr>
      <w:r>
        <w:t xml:space="preserve">Construction only made a small negative total contribution. Its positive structural change contribution (shift toward an industry with above-average </w:t>
      </w:r>
      <w:proofErr w:type="spellStart"/>
      <w:r>
        <w:t>LIS</w:t>
      </w:r>
      <w:proofErr w:type="spellEnd"/>
      <w:r>
        <w:t>) was more than offset by a relatively-large negative within-industry contribution.</w:t>
      </w:r>
    </w:p>
    <w:p w:rsidR="00795EE9" w:rsidRDefault="00795EE9">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5E5264">
        <w:rPr>
          <w:b w:val="0"/>
        </w:rPr>
        <w:t>5.</w:t>
      </w:r>
      <w:r>
        <w:rPr>
          <w:b w:val="0"/>
        </w:rPr>
        <w:fldChar w:fldCharType="end"/>
      </w:r>
      <w:r>
        <w:rPr>
          <w:b w:val="0"/>
        </w:rPr>
        <w:fldChar w:fldCharType="begin"/>
      </w:r>
      <w:r>
        <w:rPr>
          <w:b w:val="0"/>
        </w:rPr>
        <w:instrText xml:space="preserve"> SEQ Table \* ARABIC </w:instrText>
      </w:r>
      <w:r>
        <w:rPr>
          <w:b w:val="0"/>
        </w:rPr>
        <w:fldChar w:fldCharType="separate"/>
      </w:r>
      <w:r w:rsidR="00F92682">
        <w:rPr>
          <w:b w:val="0"/>
          <w:noProof/>
        </w:rPr>
        <w:t>4</w:t>
      </w:r>
      <w:r>
        <w:rPr>
          <w:b w:val="0"/>
        </w:rPr>
        <w:fldChar w:fldCharType="end"/>
      </w:r>
      <w:r>
        <w:tab/>
      </w:r>
      <w:r w:rsidR="007D413A">
        <w:t xml:space="preserve">Industry contributions to the change in the market sector </w:t>
      </w:r>
      <w:proofErr w:type="spellStart"/>
      <w:r w:rsidR="007D413A">
        <w:t>LIS</w:t>
      </w:r>
      <w:proofErr w:type="spellEnd"/>
      <w:r w:rsidR="007D413A">
        <w:t xml:space="preserve"> through within, between and total effects </w:t>
      </w:r>
    </w:p>
    <w:p w:rsidR="00795EE9" w:rsidRDefault="007D413A">
      <w:pPr>
        <w:pStyle w:val="Subtitle"/>
      </w:pPr>
      <w:r>
        <w:t xml:space="preserve">percentage points </w:t>
      </w:r>
    </w:p>
    <w:tbl>
      <w:tblPr>
        <w:tblW w:w="0" w:type="auto"/>
        <w:tblLayout w:type="fixed"/>
        <w:tblCellMar>
          <w:left w:w="0" w:type="dxa"/>
          <w:right w:w="0" w:type="dxa"/>
        </w:tblCellMar>
        <w:tblLook w:val="0000" w:firstRow="0" w:lastRow="0" w:firstColumn="0" w:lastColumn="0" w:noHBand="0" w:noVBand="0"/>
      </w:tblPr>
      <w:tblGrid>
        <w:gridCol w:w="2610"/>
        <w:gridCol w:w="966"/>
        <w:gridCol w:w="965"/>
        <w:gridCol w:w="965"/>
        <w:gridCol w:w="388"/>
        <w:gridCol w:w="965"/>
        <w:gridCol w:w="965"/>
        <w:gridCol w:w="965"/>
      </w:tblGrid>
      <w:tr w:rsidR="00795EE9" w:rsidRPr="00795EE9" w:rsidTr="00795EE9">
        <w:tc>
          <w:tcPr>
            <w:tcW w:w="2610" w:type="dxa"/>
            <w:tcBorders>
              <w:top w:val="single" w:sz="6" w:space="0" w:color="auto"/>
            </w:tcBorders>
            <w:shd w:val="clear" w:color="auto" w:fill="auto"/>
          </w:tcPr>
          <w:p w:rsidR="00795EE9" w:rsidRPr="00795EE9" w:rsidRDefault="00795EE9" w:rsidP="00795EE9">
            <w:pPr>
              <w:pStyle w:val="TableColumnHeading"/>
            </w:pPr>
          </w:p>
        </w:tc>
        <w:tc>
          <w:tcPr>
            <w:tcW w:w="2896" w:type="dxa"/>
            <w:gridSpan w:val="3"/>
            <w:tcBorders>
              <w:top w:val="single" w:sz="6" w:space="0" w:color="auto"/>
              <w:bottom w:val="single" w:sz="6" w:space="0" w:color="auto"/>
            </w:tcBorders>
          </w:tcPr>
          <w:p w:rsidR="00795EE9" w:rsidRPr="00795EE9" w:rsidRDefault="00795EE9" w:rsidP="00795EE9">
            <w:pPr>
              <w:pStyle w:val="TableColumnHeading"/>
              <w:jc w:val="center"/>
            </w:pPr>
            <w:r w:rsidRPr="00795EE9">
              <w:t>1989-90 to 1999-00</w:t>
            </w:r>
          </w:p>
        </w:tc>
        <w:tc>
          <w:tcPr>
            <w:tcW w:w="388" w:type="dxa"/>
            <w:tcBorders>
              <w:top w:val="single" w:sz="6" w:space="0" w:color="auto"/>
            </w:tcBorders>
          </w:tcPr>
          <w:p w:rsidR="00795EE9" w:rsidRPr="00795EE9" w:rsidRDefault="00795EE9" w:rsidP="00795EE9">
            <w:pPr>
              <w:pStyle w:val="TableColumnHeading"/>
              <w:jc w:val="center"/>
            </w:pPr>
          </w:p>
        </w:tc>
        <w:tc>
          <w:tcPr>
            <w:tcW w:w="2895" w:type="dxa"/>
            <w:gridSpan w:val="3"/>
            <w:tcBorders>
              <w:top w:val="single" w:sz="6" w:space="0" w:color="auto"/>
              <w:bottom w:val="single" w:sz="6" w:space="0" w:color="auto"/>
            </w:tcBorders>
          </w:tcPr>
          <w:p w:rsidR="00795EE9" w:rsidRPr="00795EE9" w:rsidRDefault="00795EE9" w:rsidP="00795EE9">
            <w:pPr>
              <w:pStyle w:val="TableColumnHeading"/>
              <w:jc w:val="center"/>
            </w:pPr>
            <w:r w:rsidRPr="00795EE9">
              <w:t>1999-00 to 2009-10</w:t>
            </w:r>
          </w:p>
        </w:tc>
      </w:tr>
      <w:tr w:rsidR="00795EE9" w:rsidRPr="00795EE9" w:rsidTr="00795EE9">
        <w:tc>
          <w:tcPr>
            <w:tcW w:w="2610" w:type="dxa"/>
            <w:tcBorders>
              <w:bottom w:val="single" w:sz="6" w:space="0" w:color="auto"/>
            </w:tcBorders>
            <w:shd w:val="clear" w:color="auto" w:fill="auto"/>
          </w:tcPr>
          <w:p w:rsidR="00795EE9" w:rsidRPr="00795EE9" w:rsidRDefault="00795EE9" w:rsidP="00795EE9">
            <w:pPr>
              <w:pStyle w:val="TableColumnHeading"/>
            </w:pPr>
          </w:p>
        </w:tc>
        <w:tc>
          <w:tcPr>
            <w:tcW w:w="966" w:type="dxa"/>
            <w:tcBorders>
              <w:top w:val="single" w:sz="6" w:space="0" w:color="auto"/>
              <w:bottom w:val="single" w:sz="6" w:space="0" w:color="auto"/>
            </w:tcBorders>
            <w:vAlign w:val="bottom"/>
          </w:tcPr>
          <w:p w:rsidR="00795EE9" w:rsidRPr="00795EE9" w:rsidRDefault="00795EE9" w:rsidP="00795EE9">
            <w:pPr>
              <w:pStyle w:val="TableColumnHeading"/>
            </w:pPr>
            <w:r w:rsidRPr="00795EE9">
              <w:t>within</w:t>
            </w:r>
          </w:p>
        </w:tc>
        <w:tc>
          <w:tcPr>
            <w:tcW w:w="965" w:type="dxa"/>
            <w:tcBorders>
              <w:top w:val="single" w:sz="6" w:space="0" w:color="auto"/>
              <w:bottom w:val="single" w:sz="6" w:space="0" w:color="auto"/>
            </w:tcBorders>
            <w:vAlign w:val="bottom"/>
          </w:tcPr>
          <w:p w:rsidR="00795EE9" w:rsidRPr="00795EE9" w:rsidRDefault="00795EE9" w:rsidP="00795EE9">
            <w:pPr>
              <w:pStyle w:val="TableColumnHeading"/>
            </w:pPr>
            <w:r w:rsidRPr="00795EE9">
              <w:t>between</w:t>
            </w:r>
          </w:p>
        </w:tc>
        <w:tc>
          <w:tcPr>
            <w:tcW w:w="965" w:type="dxa"/>
            <w:tcBorders>
              <w:top w:val="single" w:sz="6" w:space="0" w:color="auto"/>
              <w:bottom w:val="single" w:sz="6" w:space="0" w:color="auto"/>
            </w:tcBorders>
            <w:vAlign w:val="bottom"/>
          </w:tcPr>
          <w:p w:rsidR="00795EE9" w:rsidRPr="00795EE9" w:rsidRDefault="00795EE9" w:rsidP="00795EE9">
            <w:pPr>
              <w:pStyle w:val="TableColumnHeading"/>
            </w:pPr>
            <w:r w:rsidRPr="00795EE9">
              <w:t>total</w:t>
            </w:r>
          </w:p>
        </w:tc>
        <w:tc>
          <w:tcPr>
            <w:tcW w:w="388" w:type="dxa"/>
            <w:tcBorders>
              <w:bottom w:val="single" w:sz="6" w:space="0" w:color="auto"/>
            </w:tcBorders>
          </w:tcPr>
          <w:p w:rsidR="00795EE9" w:rsidRPr="00795EE9" w:rsidRDefault="00795EE9" w:rsidP="00795EE9">
            <w:pPr>
              <w:pStyle w:val="TableColumnHeading"/>
            </w:pPr>
          </w:p>
        </w:tc>
        <w:tc>
          <w:tcPr>
            <w:tcW w:w="965" w:type="dxa"/>
            <w:tcBorders>
              <w:top w:val="single" w:sz="6" w:space="0" w:color="auto"/>
              <w:bottom w:val="single" w:sz="6" w:space="0" w:color="auto"/>
            </w:tcBorders>
            <w:vAlign w:val="bottom"/>
          </w:tcPr>
          <w:p w:rsidR="00795EE9" w:rsidRPr="00795EE9" w:rsidRDefault="00795EE9" w:rsidP="00795EE9">
            <w:pPr>
              <w:pStyle w:val="TableColumnHeading"/>
            </w:pPr>
            <w:r w:rsidRPr="00795EE9">
              <w:t>within</w:t>
            </w:r>
          </w:p>
        </w:tc>
        <w:tc>
          <w:tcPr>
            <w:tcW w:w="965" w:type="dxa"/>
            <w:tcBorders>
              <w:top w:val="single" w:sz="6" w:space="0" w:color="auto"/>
              <w:bottom w:val="single" w:sz="6" w:space="0" w:color="auto"/>
            </w:tcBorders>
            <w:shd w:val="clear" w:color="auto" w:fill="auto"/>
            <w:vAlign w:val="bottom"/>
          </w:tcPr>
          <w:p w:rsidR="00795EE9" w:rsidRPr="00795EE9" w:rsidRDefault="00795EE9" w:rsidP="00795EE9">
            <w:pPr>
              <w:pStyle w:val="TableColumnHeading"/>
            </w:pPr>
            <w:r w:rsidRPr="00795EE9">
              <w:t>between</w:t>
            </w:r>
          </w:p>
        </w:tc>
        <w:tc>
          <w:tcPr>
            <w:tcW w:w="965" w:type="dxa"/>
            <w:tcBorders>
              <w:top w:val="single" w:sz="6" w:space="0" w:color="auto"/>
              <w:bottom w:val="single" w:sz="6" w:space="0" w:color="auto"/>
            </w:tcBorders>
            <w:shd w:val="clear" w:color="auto" w:fill="auto"/>
            <w:vAlign w:val="bottom"/>
          </w:tcPr>
          <w:p w:rsidR="00795EE9" w:rsidRPr="00795EE9" w:rsidRDefault="00795EE9" w:rsidP="00795EE9">
            <w:pPr>
              <w:pStyle w:val="TableColumnHeading"/>
            </w:pPr>
            <w:r w:rsidRPr="00795EE9">
              <w:t>total</w:t>
            </w:r>
          </w:p>
        </w:tc>
      </w:tr>
      <w:tr w:rsidR="00795EE9" w:rsidTr="00795EE9">
        <w:tc>
          <w:tcPr>
            <w:tcW w:w="2610" w:type="dxa"/>
            <w:vAlign w:val="bottom"/>
          </w:tcPr>
          <w:p w:rsidR="00795EE9" w:rsidRPr="001E5928" w:rsidRDefault="00795EE9" w:rsidP="00795EE9">
            <w:pPr>
              <w:pStyle w:val="TableBodyText"/>
              <w:spacing w:before="120"/>
              <w:jc w:val="left"/>
            </w:pPr>
            <w:r w:rsidRPr="001E5928">
              <w:t>Agriculture</w:t>
            </w:r>
          </w:p>
        </w:tc>
        <w:tc>
          <w:tcPr>
            <w:tcW w:w="966" w:type="dxa"/>
            <w:vAlign w:val="bottom"/>
          </w:tcPr>
          <w:p w:rsidR="00795EE9" w:rsidRPr="001E5928" w:rsidRDefault="00795EE9" w:rsidP="00795EE9">
            <w:pPr>
              <w:pStyle w:val="TableBodyText"/>
              <w:spacing w:before="120"/>
            </w:pPr>
            <w:r w:rsidRPr="001E5928">
              <w:t>0.60</w:t>
            </w:r>
          </w:p>
        </w:tc>
        <w:tc>
          <w:tcPr>
            <w:tcW w:w="965" w:type="dxa"/>
            <w:vAlign w:val="bottom"/>
          </w:tcPr>
          <w:p w:rsidR="00795EE9" w:rsidRPr="001E5928" w:rsidRDefault="00795EE9" w:rsidP="00795EE9">
            <w:pPr>
              <w:pStyle w:val="TableBodyText"/>
              <w:spacing w:before="120"/>
            </w:pPr>
            <w:r w:rsidRPr="001E5928">
              <w:t>0.19</w:t>
            </w:r>
          </w:p>
        </w:tc>
        <w:tc>
          <w:tcPr>
            <w:tcW w:w="965" w:type="dxa"/>
            <w:vAlign w:val="bottom"/>
          </w:tcPr>
          <w:p w:rsidR="00795EE9" w:rsidRPr="001E5928" w:rsidRDefault="00795EE9" w:rsidP="00795EE9">
            <w:pPr>
              <w:pStyle w:val="TableBodyText"/>
              <w:spacing w:before="120"/>
            </w:pPr>
            <w:r w:rsidRPr="001E5928">
              <w:t>0.79</w:t>
            </w:r>
          </w:p>
        </w:tc>
        <w:tc>
          <w:tcPr>
            <w:tcW w:w="388" w:type="dxa"/>
          </w:tcPr>
          <w:p w:rsidR="00795EE9" w:rsidRDefault="00795EE9" w:rsidP="00795EE9">
            <w:pPr>
              <w:pStyle w:val="TableBodyText"/>
              <w:spacing w:before="120"/>
            </w:pPr>
          </w:p>
        </w:tc>
        <w:tc>
          <w:tcPr>
            <w:tcW w:w="965" w:type="dxa"/>
            <w:vAlign w:val="bottom"/>
          </w:tcPr>
          <w:p w:rsidR="00795EE9" w:rsidRPr="001E5928" w:rsidRDefault="00795EE9" w:rsidP="00795EE9">
            <w:pPr>
              <w:pStyle w:val="TableBodyText"/>
              <w:spacing w:before="120"/>
            </w:pPr>
            <w:r w:rsidRPr="001E5928">
              <w:t>-0.45</w:t>
            </w:r>
          </w:p>
        </w:tc>
        <w:tc>
          <w:tcPr>
            <w:tcW w:w="965" w:type="dxa"/>
            <w:vAlign w:val="bottom"/>
          </w:tcPr>
          <w:p w:rsidR="00795EE9" w:rsidRPr="001E5928" w:rsidRDefault="00795EE9" w:rsidP="00795EE9">
            <w:pPr>
              <w:pStyle w:val="TableBodyText"/>
              <w:spacing w:before="120"/>
            </w:pPr>
            <w:r w:rsidRPr="001E5928">
              <w:t>0.24</w:t>
            </w:r>
          </w:p>
        </w:tc>
        <w:tc>
          <w:tcPr>
            <w:tcW w:w="965" w:type="dxa"/>
            <w:vAlign w:val="bottom"/>
          </w:tcPr>
          <w:p w:rsidR="00795EE9" w:rsidRPr="001E5928" w:rsidRDefault="00795EE9" w:rsidP="00795EE9">
            <w:pPr>
              <w:pStyle w:val="TableBodyText"/>
              <w:spacing w:before="120"/>
            </w:pPr>
            <w:r w:rsidRPr="001E5928">
              <w:t>-0.21</w:t>
            </w:r>
          </w:p>
        </w:tc>
      </w:tr>
      <w:tr w:rsidR="00795EE9" w:rsidTr="00795EE9">
        <w:tc>
          <w:tcPr>
            <w:tcW w:w="2610" w:type="dxa"/>
            <w:shd w:val="clear" w:color="auto" w:fill="auto"/>
            <w:vAlign w:val="bottom"/>
          </w:tcPr>
          <w:p w:rsidR="00795EE9" w:rsidRPr="001E5928" w:rsidRDefault="00795EE9" w:rsidP="00795EE9">
            <w:pPr>
              <w:pStyle w:val="TableBodyText"/>
              <w:jc w:val="left"/>
            </w:pPr>
            <w:r w:rsidRPr="001E5928">
              <w:t>Mining</w:t>
            </w:r>
          </w:p>
        </w:tc>
        <w:tc>
          <w:tcPr>
            <w:tcW w:w="966" w:type="dxa"/>
            <w:vAlign w:val="bottom"/>
          </w:tcPr>
          <w:p w:rsidR="00795EE9" w:rsidRPr="001E5928" w:rsidRDefault="00795EE9" w:rsidP="00795EE9">
            <w:pPr>
              <w:pStyle w:val="TableBodyText"/>
            </w:pPr>
            <w:r w:rsidRPr="001E5928">
              <w:t>-0.50</w:t>
            </w:r>
          </w:p>
        </w:tc>
        <w:tc>
          <w:tcPr>
            <w:tcW w:w="965" w:type="dxa"/>
            <w:vAlign w:val="bottom"/>
          </w:tcPr>
          <w:p w:rsidR="00795EE9" w:rsidRPr="001E5928" w:rsidRDefault="00795EE9" w:rsidP="00795EE9">
            <w:pPr>
              <w:pStyle w:val="TableBodyText"/>
            </w:pPr>
            <w:r w:rsidRPr="001E5928">
              <w:t>0.09</w:t>
            </w:r>
          </w:p>
        </w:tc>
        <w:tc>
          <w:tcPr>
            <w:tcW w:w="965" w:type="dxa"/>
            <w:vAlign w:val="bottom"/>
          </w:tcPr>
          <w:p w:rsidR="00795EE9" w:rsidRPr="001E5928" w:rsidRDefault="00795EE9" w:rsidP="00795EE9">
            <w:pPr>
              <w:pStyle w:val="TableBodyText"/>
            </w:pPr>
            <w:r w:rsidRPr="001E5928">
              <w:t>-0.41</w:t>
            </w:r>
          </w:p>
        </w:tc>
        <w:tc>
          <w:tcPr>
            <w:tcW w:w="388" w:type="dxa"/>
          </w:tcPr>
          <w:p w:rsidR="00795EE9" w:rsidRDefault="00795EE9" w:rsidP="00795EE9">
            <w:pPr>
              <w:pStyle w:val="TableBodyText"/>
            </w:pPr>
          </w:p>
        </w:tc>
        <w:tc>
          <w:tcPr>
            <w:tcW w:w="965" w:type="dxa"/>
            <w:vAlign w:val="bottom"/>
          </w:tcPr>
          <w:p w:rsidR="00795EE9" w:rsidRPr="001E5928" w:rsidRDefault="00795EE9" w:rsidP="00795EE9">
            <w:pPr>
              <w:pStyle w:val="TableBodyText"/>
            </w:pPr>
            <w:r w:rsidRPr="001E5928">
              <w:t>-0.27</w:t>
            </w:r>
          </w:p>
        </w:tc>
        <w:tc>
          <w:tcPr>
            <w:tcW w:w="965" w:type="dxa"/>
            <w:shd w:val="clear" w:color="auto" w:fill="auto"/>
            <w:vAlign w:val="bottom"/>
          </w:tcPr>
          <w:p w:rsidR="00795EE9" w:rsidRPr="001E5928" w:rsidRDefault="00795EE9" w:rsidP="00795EE9">
            <w:pPr>
              <w:pStyle w:val="TableBodyText"/>
            </w:pPr>
            <w:r w:rsidRPr="001E5928">
              <w:t>-1.70</w:t>
            </w:r>
          </w:p>
        </w:tc>
        <w:tc>
          <w:tcPr>
            <w:tcW w:w="965" w:type="dxa"/>
            <w:shd w:val="clear" w:color="auto" w:fill="auto"/>
            <w:vAlign w:val="bottom"/>
          </w:tcPr>
          <w:p w:rsidR="00795EE9" w:rsidRPr="001E5928" w:rsidRDefault="00795EE9" w:rsidP="00795EE9">
            <w:pPr>
              <w:pStyle w:val="TableBodyText"/>
            </w:pPr>
            <w:r w:rsidRPr="001E5928">
              <w:t>-1.97</w:t>
            </w:r>
          </w:p>
        </w:tc>
      </w:tr>
      <w:tr w:rsidR="00795EE9" w:rsidTr="00795EE9">
        <w:tc>
          <w:tcPr>
            <w:tcW w:w="2610" w:type="dxa"/>
            <w:shd w:val="clear" w:color="auto" w:fill="auto"/>
            <w:vAlign w:val="bottom"/>
          </w:tcPr>
          <w:p w:rsidR="00795EE9" w:rsidRPr="001E5928" w:rsidRDefault="00795EE9" w:rsidP="00795EE9">
            <w:pPr>
              <w:pStyle w:val="TableBodyText"/>
              <w:jc w:val="left"/>
            </w:pPr>
            <w:r w:rsidRPr="001E5928">
              <w:t>Manufacturing</w:t>
            </w:r>
          </w:p>
        </w:tc>
        <w:tc>
          <w:tcPr>
            <w:tcW w:w="966" w:type="dxa"/>
            <w:vAlign w:val="bottom"/>
          </w:tcPr>
          <w:p w:rsidR="00795EE9" w:rsidRPr="001E5928" w:rsidRDefault="00795EE9" w:rsidP="00795EE9">
            <w:pPr>
              <w:pStyle w:val="TableBodyText"/>
            </w:pPr>
            <w:r w:rsidRPr="001E5928">
              <w:t>-0.44</w:t>
            </w:r>
          </w:p>
        </w:tc>
        <w:tc>
          <w:tcPr>
            <w:tcW w:w="965" w:type="dxa"/>
            <w:vAlign w:val="bottom"/>
          </w:tcPr>
          <w:p w:rsidR="00795EE9" w:rsidRPr="001E5928" w:rsidRDefault="00795EE9" w:rsidP="00795EE9">
            <w:pPr>
              <w:pStyle w:val="TableBodyText"/>
            </w:pPr>
            <w:r w:rsidRPr="001E5928">
              <w:t>-0.03</w:t>
            </w:r>
          </w:p>
        </w:tc>
        <w:tc>
          <w:tcPr>
            <w:tcW w:w="965" w:type="dxa"/>
            <w:vAlign w:val="bottom"/>
          </w:tcPr>
          <w:p w:rsidR="00795EE9" w:rsidRPr="001E5928" w:rsidRDefault="00795EE9" w:rsidP="00795EE9">
            <w:pPr>
              <w:pStyle w:val="TableBodyText"/>
            </w:pPr>
            <w:r w:rsidRPr="001E5928">
              <w:t>-0.47</w:t>
            </w:r>
          </w:p>
        </w:tc>
        <w:tc>
          <w:tcPr>
            <w:tcW w:w="388" w:type="dxa"/>
          </w:tcPr>
          <w:p w:rsidR="00795EE9" w:rsidRDefault="00795EE9" w:rsidP="00795EE9">
            <w:pPr>
              <w:pStyle w:val="TableBodyText"/>
            </w:pPr>
          </w:p>
        </w:tc>
        <w:tc>
          <w:tcPr>
            <w:tcW w:w="965" w:type="dxa"/>
            <w:vAlign w:val="bottom"/>
          </w:tcPr>
          <w:p w:rsidR="00795EE9" w:rsidRPr="001E5928" w:rsidRDefault="00795EE9" w:rsidP="00795EE9">
            <w:pPr>
              <w:pStyle w:val="TableBodyText"/>
            </w:pPr>
            <w:r w:rsidRPr="001E5928">
              <w:t>0.38</w:t>
            </w:r>
          </w:p>
        </w:tc>
        <w:tc>
          <w:tcPr>
            <w:tcW w:w="965" w:type="dxa"/>
            <w:shd w:val="clear" w:color="auto" w:fill="auto"/>
            <w:vAlign w:val="bottom"/>
          </w:tcPr>
          <w:p w:rsidR="00795EE9" w:rsidRPr="001E5928" w:rsidRDefault="00795EE9" w:rsidP="00795EE9">
            <w:pPr>
              <w:pStyle w:val="TableBodyText"/>
            </w:pPr>
            <w:r w:rsidRPr="001E5928">
              <w:t>-0.38</w:t>
            </w:r>
          </w:p>
        </w:tc>
        <w:tc>
          <w:tcPr>
            <w:tcW w:w="965" w:type="dxa"/>
            <w:shd w:val="clear" w:color="auto" w:fill="auto"/>
            <w:vAlign w:val="bottom"/>
          </w:tcPr>
          <w:p w:rsidR="00795EE9" w:rsidRPr="001E5928" w:rsidRDefault="00795EE9" w:rsidP="00795EE9">
            <w:pPr>
              <w:pStyle w:val="TableBodyText"/>
            </w:pPr>
            <w:r w:rsidRPr="001E5928">
              <w:t>0.00</w:t>
            </w:r>
          </w:p>
        </w:tc>
      </w:tr>
      <w:tr w:rsidR="00795EE9" w:rsidTr="00795EE9">
        <w:tc>
          <w:tcPr>
            <w:tcW w:w="2610" w:type="dxa"/>
            <w:shd w:val="clear" w:color="auto" w:fill="auto"/>
            <w:vAlign w:val="bottom"/>
          </w:tcPr>
          <w:p w:rsidR="00795EE9" w:rsidRPr="001E5928" w:rsidRDefault="00815708" w:rsidP="00795EE9">
            <w:pPr>
              <w:pStyle w:val="TableBodyText"/>
              <w:jc w:val="left"/>
            </w:pPr>
            <w:r>
              <w:t>Utilities</w:t>
            </w:r>
          </w:p>
        </w:tc>
        <w:tc>
          <w:tcPr>
            <w:tcW w:w="966" w:type="dxa"/>
            <w:vAlign w:val="bottom"/>
          </w:tcPr>
          <w:p w:rsidR="00795EE9" w:rsidRPr="001E5928" w:rsidRDefault="00795EE9" w:rsidP="00795EE9">
            <w:pPr>
              <w:pStyle w:val="TableBodyText"/>
            </w:pPr>
            <w:r w:rsidRPr="001E5928">
              <w:t>-0.68</w:t>
            </w:r>
          </w:p>
        </w:tc>
        <w:tc>
          <w:tcPr>
            <w:tcW w:w="965" w:type="dxa"/>
            <w:vAlign w:val="bottom"/>
          </w:tcPr>
          <w:p w:rsidR="00795EE9" w:rsidRPr="001E5928" w:rsidRDefault="00795EE9" w:rsidP="00795EE9">
            <w:pPr>
              <w:pStyle w:val="TableBodyText"/>
            </w:pPr>
            <w:r w:rsidRPr="001E5928">
              <w:t>0.43</w:t>
            </w:r>
          </w:p>
        </w:tc>
        <w:tc>
          <w:tcPr>
            <w:tcW w:w="965" w:type="dxa"/>
            <w:vAlign w:val="bottom"/>
          </w:tcPr>
          <w:p w:rsidR="00795EE9" w:rsidRPr="001E5928" w:rsidRDefault="00795EE9" w:rsidP="00795EE9">
            <w:pPr>
              <w:pStyle w:val="TableBodyText"/>
            </w:pPr>
            <w:r w:rsidRPr="001E5928">
              <w:t>-0.25</w:t>
            </w:r>
          </w:p>
        </w:tc>
        <w:tc>
          <w:tcPr>
            <w:tcW w:w="388" w:type="dxa"/>
          </w:tcPr>
          <w:p w:rsidR="00795EE9" w:rsidRDefault="00795EE9" w:rsidP="00795EE9">
            <w:pPr>
              <w:pStyle w:val="TableBodyText"/>
            </w:pPr>
          </w:p>
        </w:tc>
        <w:tc>
          <w:tcPr>
            <w:tcW w:w="965" w:type="dxa"/>
            <w:vAlign w:val="bottom"/>
          </w:tcPr>
          <w:p w:rsidR="00795EE9" w:rsidRPr="001E5928" w:rsidRDefault="00795EE9" w:rsidP="00795EE9">
            <w:pPr>
              <w:pStyle w:val="TableBodyText"/>
            </w:pPr>
            <w:r w:rsidRPr="001E5928">
              <w:t>0.16</w:t>
            </w:r>
          </w:p>
        </w:tc>
        <w:tc>
          <w:tcPr>
            <w:tcW w:w="965" w:type="dxa"/>
            <w:shd w:val="clear" w:color="auto" w:fill="auto"/>
            <w:vAlign w:val="bottom"/>
          </w:tcPr>
          <w:p w:rsidR="00795EE9" w:rsidRPr="001E5928" w:rsidRDefault="00795EE9" w:rsidP="00795EE9">
            <w:pPr>
              <w:pStyle w:val="TableBodyText"/>
            </w:pPr>
            <w:r w:rsidRPr="001E5928">
              <w:t>0.04</w:t>
            </w:r>
          </w:p>
        </w:tc>
        <w:tc>
          <w:tcPr>
            <w:tcW w:w="965" w:type="dxa"/>
            <w:shd w:val="clear" w:color="auto" w:fill="auto"/>
            <w:vAlign w:val="bottom"/>
          </w:tcPr>
          <w:p w:rsidR="00795EE9" w:rsidRPr="001E5928" w:rsidRDefault="00795EE9" w:rsidP="00795EE9">
            <w:pPr>
              <w:pStyle w:val="TableBodyText"/>
            </w:pPr>
            <w:r w:rsidRPr="001E5928">
              <w:t>0.20</w:t>
            </w:r>
          </w:p>
        </w:tc>
      </w:tr>
      <w:tr w:rsidR="00795EE9" w:rsidTr="00795EE9">
        <w:tc>
          <w:tcPr>
            <w:tcW w:w="2610" w:type="dxa"/>
            <w:shd w:val="clear" w:color="auto" w:fill="auto"/>
            <w:vAlign w:val="bottom"/>
          </w:tcPr>
          <w:p w:rsidR="00795EE9" w:rsidRPr="001E5928" w:rsidRDefault="00795EE9" w:rsidP="00795EE9">
            <w:pPr>
              <w:pStyle w:val="TableBodyText"/>
              <w:jc w:val="left"/>
            </w:pPr>
            <w:r w:rsidRPr="001E5928">
              <w:t>Construction</w:t>
            </w:r>
          </w:p>
        </w:tc>
        <w:tc>
          <w:tcPr>
            <w:tcW w:w="966" w:type="dxa"/>
            <w:vAlign w:val="bottom"/>
          </w:tcPr>
          <w:p w:rsidR="00795EE9" w:rsidRPr="001E5928" w:rsidRDefault="00795EE9" w:rsidP="00795EE9">
            <w:pPr>
              <w:pStyle w:val="TableBodyText"/>
            </w:pPr>
            <w:r w:rsidRPr="001E5928">
              <w:t>0.00</w:t>
            </w:r>
          </w:p>
        </w:tc>
        <w:tc>
          <w:tcPr>
            <w:tcW w:w="965" w:type="dxa"/>
            <w:vAlign w:val="bottom"/>
          </w:tcPr>
          <w:p w:rsidR="00795EE9" w:rsidRPr="001E5928" w:rsidRDefault="00795EE9" w:rsidP="00795EE9">
            <w:pPr>
              <w:pStyle w:val="TableBodyText"/>
            </w:pPr>
            <w:r w:rsidRPr="001E5928">
              <w:t>-0.08</w:t>
            </w:r>
          </w:p>
        </w:tc>
        <w:tc>
          <w:tcPr>
            <w:tcW w:w="965" w:type="dxa"/>
            <w:vAlign w:val="bottom"/>
          </w:tcPr>
          <w:p w:rsidR="00795EE9" w:rsidRPr="001E5928" w:rsidRDefault="00795EE9" w:rsidP="00795EE9">
            <w:pPr>
              <w:pStyle w:val="TableBodyText"/>
            </w:pPr>
            <w:r w:rsidRPr="001E5928">
              <w:t>-0.08</w:t>
            </w:r>
          </w:p>
        </w:tc>
        <w:tc>
          <w:tcPr>
            <w:tcW w:w="388" w:type="dxa"/>
          </w:tcPr>
          <w:p w:rsidR="00795EE9" w:rsidRDefault="00795EE9" w:rsidP="00795EE9">
            <w:pPr>
              <w:pStyle w:val="TableBodyText"/>
            </w:pPr>
          </w:p>
        </w:tc>
        <w:tc>
          <w:tcPr>
            <w:tcW w:w="965" w:type="dxa"/>
            <w:vAlign w:val="bottom"/>
          </w:tcPr>
          <w:p w:rsidR="00795EE9" w:rsidRPr="001E5928" w:rsidRDefault="00795EE9" w:rsidP="00795EE9">
            <w:pPr>
              <w:pStyle w:val="TableBodyText"/>
            </w:pPr>
            <w:r w:rsidRPr="001E5928">
              <w:t>-0.40</w:t>
            </w:r>
          </w:p>
        </w:tc>
        <w:tc>
          <w:tcPr>
            <w:tcW w:w="965" w:type="dxa"/>
            <w:shd w:val="clear" w:color="auto" w:fill="auto"/>
            <w:vAlign w:val="bottom"/>
          </w:tcPr>
          <w:p w:rsidR="00795EE9" w:rsidRPr="001E5928" w:rsidRDefault="00795EE9" w:rsidP="00795EE9">
            <w:pPr>
              <w:pStyle w:val="TableBodyText"/>
            </w:pPr>
            <w:r w:rsidRPr="001E5928">
              <w:t>0.33</w:t>
            </w:r>
          </w:p>
        </w:tc>
        <w:tc>
          <w:tcPr>
            <w:tcW w:w="965" w:type="dxa"/>
            <w:shd w:val="clear" w:color="auto" w:fill="auto"/>
            <w:vAlign w:val="bottom"/>
          </w:tcPr>
          <w:p w:rsidR="00795EE9" w:rsidRPr="001E5928" w:rsidRDefault="00795EE9" w:rsidP="00795EE9">
            <w:pPr>
              <w:pStyle w:val="TableBodyText"/>
            </w:pPr>
            <w:r w:rsidRPr="001E5928">
              <w:t>-0.08</w:t>
            </w:r>
          </w:p>
        </w:tc>
      </w:tr>
      <w:tr w:rsidR="00795EE9" w:rsidTr="00795EE9">
        <w:tc>
          <w:tcPr>
            <w:tcW w:w="2610" w:type="dxa"/>
            <w:shd w:val="clear" w:color="auto" w:fill="auto"/>
            <w:vAlign w:val="bottom"/>
          </w:tcPr>
          <w:p w:rsidR="00795EE9" w:rsidRPr="001E5928" w:rsidRDefault="00795EE9" w:rsidP="00795EE9">
            <w:pPr>
              <w:pStyle w:val="TableBodyText"/>
              <w:jc w:val="left"/>
            </w:pPr>
            <w:r w:rsidRPr="001E5928">
              <w:t>Wholesale</w:t>
            </w:r>
          </w:p>
        </w:tc>
        <w:tc>
          <w:tcPr>
            <w:tcW w:w="966" w:type="dxa"/>
            <w:vAlign w:val="bottom"/>
          </w:tcPr>
          <w:p w:rsidR="00795EE9" w:rsidRPr="001E5928" w:rsidRDefault="00795EE9" w:rsidP="00795EE9">
            <w:pPr>
              <w:pStyle w:val="TableBodyText"/>
            </w:pPr>
            <w:r w:rsidRPr="001E5928">
              <w:t>0.23</w:t>
            </w:r>
          </w:p>
        </w:tc>
        <w:tc>
          <w:tcPr>
            <w:tcW w:w="965" w:type="dxa"/>
            <w:vAlign w:val="bottom"/>
          </w:tcPr>
          <w:p w:rsidR="00795EE9" w:rsidRPr="001E5928" w:rsidRDefault="00795EE9" w:rsidP="00795EE9">
            <w:pPr>
              <w:pStyle w:val="TableBodyText"/>
            </w:pPr>
            <w:r w:rsidRPr="001E5928">
              <w:t>0.00</w:t>
            </w:r>
          </w:p>
        </w:tc>
        <w:tc>
          <w:tcPr>
            <w:tcW w:w="965" w:type="dxa"/>
            <w:vAlign w:val="bottom"/>
          </w:tcPr>
          <w:p w:rsidR="00795EE9" w:rsidRPr="001E5928" w:rsidRDefault="00795EE9" w:rsidP="00795EE9">
            <w:pPr>
              <w:pStyle w:val="TableBodyText"/>
            </w:pPr>
            <w:r w:rsidRPr="001E5928">
              <w:t>0.23</w:t>
            </w:r>
          </w:p>
        </w:tc>
        <w:tc>
          <w:tcPr>
            <w:tcW w:w="388" w:type="dxa"/>
          </w:tcPr>
          <w:p w:rsidR="00795EE9" w:rsidRDefault="00795EE9" w:rsidP="00795EE9">
            <w:pPr>
              <w:pStyle w:val="TableBodyText"/>
            </w:pPr>
          </w:p>
        </w:tc>
        <w:tc>
          <w:tcPr>
            <w:tcW w:w="965" w:type="dxa"/>
            <w:vAlign w:val="bottom"/>
          </w:tcPr>
          <w:p w:rsidR="00795EE9" w:rsidRPr="001E5928" w:rsidRDefault="00795EE9" w:rsidP="00795EE9">
            <w:pPr>
              <w:pStyle w:val="TableBodyText"/>
            </w:pPr>
            <w:r w:rsidRPr="001E5928">
              <w:t>-0.15</w:t>
            </w:r>
          </w:p>
        </w:tc>
        <w:tc>
          <w:tcPr>
            <w:tcW w:w="965" w:type="dxa"/>
            <w:shd w:val="clear" w:color="auto" w:fill="auto"/>
            <w:vAlign w:val="bottom"/>
          </w:tcPr>
          <w:p w:rsidR="00795EE9" w:rsidRPr="001E5928" w:rsidRDefault="00795EE9" w:rsidP="00795EE9">
            <w:pPr>
              <w:pStyle w:val="TableBodyText"/>
            </w:pPr>
            <w:r w:rsidRPr="001E5928">
              <w:t>-0.09</w:t>
            </w:r>
          </w:p>
        </w:tc>
        <w:tc>
          <w:tcPr>
            <w:tcW w:w="965" w:type="dxa"/>
            <w:shd w:val="clear" w:color="auto" w:fill="auto"/>
            <w:vAlign w:val="bottom"/>
          </w:tcPr>
          <w:p w:rsidR="00795EE9" w:rsidRPr="001E5928" w:rsidRDefault="00795EE9" w:rsidP="00795EE9">
            <w:pPr>
              <w:pStyle w:val="TableBodyText"/>
            </w:pPr>
            <w:r w:rsidRPr="001E5928">
              <w:t>-0.25</w:t>
            </w:r>
          </w:p>
        </w:tc>
      </w:tr>
      <w:tr w:rsidR="00795EE9" w:rsidTr="00795EE9">
        <w:tc>
          <w:tcPr>
            <w:tcW w:w="2610" w:type="dxa"/>
            <w:shd w:val="clear" w:color="auto" w:fill="auto"/>
            <w:vAlign w:val="bottom"/>
          </w:tcPr>
          <w:p w:rsidR="00795EE9" w:rsidRPr="001E5928" w:rsidRDefault="00795EE9" w:rsidP="00795EE9">
            <w:pPr>
              <w:pStyle w:val="TableBodyText"/>
              <w:jc w:val="left"/>
            </w:pPr>
            <w:r w:rsidRPr="001E5928">
              <w:t>Retail</w:t>
            </w:r>
          </w:p>
        </w:tc>
        <w:tc>
          <w:tcPr>
            <w:tcW w:w="966" w:type="dxa"/>
            <w:vAlign w:val="bottom"/>
          </w:tcPr>
          <w:p w:rsidR="00795EE9" w:rsidRPr="001E5928" w:rsidRDefault="00795EE9" w:rsidP="00795EE9">
            <w:pPr>
              <w:pStyle w:val="TableBodyText"/>
            </w:pPr>
            <w:r w:rsidRPr="001E5928">
              <w:t>0.45</w:t>
            </w:r>
          </w:p>
        </w:tc>
        <w:tc>
          <w:tcPr>
            <w:tcW w:w="965" w:type="dxa"/>
            <w:vAlign w:val="bottom"/>
          </w:tcPr>
          <w:p w:rsidR="00795EE9" w:rsidRPr="001E5928" w:rsidRDefault="00795EE9" w:rsidP="00795EE9">
            <w:pPr>
              <w:pStyle w:val="TableBodyText"/>
            </w:pPr>
            <w:r w:rsidRPr="001E5928">
              <w:t>0.09</w:t>
            </w:r>
          </w:p>
        </w:tc>
        <w:tc>
          <w:tcPr>
            <w:tcW w:w="965" w:type="dxa"/>
            <w:vAlign w:val="bottom"/>
          </w:tcPr>
          <w:p w:rsidR="00795EE9" w:rsidRPr="001E5928" w:rsidRDefault="00795EE9" w:rsidP="00795EE9">
            <w:pPr>
              <w:pStyle w:val="TableBodyText"/>
            </w:pPr>
            <w:r w:rsidRPr="001E5928">
              <w:t>0.54</w:t>
            </w:r>
          </w:p>
        </w:tc>
        <w:tc>
          <w:tcPr>
            <w:tcW w:w="388" w:type="dxa"/>
          </w:tcPr>
          <w:p w:rsidR="00795EE9" w:rsidRDefault="00795EE9" w:rsidP="00795EE9">
            <w:pPr>
              <w:pStyle w:val="TableBodyText"/>
            </w:pPr>
          </w:p>
        </w:tc>
        <w:tc>
          <w:tcPr>
            <w:tcW w:w="965" w:type="dxa"/>
            <w:vAlign w:val="bottom"/>
          </w:tcPr>
          <w:p w:rsidR="00795EE9" w:rsidRPr="001E5928" w:rsidRDefault="00795EE9" w:rsidP="00795EE9">
            <w:pPr>
              <w:pStyle w:val="TableBodyText"/>
            </w:pPr>
            <w:r w:rsidRPr="001E5928">
              <w:t>-0.48</w:t>
            </w:r>
          </w:p>
        </w:tc>
        <w:tc>
          <w:tcPr>
            <w:tcW w:w="965" w:type="dxa"/>
            <w:shd w:val="clear" w:color="auto" w:fill="auto"/>
            <w:vAlign w:val="bottom"/>
          </w:tcPr>
          <w:p w:rsidR="00795EE9" w:rsidRPr="001E5928" w:rsidRDefault="00795EE9" w:rsidP="00795EE9">
            <w:pPr>
              <w:pStyle w:val="TableBodyText"/>
            </w:pPr>
            <w:r w:rsidRPr="001E5928">
              <w:t>-0.11</w:t>
            </w:r>
          </w:p>
        </w:tc>
        <w:tc>
          <w:tcPr>
            <w:tcW w:w="965" w:type="dxa"/>
            <w:shd w:val="clear" w:color="auto" w:fill="auto"/>
            <w:vAlign w:val="bottom"/>
          </w:tcPr>
          <w:p w:rsidR="00795EE9" w:rsidRPr="001E5928" w:rsidRDefault="00795EE9" w:rsidP="00795EE9">
            <w:pPr>
              <w:pStyle w:val="TableBodyText"/>
            </w:pPr>
            <w:r w:rsidRPr="001E5928">
              <w:t>-0.59</w:t>
            </w:r>
          </w:p>
        </w:tc>
      </w:tr>
      <w:tr w:rsidR="00795EE9" w:rsidTr="00795EE9">
        <w:tc>
          <w:tcPr>
            <w:tcW w:w="2610" w:type="dxa"/>
            <w:shd w:val="clear" w:color="auto" w:fill="auto"/>
            <w:vAlign w:val="bottom"/>
          </w:tcPr>
          <w:p w:rsidR="00795EE9" w:rsidRPr="001E5928" w:rsidRDefault="00795EE9" w:rsidP="00795EE9">
            <w:pPr>
              <w:pStyle w:val="TableBodyText"/>
              <w:jc w:val="left"/>
            </w:pPr>
            <w:r w:rsidRPr="001E5928">
              <w:t>Accommodation</w:t>
            </w:r>
          </w:p>
        </w:tc>
        <w:tc>
          <w:tcPr>
            <w:tcW w:w="966" w:type="dxa"/>
            <w:vAlign w:val="bottom"/>
          </w:tcPr>
          <w:p w:rsidR="00795EE9" w:rsidRPr="001E5928" w:rsidRDefault="00795EE9" w:rsidP="00795EE9">
            <w:pPr>
              <w:pStyle w:val="TableBodyText"/>
            </w:pPr>
            <w:r w:rsidRPr="001E5928">
              <w:t>0.13</w:t>
            </w:r>
          </w:p>
        </w:tc>
        <w:tc>
          <w:tcPr>
            <w:tcW w:w="965" w:type="dxa"/>
            <w:vAlign w:val="bottom"/>
          </w:tcPr>
          <w:p w:rsidR="00795EE9" w:rsidRPr="001E5928" w:rsidRDefault="00795EE9" w:rsidP="00795EE9">
            <w:pPr>
              <w:pStyle w:val="TableBodyText"/>
            </w:pPr>
            <w:r w:rsidRPr="001E5928">
              <w:t>0.24</w:t>
            </w:r>
          </w:p>
        </w:tc>
        <w:tc>
          <w:tcPr>
            <w:tcW w:w="965" w:type="dxa"/>
            <w:vAlign w:val="bottom"/>
          </w:tcPr>
          <w:p w:rsidR="00795EE9" w:rsidRPr="001E5928" w:rsidRDefault="00795EE9" w:rsidP="00795EE9">
            <w:pPr>
              <w:pStyle w:val="TableBodyText"/>
            </w:pPr>
            <w:r w:rsidRPr="001E5928">
              <w:t>0.37</w:t>
            </w:r>
          </w:p>
        </w:tc>
        <w:tc>
          <w:tcPr>
            <w:tcW w:w="388" w:type="dxa"/>
          </w:tcPr>
          <w:p w:rsidR="00795EE9" w:rsidRDefault="00795EE9" w:rsidP="00795EE9">
            <w:pPr>
              <w:pStyle w:val="TableBodyText"/>
            </w:pPr>
          </w:p>
        </w:tc>
        <w:tc>
          <w:tcPr>
            <w:tcW w:w="965" w:type="dxa"/>
            <w:vAlign w:val="bottom"/>
          </w:tcPr>
          <w:p w:rsidR="00795EE9" w:rsidRPr="001E5928" w:rsidRDefault="00795EE9" w:rsidP="00795EE9">
            <w:pPr>
              <w:pStyle w:val="TableBodyText"/>
            </w:pPr>
            <w:r w:rsidRPr="001E5928">
              <w:t>-0.33</w:t>
            </w:r>
          </w:p>
        </w:tc>
        <w:tc>
          <w:tcPr>
            <w:tcW w:w="965" w:type="dxa"/>
            <w:shd w:val="clear" w:color="auto" w:fill="auto"/>
            <w:vAlign w:val="bottom"/>
          </w:tcPr>
          <w:p w:rsidR="00795EE9" w:rsidRPr="001E5928" w:rsidRDefault="00795EE9" w:rsidP="00795EE9">
            <w:pPr>
              <w:pStyle w:val="TableBodyText"/>
            </w:pPr>
            <w:r w:rsidRPr="001E5928">
              <w:t>-0.07</w:t>
            </w:r>
          </w:p>
        </w:tc>
        <w:tc>
          <w:tcPr>
            <w:tcW w:w="965" w:type="dxa"/>
            <w:shd w:val="clear" w:color="auto" w:fill="auto"/>
            <w:vAlign w:val="bottom"/>
          </w:tcPr>
          <w:p w:rsidR="00795EE9" w:rsidRPr="001E5928" w:rsidRDefault="00795EE9" w:rsidP="00795EE9">
            <w:pPr>
              <w:pStyle w:val="TableBodyText"/>
            </w:pPr>
            <w:r w:rsidRPr="001E5928">
              <w:t>-0.41</w:t>
            </w:r>
          </w:p>
        </w:tc>
      </w:tr>
      <w:tr w:rsidR="00795EE9" w:rsidTr="00795EE9">
        <w:tc>
          <w:tcPr>
            <w:tcW w:w="2610" w:type="dxa"/>
            <w:shd w:val="clear" w:color="auto" w:fill="auto"/>
            <w:vAlign w:val="bottom"/>
          </w:tcPr>
          <w:p w:rsidR="00795EE9" w:rsidRPr="001E5928" w:rsidRDefault="00795EE9" w:rsidP="00795EE9">
            <w:pPr>
              <w:pStyle w:val="TableBodyText"/>
              <w:jc w:val="left"/>
            </w:pPr>
            <w:r w:rsidRPr="001E5928">
              <w:t>Transport</w:t>
            </w:r>
          </w:p>
        </w:tc>
        <w:tc>
          <w:tcPr>
            <w:tcW w:w="966" w:type="dxa"/>
            <w:vAlign w:val="bottom"/>
          </w:tcPr>
          <w:p w:rsidR="00795EE9" w:rsidRPr="001E5928" w:rsidRDefault="00795EE9" w:rsidP="00795EE9">
            <w:pPr>
              <w:pStyle w:val="TableBodyText"/>
            </w:pPr>
            <w:r w:rsidRPr="001E5928">
              <w:t>-0.24</w:t>
            </w:r>
          </w:p>
        </w:tc>
        <w:tc>
          <w:tcPr>
            <w:tcW w:w="965" w:type="dxa"/>
            <w:vAlign w:val="bottom"/>
          </w:tcPr>
          <w:p w:rsidR="00795EE9" w:rsidRPr="001E5928" w:rsidRDefault="00795EE9" w:rsidP="00795EE9">
            <w:pPr>
              <w:pStyle w:val="TableBodyText"/>
            </w:pPr>
            <w:r w:rsidRPr="001E5928">
              <w:t>-0.01</w:t>
            </w:r>
          </w:p>
        </w:tc>
        <w:tc>
          <w:tcPr>
            <w:tcW w:w="965" w:type="dxa"/>
            <w:vAlign w:val="bottom"/>
          </w:tcPr>
          <w:p w:rsidR="00795EE9" w:rsidRPr="001E5928" w:rsidRDefault="00795EE9" w:rsidP="00795EE9">
            <w:pPr>
              <w:pStyle w:val="TableBodyText"/>
            </w:pPr>
            <w:r w:rsidRPr="001E5928">
              <w:t>-0.25</w:t>
            </w:r>
          </w:p>
        </w:tc>
        <w:tc>
          <w:tcPr>
            <w:tcW w:w="388" w:type="dxa"/>
          </w:tcPr>
          <w:p w:rsidR="00795EE9" w:rsidRDefault="00795EE9" w:rsidP="00795EE9">
            <w:pPr>
              <w:pStyle w:val="TableBodyText"/>
            </w:pPr>
          </w:p>
        </w:tc>
        <w:tc>
          <w:tcPr>
            <w:tcW w:w="965" w:type="dxa"/>
            <w:vAlign w:val="bottom"/>
          </w:tcPr>
          <w:p w:rsidR="00795EE9" w:rsidRPr="001E5928" w:rsidRDefault="00795EE9" w:rsidP="00795EE9">
            <w:pPr>
              <w:pStyle w:val="TableBodyText"/>
            </w:pPr>
            <w:r w:rsidRPr="001E5928">
              <w:t>-0.24</w:t>
            </w:r>
          </w:p>
        </w:tc>
        <w:tc>
          <w:tcPr>
            <w:tcW w:w="965" w:type="dxa"/>
            <w:shd w:val="clear" w:color="auto" w:fill="auto"/>
            <w:vAlign w:val="bottom"/>
          </w:tcPr>
          <w:p w:rsidR="00795EE9" w:rsidRPr="001E5928" w:rsidRDefault="00795EE9" w:rsidP="00795EE9">
            <w:pPr>
              <w:pStyle w:val="TableBodyText"/>
            </w:pPr>
            <w:r w:rsidRPr="001E5928">
              <w:t>0.00</w:t>
            </w:r>
          </w:p>
        </w:tc>
        <w:tc>
          <w:tcPr>
            <w:tcW w:w="965" w:type="dxa"/>
            <w:shd w:val="clear" w:color="auto" w:fill="auto"/>
            <w:vAlign w:val="bottom"/>
          </w:tcPr>
          <w:p w:rsidR="00795EE9" w:rsidRPr="001E5928" w:rsidRDefault="00795EE9" w:rsidP="00795EE9">
            <w:pPr>
              <w:pStyle w:val="TableBodyText"/>
            </w:pPr>
            <w:r w:rsidRPr="001E5928">
              <w:t>-0.23</w:t>
            </w:r>
          </w:p>
        </w:tc>
      </w:tr>
      <w:tr w:rsidR="00795EE9" w:rsidTr="00795EE9">
        <w:tc>
          <w:tcPr>
            <w:tcW w:w="2610" w:type="dxa"/>
            <w:shd w:val="clear" w:color="auto" w:fill="auto"/>
            <w:vAlign w:val="bottom"/>
          </w:tcPr>
          <w:p w:rsidR="00795EE9" w:rsidRPr="001E5928" w:rsidRDefault="00795EE9" w:rsidP="00795EE9">
            <w:pPr>
              <w:pStyle w:val="TableBodyText"/>
              <w:jc w:val="left"/>
            </w:pPr>
            <w:r w:rsidRPr="001E5928">
              <w:t>Telecoms</w:t>
            </w:r>
          </w:p>
        </w:tc>
        <w:tc>
          <w:tcPr>
            <w:tcW w:w="966" w:type="dxa"/>
            <w:vAlign w:val="bottom"/>
          </w:tcPr>
          <w:p w:rsidR="00795EE9" w:rsidRPr="001E5928" w:rsidRDefault="00795EE9" w:rsidP="00795EE9">
            <w:pPr>
              <w:pStyle w:val="TableBodyText"/>
            </w:pPr>
            <w:r w:rsidRPr="001E5928">
              <w:t>-0.34</w:t>
            </w:r>
          </w:p>
        </w:tc>
        <w:tc>
          <w:tcPr>
            <w:tcW w:w="965" w:type="dxa"/>
            <w:vAlign w:val="bottom"/>
          </w:tcPr>
          <w:p w:rsidR="00795EE9" w:rsidRPr="001E5928" w:rsidRDefault="00795EE9" w:rsidP="00795EE9">
            <w:pPr>
              <w:pStyle w:val="TableBodyText"/>
            </w:pPr>
            <w:r w:rsidRPr="001E5928">
              <w:t>-0.20</w:t>
            </w:r>
          </w:p>
        </w:tc>
        <w:tc>
          <w:tcPr>
            <w:tcW w:w="965" w:type="dxa"/>
            <w:vAlign w:val="bottom"/>
          </w:tcPr>
          <w:p w:rsidR="00795EE9" w:rsidRPr="001E5928" w:rsidRDefault="00795EE9" w:rsidP="00795EE9">
            <w:pPr>
              <w:pStyle w:val="TableBodyText"/>
            </w:pPr>
            <w:r w:rsidRPr="001E5928">
              <w:t>-0.54</w:t>
            </w:r>
          </w:p>
        </w:tc>
        <w:tc>
          <w:tcPr>
            <w:tcW w:w="388" w:type="dxa"/>
          </w:tcPr>
          <w:p w:rsidR="00795EE9" w:rsidRDefault="00795EE9" w:rsidP="00795EE9">
            <w:pPr>
              <w:pStyle w:val="TableBodyText"/>
            </w:pPr>
          </w:p>
        </w:tc>
        <w:tc>
          <w:tcPr>
            <w:tcW w:w="965" w:type="dxa"/>
            <w:vAlign w:val="bottom"/>
          </w:tcPr>
          <w:p w:rsidR="00795EE9" w:rsidRPr="001E5928" w:rsidRDefault="00795EE9" w:rsidP="00795EE9">
            <w:pPr>
              <w:pStyle w:val="TableBodyText"/>
            </w:pPr>
            <w:r w:rsidRPr="001E5928">
              <w:t>-0.36</w:t>
            </w:r>
          </w:p>
        </w:tc>
        <w:tc>
          <w:tcPr>
            <w:tcW w:w="965" w:type="dxa"/>
            <w:shd w:val="clear" w:color="auto" w:fill="auto"/>
            <w:vAlign w:val="bottom"/>
          </w:tcPr>
          <w:p w:rsidR="00795EE9" w:rsidRPr="001E5928" w:rsidRDefault="00795EE9" w:rsidP="00795EE9">
            <w:pPr>
              <w:pStyle w:val="TableBodyText"/>
            </w:pPr>
            <w:r w:rsidRPr="001E5928">
              <w:t>0.16</w:t>
            </w:r>
          </w:p>
        </w:tc>
        <w:tc>
          <w:tcPr>
            <w:tcW w:w="965" w:type="dxa"/>
            <w:shd w:val="clear" w:color="auto" w:fill="auto"/>
            <w:vAlign w:val="bottom"/>
          </w:tcPr>
          <w:p w:rsidR="00795EE9" w:rsidRPr="001E5928" w:rsidRDefault="00795EE9" w:rsidP="00795EE9">
            <w:pPr>
              <w:pStyle w:val="TableBodyText"/>
            </w:pPr>
            <w:r w:rsidRPr="001E5928">
              <w:t>-0.20</w:t>
            </w:r>
          </w:p>
        </w:tc>
      </w:tr>
      <w:tr w:rsidR="00795EE9" w:rsidTr="00795EE9">
        <w:tc>
          <w:tcPr>
            <w:tcW w:w="2610" w:type="dxa"/>
            <w:shd w:val="clear" w:color="auto" w:fill="auto"/>
            <w:vAlign w:val="bottom"/>
          </w:tcPr>
          <w:p w:rsidR="00795EE9" w:rsidRPr="001E5928" w:rsidRDefault="00795EE9" w:rsidP="00795EE9">
            <w:pPr>
              <w:pStyle w:val="TableBodyText"/>
              <w:jc w:val="left"/>
            </w:pPr>
            <w:r w:rsidRPr="001E5928">
              <w:t>Financ</w:t>
            </w:r>
            <w:r>
              <w:t>e</w:t>
            </w:r>
          </w:p>
        </w:tc>
        <w:tc>
          <w:tcPr>
            <w:tcW w:w="966" w:type="dxa"/>
            <w:vAlign w:val="bottom"/>
          </w:tcPr>
          <w:p w:rsidR="00795EE9" w:rsidRPr="001E5928" w:rsidRDefault="00795EE9" w:rsidP="00795EE9">
            <w:pPr>
              <w:pStyle w:val="TableBodyText"/>
            </w:pPr>
            <w:r w:rsidRPr="001E5928">
              <w:t>-1.05</w:t>
            </w:r>
          </w:p>
        </w:tc>
        <w:tc>
          <w:tcPr>
            <w:tcW w:w="965" w:type="dxa"/>
            <w:vAlign w:val="bottom"/>
          </w:tcPr>
          <w:p w:rsidR="00795EE9" w:rsidRPr="001E5928" w:rsidRDefault="00795EE9" w:rsidP="00795EE9">
            <w:pPr>
              <w:pStyle w:val="TableBodyText"/>
            </w:pPr>
            <w:r w:rsidRPr="001E5928">
              <w:t>-0.27</w:t>
            </w:r>
          </w:p>
        </w:tc>
        <w:tc>
          <w:tcPr>
            <w:tcW w:w="965" w:type="dxa"/>
            <w:vAlign w:val="bottom"/>
          </w:tcPr>
          <w:p w:rsidR="00795EE9" w:rsidRPr="001E5928" w:rsidRDefault="00795EE9" w:rsidP="00795EE9">
            <w:pPr>
              <w:pStyle w:val="TableBodyText"/>
            </w:pPr>
            <w:r w:rsidRPr="001E5928">
              <w:t>-1.32</w:t>
            </w:r>
          </w:p>
        </w:tc>
        <w:tc>
          <w:tcPr>
            <w:tcW w:w="388" w:type="dxa"/>
          </w:tcPr>
          <w:p w:rsidR="00795EE9" w:rsidRDefault="00795EE9" w:rsidP="00795EE9">
            <w:pPr>
              <w:pStyle w:val="TableBodyText"/>
            </w:pPr>
          </w:p>
        </w:tc>
        <w:tc>
          <w:tcPr>
            <w:tcW w:w="965" w:type="dxa"/>
            <w:vAlign w:val="bottom"/>
          </w:tcPr>
          <w:p w:rsidR="00795EE9" w:rsidRPr="001E5928" w:rsidRDefault="00795EE9" w:rsidP="00795EE9">
            <w:pPr>
              <w:pStyle w:val="TableBodyText"/>
            </w:pPr>
            <w:r w:rsidRPr="001E5928">
              <w:t>-0.13</w:t>
            </w:r>
          </w:p>
        </w:tc>
        <w:tc>
          <w:tcPr>
            <w:tcW w:w="965" w:type="dxa"/>
            <w:shd w:val="clear" w:color="auto" w:fill="auto"/>
            <w:vAlign w:val="bottom"/>
          </w:tcPr>
          <w:p w:rsidR="00795EE9" w:rsidRPr="001E5928" w:rsidRDefault="00795EE9" w:rsidP="00795EE9">
            <w:pPr>
              <w:pStyle w:val="TableBodyText"/>
            </w:pPr>
            <w:r w:rsidRPr="001E5928">
              <w:t>-0.07</w:t>
            </w:r>
          </w:p>
        </w:tc>
        <w:tc>
          <w:tcPr>
            <w:tcW w:w="965" w:type="dxa"/>
            <w:shd w:val="clear" w:color="auto" w:fill="auto"/>
            <w:vAlign w:val="bottom"/>
          </w:tcPr>
          <w:p w:rsidR="00795EE9" w:rsidRPr="001E5928" w:rsidRDefault="00795EE9" w:rsidP="00795EE9">
            <w:pPr>
              <w:pStyle w:val="TableBodyText"/>
            </w:pPr>
            <w:r w:rsidRPr="001E5928">
              <w:t>-0.20</w:t>
            </w:r>
          </w:p>
        </w:tc>
      </w:tr>
      <w:tr w:rsidR="00795EE9" w:rsidTr="00795EE9">
        <w:tc>
          <w:tcPr>
            <w:tcW w:w="2610" w:type="dxa"/>
            <w:shd w:val="clear" w:color="auto" w:fill="auto"/>
            <w:vAlign w:val="bottom"/>
          </w:tcPr>
          <w:p w:rsidR="00795EE9" w:rsidRPr="001E5928" w:rsidRDefault="00795EE9" w:rsidP="00795EE9">
            <w:pPr>
              <w:pStyle w:val="TableBodyText"/>
              <w:jc w:val="left"/>
            </w:pPr>
            <w:r w:rsidRPr="001E5928">
              <w:t>Arts &amp; rec</w:t>
            </w:r>
          </w:p>
        </w:tc>
        <w:tc>
          <w:tcPr>
            <w:tcW w:w="966" w:type="dxa"/>
            <w:vAlign w:val="bottom"/>
          </w:tcPr>
          <w:p w:rsidR="00795EE9" w:rsidRPr="001E5928" w:rsidRDefault="00795EE9" w:rsidP="00795EE9">
            <w:pPr>
              <w:pStyle w:val="TableBodyText"/>
            </w:pPr>
            <w:r w:rsidRPr="001E5928">
              <w:t>0.00</w:t>
            </w:r>
          </w:p>
        </w:tc>
        <w:tc>
          <w:tcPr>
            <w:tcW w:w="965" w:type="dxa"/>
            <w:vAlign w:val="bottom"/>
          </w:tcPr>
          <w:p w:rsidR="00795EE9" w:rsidRPr="001E5928" w:rsidRDefault="00795EE9" w:rsidP="00795EE9">
            <w:pPr>
              <w:pStyle w:val="TableBodyText"/>
            </w:pPr>
            <w:r w:rsidRPr="001E5928">
              <w:t>0.01</w:t>
            </w:r>
          </w:p>
        </w:tc>
        <w:tc>
          <w:tcPr>
            <w:tcW w:w="965" w:type="dxa"/>
            <w:vAlign w:val="bottom"/>
          </w:tcPr>
          <w:p w:rsidR="00795EE9" w:rsidRPr="001E5928" w:rsidRDefault="00795EE9" w:rsidP="00795EE9">
            <w:pPr>
              <w:pStyle w:val="TableBodyText"/>
            </w:pPr>
            <w:r w:rsidRPr="001E5928">
              <w:t>0.01</w:t>
            </w:r>
          </w:p>
        </w:tc>
        <w:tc>
          <w:tcPr>
            <w:tcW w:w="388" w:type="dxa"/>
          </w:tcPr>
          <w:p w:rsidR="00795EE9" w:rsidRDefault="00795EE9" w:rsidP="00795EE9">
            <w:pPr>
              <w:pStyle w:val="TableBodyText"/>
            </w:pPr>
          </w:p>
        </w:tc>
        <w:tc>
          <w:tcPr>
            <w:tcW w:w="965" w:type="dxa"/>
            <w:vAlign w:val="bottom"/>
          </w:tcPr>
          <w:p w:rsidR="00795EE9" w:rsidRPr="001E5928" w:rsidRDefault="00795EE9" w:rsidP="00795EE9">
            <w:pPr>
              <w:pStyle w:val="TableBodyText"/>
            </w:pPr>
            <w:r w:rsidRPr="001E5928">
              <w:t>-0.08</w:t>
            </w:r>
          </w:p>
        </w:tc>
        <w:tc>
          <w:tcPr>
            <w:tcW w:w="965" w:type="dxa"/>
            <w:shd w:val="clear" w:color="auto" w:fill="auto"/>
            <w:vAlign w:val="bottom"/>
          </w:tcPr>
          <w:p w:rsidR="00795EE9" w:rsidRPr="001E5928" w:rsidRDefault="00795EE9" w:rsidP="00795EE9">
            <w:pPr>
              <w:pStyle w:val="TableBodyText"/>
            </w:pPr>
            <w:r w:rsidRPr="001E5928">
              <w:t>0.01</w:t>
            </w:r>
          </w:p>
        </w:tc>
        <w:tc>
          <w:tcPr>
            <w:tcW w:w="965" w:type="dxa"/>
            <w:shd w:val="clear" w:color="auto" w:fill="auto"/>
            <w:vAlign w:val="bottom"/>
          </w:tcPr>
          <w:p w:rsidR="00795EE9" w:rsidRPr="001E5928" w:rsidRDefault="00795EE9" w:rsidP="00795EE9">
            <w:pPr>
              <w:pStyle w:val="TableBodyText"/>
            </w:pPr>
            <w:r w:rsidRPr="001E5928">
              <w:t>-0.07</w:t>
            </w:r>
          </w:p>
        </w:tc>
      </w:tr>
      <w:tr w:rsidR="00795EE9" w:rsidRPr="00C40DCE" w:rsidTr="00795EE9">
        <w:tc>
          <w:tcPr>
            <w:tcW w:w="2610" w:type="dxa"/>
            <w:tcBorders>
              <w:bottom w:val="single" w:sz="4" w:space="0" w:color="auto"/>
            </w:tcBorders>
            <w:shd w:val="clear" w:color="auto" w:fill="auto"/>
            <w:vAlign w:val="bottom"/>
          </w:tcPr>
          <w:p w:rsidR="00795EE9" w:rsidRPr="00C40DCE" w:rsidRDefault="00795EE9" w:rsidP="000457C9">
            <w:pPr>
              <w:pStyle w:val="TableBodyText"/>
              <w:spacing w:before="120"/>
              <w:jc w:val="left"/>
              <w:rPr>
                <w:bCs/>
              </w:rPr>
            </w:pPr>
            <w:r w:rsidRPr="00C40DCE">
              <w:rPr>
                <w:bCs/>
              </w:rPr>
              <w:t xml:space="preserve">Market sector </w:t>
            </w:r>
          </w:p>
        </w:tc>
        <w:tc>
          <w:tcPr>
            <w:tcW w:w="966" w:type="dxa"/>
            <w:tcBorders>
              <w:bottom w:val="single" w:sz="4" w:space="0" w:color="auto"/>
            </w:tcBorders>
            <w:vAlign w:val="bottom"/>
          </w:tcPr>
          <w:p w:rsidR="00795EE9" w:rsidRPr="00C40DCE" w:rsidRDefault="00795EE9" w:rsidP="000457C9">
            <w:pPr>
              <w:pStyle w:val="TableBodyText"/>
              <w:spacing w:before="120"/>
              <w:rPr>
                <w:bCs/>
              </w:rPr>
            </w:pPr>
            <w:r w:rsidRPr="00C40DCE">
              <w:rPr>
                <w:bCs/>
              </w:rPr>
              <w:t>-1.9</w:t>
            </w:r>
          </w:p>
        </w:tc>
        <w:tc>
          <w:tcPr>
            <w:tcW w:w="965" w:type="dxa"/>
            <w:tcBorders>
              <w:bottom w:val="single" w:sz="4" w:space="0" w:color="auto"/>
            </w:tcBorders>
            <w:vAlign w:val="bottom"/>
          </w:tcPr>
          <w:p w:rsidR="00795EE9" w:rsidRPr="00C40DCE" w:rsidRDefault="00795EE9" w:rsidP="000457C9">
            <w:pPr>
              <w:pStyle w:val="TableBodyText"/>
              <w:spacing w:before="120"/>
              <w:rPr>
                <w:bCs/>
              </w:rPr>
            </w:pPr>
            <w:r w:rsidRPr="00C40DCE">
              <w:rPr>
                <w:bCs/>
              </w:rPr>
              <w:t>0.5</w:t>
            </w:r>
          </w:p>
        </w:tc>
        <w:tc>
          <w:tcPr>
            <w:tcW w:w="965" w:type="dxa"/>
            <w:tcBorders>
              <w:bottom w:val="single" w:sz="4" w:space="0" w:color="auto"/>
            </w:tcBorders>
            <w:vAlign w:val="bottom"/>
          </w:tcPr>
          <w:p w:rsidR="00795EE9" w:rsidRPr="00C40DCE" w:rsidRDefault="00795EE9" w:rsidP="000457C9">
            <w:pPr>
              <w:pStyle w:val="TableBodyText"/>
              <w:spacing w:before="120"/>
              <w:rPr>
                <w:bCs/>
              </w:rPr>
            </w:pPr>
            <w:r w:rsidRPr="00C40DCE">
              <w:rPr>
                <w:bCs/>
              </w:rPr>
              <w:t>-1.4</w:t>
            </w:r>
          </w:p>
        </w:tc>
        <w:tc>
          <w:tcPr>
            <w:tcW w:w="388" w:type="dxa"/>
            <w:tcBorders>
              <w:bottom w:val="single" w:sz="4" w:space="0" w:color="auto"/>
            </w:tcBorders>
          </w:tcPr>
          <w:p w:rsidR="00795EE9" w:rsidRPr="00C40DCE" w:rsidRDefault="00795EE9" w:rsidP="000457C9">
            <w:pPr>
              <w:pStyle w:val="TableBodyText"/>
              <w:spacing w:before="120"/>
            </w:pPr>
          </w:p>
        </w:tc>
        <w:tc>
          <w:tcPr>
            <w:tcW w:w="965" w:type="dxa"/>
            <w:tcBorders>
              <w:bottom w:val="single" w:sz="4" w:space="0" w:color="auto"/>
            </w:tcBorders>
            <w:vAlign w:val="bottom"/>
          </w:tcPr>
          <w:p w:rsidR="00795EE9" w:rsidRPr="00C40DCE" w:rsidRDefault="00795EE9" w:rsidP="000457C9">
            <w:pPr>
              <w:pStyle w:val="TableBodyText"/>
              <w:spacing w:before="120"/>
              <w:rPr>
                <w:bCs/>
              </w:rPr>
            </w:pPr>
            <w:r w:rsidRPr="00C40DCE">
              <w:rPr>
                <w:bCs/>
              </w:rPr>
              <w:t>-2.4</w:t>
            </w:r>
          </w:p>
        </w:tc>
        <w:tc>
          <w:tcPr>
            <w:tcW w:w="965" w:type="dxa"/>
            <w:tcBorders>
              <w:bottom w:val="single" w:sz="4" w:space="0" w:color="auto"/>
            </w:tcBorders>
            <w:shd w:val="clear" w:color="auto" w:fill="auto"/>
            <w:vAlign w:val="bottom"/>
          </w:tcPr>
          <w:p w:rsidR="00795EE9" w:rsidRPr="00C40DCE" w:rsidRDefault="00795EE9" w:rsidP="000457C9">
            <w:pPr>
              <w:pStyle w:val="TableBodyText"/>
              <w:spacing w:before="120"/>
              <w:rPr>
                <w:bCs/>
              </w:rPr>
            </w:pPr>
            <w:r w:rsidRPr="00C40DCE">
              <w:rPr>
                <w:bCs/>
              </w:rPr>
              <w:t>-1.6</w:t>
            </w:r>
          </w:p>
        </w:tc>
        <w:tc>
          <w:tcPr>
            <w:tcW w:w="965" w:type="dxa"/>
            <w:tcBorders>
              <w:bottom w:val="single" w:sz="4" w:space="0" w:color="auto"/>
            </w:tcBorders>
            <w:shd w:val="clear" w:color="auto" w:fill="auto"/>
            <w:vAlign w:val="bottom"/>
          </w:tcPr>
          <w:p w:rsidR="00795EE9" w:rsidRPr="00C40DCE" w:rsidRDefault="00795EE9" w:rsidP="000457C9">
            <w:pPr>
              <w:pStyle w:val="TableBodyText"/>
              <w:spacing w:before="120"/>
              <w:rPr>
                <w:bCs/>
              </w:rPr>
            </w:pPr>
            <w:r w:rsidRPr="00C40DCE">
              <w:rPr>
                <w:bCs/>
              </w:rPr>
              <w:t>-4.0</w:t>
            </w:r>
          </w:p>
        </w:tc>
      </w:tr>
    </w:tbl>
    <w:p w:rsidR="007D413A" w:rsidRPr="008E77FE" w:rsidRDefault="007D413A" w:rsidP="007D413A">
      <w:pPr>
        <w:pStyle w:val="Source"/>
      </w:pPr>
      <w:r>
        <w:rPr>
          <w:i/>
        </w:rPr>
        <w:t>Source</w:t>
      </w:r>
      <w:r>
        <w:t xml:space="preserve">: </w:t>
      </w:r>
      <w:r w:rsidR="00FE37DE">
        <w:t xml:space="preserve">Author’s estimates based on ABS </w:t>
      </w:r>
      <w:r w:rsidR="005E5264">
        <w:t>(</w:t>
      </w:r>
      <w:r w:rsidR="00FE37DE">
        <w:t>Cat No 5260.0550.02</w:t>
      </w:r>
      <w:r w:rsidR="005E5264">
        <w:t>).</w:t>
      </w:r>
    </w:p>
    <w:p w:rsidR="003A2556" w:rsidRDefault="003A2556" w:rsidP="00654C4E">
      <w:pPr>
        <w:pStyle w:val="BodyText"/>
      </w:pPr>
      <w:r>
        <w:t xml:space="preserve">Manufacturing made no overall contribution. Its relatively-large </w:t>
      </w:r>
      <w:r w:rsidR="00411E01">
        <w:t xml:space="preserve">and </w:t>
      </w:r>
      <w:r>
        <w:t>positive ‘within’ contribution (0.4</w:t>
      </w:r>
      <w:r w:rsidR="006239C7">
        <w:t xml:space="preserve"> percentage points</w:t>
      </w:r>
      <w:r>
        <w:t xml:space="preserve">) was offset by a relatively-large </w:t>
      </w:r>
      <w:r w:rsidR="00411E01">
        <w:t xml:space="preserve">and </w:t>
      </w:r>
      <w:r>
        <w:t>negative ‘between’ contribution (-0.4</w:t>
      </w:r>
      <w:r w:rsidR="006239C7">
        <w:t xml:space="preserve"> percentage points</w:t>
      </w:r>
      <w:r>
        <w:t xml:space="preserve">), which came about because there was a shift away from this industry </w:t>
      </w:r>
      <w:r w:rsidR="009404C7">
        <w:t>with</w:t>
      </w:r>
      <w:r>
        <w:t xml:space="preserve"> its </w:t>
      </w:r>
      <w:r w:rsidR="009404C7">
        <w:t xml:space="preserve">above-average </w:t>
      </w:r>
      <w:proofErr w:type="spellStart"/>
      <w:r>
        <w:t>LIS</w:t>
      </w:r>
      <w:proofErr w:type="spellEnd"/>
      <w:r>
        <w:t>.</w:t>
      </w:r>
    </w:p>
    <w:p w:rsidR="00654C4E" w:rsidRDefault="00654C4E" w:rsidP="00654C4E">
      <w:pPr>
        <w:pStyle w:val="BodyText"/>
      </w:pPr>
      <w:r>
        <w:t xml:space="preserve">The major industry contributors to the within-industry component of the </w:t>
      </w:r>
      <w:proofErr w:type="spellStart"/>
      <w:r>
        <w:t>LIS</w:t>
      </w:r>
      <w:proofErr w:type="spellEnd"/>
      <w:r>
        <w:t xml:space="preserve"> fall were: Retail (</w:t>
      </w:r>
      <w:r>
        <w:noBreakHyphen/>
        <w:t>0.5</w:t>
      </w:r>
      <w:r w:rsidR="006239C7">
        <w:t xml:space="preserve"> percentage points</w:t>
      </w:r>
      <w:r>
        <w:t>), Agriculture (</w:t>
      </w:r>
      <w:r>
        <w:noBreakHyphen/>
        <w:t>0.5</w:t>
      </w:r>
      <w:r w:rsidR="006239C7">
        <w:t xml:space="preserve"> percentage points</w:t>
      </w:r>
      <w:r>
        <w:t>), Construction (</w:t>
      </w:r>
      <w:r>
        <w:noBreakHyphen/>
        <w:t>0.4</w:t>
      </w:r>
      <w:r w:rsidR="006239C7">
        <w:t xml:space="preserve"> percentage points</w:t>
      </w:r>
      <w:r>
        <w:t>), Telecoms (</w:t>
      </w:r>
      <w:r>
        <w:noBreakHyphen/>
        <w:t>0.4</w:t>
      </w:r>
      <w:r w:rsidR="006239C7">
        <w:t xml:space="preserve"> percentage points</w:t>
      </w:r>
      <w:r>
        <w:t>) and Accommodation (</w:t>
      </w:r>
      <w:r>
        <w:noBreakHyphen/>
        <w:t>0.4</w:t>
      </w:r>
      <w:r w:rsidR="006239C7">
        <w:t xml:space="preserve"> percentage points</w:t>
      </w:r>
      <w:r>
        <w:t xml:space="preserve">). </w:t>
      </w:r>
    </w:p>
    <w:p w:rsidR="00654C4E" w:rsidRDefault="008235BE" w:rsidP="00654C4E">
      <w:pPr>
        <w:pStyle w:val="Heading3"/>
      </w:pPr>
      <w:r>
        <w:lastRenderedPageBreak/>
        <w:t>T</w:t>
      </w:r>
      <w:r w:rsidR="00654C4E">
        <w:t>he ACTU study</w:t>
      </w:r>
    </w:p>
    <w:p w:rsidR="008235BE" w:rsidRPr="002A3BBD" w:rsidRDefault="008235BE" w:rsidP="008235BE">
      <w:pPr>
        <w:pStyle w:val="BodyText"/>
      </w:pPr>
      <w:r>
        <w:t xml:space="preserve">The ACTU (2013) drew attention to the fall in Australia’s </w:t>
      </w:r>
      <w:proofErr w:type="spellStart"/>
      <w:r>
        <w:t>LIS</w:t>
      </w:r>
      <w:proofErr w:type="spellEnd"/>
      <w:r>
        <w:t xml:space="preserve"> as ‘a worrying development’. It correctly associate</w:t>
      </w:r>
      <w:r w:rsidR="00DD4043">
        <w:t>d</w:t>
      </w:r>
      <w:r>
        <w:t xml:space="preserve"> the fall with a growth in real wages that has not kept pace with labour productivity growth (chapter 4). The </w:t>
      </w:r>
      <w:r w:rsidR="000457C9">
        <w:t>ACTU study</w:t>
      </w:r>
      <w:r>
        <w:t xml:space="preserve"> states that a period in which real wages rise faster than labour productivity growth is needed merely to restore the labour income share of the </w:t>
      </w:r>
      <w:proofErr w:type="spellStart"/>
      <w:r>
        <w:t>1990s</w:t>
      </w:r>
      <w:proofErr w:type="spellEnd"/>
      <w:r>
        <w:t>.</w:t>
      </w:r>
    </w:p>
    <w:p w:rsidR="00654C4E" w:rsidRDefault="00654C4E" w:rsidP="00654C4E">
      <w:pPr>
        <w:pStyle w:val="BodyText"/>
      </w:pPr>
      <w:r>
        <w:t>The ACTU study included a shift-share analysis. It attributed a higher proportion (72 per cent, rather than the 5</w:t>
      </w:r>
      <w:r w:rsidR="000528CD">
        <w:t>9</w:t>
      </w:r>
      <w:r>
        <w:t xml:space="preserve"> per cent found here</w:t>
      </w:r>
      <w:r>
        <w:rPr>
          <w:rStyle w:val="FootnoteReference"/>
        </w:rPr>
        <w:footnoteReference w:id="1"/>
      </w:r>
      <w:r>
        <w:t>) to the within-industry component.</w:t>
      </w:r>
      <w:r>
        <w:rPr>
          <w:rStyle w:val="FootnoteReference"/>
        </w:rPr>
        <w:footnoteReference w:id="2"/>
      </w:r>
      <w:r>
        <w:t xml:space="preserve"> By way of further comparison, an OECD (2012) study attributed around two-thirds of the fall in Australia’s </w:t>
      </w:r>
      <w:proofErr w:type="spellStart"/>
      <w:r>
        <w:t>LIS</w:t>
      </w:r>
      <w:proofErr w:type="spellEnd"/>
      <w:r>
        <w:t xml:space="preserve"> from 1990 to 2007 to within-industry effects. </w:t>
      </w:r>
    </w:p>
    <w:p w:rsidR="00654C4E" w:rsidRDefault="00654C4E" w:rsidP="00654C4E">
      <w:pPr>
        <w:pStyle w:val="BodyText"/>
      </w:pPr>
      <w:r>
        <w:t xml:space="preserve">The difference in shift-share results </w:t>
      </w:r>
      <w:r w:rsidR="00025E68">
        <w:t>between</w:t>
      </w:r>
      <w:r>
        <w:t xml:space="preserve"> this and the ACTU study does not matter a lot. It is </w:t>
      </w:r>
      <w:r w:rsidR="00411E01">
        <w:t>likely</w:t>
      </w:r>
      <w:r>
        <w:t xml:space="preserve"> due to several factors:</w:t>
      </w:r>
    </w:p>
    <w:p w:rsidR="00654C4E" w:rsidRDefault="000457C9" w:rsidP="00654C4E">
      <w:pPr>
        <w:pStyle w:val="ListBullet"/>
      </w:pPr>
      <w:r>
        <w:t>different industry coverage</w:t>
      </w:r>
    </w:p>
    <w:p w:rsidR="00654C4E" w:rsidRDefault="00654C4E" w:rsidP="00654C4E">
      <w:pPr>
        <w:pStyle w:val="ListBullet2"/>
      </w:pPr>
      <w:r>
        <w:t>the ACTU study covered all industries, rather than the 12-i</w:t>
      </w:r>
      <w:r w:rsidR="000457C9">
        <w:t>ndustry market sector used here</w:t>
      </w:r>
    </w:p>
    <w:p w:rsidR="00654C4E" w:rsidRDefault="00654C4E" w:rsidP="00654C4E">
      <w:pPr>
        <w:pStyle w:val="ListBullet2"/>
      </w:pPr>
      <w:r>
        <w:t xml:space="preserve">this </w:t>
      </w:r>
      <w:r w:rsidR="009404C7">
        <w:t>may</w:t>
      </w:r>
      <w:r>
        <w:t xml:space="preserve"> be the most important explanatio</w:t>
      </w:r>
      <w:r w:rsidR="000457C9">
        <w:t>n for the difference in results</w:t>
      </w:r>
    </w:p>
    <w:p w:rsidR="00654C4E" w:rsidRDefault="00654C4E" w:rsidP="00654C4E">
      <w:pPr>
        <w:pStyle w:val="ListBullet"/>
      </w:pPr>
      <w:r>
        <w:t>different method of c</w:t>
      </w:r>
      <w:r w:rsidR="000457C9">
        <w:t>alculating labour income shares</w:t>
      </w:r>
    </w:p>
    <w:p w:rsidR="00654C4E" w:rsidRDefault="00654C4E" w:rsidP="00654C4E">
      <w:pPr>
        <w:pStyle w:val="ListBullet2"/>
      </w:pPr>
      <w:r>
        <w:t>the ACTU used an alternative method of allocating the income of sole proprietors to labour and capital components, whereas the ABS method</w:t>
      </w:r>
      <w:r w:rsidR="000457C9">
        <w:t xml:space="preserve"> is relied upon here</w:t>
      </w:r>
    </w:p>
    <w:p w:rsidR="00654C4E" w:rsidRDefault="00654C4E" w:rsidP="00654C4E">
      <w:pPr>
        <w:pStyle w:val="ListBullet2"/>
      </w:pPr>
      <w:r>
        <w:t xml:space="preserve">measurement of income shares is an imprecise science and there are arguments </w:t>
      </w:r>
      <w:r w:rsidR="00411E01">
        <w:t>in</w:t>
      </w:r>
      <w:r>
        <w:t xml:space="preserve"> support </w:t>
      </w:r>
      <w:r w:rsidR="00411E01">
        <w:t xml:space="preserve">of </w:t>
      </w:r>
      <w:r w:rsidR="000457C9">
        <w:t>different approaches</w:t>
      </w:r>
    </w:p>
    <w:p w:rsidR="00654C4E" w:rsidRDefault="000457C9" w:rsidP="00654C4E">
      <w:pPr>
        <w:pStyle w:val="ListBullet"/>
      </w:pPr>
      <w:r>
        <w:t>different time periods</w:t>
      </w:r>
    </w:p>
    <w:p w:rsidR="00654C4E" w:rsidRDefault="00654C4E" w:rsidP="00654C4E">
      <w:pPr>
        <w:pStyle w:val="ListBullet2"/>
      </w:pPr>
      <w:r>
        <w:t>the ACTU calculations cover 1999-00 to 2011-12, whereas the end-point used here is 2009-10</w:t>
      </w:r>
      <w:r w:rsidR="00D5481A">
        <w:t xml:space="preserve"> and the shift-share analysis is sensi</w:t>
      </w:r>
      <w:r w:rsidR="000457C9">
        <w:t>tive to the choice of end-points</w:t>
      </w:r>
    </w:p>
    <w:p w:rsidR="00654C4E" w:rsidRDefault="00654C4E" w:rsidP="00654C4E">
      <w:pPr>
        <w:pStyle w:val="ListBullet2"/>
      </w:pPr>
      <w:r>
        <w:t>however, there was little change in the agg</w:t>
      </w:r>
      <w:r w:rsidR="00AD2250">
        <w:t xml:space="preserve">regate </w:t>
      </w:r>
      <w:proofErr w:type="spellStart"/>
      <w:r w:rsidR="00AD2250">
        <w:t>LIS</w:t>
      </w:r>
      <w:proofErr w:type="spellEnd"/>
      <w:r w:rsidR="00AD2250">
        <w:t xml:space="preserve"> over 2009-10 to 2011</w:t>
      </w:r>
      <w:r w:rsidR="00AD2250">
        <w:noBreakHyphen/>
      </w:r>
      <w:r>
        <w:t>12.</w:t>
      </w:r>
    </w:p>
    <w:p w:rsidR="00654C4E" w:rsidRDefault="00654C4E" w:rsidP="00654C4E">
      <w:pPr>
        <w:pStyle w:val="BodyText"/>
      </w:pPr>
      <w:r>
        <w:lastRenderedPageBreak/>
        <w:t>The common conclusion from the two studies is that within-industry and structural change were both important, with at least some weighting in importance toward the within-industry component.</w:t>
      </w:r>
    </w:p>
    <w:p w:rsidR="00654C4E" w:rsidRPr="00F82B3A" w:rsidRDefault="00654C4E" w:rsidP="00654C4E">
      <w:pPr>
        <w:pStyle w:val="BodyText"/>
      </w:pPr>
      <w:r>
        <w:t xml:space="preserve">To the extent that the difference is due to industry coverage, it is likely that the importance of structural change via Mining and Manufacturing, found here, is ‘diluted’ by the inclusion of more </w:t>
      </w:r>
      <w:r w:rsidR="001F0241">
        <w:t xml:space="preserve">labour-intensive </w:t>
      </w:r>
      <w:r>
        <w:t xml:space="preserve">industries in the ACTU study. </w:t>
      </w:r>
    </w:p>
    <w:p w:rsidR="00654C4E" w:rsidRDefault="00654C4E" w:rsidP="00654C4E">
      <w:pPr>
        <w:pStyle w:val="BodyText"/>
      </w:pPr>
      <w:r>
        <w:t xml:space="preserve">The ACTU report does not present contributions from individual industries, although it does refer to the falls in </w:t>
      </w:r>
      <w:proofErr w:type="spellStart"/>
      <w:r>
        <w:t>LIS</w:t>
      </w:r>
      <w:proofErr w:type="spellEnd"/>
      <w:r>
        <w:t xml:space="preserve"> in Retail, Accommodation and Transport (which, along with the highest fall in Agriculture, have also been highlighted here).</w:t>
      </w:r>
    </w:p>
    <w:p w:rsidR="00200793" w:rsidRDefault="00200793" w:rsidP="00200793">
      <w:pPr>
        <w:pStyle w:val="BodyText"/>
      </w:pPr>
      <w:r>
        <w:t xml:space="preserve">Seemingly based on the structural change contribution coming in at 28 per cent of the </w:t>
      </w:r>
      <w:proofErr w:type="spellStart"/>
      <w:r>
        <w:t>LIS</w:t>
      </w:r>
      <w:proofErr w:type="spellEnd"/>
      <w:r>
        <w:t xml:space="preserve"> fall, the report concludes</w:t>
      </w:r>
      <w:r w:rsidR="00F97CB6">
        <w:t>:</w:t>
      </w:r>
    </w:p>
    <w:p w:rsidR="00200793" w:rsidRDefault="00200793" w:rsidP="00200793">
      <w:pPr>
        <w:pStyle w:val="Quote"/>
      </w:pPr>
      <w:r>
        <w:t>Only a small portion of the fall in the labour share can be ascribed to a shift in economic activity towards low-labour share industries such as mining.</w:t>
      </w:r>
    </w:p>
    <w:p w:rsidR="00200793" w:rsidRDefault="00200793" w:rsidP="00200793">
      <w:pPr>
        <w:pStyle w:val="Quote"/>
      </w:pPr>
      <w:r>
        <w:t xml:space="preserve">It’s clear that the mining boom has contributed to the fall in the labour share in the </w:t>
      </w:r>
      <w:proofErr w:type="spellStart"/>
      <w:r>
        <w:t>2000s</w:t>
      </w:r>
      <w:proofErr w:type="spellEnd"/>
      <w:r>
        <w:t xml:space="preserve">, but that it accounts for a small part of </w:t>
      </w:r>
      <w:r w:rsidR="000457C9">
        <w:t>i</w:t>
      </w:r>
      <w:r>
        <w:t>t.</w:t>
      </w:r>
      <w:r w:rsidR="000457C9">
        <w:t xml:space="preserve"> (ACTU 2013, p. 16)</w:t>
      </w:r>
    </w:p>
    <w:p w:rsidR="00200793" w:rsidRDefault="00200793" w:rsidP="00200793">
      <w:pPr>
        <w:pStyle w:val="BodyText"/>
      </w:pPr>
      <w:r>
        <w:t xml:space="preserve">This seems to underplay the role of the mining boom, </w:t>
      </w:r>
      <w:r w:rsidR="00885F49">
        <w:t xml:space="preserve">for two reasons. First, in the shift-share analysis here, Mining accounted for half of the decline in the </w:t>
      </w:r>
      <w:proofErr w:type="spellStart"/>
      <w:r w:rsidR="00885F49">
        <w:t>LIS</w:t>
      </w:r>
      <w:proofErr w:type="spellEnd"/>
      <w:r w:rsidR="00885F49">
        <w:t xml:space="preserve">. Second, </w:t>
      </w:r>
      <w:r w:rsidR="003B5394">
        <w:t xml:space="preserve">as will </w:t>
      </w:r>
      <w:r w:rsidR="009E0CB0">
        <w:t xml:space="preserve">now </w:t>
      </w:r>
      <w:r w:rsidR="003B5394">
        <w:t xml:space="preserve">be </w:t>
      </w:r>
      <w:r w:rsidR="009E0CB0">
        <w:t>demonstrated</w:t>
      </w:r>
      <w:r w:rsidR="003B5394">
        <w:t xml:space="preserve">, </w:t>
      </w:r>
      <w:r w:rsidR="007A7862">
        <w:t xml:space="preserve">the shift-share approach </w:t>
      </w:r>
      <w:r w:rsidR="00025E68">
        <w:t>captures</w:t>
      </w:r>
      <w:r w:rsidR="009E0CB0">
        <w:t xml:space="preserve"> </w:t>
      </w:r>
      <w:r w:rsidR="007A7862">
        <w:t xml:space="preserve">structural change </w:t>
      </w:r>
      <w:r w:rsidR="009E0CB0">
        <w:t xml:space="preserve">in a way that is limited </w:t>
      </w:r>
      <w:r w:rsidR="007A7862">
        <w:t xml:space="preserve">in this </w:t>
      </w:r>
      <w:r w:rsidR="009E0CB0">
        <w:t xml:space="preserve">income share </w:t>
      </w:r>
      <w:r w:rsidR="007A7862">
        <w:t>context.</w:t>
      </w:r>
    </w:p>
    <w:p w:rsidR="00F94B77" w:rsidRDefault="00F92682" w:rsidP="006E5188">
      <w:pPr>
        <w:pStyle w:val="Heading2"/>
      </w:pPr>
      <w:fldSimple w:instr=" COMMENTS  \* MERGEFORMAT ">
        <w:r w:rsidR="005E5264">
          <w:t>5.</w:t>
        </w:r>
      </w:fldSimple>
      <w:fldSimple w:instr=" SEQ Heading2 ">
        <w:r>
          <w:rPr>
            <w:noProof/>
          </w:rPr>
          <w:t>3</w:t>
        </w:r>
      </w:fldSimple>
      <w:r w:rsidR="009E0CB0">
        <w:tab/>
      </w:r>
      <w:r w:rsidR="00906AA9">
        <w:t>I</w:t>
      </w:r>
      <w:r w:rsidR="005A2105">
        <w:t>ndustry c</w:t>
      </w:r>
      <w:r w:rsidR="00F94B77">
        <w:t>ontributions to growth in factor incomes</w:t>
      </w:r>
    </w:p>
    <w:p w:rsidR="00183158" w:rsidRDefault="00B73515" w:rsidP="005E1184">
      <w:pPr>
        <w:pStyle w:val="BodyText"/>
      </w:pPr>
      <w:r>
        <w:t>Th</w:t>
      </w:r>
      <w:r w:rsidR="00183158">
        <w:t xml:space="preserve">is section looks at industry contributions to the fall in the </w:t>
      </w:r>
      <w:proofErr w:type="spellStart"/>
      <w:r w:rsidR="00F55387">
        <w:t>LIS</w:t>
      </w:r>
      <w:proofErr w:type="spellEnd"/>
      <w:r w:rsidR="00183158">
        <w:t xml:space="preserve"> in terms of </w:t>
      </w:r>
      <w:r w:rsidR="007A7862">
        <w:t xml:space="preserve">disparities </w:t>
      </w:r>
      <w:r w:rsidR="00183158">
        <w:t xml:space="preserve">in </w:t>
      </w:r>
      <w:r w:rsidR="007A7862">
        <w:t>individual</w:t>
      </w:r>
      <w:r w:rsidR="00183158">
        <w:t xml:space="preserve"> industry</w:t>
      </w:r>
      <w:r w:rsidR="007A7862">
        <w:t>’s</w:t>
      </w:r>
      <w:r w:rsidR="00183158">
        <w:t xml:space="preserve"> contributions to labour income growth and to capital income growth. </w:t>
      </w:r>
    </w:p>
    <w:p w:rsidR="00B73515" w:rsidRDefault="00B73515" w:rsidP="00906AA9">
      <w:pPr>
        <w:pStyle w:val="Heading3"/>
      </w:pPr>
      <w:r>
        <w:t xml:space="preserve">Industry contributions to the </w:t>
      </w:r>
      <w:proofErr w:type="spellStart"/>
      <w:r w:rsidR="003B5394">
        <w:t>2000s</w:t>
      </w:r>
      <w:proofErr w:type="spellEnd"/>
      <w:r w:rsidR="003B5394">
        <w:t xml:space="preserve"> growth in factor incomes</w:t>
      </w:r>
    </w:p>
    <w:p w:rsidR="00183158" w:rsidRDefault="00906AA9" w:rsidP="00183158">
      <w:pPr>
        <w:pStyle w:val="BodyText"/>
      </w:pPr>
      <w:r>
        <w:t xml:space="preserve">The fall in the </w:t>
      </w:r>
      <w:proofErr w:type="spellStart"/>
      <w:r w:rsidR="00F55387">
        <w:t>LIS</w:t>
      </w:r>
      <w:proofErr w:type="spellEnd"/>
      <w:r>
        <w:t xml:space="preserve"> came about as a divergence between growth in </w:t>
      </w:r>
      <w:r w:rsidR="00F97CB6">
        <w:t>market sector</w:t>
      </w:r>
      <w:r>
        <w:t xml:space="preserve"> capital income and growth in </w:t>
      </w:r>
      <w:r w:rsidR="00F97CB6">
        <w:t>market sector</w:t>
      </w:r>
      <w:r>
        <w:t xml:space="preserve"> labour income</w:t>
      </w:r>
      <w:r w:rsidR="00183158">
        <w:t xml:space="preserve"> (section</w:t>
      </w:r>
      <w:r w:rsidR="007A7862">
        <w:t> </w:t>
      </w:r>
      <w:r w:rsidR="00183158">
        <w:t>4.2 in the previous chapter).</w:t>
      </w:r>
    </w:p>
    <w:p w:rsidR="005E5264" w:rsidRDefault="005E5264">
      <w:pPr>
        <w:rPr>
          <w:szCs w:val="20"/>
        </w:rPr>
      </w:pPr>
      <w:r>
        <w:br w:type="page"/>
      </w:r>
    </w:p>
    <w:p w:rsidR="00183158" w:rsidRDefault="00183158" w:rsidP="00183158">
      <w:pPr>
        <w:pStyle w:val="BodyText"/>
      </w:pPr>
      <w:r>
        <w:lastRenderedPageBreak/>
        <w:t xml:space="preserve">As an extension, industry contributions to the fall in the aggregate </w:t>
      </w:r>
      <w:proofErr w:type="spellStart"/>
      <w:r>
        <w:t>LIS</w:t>
      </w:r>
      <w:proofErr w:type="spellEnd"/>
      <w:r>
        <w:t xml:space="preserve"> can be viewed as the difference between:</w:t>
      </w:r>
    </w:p>
    <w:p w:rsidR="00BD0F4F" w:rsidRDefault="00183158" w:rsidP="00183158">
      <w:pPr>
        <w:pStyle w:val="ListBullet"/>
      </w:pPr>
      <w:r>
        <w:t xml:space="preserve">industry contributions to growth </w:t>
      </w:r>
      <w:r w:rsidR="00F55387">
        <w:t>in market sector capital income</w:t>
      </w:r>
    </w:p>
    <w:p w:rsidR="00183158" w:rsidRDefault="00BD0F4F" w:rsidP="006F255C">
      <w:pPr>
        <w:pStyle w:val="ListBullet2"/>
      </w:pPr>
      <w:r>
        <w:t>growth in industries’</w:t>
      </w:r>
      <w:r w:rsidR="00D5481A">
        <w:t xml:space="preserve"> </w:t>
      </w:r>
      <w:r>
        <w:t>capital income weighted by the industries’ share i</w:t>
      </w:r>
      <w:r w:rsidR="00F55387">
        <w:t xml:space="preserve">n </w:t>
      </w:r>
      <w:r w:rsidR="00F97CB6">
        <w:t>market sector</w:t>
      </w:r>
      <w:r w:rsidR="00F55387">
        <w:t xml:space="preserve"> capital income</w:t>
      </w:r>
    </w:p>
    <w:p w:rsidR="00BD0F4F" w:rsidRDefault="00183158" w:rsidP="00183158">
      <w:pPr>
        <w:pStyle w:val="ListBullet"/>
      </w:pPr>
      <w:r>
        <w:t>industry contributions to growth in market sector labour income</w:t>
      </w:r>
    </w:p>
    <w:p w:rsidR="00183158" w:rsidRDefault="00BD0F4F" w:rsidP="00D5481A">
      <w:pPr>
        <w:pStyle w:val="ListBullet2"/>
      </w:pPr>
      <w:r>
        <w:t>growth in industries’ labour income, weighted by the industries’ share in market sector labour income</w:t>
      </w:r>
      <w:r w:rsidR="00183158">
        <w:t>.</w:t>
      </w:r>
    </w:p>
    <w:p w:rsidR="00906AA9" w:rsidRDefault="00906AA9" w:rsidP="00906AA9">
      <w:pPr>
        <w:pStyle w:val="BodyText"/>
      </w:pPr>
      <w:r>
        <w:t xml:space="preserve">Industry contributions to growth in labour and capital income and </w:t>
      </w:r>
      <w:r w:rsidR="00183158">
        <w:t xml:space="preserve">the </w:t>
      </w:r>
      <w:r w:rsidR="007A7862">
        <w:t>difference between them</w:t>
      </w:r>
      <w:r>
        <w:t xml:space="preserve"> are shown in figure 5.</w:t>
      </w:r>
      <w:r w:rsidR="00025E68">
        <w:t>2</w:t>
      </w:r>
      <w:r>
        <w:t xml:space="preserve"> and table 5.5. </w:t>
      </w:r>
    </w:p>
    <w:p w:rsidR="00906AA9" w:rsidRDefault="00906AA9" w:rsidP="00906AA9">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5E5264">
        <w:rPr>
          <w:b w:val="0"/>
        </w:rPr>
        <w:t>5.</w:t>
      </w:r>
      <w:r>
        <w:rPr>
          <w:b w:val="0"/>
        </w:rPr>
        <w:fldChar w:fldCharType="end"/>
      </w:r>
      <w:r>
        <w:rPr>
          <w:b w:val="0"/>
        </w:rPr>
        <w:fldChar w:fldCharType="begin"/>
      </w:r>
      <w:r>
        <w:rPr>
          <w:b w:val="0"/>
        </w:rPr>
        <w:instrText xml:space="preserve"> SEQ Figure \* ARABIC </w:instrText>
      </w:r>
      <w:r>
        <w:rPr>
          <w:b w:val="0"/>
        </w:rPr>
        <w:fldChar w:fldCharType="separate"/>
      </w:r>
      <w:r w:rsidR="00F92682">
        <w:rPr>
          <w:b w:val="0"/>
          <w:noProof/>
        </w:rPr>
        <w:t>2</w:t>
      </w:r>
      <w:r>
        <w:rPr>
          <w:b w:val="0"/>
        </w:rPr>
        <w:fldChar w:fldCharType="end"/>
      </w:r>
      <w:r>
        <w:tab/>
        <w:t>Industry contributions to growth in labour income</w:t>
      </w:r>
      <w:r w:rsidR="003C0A94">
        <w:t>,</w:t>
      </w:r>
      <w:r>
        <w:t xml:space="preserve"> </w:t>
      </w:r>
      <w:r w:rsidR="003C0A94">
        <w:t xml:space="preserve">growth in </w:t>
      </w:r>
      <w:r>
        <w:t xml:space="preserve">capital income and to </w:t>
      </w:r>
      <w:r w:rsidR="003C0A94">
        <w:t>the difference between them</w:t>
      </w:r>
    </w:p>
    <w:p w:rsidR="00906AA9" w:rsidRDefault="00906AA9" w:rsidP="00906AA9">
      <w:pPr>
        <w:pStyle w:val="Subtitle"/>
      </w:pPr>
      <w:r>
        <w:t>percentage points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06AA9" w:rsidTr="00D54438">
        <w:tc>
          <w:tcPr>
            <w:tcW w:w="8777" w:type="dxa"/>
          </w:tcPr>
          <w:p w:rsidR="00906AA9" w:rsidRDefault="00B23FF2" w:rsidP="00906AA9">
            <w:pPr>
              <w:pStyle w:val="Figure"/>
            </w:pPr>
            <w:r>
              <w:rPr>
                <w:noProof/>
              </w:rPr>
              <w:drawing>
                <wp:inline distT="0" distB="0" distL="0" distR="0" wp14:anchorId="3ACBF06A" wp14:editId="3CD2D2DF">
                  <wp:extent cx="4572000" cy="2733675"/>
                  <wp:effectExtent l="0" t="0" r="0" b="9525"/>
                  <wp:docPr id="3" name="Picture 3" descr="Industry contributions to growth in labour income, growth in capital income and to the difference between them. This figure shows that the Mi8ning stands out as a contributor to the difference between market-sector growth in labour and capital income in the 2000s, because its contribution to growth in capital income was so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2733675"/>
                          </a:xfrm>
                          <a:prstGeom prst="rect">
                            <a:avLst/>
                          </a:prstGeom>
                          <a:noFill/>
                          <a:ln>
                            <a:noFill/>
                          </a:ln>
                        </pic:spPr>
                      </pic:pic>
                    </a:graphicData>
                  </a:graphic>
                </wp:inline>
              </w:drawing>
            </w:r>
          </w:p>
        </w:tc>
      </w:tr>
    </w:tbl>
    <w:p w:rsidR="00906AA9" w:rsidRDefault="00906AA9" w:rsidP="00906AA9">
      <w:pPr>
        <w:pStyle w:val="Source"/>
      </w:pPr>
      <w:r>
        <w:rPr>
          <w:i/>
        </w:rPr>
        <w:t>Source</w:t>
      </w:r>
      <w:r w:rsidRPr="00167F06">
        <w:t>:</w:t>
      </w:r>
      <w:r>
        <w:t xml:space="preserve"> Author’s estimates</w:t>
      </w:r>
      <w:r w:rsidRPr="00167F06">
        <w:t xml:space="preserve"> </w:t>
      </w:r>
      <w:r w:rsidR="00D5481A">
        <w:t xml:space="preserve">based on ABS </w:t>
      </w:r>
      <w:r w:rsidR="005E5264">
        <w:t>(</w:t>
      </w:r>
      <w:r w:rsidR="00F55387">
        <w:t>Cat. no.</w:t>
      </w:r>
      <w:r w:rsidR="00D5481A">
        <w:t xml:space="preserve"> 5260.0550.02</w:t>
      </w:r>
      <w:r w:rsidR="005E5264">
        <w:t>)</w:t>
      </w:r>
      <w:r w:rsidR="00D5481A">
        <w:t>.</w:t>
      </w:r>
    </w:p>
    <w:p w:rsidR="00954DE2" w:rsidRDefault="00954DE2">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5E5264">
        <w:rPr>
          <w:b w:val="0"/>
        </w:rPr>
        <w:t>5.</w:t>
      </w:r>
      <w:r>
        <w:rPr>
          <w:b w:val="0"/>
        </w:rPr>
        <w:fldChar w:fldCharType="end"/>
      </w:r>
      <w:r>
        <w:rPr>
          <w:b w:val="0"/>
        </w:rPr>
        <w:fldChar w:fldCharType="begin"/>
      </w:r>
      <w:r>
        <w:rPr>
          <w:b w:val="0"/>
        </w:rPr>
        <w:instrText xml:space="preserve"> SEQ Table \* ARABIC </w:instrText>
      </w:r>
      <w:r>
        <w:rPr>
          <w:b w:val="0"/>
        </w:rPr>
        <w:fldChar w:fldCharType="separate"/>
      </w:r>
      <w:r w:rsidR="00F92682">
        <w:rPr>
          <w:b w:val="0"/>
          <w:noProof/>
        </w:rPr>
        <w:t>5</w:t>
      </w:r>
      <w:r>
        <w:rPr>
          <w:b w:val="0"/>
        </w:rPr>
        <w:fldChar w:fldCharType="end"/>
      </w:r>
      <w:r>
        <w:tab/>
        <w:t xml:space="preserve">Industry contributions to the growth gap between labour income and capital income in the </w:t>
      </w:r>
      <w:proofErr w:type="spellStart"/>
      <w:r>
        <w:t>2000s</w:t>
      </w:r>
      <w:proofErr w:type="spellEnd"/>
      <w:r>
        <w:t xml:space="preserve"> decade</w:t>
      </w:r>
    </w:p>
    <w:p w:rsidR="00F55387" w:rsidRPr="00F55387" w:rsidRDefault="00F55387" w:rsidP="00F55387">
      <w:pPr>
        <w:pStyle w:val="Subtitle"/>
      </w:pPr>
      <w:r>
        <w:t>percentage points</w:t>
      </w:r>
    </w:p>
    <w:tbl>
      <w:tblPr>
        <w:tblW w:w="5000" w:type="pct"/>
        <w:tblCellMar>
          <w:left w:w="0" w:type="dxa"/>
          <w:right w:w="0" w:type="dxa"/>
        </w:tblCellMar>
        <w:tblLook w:val="0000" w:firstRow="0" w:lastRow="0" w:firstColumn="0" w:lastColumn="0" w:noHBand="0" w:noVBand="0"/>
      </w:tblPr>
      <w:tblGrid>
        <w:gridCol w:w="2300"/>
        <w:gridCol w:w="2296"/>
        <w:gridCol w:w="2296"/>
        <w:gridCol w:w="2293"/>
      </w:tblGrid>
      <w:tr w:rsidR="00954DE2" w:rsidRPr="00D92B19" w:rsidTr="00E900F6">
        <w:tc>
          <w:tcPr>
            <w:tcW w:w="1252" w:type="pct"/>
            <w:tcBorders>
              <w:top w:val="single" w:sz="6" w:space="0" w:color="auto"/>
              <w:bottom w:val="single" w:sz="6" w:space="0" w:color="auto"/>
            </w:tcBorders>
            <w:shd w:val="clear" w:color="auto" w:fill="auto"/>
          </w:tcPr>
          <w:p w:rsidR="00954DE2" w:rsidRPr="00D92B19" w:rsidRDefault="00954DE2" w:rsidP="00D92B19">
            <w:pPr>
              <w:pStyle w:val="TableColumnHeading"/>
              <w:jc w:val="left"/>
            </w:pPr>
          </w:p>
        </w:tc>
        <w:tc>
          <w:tcPr>
            <w:tcW w:w="1250" w:type="pct"/>
            <w:tcBorders>
              <w:top w:val="single" w:sz="6" w:space="0" w:color="auto"/>
              <w:bottom w:val="single" w:sz="6" w:space="0" w:color="auto"/>
            </w:tcBorders>
            <w:vAlign w:val="bottom"/>
          </w:tcPr>
          <w:p w:rsidR="00954DE2" w:rsidRPr="00D92B19" w:rsidRDefault="00954DE2" w:rsidP="00D92B19">
            <w:pPr>
              <w:pStyle w:val="TableColumnHeading"/>
            </w:pPr>
            <w:r w:rsidRPr="00D92B19">
              <w:t>Labour income</w:t>
            </w:r>
          </w:p>
        </w:tc>
        <w:tc>
          <w:tcPr>
            <w:tcW w:w="1250" w:type="pct"/>
            <w:tcBorders>
              <w:top w:val="single" w:sz="6" w:space="0" w:color="auto"/>
              <w:bottom w:val="single" w:sz="6" w:space="0" w:color="auto"/>
            </w:tcBorders>
            <w:shd w:val="clear" w:color="auto" w:fill="auto"/>
            <w:vAlign w:val="bottom"/>
          </w:tcPr>
          <w:p w:rsidR="00954DE2" w:rsidRPr="00D92B19" w:rsidRDefault="00954DE2" w:rsidP="00D92B19">
            <w:pPr>
              <w:pStyle w:val="TableColumnHeading"/>
            </w:pPr>
            <w:r w:rsidRPr="00D92B19">
              <w:t>Capital income</w:t>
            </w:r>
          </w:p>
        </w:tc>
        <w:tc>
          <w:tcPr>
            <w:tcW w:w="1248" w:type="pct"/>
            <w:tcBorders>
              <w:top w:val="single" w:sz="6" w:space="0" w:color="auto"/>
              <w:bottom w:val="single" w:sz="6" w:space="0" w:color="auto"/>
            </w:tcBorders>
            <w:shd w:val="clear" w:color="auto" w:fill="auto"/>
            <w:vAlign w:val="bottom"/>
          </w:tcPr>
          <w:p w:rsidR="00954DE2" w:rsidRPr="00D92B19" w:rsidRDefault="00954DE2" w:rsidP="00D92B19">
            <w:pPr>
              <w:pStyle w:val="TableColumnHeading"/>
            </w:pPr>
            <w:r w:rsidRPr="00D92B19">
              <w:t>difference</w:t>
            </w:r>
          </w:p>
        </w:tc>
      </w:tr>
      <w:tr w:rsidR="00954DE2" w:rsidTr="00954DE2">
        <w:tc>
          <w:tcPr>
            <w:tcW w:w="1252" w:type="pct"/>
            <w:vAlign w:val="bottom"/>
          </w:tcPr>
          <w:p w:rsidR="00954DE2" w:rsidRPr="00B41AB7" w:rsidRDefault="00954DE2" w:rsidP="00D92B19">
            <w:pPr>
              <w:pStyle w:val="TableBodyText"/>
              <w:spacing w:before="120"/>
              <w:jc w:val="left"/>
            </w:pPr>
            <w:r w:rsidRPr="00B41AB7">
              <w:t>Agriculture</w:t>
            </w:r>
          </w:p>
        </w:tc>
        <w:tc>
          <w:tcPr>
            <w:tcW w:w="1250" w:type="pct"/>
            <w:vAlign w:val="bottom"/>
          </w:tcPr>
          <w:p w:rsidR="00954DE2" w:rsidRPr="00B41AB7" w:rsidRDefault="00954DE2" w:rsidP="00D92B19">
            <w:pPr>
              <w:pStyle w:val="TableBodyText"/>
              <w:spacing w:before="120"/>
            </w:pPr>
            <w:r w:rsidRPr="00B41AB7">
              <w:t>0.04</w:t>
            </w:r>
          </w:p>
        </w:tc>
        <w:tc>
          <w:tcPr>
            <w:tcW w:w="1250" w:type="pct"/>
            <w:vAlign w:val="bottom"/>
          </w:tcPr>
          <w:p w:rsidR="00954DE2" w:rsidRPr="00B41AB7" w:rsidRDefault="00954DE2" w:rsidP="00D92B19">
            <w:pPr>
              <w:pStyle w:val="TableBodyText"/>
              <w:spacing w:before="120"/>
            </w:pPr>
            <w:r w:rsidRPr="00B41AB7">
              <w:t>0.31</w:t>
            </w:r>
          </w:p>
        </w:tc>
        <w:tc>
          <w:tcPr>
            <w:tcW w:w="1248" w:type="pct"/>
            <w:vAlign w:val="bottom"/>
          </w:tcPr>
          <w:p w:rsidR="00954DE2" w:rsidRPr="00B41AB7" w:rsidRDefault="00954DE2" w:rsidP="00D92B19">
            <w:pPr>
              <w:pStyle w:val="TableBodyText"/>
              <w:spacing w:before="120"/>
            </w:pPr>
            <w:r w:rsidRPr="00B41AB7">
              <w:t>-0.27</w:t>
            </w:r>
          </w:p>
        </w:tc>
      </w:tr>
      <w:tr w:rsidR="00954DE2" w:rsidTr="00954DE2">
        <w:tc>
          <w:tcPr>
            <w:tcW w:w="1252" w:type="pct"/>
            <w:vAlign w:val="bottom"/>
          </w:tcPr>
          <w:p w:rsidR="00954DE2" w:rsidRPr="00B41AB7" w:rsidRDefault="00954DE2" w:rsidP="00D92B19">
            <w:pPr>
              <w:pStyle w:val="TableBodyText"/>
              <w:jc w:val="left"/>
            </w:pPr>
            <w:r w:rsidRPr="00B41AB7">
              <w:t>Mining</w:t>
            </w:r>
          </w:p>
        </w:tc>
        <w:tc>
          <w:tcPr>
            <w:tcW w:w="1250" w:type="pct"/>
            <w:vAlign w:val="bottom"/>
          </w:tcPr>
          <w:p w:rsidR="00954DE2" w:rsidRPr="00B41AB7" w:rsidRDefault="00954DE2" w:rsidP="00D92B19">
            <w:pPr>
              <w:pStyle w:val="TableBodyText"/>
            </w:pPr>
            <w:r w:rsidRPr="00B41AB7">
              <w:t>0.35</w:t>
            </w:r>
          </w:p>
        </w:tc>
        <w:tc>
          <w:tcPr>
            <w:tcW w:w="1250" w:type="pct"/>
            <w:vAlign w:val="bottom"/>
          </w:tcPr>
          <w:p w:rsidR="00954DE2" w:rsidRPr="00B41AB7" w:rsidRDefault="00954DE2" w:rsidP="00D92B19">
            <w:pPr>
              <w:pStyle w:val="TableBodyText"/>
            </w:pPr>
            <w:r w:rsidRPr="00B41AB7">
              <w:t>2.11</w:t>
            </w:r>
          </w:p>
        </w:tc>
        <w:tc>
          <w:tcPr>
            <w:tcW w:w="1248" w:type="pct"/>
            <w:vAlign w:val="bottom"/>
          </w:tcPr>
          <w:p w:rsidR="00954DE2" w:rsidRPr="00B41AB7" w:rsidRDefault="00954DE2" w:rsidP="00D92B19">
            <w:pPr>
              <w:pStyle w:val="TableBodyText"/>
            </w:pPr>
            <w:r w:rsidRPr="00B41AB7">
              <w:t>-1.76</w:t>
            </w:r>
          </w:p>
        </w:tc>
      </w:tr>
      <w:tr w:rsidR="00954DE2" w:rsidTr="00954DE2">
        <w:tc>
          <w:tcPr>
            <w:tcW w:w="1252" w:type="pct"/>
            <w:vAlign w:val="bottom"/>
          </w:tcPr>
          <w:p w:rsidR="00954DE2" w:rsidRPr="00B41AB7" w:rsidRDefault="00954DE2" w:rsidP="00D92B19">
            <w:pPr>
              <w:pStyle w:val="TableBodyText"/>
              <w:jc w:val="left"/>
            </w:pPr>
            <w:r w:rsidRPr="00B41AB7">
              <w:t>Manufacturing</w:t>
            </w:r>
          </w:p>
        </w:tc>
        <w:tc>
          <w:tcPr>
            <w:tcW w:w="1250" w:type="pct"/>
            <w:vAlign w:val="bottom"/>
          </w:tcPr>
          <w:p w:rsidR="00954DE2" w:rsidRPr="00B41AB7" w:rsidRDefault="00954DE2" w:rsidP="00D92B19">
            <w:pPr>
              <w:pStyle w:val="TableBodyText"/>
            </w:pPr>
            <w:r w:rsidRPr="00B41AB7">
              <w:t>0.63</w:t>
            </w:r>
          </w:p>
        </w:tc>
        <w:tc>
          <w:tcPr>
            <w:tcW w:w="1250" w:type="pct"/>
            <w:vAlign w:val="bottom"/>
          </w:tcPr>
          <w:p w:rsidR="00954DE2" w:rsidRPr="00B41AB7" w:rsidRDefault="00954DE2" w:rsidP="00D92B19">
            <w:pPr>
              <w:pStyle w:val="TableBodyText"/>
            </w:pPr>
            <w:r w:rsidRPr="00B41AB7">
              <w:t>0.48</w:t>
            </w:r>
          </w:p>
        </w:tc>
        <w:tc>
          <w:tcPr>
            <w:tcW w:w="1248" w:type="pct"/>
            <w:vAlign w:val="bottom"/>
          </w:tcPr>
          <w:p w:rsidR="00954DE2" w:rsidRPr="00B41AB7" w:rsidRDefault="00954DE2" w:rsidP="00D92B19">
            <w:pPr>
              <w:pStyle w:val="TableBodyText"/>
            </w:pPr>
            <w:r w:rsidRPr="00B41AB7">
              <w:t>0.16</w:t>
            </w:r>
          </w:p>
        </w:tc>
      </w:tr>
      <w:tr w:rsidR="00954DE2" w:rsidTr="00954DE2">
        <w:tc>
          <w:tcPr>
            <w:tcW w:w="1252" w:type="pct"/>
            <w:vAlign w:val="bottom"/>
          </w:tcPr>
          <w:p w:rsidR="00954DE2" w:rsidRPr="00B41AB7" w:rsidRDefault="007C4865" w:rsidP="00D92B19">
            <w:pPr>
              <w:pStyle w:val="TableBodyText"/>
              <w:jc w:val="left"/>
            </w:pPr>
            <w:r>
              <w:t>Utilities</w:t>
            </w:r>
          </w:p>
        </w:tc>
        <w:tc>
          <w:tcPr>
            <w:tcW w:w="1250" w:type="pct"/>
            <w:vAlign w:val="bottom"/>
          </w:tcPr>
          <w:p w:rsidR="00954DE2" w:rsidRPr="00B41AB7" w:rsidRDefault="00954DE2" w:rsidP="00D92B19">
            <w:pPr>
              <w:pStyle w:val="TableBodyText"/>
            </w:pPr>
            <w:r w:rsidRPr="00B41AB7">
              <w:t>0.17</w:t>
            </w:r>
          </w:p>
        </w:tc>
        <w:tc>
          <w:tcPr>
            <w:tcW w:w="1250" w:type="pct"/>
            <w:vAlign w:val="bottom"/>
          </w:tcPr>
          <w:p w:rsidR="00954DE2" w:rsidRPr="00B41AB7" w:rsidRDefault="00954DE2" w:rsidP="00D92B19">
            <w:pPr>
              <w:pStyle w:val="TableBodyText"/>
            </w:pPr>
            <w:r w:rsidRPr="00B41AB7">
              <w:t>0.31</w:t>
            </w:r>
          </w:p>
        </w:tc>
        <w:tc>
          <w:tcPr>
            <w:tcW w:w="1248" w:type="pct"/>
            <w:vAlign w:val="bottom"/>
          </w:tcPr>
          <w:p w:rsidR="00954DE2" w:rsidRPr="00B41AB7" w:rsidRDefault="00954DE2" w:rsidP="00D92B19">
            <w:pPr>
              <w:pStyle w:val="TableBodyText"/>
            </w:pPr>
            <w:r w:rsidRPr="00B41AB7">
              <w:t>-0.14</w:t>
            </w:r>
          </w:p>
        </w:tc>
      </w:tr>
      <w:tr w:rsidR="00954DE2" w:rsidTr="00954DE2">
        <w:tc>
          <w:tcPr>
            <w:tcW w:w="1252" w:type="pct"/>
            <w:vAlign w:val="bottom"/>
          </w:tcPr>
          <w:p w:rsidR="00954DE2" w:rsidRPr="00B41AB7" w:rsidRDefault="00954DE2" w:rsidP="00D92B19">
            <w:pPr>
              <w:pStyle w:val="TableBodyText"/>
              <w:jc w:val="left"/>
            </w:pPr>
            <w:r w:rsidRPr="00B41AB7">
              <w:t>Construction</w:t>
            </w:r>
          </w:p>
        </w:tc>
        <w:tc>
          <w:tcPr>
            <w:tcW w:w="1250" w:type="pct"/>
            <w:vAlign w:val="bottom"/>
          </w:tcPr>
          <w:p w:rsidR="00954DE2" w:rsidRPr="00B41AB7" w:rsidRDefault="00954DE2" w:rsidP="00D92B19">
            <w:pPr>
              <w:pStyle w:val="TableBodyText"/>
            </w:pPr>
            <w:r w:rsidRPr="00B41AB7">
              <w:t>1.07</w:t>
            </w:r>
          </w:p>
        </w:tc>
        <w:tc>
          <w:tcPr>
            <w:tcW w:w="1250" w:type="pct"/>
            <w:vAlign w:val="bottom"/>
          </w:tcPr>
          <w:p w:rsidR="00954DE2" w:rsidRPr="00B41AB7" w:rsidRDefault="00954DE2" w:rsidP="00D92B19">
            <w:pPr>
              <w:pStyle w:val="TableBodyText"/>
            </w:pPr>
            <w:r w:rsidRPr="00B41AB7">
              <w:t>0.65</w:t>
            </w:r>
          </w:p>
        </w:tc>
        <w:tc>
          <w:tcPr>
            <w:tcW w:w="1248" w:type="pct"/>
            <w:vAlign w:val="bottom"/>
          </w:tcPr>
          <w:p w:rsidR="00954DE2" w:rsidRPr="00B41AB7" w:rsidRDefault="00954DE2" w:rsidP="00D92B19">
            <w:pPr>
              <w:pStyle w:val="TableBodyText"/>
            </w:pPr>
            <w:r w:rsidRPr="00B41AB7">
              <w:t>0.42</w:t>
            </w:r>
          </w:p>
        </w:tc>
      </w:tr>
      <w:tr w:rsidR="00954DE2" w:rsidTr="00954DE2">
        <w:tc>
          <w:tcPr>
            <w:tcW w:w="1252" w:type="pct"/>
            <w:vAlign w:val="bottom"/>
          </w:tcPr>
          <w:p w:rsidR="00954DE2" w:rsidRPr="00B41AB7" w:rsidRDefault="00954DE2" w:rsidP="00D92B19">
            <w:pPr>
              <w:pStyle w:val="TableBodyText"/>
              <w:jc w:val="left"/>
            </w:pPr>
            <w:r w:rsidRPr="00B41AB7">
              <w:t>Wholesale</w:t>
            </w:r>
          </w:p>
        </w:tc>
        <w:tc>
          <w:tcPr>
            <w:tcW w:w="1250" w:type="pct"/>
            <w:vAlign w:val="bottom"/>
          </w:tcPr>
          <w:p w:rsidR="00954DE2" w:rsidRPr="00B41AB7" w:rsidRDefault="00954DE2" w:rsidP="00D92B19">
            <w:pPr>
              <w:pStyle w:val="TableBodyText"/>
            </w:pPr>
            <w:r w:rsidRPr="00B41AB7">
              <w:t>0.48</w:t>
            </w:r>
          </w:p>
        </w:tc>
        <w:tc>
          <w:tcPr>
            <w:tcW w:w="1250" w:type="pct"/>
            <w:vAlign w:val="bottom"/>
          </w:tcPr>
          <w:p w:rsidR="00954DE2" w:rsidRPr="00B41AB7" w:rsidRDefault="00954DE2" w:rsidP="00D92B19">
            <w:pPr>
              <w:pStyle w:val="TableBodyText"/>
            </w:pPr>
            <w:r w:rsidRPr="00B41AB7">
              <w:t>0.37</w:t>
            </w:r>
          </w:p>
        </w:tc>
        <w:tc>
          <w:tcPr>
            <w:tcW w:w="1248" w:type="pct"/>
            <w:vAlign w:val="bottom"/>
          </w:tcPr>
          <w:p w:rsidR="00954DE2" w:rsidRPr="00B41AB7" w:rsidRDefault="00954DE2" w:rsidP="00D92B19">
            <w:pPr>
              <w:pStyle w:val="TableBodyText"/>
            </w:pPr>
            <w:r w:rsidRPr="00B41AB7">
              <w:t>0.11</w:t>
            </w:r>
          </w:p>
        </w:tc>
      </w:tr>
      <w:tr w:rsidR="00954DE2" w:rsidTr="00954DE2">
        <w:tc>
          <w:tcPr>
            <w:tcW w:w="1252" w:type="pct"/>
            <w:vAlign w:val="bottom"/>
          </w:tcPr>
          <w:p w:rsidR="00954DE2" w:rsidRPr="00B41AB7" w:rsidRDefault="00954DE2" w:rsidP="00D92B19">
            <w:pPr>
              <w:pStyle w:val="TableBodyText"/>
              <w:jc w:val="left"/>
            </w:pPr>
            <w:r w:rsidRPr="00B41AB7">
              <w:t>Retail</w:t>
            </w:r>
          </w:p>
        </w:tc>
        <w:tc>
          <w:tcPr>
            <w:tcW w:w="1250" w:type="pct"/>
            <w:vAlign w:val="bottom"/>
          </w:tcPr>
          <w:p w:rsidR="00954DE2" w:rsidRPr="00B41AB7" w:rsidRDefault="00954DE2" w:rsidP="00D92B19">
            <w:pPr>
              <w:pStyle w:val="TableBodyText"/>
            </w:pPr>
            <w:r w:rsidRPr="00B41AB7">
              <w:t>0.51</w:t>
            </w:r>
          </w:p>
        </w:tc>
        <w:tc>
          <w:tcPr>
            <w:tcW w:w="1250" w:type="pct"/>
            <w:vAlign w:val="bottom"/>
          </w:tcPr>
          <w:p w:rsidR="00954DE2" w:rsidRPr="00B41AB7" w:rsidRDefault="00954DE2" w:rsidP="00D92B19">
            <w:pPr>
              <w:pStyle w:val="TableBodyText"/>
            </w:pPr>
            <w:r w:rsidRPr="00B41AB7">
              <w:t>0.37</w:t>
            </w:r>
          </w:p>
        </w:tc>
        <w:tc>
          <w:tcPr>
            <w:tcW w:w="1248" w:type="pct"/>
            <w:vAlign w:val="bottom"/>
          </w:tcPr>
          <w:p w:rsidR="00954DE2" w:rsidRPr="00B41AB7" w:rsidRDefault="00954DE2" w:rsidP="00D92B19">
            <w:pPr>
              <w:pStyle w:val="TableBodyText"/>
            </w:pPr>
            <w:r w:rsidRPr="00B41AB7">
              <w:t>0.14</w:t>
            </w:r>
          </w:p>
        </w:tc>
      </w:tr>
      <w:tr w:rsidR="00954DE2" w:rsidTr="00954DE2">
        <w:tc>
          <w:tcPr>
            <w:tcW w:w="1252" w:type="pct"/>
            <w:vAlign w:val="bottom"/>
          </w:tcPr>
          <w:p w:rsidR="00954DE2" w:rsidRPr="00B41AB7" w:rsidRDefault="00954DE2" w:rsidP="00D92B19">
            <w:pPr>
              <w:pStyle w:val="TableBodyText"/>
              <w:jc w:val="left"/>
            </w:pPr>
            <w:r w:rsidRPr="00B41AB7">
              <w:t>Accommodation</w:t>
            </w:r>
          </w:p>
        </w:tc>
        <w:tc>
          <w:tcPr>
            <w:tcW w:w="1250" w:type="pct"/>
            <w:vAlign w:val="bottom"/>
          </w:tcPr>
          <w:p w:rsidR="00954DE2" w:rsidRPr="00B41AB7" w:rsidRDefault="00954DE2" w:rsidP="00D92B19">
            <w:pPr>
              <w:pStyle w:val="TableBodyText"/>
            </w:pPr>
            <w:r w:rsidRPr="00B41AB7">
              <w:t>0.25</w:t>
            </w:r>
          </w:p>
        </w:tc>
        <w:tc>
          <w:tcPr>
            <w:tcW w:w="1250" w:type="pct"/>
            <w:vAlign w:val="bottom"/>
          </w:tcPr>
          <w:p w:rsidR="00954DE2" w:rsidRPr="00B41AB7" w:rsidRDefault="00954DE2" w:rsidP="00D92B19">
            <w:pPr>
              <w:pStyle w:val="TableBodyText"/>
            </w:pPr>
            <w:r w:rsidRPr="00B41AB7">
              <w:t>0.17</w:t>
            </w:r>
          </w:p>
        </w:tc>
        <w:tc>
          <w:tcPr>
            <w:tcW w:w="1248" w:type="pct"/>
            <w:vAlign w:val="bottom"/>
          </w:tcPr>
          <w:p w:rsidR="00954DE2" w:rsidRPr="00B41AB7" w:rsidRDefault="00954DE2" w:rsidP="00D92B19">
            <w:pPr>
              <w:pStyle w:val="TableBodyText"/>
            </w:pPr>
            <w:r w:rsidRPr="00B41AB7">
              <w:t>0.08</w:t>
            </w:r>
          </w:p>
        </w:tc>
      </w:tr>
      <w:tr w:rsidR="00954DE2" w:rsidTr="00954DE2">
        <w:tc>
          <w:tcPr>
            <w:tcW w:w="1252" w:type="pct"/>
            <w:vAlign w:val="bottom"/>
          </w:tcPr>
          <w:p w:rsidR="00954DE2" w:rsidRPr="00B41AB7" w:rsidRDefault="00954DE2" w:rsidP="00D92B19">
            <w:pPr>
              <w:pStyle w:val="TableBodyText"/>
              <w:jc w:val="left"/>
            </w:pPr>
            <w:r w:rsidRPr="00B41AB7">
              <w:t>Transport</w:t>
            </w:r>
          </w:p>
        </w:tc>
        <w:tc>
          <w:tcPr>
            <w:tcW w:w="1250" w:type="pct"/>
            <w:vAlign w:val="bottom"/>
          </w:tcPr>
          <w:p w:rsidR="00954DE2" w:rsidRPr="00B41AB7" w:rsidRDefault="00954DE2" w:rsidP="00D92B19">
            <w:pPr>
              <w:pStyle w:val="TableBodyText"/>
            </w:pPr>
            <w:r w:rsidRPr="00B41AB7">
              <w:t>0.54</w:t>
            </w:r>
          </w:p>
        </w:tc>
        <w:tc>
          <w:tcPr>
            <w:tcW w:w="1250" w:type="pct"/>
            <w:vAlign w:val="bottom"/>
          </w:tcPr>
          <w:p w:rsidR="00954DE2" w:rsidRPr="00B41AB7" w:rsidRDefault="00954DE2" w:rsidP="00D92B19">
            <w:pPr>
              <w:pStyle w:val="TableBodyText"/>
            </w:pPr>
            <w:r w:rsidRPr="00B41AB7">
              <w:t>0.52</w:t>
            </w:r>
          </w:p>
        </w:tc>
        <w:tc>
          <w:tcPr>
            <w:tcW w:w="1248" w:type="pct"/>
            <w:vAlign w:val="bottom"/>
          </w:tcPr>
          <w:p w:rsidR="00954DE2" w:rsidRPr="00B41AB7" w:rsidRDefault="00954DE2" w:rsidP="00D92B19">
            <w:pPr>
              <w:pStyle w:val="TableBodyText"/>
            </w:pPr>
            <w:r w:rsidRPr="00B41AB7">
              <w:t>0.03</w:t>
            </w:r>
          </w:p>
        </w:tc>
      </w:tr>
      <w:tr w:rsidR="00954DE2" w:rsidTr="00954DE2">
        <w:tc>
          <w:tcPr>
            <w:tcW w:w="1252" w:type="pct"/>
            <w:vAlign w:val="bottom"/>
          </w:tcPr>
          <w:p w:rsidR="00954DE2" w:rsidRPr="00B41AB7" w:rsidRDefault="00954DE2" w:rsidP="00D92B19">
            <w:pPr>
              <w:pStyle w:val="TableBodyText"/>
              <w:jc w:val="left"/>
            </w:pPr>
            <w:r w:rsidRPr="00B41AB7">
              <w:t>Telecoms</w:t>
            </w:r>
          </w:p>
        </w:tc>
        <w:tc>
          <w:tcPr>
            <w:tcW w:w="1250" w:type="pct"/>
            <w:vAlign w:val="bottom"/>
          </w:tcPr>
          <w:p w:rsidR="00954DE2" w:rsidRPr="00B41AB7" w:rsidRDefault="00954DE2" w:rsidP="00D92B19">
            <w:pPr>
              <w:pStyle w:val="TableBodyText"/>
            </w:pPr>
            <w:r w:rsidRPr="00B41AB7">
              <w:t>0.13</w:t>
            </w:r>
          </w:p>
        </w:tc>
        <w:tc>
          <w:tcPr>
            <w:tcW w:w="1250" w:type="pct"/>
            <w:vAlign w:val="bottom"/>
          </w:tcPr>
          <w:p w:rsidR="00954DE2" w:rsidRPr="00B41AB7" w:rsidRDefault="00954DE2" w:rsidP="00D92B19">
            <w:pPr>
              <w:pStyle w:val="TableBodyText"/>
            </w:pPr>
            <w:r w:rsidRPr="00B41AB7">
              <w:t>0.47</w:t>
            </w:r>
          </w:p>
        </w:tc>
        <w:tc>
          <w:tcPr>
            <w:tcW w:w="1248" w:type="pct"/>
            <w:vAlign w:val="bottom"/>
          </w:tcPr>
          <w:p w:rsidR="00954DE2" w:rsidRPr="00B41AB7" w:rsidRDefault="00954DE2" w:rsidP="00D92B19">
            <w:pPr>
              <w:pStyle w:val="TableBodyText"/>
            </w:pPr>
            <w:r w:rsidRPr="00B41AB7">
              <w:t>-0.35</w:t>
            </w:r>
          </w:p>
        </w:tc>
      </w:tr>
      <w:tr w:rsidR="00954DE2" w:rsidTr="00954DE2">
        <w:tc>
          <w:tcPr>
            <w:tcW w:w="1252" w:type="pct"/>
            <w:shd w:val="clear" w:color="auto" w:fill="auto"/>
            <w:vAlign w:val="bottom"/>
          </w:tcPr>
          <w:p w:rsidR="00954DE2" w:rsidRPr="00B41AB7" w:rsidRDefault="00F55387" w:rsidP="00D92B19">
            <w:pPr>
              <w:pStyle w:val="TableBodyText"/>
              <w:jc w:val="left"/>
            </w:pPr>
            <w:r>
              <w:t>Finance</w:t>
            </w:r>
          </w:p>
        </w:tc>
        <w:tc>
          <w:tcPr>
            <w:tcW w:w="1250" w:type="pct"/>
            <w:vAlign w:val="bottom"/>
          </w:tcPr>
          <w:p w:rsidR="00954DE2" w:rsidRPr="00B41AB7" w:rsidRDefault="00954DE2" w:rsidP="00D92B19">
            <w:pPr>
              <w:pStyle w:val="TableBodyText"/>
            </w:pPr>
            <w:r w:rsidRPr="00B41AB7">
              <w:t>1.06</w:t>
            </w:r>
          </w:p>
        </w:tc>
        <w:tc>
          <w:tcPr>
            <w:tcW w:w="1250" w:type="pct"/>
            <w:shd w:val="clear" w:color="auto" w:fill="auto"/>
            <w:vAlign w:val="bottom"/>
          </w:tcPr>
          <w:p w:rsidR="00954DE2" w:rsidRPr="00B41AB7" w:rsidRDefault="00954DE2" w:rsidP="00D92B19">
            <w:pPr>
              <w:pStyle w:val="TableBodyText"/>
            </w:pPr>
            <w:r w:rsidRPr="00B41AB7">
              <w:t>1.25</w:t>
            </w:r>
          </w:p>
        </w:tc>
        <w:tc>
          <w:tcPr>
            <w:tcW w:w="1248" w:type="pct"/>
            <w:shd w:val="clear" w:color="auto" w:fill="auto"/>
            <w:vAlign w:val="bottom"/>
          </w:tcPr>
          <w:p w:rsidR="00954DE2" w:rsidRPr="00B41AB7" w:rsidRDefault="00954DE2" w:rsidP="00D92B19">
            <w:pPr>
              <w:pStyle w:val="TableBodyText"/>
            </w:pPr>
            <w:r w:rsidRPr="00B41AB7">
              <w:t>-0.19</w:t>
            </w:r>
          </w:p>
        </w:tc>
      </w:tr>
      <w:tr w:rsidR="00954DE2" w:rsidTr="00954DE2">
        <w:tc>
          <w:tcPr>
            <w:tcW w:w="1252" w:type="pct"/>
            <w:shd w:val="clear" w:color="auto" w:fill="auto"/>
            <w:vAlign w:val="bottom"/>
          </w:tcPr>
          <w:p w:rsidR="00954DE2" w:rsidRPr="00B41AB7" w:rsidRDefault="00954DE2" w:rsidP="00D92B19">
            <w:pPr>
              <w:pStyle w:val="TableBodyText"/>
              <w:jc w:val="left"/>
            </w:pPr>
            <w:r w:rsidRPr="00B41AB7">
              <w:t>Arts &amp; rec</w:t>
            </w:r>
          </w:p>
        </w:tc>
        <w:tc>
          <w:tcPr>
            <w:tcW w:w="1250" w:type="pct"/>
            <w:vAlign w:val="bottom"/>
          </w:tcPr>
          <w:p w:rsidR="00954DE2" w:rsidRPr="00B41AB7" w:rsidRDefault="00954DE2" w:rsidP="00D92B19">
            <w:pPr>
              <w:pStyle w:val="TableBodyText"/>
            </w:pPr>
            <w:r w:rsidRPr="00B41AB7">
              <w:t>0.60</w:t>
            </w:r>
          </w:p>
        </w:tc>
        <w:tc>
          <w:tcPr>
            <w:tcW w:w="1250" w:type="pct"/>
            <w:shd w:val="clear" w:color="auto" w:fill="auto"/>
            <w:vAlign w:val="bottom"/>
          </w:tcPr>
          <w:p w:rsidR="00954DE2" w:rsidRPr="00B41AB7" w:rsidRDefault="00954DE2" w:rsidP="00D92B19">
            <w:pPr>
              <w:pStyle w:val="TableBodyText"/>
            </w:pPr>
            <w:r w:rsidRPr="00B41AB7">
              <w:t>0.46</w:t>
            </w:r>
          </w:p>
        </w:tc>
        <w:tc>
          <w:tcPr>
            <w:tcW w:w="1248" w:type="pct"/>
            <w:shd w:val="clear" w:color="auto" w:fill="auto"/>
            <w:vAlign w:val="bottom"/>
          </w:tcPr>
          <w:p w:rsidR="00954DE2" w:rsidRPr="00B41AB7" w:rsidRDefault="00954DE2" w:rsidP="00D92B19">
            <w:pPr>
              <w:pStyle w:val="TableBodyText"/>
            </w:pPr>
            <w:r w:rsidRPr="00B41AB7">
              <w:t>0.14</w:t>
            </w:r>
          </w:p>
        </w:tc>
      </w:tr>
      <w:tr w:rsidR="00954DE2" w:rsidRPr="00954DE2" w:rsidTr="00954DE2">
        <w:tc>
          <w:tcPr>
            <w:tcW w:w="1252" w:type="pct"/>
            <w:tcBorders>
              <w:bottom w:val="single" w:sz="6" w:space="0" w:color="auto"/>
            </w:tcBorders>
            <w:shd w:val="clear" w:color="auto" w:fill="auto"/>
            <w:vAlign w:val="bottom"/>
          </w:tcPr>
          <w:p w:rsidR="00954DE2" w:rsidRPr="00954DE2" w:rsidRDefault="00954DE2" w:rsidP="00F55387">
            <w:pPr>
              <w:pStyle w:val="TableBodyText"/>
              <w:spacing w:before="120"/>
              <w:jc w:val="left"/>
            </w:pPr>
            <w:r w:rsidRPr="00954DE2">
              <w:t xml:space="preserve">Market sector </w:t>
            </w:r>
          </w:p>
        </w:tc>
        <w:tc>
          <w:tcPr>
            <w:tcW w:w="1250" w:type="pct"/>
            <w:tcBorders>
              <w:bottom w:val="single" w:sz="6" w:space="0" w:color="auto"/>
            </w:tcBorders>
            <w:vAlign w:val="bottom"/>
          </w:tcPr>
          <w:p w:rsidR="00954DE2" w:rsidRPr="00954DE2" w:rsidRDefault="00954DE2" w:rsidP="00F55387">
            <w:pPr>
              <w:pStyle w:val="TableBodyText"/>
              <w:spacing w:before="120"/>
            </w:pPr>
            <w:r w:rsidRPr="00954DE2">
              <w:t>5.8</w:t>
            </w:r>
          </w:p>
        </w:tc>
        <w:tc>
          <w:tcPr>
            <w:tcW w:w="1250" w:type="pct"/>
            <w:tcBorders>
              <w:bottom w:val="single" w:sz="6" w:space="0" w:color="auto"/>
            </w:tcBorders>
            <w:shd w:val="clear" w:color="auto" w:fill="auto"/>
            <w:vAlign w:val="bottom"/>
          </w:tcPr>
          <w:p w:rsidR="00954DE2" w:rsidRPr="00954DE2" w:rsidRDefault="00954DE2" w:rsidP="00F55387">
            <w:pPr>
              <w:pStyle w:val="TableBodyText"/>
              <w:spacing w:before="120"/>
            </w:pPr>
            <w:r w:rsidRPr="00954DE2">
              <w:t>7.5</w:t>
            </w:r>
          </w:p>
        </w:tc>
        <w:tc>
          <w:tcPr>
            <w:tcW w:w="1248" w:type="pct"/>
            <w:tcBorders>
              <w:bottom w:val="single" w:sz="6" w:space="0" w:color="auto"/>
            </w:tcBorders>
            <w:shd w:val="clear" w:color="auto" w:fill="auto"/>
            <w:vAlign w:val="bottom"/>
          </w:tcPr>
          <w:p w:rsidR="00954DE2" w:rsidRPr="00954DE2" w:rsidRDefault="00954DE2" w:rsidP="00F55387">
            <w:pPr>
              <w:pStyle w:val="TableBodyText"/>
              <w:spacing w:before="120"/>
            </w:pPr>
            <w:r w:rsidRPr="00954DE2">
              <w:t>-1.6</w:t>
            </w:r>
          </w:p>
        </w:tc>
      </w:tr>
    </w:tbl>
    <w:p w:rsidR="00D5481A" w:rsidRDefault="00F55387" w:rsidP="00D5481A">
      <w:pPr>
        <w:pStyle w:val="Source"/>
      </w:pPr>
      <w:r>
        <w:rPr>
          <w:i/>
        </w:rPr>
        <w:t>S</w:t>
      </w:r>
      <w:r w:rsidR="00D5481A">
        <w:rPr>
          <w:i/>
        </w:rPr>
        <w:t>ource</w:t>
      </w:r>
      <w:r w:rsidR="00D5481A" w:rsidRPr="00167F06">
        <w:t>:</w:t>
      </w:r>
      <w:r w:rsidR="00D5481A">
        <w:t xml:space="preserve"> Author’s estimates</w:t>
      </w:r>
      <w:r w:rsidR="00D5481A" w:rsidRPr="00167F06">
        <w:t xml:space="preserve"> </w:t>
      </w:r>
      <w:r w:rsidR="00D5481A">
        <w:t xml:space="preserve">based on ABS </w:t>
      </w:r>
      <w:r w:rsidR="005E5264">
        <w:t>(</w:t>
      </w:r>
      <w:r w:rsidR="00D5481A">
        <w:t>Cat</w:t>
      </w:r>
      <w:r>
        <w:t>.</w:t>
      </w:r>
      <w:r w:rsidR="00D5481A">
        <w:t xml:space="preserve"> </w:t>
      </w:r>
      <w:r>
        <w:t>n</w:t>
      </w:r>
      <w:r w:rsidR="00D5481A">
        <w:t>o</w:t>
      </w:r>
      <w:r>
        <w:t>.</w:t>
      </w:r>
      <w:r w:rsidR="00D5481A">
        <w:t xml:space="preserve"> 5260.0550.02</w:t>
      </w:r>
      <w:r w:rsidR="005E5264">
        <w:t>)</w:t>
      </w:r>
      <w:r w:rsidR="00D5481A">
        <w:t>.</w:t>
      </w:r>
    </w:p>
    <w:p w:rsidR="008C0F31" w:rsidRDefault="008C0F31" w:rsidP="008C0F31">
      <w:pPr>
        <w:pStyle w:val="Heading4"/>
      </w:pPr>
      <w:r w:rsidRPr="00CB5C57">
        <w:t xml:space="preserve">The Mining </w:t>
      </w:r>
      <w:r w:rsidR="00F97CB6">
        <w:t>sector</w:t>
      </w:r>
      <w:r w:rsidRPr="00CB5C57">
        <w:t xml:space="preserve"> stands out</w:t>
      </w:r>
    </w:p>
    <w:p w:rsidR="008C0F31" w:rsidRDefault="008C0F31" w:rsidP="008C0F31">
      <w:pPr>
        <w:pStyle w:val="BodyText"/>
      </w:pPr>
      <w:r>
        <w:t xml:space="preserve">From this point of view, Mining </w:t>
      </w:r>
      <w:r w:rsidR="007C4865">
        <w:t xml:space="preserve">more than </w:t>
      </w:r>
      <w:r>
        <w:t xml:space="preserve">accounted for all of the decline in the market sector </w:t>
      </w:r>
      <w:proofErr w:type="spellStart"/>
      <w:r>
        <w:t>LIS</w:t>
      </w:r>
      <w:proofErr w:type="spellEnd"/>
      <w:r>
        <w:t xml:space="preserve"> in the </w:t>
      </w:r>
      <w:proofErr w:type="spellStart"/>
      <w:r>
        <w:t>2000s</w:t>
      </w:r>
      <w:proofErr w:type="spellEnd"/>
      <w:r>
        <w:t xml:space="preserve">. There were other industry contributions that basically offset each other. But Mining accounted for a little more (-1.8 percentage points) than the </w:t>
      </w:r>
      <w:r w:rsidRPr="004A4FAB">
        <w:rPr>
          <w:i/>
        </w:rPr>
        <w:t>entire</w:t>
      </w:r>
      <w:r>
        <w:t xml:space="preserve"> excess of growth in capital income over growth in labour income at the</w:t>
      </w:r>
      <w:r w:rsidRPr="0098656C">
        <w:t xml:space="preserve"> </w:t>
      </w:r>
      <w:r w:rsidR="00F97CB6">
        <w:t>market sector</w:t>
      </w:r>
      <w:r>
        <w:t xml:space="preserve"> level.</w:t>
      </w:r>
    </w:p>
    <w:p w:rsidR="008C0F31" w:rsidRDefault="008C0F31" w:rsidP="008C0F31">
      <w:pPr>
        <w:pStyle w:val="BodyText"/>
      </w:pPr>
      <w:r>
        <w:t>The ‘second tier’ contributors to the income growth gap were Telecoms (</w:t>
      </w:r>
      <w:r>
        <w:noBreakHyphen/>
        <w:t xml:space="preserve">0.4 percentage points), Agriculture (-0.3 percentage points), Finance (-0.2 percentage points) and </w:t>
      </w:r>
      <w:r w:rsidR="00F55387">
        <w:t xml:space="preserve">Utilities </w:t>
      </w:r>
      <w:r>
        <w:t xml:space="preserve"> (-0.1 percentage points). Finance made strong contributions to both labour and capital income, but the difference between the two was relatively small and in favour of capital income.</w:t>
      </w:r>
    </w:p>
    <w:p w:rsidR="00A44039" w:rsidRDefault="00A44039" w:rsidP="00954DE2">
      <w:pPr>
        <w:pStyle w:val="BodyText"/>
      </w:pPr>
      <w:r>
        <w:t xml:space="preserve">It is of particular interest that Construction and Manufacturing worked in the direction of </w:t>
      </w:r>
      <w:r w:rsidRPr="0098656C">
        <w:rPr>
          <w:i/>
        </w:rPr>
        <w:t>increasing</w:t>
      </w:r>
      <w:r>
        <w:t xml:space="preserve"> the </w:t>
      </w:r>
      <w:r w:rsidR="00F97CB6">
        <w:t>market sector</w:t>
      </w:r>
      <w:r>
        <w:t xml:space="preserve"> </w:t>
      </w:r>
      <w:proofErr w:type="spellStart"/>
      <w:r>
        <w:t>LIS</w:t>
      </w:r>
      <w:proofErr w:type="spellEnd"/>
      <w:r>
        <w:t>. The Construction contribution is fairly large, contributing 0.4</w:t>
      </w:r>
      <w:r w:rsidR="006239C7">
        <w:t xml:space="preserve"> percentage points</w:t>
      </w:r>
      <w:r>
        <w:t xml:space="preserve"> more to labour income than to capital income. The Manufacturing contribution was on the low side of 0.2</w:t>
      </w:r>
      <w:r w:rsidR="006239C7">
        <w:t xml:space="preserve"> percentage points</w:t>
      </w:r>
      <w:r>
        <w:t>.</w:t>
      </w:r>
    </w:p>
    <w:p w:rsidR="00CE5270" w:rsidRDefault="00585796" w:rsidP="00954DE2">
      <w:pPr>
        <w:pStyle w:val="BodyText"/>
      </w:pPr>
      <w:r>
        <w:t>Th</w:t>
      </w:r>
      <w:r w:rsidR="00CE5270">
        <w:t xml:space="preserve">e industry contributions to the </w:t>
      </w:r>
      <w:r w:rsidR="00A5768C">
        <w:t xml:space="preserve">decline in </w:t>
      </w:r>
      <w:proofErr w:type="spellStart"/>
      <w:r w:rsidR="00CE5270">
        <w:t>LIS</w:t>
      </w:r>
      <w:proofErr w:type="spellEnd"/>
      <w:r w:rsidR="00CE5270">
        <w:t xml:space="preserve"> </w:t>
      </w:r>
      <w:r w:rsidR="009E0CB0">
        <w:t>according to this</w:t>
      </w:r>
      <w:r w:rsidR="00CE5270">
        <w:t xml:space="preserve"> approach differ in some important ways from the </w:t>
      </w:r>
      <w:r w:rsidR="009E0CB0">
        <w:t>findings of</w:t>
      </w:r>
      <w:r w:rsidR="00CE5270">
        <w:t xml:space="preserve"> the </w:t>
      </w:r>
      <w:r>
        <w:t>shift-share analysis</w:t>
      </w:r>
      <w:r w:rsidR="00CE5270">
        <w:t>. But before discussing and examining these</w:t>
      </w:r>
      <w:r w:rsidR="009E0CB0">
        <w:t xml:space="preserve"> differences</w:t>
      </w:r>
      <w:r w:rsidR="00CE5270">
        <w:t>, the issue of structural change is explored further.</w:t>
      </w:r>
    </w:p>
    <w:p w:rsidR="00906AA9" w:rsidRDefault="009E0CB0" w:rsidP="00906AA9">
      <w:pPr>
        <w:pStyle w:val="Heading3"/>
      </w:pPr>
      <w:r>
        <w:lastRenderedPageBreak/>
        <w:t>‘Dynamic’ structural change</w:t>
      </w:r>
    </w:p>
    <w:p w:rsidR="003B5394" w:rsidRDefault="003B5394" w:rsidP="003B5394">
      <w:pPr>
        <w:pStyle w:val="BodyText"/>
      </w:pPr>
      <w:r>
        <w:t>Shift-share analysis captures structural change in terms of:</w:t>
      </w:r>
    </w:p>
    <w:p w:rsidR="00F55387" w:rsidRDefault="003B5394" w:rsidP="003B5394">
      <w:pPr>
        <w:pStyle w:val="ListBullet"/>
      </w:pPr>
      <w:r>
        <w:t>changes in the industry structure of total income</w:t>
      </w:r>
    </w:p>
    <w:p w:rsidR="003B5394" w:rsidRDefault="003B5394" w:rsidP="003B5394">
      <w:pPr>
        <w:pStyle w:val="ListBullet"/>
      </w:pPr>
      <w:r>
        <w:t xml:space="preserve">a ‘comparative static’ analysis of changes in structure and income shares at the start and end of the </w:t>
      </w:r>
      <w:proofErr w:type="spellStart"/>
      <w:r>
        <w:t>2000s</w:t>
      </w:r>
      <w:proofErr w:type="spellEnd"/>
      <w:r>
        <w:t xml:space="preserve"> decade.</w:t>
      </w:r>
    </w:p>
    <w:p w:rsidR="003B5394" w:rsidRDefault="00585796" w:rsidP="003B5394">
      <w:pPr>
        <w:pStyle w:val="BodyText"/>
      </w:pPr>
      <w:r>
        <w:t xml:space="preserve">There is a different way to look at the role of structural change, </w:t>
      </w:r>
      <w:r w:rsidR="00CE5270">
        <w:t>and that is to capture</w:t>
      </w:r>
      <w:r>
        <w:t xml:space="preserve"> it in terms of:</w:t>
      </w:r>
    </w:p>
    <w:p w:rsidR="003B5394" w:rsidRDefault="00DD4043" w:rsidP="003B5394">
      <w:pPr>
        <w:pStyle w:val="ListBullet"/>
      </w:pPr>
      <w:r>
        <w:t xml:space="preserve">separate </w:t>
      </w:r>
      <w:r w:rsidR="003B5394">
        <w:t>changes in the industry structure of labour i</w:t>
      </w:r>
      <w:r w:rsidR="00F55387">
        <w:t>ncome and of capital income</w:t>
      </w:r>
    </w:p>
    <w:p w:rsidR="003B5394" w:rsidRDefault="003B5394" w:rsidP="003B5394">
      <w:pPr>
        <w:pStyle w:val="ListBullet"/>
      </w:pPr>
      <w:r>
        <w:t xml:space="preserve">a ‘dynamic’ </w:t>
      </w:r>
      <w:r w:rsidR="00CE5270">
        <w:t>view of structural change</w:t>
      </w:r>
      <w:r>
        <w:t xml:space="preserve"> </w:t>
      </w:r>
      <w:r w:rsidR="00585796">
        <w:t>based on</w:t>
      </w:r>
      <w:r>
        <w:t xml:space="preserve"> changes in growth rates</w:t>
      </w:r>
      <w:r w:rsidR="009E0CB0">
        <w:t>.</w:t>
      </w:r>
    </w:p>
    <w:p w:rsidR="009E7E20" w:rsidRDefault="00CE5270" w:rsidP="005E1184">
      <w:pPr>
        <w:pStyle w:val="BodyText"/>
      </w:pPr>
      <w:r>
        <w:t xml:space="preserve">For the </w:t>
      </w:r>
      <w:r w:rsidR="00A44039">
        <w:t xml:space="preserve">current </w:t>
      </w:r>
      <w:r>
        <w:t>purposes, t</w:t>
      </w:r>
      <w:r w:rsidR="00093301">
        <w:t xml:space="preserve">he </w:t>
      </w:r>
      <w:r w:rsidR="009E7E20">
        <w:t xml:space="preserve">‘dynamic’ approach takes the </w:t>
      </w:r>
      <w:r w:rsidR="009E0CB0">
        <w:t xml:space="preserve">growth in factor incomes in the </w:t>
      </w:r>
      <w:proofErr w:type="spellStart"/>
      <w:r w:rsidR="009E7E20">
        <w:t>1990s</w:t>
      </w:r>
      <w:proofErr w:type="spellEnd"/>
      <w:r w:rsidR="009E7E20">
        <w:t xml:space="preserve"> as a benchmark</w:t>
      </w:r>
      <w:r w:rsidR="009E0CB0">
        <w:t>. T</w:t>
      </w:r>
      <w:r w:rsidR="009E7E20">
        <w:t>he various industry contributions delivered an aggrega</w:t>
      </w:r>
      <w:r w:rsidR="001D64DE">
        <w:t xml:space="preserve">te </w:t>
      </w:r>
      <w:proofErr w:type="spellStart"/>
      <w:r w:rsidR="001D64DE">
        <w:t>LIS</w:t>
      </w:r>
      <w:proofErr w:type="spellEnd"/>
      <w:r w:rsidR="001D64DE">
        <w:t xml:space="preserve"> that was stable over that </w:t>
      </w:r>
      <w:r w:rsidR="009E7E20">
        <w:t>decade.</w:t>
      </w:r>
    </w:p>
    <w:p w:rsidR="005E2973" w:rsidRDefault="005E2973" w:rsidP="005E1184">
      <w:pPr>
        <w:pStyle w:val="BodyText"/>
      </w:pPr>
      <w:r>
        <w:t xml:space="preserve">The </w:t>
      </w:r>
      <w:r w:rsidR="0067126A">
        <w:t xml:space="preserve">benchmark comparison is then an </w:t>
      </w:r>
      <w:r>
        <w:t>exercise to calculate:</w:t>
      </w:r>
    </w:p>
    <w:p w:rsidR="005E2973" w:rsidRDefault="005E2973" w:rsidP="006B059C">
      <w:pPr>
        <w:pStyle w:val="ListBullet"/>
      </w:pPr>
      <w:r>
        <w:t xml:space="preserve">industry contributions to the acceleration in labour income growth </w:t>
      </w:r>
      <w:r w:rsidR="006B059C">
        <w:t xml:space="preserve">in the </w:t>
      </w:r>
      <w:proofErr w:type="spellStart"/>
      <w:r w:rsidR="006B059C">
        <w:t>2000s</w:t>
      </w:r>
      <w:proofErr w:type="spellEnd"/>
      <w:r w:rsidR="006B059C">
        <w:t xml:space="preserve"> (in comparison to the </w:t>
      </w:r>
      <w:proofErr w:type="spellStart"/>
      <w:r w:rsidR="006B059C">
        <w:t>1990s</w:t>
      </w:r>
      <w:proofErr w:type="spellEnd"/>
      <w:r w:rsidR="006B059C">
        <w:t>)</w:t>
      </w:r>
    </w:p>
    <w:p w:rsidR="005E2973" w:rsidRDefault="005E2973" w:rsidP="006B059C">
      <w:pPr>
        <w:pStyle w:val="ListBullet2"/>
      </w:pPr>
      <w:r>
        <w:t>th</w:t>
      </w:r>
      <w:r w:rsidR="0067126A">
        <w:t>ese are</w:t>
      </w:r>
      <w:r>
        <w:t xml:space="preserve"> simply the change</w:t>
      </w:r>
      <w:r w:rsidR="0067126A">
        <w:t>s</w:t>
      </w:r>
      <w:r>
        <w:t xml:space="preserve"> in industry contributions to labour income</w:t>
      </w:r>
      <w:r w:rsidR="00F55387">
        <w:t xml:space="preserve"> growth between the two decades</w:t>
      </w:r>
    </w:p>
    <w:p w:rsidR="005E2973" w:rsidRDefault="005E2973" w:rsidP="006B059C">
      <w:pPr>
        <w:pStyle w:val="ListBullet"/>
      </w:pPr>
      <w:r>
        <w:t xml:space="preserve">industry contributions to the acceleration in capital income growth </w:t>
      </w:r>
      <w:r w:rsidR="006B059C">
        <w:t xml:space="preserve">in the </w:t>
      </w:r>
      <w:proofErr w:type="spellStart"/>
      <w:r w:rsidR="006B059C">
        <w:t>2000s</w:t>
      </w:r>
      <w:proofErr w:type="spellEnd"/>
    </w:p>
    <w:p w:rsidR="005E2973" w:rsidRDefault="005E2973" w:rsidP="006B059C">
      <w:pPr>
        <w:pStyle w:val="ListBullet2"/>
      </w:pPr>
      <w:r>
        <w:t>th</w:t>
      </w:r>
      <w:r w:rsidR="0067126A">
        <w:t>ese are</w:t>
      </w:r>
      <w:r>
        <w:t xml:space="preserve"> the change</w:t>
      </w:r>
      <w:r w:rsidR="0067126A">
        <w:t>s</w:t>
      </w:r>
      <w:r>
        <w:t xml:space="preserve"> in industry contributions to capital income growth</w:t>
      </w:r>
      <w:r w:rsidR="0067126A">
        <w:t xml:space="preserve"> between the decades</w:t>
      </w:r>
    </w:p>
    <w:p w:rsidR="005E2973" w:rsidRDefault="005E2973" w:rsidP="006B059C">
      <w:pPr>
        <w:pStyle w:val="ListBullet"/>
      </w:pPr>
      <w:r>
        <w:t xml:space="preserve">industry contributions to </w:t>
      </w:r>
      <w:r w:rsidR="00704155">
        <w:t xml:space="preserve">the wider gap in growth in </w:t>
      </w:r>
      <w:r>
        <w:t>factor income</w:t>
      </w:r>
      <w:r w:rsidR="00704155">
        <w:t>s</w:t>
      </w:r>
    </w:p>
    <w:p w:rsidR="006B059C" w:rsidRDefault="005E2973" w:rsidP="006B059C">
      <w:pPr>
        <w:pStyle w:val="ListBullet2"/>
      </w:pPr>
      <w:r>
        <w:t>th</w:t>
      </w:r>
      <w:r w:rsidR="0067126A">
        <w:t>ese are</w:t>
      </w:r>
      <w:r>
        <w:t xml:space="preserve"> the difference between the </w:t>
      </w:r>
      <w:r w:rsidR="00704155">
        <w:t xml:space="preserve">first two calculations </w:t>
      </w:r>
      <w:r w:rsidR="00CE5270">
        <w:t xml:space="preserve">and </w:t>
      </w:r>
      <w:r w:rsidR="0067126A">
        <w:t>are</w:t>
      </w:r>
      <w:r w:rsidR="00704155">
        <w:t xml:space="preserve"> the industry contributions to the </w:t>
      </w:r>
      <w:r w:rsidR="0067126A">
        <w:t xml:space="preserve">difference in </w:t>
      </w:r>
      <w:r w:rsidR="00704155">
        <w:t xml:space="preserve">accelerations </w:t>
      </w:r>
      <w:r>
        <w:t xml:space="preserve">in </w:t>
      </w:r>
      <w:r w:rsidR="00704155">
        <w:t>labour and capital income.</w:t>
      </w:r>
    </w:p>
    <w:p w:rsidR="006B059C" w:rsidRDefault="006B059C" w:rsidP="00EB4B71">
      <w:pPr>
        <w:pStyle w:val="BodyText"/>
        <w:widowControl w:val="0"/>
      </w:pPr>
      <w:r>
        <w:t xml:space="preserve">The results are displayed in table 5.6 and figure 5.3. </w:t>
      </w:r>
    </w:p>
    <w:p w:rsidR="00EC16DC" w:rsidRDefault="00EC16DC" w:rsidP="00EC16DC">
      <w:pPr>
        <w:pStyle w:val="BodyText"/>
      </w:pPr>
      <w:r>
        <w:t>As was reported in the previous chapter, labour income accelerated by 1.5 percentage points between the decades (from 4.3 to 5.8 per cent a year). Capital income accelerated by 2.6</w:t>
      </w:r>
      <w:r w:rsidR="006239C7">
        <w:t xml:space="preserve"> percentage points</w:t>
      </w:r>
      <w:r>
        <w:t xml:space="preserve"> (from 4.9 to 7.5 per cent a year). The gap between labour income growth and capital income growth therefore opened up by 1.1</w:t>
      </w:r>
      <w:r w:rsidR="006239C7">
        <w:t xml:space="preserve"> percentage points</w:t>
      </w:r>
      <w:r>
        <w:t>. These values are shown in the ‘Market sector’ row at the bottom of table 5.6.</w:t>
      </w:r>
    </w:p>
    <w:p w:rsidR="00EB4B71" w:rsidRDefault="00EB4B71" w:rsidP="00EB4B71">
      <w:pPr>
        <w:pStyle w:val="TableTitle"/>
      </w:pPr>
      <w:r w:rsidRPr="00EB4B71">
        <w:rPr>
          <w:b w:val="0"/>
        </w:rPr>
        <w:lastRenderedPageBreak/>
        <w:t xml:space="preserve">Table </w:t>
      </w:r>
      <w:r w:rsidRPr="00EB4B71">
        <w:rPr>
          <w:b w:val="0"/>
        </w:rPr>
        <w:fldChar w:fldCharType="begin"/>
      </w:r>
      <w:r w:rsidRPr="00EB4B71">
        <w:rPr>
          <w:b w:val="0"/>
        </w:rPr>
        <w:instrText xml:space="preserve"> COMMENTS  \* MERGEFORMAT </w:instrText>
      </w:r>
      <w:r w:rsidRPr="00EB4B71">
        <w:rPr>
          <w:b w:val="0"/>
        </w:rPr>
        <w:fldChar w:fldCharType="separate"/>
      </w:r>
      <w:r w:rsidR="005E5264">
        <w:rPr>
          <w:b w:val="0"/>
        </w:rPr>
        <w:t>5.</w:t>
      </w:r>
      <w:r w:rsidRPr="00EB4B71">
        <w:rPr>
          <w:b w:val="0"/>
        </w:rPr>
        <w:fldChar w:fldCharType="end"/>
      </w:r>
      <w:r w:rsidRPr="00EB4B71">
        <w:rPr>
          <w:b w:val="0"/>
        </w:rPr>
        <w:fldChar w:fldCharType="begin"/>
      </w:r>
      <w:r w:rsidRPr="00EB4B71">
        <w:rPr>
          <w:b w:val="0"/>
        </w:rPr>
        <w:instrText xml:space="preserve"> SEQ Table \* ARABIC </w:instrText>
      </w:r>
      <w:r w:rsidRPr="00EB4B71">
        <w:rPr>
          <w:b w:val="0"/>
        </w:rPr>
        <w:fldChar w:fldCharType="separate"/>
      </w:r>
      <w:r w:rsidR="00F92682">
        <w:rPr>
          <w:b w:val="0"/>
          <w:noProof/>
        </w:rPr>
        <w:t>6</w:t>
      </w:r>
      <w:r w:rsidRPr="00EB4B71">
        <w:rPr>
          <w:b w:val="0"/>
        </w:rPr>
        <w:fldChar w:fldCharType="end"/>
      </w:r>
      <w:r w:rsidRPr="00EB4B71">
        <w:tab/>
        <w:t>Changes in industry contributions to labour income</w:t>
      </w:r>
      <w:r w:rsidR="007D0D44">
        <w:t xml:space="preserve"> growth</w:t>
      </w:r>
      <w:r w:rsidRPr="00EB4B71">
        <w:t xml:space="preserve">, capital </w:t>
      </w:r>
      <w:r w:rsidR="007D0D44">
        <w:t>income growth</w:t>
      </w:r>
      <w:r w:rsidRPr="00EB4B71">
        <w:t xml:space="preserve"> and to the wider gap between labour and capital income growth </w:t>
      </w:r>
    </w:p>
    <w:p w:rsidR="00D5481A" w:rsidRPr="00F55387" w:rsidRDefault="00D5481A" w:rsidP="00F55387">
      <w:pPr>
        <w:pStyle w:val="Subtitle"/>
      </w:pPr>
      <w:r w:rsidRPr="00F55387">
        <w:t>Percentage points</w:t>
      </w:r>
    </w:p>
    <w:tbl>
      <w:tblPr>
        <w:tblW w:w="5000" w:type="pct"/>
        <w:tblCellMar>
          <w:left w:w="0" w:type="dxa"/>
          <w:right w:w="0" w:type="dxa"/>
        </w:tblCellMar>
        <w:tblLook w:val="0000" w:firstRow="0" w:lastRow="0" w:firstColumn="0" w:lastColumn="0" w:noHBand="0" w:noVBand="0"/>
      </w:tblPr>
      <w:tblGrid>
        <w:gridCol w:w="2302"/>
        <w:gridCol w:w="2296"/>
        <w:gridCol w:w="2294"/>
        <w:gridCol w:w="2293"/>
      </w:tblGrid>
      <w:tr w:rsidR="00EB4B71" w:rsidRPr="00EB4B71" w:rsidTr="00E900F6">
        <w:tc>
          <w:tcPr>
            <w:tcW w:w="1253" w:type="pct"/>
            <w:tcBorders>
              <w:top w:val="single" w:sz="6" w:space="0" w:color="auto"/>
              <w:bottom w:val="single" w:sz="6" w:space="0" w:color="auto"/>
            </w:tcBorders>
            <w:shd w:val="clear" w:color="auto" w:fill="auto"/>
          </w:tcPr>
          <w:p w:rsidR="00EB4B71" w:rsidRPr="00EB4B71" w:rsidRDefault="00EB4B71" w:rsidP="00E900F6">
            <w:pPr>
              <w:pStyle w:val="TableColumnHeading"/>
              <w:jc w:val="left"/>
            </w:pPr>
          </w:p>
        </w:tc>
        <w:tc>
          <w:tcPr>
            <w:tcW w:w="1250" w:type="pct"/>
            <w:tcBorders>
              <w:top w:val="single" w:sz="6" w:space="0" w:color="auto"/>
              <w:bottom w:val="single" w:sz="6" w:space="0" w:color="auto"/>
            </w:tcBorders>
            <w:shd w:val="clear" w:color="auto" w:fill="auto"/>
            <w:vAlign w:val="bottom"/>
          </w:tcPr>
          <w:p w:rsidR="00EB4B71" w:rsidRPr="00EB4B71" w:rsidRDefault="00EB4B71" w:rsidP="00E900F6">
            <w:pPr>
              <w:pStyle w:val="TableColumnHeading"/>
            </w:pPr>
            <w:r w:rsidRPr="00EB4B71">
              <w:t>Labour income</w:t>
            </w:r>
          </w:p>
        </w:tc>
        <w:tc>
          <w:tcPr>
            <w:tcW w:w="1249" w:type="pct"/>
            <w:tcBorders>
              <w:top w:val="single" w:sz="6" w:space="0" w:color="auto"/>
              <w:bottom w:val="single" w:sz="6" w:space="0" w:color="auto"/>
            </w:tcBorders>
            <w:vAlign w:val="bottom"/>
          </w:tcPr>
          <w:p w:rsidR="00EB4B71" w:rsidRPr="00EB4B71" w:rsidRDefault="00EB4B71" w:rsidP="00E900F6">
            <w:pPr>
              <w:pStyle w:val="TableColumnHeading"/>
            </w:pPr>
            <w:r w:rsidRPr="00EB4B71">
              <w:t>Capital income</w:t>
            </w:r>
          </w:p>
        </w:tc>
        <w:tc>
          <w:tcPr>
            <w:tcW w:w="1248" w:type="pct"/>
            <w:tcBorders>
              <w:top w:val="single" w:sz="6" w:space="0" w:color="auto"/>
              <w:bottom w:val="single" w:sz="6" w:space="0" w:color="auto"/>
            </w:tcBorders>
            <w:shd w:val="clear" w:color="auto" w:fill="auto"/>
            <w:vAlign w:val="bottom"/>
          </w:tcPr>
          <w:p w:rsidR="00EB4B71" w:rsidRPr="00EB4B71" w:rsidRDefault="00EB4B71" w:rsidP="00E900F6">
            <w:pPr>
              <w:pStyle w:val="TableColumnHeading"/>
            </w:pPr>
            <w:r w:rsidRPr="00EB4B71">
              <w:t>difference</w:t>
            </w:r>
          </w:p>
        </w:tc>
      </w:tr>
      <w:tr w:rsidR="00EB4B71" w:rsidTr="00E900F6">
        <w:tc>
          <w:tcPr>
            <w:tcW w:w="1253" w:type="pct"/>
            <w:vAlign w:val="bottom"/>
          </w:tcPr>
          <w:p w:rsidR="00EB4B71" w:rsidRPr="00CF7069" w:rsidRDefault="00EB4B71" w:rsidP="00E900F6">
            <w:pPr>
              <w:pStyle w:val="TableBodyText"/>
              <w:spacing w:before="120"/>
              <w:jc w:val="left"/>
            </w:pPr>
            <w:r w:rsidRPr="00CF7069">
              <w:t>Agriculture</w:t>
            </w:r>
          </w:p>
        </w:tc>
        <w:tc>
          <w:tcPr>
            <w:tcW w:w="1250" w:type="pct"/>
            <w:vAlign w:val="bottom"/>
          </w:tcPr>
          <w:p w:rsidR="00EB4B71" w:rsidRPr="00CF7069" w:rsidRDefault="00EB4B71" w:rsidP="00E900F6">
            <w:pPr>
              <w:pStyle w:val="TableBodyText"/>
              <w:spacing w:before="120"/>
            </w:pPr>
            <w:r w:rsidRPr="00CF7069">
              <w:t>-0.11</w:t>
            </w:r>
          </w:p>
        </w:tc>
        <w:tc>
          <w:tcPr>
            <w:tcW w:w="1249" w:type="pct"/>
            <w:vAlign w:val="bottom"/>
          </w:tcPr>
          <w:p w:rsidR="00EB4B71" w:rsidRPr="00CF7069" w:rsidRDefault="00EB4B71" w:rsidP="00E900F6">
            <w:pPr>
              <w:pStyle w:val="TableBodyText"/>
              <w:spacing w:before="120"/>
            </w:pPr>
            <w:r w:rsidRPr="00CF7069">
              <w:t>0.38</w:t>
            </w:r>
          </w:p>
        </w:tc>
        <w:tc>
          <w:tcPr>
            <w:tcW w:w="1248" w:type="pct"/>
            <w:vAlign w:val="bottom"/>
          </w:tcPr>
          <w:p w:rsidR="00EB4B71" w:rsidRPr="00CF7069" w:rsidRDefault="00EB4B71" w:rsidP="00E900F6">
            <w:pPr>
              <w:pStyle w:val="TableBodyText"/>
              <w:spacing w:before="120"/>
            </w:pPr>
            <w:r w:rsidRPr="00CF7069">
              <w:t>-0.49</w:t>
            </w:r>
          </w:p>
        </w:tc>
      </w:tr>
      <w:tr w:rsidR="00EB4B71" w:rsidTr="00E900F6">
        <w:tc>
          <w:tcPr>
            <w:tcW w:w="1253" w:type="pct"/>
            <w:vAlign w:val="bottom"/>
          </w:tcPr>
          <w:p w:rsidR="00EB4B71" w:rsidRPr="00CF7069" w:rsidRDefault="00EB4B71" w:rsidP="00E900F6">
            <w:pPr>
              <w:pStyle w:val="TableBodyText"/>
              <w:jc w:val="left"/>
            </w:pPr>
            <w:r w:rsidRPr="00CF7069">
              <w:t>Mining</w:t>
            </w:r>
          </w:p>
        </w:tc>
        <w:tc>
          <w:tcPr>
            <w:tcW w:w="1250" w:type="pct"/>
            <w:vAlign w:val="bottom"/>
          </w:tcPr>
          <w:p w:rsidR="00EB4B71" w:rsidRPr="00CF7069" w:rsidRDefault="00EB4B71" w:rsidP="00E900F6">
            <w:pPr>
              <w:pStyle w:val="TableBodyText"/>
            </w:pPr>
            <w:r w:rsidRPr="00CF7069">
              <w:t>0.29</w:t>
            </w:r>
          </w:p>
        </w:tc>
        <w:tc>
          <w:tcPr>
            <w:tcW w:w="1249" w:type="pct"/>
            <w:vAlign w:val="bottom"/>
          </w:tcPr>
          <w:p w:rsidR="00EB4B71" w:rsidRPr="00CF7069" w:rsidRDefault="00EB4B71" w:rsidP="00E900F6">
            <w:pPr>
              <w:pStyle w:val="TableBodyText"/>
            </w:pPr>
            <w:r w:rsidRPr="00CF7069">
              <w:t>1.48</w:t>
            </w:r>
          </w:p>
        </w:tc>
        <w:tc>
          <w:tcPr>
            <w:tcW w:w="1248" w:type="pct"/>
            <w:vAlign w:val="bottom"/>
          </w:tcPr>
          <w:p w:rsidR="00EB4B71" w:rsidRPr="00CF7069" w:rsidRDefault="00EB4B71" w:rsidP="00E900F6">
            <w:pPr>
              <w:pStyle w:val="TableBodyText"/>
            </w:pPr>
            <w:r w:rsidRPr="00CF7069">
              <w:t>-1.19</w:t>
            </w:r>
          </w:p>
        </w:tc>
      </w:tr>
      <w:tr w:rsidR="00EB4B71" w:rsidTr="00E900F6">
        <w:tc>
          <w:tcPr>
            <w:tcW w:w="1253" w:type="pct"/>
            <w:vAlign w:val="bottom"/>
          </w:tcPr>
          <w:p w:rsidR="00EB4B71" w:rsidRPr="00CF7069" w:rsidRDefault="00EB4B71" w:rsidP="00E900F6">
            <w:pPr>
              <w:pStyle w:val="TableBodyText"/>
              <w:jc w:val="left"/>
            </w:pPr>
            <w:r w:rsidRPr="00CF7069">
              <w:t>Manufacturing</w:t>
            </w:r>
          </w:p>
        </w:tc>
        <w:tc>
          <w:tcPr>
            <w:tcW w:w="1250" w:type="pct"/>
            <w:vAlign w:val="bottom"/>
          </w:tcPr>
          <w:p w:rsidR="00EB4B71" w:rsidRPr="00CF7069" w:rsidRDefault="00EB4B71" w:rsidP="00E900F6">
            <w:pPr>
              <w:pStyle w:val="TableBodyText"/>
            </w:pPr>
            <w:r w:rsidRPr="00CF7069">
              <w:t>0.05</w:t>
            </w:r>
          </w:p>
        </w:tc>
        <w:tc>
          <w:tcPr>
            <w:tcW w:w="1249" w:type="pct"/>
            <w:vAlign w:val="bottom"/>
          </w:tcPr>
          <w:p w:rsidR="00EB4B71" w:rsidRPr="00CF7069" w:rsidRDefault="00EB4B71" w:rsidP="00E900F6">
            <w:pPr>
              <w:pStyle w:val="TableBodyText"/>
            </w:pPr>
            <w:r w:rsidRPr="00CF7069">
              <w:t>-0.25</w:t>
            </w:r>
          </w:p>
        </w:tc>
        <w:tc>
          <w:tcPr>
            <w:tcW w:w="1248" w:type="pct"/>
            <w:vAlign w:val="bottom"/>
          </w:tcPr>
          <w:p w:rsidR="00EB4B71" w:rsidRPr="00CF7069" w:rsidRDefault="00EB4B71" w:rsidP="00E900F6">
            <w:pPr>
              <w:pStyle w:val="TableBodyText"/>
            </w:pPr>
            <w:r w:rsidRPr="00CF7069">
              <w:t>0.30</w:t>
            </w:r>
          </w:p>
        </w:tc>
      </w:tr>
      <w:tr w:rsidR="00EB4B71" w:rsidTr="00E900F6">
        <w:tc>
          <w:tcPr>
            <w:tcW w:w="1253" w:type="pct"/>
            <w:vAlign w:val="bottom"/>
          </w:tcPr>
          <w:p w:rsidR="00EB4B71" w:rsidRPr="00CF7069" w:rsidRDefault="00A5768C" w:rsidP="00E900F6">
            <w:pPr>
              <w:pStyle w:val="TableBodyText"/>
              <w:jc w:val="left"/>
            </w:pPr>
            <w:r>
              <w:t>Utilities</w:t>
            </w:r>
          </w:p>
        </w:tc>
        <w:tc>
          <w:tcPr>
            <w:tcW w:w="1250" w:type="pct"/>
            <w:vAlign w:val="bottom"/>
          </w:tcPr>
          <w:p w:rsidR="00EB4B71" w:rsidRPr="00CF7069" w:rsidRDefault="00EB4B71" w:rsidP="00E900F6">
            <w:pPr>
              <w:pStyle w:val="TableBodyText"/>
            </w:pPr>
            <w:r w:rsidRPr="00CF7069">
              <w:t>0.25</w:t>
            </w:r>
          </w:p>
        </w:tc>
        <w:tc>
          <w:tcPr>
            <w:tcW w:w="1249" w:type="pct"/>
            <w:vAlign w:val="bottom"/>
          </w:tcPr>
          <w:p w:rsidR="00EB4B71" w:rsidRPr="00CF7069" w:rsidRDefault="00EB4B71" w:rsidP="00E900F6">
            <w:pPr>
              <w:pStyle w:val="TableBodyText"/>
            </w:pPr>
            <w:r w:rsidRPr="00CF7069">
              <w:t>0.08</w:t>
            </w:r>
          </w:p>
        </w:tc>
        <w:tc>
          <w:tcPr>
            <w:tcW w:w="1248" w:type="pct"/>
            <w:vAlign w:val="bottom"/>
          </w:tcPr>
          <w:p w:rsidR="00EB4B71" w:rsidRPr="00CF7069" w:rsidRDefault="00EB4B71" w:rsidP="00E900F6">
            <w:pPr>
              <w:pStyle w:val="TableBodyText"/>
            </w:pPr>
            <w:r w:rsidRPr="00CF7069">
              <w:t>0.17</w:t>
            </w:r>
          </w:p>
        </w:tc>
      </w:tr>
      <w:tr w:rsidR="00EB4B71" w:rsidTr="00E900F6">
        <w:tc>
          <w:tcPr>
            <w:tcW w:w="1253" w:type="pct"/>
            <w:vAlign w:val="bottom"/>
          </w:tcPr>
          <w:p w:rsidR="00EB4B71" w:rsidRPr="00CF7069" w:rsidRDefault="00EB4B71" w:rsidP="00E900F6">
            <w:pPr>
              <w:pStyle w:val="TableBodyText"/>
              <w:jc w:val="left"/>
            </w:pPr>
            <w:r w:rsidRPr="00CF7069">
              <w:t>Construction</w:t>
            </w:r>
          </w:p>
        </w:tc>
        <w:tc>
          <w:tcPr>
            <w:tcW w:w="1250" w:type="pct"/>
            <w:vAlign w:val="bottom"/>
          </w:tcPr>
          <w:p w:rsidR="00EB4B71" w:rsidRPr="00CF7069" w:rsidRDefault="00EB4B71" w:rsidP="00E900F6">
            <w:pPr>
              <w:pStyle w:val="TableBodyText"/>
            </w:pPr>
            <w:r w:rsidRPr="00CF7069">
              <w:t>0.58</w:t>
            </w:r>
          </w:p>
        </w:tc>
        <w:tc>
          <w:tcPr>
            <w:tcW w:w="1249" w:type="pct"/>
            <w:vAlign w:val="bottom"/>
          </w:tcPr>
          <w:p w:rsidR="00EB4B71" w:rsidRPr="00CF7069" w:rsidRDefault="00EB4B71" w:rsidP="00E900F6">
            <w:pPr>
              <w:pStyle w:val="TableBodyText"/>
            </w:pPr>
            <w:r w:rsidRPr="00CF7069">
              <w:t>0.43</w:t>
            </w:r>
          </w:p>
        </w:tc>
        <w:tc>
          <w:tcPr>
            <w:tcW w:w="1248" w:type="pct"/>
            <w:vAlign w:val="bottom"/>
          </w:tcPr>
          <w:p w:rsidR="00EB4B71" w:rsidRPr="00CF7069" w:rsidRDefault="00EB4B71" w:rsidP="00E900F6">
            <w:pPr>
              <w:pStyle w:val="TableBodyText"/>
            </w:pPr>
            <w:r w:rsidRPr="00CF7069">
              <w:t>0.15</w:t>
            </w:r>
          </w:p>
        </w:tc>
      </w:tr>
      <w:tr w:rsidR="00EB4B71" w:rsidTr="00E900F6">
        <w:tc>
          <w:tcPr>
            <w:tcW w:w="1253" w:type="pct"/>
            <w:vAlign w:val="bottom"/>
          </w:tcPr>
          <w:p w:rsidR="00EB4B71" w:rsidRPr="00CF7069" w:rsidRDefault="00EB4B71" w:rsidP="00E900F6">
            <w:pPr>
              <w:pStyle w:val="TableBodyText"/>
              <w:jc w:val="left"/>
            </w:pPr>
            <w:r w:rsidRPr="00CF7069">
              <w:t>Wholesale</w:t>
            </w:r>
          </w:p>
        </w:tc>
        <w:tc>
          <w:tcPr>
            <w:tcW w:w="1250" w:type="pct"/>
            <w:vAlign w:val="bottom"/>
          </w:tcPr>
          <w:p w:rsidR="00EB4B71" w:rsidRPr="00CF7069" w:rsidRDefault="00EB4B71" w:rsidP="00E900F6">
            <w:pPr>
              <w:pStyle w:val="TableBodyText"/>
            </w:pPr>
            <w:r w:rsidRPr="00CF7069">
              <w:t>0.04</w:t>
            </w:r>
          </w:p>
        </w:tc>
        <w:tc>
          <w:tcPr>
            <w:tcW w:w="1249" w:type="pct"/>
            <w:vAlign w:val="bottom"/>
          </w:tcPr>
          <w:p w:rsidR="00EB4B71" w:rsidRPr="00CF7069" w:rsidRDefault="00EB4B71" w:rsidP="00E900F6">
            <w:pPr>
              <w:pStyle w:val="TableBodyText"/>
            </w:pPr>
            <w:r w:rsidRPr="00CF7069">
              <w:t>0.14</w:t>
            </w:r>
          </w:p>
        </w:tc>
        <w:tc>
          <w:tcPr>
            <w:tcW w:w="1248" w:type="pct"/>
            <w:vAlign w:val="bottom"/>
          </w:tcPr>
          <w:p w:rsidR="00EB4B71" w:rsidRPr="00CF7069" w:rsidRDefault="00EB4B71" w:rsidP="00E900F6">
            <w:pPr>
              <w:pStyle w:val="TableBodyText"/>
            </w:pPr>
            <w:r w:rsidRPr="00CF7069">
              <w:t>-0.09</w:t>
            </w:r>
          </w:p>
        </w:tc>
      </w:tr>
      <w:tr w:rsidR="00EB4B71" w:rsidTr="00E900F6">
        <w:tc>
          <w:tcPr>
            <w:tcW w:w="1253" w:type="pct"/>
            <w:vAlign w:val="bottom"/>
          </w:tcPr>
          <w:p w:rsidR="00EB4B71" w:rsidRPr="00CF7069" w:rsidRDefault="00EB4B71" w:rsidP="00E900F6">
            <w:pPr>
              <w:pStyle w:val="TableBodyText"/>
              <w:jc w:val="left"/>
            </w:pPr>
            <w:r w:rsidRPr="00CF7069">
              <w:t>Retail</w:t>
            </w:r>
          </w:p>
        </w:tc>
        <w:tc>
          <w:tcPr>
            <w:tcW w:w="1250" w:type="pct"/>
            <w:vAlign w:val="bottom"/>
          </w:tcPr>
          <w:p w:rsidR="00EB4B71" w:rsidRPr="00CF7069" w:rsidRDefault="00EB4B71" w:rsidP="00E900F6">
            <w:pPr>
              <w:pStyle w:val="TableBodyText"/>
            </w:pPr>
            <w:r w:rsidRPr="00CF7069">
              <w:t>-0.07</w:t>
            </w:r>
          </w:p>
        </w:tc>
        <w:tc>
          <w:tcPr>
            <w:tcW w:w="1249" w:type="pct"/>
            <w:vAlign w:val="bottom"/>
          </w:tcPr>
          <w:p w:rsidR="00EB4B71" w:rsidRPr="00CF7069" w:rsidRDefault="00EB4B71" w:rsidP="00E900F6">
            <w:pPr>
              <w:pStyle w:val="TableBodyText"/>
            </w:pPr>
            <w:r w:rsidRPr="00CF7069">
              <w:t>0.25</w:t>
            </w:r>
          </w:p>
        </w:tc>
        <w:tc>
          <w:tcPr>
            <w:tcW w:w="1248" w:type="pct"/>
            <w:vAlign w:val="bottom"/>
          </w:tcPr>
          <w:p w:rsidR="00EB4B71" w:rsidRPr="00CF7069" w:rsidRDefault="00EB4B71" w:rsidP="00E900F6">
            <w:pPr>
              <w:pStyle w:val="TableBodyText"/>
            </w:pPr>
            <w:r w:rsidRPr="00CF7069">
              <w:t>-0.32</w:t>
            </w:r>
          </w:p>
        </w:tc>
      </w:tr>
      <w:tr w:rsidR="00EB4B71" w:rsidTr="00E900F6">
        <w:tc>
          <w:tcPr>
            <w:tcW w:w="1253" w:type="pct"/>
            <w:vAlign w:val="bottom"/>
          </w:tcPr>
          <w:p w:rsidR="00EB4B71" w:rsidRPr="00CF7069" w:rsidRDefault="00EB4B71" w:rsidP="00E900F6">
            <w:pPr>
              <w:pStyle w:val="TableBodyText"/>
              <w:jc w:val="left"/>
            </w:pPr>
            <w:r w:rsidRPr="00CF7069">
              <w:t>Accommodation</w:t>
            </w:r>
          </w:p>
        </w:tc>
        <w:tc>
          <w:tcPr>
            <w:tcW w:w="1250" w:type="pct"/>
            <w:vAlign w:val="bottom"/>
          </w:tcPr>
          <w:p w:rsidR="00EB4B71" w:rsidRPr="00CF7069" w:rsidRDefault="00EB4B71" w:rsidP="00E900F6">
            <w:pPr>
              <w:pStyle w:val="TableBodyText"/>
            </w:pPr>
            <w:r w:rsidRPr="00CF7069">
              <w:t>-0.15</w:t>
            </w:r>
          </w:p>
        </w:tc>
        <w:tc>
          <w:tcPr>
            <w:tcW w:w="1249" w:type="pct"/>
            <w:vAlign w:val="bottom"/>
          </w:tcPr>
          <w:p w:rsidR="00EB4B71" w:rsidRPr="00CF7069" w:rsidRDefault="00EB4B71" w:rsidP="00E900F6">
            <w:pPr>
              <w:pStyle w:val="TableBodyText"/>
            </w:pPr>
            <w:r w:rsidRPr="00CF7069">
              <w:t>0.08</w:t>
            </w:r>
          </w:p>
        </w:tc>
        <w:tc>
          <w:tcPr>
            <w:tcW w:w="1248" w:type="pct"/>
            <w:vAlign w:val="bottom"/>
          </w:tcPr>
          <w:p w:rsidR="00EB4B71" w:rsidRPr="00CF7069" w:rsidRDefault="00EB4B71" w:rsidP="00E900F6">
            <w:pPr>
              <w:pStyle w:val="TableBodyText"/>
            </w:pPr>
            <w:r w:rsidRPr="00CF7069">
              <w:t>-0.23</w:t>
            </w:r>
          </w:p>
        </w:tc>
      </w:tr>
      <w:tr w:rsidR="00EB4B71" w:rsidTr="00E900F6">
        <w:tc>
          <w:tcPr>
            <w:tcW w:w="1253" w:type="pct"/>
            <w:vAlign w:val="bottom"/>
          </w:tcPr>
          <w:p w:rsidR="00EB4B71" w:rsidRPr="00CF7069" w:rsidRDefault="00EB4B71" w:rsidP="00E900F6">
            <w:pPr>
              <w:pStyle w:val="TableBodyText"/>
              <w:jc w:val="left"/>
            </w:pPr>
            <w:r w:rsidRPr="00CF7069">
              <w:t>Transport</w:t>
            </w:r>
          </w:p>
        </w:tc>
        <w:tc>
          <w:tcPr>
            <w:tcW w:w="1250" w:type="pct"/>
            <w:vAlign w:val="bottom"/>
          </w:tcPr>
          <w:p w:rsidR="00EB4B71" w:rsidRPr="00CF7069" w:rsidRDefault="00EB4B71" w:rsidP="00E900F6">
            <w:pPr>
              <w:pStyle w:val="TableBodyText"/>
            </w:pPr>
            <w:r w:rsidRPr="00CF7069">
              <w:t>0.21</w:t>
            </w:r>
          </w:p>
        </w:tc>
        <w:tc>
          <w:tcPr>
            <w:tcW w:w="1249" w:type="pct"/>
            <w:vAlign w:val="bottom"/>
          </w:tcPr>
          <w:p w:rsidR="00EB4B71" w:rsidRPr="00CF7069" w:rsidRDefault="00EB4B71" w:rsidP="00E900F6">
            <w:pPr>
              <w:pStyle w:val="TableBodyText"/>
            </w:pPr>
            <w:r w:rsidRPr="00CF7069">
              <w:t>0.16</w:t>
            </w:r>
          </w:p>
        </w:tc>
        <w:tc>
          <w:tcPr>
            <w:tcW w:w="1248" w:type="pct"/>
            <w:vAlign w:val="bottom"/>
          </w:tcPr>
          <w:p w:rsidR="00EB4B71" w:rsidRPr="00CF7069" w:rsidRDefault="00EB4B71" w:rsidP="00E900F6">
            <w:pPr>
              <w:pStyle w:val="TableBodyText"/>
            </w:pPr>
            <w:r w:rsidRPr="00CF7069">
              <w:t>0.04</w:t>
            </w:r>
          </w:p>
        </w:tc>
      </w:tr>
      <w:tr w:rsidR="00EB4B71" w:rsidTr="00E900F6">
        <w:tc>
          <w:tcPr>
            <w:tcW w:w="1253" w:type="pct"/>
            <w:vAlign w:val="bottom"/>
          </w:tcPr>
          <w:p w:rsidR="00EB4B71" w:rsidRPr="00CF7069" w:rsidRDefault="00EB4B71" w:rsidP="00E900F6">
            <w:pPr>
              <w:pStyle w:val="TableBodyText"/>
              <w:jc w:val="left"/>
            </w:pPr>
            <w:r w:rsidRPr="00CF7069">
              <w:t>Telecoms</w:t>
            </w:r>
          </w:p>
        </w:tc>
        <w:tc>
          <w:tcPr>
            <w:tcW w:w="1250" w:type="pct"/>
            <w:vAlign w:val="bottom"/>
          </w:tcPr>
          <w:p w:rsidR="00EB4B71" w:rsidRPr="00CF7069" w:rsidRDefault="00EB4B71" w:rsidP="00E900F6">
            <w:pPr>
              <w:pStyle w:val="TableBodyText"/>
            </w:pPr>
            <w:r w:rsidRPr="00CF7069">
              <w:t>-0.08</w:t>
            </w:r>
          </w:p>
        </w:tc>
        <w:tc>
          <w:tcPr>
            <w:tcW w:w="1249" w:type="pct"/>
            <w:vAlign w:val="bottom"/>
          </w:tcPr>
          <w:p w:rsidR="00EB4B71" w:rsidRPr="00CF7069" w:rsidRDefault="00EB4B71" w:rsidP="00E900F6">
            <w:pPr>
              <w:pStyle w:val="TableBodyText"/>
            </w:pPr>
            <w:r w:rsidRPr="00CF7069">
              <w:t>-0.18</w:t>
            </w:r>
          </w:p>
        </w:tc>
        <w:tc>
          <w:tcPr>
            <w:tcW w:w="1248" w:type="pct"/>
            <w:vAlign w:val="bottom"/>
          </w:tcPr>
          <w:p w:rsidR="00EB4B71" w:rsidRPr="00CF7069" w:rsidRDefault="00EB4B71" w:rsidP="00E900F6">
            <w:pPr>
              <w:pStyle w:val="TableBodyText"/>
            </w:pPr>
            <w:r w:rsidRPr="00CF7069">
              <w:t>0.10</w:t>
            </w:r>
          </w:p>
        </w:tc>
      </w:tr>
      <w:tr w:rsidR="00EB4B71" w:rsidTr="00E900F6">
        <w:tc>
          <w:tcPr>
            <w:tcW w:w="1253" w:type="pct"/>
            <w:vAlign w:val="bottom"/>
          </w:tcPr>
          <w:p w:rsidR="00EB4B71" w:rsidRPr="00CF7069" w:rsidRDefault="00EB4B71" w:rsidP="00E900F6">
            <w:pPr>
              <w:pStyle w:val="TableBodyText"/>
              <w:jc w:val="left"/>
            </w:pPr>
            <w:r w:rsidRPr="00CF7069">
              <w:t>Financ</w:t>
            </w:r>
            <w:r>
              <w:t>e</w:t>
            </w:r>
          </w:p>
        </w:tc>
        <w:tc>
          <w:tcPr>
            <w:tcW w:w="1250" w:type="pct"/>
            <w:vAlign w:val="bottom"/>
          </w:tcPr>
          <w:p w:rsidR="00EB4B71" w:rsidRPr="00CF7069" w:rsidRDefault="00EB4B71" w:rsidP="00E900F6">
            <w:pPr>
              <w:pStyle w:val="TableBodyText"/>
            </w:pPr>
            <w:r w:rsidRPr="00CF7069">
              <w:t>0.41</w:t>
            </w:r>
          </w:p>
        </w:tc>
        <w:tc>
          <w:tcPr>
            <w:tcW w:w="1249" w:type="pct"/>
            <w:vAlign w:val="bottom"/>
          </w:tcPr>
          <w:p w:rsidR="00EB4B71" w:rsidRPr="00CF7069" w:rsidRDefault="00EB4B71" w:rsidP="00E900F6">
            <w:pPr>
              <w:pStyle w:val="TableBodyText"/>
            </w:pPr>
            <w:r w:rsidRPr="00CF7069">
              <w:t>-0.16</w:t>
            </w:r>
          </w:p>
        </w:tc>
        <w:tc>
          <w:tcPr>
            <w:tcW w:w="1248" w:type="pct"/>
            <w:vAlign w:val="bottom"/>
          </w:tcPr>
          <w:p w:rsidR="00EB4B71" w:rsidRPr="00CF7069" w:rsidRDefault="00EB4B71" w:rsidP="00E900F6">
            <w:pPr>
              <w:pStyle w:val="TableBodyText"/>
            </w:pPr>
            <w:r w:rsidRPr="00CF7069">
              <w:t>0.56</w:t>
            </w:r>
          </w:p>
        </w:tc>
      </w:tr>
      <w:tr w:rsidR="00EB4B71" w:rsidTr="00E900F6">
        <w:tc>
          <w:tcPr>
            <w:tcW w:w="1253" w:type="pct"/>
            <w:vAlign w:val="bottom"/>
          </w:tcPr>
          <w:p w:rsidR="00EB4B71" w:rsidRPr="00CF7069" w:rsidRDefault="00EB4B71" w:rsidP="00E900F6">
            <w:pPr>
              <w:pStyle w:val="TableBodyText"/>
              <w:jc w:val="left"/>
            </w:pPr>
            <w:r w:rsidRPr="00CF7069">
              <w:t>Arts &amp; rec</w:t>
            </w:r>
          </w:p>
        </w:tc>
        <w:tc>
          <w:tcPr>
            <w:tcW w:w="1250" w:type="pct"/>
            <w:vAlign w:val="bottom"/>
          </w:tcPr>
          <w:p w:rsidR="00EB4B71" w:rsidRPr="00CF7069" w:rsidRDefault="00EB4B71" w:rsidP="00E900F6">
            <w:pPr>
              <w:pStyle w:val="TableBodyText"/>
            </w:pPr>
            <w:r w:rsidRPr="00CF7069">
              <w:t>0.13</w:t>
            </w:r>
          </w:p>
        </w:tc>
        <w:tc>
          <w:tcPr>
            <w:tcW w:w="1249" w:type="pct"/>
            <w:vAlign w:val="bottom"/>
          </w:tcPr>
          <w:p w:rsidR="00EB4B71" w:rsidRPr="00CF7069" w:rsidRDefault="00EB4B71" w:rsidP="00E900F6">
            <w:pPr>
              <w:pStyle w:val="TableBodyText"/>
            </w:pPr>
            <w:r w:rsidRPr="00CF7069">
              <w:t>0.18</w:t>
            </w:r>
          </w:p>
        </w:tc>
        <w:tc>
          <w:tcPr>
            <w:tcW w:w="1248" w:type="pct"/>
            <w:vAlign w:val="bottom"/>
          </w:tcPr>
          <w:p w:rsidR="00EB4B71" w:rsidRPr="00CF7069" w:rsidRDefault="00EB4B71" w:rsidP="00E900F6">
            <w:pPr>
              <w:pStyle w:val="TableBodyText"/>
            </w:pPr>
            <w:r w:rsidRPr="00CF7069">
              <w:t>-0.05</w:t>
            </w:r>
          </w:p>
        </w:tc>
      </w:tr>
      <w:tr w:rsidR="00EB4B71" w:rsidTr="00E900F6">
        <w:tc>
          <w:tcPr>
            <w:tcW w:w="1253" w:type="pct"/>
            <w:tcBorders>
              <w:bottom w:val="single" w:sz="6" w:space="0" w:color="auto"/>
            </w:tcBorders>
            <w:shd w:val="clear" w:color="auto" w:fill="auto"/>
            <w:vAlign w:val="bottom"/>
          </w:tcPr>
          <w:p w:rsidR="00EB4B71" w:rsidRPr="00CF7069" w:rsidRDefault="00EB4B71" w:rsidP="00F55387">
            <w:pPr>
              <w:pStyle w:val="TableBodyText"/>
              <w:spacing w:before="120"/>
              <w:jc w:val="left"/>
            </w:pPr>
            <w:r w:rsidRPr="00CF7069">
              <w:t>Market sector</w:t>
            </w:r>
            <w:r w:rsidR="00F55387">
              <w:t xml:space="preserve"> 12</w:t>
            </w:r>
          </w:p>
        </w:tc>
        <w:tc>
          <w:tcPr>
            <w:tcW w:w="1250" w:type="pct"/>
            <w:tcBorders>
              <w:bottom w:val="single" w:sz="6" w:space="0" w:color="auto"/>
            </w:tcBorders>
            <w:shd w:val="clear" w:color="auto" w:fill="auto"/>
            <w:vAlign w:val="bottom"/>
          </w:tcPr>
          <w:p w:rsidR="00EB4B71" w:rsidRPr="00CF7069" w:rsidRDefault="00EB4B71" w:rsidP="00F55387">
            <w:pPr>
              <w:pStyle w:val="TableBodyText"/>
              <w:spacing w:before="120"/>
            </w:pPr>
            <w:r w:rsidRPr="00CF7069">
              <w:t>1.5</w:t>
            </w:r>
          </w:p>
        </w:tc>
        <w:tc>
          <w:tcPr>
            <w:tcW w:w="1249" w:type="pct"/>
            <w:tcBorders>
              <w:bottom w:val="single" w:sz="6" w:space="0" w:color="auto"/>
            </w:tcBorders>
            <w:vAlign w:val="bottom"/>
          </w:tcPr>
          <w:p w:rsidR="00EB4B71" w:rsidRPr="00CF7069" w:rsidRDefault="00EB4B71" w:rsidP="00F55387">
            <w:pPr>
              <w:pStyle w:val="TableBodyText"/>
              <w:spacing w:before="120"/>
            </w:pPr>
            <w:r w:rsidRPr="00CF7069">
              <w:t>2.6</w:t>
            </w:r>
          </w:p>
        </w:tc>
        <w:tc>
          <w:tcPr>
            <w:tcW w:w="1248" w:type="pct"/>
            <w:tcBorders>
              <w:bottom w:val="single" w:sz="6" w:space="0" w:color="auto"/>
            </w:tcBorders>
            <w:shd w:val="clear" w:color="auto" w:fill="auto"/>
            <w:vAlign w:val="bottom"/>
          </w:tcPr>
          <w:p w:rsidR="00EB4B71" w:rsidRPr="00CF7069" w:rsidRDefault="00EB4B71" w:rsidP="00F55387">
            <w:pPr>
              <w:pStyle w:val="TableBodyText"/>
              <w:spacing w:before="120"/>
            </w:pPr>
            <w:r w:rsidRPr="00CF7069">
              <w:t>-1.1</w:t>
            </w:r>
          </w:p>
        </w:tc>
      </w:tr>
    </w:tbl>
    <w:p w:rsidR="00D5481A" w:rsidRDefault="00D5481A" w:rsidP="00D5481A">
      <w:pPr>
        <w:pStyle w:val="Source"/>
      </w:pPr>
      <w:r>
        <w:rPr>
          <w:i/>
        </w:rPr>
        <w:t>Source</w:t>
      </w:r>
      <w:r w:rsidRPr="00167F06">
        <w:t>:</w:t>
      </w:r>
      <w:r>
        <w:t xml:space="preserve"> Author’s estimates</w:t>
      </w:r>
      <w:r w:rsidRPr="00167F06">
        <w:t xml:space="preserve"> </w:t>
      </w:r>
      <w:r>
        <w:t xml:space="preserve">based on ABS </w:t>
      </w:r>
      <w:r w:rsidR="005E5264">
        <w:t>(</w:t>
      </w:r>
      <w:r>
        <w:t>Cat</w:t>
      </w:r>
      <w:r w:rsidR="00F55387">
        <w:t>. n</w:t>
      </w:r>
      <w:r>
        <w:t>o</w:t>
      </w:r>
      <w:r w:rsidR="00F55387">
        <w:t>.</w:t>
      </w:r>
      <w:r>
        <w:t xml:space="preserve"> 5260.0550.02</w:t>
      </w:r>
      <w:r w:rsidR="005E5264">
        <w:t>)</w:t>
      </w:r>
      <w:r>
        <w:t>.</w:t>
      </w:r>
    </w:p>
    <w:p w:rsidR="0067126A" w:rsidRDefault="0067126A">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5E5264">
        <w:rPr>
          <w:b w:val="0"/>
        </w:rPr>
        <w:t>5.</w:t>
      </w:r>
      <w:r>
        <w:rPr>
          <w:b w:val="0"/>
        </w:rPr>
        <w:fldChar w:fldCharType="end"/>
      </w:r>
      <w:r>
        <w:rPr>
          <w:b w:val="0"/>
        </w:rPr>
        <w:fldChar w:fldCharType="begin"/>
      </w:r>
      <w:r>
        <w:rPr>
          <w:b w:val="0"/>
        </w:rPr>
        <w:instrText xml:space="preserve"> SEQ Figure \* ARABIC </w:instrText>
      </w:r>
      <w:r>
        <w:rPr>
          <w:b w:val="0"/>
        </w:rPr>
        <w:fldChar w:fldCharType="separate"/>
      </w:r>
      <w:r w:rsidR="00F92682">
        <w:rPr>
          <w:b w:val="0"/>
          <w:noProof/>
        </w:rPr>
        <w:t>3</w:t>
      </w:r>
      <w:r>
        <w:rPr>
          <w:b w:val="0"/>
        </w:rPr>
        <w:fldChar w:fldCharType="end"/>
      </w:r>
      <w:r>
        <w:tab/>
      </w:r>
      <w:bookmarkStart w:id="4" w:name="FigureTitle"/>
      <w:r>
        <w:t>Industry</w:t>
      </w:r>
      <w:bookmarkEnd w:id="4"/>
      <w:r>
        <w:t xml:space="preserve"> contributions to accelerations in labour income and capital income and </w:t>
      </w:r>
      <w:r w:rsidR="007D0D44">
        <w:t xml:space="preserve">to </w:t>
      </w:r>
      <w:r>
        <w:t>the difference between the two</w:t>
      </w:r>
    </w:p>
    <w:p w:rsidR="0067126A" w:rsidRDefault="0067126A">
      <w:pPr>
        <w:pStyle w:val="Subtitle"/>
      </w:pPr>
      <w:r>
        <w:t>percentage points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7126A">
        <w:tc>
          <w:tcPr>
            <w:tcW w:w="8777" w:type="dxa"/>
          </w:tcPr>
          <w:p w:rsidR="0067126A" w:rsidRDefault="00B23FF2">
            <w:pPr>
              <w:pStyle w:val="Figure"/>
            </w:pPr>
            <w:r>
              <w:rPr>
                <w:noProof/>
              </w:rPr>
              <w:drawing>
                <wp:inline distT="0" distB="0" distL="0" distR="0">
                  <wp:extent cx="4572000" cy="2724150"/>
                  <wp:effectExtent l="0" t="0" r="0" b="0"/>
                  <wp:docPr id="93" name="Picture 93" descr="Industry contributions to accelerations in labour income and capital income and the difference between the two. This figure shows that the negative Mining contribution to the difference between the acceleration in labour income and acceleration in capital income stands out, because of the industry’s strong contribution to the acceleration in capital inc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2724150"/>
                          </a:xfrm>
                          <a:prstGeom prst="rect">
                            <a:avLst/>
                          </a:prstGeom>
                          <a:noFill/>
                          <a:ln>
                            <a:noFill/>
                          </a:ln>
                        </pic:spPr>
                      </pic:pic>
                    </a:graphicData>
                  </a:graphic>
                </wp:inline>
              </w:drawing>
            </w:r>
          </w:p>
        </w:tc>
      </w:tr>
    </w:tbl>
    <w:p w:rsidR="00D5481A" w:rsidRDefault="00F55387" w:rsidP="00D5481A">
      <w:pPr>
        <w:pStyle w:val="Source"/>
      </w:pPr>
      <w:r>
        <w:rPr>
          <w:i/>
        </w:rPr>
        <w:t>Data s</w:t>
      </w:r>
      <w:r w:rsidR="00D5481A">
        <w:rPr>
          <w:i/>
        </w:rPr>
        <w:t>ource</w:t>
      </w:r>
      <w:r w:rsidR="00D5481A" w:rsidRPr="00167F06">
        <w:t>:</w:t>
      </w:r>
      <w:r w:rsidR="00D5481A">
        <w:t xml:space="preserve"> Author’s estimates</w:t>
      </w:r>
      <w:r w:rsidR="00D5481A" w:rsidRPr="00167F06">
        <w:t xml:space="preserve"> </w:t>
      </w:r>
      <w:r w:rsidR="00D5481A">
        <w:t xml:space="preserve">based on ABS </w:t>
      </w:r>
      <w:r w:rsidR="005E5264">
        <w:t>(</w:t>
      </w:r>
      <w:r>
        <w:t>Cat. no.</w:t>
      </w:r>
      <w:r w:rsidR="00D5481A">
        <w:t xml:space="preserve"> 5260.0550.02</w:t>
      </w:r>
      <w:r w:rsidR="005E5264">
        <w:t>)</w:t>
      </w:r>
      <w:r w:rsidR="00D5481A">
        <w:t>.</w:t>
      </w:r>
    </w:p>
    <w:p w:rsidR="00A44039" w:rsidRDefault="00A44039" w:rsidP="005D5FBC">
      <w:pPr>
        <w:pStyle w:val="BodyText"/>
        <w:spacing w:before="200"/>
      </w:pPr>
      <w:r>
        <w:t xml:space="preserve">From this view point, Mining made by far the strongest structural contribution to the fall in the aggregate </w:t>
      </w:r>
      <w:proofErr w:type="spellStart"/>
      <w:r>
        <w:t>LIS</w:t>
      </w:r>
      <w:proofErr w:type="spellEnd"/>
      <w:r>
        <w:t>. It accounted for 1.2</w:t>
      </w:r>
      <w:r w:rsidR="006239C7">
        <w:t xml:space="preserve"> percentage points</w:t>
      </w:r>
      <w:r>
        <w:t xml:space="preserve"> of the 1.1 wider gap between labour and capital income growth. Unsurprisingly, this was because it </w:t>
      </w:r>
      <w:r>
        <w:lastRenderedPageBreak/>
        <w:t>contributed so much (1.5</w:t>
      </w:r>
      <w:r w:rsidR="006239C7">
        <w:t xml:space="preserve"> percentage points</w:t>
      </w:r>
      <w:r>
        <w:t>) to the acceleration in capital income growth.</w:t>
      </w:r>
    </w:p>
    <w:p w:rsidR="00200793" w:rsidRDefault="00704155" w:rsidP="005D5FBC">
      <w:pPr>
        <w:pStyle w:val="BodyText"/>
        <w:spacing w:before="200"/>
      </w:pPr>
      <w:r>
        <w:t>Again, the contributions from other industries were smaller and essentially offset each other. The ‘second tier’ contributors to the wider factor income growth gap were Agriculture (-0.5</w:t>
      </w:r>
      <w:r w:rsidR="006239C7">
        <w:t xml:space="preserve"> percentage points</w:t>
      </w:r>
      <w:r>
        <w:t>), Retail (-0.3</w:t>
      </w:r>
      <w:r w:rsidR="006239C7">
        <w:t xml:space="preserve"> percentage points</w:t>
      </w:r>
      <w:r>
        <w:t>) and Accommodation (-0.2</w:t>
      </w:r>
      <w:r w:rsidR="006239C7">
        <w:t xml:space="preserve"> percentage points</w:t>
      </w:r>
      <w:r>
        <w:t xml:space="preserve">). </w:t>
      </w:r>
      <w:r w:rsidR="00200793">
        <w:t>Finance made a relatively large counter contribution (0.6</w:t>
      </w:r>
      <w:r w:rsidR="006239C7">
        <w:t xml:space="preserve"> percentage points</w:t>
      </w:r>
      <w:r w:rsidR="00200793">
        <w:t>). It had a much stronger labour income contribution, whereas its capital contribution fell.</w:t>
      </w:r>
    </w:p>
    <w:p w:rsidR="00200793" w:rsidRDefault="00200793" w:rsidP="005D5FBC">
      <w:pPr>
        <w:pStyle w:val="BodyText"/>
        <w:spacing w:before="200"/>
      </w:pPr>
      <w:r>
        <w:t>Construction and Manufacturing also moved in the counter direction, working to narrow the gap between labour and capital income growth. Construction had a much larger labour contribution, whereas Manufacturing mostly had a smaller capital contribution.</w:t>
      </w:r>
    </w:p>
    <w:p w:rsidR="00FA55E7" w:rsidRDefault="0067126A" w:rsidP="005D5FBC">
      <w:pPr>
        <w:pStyle w:val="BodyText"/>
        <w:spacing w:before="200"/>
      </w:pPr>
      <w:r>
        <w:t>With</w:t>
      </w:r>
      <w:r w:rsidR="005D5FBC">
        <w:t xml:space="preserve"> this approach, ‘within-</w:t>
      </w:r>
      <w:r w:rsidR="00FA55E7">
        <w:t xml:space="preserve">industry’ and reallocation effects between industries are not distinguished. </w:t>
      </w:r>
      <w:r w:rsidR="00A5768C">
        <w:t xml:space="preserve">Rather this approach identifies what the different industries contributed to the observed aggregate difference between </w:t>
      </w:r>
      <w:r w:rsidR="00D82A69">
        <w:t>labour and capital income growth</w:t>
      </w:r>
      <w:r w:rsidR="00A5768C">
        <w:t xml:space="preserve">. This takes account of </w:t>
      </w:r>
      <w:r w:rsidR="00D82A69">
        <w:t xml:space="preserve">the importance of an industry to market sector labour or capital income, which the shift-share approach does not. The shift share approach takes account of the importance of an industry in terms of </w:t>
      </w:r>
      <w:r w:rsidR="0095518D">
        <w:t xml:space="preserve">its share of </w:t>
      </w:r>
      <w:r w:rsidR="0095518D" w:rsidRPr="006F255C">
        <w:rPr>
          <w:i/>
        </w:rPr>
        <w:t>total</w:t>
      </w:r>
      <w:r w:rsidR="0095518D">
        <w:t xml:space="preserve"> </w:t>
      </w:r>
      <w:r w:rsidR="0095518D" w:rsidRPr="00D5481A">
        <w:rPr>
          <w:i/>
        </w:rPr>
        <w:t>income</w:t>
      </w:r>
      <w:r w:rsidR="0095518D">
        <w:t xml:space="preserve"> in the market sector. </w:t>
      </w:r>
    </w:p>
    <w:p w:rsidR="008015FC" w:rsidRDefault="0067126A" w:rsidP="008015FC">
      <w:pPr>
        <w:pStyle w:val="Heading4"/>
      </w:pPr>
      <w:r>
        <w:t>A digression on s</w:t>
      </w:r>
      <w:r w:rsidR="008015FC">
        <w:t xml:space="preserve">cale and reallocation effects </w:t>
      </w:r>
    </w:p>
    <w:p w:rsidR="008015FC" w:rsidRDefault="008015FC" w:rsidP="005D5FBC">
      <w:pPr>
        <w:pStyle w:val="BodyText"/>
        <w:spacing w:before="200"/>
      </w:pPr>
      <w:r>
        <w:t xml:space="preserve">There is a way to calculate reallocation effects, </w:t>
      </w:r>
      <w:r w:rsidR="0067126A">
        <w:t>within</w:t>
      </w:r>
      <w:r>
        <w:t xml:space="preserve"> the factor income decomposition approach. But, rather than distinguish between ‘within’ and ‘between’ effects, the approach suggested here distinguishes between ‘scale’ and ‘reallocation’ effects.</w:t>
      </w:r>
    </w:p>
    <w:p w:rsidR="009D3612" w:rsidRDefault="009D3612" w:rsidP="005D5FBC">
      <w:pPr>
        <w:pStyle w:val="BodyText"/>
        <w:spacing w:before="200"/>
      </w:pPr>
      <w:r>
        <w:t>Th</w:t>
      </w:r>
      <w:r w:rsidR="001D64DE">
        <w:t>is</w:t>
      </w:r>
      <w:r>
        <w:t xml:space="preserve"> further decomposition is presented here, more for methodological illustration and confirmation of trends, than for provision of fresh insights.</w:t>
      </w:r>
    </w:p>
    <w:p w:rsidR="008015FC" w:rsidRDefault="008015FC" w:rsidP="005D5FBC">
      <w:pPr>
        <w:pStyle w:val="BodyText"/>
        <w:spacing w:before="200"/>
      </w:pPr>
      <w:r>
        <w:t xml:space="preserve">The first step is to scale up the industry contributions to factor income growth in the </w:t>
      </w:r>
      <w:proofErr w:type="spellStart"/>
      <w:r>
        <w:t>1990s</w:t>
      </w:r>
      <w:proofErr w:type="spellEnd"/>
      <w:r w:rsidR="00BF7FA2">
        <w:t>,</w:t>
      </w:r>
      <w:r>
        <w:t xml:space="preserve"> according to the additional growth in factor incomes in the </w:t>
      </w:r>
      <w:proofErr w:type="spellStart"/>
      <w:r>
        <w:t>2000s</w:t>
      </w:r>
      <w:proofErr w:type="spellEnd"/>
      <w:r>
        <w:t xml:space="preserve">. </w:t>
      </w:r>
      <w:r w:rsidR="00BF7FA2">
        <w:t xml:space="preserve">Each </w:t>
      </w:r>
      <w:proofErr w:type="spellStart"/>
      <w:r w:rsidR="00BF7FA2">
        <w:t>1990s</w:t>
      </w:r>
      <w:proofErr w:type="spellEnd"/>
      <w:r w:rsidR="00BF7FA2">
        <w:t xml:space="preserve"> contribution is multiplied by the ratio of </w:t>
      </w:r>
      <w:proofErr w:type="spellStart"/>
      <w:r w:rsidR="00BF7FA2">
        <w:t>2000s</w:t>
      </w:r>
      <w:proofErr w:type="spellEnd"/>
      <w:r w:rsidR="00BF7FA2">
        <w:t xml:space="preserve"> growth to </w:t>
      </w:r>
      <w:proofErr w:type="spellStart"/>
      <w:r w:rsidR="00BF7FA2">
        <w:t>1990s</w:t>
      </w:r>
      <w:proofErr w:type="spellEnd"/>
      <w:r w:rsidR="00BF7FA2">
        <w:t xml:space="preserve"> growth at the market sector level. The results are the entries under the </w:t>
      </w:r>
      <w:r>
        <w:t>‘</w:t>
      </w:r>
      <w:r w:rsidR="00BF7FA2">
        <w:t>S</w:t>
      </w:r>
      <w:r>
        <w:t xml:space="preserve">cale’ </w:t>
      </w:r>
      <w:r w:rsidR="00BF7FA2">
        <w:t xml:space="preserve">column in table 5.7. </w:t>
      </w:r>
    </w:p>
    <w:p w:rsidR="00BF7FA2" w:rsidRDefault="008015FC" w:rsidP="005D5FBC">
      <w:pPr>
        <w:pStyle w:val="BodyText"/>
        <w:spacing w:before="200"/>
      </w:pPr>
      <w:r>
        <w:t xml:space="preserve">The second step is to take the difference between the actual </w:t>
      </w:r>
      <w:proofErr w:type="spellStart"/>
      <w:r>
        <w:t>2000s</w:t>
      </w:r>
      <w:proofErr w:type="spellEnd"/>
      <w:r>
        <w:t xml:space="preserve"> industry contributions </w:t>
      </w:r>
      <w:r w:rsidR="00BF7FA2">
        <w:t xml:space="preserve">(table 5.5) </w:t>
      </w:r>
      <w:r>
        <w:t xml:space="preserve">and the scaled up contributions. These are the reallocation effects. </w:t>
      </w:r>
    </w:p>
    <w:p w:rsidR="00BF7FA2" w:rsidRDefault="00BF7FA2" w:rsidP="008015FC">
      <w:pPr>
        <w:pStyle w:val="BodyText"/>
      </w:pPr>
      <w:r>
        <w:t xml:space="preserve">The net </w:t>
      </w:r>
      <w:r w:rsidR="001D7DF8">
        <w:t>contributions</w:t>
      </w:r>
      <w:r>
        <w:t xml:space="preserve"> in </w:t>
      </w:r>
      <w:r w:rsidR="001D64DE">
        <w:t>panel</w:t>
      </w:r>
      <w:r>
        <w:t xml:space="preserve"> C of table 5.7 </w:t>
      </w:r>
      <w:r w:rsidR="001D7DF8">
        <w:t>are</w:t>
      </w:r>
      <w:r>
        <w:t xml:space="preserve"> the difference</w:t>
      </w:r>
      <w:r w:rsidR="001D7DF8">
        <w:t>s</w:t>
      </w:r>
      <w:r>
        <w:t xml:space="preserve"> between the labour contributions </w:t>
      </w:r>
      <w:r w:rsidR="001D64DE">
        <w:t xml:space="preserve">(panel A) </w:t>
      </w:r>
      <w:r>
        <w:t>and the capital contributions</w:t>
      </w:r>
      <w:r w:rsidR="001D64DE">
        <w:t xml:space="preserve"> (panel B)</w:t>
      </w:r>
      <w:r>
        <w:t>.</w:t>
      </w:r>
    </w:p>
    <w:p w:rsidR="00EC16DC" w:rsidRPr="00EC16DC" w:rsidRDefault="00EC16DC" w:rsidP="007D0D44">
      <w:pPr>
        <w:pStyle w:val="TableTitle"/>
        <w:ind w:left="1276" w:hanging="1276"/>
      </w:pPr>
      <w:r w:rsidRPr="00EC16DC">
        <w:rPr>
          <w:b w:val="0"/>
        </w:rPr>
        <w:lastRenderedPageBreak/>
        <w:t xml:space="preserve">Table </w:t>
      </w:r>
      <w:r w:rsidRPr="00EC16DC">
        <w:rPr>
          <w:b w:val="0"/>
        </w:rPr>
        <w:fldChar w:fldCharType="begin"/>
      </w:r>
      <w:r w:rsidRPr="00EC16DC">
        <w:rPr>
          <w:b w:val="0"/>
        </w:rPr>
        <w:instrText xml:space="preserve"> COMMENTS  \* MERGEFORMAT </w:instrText>
      </w:r>
      <w:r w:rsidRPr="00EC16DC">
        <w:rPr>
          <w:b w:val="0"/>
        </w:rPr>
        <w:fldChar w:fldCharType="separate"/>
      </w:r>
      <w:r w:rsidR="005E5264">
        <w:rPr>
          <w:b w:val="0"/>
        </w:rPr>
        <w:t>5.</w:t>
      </w:r>
      <w:r w:rsidRPr="00EC16DC">
        <w:rPr>
          <w:b w:val="0"/>
        </w:rPr>
        <w:fldChar w:fldCharType="end"/>
      </w:r>
      <w:r w:rsidRPr="00EC16DC">
        <w:rPr>
          <w:b w:val="0"/>
        </w:rPr>
        <w:fldChar w:fldCharType="begin"/>
      </w:r>
      <w:r w:rsidRPr="00EC16DC">
        <w:rPr>
          <w:b w:val="0"/>
        </w:rPr>
        <w:instrText xml:space="preserve"> SEQ Table \* ARABIC </w:instrText>
      </w:r>
      <w:r w:rsidRPr="00EC16DC">
        <w:rPr>
          <w:b w:val="0"/>
        </w:rPr>
        <w:fldChar w:fldCharType="separate"/>
      </w:r>
      <w:r w:rsidR="00F92682">
        <w:rPr>
          <w:b w:val="0"/>
          <w:noProof/>
        </w:rPr>
        <w:t>7</w:t>
      </w:r>
      <w:r w:rsidRPr="00EC16DC">
        <w:rPr>
          <w:b w:val="0"/>
        </w:rPr>
        <w:fldChar w:fldCharType="end"/>
      </w:r>
      <w:r w:rsidRPr="00EC16DC">
        <w:tab/>
        <w:t xml:space="preserve">Scale and reallocation contributions in the </w:t>
      </w:r>
      <w:proofErr w:type="spellStart"/>
      <w:r w:rsidRPr="00EC16DC">
        <w:t>2000s</w:t>
      </w:r>
      <w:proofErr w:type="spellEnd"/>
      <w:r w:rsidRPr="00EC16DC">
        <w:t xml:space="preserve"> to labour income growth, capital income</w:t>
      </w:r>
      <w:r w:rsidR="007D0D44">
        <w:t xml:space="preserve"> growth</w:t>
      </w:r>
      <w:r w:rsidRPr="00EC16DC">
        <w:t xml:space="preserve"> and the difference between the</w:t>
      </w:r>
      <w:r w:rsidR="00D5481A">
        <w:t>m</w:t>
      </w:r>
    </w:p>
    <w:p w:rsidR="00EC16DC" w:rsidRDefault="007D0D44" w:rsidP="007D0D44">
      <w:pPr>
        <w:pStyle w:val="Subtitle"/>
        <w:ind w:left="1276" w:hanging="1276"/>
      </w:pPr>
      <w:r>
        <w:tab/>
      </w:r>
      <w:r w:rsidR="00EC16DC">
        <w:t>percentage points</w:t>
      </w:r>
    </w:p>
    <w:tbl>
      <w:tblPr>
        <w:tblW w:w="5000" w:type="pct"/>
        <w:tblCellMar>
          <w:left w:w="0" w:type="dxa"/>
          <w:right w:w="0" w:type="dxa"/>
        </w:tblCellMar>
        <w:tblLook w:val="0000" w:firstRow="0" w:lastRow="0" w:firstColumn="0" w:lastColumn="0" w:noHBand="0" w:noVBand="0"/>
      </w:tblPr>
      <w:tblGrid>
        <w:gridCol w:w="2816"/>
        <w:gridCol w:w="2072"/>
        <w:gridCol w:w="2372"/>
        <w:gridCol w:w="1925"/>
      </w:tblGrid>
      <w:tr w:rsidR="00EC16DC" w:rsidRPr="00EC16DC" w:rsidTr="00EC16DC">
        <w:tc>
          <w:tcPr>
            <w:tcW w:w="1533" w:type="pct"/>
            <w:tcBorders>
              <w:top w:val="single" w:sz="6" w:space="0" w:color="auto"/>
              <w:bottom w:val="single" w:sz="4" w:space="0" w:color="auto"/>
            </w:tcBorders>
            <w:shd w:val="clear" w:color="auto" w:fill="auto"/>
          </w:tcPr>
          <w:p w:rsidR="00EC16DC" w:rsidRPr="00EC16DC" w:rsidRDefault="00EC16DC" w:rsidP="00EC16DC">
            <w:pPr>
              <w:pStyle w:val="TableColumnHeading"/>
            </w:pPr>
          </w:p>
        </w:tc>
        <w:tc>
          <w:tcPr>
            <w:tcW w:w="1128" w:type="pct"/>
            <w:tcBorders>
              <w:top w:val="single" w:sz="6" w:space="0" w:color="auto"/>
              <w:bottom w:val="single" w:sz="4" w:space="0" w:color="auto"/>
            </w:tcBorders>
            <w:vAlign w:val="bottom"/>
          </w:tcPr>
          <w:p w:rsidR="00EC16DC" w:rsidRPr="00EC16DC" w:rsidRDefault="00EC16DC" w:rsidP="00EC16DC">
            <w:pPr>
              <w:pStyle w:val="TableColumnHeading"/>
            </w:pPr>
            <w:r w:rsidRPr="00EC16DC">
              <w:t>Scale</w:t>
            </w:r>
          </w:p>
        </w:tc>
        <w:tc>
          <w:tcPr>
            <w:tcW w:w="1291" w:type="pct"/>
            <w:tcBorders>
              <w:top w:val="single" w:sz="6" w:space="0" w:color="auto"/>
              <w:bottom w:val="single" w:sz="4" w:space="0" w:color="auto"/>
            </w:tcBorders>
            <w:shd w:val="clear" w:color="auto" w:fill="auto"/>
            <w:vAlign w:val="bottom"/>
          </w:tcPr>
          <w:p w:rsidR="00EC16DC" w:rsidRPr="00EC16DC" w:rsidRDefault="00EC16DC" w:rsidP="00EC16DC">
            <w:pPr>
              <w:pStyle w:val="TableColumnHeading"/>
            </w:pPr>
            <w:r w:rsidRPr="00EC16DC">
              <w:t>Reallocation</w:t>
            </w:r>
          </w:p>
        </w:tc>
        <w:tc>
          <w:tcPr>
            <w:tcW w:w="1048" w:type="pct"/>
            <w:tcBorders>
              <w:top w:val="single" w:sz="6" w:space="0" w:color="auto"/>
              <w:bottom w:val="single" w:sz="4" w:space="0" w:color="auto"/>
            </w:tcBorders>
            <w:shd w:val="clear" w:color="auto" w:fill="auto"/>
            <w:vAlign w:val="bottom"/>
          </w:tcPr>
          <w:p w:rsidR="00EC16DC" w:rsidRPr="00EC16DC" w:rsidRDefault="00EC16DC" w:rsidP="00EC16DC">
            <w:pPr>
              <w:pStyle w:val="TableColumnHeading"/>
            </w:pPr>
            <w:r w:rsidRPr="00EC16DC">
              <w:t>Total</w:t>
            </w:r>
          </w:p>
        </w:tc>
      </w:tr>
      <w:tr w:rsidR="00EC16DC" w:rsidRPr="00EC16DC" w:rsidTr="00EC16DC">
        <w:tc>
          <w:tcPr>
            <w:tcW w:w="5000" w:type="pct"/>
            <w:gridSpan w:val="4"/>
            <w:tcBorders>
              <w:top w:val="single" w:sz="4" w:space="0" w:color="auto"/>
            </w:tcBorders>
            <w:vAlign w:val="bottom"/>
          </w:tcPr>
          <w:p w:rsidR="00EC16DC" w:rsidRPr="00EC16DC" w:rsidRDefault="00EC16DC" w:rsidP="007D0D44">
            <w:pPr>
              <w:pStyle w:val="TableBodyText"/>
              <w:spacing w:before="40"/>
              <w:jc w:val="left"/>
              <w:rPr>
                <w:b/>
                <w:i/>
              </w:rPr>
            </w:pPr>
            <w:r w:rsidRPr="00EC16DC">
              <w:rPr>
                <w:b/>
                <w:i/>
              </w:rPr>
              <w:t>A. Labour income</w:t>
            </w:r>
          </w:p>
        </w:tc>
      </w:tr>
      <w:tr w:rsidR="00EC16DC" w:rsidTr="00EC16DC">
        <w:tc>
          <w:tcPr>
            <w:tcW w:w="1533" w:type="pct"/>
            <w:vAlign w:val="bottom"/>
          </w:tcPr>
          <w:p w:rsidR="00EC16DC" w:rsidRPr="008015FC" w:rsidRDefault="00EC16DC" w:rsidP="00EC16DC">
            <w:pPr>
              <w:pStyle w:val="TableBodyText"/>
              <w:jc w:val="left"/>
            </w:pPr>
            <w:r w:rsidRPr="008015FC">
              <w:t>Agriculture</w:t>
            </w:r>
          </w:p>
        </w:tc>
        <w:tc>
          <w:tcPr>
            <w:tcW w:w="1128" w:type="pct"/>
            <w:vAlign w:val="bottom"/>
          </w:tcPr>
          <w:p w:rsidR="00EC16DC" w:rsidRPr="008015FC" w:rsidRDefault="00EC16DC" w:rsidP="00EC16DC">
            <w:pPr>
              <w:pStyle w:val="TableBodyText"/>
            </w:pPr>
            <w:r w:rsidRPr="008015FC">
              <w:t>0.21</w:t>
            </w:r>
          </w:p>
        </w:tc>
        <w:tc>
          <w:tcPr>
            <w:tcW w:w="1291" w:type="pct"/>
            <w:vAlign w:val="bottom"/>
          </w:tcPr>
          <w:p w:rsidR="00EC16DC" w:rsidRPr="008015FC" w:rsidRDefault="00EC16DC" w:rsidP="00EC16DC">
            <w:pPr>
              <w:pStyle w:val="TableBodyText"/>
            </w:pPr>
            <w:r w:rsidRPr="008015FC">
              <w:t>-0.16</w:t>
            </w:r>
          </w:p>
        </w:tc>
        <w:tc>
          <w:tcPr>
            <w:tcW w:w="1048" w:type="pct"/>
            <w:vAlign w:val="bottom"/>
          </w:tcPr>
          <w:p w:rsidR="00EC16DC" w:rsidRPr="008015FC" w:rsidRDefault="00EC16DC" w:rsidP="00EC16DC">
            <w:pPr>
              <w:pStyle w:val="TableBodyText"/>
            </w:pPr>
            <w:r w:rsidRPr="008015FC">
              <w:t>0.04</w:t>
            </w:r>
          </w:p>
        </w:tc>
      </w:tr>
      <w:tr w:rsidR="00EC16DC" w:rsidTr="00EC16DC">
        <w:tc>
          <w:tcPr>
            <w:tcW w:w="1533" w:type="pct"/>
            <w:vAlign w:val="bottom"/>
          </w:tcPr>
          <w:p w:rsidR="00EC16DC" w:rsidRPr="008015FC" w:rsidRDefault="00EC16DC" w:rsidP="00EC16DC">
            <w:pPr>
              <w:pStyle w:val="TableBodyText"/>
              <w:jc w:val="left"/>
            </w:pPr>
            <w:r w:rsidRPr="008015FC">
              <w:t>Mining</w:t>
            </w:r>
          </w:p>
        </w:tc>
        <w:tc>
          <w:tcPr>
            <w:tcW w:w="1128" w:type="pct"/>
            <w:vAlign w:val="bottom"/>
          </w:tcPr>
          <w:p w:rsidR="00EC16DC" w:rsidRPr="008015FC" w:rsidRDefault="00EC16DC" w:rsidP="00EC16DC">
            <w:pPr>
              <w:pStyle w:val="TableBodyText"/>
            </w:pPr>
            <w:r w:rsidRPr="008015FC">
              <w:t>0.08</w:t>
            </w:r>
          </w:p>
        </w:tc>
        <w:tc>
          <w:tcPr>
            <w:tcW w:w="1291" w:type="pct"/>
            <w:vAlign w:val="bottom"/>
          </w:tcPr>
          <w:p w:rsidR="00EC16DC" w:rsidRPr="008015FC" w:rsidRDefault="00EC16DC" w:rsidP="00EC16DC">
            <w:pPr>
              <w:pStyle w:val="TableBodyText"/>
            </w:pPr>
            <w:r w:rsidRPr="008015FC">
              <w:t>0.27</w:t>
            </w:r>
          </w:p>
        </w:tc>
        <w:tc>
          <w:tcPr>
            <w:tcW w:w="1048" w:type="pct"/>
            <w:vAlign w:val="bottom"/>
          </w:tcPr>
          <w:p w:rsidR="00EC16DC" w:rsidRPr="008015FC" w:rsidRDefault="00EC16DC" w:rsidP="00EC16DC">
            <w:pPr>
              <w:pStyle w:val="TableBodyText"/>
            </w:pPr>
            <w:r w:rsidRPr="008015FC">
              <w:t>0.35</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Manufacturing</w:t>
            </w:r>
          </w:p>
        </w:tc>
        <w:tc>
          <w:tcPr>
            <w:tcW w:w="1128" w:type="pct"/>
            <w:vAlign w:val="bottom"/>
          </w:tcPr>
          <w:p w:rsidR="00EC16DC" w:rsidRPr="008015FC" w:rsidRDefault="00EC16DC" w:rsidP="00EC16DC">
            <w:pPr>
              <w:pStyle w:val="TableBodyText"/>
            </w:pPr>
            <w:r w:rsidRPr="008015FC">
              <w:t>0.79</w:t>
            </w:r>
          </w:p>
        </w:tc>
        <w:tc>
          <w:tcPr>
            <w:tcW w:w="1291" w:type="pct"/>
            <w:shd w:val="clear" w:color="auto" w:fill="auto"/>
            <w:vAlign w:val="bottom"/>
          </w:tcPr>
          <w:p w:rsidR="00EC16DC" w:rsidRPr="008015FC" w:rsidRDefault="00EC16DC" w:rsidP="00EC16DC">
            <w:pPr>
              <w:pStyle w:val="TableBodyText"/>
            </w:pPr>
            <w:r w:rsidRPr="008015FC">
              <w:t>-0.16</w:t>
            </w:r>
          </w:p>
        </w:tc>
        <w:tc>
          <w:tcPr>
            <w:tcW w:w="1048" w:type="pct"/>
            <w:shd w:val="clear" w:color="auto" w:fill="auto"/>
            <w:vAlign w:val="bottom"/>
          </w:tcPr>
          <w:p w:rsidR="00EC16DC" w:rsidRPr="008015FC" w:rsidRDefault="00EC16DC" w:rsidP="00EC16DC">
            <w:pPr>
              <w:pStyle w:val="TableBodyText"/>
            </w:pPr>
            <w:r w:rsidRPr="008015FC">
              <w:t>0.63</w:t>
            </w:r>
          </w:p>
        </w:tc>
      </w:tr>
      <w:tr w:rsidR="00EC16DC" w:rsidTr="00EC16DC">
        <w:tc>
          <w:tcPr>
            <w:tcW w:w="1533" w:type="pct"/>
            <w:shd w:val="clear" w:color="auto" w:fill="auto"/>
            <w:vAlign w:val="bottom"/>
          </w:tcPr>
          <w:p w:rsidR="00EC16DC" w:rsidRPr="008015FC" w:rsidRDefault="00D5481A" w:rsidP="00EC16DC">
            <w:pPr>
              <w:pStyle w:val="TableBodyText"/>
              <w:jc w:val="left"/>
            </w:pPr>
            <w:r>
              <w:t>Utilities</w:t>
            </w:r>
          </w:p>
        </w:tc>
        <w:tc>
          <w:tcPr>
            <w:tcW w:w="1128" w:type="pct"/>
            <w:vAlign w:val="bottom"/>
          </w:tcPr>
          <w:p w:rsidR="00EC16DC" w:rsidRPr="008015FC" w:rsidRDefault="00EC16DC" w:rsidP="00EC16DC">
            <w:pPr>
              <w:pStyle w:val="TableBodyText"/>
            </w:pPr>
            <w:r w:rsidRPr="008015FC">
              <w:t>-0.10</w:t>
            </w:r>
          </w:p>
        </w:tc>
        <w:tc>
          <w:tcPr>
            <w:tcW w:w="1291" w:type="pct"/>
            <w:shd w:val="clear" w:color="auto" w:fill="auto"/>
            <w:vAlign w:val="bottom"/>
          </w:tcPr>
          <w:p w:rsidR="00EC16DC" w:rsidRPr="008015FC" w:rsidRDefault="00EC16DC" w:rsidP="00EC16DC">
            <w:pPr>
              <w:pStyle w:val="TableBodyText"/>
            </w:pPr>
            <w:r w:rsidRPr="008015FC">
              <w:t>0.27</w:t>
            </w:r>
          </w:p>
        </w:tc>
        <w:tc>
          <w:tcPr>
            <w:tcW w:w="1048" w:type="pct"/>
            <w:shd w:val="clear" w:color="auto" w:fill="auto"/>
            <w:vAlign w:val="bottom"/>
          </w:tcPr>
          <w:p w:rsidR="00EC16DC" w:rsidRPr="008015FC" w:rsidRDefault="00EC16DC" w:rsidP="00EC16DC">
            <w:pPr>
              <w:pStyle w:val="TableBodyText"/>
            </w:pPr>
            <w:r w:rsidRPr="008015FC">
              <w:t>0.17</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Construction</w:t>
            </w:r>
          </w:p>
        </w:tc>
        <w:tc>
          <w:tcPr>
            <w:tcW w:w="1128" w:type="pct"/>
            <w:vAlign w:val="bottom"/>
          </w:tcPr>
          <w:p w:rsidR="00EC16DC" w:rsidRPr="008015FC" w:rsidRDefault="00EC16DC" w:rsidP="00EC16DC">
            <w:pPr>
              <w:pStyle w:val="TableBodyText"/>
            </w:pPr>
            <w:r w:rsidRPr="008015FC">
              <w:t>0.66</w:t>
            </w:r>
          </w:p>
        </w:tc>
        <w:tc>
          <w:tcPr>
            <w:tcW w:w="1291" w:type="pct"/>
            <w:shd w:val="clear" w:color="auto" w:fill="auto"/>
            <w:vAlign w:val="bottom"/>
          </w:tcPr>
          <w:p w:rsidR="00EC16DC" w:rsidRPr="008015FC" w:rsidRDefault="00EC16DC" w:rsidP="00EC16DC">
            <w:pPr>
              <w:pStyle w:val="TableBodyText"/>
            </w:pPr>
            <w:r w:rsidRPr="008015FC">
              <w:t>0.41</w:t>
            </w:r>
          </w:p>
        </w:tc>
        <w:tc>
          <w:tcPr>
            <w:tcW w:w="1048" w:type="pct"/>
            <w:shd w:val="clear" w:color="auto" w:fill="auto"/>
            <w:vAlign w:val="bottom"/>
          </w:tcPr>
          <w:p w:rsidR="00EC16DC" w:rsidRPr="008015FC" w:rsidRDefault="00EC16DC" w:rsidP="00EC16DC">
            <w:pPr>
              <w:pStyle w:val="TableBodyText"/>
            </w:pPr>
            <w:r w:rsidRPr="008015FC">
              <w:t>1.07</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Wholesale</w:t>
            </w:r>
          </w:p>
        </w:tc>
        <w:tc>
          <w:tcPr>
            <w:tcW w:w="1128" w:type="pct"/>
            <w:vAlign w:val="bottom"/>
          </w:tcPr>
          <w:p w:rsidR="00EC16DC" w:rsidRPr="008015FC" w:rsidRDefault="00EC16DC" w:rsidP="00EC16DC">
            <w:pPr>
              <w:pStyle w:val="TableBodyText"/>
            </w:pPr>
            <w:r w:rsidRPr="008015FC">
              <w:t>0.59</w:t>
            </w:r>
          </w:p>
        </w:tc>
        <w:tc>
          <w:tcPr>
            <w:tcW w:w="1291" w:type="pct"/>
            <w:shd w:val="clear" w:color="auto" w:fill="auto"/>
            <w:vAlign w:val="bottom"/>
          </w:tcPr>
          <w:p w:rsidR="00EC16DC" w:rsidRPr="008015FC" w:rsidRDefault="00EC16DC" w:rsidP="00EC16DC">
            <w:pPr>
              <w:pStyle w:val="TableBodyText"/>
            </w:pPr>
            <w:r w:rsidRPr="008015FC">
              <w:t>-0.11</w:t>
            </w:r>
          </w:p>
        </w:tc>
        <w:tc>
          <w:tcPr>
            <w:tcW w:w="1048" w:type="pct"/>
            <w:shd w:val="clear" w:color="auto" w:fill="auto"/>
            <w:vAlign w:val="bottom"/>
          </w:tcPr>
          <w:p w:rsidR="00EC16DC" w:rsidRPr="008015FC" w:rsidRDefault="00EC16DC" w:rsidP="00EC16DC">
            <w:pPr>
              <w:pStyle w:val="TableBodyText"/>
            </w:pPr>
            <w:r w:rsidRPr="008015FC">
              <w:t>0.48</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Retail</w:t>
            </w:r>
          </w:p>
        </w:tc>
        <w:tc>
          <w:tcPr>
            <w:tcW w:w="1128" w:type="pct"/>
            <w:vAlign w:val="bottom"/>
          </w:tcPr>
          <w:p w:rsidR="00EC16DC" w:rsidRPr="008015FC" w:rsidRDefault="00EC16DC" w:rsidP="00EC16DC">
            <w:pPr>
              <w:pStyle w:val="TableBodyText"/>
            </w:pPr>
            <w:r w:rsidRPr="008015FC">
              <w:t>0.80</w:t>
            </w:r>
          </w:p>
        </w:tc>
        <w:tc>
          <w:tcPr>
            <w:tcW w:w="1291" w:type="pct"/>
            <w:shd w:val="clear" w:color="auto" w:fill="auto"/>
            <w:vAlign w:val="bottom"/>
          </w:tcPr>
          <w:p w:rsidR="00EC16DC" w:rsidRPr="008015FC" w:rsidRDefault="00EC16DC" w:rsidP="00EC16DC">
            <w:pPr>
              <w:pStyle w:val="TableBodyText"/>
            </w:pPr>
            <w:r w:rsidRPr="008015FC">
              <w:t>-0.28</w:t>
            </w:r>
          </w:p>
        </w:tc>
        <w:tc>
          <w:tcPr>
            <w:tcW w:w="1048" w:type="pct"/>
            <w:shd w:val="clear" w:color="auto" w:fill="auto"/>
            <w:vAlign w:val="bottom"/>
          </w:tcPr>
          <w:p w:rsidR="00EC16DC" w:rsidRPr="008015FC" w:rsidRDefault="00EC16DC" w:rsidP="00EC16DC">
            <w:pPr>
              <w:pStyle w:val="TableBodyText"/>
            </w:pPr>
            <w:r w:rsidRPr="008015FC">
              <w:t>0.51</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Accommodation</w:t>
            </w:r>
          </w:p>
        </w:tc>
        <w:tc>
          <w:tcPr>
            <w:tcW w:w="1128" w:type="pct"/>
            <w:vAlign w:val="bottom"/>
          </w:tcPr>
          <w:p w:rsidR="00EC16DC" w:rsidRPr="008015FC" w:rsidRDefault="00EC16DC" w:rsidP="00EC16DC">
            <w:pPr>
              <w:pStyle w:val="TableBodyText"/>
            </w:pPr>
            <w:r w:rsidRPr="008015FC">
              <w:t>0.55</w:t>
            </w:r>
          </w:p>
        </w:tc>
        <w:tc>
          <w:tcPr>
            <w:tcW w:w="1291" w:type="pct"/>
            <w:shd w:val="clear" w:color="auto" w:fill="auto"/>
            <w:vAlign w:val="bottom"/>
          </w:tcPr>
          <w:p w:rsidR="00EC16DC" w:rsidRPr="008015FC" w:rsidRDefault="00EC16DC" w:rsidP="00EC16DC">
            <w:pPr>
              <w:pStyle w:val="TableBodyText"/>
            </w:pPr>
            <w:r w:rsidRPr="008015FC">
              <w:t>-0.29</w:t>
            </w:r>
          </w:p>
        </w:tc>
        <w:tc>
          <w:tcPr>
            <w:tcW w:w="1048" w:type="pct"/>
            <w:shd w:val="clear" w:color="auto" w:fill="auto"/>
            <w:vAlign w:val="bottom"/>
          </w:tcPr>
          <w:p w:rsidR="00EC16DC" w:rsidRPr="008015FC" w:rsidRDefault="00EC16DC" w:rsidP="00EC16DC">
            <w:pPr>
              <w:pStyle w:val="TableBodyText"/>
            </w:pPr>
            <w:r w:rsidRPr="008015FC">
              <w:t>0.25</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Transport</w:t>
            </w:r>
          </w:p>
        </w:tc>
        <w:tc>
          <w:tcPr>
            <w:tcW w:w="1128" w:type="pct"/>
            <w:vAlign w:val="bottom"/>
          </w:tcPr>
          <w:p w:rsidR="00EC16DC" w:rsidRPr="008015FC" w:rsidRDefault="00EC16DC" w:rsidP="00EC16DC">
            <w:pPr>
              <w:pStyle w:val="TableBodyText"/>
            </w:pPr>
            <w:r w:rsidRPr="008015FC">
              <w:t>0.46</w:t>
            </w:r>
          </w:p>
        </w:tc>
        <w:tc>
          <w:tcPr>
            <w:tcW w:w="1291" w:type="pct"/>
            <w:shd w:val="clear" w:color="auto" w:fill="auto"/>
            <w:vAlign w:val="bottom"/>
          </w:tcPr>
          <w:p w:rsidR="00EC16DC" w:rsidRPr="008015FC" w:rsidRDefault="00EC16DC" w:rsidP="00EC16DC">
            <w:pPr>
              <w:pStyle w:val="TableBodyText"/>
            </w:pPr>
            <w:r w:rsidRPr="008015FC">
              <w:t>0.09</w:t>
            </w:r>
          </w:p>
        </w:tc>
        <w:tc>
          <w:tcPr>
            <w:tcW w:w="1048" w:type="pct"/>
            <w:shd w:val="clear" w:color="auto" w:fill="auto"/>
            <w:vAlign w:val="bottom"/>
          </w:tcPr>
          <w:p w:rsidR="00EC16DC" w:rsidRPr="008015FC" w:rsidRDefault="00EC16DC" w:rsidP="00EC16DC">
            <w:pPr>
              <w:pStyle w:val="TableBodyText"/>
            </w:pPr>
            <w:r w:rsidRPr="008015FC">
              <w:t>0.54</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Telecoms</w:t>
            </w:r>
          </w:p>
        </w:tc>
        <w:tc>
          <w:tcPr>
            <w:tcW w:w="1128" w:type="pct"/>
            <w:vAlign w:val="bottom"/>
          </w:tcPr>
          <w:p w:rsidR="00EC16DC" w:rsidRPr="008015FC" w:rsidRDefault="00EC16DC" w:rsidP="00EC16DC">
            <w:pPr>
              <w:pStyle w:val="TableBodyText"/>
            </w:pPr>
            <w:r w:rsidRPr="008015FC">
              <w:t>0.28</w:t>
            </w:r>
          </w:p>
        </w:tc>
        <w:tc>
          <w:tcPr>
            <w:tcW w:w="1291" w:type="pct"/>
            <w:shd w:val="clear" w:color="auto" w:fill="auto"/>
            <w:vAlign w:val="bottom"/>
          </w:tcPr>
          <w:p w:rsidR="00EC16DC" w:rsidRPr="008015FC" w:rsidRDefault="00EC16DC" w:rsidP="00EC16DC">
            <w:pPr>
              <w:pStyle w:val="TableBodyText"/>
            </w:pPr>
            <w:r w:rsidRPr="008015FC">
              <w:t>-0.16</w:t>
            </w:r>
          </w:p>
        </w:tc>
        <w:tc>
          <w:tcPr>
            <w:tcW w:w="1048" w:type="pct"/>
            <w:shd w:val="clear" w:color="auto" w:fill="auto"/>
            <w:vAlign w:val="bottom"/>
          </w:tcPr>
          <w:p w:rsidR="00EC16DC" w:rsidRPr="008015FC" w:rsidRDefault="00EC16DC" w:rsidP="00EC16DC">
            <w:pPr>
              <w:pStyle w:val="TableBodyText"/>
            </w:pPr>
            <w:r w:rsidRPr="008015FC">
              <w:t>0.13</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Finance</w:t>
            </w:r>
          </w:p>
        </w:tc>
        <w:tc>
          <w:tcPr>
            <w:tcW w:w="1128" w:type="pct"/>
            <w:vAlign w:val="bottom"/>
          </w:tcPr>
          <w:p w:rsidR="00EC16DC" w:rsidRPr="008015FC" w:rsidRDefault="00EC16DC" w:rsidP="00EC16DC">
            <w:pPr>
              <w:pStyle w:val="TableBodyText"/>
            </w:pPr>
            <w:r w:rsidRPr="008015FC">
              <w:t>0.89</w:t>
            </w:r>
          </w:p>
        </w:tc>
        <w:tc>
          <w:tcPr>
            <w:tcW w:w="1291" w:type="pct"/>
            <w:shd w:val="clear" w:color="auto" w:fill="auto"/>
            <w:vAlign w:val="bottom"/>
          </w:tcPr>
          <w:p w:rsidR="00EC16DC" w:rsidRPr="008015FC" w:rsidRDefault="00EC16DC" w:rsidP="00EC16DC">
            <w:pPr>
              <w:pStyle w:val="TableBodyText"/>
            </w:pPr>
            <w:r w:rsidRPr="008015FC">
              <w:t>0.17</w:t>
            </w:r>
          </w:p>
        </w:tc>
        <w:tc>
          <w:tcPr>
            <w:tcW w:w="1048" w:type="pct"/>
            <w:shd w:val="clear" w:color="auto" w:fill="auto"/>
            <w:vAlign w:val="bottom"/>
          </w:tcPr>
          <w:p w:rsidR="00EC16DC" w:rsidRPr="008015FC" w:rsidRDefault="00EC16DC" w:rsidP="00EC16DC">
            <w:pPr>
              <w:pStyle w:val="TableBodyText"/>
            </w:pPr>
            <w:r w:rsidRPr="008015FC">
              <w:t>1.06</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Arts &amp; rec</w:t>
            </w:r>
          </w:p>
        </w:tc>
        <w:tc>
          <w:tcPr>
            <w:tcW w:w="1128" w:type="pct"/>
            <w:vAlign w:val="bottom"/>
          </w:tcPr>
          <w:p w:rsidR="00EC16DC" w:rsidRPr="008015FC" w:rsidRDefault="00EC16DC" w:rsidP="00EC16DC">
            <w:pPr>
              <w:pStyle w:val="TableBodyText"/>
            </w:pPr>
            <w:r w:rsidRPr="008015FC">
              <w:t>0.64</w:t>
            </w:r>
          </w:p>
        </w:tc>
        <w:tc>
          <w:tcPr>
            <w:tcW w:w="1291" w:type="pct"/>
            <w:shd w:val="clear" w:color="auto" w:fill="auto"/>
            <w:vAlign w:val="bottom"/>
          </w:tcPr>
          <w:p w:rsidR="00EC16DC" w:rsidRPr="008015FC" w:rsidRDefault="00EC16DC" w:rsidP="00EC16DC">
            <w:pPr>
              <w:pStyle w:val="TableBodyText"/>
            </w:pPr>
            <w:r w:rsidRPr="008015FC">
              <w:t>-0.04</w:t>
            </w:r>
          </w:p>
        </w:tc>
        <w:tc>
          <w:tcPr>
            <w:tcW w:w="1048" w:type="pct"/>
            <w:shd w:val="clear" w:color="auto" w:fill="auto"/>
            <w:vAlign w:val="bottom"/>
          </w:tcPr>
          <w:p w:rsidR="00EC16DC" w:rsidRPr="008015FC" w:rsidRDefault="00EC16DC" w:rsidP="00EC16DC">
            <w:pPr>
              <w:pStyle w:val="TableBodyText"/>
            </w:pPr>
            <w:r w:rsidRPr="008015FC">
              <w:t>0.60</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 xml:space="preserve">Market sector </w:t>
            </w:r>
            <w:r w:rsidR="00460C39">
              <w:t>12</w:t>
            </w:r>
          </w:p>
        </w:tc>
        <w:tc>
          <w:tcPr>
            <w:tcW w:w="1128" w:type="pct"/>
            <w:vAlign w:val="bottom"/>
          </w:tcPr>
          <w:p w:rsidR="00EC16DC" w:rsidRPr="008015FC" w:rsidRDefault="00EC16DC" w:rsidP="00EC16DC">
            <w:pPr>
              <w:pStyle w:val="TableBodyText"/>
            </w:pPr>
            <w:r w:rsidRPr="008015FC">
              <w:t>5.8</w:t>
            </w:r>
          </w:p>
        </w:tc>
        <w:tc>
          <w:tcPr>
            <w:tcW w:w="1291" w:type="pct"/>
            <w:shd w:val="clear" w:color="auto" w:fill="auto"/>
            <w:vAlign w:val="bottom"/>
          </w:tcPr>
          <w:p w:rsidR="00EC16DC" w:rsidRPr="008015FC" w:rsidRDefault="00EC16DC" w:rsidP="00EC16DC">
            <w:pPr>
              <w:pStyle w:val="TableBodyText"/>
            </w:pPr>
            <w:r w:rsidRPr="008015FC">
              <w:t>0.0</w:t>
            </w:r>
          </w:p>
        </w:tc>
        <w:tc>
          <w:tcPr>
            <w:tcW w:w="1048" w:type="pct"/>
            <w:shd w:val="clear" w:color="auto" w:fill="auto"/>
            <w:vAlign w:val="bottom"/>
          </w:tcPr>
          <w:p w:rsidR="00EC16DC" w:rsidRPr="008015FC" w:rsidRDefault="00EC16DC" w:rsidP="00EC16DC">
            <w:pPr>
              <w:pStyle w:val="TableBodyText"/>
            </w:pPr>
            <w:r w:rsidRPr="008015FC">
              <w:t>5.8</w:t>
            </w:r>
          </w:p>
        </w:tc>
      </w:tr>
      <w:tr w:rsidR="00EC16DC" w:rsidRPr="00EC16DC" w:rsidTr="00EC16DC">
        <w:tc>
          <w:tcPr>
            <w:tcW w:w="5000" w:type="pct"/>
            <w:gridSpan w:val="4"/>
            <w:shd w:val="clear" w:color="auto" w:fill="auto"/>
            <w:vAlign w:val="bottom"/>
          </w:tcPr>
          <w:p w:rsidR="00EC16DC" w:rsidRPr="00EC16DC" w:rsidRDefault="00EC16DC" w:rsidP="007D0D44">
            <w:pPr>
              <w:pStyle w:val="TableBodyText"/>
              <w:spacing w:before="40"/>
              <w:jc w:val="left"/>
              <w:rPr>
                <w:b/>
                <w:i/>
              </w:rPr>
            </w:pPr>
            <w:r w:rsidRPr="00EC16DC">
              <w:rPr>
                <w:b/>
                <w:i/>
              </w:rPr>
              <w:t>B. Capital income</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Agriculture</w:t>
            </w:r>
          </w:p>
        </w:tc>
        <w:tc>
          <w:tcPr>
            <w:tcW w:w="1128" w:type="pct"/>
            <w:vAlign w:val="bottom"/>
          </w:tcPr>
          <w:p w:rsidR="00EC16DC" w:rsidRPr="008015FC" w:rsidRDefault="00EC16DC" w:rsidP="00EC16DC">
            <w:pPr>
              <w:pStyle w:val="TableBodyText"/>
            </w:pPr>
            <w:r w:rsidRPr="008015FC">
              <w:t>-0.10</w:t>
            </w:r>
          </w:p>
        </w:tc>
        <w:tc>
          <w:tcPr>
            <w:tcW w:w="1291" w:type="pct"/>
            <w:shd w:val="clear" w:color="auto" w:fill="auto"/>
            <w:vAlign w:val="bottom"/>
          </w:tcPr>
          <w:p w:rsidR="00EC16DC" w:rsidRPr="008015FC" w:rsidRDefault="00EC16DC" w:rsidP="00EC16DC">
            <w:pPr>
              <w:pStyle w:val="TableBodyText"/>
            </w:pPr>
            <w:r w:rsidRPr="008015FC">
              <w:t>0.42</w:t>
            </w:r>
          </w:p>
        </w:tc>
        <w:tc>
          <w:tcPr>
            <w:tcW w:w="1048" w:type="pct"/>
            <w:shd w:val="clear" w:color="auto" w:fill="auto"/>
            <w:vAlign w:val="bottom"/>
          </w:tcPr>
          <w:p w:rsidR="00EC16DC" w:rsidRPr="008015FC" w:rsidRDefault="00EC16DC" w:rsidP="00EC16DC">
            <w:pPr>
              <w:pStyle w:val="TableBodyText"/>
            </w:pPr>
            <w:r w:rsidRPr="008015FC">
              <w:t>0.31</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Mining</w:t>
            </w:r>
          </w:p>
        </w:tc>
        <w:tc>
          <w:tcPr>
            <w:tcW w:w="1128" w:type="pct"/>
            <w:vAlign w:val="bottom"/>
          </w:tcPr>
          <w:p w:rsidR="00EC16DC" w:rsidRPr="008015FC" w:rsidRDefault="00EC16DC" w:rsidP="00EC16DC">
            <w:pPr>
              <w:pStyle w:val="TableBodyText"/>
            </w:pPr>
            <w:r w:rsidRPr="008015FC">
              <w:t>0.97</w:t>
            </w:r>
          </w:p>
        </w:tc>
        <w:tc>
          <w:tcPr>
            <w:tcW w:w="1291" w:type="pct"/>
            <w:shd w:val="clear" w:color="auto" w:fill="auto"/>
            <w:vAlign w:val="bottom"/>
          </w:tcPr>
          <w:p w:rsidR="00EC16DC" w:rsidRPr="008015FC" w:rsidRDefault="00EC16DC" w:rsidP="00EC16DC">
            <w:pPr>
              <w:pStyle w:val="TableBodyText"/>
            </w:pPr>
            <w:r w:rsidRPr="008015FC">
              <w:t>1.14</w:t>
            </w:r>
          </w:p>
        </w:tc>
        <w:tc>
          <w:tcPr>
            <w:tcW w:w="1048" w:type="pct"/>
            <w:shd w:val="clear" w:color="auto" w:fill="auto"/>
            <w:vAlign w:val="bottom"/>
          </w:tcPr>
          <w:p w:rsidR="00EC16DC" w:rsidRPr="008015FC" w:rsidRDefault="00EC16DC" w:rsidP="00EC16DC">
            <w:pPr>
              <w:pStyle w:val="TableBodyText"/>
            </w:pPr>
            <w:r w:rsidRPr="008015FC">
              <w:t>2.11</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Manufacturing</w:t>
            </w:r>
          </w:p>
        </w:tc>
        <w:tc>
          <w:tcPr>
            <w:tcW w:w="1128" w:type="pct"/>
            <w:vAlign w:val="bottom"/>
          </w:tcPr>
          <w:p w:rsidR="00EC16DC" w:rsidRPr="008015FC" w:rsidRDefault="00EC16DC" w:rsidP="00EC16DC">
            <w:pPr>
              <w:pStyle w:val="TableBodyText"/>
            </w:pPr>
            <w:r w:rsidRPr="008015FC">
              <w:t>1.11</w:t>
            </w:r>
          </w:p>
        </w:tc>
        <w:tc>
          <w:tcPr>
            <w:tcW w:w="1291" w:type="pct"/>
            <w:shd w:val="clear" w:color="auto" w:fill="auto"/>
            <w:vAlign w:val="bottom"/>
          </w:tcPr>
          <w:p w:rsidR="00EC16DC" w:rsidRPr="008015FC" w:rsidRDefault="00EC16DC" w:rsidP="00EC16DC">
            <w:pPr>
              <w:pStyle w:val="TableBodyText"/>
            </w:pPr>
            <w:r w:rsidRPr="008015FC">
              <w:t>-0.64</w:t>
            </w:r>
          </w:p>
        </w:tc>
        <w:tc>
          <w:tcPr>
            <w:tcW w:w="1048" w:type="pct"/>
            <w:shd w:val="clear" w:color="auto" w:fill="auto"/>
            <w:vAlign w:val="bottom"/>
          </w:tcPr>
          <w:p w:rsidR="00EC16DC" w:rsidRPr="008015FC" w:rsidRDefault="00EC16DC" w:rsidP="00EC16DC">
            <w:pPr>
              <w:pStyle w:val="TableBodyText"/>
            </w:pPr>
            <w:r w:rsidRPr="008015FC">
              <w:t>0.48</w:t>
            </w:r>
          </w:p>
        </w:tc>
      </w:tr>
      <w:tr w:rsidR="00EC16DC" w:rsidTr="00EC16DC">
        <w:tc>
          <w:tcPr>
            <w:tcW w:w="1533" w:type="pct"/>
            <w:shd w:val="clear" w:color="auto" w:fill="auto"/>
            <w:vAlign w:val="bottom"/>
          </w:tcPr>
          <w:p w:rsidR="00EC16DC" w:rsidRPr="008015FC" w:rsidRDefault="00D5481A" w:rsidP="00EC16DC">
            <w:pPr>
              <w:pStyle w:val="TableBodyText"/>
              <w:jc w:val="left"/>
            </w:pPr>
            <w:r>
              <w:t>Utilities</w:t>
            </w:r>
          </w:p>
        </w:tc>
        <w:tc>
          <w:tcPr>
            <w:tcW w:w="1128" w:type="pct"/>
            <w:vAlign w:val="bottom"/>
          </w:tcPr>
          <w:p w:rsidR="00EC16DC" w:rsidRPr="008015FC" w:rsidRDefault="00EC16DC" w:rsidP="00EC16DC">
            <w:pPr>
              <w:pStyle w:val="TableBodyText"/>
            </w:pPr>
            <w:r w:rsidRPr="008015FC">
              <w:t>0.36</w:t>
            </w:r>
          </w:p>
        </w:tc>
        <w:tc>
          <w:tcPr>
            <w:tcW w:w="1291" w:type="pct"/>
            <w:shd w:val="clear" w:color="auto" w:fill="auto"/>
            <w:vAlign w:val="bottom"/>
          </w:tcPr>
          <w:p w:rsidR="00EC16DC" w:rsidRPr="008015FC" w:rsidRDefault="00EC16DC" w:rsidP="00EC16DC">
            <w:pPr>
              <w:pStyle w:val="TableBodyText"/>
            </w:pPr>
            <w:r w:rsidRPr="008015FC">
              <w:t>-0.05</w:t>
            </w:r>
          </w:p>
        </w:tc>
        <w:tc>
          <w:tcPr>
            <w:tcW w:w="1048" w:type="pct"/>
            <w:shd w:val="clear" w:color="auto" w:fill="auto"/>
            <w:vAlign w:val="bottom"/>
          </w:tcPr>
          <w:p w:rsidR="00EC16DC" w:rsidRPr="008015FC" w:rsidRDefault="00EC16DC" w:rsidP="00EC16DC">
            <w:pPr>
              <w:pStyle w:val="TableBodyText"/>
            </w:pPr>
            <w:r w:rsidRPr="008015FC">
              <w:t>0.31</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Construction</w:t>
            </w:r>
          </w:p>
        </w:tc>
        <w:tc>
          <w:tcPr>
            <w:tcW w:w="1128" w:type="pct"/>
            <w:vAlign w:val="bottom"/>
          </w:tcPr>
          <w:p w:rsidR="00EC16DC" w:rsidRPr="008015FC" w:rsidRDefault="00EC16DC" w:rsidP="00EC16DC">
            <w:pPr>
              <w:pStyle w:val="TableBodyText"/>
            </w:pPr>
            <w:r w:rsidRPr="008015FC">
              <w:t>0.32</w:t>
            </w:r>
          </w:p>
        </w:tc>
        <w:tc>
          <w:tcPr>
            <w:tcW w:w="1291" w:type="pct"/>
            <w:shd w:val="clear" w:color="auto" w:fill="auto"/>
            <w:vAlign w:val="bottom"/>
          </w:tcPr>
          <w:p w:rsidR="00EC16DC" w:rsidRPr="008015FC" w:rsidRDefault="00EC16DC" w:rsidP="00EC16DC">
            <w:pPr>
              <w:pStyle w:val="TableBodyText"/>
            </w:pPr>
            <w:r w:rsidRPr="008015FC">
              <w:t>0.32</w:t>
            </w:r>
          </w:p>
        </w:tc>
        <w:tc>
          <w:tcPr>
            <w:tcW w:w="1048" w:type="pct"/>
            <w:shd w:val="clear" w:color="auto" w:fill="auto"/>
            <w:vAlign w:val="bottom"/>
          </w:tcPr>
          <w:p w:rsidR="00EC16DC" w:rsidRPr="008015FC" w:rsidRDefault="00EC16DC" w:rsidP="00EC16DC">
            <w:pPr>
              <w:pStyle w:val="TableBodyText"/>
            </w:pPr>
            <w:r w:rsidRPr="008015FC">
              <w:t>0.65</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Wholesale</w:t>
            </w:r>
          </w:p>
        </w:tc>
        <w:tc>
          <w:tcPr>
            <w:tcW w:w="1128" w:type="pct"/>
            <w:vAlign w:val="bottom"/>
          </w:tcPr>
          <w:p w:rsidR="00EC16DC" w:rsidRPr="008015FC" w:rsidRDefault="00EC16DC" w:rsidP="00EC16DC">
            <w:pPr>
              <w:pStyle w:val="TableBodyText"/>
            </w:pPr>
            <w:r w:rsidRPr="008015FC">
              <w:t>0.36</w:t>
            </w:r>
          </w:p>
        </w:tc>
        <w:tc>
          <w:tcPr>
            <w:tcW w:w="1291" w:type="pct"/>
            <w:shd w:val="clear" w:color="auto" w:fill="auto"/>
            <w:vAlign w:val="bottom"/>
          </w:tcPr>
          <w:p w:rsidR="00EC16DC" w:rsidRPr="008015FC" w:rsidRDefault="00EC16DC" w:rsidP="00EC16DC">
            <w:pPr>
              <w:pStyle w:val="TableBodyText"/>
            </w:pPr>
            <w:r w:rsidRPr="008015FC">
              <w:t>0.01</w:t>
            </w:r>
          </w:p>
        </w:tc>
        <w:tc>
          <w:tcPr>
            <w:tcW w:w="1048" w:type="pct"/>
            <w:shd w:val="clear" w:color="auto" w:fill="auto"/>
            <w:vAlign w:val="bottom"/>
          </w:tcPr>
          <w:p w:rsidR="00EC16DC" w:rsidRPr="008015FC" w:rsidRDefault="00EC16DC" w:rsidP="00EC16DC">
            <w:pPr>
              <w:pStyle w:val="TableBodyText"/>
            </w:pPr>
            <w:r w:rsidRPr="008015FC">
              <w:t>0.37</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Retail</w:t>
            </w:r>
          </w:p>
        </w:tc>
        <w:tc>
          <w:tcPr>
            <w:tcW w:w="1128" w:type="pct"/>
            <w:vAlign w:val="bottom"/>
          </w:tcPr>
          <w:p w:rsidR="00EC16DC" w:rsidRPr="008015FC" w:rsidRDefault="00EC16DC" w:rsidP="00EC16DC">
            <w:pPr>
              <w:pStyle w:val="TableBodyText"/>
            </w:pPr>
            <w:r w:rsidRPr="008015FC">
              <w:t>0.19</w:t>
            </w:r>
          </w:p>
        </w:tc>
        <w:tc>
          <w:tcPr>
            <w:tcW w:w="1291" w:type="pct"/>
            <w:shd w:val="clear" w:color="auto" w:fill="auto"/>
            <w:vAlign w:val="bottom"/>
          </w:tcPr>
          <w:p w:rsidR="00EC16DC" w:rsidRPr="008015FC" w:rsidRDefault="00EC16DC" w:rsidP="00EC16DC">
            <w:pPr>
              <w:pStyle w:val="TableBodyText"/>
            </w:pPr>
            <w:r w:rsidRPr="008015FC">
              <w:t>0.18</w:t>
            </w:r>
          </w:p>
        </w:tc>
        <w:tc>
          <w:tcPr>
            <w:tcW w:w="1048" w:type="pct"/>
            <w:shd w:val="clear" w:color="auto" w:fill="auto"/>
            <w:vAlign w:val="bottom"/>
          </w:tcPr>
          <w:p w:rsidR="00EC16DC" w:rsidRPr="008015FC" w:rsidRDefault="00EC16DC" w:rsidP="00EC16DC">
            <w:pPr>
              <w:pStyle w:val="TableBodyText"/>
            </w:pPr>
            <w:r w:rsidRPr="008015FC">
              <w:t>0.37</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Accommodation</w:t>
            </w:r>
          </w:p>
        </w:tc>
        <w:tc>
          <w:tcPr>
            <w:tcW w:w="1128" w:type="pct"/>
            <w:vAlign w:val="bottom"/>
          </w:tcPr>
          <w:p w:rsidR="00EC16DC" w:rsidRPr="008015FC" w:rsidRDefault="00EC16DC" w:rsidP="00EC16DC">
            <w:pPr>
              <w:pStyle w:val="TableBodyText"/>
            </w:pPr>
            <w:r w:rsidRPr="008015FC">
              <w:t>0.14</w:t>
            </w:r>
          </w:p>
        </w:tc>
        <w:tc>
          <w:tcPr>
            <w:tcW w:w="1291" w:type="pct"/>
            <w:shd w:val="clear" w:color="auto" w:fill="auto"/>
            <w:vAlign w:val="bottom"/>
          </w:tcPr>
          <w:p w:rsidR="00EC16DC" w:rsidRPr="008015FC" w:rsidRDefault="00EC16DC" w:rsidP="00EC16DC">
            <w:pPr>
              <w:pStyle w:val="TableBodyText"/>
            </w:pPr>
            <w:r w:rsidRPr="008015FC">
              <w:t>0.03</w:t>
            </w:r>
          </w:p>
        </w:tc>
        <w:tc>
          <w:tcPr>
            <w:tcW w:w="1048" w:type="pct"/>
            <w:shd w:val="clear" w:color="auto" w:fill="auto"/>
            <w:vAlign w:val="bottom"/>
          </w:tcPr>
          <w:p w:rsidR="00EC16DC" w:rsidRPr="008015FC" w:rsidRDefault="00EC16DC" w:rsidP="00EC16DC">
            <w:pPr>
              <w:pStyle w:val="TableBodyText"/>
            </w:pPr>
            <w:r w:rsidRPr="008015FC">
              <w:t>0.17</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Transport</w:t>
            </w:r>
          </w:p>
        </w:tc>
        <w:tc>
          <w:tcPr>
            <w:tcW w:w="1128" w:type="pct"/>
            <w:vAlign w:val="bottom"/>
          </w:tcPr>
          <w:p w:rsidR="00EC16DC" w:rsidRPr="008015FC" w:rsidRDefault="00EC16DC" w:rsidP="00EC16DC">
            <w:pPr>
              <w:pStyle w:val="TableBodyText"/>
            </w:pPr>
            <w:r w:rsidRPr="008015FC">
              <w:t>0.54</w:t>
            </w:r>
          </w:p>
        </w:tc>
        <w:tc>
          <w:tcPr>
            <w:tcW w:w="1291" w:type="pct"/>
            <w:shd w:val="clear" w:color="auto" w:fill="auto"/>
            <w:vAlign w:val="bottom"/>
          </w:tcPr>
          <w:p w:rsidR="00EC16DC" w:rsidRPr="008015FC" w:rsidRDefault="00EC16DC" w:rsidP="00EC16DC">
            <w:pPr>
              <w:pStyle w:val="TableBodyText"/>
            </w:pPr>
            <w:r w:rsidRPr="008015FC">
              <w:t>-0.02</w:t>
            </w:r>
          </w:p>
        </w:tc>
        <w:tc>
          <w:tcPr>
            <w:tcW w:w="1048" w:type="pct"/>
            <w:shd w:val="clear" w:color="auto" w:fill="auto"/>
            <w:vAlign w:val="bottom"/>
          </w:tcPr>
          <w:p w:rsidR="00EC16DC" w:rsidRPr="008015FC" w:rsidRDefault="00EC16DC" w:rsidP="00EC16DC">
            <w:pPr>
              <w:pStyle w:val="TableBodyText"/>
            </w:pPr>
            <w:r w:rsidRPr="008015FC">
              <w:t>0.52</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Telecoms</w:t>
            </w:r>
          </w:p>
        </w:tc>
        <w:tc>
          <w:tcPr>
            <w:tcW w:w="1128" w:type="pct"/>
            <w:vAlign w:val="bottom"/>
          </w:tcPr>
          <w:p w:rsidR="00EC16DC" w:rsidRPr="008015FC" w:rsidRDefault="00EC16DC" w:rsidP="00EC16DC">
            <w:pPr>
              <w:pStyle w:val="TableBodyText"/>
            </w:pPr>
            <w:r w:rsidRPr="008015FC">
              <w:t>1.00</w:t>
            </w:r>
          </w:p>
        </w:tc>
        <w:tc>
          <w:tcPr>
            <w:tcW w:w="1291" w:type="pct"/>
            <w:shd w:val="clear" w:color="auto" w:fill="auto"/>
            <w:vAlign w:val="bottom"/>
          </w:tcPr>
          <w:p w:rsidR="00EC16DC" w:rsidRPr="008015FC" w:rsidRDefault="00EC16DC" w:rsidP="00EC16DC">
            <w:pPr>
              <w:pStyle w:val="TableBodyText"/>
            </w:pPr>
            <w:r w:rsidRPr="008015FC">
              <w:t>-0.52</w:t>
            </w:r>
          </w:p>
        </w:tc>
        <w:tc>
          <w:tcPr>
            <w:tcW w:w="1048" w:type="pct"/>
            <w:shd w:val="clear" w:color="auto" w:fill="auto"/>
            <w:vAlign w:val="bottom"/>
          </w:tcPr>
          <w:p w:rsidR="00EC16DC" w:rsidRPr="008015FC" w:rsidRDefault="00EC16DC" w:rsidP="00EC16DC">
            <w:pPr>
              <w:pStyle w:val="TableBodyText"/>
            </w:pPr>
            <w:r w:rsidRPr="008015FC">
              <w:t>0.47</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Finance</w:t>
            </w:r>
          </w:p>
        </w:tc>
        <w:tc>
          <w:tcPr>
            <w:tcW w:w="1128" w:type="pct"/>
            <w:vAlign w:val="bottom"/>
          </w:tcPr>
          <w:p w:rsidR="00EC16DC" w:rsidRPr="008015FC" w:rsidRDefault="00EC16DC" w:rsidP="00EC16DC">
            <w:pPr>
              <w:pStyle w:val="TableBodyText"/>
            </w:pPr>
            <w:r w:rsidRPr="008015FC">
              <w:t>2.16</w:t>
            </w:r>
          </w:p>
        </w:tc>
        <w:tc>
          <w:tcPr>
            <w:tcW w:w="1291" w:type="pct"/>
            <w:shd w:val="clear" w:color="auto" w:fill="auto"/>
            <w:vAlign w:val="bottom"/>
          </w:tcPr>
          <w:p w:rsidR="00EC16DC" w:rsidRPr="008015FC" w:rsidRDefault="00EC16DC" w:rsidP="00EC16DC">
            <w:pPr>
              <w:pStyle w:val="TableBodyText"/>
            </w:pPr>
            <w:r w:rsidRPr="008015FC">
              <w:t>-0.91</w:t>
            </w:r>
          </w:p>
        </w:tc>
        <w:tc>
          <w:tcPr>
            <w:tcW w:w="1048" w:type="pct"/>
            <w:shd w:val="clear" w:color="auto" w:fill="auto"/>
            <w:vAlign w:val="bottom"/>
          </w:tcPr>
          <w:p w:rsidR="00EC16DC" w:rsidRPr="008015FC" w:rsidRDefault="00EC16DC" w:rsidP="00EC16DC">
            <w:pPr>
              <w:pStyle w:val="TableBodyText"/>
            </w:pPr>
            <w:r w:rsidRPr="008015FC">
              <w:t>1.25</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Arts &amp; rec</w:t>
            </w:r>
          </w:p>
        </w:tc>
        <w:tc>
          <w:tcPr>
            <w:tcW w:w="1128" w:type="pct"/>
            <w:vAlign w:val="bottom"/>
          </w:tcPr>
          <w:p w:rsidR="00EC16DC" w:rsidRPr="008015FC" w:rsidRDefault="00EC16DC" w:rsidP="00EC16DC">
            <w:pPr>
              <w:pStyle w:val="TableBodyText"/>
            </w:pPr>
            <w:r w:rsidRPr="008015FC">
              <w:t>0.43</w:t>
            </w:r>
          </w:p>
        </w:tc>
        <w:tc>
          <w:tcPr>
            <w:tcW w:w="1291" w:type="pct"/>
            <w:shd w:val="clear" w:color="auto" w:fill="auto"/>
            <w:vAlign w:val="bottom"/>
          </w:tcPr>
          <w:p w:rsidR="00EC16DC" w:rsidRPr="008015FC" w:rsidRDefault="00EC16DC" w:rsidP="00EC16DC">
            <w:pPr>
              <w:pStyle w:val="TableBodyText"/>
            </w:pPr>
            <w:r w:rsidRPr="008015FC">
              <w:t>0.03</w:t>
            </w:r>
          </w:p>
        </w:tc>
        <w:tc>
          <w:tcPr>
            <w:tcW w:w="1048" w:type="pct"/>
            <w:shd w:val="clear" w:color="auto" w:fill="auto"/>
            <w:vAlign w:val="bottom"/>
          </w:tcPr>
          <w:p w:rsidR="00EC16DC" w:rsidRPr="008015FC" w:rsidRDefault="00EC16DC" w:rsidP="00EC16DC">
            <w:pPr>
              <w:pStyle w:val="TableBodyText"/>
            </w:pPr>
            <w:r w:rsidRPr="008015FC">
              <w:t>0.46</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 xml:space="preserve">Market sector </w:t>
            </w:r>
            <w:r w:rsidR="00460C39">
              <w:t>12</w:t>
            </w:r>
          </w:p>
        </w:tc>
        <w:tc>
          <w:tcPr>
            <w:tcW w:w="1128" w:type="pct"/>
            <w:vAlign w:val="bottom"/>
          </w:tcPr>
          <w:p w:rsidR="00EC16DC" w:rsidRPr="008015FC" w:rsidRDefault="00EC16DC" w:rsidP="00EC16DC">
            <w:pPr>
              <w:pStyle w:val="TableBodyText"/>
            </w:pPr>
            <w:r w:rsidRPr="008015FC">
              <w:t>7.5</w:t>
            </w:r>
          </w:p>
        </w:tc>
        <w:tc>
          <w:tcPr>
            <w:tcW w:w="1291" w:type="pct"/>
            <w:shd w:val="clear" w:color="auto" w:fill="auto"/>
            <w:vAlign w:val="bottom"/>
          </w:tcPr>
          <w:p w:rsidR="00EC16DC" w:rsidRPr="008015FC" w:rsidRDefault="00EC16DC" w:rsidP="00EC16DC">
            <w:pPr>
              <w:pStyle w:val="TableBodyText"/>
            </w:pPr>
            <w:r w:rsidRPr="008015FC">
              <w:t>0.0</w:t>
            </w:r>
          </w:p>
        </w:tc>
        <w:tc>
          <w:tcPr>
            <w:tcW w:w="1048" w:type="pct"/>
            <w:shd w:val="clear" w:color="auto" w:fill="auto"/>
            <w:vAlign w:val="bottom"/>
          </w:tcPr>
          <w:p w:rsidR="00EC16DC" w:rsidRPr="008015FC" w:rsidRDefault="00EC16DC" w:rsidP="00EC16DC">
            <w:pPr>
              <w:pStyle w:val="TableBodyText"/>
            </w:pPr>
            <w:r w:rsidRPr="008015FC">
              <w:t>7.5</w:t>
            </w:r>
          </w:p>
        </w:tc>
      </w:tr>
      <w:tr w:rsidR="00EC16DC" w:rsidRPr="00EC16DC" w:rsidTr="00EC16DC">
        <w:tc>
          <w:tcPr>
            <w:tcW w:w="5000" w:type="pct"/>
            <w:gridSpan w:val="4"/>
            <w:shd w:val="clear" w:color="auto" w:fill="auto"/>
            <w:vAlign w:val="bottom"/>
          </w:tcPr>
          <w:p w:rsidR="00EC16DC" w:rsidRPr="00EC16DC" w:rsidRDefault="00EC16DC" w:rsidP="007D0D44">
            <w:pPr>
              <w:pStyle w:val="TableBodyText"/>
              <w:spacing w:before="40"/>
              <w:jc w:val="left"/>
              <w:rPr>
                <w:b/>
                <w:i/>
              </w:rPr>
            </w:pPr>
            <w:r w:rsidRPr="00EC16DC">
              <w:rPr>
                <w:b/>
                <w:i/>
              </w:rPr>
              <w:t>C. Labour income less capital income</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Agriculture</w:t>
            </w:r>
          </w:p>
        </w:tc>
        <w:tc>
          <w:tcPr>
            <w:tcW w:w="1128" w:type="pct"/>
            <w:vAlign w:val="bottom"/>
          </w:tcPr>
          <w:p w:rsidR="00EC16DC" w:rsidRPr="008015FC" w:rsidRDefault="00EC16DC" w:rsidP="00EC16DC">
            <w:pPr>
              <w:pStyle w:val="TableBodyText"/>
            </w:pPr>
            <w:r w:rsidRPr="008015FC">
              <w:t>0.31</w:t>
            </w:r>
          </w:p>
        </w:tc>
        <w:tc>
          <w:tcPr>
            <w:tcW w:w="1291" w:type="pct"/>
            <w:shd w:val="clear" w:color="auto" w:fill="auto"/>
            <w:vAlign w:val="bottom"/>
          </w:tcPr>
          <w:p w:rsidR="00EC16DC" w:rsidRPr="008015FC" w:rsidRDefault="00EC16DC" w:rsidP="00EC16DC">
            <w:pPr>
              <w:pStyle w:val="TableBodyText"/>
            </w:pPr>
            <w:r w:rsidRPr="008015FC">
              <w:t>-0.58</w:t>
            </w:r>
          </w:p>
        </w:tc>
        <w:tc>
          <w:tcPr>
            <w:tcW w:w="1048" w:type="pct"/>
            <w:shd w:val="clear" w:color="auto" w:fill="auto"/>
            <w:vAlign w:val="bottom"/>
          </w:tcPr>
          <w:p w:rsidR="00EC16DC" w:rsidRPr="008015FC" w:rsidRDefault="00EC16DC" w:rsidP="00EC16DC">
            <w:pPr>
              <w:pStyle w:val="TableBodyText"/>
            </w:pPr>
            <w:r w:rsidRPr="008015FC">
              <w:t>-0.27</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Mining</w:t>
            </w:r>
          </w:p>
        </w:tc>
        <w:tc>
          <w:tcPr>
            <w:tcW w:w="1128" w:type="pct"/>
            <w:vAlign w:val="bottom"/>
          </w:tcPr>
          <w:p w:rsidR="00EC16DC" w:rsidRPr="008015FC" w:rsidRDefault="00EC16DC" w:rsidP="00EC16DC">
            <w:pPr>
              <w:pStyle w:val="TableBodyText"/>
            </w:pPr>
            <w:r w:rsidRPr="008015FC">
              <w:t>-0.89</w:t>
            </w:r>
          </w:p>
        </w:tc>
        <w:tc>
          <w:tcPr>
            <w:tcW w:w="1291" w:type="pct"/>
            <w:shd w:val="clear" w:color="auto" w:fill="auto"/>
            <w:vAlign w:val="bottom"/>
          </w:tcPr>
          <w:p w:rsidR="00EC16DC" w:rsidRPr="008015FC" w:rsidRDefault="00EC16DC" w:rsidP="00EC16DC">
            <w:pPr>
              <w:pStyle w:val="TableBodyText"/>
            </w:pPr>
            <w:r w:rsidRPr="008015FC">
              <w:t>-0.87</w:t>
            </w:r>
          </w:p>
        </w:tc>
        <w:tc>
          <w:tcPr>
            <w:tcW w:w="1048" w:type="pct"/>
            <w:shd w:val="clear" w:color="auto" w:fill="auto"/>
            <w:vAlign w:val="bottom"/>
          </w:tcPr>
          <w:p w:rsidR="00EC16DC" w:rsidRPr="008015FC" w:rsidRDefault="00EC16DC" w:rsidP="00EC16DC">
            <w:pPr>
              <w:pStyle w:val="TableBodyText"/>
            </w:pPr>
            <w:r w:rsidRPr="008015FC">
              <w:t>-1.76</w:t>
            </w:r>
          </w:p>
        </w:tc>
      </w:tr>
      <w:tr w:rsidR="00EC16DC" w:rsidTr="00EC16DC">
        <w:tc>
          <w:tcPr>
            <w:tcW w:w="1533" w:type="pct"/>
            <w:shd w:val="clear" w:color="auto" w:fill="auto"/>
            <w:vAlign w:val="bottom"/>
          </w:tcPr>
          <w:p w:rsidR="00EC16DC" w:rsidRPr="008015FC" w:rsidRDefault="00EC16DC" w:rsidP="00EC16DC">
            <w:pPr>
              <w:pStyle w:val="TableBodyText"/>
              <w:jc w:val="left"/>
            </w:pPr>
            <w:r w:rsidRPr="008015FC">
              <w:t>Manufacturing</w:t>
            </w:r>
          </w:p>
        </w:tc>
        <w:tc>
          <w:tcPr>
            <w:tcW w:w="1128" w:type="pct"/>
            <w:vAlign w:val="bottom"/>
          </w:tcPr>
          <w:p w:rsidR="00EC16DC" w:rsidRPr="008015FC" w:rsidRDefault="00EC16DC" w:rsidP="00EC16DC">
            <w:pPr>
              <w:pStyle w:val="TableBodyText"/>
            </w:pPr>
            <w:r w:rsidRPr="008015FC">
              <w:t>-0.32</w:t>
            </w:r>
          </w:p>
        </w:tc>
        <w:tc>
          <w:tcPr>
            <w:tcW w:w="1291" w:type="pct"/>
            <w:shd w:val="clear" w:color="auto" w:fill="auto"/>
            <w:vAlign w:val="bottom"/>
          </w:tcPr>
          <w:p w:rsidR="00EC16DC" w:rsidRPr="008015FC" w:rsidRDefault="00EC16DC" w:rsidP="00EC16DC">
            <w:pPr>
              <w:pStyle w:val="TableBodyText"/>
            </w:pPr>
            <w:r w:rsidRPr="008015FC">
              <w:t>0.48</w:t>
            </w:r>
          </w:p>
        </w:tc>
        <w:tc>
          <w:tcPr>
            <w:tcW w:w="1048" w:type="pct"/>
            <w:shd w:val="clear" w:color="auto" w:fill="auto"/>
            <w:vAlign w:val="bottom"/>
          </w:tcPr>
          <w:p w:rsidR="00EC16DC" w:rsidRPr="008015FC" w:rsidRDefault="00EC16DC" w:rsidP="00EC16DC">
            <w:pPr>
              <w:pStyle w:val="TableBodyText"/>
            </w:pPr>
            <w:r w:rsidRPr="008015FC">
              <w:t>0.16</w:t>
            </w:r>
          </w:p>
        </w:tc>
      </w:tr>
      <w:tr w:rsidR="00EC16DC" w:rsidTr="00EC16DC">
        <w:tc>
          <w:tcPr>
            <w:tcW w:w="1533" w:type="pct"/>
            <w:shd w:val="clear" w:color="auto" w:fill="auto"/>
            <w:vAlign w:val="bottom"/>
          </w:tcPr>
          <w:p w:rsidR="00EC16DC" w:rsidRPr="008015FC" w:rsidRDefault="00D5481A" w:rsidP="00EC16DC">
            <w:pPr>
              <w:pStyle w:val="TableBodyText"/>
              <w:jc w:val="left"/>
            </w:pPr>
            <w:r>
              <w:t>Utilities</w:t>
            </w:r>
          </w:p>
        </w:tc>
        <w:tc>
          <w:tcPr>
            <w:tcW w:w="1128" w:type="pct"/>
            <w:vAlign w:val="bottom"/>
          </w:tcPr>
          <w:p w:rsidR="00EC16DC" w:rsidRPr="008015FC" w:rsidRDefault="00EC16DC" w:rsidP="00EC16DC">
            <w:pPr>
              <w:pStyle w:val="TableBodyText"/>
            </w:pPr>
            <w:r w:rsidRPr="008015FC">
              <w:t>-0.46</w:t>
            </w:r>
          </w:p>
        </w:tc>
        <w:tc>
          <w:tcPr>
            <w:tcW w:w="1291" w:type="pct"/>
            <w:shd w:val="clear" w:color="auto" w:fill="auto"/>
            <w:vAlign w:val="bottom"/>
          </w:tcPr>
          <w:p w:rsidR="00EC16DC" w:rsidRPr="008015FC" w:rsidRDefault="00EC16DC" w:rsidP="00EC16DC">
            <w:pPr>
              <w:pStyle w:val="TableBodyText"/>
            </w:pPr>
            <w:r w:rsidRPr="008015FC">
              <w:t>0.32</w:t>
            </w:r>
          </w:p>
        </w:tc>
        <w:tc>
          <w:tcPr>
            <w:tcW w:w="1048" w:type="pct"/>
            <w:shd w:val="clear" w:color="auto" w:fill="auto"/>
            <w:vAlign w:val="bottom"/>
          </w:tcPr>
          <w:p w:rsidR="00EC16DC" w:rsidRPr="008015FC" w:rsidRDefault="00EC16DC" w:rsidP="00EC16DC">
            <w:pPr>
              <w:pStyle w:val="TableBodyText"/>
            </w:pPr>
            <w:r w:rsidRPr="008015FC">
              <w:t>-0.14</w:t>
            </w:r>
          </w:p>
        </w:tc>
      </w:tr>
      <w:tr w:rsidR="00EC16DC" w:rsidRPr="00EC16DC" w:rsidTr="00EC16DC">
        <w:tc>
          <w:tcPr>
            <w:tcW w:w="1533" w:type="pct"/>
            <w:shd w:val="clear" w:color="auto" w:fill="auto"/>
            <w:vAlign w:val="bottom"/>
          </w:tcPr>
          <w:p w:rsidR="00EC16DC" w:rsidRPr="00EC16DC" w:rsidRDefault="00EC16DC" w:rsidP="00EC16DC">
            <w:pPr>
              <w:pStyle w:val="TableBodyText"/>
              <w:jc w:val="left"/>
            </w:pPr>
            <w:r w:rsidRPr="00EC16DC">
              <w:t>Construction</w:t>
            </w:r>
          </w:p>
        </w:tc>
        <w:tc>
          <w:tcPr>
            <w:tcW w:w="1128" w:type="pct"/>
            <w:vAlign w:val="bottom"/>
          </w:tcPr>
          <w:p w:rsidR="00EC16DC" w:rsidRPr="00EC16DC" w:rsidRDefault="00EC16DC" w:rsidP="00EC16DC">
            <w:pPr>
              <w:pStyle w:val="TableBodyText"/>
            </w:pPr>
            <w:r w:rsidRPr="00EC16DC">
              <w:t>0.34</w:t>
            </w:r>
          </w:p>
        </w:tc>
        <w:tc>
          <w:tcPr>
            <w:tcW w:w="1291" w:type="pct"/>
            <w:shd w:val="clear" w:color="auto" w:fill="auto"/>
            <w:vAlign w:val="bottom"/>
          </w:tcPr>
          <w:p w:rsidR="00EC16DC" w:rsidRPr="00EC16DC" w:rsidRDefault="00EC16DC" w:rsidP="00EC16DC">
            <w:pPr>
              <w:pStyle w:val="TableBodyText"/>
            </w:pPr>
            <w:r w:rsidRPr="00EC16DC">
              <w:t>0.08</w:t>
            </w:r>
          </w:p>
        </w:tc>
        <w:tc>
          <w:tcPr>
            <w:tcW w:w="1048" w:type="pct"/>
            <w:shd w:val="clear" w:color="auto" w:fill="auto"/>
            <w:vAlign w:val="bottom"/>
          </w:tcPr>
          <w:p w:rsidR="00EC16DC" w:rsidRPr="00EC16DC" w:rsidRDefault="00EC16DC" w:rsidP="00EC16DC">
            <w:pPr>
              <w:pStyle w:val="TableBodyText"/>
            </w:pPr>
            <w:r w:rsidRPr="00EC16DC">
              <w:t>0.42</w:t>
            </w:r>
          </w:p>
        </w:tc>
      </w:tr>
      <w:tr w:rsidR="00EC16DC" w:rsidRPr="00EC16DC" w:rsidTr="00EC16DC">
        <w:tc>
          <w:tcPr>
            <w:tcW w:w="1533" w:type="pct"/>
            <w:shd w:val="clear" w:color="auto" w:fill="auto"/>
            <w:vAlign w:val="bottom"/>
          </w:tcPr>
          <w:p w:rsidR="00EC16DC" w:rsidRPr="00EC16DC" w:rsidRDefault="00EC16DC" w:rsidP="00EC16DC">
            <w:pPr>
              <w:pStyle w:val="TableBodyText"/>
              <w:jc w:val="left"/>
            </w:pPr>
            <w:r w:rsidRPr="00EC16DC">
              <w:t>Wholesale</w:t>
            </w:r>
          </w:p>
        </w:tc>
        <w:tc>
          <w:tcPr>
            <w:tcW w:w="1128" w:type="pct"/>
            <w:vAlign w:val="bottom"/>
          </w:tcPr>
          <w:p w:rsidR="00EC16DC" w:rsidRPr="00EC16DC" w:rsidRDefault="00EC16DC" w:rsidP="00EC16DC">
            <w:pPr>
              <w:pStyle w:val="TableBodyText"/>
            </w:pPr>
            <w:r w:rsidRPr="00EC16DC">
              <w:t>0.23</w:t>
            </w:r>
          </w:p>
        </w:tc>
        <w:tc>
          <w:tcPr>
            <w:tcW w:w="1291" w:type="pct"/>
            <w:shd w:val="clear" w:color="auto" w:fill="auto"/>
            <w:vAlign w:val="bottom"/>
          </w:tcPr>
          <w:p w:rsidR="00EC16DC" w:rsidRPr="00EC16DC" w:rsidRDefault="00EC16DC" w:rsidP="00EC16DC">
            <w:pPr>
              <w:pStyle w:val="TableBodyText"/>
            </w:pPr>
            <w:r w:rsidRPr="00EC16DC">
              <w:t>-0.12</w:t>
            </w:r>
          </w:p>
        </w:tc>
        <w:tc>
          <w:tcPr>
            <w:tcW w:w="1048" w:type="pct"/>
            <w:shd w:val="clear" w:color="auto" w:fill="auto"/>
            <w:vAlign w:val="bottom"/>
          </w:tcPr>
          <w:p w:rsidR="00EC16DC" w:rsidRPr="00EC16DC" w:rsidRDefault="00EC16DC" w:rsidP="00EC16DC">
            <w:pPr>
              <w:pStyle w:val="TableBodyText"/>
            </w:pPr>
            <w:r w:rsidRPr="00EC16DC">
              <w:t>0.11</w:t>
            </w:r>
          </w:p>
        </w:tc>
      </w:tr>
      <w:tr w:rsidR="00EC16DC" w:rsidRPr="00EC16DC" w:rsidTr="00EC16DC">
        <w:tc>
          <w:tcPr>
            <w:tcW w:w="1533" w:type="pct"/>
            <w:shd w:val="clear" w:color="auto" w:fill="auto"/>
            <w:vAlign w:val="bottom"/>
          </w:tcPr>
          <w:p w:rsidR="00EC16DC" w:rsidRPr="00EC16DC" w:rsidRDefault="00EC16DC" w:rsidP="00EC16DC">
            <w:pPr>
              <w:pStyle w:val="TableBodyText"/>
              <w:jc w:val="left"/>
            </w:pPr>
            <w:r w:rsidRPr="00EC16DC">
              <w:t>Retail</w:t>
            </w:r>
          </w:p>
        </w:tc>
        <w:tc>
          <w:tcPr>
            <w:tcW w:w="1128" w:type="pct"/>
            <w:vAlign w:val="bottom"/>
          </w:tcPr>
          <w:p w:rsidR="00EC16DC" w:rsidRPr="00EC16DC" w:rsidRDefault="00EC16DC" w:rsidP="00EC16DC">
            <w:pPr>
              <w:pStyle w:val="TableBodyText"/>
            </w:pPr>
            <w:r w:rsidRPr="00EC16DC">
              <w:t>0.61</w:t>
            </w:r>
          </w:p>
        </w:tc>
        <w:tc>
          <w:tcPr>
            <w:tcW w:w="1291" w:type="pct"/>
            <w:shd w:val="clear" w:color="auto" w:fill="auto"/>
            <w:vAlign w:val="bottom"/>
          </w:tcPr>
          <w:p w:rsidR="00EC16DC" w:rsidRPr="00EC16DC" w:rsidRDefault="00EC16DC" w:rsidP="00EC16DC">
            <w:pPr>
              <w:pStyle w:val="TableBodyText"/>
            </w:pPr>
            <w:r w:rsidRPr="00EC16DC">
              <w:t>-0.47</w:t>
            </w:r>
          </w:p>
        </w:tc>
        <w:tc>
          <w:tcPr>
            <w:tcW w:w="1048" w:type="pct"/>
            <w:shd w:val="clear" w:color="auto" w:fill="auto"/>
            <w:vAlign w:val="bottom"/>
          </w:tcPr>
          <w:p w:rsidR="00EC16DC" w:rsidRPr="00EC16DC" w:rsidRDefault="00EC16DC" w:rsidP="00EC16DC">
            <w:pPr>
              <w:pStyle w:val="TableBodyText"/>
            </w:pPr>
            <w:r w:rsidRPr="00EC16DC">
              <w:t>0.14</w:t>
            </w:r>
          </w:p>
        </w:tc>
      </w:tr>
      <w:tr w:rsidR="00EC16DC" w:rsidRPr="00EC16DC" w:rsidTr="00EC16DC">
        <w:tc>
          <w:tcPr>
            <w:tcW w:w="1533" w:type="pct"/>
            <w:shd w:val="clear" w:color="auto" w:fill="auto"/>
            <w:vAlign w:val="bottom"/>
          </w:tcPr>
          <w:p w:rsidR="00EC16DC" w:rsidRPr="00EC16DC" w:rsidRDefault="00EC16DC" w:rsidP="00EC16DC">
            <w:pPr>
              <w:pStyle w:val="TableBodyText"/>
              <w:jc w:val="left"/>
            </w:pPr>
            <w:r w:rsidRPr="00EC16DC">
              <w:t>Accommodation</w:t>
            </w:r>
          </w:p>
        </w:tc>
        <w:tc>
          <w:tcPr>
            <w:tcW w:w="1128" w:type="pct"/>
            <w:vAlign w:val="bottom"/>
          </w:tcPr>
          <w:p w:rsidR="00EC16DC" w:rsidRPr="00EC16DC" w:rsidRDefault="00EC16DC" w:rsidP="00EC16DC">
            <w:pPr>
              <w:pStyle w:val="TableBodyText"/>
            </w:pPr>
            <w:r w:rsidRPr="00EC16DC">
              <w:t>0.41</w:t>
            </w:r>
          </w:p>
        </w:tc>
        <w:tc>
          <w:tcPr>
            <w:tcW w:w="1291" w:type="pct"/>
            <w:shd w:val="clear" w:color="auto" w:fill="auto"/>
            <w:vAlign w:val="bottom"/>
          </w:tcPr>
          <w:p w:rsidR="00EC16DC" w:rsidRPr="00EC16DC" w:rsidRDefault="00EC16DC" w:rsidP="00EC16DC">
            <w:pPr>
              <w:pStyle w:val="TableBodyText"/>
            </w:pPr>
            <w:r w:rsidRPr="00EC16DC">
              <w:t>-0.33</w:t>
            </w:r>
          </w:p>
        </w:tc>
        <w:tc>
          <w:tcPr>
            <w:tcW w:w="1048" w:type="pct"/>
            <w:shd w:val="clear" w:color="auto" w:fill="auto"/>
            <w:vAlign w:val="bottom"/>
          </w:tcPr>
          <w:p w:rsidR="00EC16DC" w:rsidRPr="00EC16DC" w:rsidRDefault="00EC16DC" w:rsidP="00EC16DC">
            <w:pPr>
              <w:pStyle w:val="TableBodyText"/>
            </w:pPr>
            <w:r w:rsidRPr="00EC16DC">
              <w:t>0.08</w:t>
            </w:r>
          </w:p>
        </w:tc>
      </w:tr>
      <w:tr w:rsidR="00EC16DC" w:rsidRPr="00EC16DC" w:rsidTr="00EC16DC">
        <w:tc>
          <w:tcPr>
            <w:tcW w:w="1533" w:type="pct"/>
            <w:shd w:val="clear" w:color="auto" w:fill="auto"/>
            <w:vAlign w:val="bottom"/>
          </w:tcPr>
          <w:p w:rsidR="00EC16DC" w:rsidRPr="00EC16DC" w:rsidRDefault="00EC16DC" w:rsidP="00EC16DC">
            <w:pPr>
              <w:pStyle w:val="TableBodyText"/>
              <w:jc w:val="left"/>
            </w:pPr>
            <w:r w:rsidRPr="00EC16DC">
              <w:t>Transport</w:t>
            </w:r>
          </w:p>
        </w:tc>
        <w:tc>
          <w:tcPr>
            <w:tcW w:w="1128" w:type="pct"/>
            <w:vAlign w:val="bottom"/>
          </w:tcPr>
          <w:p w:rsidR="00EC16DC" w:rsidRPr="00EC16DC" w:rsidRDefault="00EC16DC" w:rsidP="00EC16DC">
            <w:pPr>
              <w:pStyle w:val="TableBodyText"/>
            </w:pPr>
            <w:r w:rsidRPr="00EC16DC">
              <w:t>-0.09</w:t>
            </w:r>
          </w:p>
        </w:tc>
        <w:tc>
          <w:tcPr>
            <w:tcW w:w="1291" w:type="pct"/>
            <w:shd w:val="clear" w:color="auto" w:fill="auto"/>
            <w:vAlign w:val="bottom"/>
          </w:tcPr>
          <w:p w:rsidR="00EC16DC" w:rsidRPr="00EC16DC" w:rsidRDefault="00EC16DC" w:rsidP="00EC16DC">
            <w:pPr>
              <w:pStyle w:val="TableBodyText"/>
            </w:pPr>
            <w:r w:rsidRPr="00EC16DC">
              <w:t>0.11</w:t>
            </w:r>
          </w:p>
        </w:tc>
        <w:tc>
          <w:tcPr>
            <w:tcW w:w="1048" w:type="pct"/>
            <w:shd w:val="clear" w:color="auto" w:fill="auto"/>
            <w:vAlign w:val="bottom"/>
          </w:tcPr>
          <w:p w:rsidR="00EC16DC" w:rsidRPr="00EC16DC" w:rsidRDefault="00EC16DC" w:rsidP="00EC16DC">
            <w:pPr>
              <w:pStyle w:val="TableBodyText"/>
            </w:pPr>
            <w:r w:rsidRPr="00EC16DC">
              <w:t>0.03</w:t>
            </w:r>
          </w:p>
        </w:tc>
      </w:tr>
      <w:tr w:rsidR="00EC16DC" w:rsidRPr="00EC16DC" w:rsidTr="00EC16DC">
        <w:tc>
          <w:tcPr>
            <w:tcW w:w="1533" w:type="pct"/>
            <w:shd w:val="clear" w:color="auto" w:fill="auto"/>
            <w:vAlign w:val="bottom"/>
          </w:tcPr>
          <w:p w:rsidR="00EC16DC" w:rsidRPr="00EC16DC" w:rsidRDefault="00EC16DC" w:rsidP="00EC16DC">
            <w:pPr>
              <w:pStyle w:val="TableBodyText"/>
              <w:jc w:val="left"/>
            </w:pPr>
            <w:r w:rsidRPr="00EC16DC">
              <w:t>Telecoms</w:t>
            </w:r>
          </w:p>
        </w:tc>
        <w:tc>
          <w:tcPr>
            <w:tcW w:w="1128" w:type="pct"/>
            <w:vAlign w:val="bottom"/>
          </w:tcPr>
          <w:p w:rsidR="00EC16DC" w:rsidRPr="00EC16DC" w:rsidRDefault="00EC16DC" w:rsidP="00EC16DC">
            <w:pPr>
              <w:pStyle w:val="TableBodyText"/>
            </w:pPr>
            <w:r w:rsidRPr="00EC16DC">
              <w:t>-0.71</w:t>
            </w:r>
          </w:p>
        </w:tc>
        <w:tc>
          <w:tcPr>
            <w:tcW w:w="1291" w:type="pct"/>
            <w:shd w:val="clear" w:color="auto" w:fill="auto"/>
            <w:vAlign w:val="bottom"/>
          </w:tcPr>
          <w:p w:rsidR="00EC16DC" w:rsidRPr="00EC16DC" w:rsidRDefault="00EC16DC" w:rsidP="00EC16DC">
            <w:pPr>
              <w:pStyle w:val="TableBodyText"/>
            </w:pPr>
            <w:r w:rsidRPr="00EC16DC">
              <w:t>0.37</w:t>
            </w:r>
          </w:p>
        </w:tc>
        <w:tc>
          <w:tcPr>
            <w:tcW w:w="1048" w:type="pct"/>
            <w:shd w:val="clear" w:color="auto" w:fill="auto"/>
            <w:vAlign w:val="bottom"/>
          </w:tcPr>
          <w:p w:rsidR="00EC16DC" w:rsidRPr="00EC16DC" w:rsidRDefault="00EC16DC" w:rsidP="00EC16DC">
            <w:pPr>
              <w:pStyle w:val="TableBodyText"/>
            </w:pPr>
            <w:r w:rsidRPr="00EC16DC">
              <w:t>-0.35</w:t>
            </w:r>
          </w:p>
        </w:tc>
      </w:tr>
      <w:tr w:rsidR="00EC16DC" w:rsidRPr="00EC16DC" w:rsidTr="00EC16DC">
        <w:tc>
          <w:tcPr>
            <w:tcW w:w="1533" w:type="pct"/>
            <w:shd w:val="clear" w:color="auto" w:fill="auto"/>
            <w:vAlign w:val="bottom"/>
          </w:tcPr>
          <w:p w:rsidR="00EC16DC" w:rsidRPr="00EC16DC" w:rsidRDefault="00EC16DC" w:rsidP="00EC16DC">
            <w:pPr>
              <w:pStyle w:val="TableBodyText"/>
              <w:jc w:val="left"/>
            </w:pPr>
            <w:r w:rsidRPr="00EC16DC">
              <w:t>Finance</w:t>
            </w:r>
          </w:p>
        </w:tc>
        <w:tc>
          <w:tcPr>
            <w:tcW w:w="1128" w:type="pct"/>
            <w:vAlign w:val="bottom"/>
          </w:tcPr>
          <w:p w:rsidR="00EC16DC" w:rsidRPr="00EC16DC" w:rsidRDefault="00EC16DC" w:rsidP="00EC16DC">
            <w:pPr>
              <w:pStyle w:val="TableBodyText"/>
            </w:pPr>
            <w:r w:rsidRPr="00EC16DC">
              <w:t>-1.27</w:t>
            </w:r>
          </w:p>
        </w:tc>
        <w:tc>
          <w:tcPr>
            <w:tcW w:w="1291" w:type="pct"/>
            <w:shd w:val="clear" w:color="auto" w:fill="auto"/>
            <w:vAlign w:val="bottom"/>
          </w:tcPr>
          <w:p w:rsidR="00EC16DC" w:rsidRPr="00EC16DC" w:rsidRDefault="00EC16DC" w:rsidP="00EC16DC">
            <w:pPr>
              <w:pStyle w:val="TableBodyText"/>
            </w:pPr>
            <w:r w:rsidRPr="00EC16DC">
              <w:t>1.08</w:t>
            </w:r>
          </w:p>
        </w:tc>
        <w:tc>
          <w:tcPr>
            <w:tcW w:w="1048" w:type="pct"/>
            <w:shd w:val="clear" w:color="auto" w:fill="auto"/>
            <w:vAlign w:val="bottom"/>
          </w:tcPr>
          <w:p w:rsidR="00EC16DC" w:rsidRPr="00EC16DC" w:rsidRDefault="00EC16DC" w:rsidP="00EC16DC">
            <w:pPr>
              <w:pStyle w:val="TableBodyText"/>
            </w:pPr>
            <w:r w:rsidRPr="00EC16DC">
              <w:t>-0.19</w:t>
            </w:r>
          </w:p>
        </w:tc>
      </w:tr>
      <w:tr w:rsidR="00EC16DC" w:rsidRPr="00EC16DC" w:rsidTr="00EC16DC">
        <w:tc>
          <w:tcPr>
            <w:tcW w:w="1533" w:type="pct"/>
            <w:shd w:val="clear" w:color="auto" w:fill="auto"/>
            <w:vAlign w:val="bottom"/>
          </w:tcPr>
          <w:p w:rsidR="00EC16DC" w:rsidRPr="00EC16DC" w:rsidRDefault="00EC16DC" w:rsidP="00EC16DC">
            <w:pPr>
              <w:pStyle w:val="TableBodyText"/>
              <w:jc w:val="left"/>
            </w:pPr>
            <w:r w:rsidRPr="00EC16DC">
              <w:t>Arts &amp; rec</w:t>
            </w:r>
          </w:p>
        </w:tc>
        <w:tc>
          <w:tcPr>
            <w:tcW w:w="1128" w:type="pct"/>
            <w:vAlign w:val="bottom"/>
          </w:tcPr>
          <w:p w:rsidR="00EC16DC" w:rsidRPr="00EC16DC" w:rsidRDefault="00EC16DC" w:rsidP="00EC16DC">
            <w:pPr>
              <w:pStyle w:val="TableBodyText"/>
            </w:pPr>
            <w:r w:rsidRPr="00EC16DC">
              <w:t>0.21</w:t>
            </w:r>
          </w:p>
        </w:tc>
        <w:tc>
          <w:tcPr>
            <w:tcW w:w="1291" w:type="pct"/>
            <w:shd w:val="clear" w:color="auto" w:fill="auto"/>
            <w:vAlign w:val="bottom"/>
          </w:tcPr>
          <w:p w:rsidR="00EC16DC" w:rsidRPr="00EC16DC" w:rsidRDefault="00EC16DC" w:rsidP="00EC16DC">
            <w:pPr>
              <w:pStyle w:val="TableBodyText"/>
            </w:pPr>
            <w:r w:rsidRPr="00EC16DC">
              <w:t>-0.07</w:t>
            </w:r>
          </w:p>
        </w:tc>
        <w:tc>
          <w:tcPr>
            <w:tcW w:w="1048" w:type="pct"/>
            <w:shd w:val="clear" w:color="auto" w:fill="auto"/>
            <w:vAlign w:val="bottom"/>
          </w:tcPr>
          <w:p w:rsidR="00EC16DC" w:rsidRPr="00EC16DC" w:rsidRDefault="00EC16DC" w:rsidP="00EC16DC">
            <w:pPr>
              <w:pStyle w:val="TableBodyText"/>
            </w:pPr>
            <w:r w:rsidRPr="00EC16DC">
              <w:t>0.14</w:t>
            </w:r>
          </w:p>
        </w:tc>
      </w:tr>
      <w:tr w:rsidR="00EC16DC" w:rsidTr="00EC16DC">
        <w:tc>
          <w:tcPr>
            <w:tcW w:w="1533" w:type="pct"/>
            <w:tcBorders>
              <w:bottom w:val="single" w:sz="4" w:space="0" w:color="auto"/>
            </w:tcBorders>
            <w:shd w:val="clear" w:color="auto" w:fill="auto"/>
            <w:vAlign w:val="bottom"/>
          </w:tcPr>
          <w:p w:rsidR="00EC16DC" w:rsidRPr="00EC16DC" w:rsidRDefault="00EC16DC" w:rsidP="00EC16DC">
            <w:pPr>
              <w:pStyle w:val="TableBodyText"/>
              <w:jc w:val="left"/>
            </w:pPr>
            <w:r w:rsidRPr="00EC16DC">
              <w:t xml:space="preserve">Market sector </w:t>
            </w:r>
            <w:r w:rsidR="00460C39">
              <w:t>12</w:t>
            </w:r>
          </w:p>
        </w:tc>
        <w:tc>
          <w:tcPr>
            <w:tcW w:w="1128" w:type="pct"/>
            <w:tcBorders>
              <w:bottom w:val="single" w:sz="4" w:space="0" w:color="auto"/>
            </w:tcBorders>
            <w:vAlign w:val="bottom"/>
          </w:tcPr>
          <w:p w:rsidR="00EC16DC" w:rsidRPr="00EC16DC" w:rsidRDefault="00EC16DC" w:rsidP="00EC16DC">
            <w:pPr>
              <w:pStyle w:val="TableBodyText"/>
            </w:pPr>
            <w:r w:rsidRPr="00EC16DC">
              <w:t>-1.6</w:t>
            </w:r>
          </w:p>
        </w:tc>
        <w:tc>
          <w:tcPr>
            <w:tcW w:w="1291" w:type="pct"/>
            <w:tcBorders>
              <w:bottom w:val="single" w:sz="4" w:space="0" w:color="auto"/>
            </w:tcBorders>
            <w:shd w:val="clear" w:color="auto" w:fill="auto"/>
            <w:vAlign w:val="bottom"/>
          </w:tcPr>
          <w:p w:rsidR="00EC16DC" w:rsidRPr="00EC16DC" w:rsidRDefault="00EC16DC" w:rsidP="00EC16DC">
            <w:pPr>
              <w:pStyle w:val="TableBodyText"/>
            </w:pPr>
            <w:r w:rsidRPr="00EC16DC">
              <w:t>0.0</w:t>
            </w:r>
          </w:p>
        </w:tc>
        <w:tc>
          <w:tcPr>
            <w:tcW w:w="1048" w:type="pct"/>
            <w:tcBorders>
              <w:bottom w:val="single" w:sz="4" w:space="0" w:color="auto"/>
            </w:tcBorders>
            <w:shd w:val="clear" w:color="auto" w:fill="auto"/>
            <w:vAlign w:val="bottom"/>
          </w:tcPr>
          <w:p w:rsidR="00EC16DC" w:rsidRPr="00EC16DC" w:rsidRDefault="00EC16DC" w:rsidP="00EC16DC">
            <w:pPr>
              <w:pStyle w:val="TableBodyText"/>
            </w:pPr>
            <w:r w:rsidRPr="00EC16DC">
              <w:t>-1.6</w:t>
            </w:r>
          </w:p>
        </w:tc>
      </w:tr>
    </w:tbl>
    <w:p w:rsidR="00D5481A" w:rsidRDefault="00D5481A" w:rsidP="00D5481A">
      <w:pPr>
        <w:pStyle w:val="Source"/>
      </w:pPr>
      <w:r>
        <w:rPr>
          <w:i/>
        </w:rPr>
        <w:t>Source</w:t>
      </w:r>
      <w:r w:rsidRPr="00167F06">
        <w:t>:</w:t>
      </w:r>
      <w:r>
        <w:t xml:space="preserve"> Author’s estimates</w:t>
      </w:r>
      <w:r w:rsidRPr="00167F06">
        <w:t xml:space="preserve"> </w:t>
      </w:r>
      <w:r>
        <w:t xml:space="preserve">based on ABS </w:t>
      </w:r>
      <w:r w:rsidR="005E5264">
        <w:t>(</w:t>
      </w:r>
      <w:r w:rsidR="00460C39">
        <w:t>Cat. no.</w:t>
      </w:r>
      <w:r>
        <w:t xml:space="preserve"> 5260.0550.02</w:t>
      </w:r>
      <w:r w:rsidR="005E5264">
        <w:t>)</w:t>
      </w:r>
      <w:r>
        <w:t>.</w:t>
      </w:r>
    </w:p>
    <w:p w:rsidR="001D7DF8" w:rsidRDefault="001D7DF8" w:rsidP="001D7DF8">
      <w:pPr>
        <w:pStyle w:val="BodyText"/>
      </w:pPr>
      <w:r>
        <w:lastRenderedPageBreak/>
        <w:t xml:space="preserve">In brief, the results suggest that the most important reallocations among market sector industries in the </w:t>
      </w:r>
      <w:proofErr w:type="spellStart"/>
      <w:r>
        <w:t>2000s</w:t>
      </w:r>
      <w:proofErr w:type="spellEnd"/>
      <w:r>
        <w:t xml:space="preserve"> were:</w:t>
      </w:r>
    </w:p>
    <w:p w:rsidR="00684C05" w:rsidRDefault="00684C05" w:rsidP="009D3612">
      <w:pPr>
        <w:pStyle w:val="ListBullet"/>
      </w:pPr>
      <w:r>
        <w:t>Mining (-0.9</w:t>
      </w:r>
      <w:r w:rsidR="006239C7">
        <w:t xml:space="preserve"> percentage points</w:t>
      </w:r>
      <w:r>
        <w:t>) because of the very large reallocation of capital income toward the industry (1.1</w:t>
      </w:r>
      <w:r w:rsidR="006239C7">
        <w:t xml:space="preserve"> percentage point</w:t>
      </w:r>
      <w:r w:rsidR="00460C39">
        <w:t>s)</w:t>
      </w:r>
    </w:p>
    <w:p w:rsidR="00684C05" w:rsidRDefault="00684C05" w:rsidP="009D3612">
      <w:pPr>
        <w:pStyle w:val="ListBullet"/>
      </w:pPr>
      <w:r>
        <w:t>Agriculture (-0.6</w:t>
      </w:r>
      <w:r w:rsidR="006239C7">
        <w:t xml:space="preserve"> percentage points</w:t>
      </w:r>
      <w:r>
        <w:t>), mostly because of an increas</w:t>
      </w:r>
      <w:r w:rsidR="00460C39">
        <w:t>ed allocation of capital income</w:t>
      </w:r>
    </w:p>
    <w:p w:rsidR="00684C05" w:rsidRDefault="00684C05" w:rsidP="009D3612">
      <w:pPr>
        <w:pStyle w:val="ListBullet"/>
      </w:pPr>
      <w:r>
        <w:t>Retail (-0.5</w:t>
      </w:r>
      <w:r w:rsidR="006239C7">
        <w:t xml:space="preserve"> percentage points</w:t>
      </w:r>
      <w:r>
        <w:t>), fairly evenly divided between negative labour and</w:t>
      </w:r>
      <w:r w:rsidR="00460C39">
        <w:t xml:space="preserve"> positive capital reallocations</w:t>
      </w:r>
    </w:p>
    <w:p w:rsidR="009D3612" w:rsidRDefault="009D3612" w:rsidP="009D3612">
      <w:pPr>
        <w:pStyle w:val="ListBullet"/>
      </w:pPr>
      <w:r>
        <w:t xml:space="preserve">in the other direction, </w:t>
      </w:r>
      <w:r w:rsidR="00684C05">
        <w:t>Finance (1.1</w:t>
      </w:r>
      <w:r w:rsidR="006239C7">
        <w:t xml:space="preserve"> percentage points</w:t>
      </w:r>
      <w:r w:rsidR="00684C05">
        <w:t xml:space="preserve">), </w:t>
      </w:r>
      <w:r>
        <w:t>Manufacturing (0.5</w:t>
      </w:r>
      <w:r w:rsidR="006239C7">
        <w:t> percentage points</w:t>
      </w:r>
      <w:r>
        <w:t>) and Telecoms (0.4</w:t>
      </w:r>
      <w:r w:rsidR="006239C7">
        <w:t xml:space="preserve"> percentage points</w:t>
      </w:r>
      <w:r>
        <w:t xml:space="preserve">), </w:t>
      </w:r>
      <w:r w:rsidR="00684C05">
        <w:t>mainly because of lower allocation</w:t>
      </w:r>
      <w:r>
        <w:t>s</w:t>
      </w:r>
      <w:r w:rsidR="00684C05">
        <w:t xml:space="preserve"> of capital income</w:t>
      </w:r>
      <w:r>
        <w:t>.</w:t>
      </w:r>
    </w:p>
    <w:p w:rsidR="006E5188" w:rsidRDefault="00F92682" w:rsidP="006E5188">
      <w:pPr>
        <w:pStyle w:val="Heading2"/>
      </w:pPr>
      <w:fldSimple w:instr=" COMMENTS  \* MERGEFORMAT ">
        <w:r w:rsidR="005E5264">
          <w:t>5.</w:t>
        </w:r>
      </w:fldSimple>
      <w:fldSimple w:instr=" SEQ Heading2 ">
        <w:r>
          <w:rPr>
            <w:noProof/>
          </w:rPr>
          <w:t>4</w:t>
        </w:r>
      </w:fldSimple>
      <w:r w:rsidR="009D3612">
        <w:tab/>
      </w:r>
      <w:r w:rsidR="006E5188">
        <w:t>Assessment of the role of change</w:t>
      </w:r>
      <w:r w:rsidR="0095518D">
        <w:t xml:space="preserve"> in industry structure</w:t>
      </w:r>
    </w:p>
    <w:p w:rsidR="007B3488" w:rsidRDefault="007B3488" w:rsidP="007B3488">
      <w:pPr>
        <w:pStyle w:val="BodyText"/>
      </w:pPr>
      <w:r>
        <w:t xml:space="preserve">There are some important differences between the shift-share results and the results of the </w:t>
      </w:r>
      <w:r w:rsidR="009D3612">
        <w:t xml:space="preserve">analysis based on </w:t>
      </w:r>
      <w:r w:rsidR="00B370B2">
        <w:t xml:space="preserve">industry </w:t>
      </w:r>
      <w:r w:rsidR="009D3612">
        <w:t>decompositions of factor income growth</w:t>
      </w:r>
      <w:r>
        <w:t>.</w:t>
      </w:r>
    </w:p>
    <w:p w:rsidR="007B3488" w:rsidRDefault="007B3488" w:rsidP="007B3488">
      <w:pPr>
        <w:pStyle w:val="ListBullet"/>
      </w:pPr>
      <w:r>
        <w:t xml:space="preserve">The shift-share analysis attributes an important but less-than-complete role to </w:t>
      </w:r>
      <w:r w:rsidR="003B3DE4">
        <w:t xml:space="preserve">structural change and the mining boom, whereas the analysis based on the industry decomposition of growth in factor incomes attributes the fall in market sector </w:t>
      </w:r>
      <w:proofErr w:type="spellStart"/>
      <w:r w:rsidR="003B3DE4">
        <w:t>LIS</w:t>
      </w:r>
      <w:proofErr w:type="spellEnd"/>
      <w:r w:rsidR="003B3DE4">
        <w:t xml:space="preserve"> overwhelmingly to </w:t>
      </w:r>
      <w:r>
        <w:t>Mining</w:t>
      </w:r>
      <w:r w:rsidR="003B3DE4">
        <w:t>.</w:t>
      </w:r>
    </w:p>
    <w:p w:rsidR="00F71C69" w:rsidRDefault="00F71C69" w:rsidP="00F71C69">
      <w:pPr>
        <w:pStyle w:val="ListBullet2"/>
      </w:pPr>
      <w:r>
        <w:t>A ‘dynamic’ view of structural change, using the decomposition of factor incomes approach, similarly attributes the changes in growth rates overwhelmingly to Mining.</w:t>
      </w:r>
    </w:p>
    <w:p w:rsidR="007B3488" w:rsidRDefault="007B3488" w:rsidP="007B3488">
      <w:pPr>
        <w:pStyle w:val="ListBullet"/>
      </w:pPr>
      <w:r>
        <w:t xml:space="preserve">Construction has a slight negative effect on the aggregate </w:t>
      </w:r>
      <w:proofErr w:type="spellStart"/>
      <w:r>
        <w:t>LIS</w:t>
      </w:r>
      <w:proofErr w:type="spellEnd"/>
      <w:r>
        <w:t xml:space="preserve"> in the shift-share analysis but </w:t>
      </w:r>
      <w:r w:rsidR="00F71C69">
        <w:t>has</w:t>
      </w:r>
      <w:r>
        <w:t xml:space="preserve"> a positive role in the </w:t>
      </w:r>
      <w:r w:rsidR="00F71C69">
        <w:t xml:space="preserve">factor </w:t>
      </w:r>
      <w:r>
        <w:t>income decomposition analysis.</w:t>
      </w:r>
    </w:p>
    <w:p w:rsidR="00F71C69" w:rsidRDefault="00F71C69" w:rsidP="007B3488">
      <w:pPr>
        <w:pStyle w:val="ListBullet"/>
      </w:pPr>
      <w:r>
        <w:t xml:space="preserve">Manufacturing had a positive ‘within’ effect, but no overall effect, in the shift-share analysis, whereas it is found to have had a positive effect on the aggregate </w:t>
      </w:r>
      <w:proofErr w:type="spellStart"/>
      <w:r>
        <w:t>LIS</w:t>
      </w:r>
      <w:proofErr w:type="spellEnd"/>
      <w:r>
        <w:t xml:space="preserve"> in the factor income decomposition analysis.</w:t>
      </w:r>
    </w:p>
    <w:p w:rsidR="006E4C47" w:rsidRDefault="006E4C47" w:rsidP="007B3488">
      <w:pPr>
        <w:pStyle w:val="BodyText"/>
      </w:pPr>
      <w:r>
        <w:t xml:space="preserve">The differences arise </w:t>
      </w:r>
      <w:r w:rsidR="00081499">
        <w:t>because shift-share analysis captures relative size and ‘between’ effects in terms of total income</w:t>
      </w:r>
      <w:r>
        <w:t>.</w:t>
      </w:r>
      <w:r w:rsidR="00081499">
        <w:t xml:space="preserve"> The industry decomposition of factor incomes approach</w:t>
      </w:r>
      <w:r w:rsidR="001D64DE">
        <w:t>, on the other hand,</w:t>
      </w:r>
      <w:r w:rsidR="00081499">
        <w:t xml:space="preserve"> captures the relative size and significance of industries in terms of labour income and capital income separately.</w:t>
      </w:r>
    </w:p>
    <w:p w:rsidR="006E4C47" w:rsidRDefault="00081499" w:rsidP="007B3488">
      <w:pPr>
        <w:pStyle w:val="BodyText"/>
      </w:pPr>
      <w:r>
        <w:t>Consequently, t</w:t>
      </w:r>
      <w:r w:rsidR="00460C39">
        <w:t>he within-industry</w:t>
      </w:r>
      <w:r w:rsidR="006E4C47">
        <w:t xml:space="preserve"> changes in </w:t>
      </w:r>
      <w:proofErr w:type="spellStart"/>
      <w:r w:rsidR="006E4C47">
        <w:t>LIS</w:t>
      </w:r>
      <w:proofErr w:type="spellEnd"/>
      <w:r w:rsidR="006E4C47">
        <w:t xml:space="preserve"> </w:t>
      </w:r>
      <w:r>
        <w:t xml:space="preserve">in the shift-share analysis </w:t>
      </w:r>
      <w:r w:rsidR="006E4C47">
        <w:t xml:space="preserve">overlook the significance that some changes have </w:t>
      </w:r>
      <w:r>
        <w:t>on</w:t>
      </w:r>
      <w:r w:rsidR="006E4C47">
        <w:t xml:space="preserve"> the market sector as a whole. Mining and Construction are two prime examples. </w:t>
      </w:r>
    </w:p>
    <w:p w:rsidR="004C3D6A" w:rsidRDefault="006E4C47" w:rsidP="007B3488">
      <w:pPr>
        <w:pStyle w:val="BodyText"/>
      </w:pPr>
      <w:r>
        <w:lastRenderedPageBreak/>
        <w:t xml:space="preserve">In Mining, there was strong growth in labour income, but from a small base as far as the market sector is concerned. </w:t>
      </w:r>
      <w:r w:rsidR="004C3D6A">
        <w:t xml:space="preserve">The within-industry fall in Mining </w:t>
      </w:r>
      <w:proofErr w:type="spellStart"/>
      <w:r w:rsidR="004C3D6A">
        <w:t>LIS</w:t>
      </w:r>
      <w:proofErr w:type="spellEnd"/>
      <w:r w:rsidR="004C3D6A">
        <w:t xml:space="preserve"> is not all that large</w:t>
      </w:r>
      <w:r w:rsidR="009D458D">
        <w:t xml:space="preserve"> (</w:t>
      </w:r>
      <w:r w:rsidR="001D64DE">
        <w:t xml:space="preserve">below average at </w:t>
      </w:r>
      <w:r w:rsidR="009D458D">
        <w:t>-2 percentage points)</w:t>
      </w:r>
      <w:r w:rsidR="004C3D6A">
        <w:t>, because there is not a lot of difference between growth in industry labour and capital income. However,</w:t>
      </w:r>
      <w:r>
        <w:t xml:space="preserve"> </w:t>
      </w:r>
      <w:r w:rsidR="009D458D">
        <w:t xml:space="preserve">while </w:t>
      </w:r>
      <w:r>
        <w:t>the growth in mining labour income ha</w:t>
      </w:r>
      <w:r w:rsidR="004C3D6A">
        <w:t xml:space="preserve">d </w:t>
      </w:r>
      <w:r>
        <w:t>comparatively little significance for the market sector growth in labour income</w:t>
      </w:r>
      <w:r w:rsidR="009D458D">
        <w:t>, the</w:t>
      </w:r>
      <w:r>
        <w:t xml:space="preserve"> growth in capital income in Mining, which is a large source of market sector capital income, </w:t>
      </w:r>
      <w:r w:rsidR="004C3D6A">
        <w:t>ha</w:t>
      </w:r>
      <w:r w:rsidR="009D458D">
        <w:t>d</w:t>
      </w:r>
      <w:r w:rsidR="004C3D6A">
        <w:t xml:space="preserve"> a large effect on aggregate capital income growth. And so, the effect of the growth in factor incomes in Mining has a much greater effect on the market sector </w:t>
      </w:r>
      <w:proofErr w:type="spellStart"/>
      <w:r w:rsidR="004C3D6A">
        <w:t>LIS</w:t>
      </w:r>
      <w:proofErr w:type="spellEnd"/>
      <w:r w:rsidR="004C3D6A">
        <w:t xml:space="preserve"> than the change in within-industry </w:t>
      </w:r>
      <w:proofErr w:type="spellStart"/>
      <w:r w:rsidR="004C3D6A">
        <w:t>LIS</w:t>
      </w:r>
      <w:proofErr w:type="spellEnd"/>
      <w:r w:rsidR="004C3D6A">
        <w:t xml:space="preserve"> indicates. </w:t>
      </w:r>
    </w:p>
    <w:p w:rsidR="007B3488" w:rsidRDefault="009D458D" w:rsidP="007B3488">
      <w:pPr>
        <w:pStyle w:val="BodyText"/>
      </w:pPr>
      <w:r>
        <w:t xml:space="preserve">The </w:t>
      </w:r>
      <w:proofErr w:type="spellStart"/>
      <w:r>
        <w:t>LIS</w:t>
      </w:r>
      <w:proofErr w:type="spellEnd"/>
      <w:r>
        <w:t xml:space="preserve"> in </w:t>
      </w:r>
      <w:r w:rsidR="007B3488">
        <w:t xml:space="preserve">Construction </w:t>
      </w:r>
      <w:r>
        <w:t>fell b</w:t>
      </w:r>
      <w:r w:rsidR="007B3488">
        <w:t xml:space="preserve">ecause capital income grew faster than labour income in the </w:t>
      </w:r>
      <w:proofErr w:type="spellStart"/>
      <w:r w:rsidR="007B3488">
        <w:t>2000s</w:t>
      </w:r>
      <w:proofErr w:type="spellEnd"/>
      <w:r>
        <w:t>.</w:t>
      </w:r>
      <w:r w:rsidR="007B3488">
        <w:t xml:space="preserve"> </w:t>
      </w:r>
      <w:r w:rsidR="001D64DE">
        <w:t>The fall of 4</w:t>
      </w:r>
      <w:r w:rsidR="006239C7">
        <w:t xml:space="preserve"> percentage points</w:t>
      </w:r>
      <w:r w:rsidR="001D64DE">
        <w:t xml:space="preserve"> was of the same magnitude as the fall in the </w:t>
      </w:r>
      <w:r w:rsidR="00F97CB6">
        <w:t>market sector</w:t>
      </w:r>
      <w:r w:rsidR="001D64DE">
        <w:t xml:space="preserve"> average. </w:t>
      </w:r>
      <w:r w:rsidR="007B3488">
        <w:t>This within-industry effect outweigh</w:t>
      </w:r>
      <w:r w:rsidR="001D64DE">
        <w:t>ed</w:t>
      </w:r>
      <w:r w:rsidR="007B3488">
        <w:t xml:space="preserve"> the structural-change effect</w:t>
      </w:r>
      <w:r w:rsidR="001D64DE" w:rsidRPr="001D64DE">
        <w:t xml:space="preserve"> </w:t>
      </w:r>
      <w:r w:rsidR="001D64DE">
        <w:t>in the shift-share analysis</w:t>
      </w:r>
      <w:r w:rsidR="007B3488">
        <w:t xml:space="preserve">. However, because the industry is </w:t>
      </w:r>
      <w:r w:rsidR="004C3D6A" w:rsidRPr="00081499">
        <w:rPr>
          <w:i/>
        </w:rPr>
        <w:t>the</w:t>
      </w:r>
      <w:r w:rsidR="007B3488">
        <w:t xml:space="preserve"> major source of labour income, the growth in Construction labour income had a larger effect on </w:t>
      </w:r>
      <w:r w:rsidR="00F97CB6">
        <w:t>market sector</w:t>
      </w:r>
      <w:r w:rsidR="007B3488">
        <w:t xml:space="preserve"> labour income than the growth in Construction capital income had on </w:t>
      </w:r>
      <w:r w:rsidR="00F97CB6">
        <w:t>market sector</w:t>
      </w:r>
      <w:r w:rsidR="007B3488">
        <w:t xml:space="preserve"> capital income. The contribution to aggregate </w:t>
      </w:r>
      <w:proofErr w:type="spellStart"/>
      <w:r w:rsidR="007B3488">
        <w:t>LIS</w:t>
      </w:r>
      <w:proofErr w:type="spellEnd"/>
      <w:r w:rsidR="007B3488">
        <w:t xml:space="preserve">, from the perspective of </w:t>
      </w:r>
      <w:r w:rsidR="004C3D6A">
        <w:t>industry</w:t>
      </w:r>
      <w:r w:rsidR="007B3488">
        <w:t xml:space="preserve"> contributions to growth in </w:t>
      </w:r>
      <w:r w:rsidR="004C3D6A">
        <w:t>factor</w:t>
      </w:r>
      <w:r w:rsidR="007B3488">
        <w:t xml:space="preserve"> income</w:t>
      </w:r>
      <w:r w:rsidR="004C3D6A">
        <w:t>s</w:t>
      </w:r>
      <w:r w:rsidR="007B3488">
        <w:t>, was positive.</w:t>
      </w:r>
    </w:p>
    <w:p w:rsidR="00215678" w:rsidRDefault="009D458D" w:rsidP="007B3488">
      <w:pPr>
        <w:pStyle w:val="BodyText"/>
      </w:pPr>
      <w:r>
        <w:t xml:space="preserve">In </w:t>
      </w:r>
      <w:r w:rsidR="001D64DE">
        <w:t>similar vein</w:t>
      </w:r>
      <w:r>
        <w:t>, s</w:t>
      </w:r>
      <w:r w:rsidR="002C5582">
        <w:t xml:space="preserve">hift-share analysis </w:t>
      </w:r>
      <w:r w:rsidR="004612EC">
        <w:t xml:space="preserve">implicitly assumes </w:t>
      </w:r>
      <w:r>
        <w:t xml:space="preserve">in this context </w:t>
      </w:r>
      <w:r w:rsidR="002C5582">
        <w:t xml:space="preserve">that increases in the size (total output and income) </w:t>
      </w:r>
      <w:r w:rsidR="004612EC">
        <w:t xml:space="preserve">of industries </w:t>
      </w:r>
      <w:r w:rsidR="002C5582">
        <w:t xml:space="preserve">can be </w:t>
      </w:r>
      <w:r w:rsidR="004612EC">
        <w:t>separated</w:t>
      </w:r>
      <w:r w:rsidR="002C5582">
        <w:t xml:space="preserve"> from the way </w:t>
      </w:r>
      <w:r w:rsidR="004612EC">
        <w:t>in which</w:t>
      </w:r>
      <w:r w:rsidR="002C5582">
        <w:t xml:space="preserve"> industries expand (in capital- or labour-intensive ways). The prime case that challenge</w:t>
      </w:r>
      <w:r w:rsidR="004612EC">
        <w:t>s</w:t>
      </w:r>
      <w:r w:rsidR="002C5582">
        <w:t xml:space="preserve"> th</w:t>
      </w:r>
      <w:r w:rsidR="004612EC">
        <w:t>is</w:t>
      </w:r>
      <w:r w:rsidR="002C5582">
        <w:t xml:space="preserve"> view is </w:t>
      </w:r>
      <w:r w:rsidR="00F97CB6">
        <w:t>Mining</w:t>
      </w:r>
      <w:r w:rsidR="002C5582">
        <w:t xml:space="preserve">, </w:t>
      </w:r>
      <w:r w:rsidR="003B3DE4">
        <w:t>whe</w:t>
      </w:r>
      <w:r w:rsidR="002C5582">
        <w:t xml:space="preserve">re </w:t>
      </w:r>
      <w:r w:rsidR="003B3DE4">
        <w:t xml:space="preserve">the expansion of the industry </w:t>
      </w:r>
      <w:r w:rsidR="004612EC">
        <w:t xml:space="preserve">has necessitated higher unit capital requirements. That is, because of depletion and decline in the ‘quality’ of resource deposits, </w:t>
      </w:r>
      <w:r w:rsidR="00215678">
        <w:t>proportionately more capital investment is needed to maintain and increase output (Topp et al</w:t>
      </w:r>
      <w:r w:rsidR="00460C39">
        <w:t>.</w:t>
      </w:r>
      <w:r w:rsidR="00215678">
        <w:t xml:space="preserve"> 2008).</w:t>
      </w:r>
    </w:p>
    <w:p w:rsidR="00A62722" w:rsidRDefault="00F92682" w:rsidP="007E4B30">
      <w:pPr>
        <w:pStyle w:val="Heading2"/>
      </w:pPr>
      <w:fldSimple w:instr=" COMMENTS  \* MERGEFORMAT ">
        <w:r w:rsidR="005E5264">
          <w:t>5.</w:t>
        </w:r>
      </w:fldSimple>
      <w:fldSimple w:instr=" SEQ Heading2 ">
        <w:r>
          <w:rPr>
            <w:noProof/>
          </w:rPr>
          <w:t>5</w:t>
        </w:r>
      </w:fldSimple>
      <w:r w:rsidR="00A60453">
        <w:tab/>
      </w:r>
      <w:r w:rsidR="00645176">
        <w:t>Key point summary</w:t>
      </w:r>
    </w:p>
    <w:p w:rsidR="00601035" w:rsidRDefault="00601035" w:rsidP="00D53601">
      <w:pPr>
        <w:pStyle w:val="ListBullet"/>
      </w:pPr>
      <w:r>
        <w:t xml:space="preserve">There were large reallocations of labour and capital income across industries in the </w:t>
      </w:r>
      <w:proofErr w:type="spellStart"/>
      <w:r>
        <w:t>2000s</w:t>
      </w:r>
      <w:proofErr w:type="spellEnd"/>
      <w:r w:rsidR="008B344A">
        <w:t>.</w:t>
      </w:r>
    </w:p>
    <w:p w:rsidR="00601035" w:rsidRDefault="00601035" w:rsidP="00D53601">
      <w:pPr>
        <w:pStyle w:val="ListBullet2"/>
      </w:pPr>
      <w:r>
        <w:t>The biggest shifts were in capital income</w:t>
      </w:r>
      <w:r w:rsidR="008B344A">
        <w:t xml:space="preserve"> </w:t>
      </w:r>
      <w:r>
        <w:t>—</w:t>
      </w:r>
      <w:r w:rsidR="008B344A">
        <w:t xml:space="preserve"> </w:t>
      </w:r>
      <w:r>
        <w:t>toward Mining and away from Manufacturing.</w:t>
      </w:r>
    </w:p>
    <w:p w:rsidR="00601035" w:rsidRDefault="00601035" w:rsidP="00D53601">
      <w:pPr>
        <w:pStyle w:val="ListBullet2"/>
      </w:pPr>
      <w:r>
        <w:t>The biggest labour income shifts were toward Construction and Finance and away from Manufacturing.</w:t>
      </w:r>
    </w:p>
    <w:p w:rsidR="00601035" w:rsidRDefault="00601035" w:rsidP="00D53601">
      <w:pPr>
        <w:pStyle w:val="ListBullet3"/>
      </w:pPr>
      <w:r>
        <w:t>Manufacturing’s capital income shift was greater than its labour income shift.</w:t>
      </w:r>
    </w:p>
    <w:p w:rsidR="005E5264" w:rsidRDefault="005E5264">
      <w:pPr>
        <w:rPr>
          <w:szCs w:val="20"/>
        </w:rPr>
      </w:pPr>
      <w:r>
        <w:br w:type="page"/>
      </w:r>
    </w:p>
    <w:p w:rsidR="00601035" w:rsidRDefault="00601035" w:rsidP="00D53601">
      <w:pPr>
        <w:pStyle w:val="ListBullet"/>
      </w:pPr>
      <w:r>
        <w:lastRenderedPageBreak/>
        <w:t xml:space="preserve">Most industries experienced falls in </w:t>
      </w:r>
      <w:proofErr w:type="spellStart"/>
      <w:r w:rsidR="00460C39">
        <w:t>LIS</w:t>
      </w:r>
      <w:proofErr w:type="spellEnd"/>
      <w:r>
        <w:t xml:space="preserve"> in the </w:t>
      </w:r>
      <w:proofErr w:type="spellStart"/>
      <w:r>
        <w:t>2000s</w:t>
      </w:r>
      <w:proofErr w:type="spellEnd"/>
      <w:r>
        <w:t>.</w:t>
      </w:r>
    </w:p>
    <w:p w:rsidR="00601035" w:rsidRDefault="00601035" w:rsidP="00D53601">
      <w:pPr>
        <w:pStyle w:val="ListBullet2"/>
      </w:pPr>
      <w:r>
        <w:t>Mining</w:t>
      </w:r>
      <w:r w:rsidR="00460C39">
        <w:t xml:space="preserve"> and Construction </w:t>
      </w:r>
      <w:r w:rsidR="008754C0">
        <w:t xml:space="preserve">each </w:t>
      </w:r>
      <w:r w:rsidR="00460C39">
        <w:t xml:space="preserve">had falls </w:t>
      </w:r>
      <w:r w:rsidR="008754C0">
        <w:t xml:space="preserve">of </w:t>
      </w:r>
      <w:r w:rsidR="00F97CB6">
        <w:t>-</w:t>
      </w:r>
      <w:r>
        <w:t>4 percentage points.</w:t>
      </w:r>
    </w:p>
    <w:p w:rsidR="00601035" w:rsidRDefault="00601035" w:rsidP="00D53601">
      <w:pPr>
        <w:pStyle w:val="ListBullet2"/>
      </w:pPr>
      <w:r w:rsidRPr="000F3B8B">
        <w:t>The larg</w:t>
      </w:r>
      <w:r w:rsidR="00460C39">
        <w:t>est falls were in Agriculture (</w:t>
      </w:r>
      <w:r w:rsidR="00F97CB6">
        <w:t>-</w:t>
      </w:r>
      <w:r w:rsidRPr="000F3B8B">
        <w:t>9</w:t>
      </w:r>
      <w:r w:rsidR="006239C7">
        <w:t xml:space="preserve"> percentage points</w:t>
      </w:r>
      <w:r w:rsidR="00460C39">
        <w:t>), Accommodation (</w:t>
      </w:r>
      <w:r w:rsidR="00F97CB6">
        <w:t>-</w:t>
      </w:r>
      <w:r w:rsidRPr="000F3B8B">
        <w:t>8</w:t>
      </w:r>
      <w:r w:rsidR="006239C7">
        <w:t xml:space="preserve"> percentage points</w:t>
      </w:r>
      <w:r w:rsidR="00460C39">
        <w:t>), Retail (</w:t>
      </w:r>
      <w:r w:rsidR="00F97CB6">
        <w:t>-</w:t>
      </w:r>
      <w:r w:rsidRPr="000F3B8B">
        <w:t>6</w:t>
      </w:r>
      <w:r w:rsidR="006239C7">
        <w:t xml:space="preserve"> percentage points</w:t>
      </w:r>
      <w:r w:rsidR="00460C39">
        <w:t>) and Telecoms (</w:t>
      </w:r>
      <w:r w:rsidR="00F97CB6">
        <w:t>-</w:t>
      </w:r>
      <w:r w:rsidRPr="000F3B8B">
        <w:t>6</w:t>
      </w:r>
      <w:r w:rsidR="00710455">
        <w:t> </w:t>
      </w:r>
      <w:r w:rsidR="006239C7">
        <w:t>percentage points</w:t>
      </w:r>
      <w:r w:rsidRPr="000F3B8B">
        <w:t>).</w:t>
      </w:r>
    </w:p>
    <w:p w:rsidR="00D53601" w:rsidRDefault="00601035" w:rsidP="00D53601">
      <w:pPr>
        <w:pStyle w:val="ListBullet2"/>
      </w:pPr>
      <w:r w:rsidRPr="006B14B0">
        <w:t xml:space="preserve">The </w:t>
      </w:r>
      <w:proofErr w:type="spellStart"/>
      <w:r w:rsidRPr="006B14B0">
        <w:t>LIS</w:t>
      </w:r>
      <w:proofErr w:type="spellEnd"/>
      <w:r w:rsidRPr="006B14B0">
        <w:t xml:space="preserve"> </w:t>
      </w:r>
      <w:r w:rsidRPr="00364F7C">
        <w:rPr>
          <w:i/>
        </w:rPr>
        <w:t>increased</w:t>
      </w:r>
      <w:r w:rsidRPr="006B14B0">
        <w:t xml:space="preserve"> in two industries — the Utilities (4</w:t>
      </w:r>
      <w:r w:rsidR="006239C7">
        <w:t xml:space="preserve"> percentage points</w:t>
      </w:r>
      <w:r w:rsidRPr="006B14B0">
        <w:t>) and</w:t>
      </w:r>
      <w:r w:rsidR="00D53601">
        <w:t>, importantly,</w:t>
      </w:r>
      <w:r w:rsidRPr="006B14B0">
        <w:t xml:space="preserve"> Manufacturing (2</w:t>
      </w:r>
      <w:r w:rsidR="006239C7">
        <w:t xml:space="preserve"> percentage points</w:t>
      </w:r>
      <w:r w:rsidRPr="006B14B0">
        <w:t>).</w:t>
      </w:r>
    </w:p>
    <w:p w:rsidR="00601035" w:rsidRDefault="00D53601" w:rsidP="00671C09">
      <w:pPr>
        <w:pStyle w:val="ListBullet3"/>
      </w:pPr>
      <w:r>
        <w:t>The rise in Manufacturing’s share was because there was greater downward adjustment in capital income growth than in labour income growth.</w:t>
      </w:r>
      <w:r w:rsidR="00601035" w:rsidRPr="006B14B0">
        <w:t xml:space="preserve"> </w:t>
      </w:r>
    </w:p>
    <w:p w:rsidR="00D53601" w:rsidRDefault="00601035" w:rsidP="00D53601">
      <w:pPr>
        <w:pStyle w:val="ListBullet"/>
      </w:pPr>
      <w:r>
        <w:t xml:space="preserve">Shift-share analysis attributes important roles to both within-industry falls in </w:t>
      </w:r>
      <w:proofErr w:type="spellStart"/>
      <w:r>
        <w:t>LIS</w:t>
      </w:r>
      <w:proofErr w:type="spellEnd"/>
      <w:r>
        <w:t xml:space="preserve"> and to </w:t>
      </w:r>
      <w:r w:rsidR="00D53601">
        <w:t>between-industry shifts toward low-</w:t>
      </w:r>
      <w:proofErr w:type="spellStart"/>
      <w:r w:rsidR="00D53601">
        <w:t>LIS</w:t>
      </w:r>
      <w:proofErr w:type="spellEnd"/>
      <w:r w:rsidR="00D53601">
        <w:t xml:space="preserve"> industries and away from high-</w:t>
      </w:r>
      <w:proofErr w:type="spellStart"/>
      <w:r w:rsidR="00D53601">
        <w:t>LIS</w:t>
      </w:r>
      <w:proofErr w:type="spellEnd"/>
      <w:r w:rsidR="00D53601">
        <w:t xml:space="preserve"> industries.</w:t>
      </w:r>
    </w:p>
    <w:p w:rsidR="00D53601" w:rsidRDefault="00D53601" w:rsidP="00D53601">
      <w:pPr>
        <w:pStyle w:val="ListBullet2"/>
      </w:pPr>
      <w:r>
        <w:t>It attributes more to the ‘within’ than the ‘between’ effects.</w:t>
      </w:r>
    </w:p>
    <w:p w:rsidR="00D53601" w:rsidRDefault="00D53601" w:rsidP="00D53601">
      <w:pPr>
        <w:pStyle w:val="ListBullet2"/>
      </w:pPr>
      <w:r>
        <w:t xml:space="preserve">The largest industry effect was through Mining, which accounts for half of the fall in the aggregate </w:t>
      </w:r>
      <w:proofErr w:type="spellStart"/>
      <w:r>
        <w:t>LIS</w:t>
      </w:r>
      <w:proofErr w:type="spellEnd"/>
      <w:r>
        <w:t xml:space="preserve">, mostly through a between-industry effect (shift to an industry with a low </w:t>
      </w:r>
      <w:proofErr w:type="spellStart"/>
      <w:r>
        <w:t>LIS</w:t>
      </w:r>
      <w:proofErr w:type="spellEnd"/>
      <w:r>
        <w:t>).</w:t>
      </w:r>
    </w:p>
    <w:p w:rsidR="00D53601" w:rsidRDefault="00D53601" w:rsidP="00D53601">
      <w:pPr>
        <w:pStyle w:val="ListBullet2"/>
      </w:pPr>
      <w:r>
        <w:t xml:space="preserve">However, the shift-share approach underestimates the effects of the Mining industry on the aggregate </w:t>
      </w:r>
      <w:proofErr w:type="spellStart"/>
      <w:r>
        <w:t>LIS</w:t>
      </w:r>
      <w:proofErr w:type="spellEnd"/>
      <w:r>
        <w:t>.</w:t>
      </w:r>
    </w:p>
    <w:p w:rsidR="00D53601" w:rsidRDefault="00671C09" w:rsidP="00671C09">
      <w:pPr>
        <w:pStyle w:val="ListBullet"/>
      </w:pPr>
      <w:r>
        <w:t>Analysis based on industry decompositions of labour income and capital income growth generates some different results.</w:t>
      </w:r>
    </w:p>
    <w:p w:rsidR="00671C09" w:rsidRDefault="00671C09" w:rsidP="00671C09">
      <w:pPr>
        <w:pStyle w:val="ListBullet2"/>
      </w:pPr>
      <w:r>
        <w:t xml:space="preserve">It attributes the difference in </w:t>
      </w:r>
      <w:r w:rsidR="00F97CB6">
        <w:t>market sector</w:t>
      </w:r>
      <w:r>
        <w:t xml:space="preserve"> labour and capital income growth (and therefore the fall in </w:t>
      </w:r>
      <w:proofErr w:type="spellStart"/>
      <w:r>
        <w:t>LIS</w:t>
      </w:r>
      <w:proofErr w:type="spellEnd"/>
      <w:r>
        <w:t>) overwhelmingly to the Mining industry.</w:t>
      </w:r>
    </w:p>
    <w:p w:rsidR="00671C09" w:rsidRDefault="00671C09" w:rsidP="00671C09">
      <w:pPr>
        <w:pStyle w:val="ListBullet2"/>
      </w:pPr>
      <w:r>
        <w:t>The ‘second-tier’ contributors were Telecoms, Agriculture, Finance and the Utilities.</w:t>
      </w:r>
    </w:p>
    <w:p w:rsidR="00671C09" w:rsidRDefault="00671C09" w:rsidP="00671C09">
      <w:pPr>
        <w:pStyle w:val="ListBullet2"/>
      </w:pPr>
      <w:r>
        <w:t xml:space="preserve">Construction and Manufacturing are both found to have had </w:t>
      </w:r>
      <w:r w:rsidRPr="00671C09">
        <w:rPr>
          <w:i/>
        </w:rPr>
        <w:t>positive</w:t>
      </w:r>
      <w:r>
        <w:t xml:space="preserve"> effects on the </w:t>
      </w:r>
      <w:proofErr w:type="spellStart"/>
      <w:r>
        <w:t>LIS</w:t>
      </w:r>
      <w:proofErr w:type="spellEnd"/>
      <w:r>
        <w:t>.</w:t>
      </w:r>
    </w:p>
    <w:p w:rsidR="00671C09" w:rsidRDefault="00671C09" w:rsidP="00025E68">
      <w:pPr>
        <w:pStyle w:val="ListBullet"/>
      </w:pPr>
      <w:r>
        <w:t xml:space="preserve">A ‘dynamic’ view of structural change, based on the change in growth rates in factor incomes from the </w:t>
      </w:r>
      <w:proofErr w:type="spellStart"/>
      <w:r>
        <w:t>1990s</w:t>
      </w:r>
      <w:proofErr w:type="spellEnd"/>
      <w:r>
        <w:t xml:space="preserve"> to the </w:t>
      </w:r>
      <w:proofErr w:type="spellStart"/>
      <w:r>
        <w:t>2000s</w:t>
      </w:r>
      <w:proofErr w:type="spellEnd"/>
      <w:r>
        <w:t xml:space="preserve"> also attributes the changes in factor income growth rates overwhelmingly to Mining.</w:t>
      </w:r>
    </w:p>
    <w:p w:rsidR="00025E68" w:rsidRDefault="00025E68" w:rsidP="00025E68">
      <w:pPr>
        <w:pStyle w:val="ListBullet"/>
      </w:pPr>
      <w:r>
        <w:t>The m</w:t>
      </w:r>
      <w:r w:rsidR="00671C09">
        <w:t xml:space="preserve">ining </w:t>
      </w:r>
      <w:r w:rsidR="003931A7">
        <w:t xml:space="preserve">boom </w:t>
      </w:r>
      <w:r w:rsidR="00671C09">
        <w:t xml:space="preserve">essentially explained all of the fall in the </w:t>
      </w:r>
      <w:proofErr w:type="spellStart"/>
      <w:r w:rsidR="00671C09">
        <w:t>LIS</w:t>
      </w:r>
      <w:proofErr w:type="spellEnd"/>
      <w:r>
        <w:t xml:space="preserve">, even though the other ‘major movers’, Construction and Manufacturing, worked in the direction of increasing the </w:t>
      </w:r>
      <w:proofErr w:type="spellStart"/>
      <w:r>
        <w:t>LIS</w:t>
      </w:r>
      <w:proofErr w:type="spellEnd"/>
      <w:r>
        <w:t>.</w:t>
      </w:r>
    </w:p>
    <w:p w:rsidR="003931A7" w:rsidRDefault="003931A7" w:rsidP="003931A7">
      <w:pPr>
        <w:pStyle w:val="ListBullet2"/>
      </w:pPr>
      <w:r>
        <w:t>There were some other factors, operating in the ‘second</w:t>
      </w:r>
      <w:r w:rsidRPr="00B23FF2">
        <w:t>-tier</w:t>
      </w:r>
      <w:r w:rsidR="006351AB" w:rsidRPr="00B23FF2">
        <w:t>’</w:t>
      </w:r>
      <w:r w:rsidRPr="00B23FF2">
        <w:t xml:space="preserve"> industries, but they</w:t>
      </w:r>
      <w:r>
        <w:t xml:space="preserve"> were swamped by the </w:t>
      </w:r>
      <w:r w:rsidR="00460C39">
        <w:t xml:space="preserve">Mining </w:t>
      </w:r>
      <w:r w:rsidR="00F97CB6">
        <w:t>sector</w:t>
      </w:r>
      <w:r>
        <w:t xml:space="preserve"> effects.</w:t>
      </w:r>
    </w:p>
    <w:sectPr w:rsidR="003931A7" w:rsidSect="007D0D44">
      <w:headerReference w:type="even" r:id="rId12"/>
      <w:headerReference w:type="default" r:id="rId13"/>
      <w:footerReference w:type="even" r:id="rId14"/>
      <w:footerReference w:type="default" r:id="rId15"/>
      <w:pgSz w:w="11907" w:h="16840" w:code="9"/>
      <w:pgMar w:top="1985" w:right="1304" w:bottom="1418" w:left="1418" w:header="1701" w:footer="567" w:gutter="0"/>
      <w:pgNumType w:start="6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E4C" w:rsidRDefault="00517E4C">
      <w:r>
        <w:separator/>
      </w:r>
    </w:p>
  </w:endnote>
  <w:endnote w:type="continuationSeparator" w:id="0">
    <w:p w:rsidR="00517E4C" w:rsidRDefault="00517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17E4C">
      <w:trPr>
        <w:trHeight w:hRule="exact" w:val="740"/>
      </w:trPr>
      <w:tc>
        <w:tcPr>
          <w:tcW w:w="510" w:type="dxa"/>
          <w:tcBorders>
            <w:top w:val="single" w:sz="6" w:space="0" w:color="auto"/>
          </w:tcBorders>
        </w:tcPr>
        <w:p w:rsidR="00517E4C" w:rsidRDefault="00517E4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97FB4">
            <w:rPr>
              <w:rStyle w:val="PageNumber"/>
              <w:noProof/>
            </w:rPr>
            <w:t>82</w:t>
          </w:r>
          <w:r>
            <w:rPr>
              <w:rStyle w:val="PageNumber"/>
            </w:rPr>
            <w:fldChar w:fldCharType="end"/>
          </w:r>
        </w:p>
      </w:tc>
      <w:tc>
        <w:tcPr>
          <w:tcW w:w="1644" w:type="dxa"/>
          <w:tcBorders>
            <w:top w:val="single" w:sz="6" w:space="0" w:color="auto"/>
          </w:tcBorders>
        </w:tcPr>
        <w:p w:rsidR="00517E4C" w:rsidRDefault="00F92682" w:rsidP="0019293B">
          <w:pPr>
            <w:pStyle w:val="Footer"/>
          </w:pPr>
          <w:fldSimple w:instr=" SUBJECT  \* MERGEFORMAT ">
            <w:r>
              <w:t>Labour's share of growth in income and prosperity</w:t>
            </w:r>
          </w:fldSimple>
        </w:p>
      </w:tc>
      <w:tc>
        <w:tcPr>
          <w:tcW w:w="6634" w:type="dxa"/>
        </w:tcPr>
        <w:p w:rsidR="00517E4C" w:rsidRDefault="00517E4C" w:rsidP="0019293B">
          <w:pPr>
            <w:pStyle w:val="Footer"/>
          </w:pPr>
        </w:p>
      </w:tc>
    </w:tr>
  </w:tbl>
  <w:p w:rsidR="00517E4C" w:rsidRDefault="00517E4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521"/>
      <w:gridCol w:w="1757"/>
      <w:gridCol w:w="510"/>
    </w:tblGrid>
    <w:tr w:rsidR="00517E4C" w:rsidTr="006F255C">
      <w:trPr>
        <w:trHeight w:hRule="exact" w:val="740"/>
      </w:trPr>
      <w:tc>
        <w:tcPr>
          <w:tcW w:w="6521" w:type="dxa"/>
        </w:tcPr>
        <w:p w:rsidR="00517E4C" w:rsidRDefault="00517E4C">
          <w:pPr>
            <w:pStyle w:val="Footer"/>
            <w:ind w:right="360" w:firstLine="360"/>
          </w:pPr>
        </w:p>
      </w:tc>
      <w:tc>
        <w:tcPr>
          <w:tcW w:w="1757" w:type="dxa"/>
          <w:tcBorders>
            <w:top w:val="single" w:sz="6" w:space="0" w:color="auto"/>
          </w:tcBorders>
        </w:tcPr>
        <w:p w:rsidR="00517E4C" w:rsidRDefault="00F92682">
          <w:pPr>
            <w:pStyle w:val="Footer"/>
          </w:pPr>
          <w:fldSimple w:instr=" TITLE  \* MERGEFORMAT ">
            <w:r>
              <w:t xml:space="preserve">contribution of changes in industry structure </w:t>
            </w:r>
          </w:fldSimple>
        </w:p>
      </w:tc>
      <w:tc>
        <w:tcPr>
          <w:tcW w:w="510" w:type="dxa"/>
          <w:tcBorders>
            <w:top w:val="single" w:sz="6" w:space="0" w:color="auto"/>
          </w:tcBorders>
        </w:tcPr>
        <w:p w:rsidR="00517E4C" w:rsidRDefault="00517E4C">
          <w:pPr>
            <w:pStyle w:val="Footer"/>
            <w:jc w:val="right"/>
          </w:pPr>
          <w:r>
            <w:rPr>
              <w:rStyle w:val="PageNumber"/>
            </w:rPr>
            <w:fldChar w:fldCharType="begin"/>
          </w:r>
          <w:r>
            <w:rPr>
              <w:rStyle w:val="PageNumber"/>
            </w:rPr>
            <w:instrText xml:space="preserve">PAGE  </w:instrText>
          </w:r>
          <w:r>
            <w:rPr>
              <w:rStyle w:val="PageNumber"/>
            </w:rPr>
            <w:fldChar w:fldCharType="separate"/>
          </w:r>
          <w:r w:rsidR="00F97FB4">
            <w:rPr>
              <w:rStyle w:val="PageNumber"/>
              <w:noProof/>
            </w:rPr>
            <w:t>65</w:t>
          </w:r>
          <w:r>
            <w:rPr>
              <w:rStyle w:val="PageNumber"/>
            </w:rPr>
            <w:fldChar w:fldCharType="end"/>
          </w:r>
        </w:p>
      </w:tc>
    </w:tr>
  </w:tbl>
  <w:p w:rsidR="00517E4C" w:rsidRDefault="00517E4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E4C" w:rsidRDefault="00517E4C">
      <w:r>
        <w:separator/>
      </w:r>
    </w:p>
  </w:footnote>
  <w:footnote w:type="continuationSeparator" w:id="0">
    <w:p w:rsidR="00517E4C" w:rsidRDefault="00517E4C">
      <w:r>
        <w:continuationSeparator/>
      </w:r>
    </w:p>
  </w:footnote>
  <w:footnote w:id="1">
    <w:p w:rsidR="00517E4C" w:rsidRDefault="00517E4C" w:rsidP="00654C4E">
      <w:pPr>
        <w:pStyle w:val="FootnoteText"/>
      </w:pPr>
      <w:r>
        <w:rPr>
          <w:rStyle w:val="FootnoteReference"/>
        </w:rPr>
        <w:footnoteRef/>
      </w:r>
      <w:r>
        <w:tab/>
        <w:t>The ACTU study attributes -4.2 out of -5.8 percentage points to within-industry effects, whereas this study attributes -2.4 out of -4.0 percentage points (table 5.4).</w:t>
      </w:r>
    </w:p>
  </w:footnote>
  <w:footnote w:id="2">
    <w:p w:rsidR="00517E4C" w:rsidRDefault="00517E4C" w:rsidP="00654C4E">
      <w:pPr>
        <w:pStyle w:val="FootnoteText"/>
      </w:pPr>
      <w:r>
        <w:rPr>
          <w:rStyle w:val="FootnoteReference"/>
        </w:rPr>
        <w:footnoteRef/>
      </w:r>
      <w:r>
        <w:tab/>
        <w:t xml:space="preserve">The methodology in this study weights share shifts by the deviation of industry </w:t>
      </w:r>
      <w:proofErr w:type="spellStart"/>
      <w:r>
        <w:t>LISs</w:t>
      </w:r>
      <w:proofErr w:type="spellEnd"/>
      <w:r>
        <w:t xml:space="preserve"> from the market sector average. This highlights the role of share shifts by industries with above- and below-average </w:t>
      </w:r>
      <w:proofErr w:type="spellStart"/>
      <w:r>
        <w:t>LISs</w:t>
      </w:r>
      <w:proofErr w:type="spellEnd"/>
      <w:r>
        <w:t xml:space="preserve">. The ACTU method does not include the market sector average in the calculation of structural change effects. However, this methodological difference affects the distribution of, and not the sum of, structural change effects across industries.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17E4C">
      <w:tc>
        <w:tcPr>
          <w:tcW w:w="2155" w:type="dxa"/>
          <w:tcBorders>
            <w:top w:val="single" w:sz="24" w:space="0" w:color="auto"/>
          </w:tcBorders>
        </w:tcPr>
        <w:p w:rsidR="00517E4C" w:rsidRDefault="00517E4C" w:rsidP="0019293B">
          <w:pPr>
            <w:pStyle w:val="HeaderEven"/>
          </w:pPr>
        </w:p>
      </w:tc>
      <w:tc>
        <w:tcPr>
          <w:tcW w:w="6634" w:type="dxa"/>
          <w:tcBorders>
            <w:top w:val="single" w:sz="6" w:space="0" w:color="auto"/>
          </w:tcBorders>
        </w:tcPr>
        <w:p w:rsidR="00517E4C" w:rsidRDefault="00517E4C" w:rsidP="0019293B">
          <w:pPr>
            <w:pStyle w:val="HeaderEven"/>
          </w:pPr>
        </w:p>
      </w:tc>
    </w:tr>
  </w:tbl>
  <w:p w:rsidR="00517E4C" w:rsidRDefault="00517E4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17E4C">
      <w:tc>
        <w:tcPr>
          <w:tcW w:w="6634" w:type="dxa"/>
          <w:tcBorders>
            <w:top w:val="single" w:sz="6" w:space="0" w:color="auto"/>
          </w:tcBorders>
        </w:tcPr>
        <w:p w:rsidR="00517E4C" w:rsidRDefault="00517E4C" w:rsidP="00E669E2">
          <w:pPr>
            <w:pStyle w:val="HeaderOdd"/>
          </w:pPr>
        </w:p>
      </w:tc>
      <w:tc>
        <w:tcPr>
          <w:tcW w:w="2155" w:type="dxa"/>
          <w:tcBorders>
            <w:top w:val="single" w:sz="24" w:space="0" w:color="auto"/>
          </w:tcBorders>
        </w:tcPr>
        <w:p w:rsidR="00517E4C" w:rsidRDefault="00517E4C" w:rsidP="00E669E2">
          <w:pPr>
            <w:pStyle w:val="HeaderOdd"/>
          </w:pPr>
        </w:p>
      </w:tc>
    </w:tr>
  </w:tbl>
  <w:p w:rsidR="00517E4C" w:rsidRDefault="00517E4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5E4226C"/>
    <w:multiLevelType w:val="hybridMultilevel"/>
    <w:tmpl w:val="12C2234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4"/>
  </w:num>
  <w:num w:numId="16">
    <w:abstractNumId w:val="17"/>
  </w:num>
  <w:num w:numId="17">
    <w:abstractNumId w:val="16"/>
  </w:num>
  <w:num w:numId="18">
    <w:abstractNumId w:val="27"/>
  </w:num>
  <w:num w:numId="19">
    <w:abstractNumId w:val="12"/>
  </w:num>
  <w:num w:numId="20">
    <w:abstractNumId w:val="35"/>
  </w:num>
  <w:num w:numId="21">
    <w:abstractNumId w:val="37"/>
  </w:num>
  <w:num w:numId="22">
    <w:abstractNumId w:val="25"/>
  </w:num>
  <w:num w:numId="23">
    <w:abstractNumId w:val="28"/>
  </w:num>
  <w:num w:numId="24">
    <w:abstractNumId w:val="30"/>
  </w:num>
  <w:num w:numId="25">
    <w:abstractNumId w:val="42"/>
  </w:num>
  <w:num w:numId="26">
    <w:abstractNumId w:val="34"/>
  </w:num>
  <w:num w:numId="27">
    <w:abstractNumId w:val="39"/>
  </w:num>
  <w:num w:numId="28">
    <w:abstractNumId w:val="40"/>
  </w:num>
  <w:num w:numId="29">
    <w:abstractNumId w:val="32"/>
  </w:num>
  <w:num w:numId="30">
    <w:abstractNumId w:val="22"/>
  </w:num>
  <w:num w:numId="31">
    <w:abstractNumId w:val="45"/>
  </w:num>
  <w:num w:numId="32">
    <w:abstractNumId w:val="15"/>
  </w:num>
  <w:num w:numId="33">
    <w:abstractNumId w:val="8"/>
  </w:num>
  <w:num w:numId="34">
    <w:abstractNumId w:val="18"/>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4"/>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3"/>
  </w:num>
  <w:num w:numId="47">
    <w:abstractNumId w:val="10"/>
  </w:num>
  <w:num w:numId="48">
    <w:abstractNumId w:val="31"/>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ntribution of changes in industry structure "/>
    <w:docVar w:name="ShortReportTitle" w:val="Labour's share of growth in income and prosperity"/>
  </w:docVars>
  <w:rsids>
    <w:rsidRoot w:val="007E4B30"/>
    <w:rsid w:val="000045F2"/>
    <w:rsid w:val="000073D1"/>
    <w:rsid w:val="00017AA0"/>
    <w:rsid w:val="00020208"/>
    <w:rsid w:val="00020DB3"/>
    <w:rsid w:val="000227D5"/>
    <w:rsid w:val="000245AA"/>
    <w:rsid w:val="00025E68"/>
    <w:rsid w:val="000312EE"/>
    <w:rsid w:val="0003664B"/>
    <w:rsid w:val="0004111F"/>
    <w:rsid w:val="000424A2"/>
    <w:rsid w:val="00043757"/>
    <w:rsid w:val="000457C9"/>
    <w:rsid w:val="00045A14"/>
    <w:rsid w:val="000528CD"/>
    <w:rsid w:val="000565B3"/>
    <w:rsid w:val="000604E1"/>
    <w:rsid w:val="00061676"/>
    <w:rsid w:val="000642AD"/>
    <w:rsid w:val="0007150B"/>
    <w:rsid w:val="00075A82"/>
    <w:rsid w:val="00081173"/>
    <w:rsid w:val="00081499"/>
    <w:rsid w:val="00082020"/>
    <w:rsid w:val="00083E1E"/>
    <w:rsid w:val="00092E29"/>
    <w:rsid w:val="00093301"/>
    <w:rsid w:val="000938F5"/>
    <w:rsid w:val="00096E55"/>
    <w:rsid w:val="000B2EB2"/>
    <w:rsid w:val="000B601B"/>
    <w:rsid w:val="000C207E"/>
    <w:rsid w:val="000C4156"/>
    <w:rsid w:val="000C534A"/>
    <w:rsid w:val="000C63D0"/>
    <w:rsid w:val="000D0E25"/>
    <w:rsid w:val="000D4E14"/>
    <w:rsid w:val="000E01AE"/>
    <w:rsid w:val="000E03F9"/>
    <w:rsid w:val="000E30CD"/>
    <w:rsid w:val="000F0035"/>
    <w:rsid w:val="000F3B8B"/>
    <w:rsid w:val="000F420B"/>
    <w:rsid w:val="000F78A8"/>
    <w:rsid w:val="00103C21"/>
    <w:rsid w:val="00110116"/>
    <w:rsid w:val="00117F02"/>
    <w:rsid w:val="00120072"/>
    <w:rsid w:val="00124273"/>
    <w:rsid w:val="00126B30"/>
    <w:rsid w:val="00126EB8"/>
    <w:rsid w:val="001274D4"/>
    <w:rsid w:val="00130C68"/>
    <w:rsid w:val="00135532"/>
    <w:rsid w:val="001363AA"/>
    <w:rsid w:val="001376EF"/>
    <w:rsid w:val="00141318"/>
    <w:rsid w:val="0015045F"/>
    <w:rsid w:val="00153D76"/>
    <w:rsid w:val="0015550D"/>
    <w:rsid w:val="00160FC5"/>
    <w:rsid w:val="00170A9A"/>
    <w:rsid w:val="00171792"/>
    <w:rsid w:val="00171B61"/>
    <w:rsid w:val="00171C3D"/>
    <w:rsid w:val="00175C79"/>
    <w:rsid w:val="00176EFF"/>
    <w:rsid w:val="00183158"/>
    <w:rsid w:val="0018396B"/>
    <w:rsid w:val="00183E82"/>
    <w:rsid w:val="00185C25"/>
    <w:rsid w:val="001878BB"/>
    <w:rsid w:val="001908B3"/>
    <w:rsid w:val="00191AE0"/>
    <w:rsid w:val="00192450"/>
    <w:rsid w:val="0019293B"/>
    <w:rsid w:val="00194EB0"/>
    <w:rsid w:val="00197117"/>
    <w:rsid w:val="001B048D"/>
    <w:rsid w:val="001B5E73"/>
    <w:rsid w:val="001C0865"/>
    <w:rsid w:val="001C0BB5"/>
    <w:rsid w:val="001C3ABA"/>
    <w:rsid w:val="001C5B43"/>
    <w:rsid w:val="001D5119"/>
    <w:rsid w:val="001D58F6"/>
    <w:rsid w:val="001D64DE"/>
    <w:rsid w:val="001D7DF8"/>
    <w:rsid w:val="001E045A"/>
    <w:rsid w:val="001E3542"/>
    <w:rsid w:val="001E5928"/>
    <w:rsid w:val="001E790A"/>
    <w:rsid w:val="001E7BE8"/>
    <w:rsid w:val="001F0241"/>
    <w:rsid w:val="001F0248"/>
    <w:rsid w:val="001F2C42"/>
    <w:rsid w:val="001F3EB3"/>
    <w:rsid w:val="001F4F86"/>
    <w:rsid w:val="001F6B38"/>
    <w:rsid w:val="002003B5"/>
    <w:rsid w:val="00200793"/>
    <w:rsid w:val="00202C2C"/>
    <w:rsid w:val="00204A97"/>
    <w:rsid w:val="00207270"/>
    <w:rsid w:val="00212CB7"/>
    <w:rsid w:val="002135AB"/>
    <w:rsid w:val="00214109"/>
    <w:rsid w:val="002144BE"/>
    <w:rsid w:val="00215678"/>
    <w:rsid w:val="00215FEA"/>
    <w:rsid w:val="00221A21"/>
    <w:rsid w:val="0022363F"/>
    <w:rsid w:val="00225FD1"/>
    <w:rsid w:val="00226439"/>
    <w:rsid w:val="002335D7"/>
    <w:rsid w:val="002335DD"/>
    <w:rsid w:val="00236ABF"/>
    <w:rsid w:val="00242279"/>
    <w:rsid w:val="00243F2E"/>
    <w:rsid w:val="00245C82"/>
    <w:rsid w:val="0024797F"/>
    <w:rsid w:val="002523CE"/>
    <w:rsid w:val="00256674"/>
    <w:rsid w:val="00257CAC"/>
    <w:rsid w:val="00260DFD"/>
    <w:rsid w:val="0026180F"/>
    <w:rsid w:val="0026186F"/>
    <w:rsid w:val="00262755"/>
    <w:rsid w:val="00265C60"/>
    <w:rsid w:val="00273123"/>
    <w:rsid w:val="00275222"/>
    <w:rsid w:val="0027534F"/>
    <w:rsid w:val="002802B2"/>
    <w:rsid w:val="00284AD5"/>
    <w:rsid w:val="002869AD"/>
    <w:rsid w:val="00291B40"/>
    <w:rsid w:val="0029512B"/>
    <w:rsid w:val="002A3405"/>
    <w:rsid w:val="002A3723"/>
    <w:rsid w:val="002A7650"/>
    <w:rsid w:val="002B4008"/>
    <w:rsid w:val="002B4E0D"/>
    <w:rsid w:val="002B625B"/>
    <w:rsid w:val="002B7BA1"/>
    <w:rsid w:val="002C02FE"/>
    <w:rsid w:val="002C0D1C"/>
    <w:rsid w:val="002C1A91"/>
    <w:rsid w:val="002C3F77"/>
    <w:rsid w:val="002C5582"/>
    <w:rsid w:val="002D0E8E"/>
    <w:rsid w:val="002D2695"/>
    <w:rsid w:val="002D47E5"/>
    <w:rsid w:val="002E138D"/>
    <w:rsid w:val="002E37D7"/>
    <w:rsid w:val="002E576F"/>
    <w:rsid w:val="002E69B2"/>
    <w:rsid w:val="002F2164"/>
    <w:rsid w:val="00301189"/>
    <w:rsid w:val="00301E2B"/>
    <w:rsid w:val="00302E11"/>
    <w:rsid w:val="0031427C"/>
    <w:rsid w:val="00315B8A"/>
    <w:rsid w:val="00323E09"/>
    <w:rsid w:val="00330E69"/>
    <w:rsid w:val="00332420"/>
    <w:rsid w:val="00333932"/>
    <w:rsid w:val="003461C7"/>
    <w:rsid w:val="003518AA"/>
    <w:rsid w:val="00352165"/>
    <w:rsid w:val="00353182"/>
    <w:rsid w:val="003565D9"/>
    <w:rsid w:val="003602E1"/>
    <w:rsid w:val="0036082D"/>
    <w:rsid w:val="00363078"/>
    <w:rsid w:val="003644F2"/>
    <w:rsid w:val="00364A62"/>
    <w:rsid w:val="00364F7C"/>
    <w:rsid w:val="0037026F"/>
    <w:rsid w:val="00371240"/>
    <w:rsid w:val="00374731"/>
    <w:rsid w:val="0037482D"/>
    <w:rsid w:val="00376E59"/>
    <w:rsid w:val="00385731"/>
    <w:rsid w:val="00390A6F"/>
    <w:rsid w:val="003919F9"/>
    <w:rsid w:val="00391F3C"/>
    <w:rsid w:val="003931A7"/>
    <w:rsid w:val="003A2556"/>
    <w:rsid w:val="003A3CAB"/>
    <w:rsid w:val="003B3DE4"/>
    <w:rsid w:val="003B5394"/>
    <w:rsid w:val="003B6823"/>
    <w:rsid w:val="003B7ECA"/>
    <w:rsid w:val="003C0A94"/>
    <w:rsid w:val="003C1DBC"/>
    <w:rsid w:val="003C38B5"/>
    <w:rsid w:val="003C5D99"/>
    <w:rsid w:val="003D0F94"/>
    <w:rsid w:val="003E2F59"/>
    <w:rsid w:val="003E523D"/>
    <w:rsid w:val="003F0789"/>
    <w:rsid w:val="003F6F9F"/>
    <w:rsid w:val="00401882"/>
    <w:rsid w:val="00402D12"/>
    <w:rsid w:val="004051F7"/>
    <w:rsid w:val="004100C8"/>
    <w:rsid w:val="00410E4F"/>
    <w:rsid w:val="00411DBD"/>
    <w:rsid w:val="00411E01"/>
    <w:rsid w:val="00412ACE"/>
    <w:rsid w:val="0041470A"/>
    <w:rsid w:val="00424E65"/>
    <w:rsid w:val="00431249"/>
    <w:rsid w:val="0043209B"/>
    <w:rsid w:val="00433B6C"/>
    <w:rsid w:val="00434C19"/>
    <w:rsid w:val="0043560B"/>
    <w:rsid w:val="004464A7"/>
    <w:rsid w:val="00446E47"/>
    <w:rsid w:val="00450810"/>
    <w:rsid w:val="00451484"/>
    <w:rsid w:val="0045255B"/>
    <w:rsid w:val="004565B3"/>
    <w:rsid w:val="0045775A"/>
    <w:rsid w:val="00460C39"/>
    <w:rsid w:val="004612EC"/>
    <w:rsid w:val="0046280B"/>
    <w:rsid w:val="0047207B"/>
    <w:rsid w:val="00477144"/>
    <w:rsid w:val="00480DB5"/>
    <w:rsid w:val="00485554"/>
    <w:rsid w:val="00485B54"/>
    <w:rsid w:val="00491380"/>
    <w:rsid w:val="00493BA2"/>
    <w:rsid w:val="0049459F"/>
    <w:rsid w:val="004A2B2C"/>
    <w:rsid w:val="004A38DD"/>
    <w:rsid w:val="004A4FAB"/>
    <w:rsid w:val="004B38A9"/>
    <w:rsid w:val="004B43AE"/>
    <w:rsid w:val="004B4BEB"/>
    <w:rsid w:val="004C0AA3"/>
    <w:rsid w:val="004C13F9"/>
    <w:rsid w:val="004C30ED"/>
    <w:rsid w:val="004C3D6A"/>
    <w:rsid w:val="004D5675"/>
    <w:rsid w:val="004E0A5A"/>
    <w:rsid w:val="004E4A86"/>
    <w:rsid w:val="004E5E03"/>
    <w:rsid w:val="004F65E3"/>
    <w:rsid w:val="00502ACF"/>
    <w:rsid w:val="00503732"/>
    <w:rsid w:val="00507090"/>
    <w:rsid w:val="00511187"/>
    <w:rsid w:val="00512AD3"/>
    <w:rsid w:val="00513591"/>
    <w:rsid w:val="00517E4C"/>
    <w:rsid w:val="00521989"/>
    <w:rsid w:val="00521B1A"/>
    <w:rsid w:val="00522005"/>
    <w:rsid w:val="00523639"/>
    <w:rsid w:val="00523979"/>
    <w:rsid w:val="00530419"/>
    <w:rsid w:val="00531FE5"/>
    <w:rsid w:val="005369B4"/>
    <w:rsid w:val="00536CCF"/>
    <w:rsid w:val="005402FA"/>
    <w:rsid w:val="00540EE0"/>
    <w:rsid w:val="005410D6"/>
    <w:rsid w:val="005415A4"/>
    <w:rsid w:val="00542D3A"/>
    <w:rsid w:val="00550420"/>
    <w:rsid w:val="00575EE0"/>
    <w:rsid w:val="00577B74"/>
    <w:rsid w:val="00582C7A"/>
    <w:rsid w:val="00583C39"/>
    <w:rsid w:val="00585796"/>
    <w:rsid w:val="00587F28"/>
    <w:rsid w:val="005909CF"/>
    <w:rsid w:val="00591DD7"/>
    <w:rsid w:val="00591E71"/>
    <w:rsid w:val="00597313"/>
    <w:rsid w:val="005A0D41"/>
    <w:rsid w:val="005A2105"/>
    <w:rsid w:val="005A2EF4"/>
    <w:rsid w:val="005B6390"/>
    <w:rsid w:val="005D4542"/>
    <w:rsid w:val="005D5FBC"/>
    <w:rsid w:val="005D6C92"/>
    <w:rsid w:val="005E1184"/>
    <w:rsid w:val="005E18CE"/>
    <w:rsid w:val="005E2973"/>
    <w:rsid w:val="005E5264"/>
    <w:rsid w:val="005F02F6"/>
    <w:rsid w:val="00601035"/>
    <w:rsid w:val="00603CBC"/>
    <w:rsid w:val="00603FB8"/>
    <w:rsid w:val="0060550A"/>
    <w:rsid w:val="00606F43"/>
    <w:rsid w:val="00607BF1"/>
    <w:rsid w:val="0061237D"/>
    <w:rsid w:val="00612DA8"/>
    <w:rsid w:val="00614A64"/>
    <w:rsid w:val="006157BD"/>
    <w:rsid w:val="006239C7"/>
    <w:rsid w:val="00624566"/>
    <w:rsid w:val="006270F7"/>
    <w:rsid w:val="00630D4D"/>
    <w:rsid w:val="00632A74"/>
    <w:rsid w:val="0063349A"/>
    <w:rsid w:val="006351AB"/>
    <w:rsid w:val="006371E1"/>
    <w:rsid w:val="00644541"/>
    <w:rsid w:val="00645176"/>
    <w:rsid w:val="00653C58"/>
    <w:rsid w:val="00654C4E"/>
    <w:rsid w:val="00665EDD"/>
    <w:rsid w:val="0067126A"/>
    <w:rsid w:val="00671C09"/>
    <w:rsid w:val="006812EF"/>
    <w:rsid w:val="00682064"/>
    <w:rsid w:val="00684C05"/>
    <w:rsid w:val="00690FE7"/>
    <w:rsid w:val="006A4655"/>
    <w:rsid w:val="006A47EE"/>
    <w:rsid w:val="006B059C"/>
    <w:rsid w:val="006B14B0"/>
    <w:rsid w:val="006B1AAD"/>
    <w:rsid w:val="006B2B3C"/>
    <w:rsid w:val="006C1D81"/>
    <w:rsid w:val="006C7038"/>
    <w:rsid w:val="006E4C47"/>
    <w:rsid w:val="006E5188"/>
    <w:rsid w:val="006E59CE"/>
    <w:rsid w:val="006E7130"/>
    <w:rsid w:val="006E73EF"/>
    <w:rsid w:val="006E7AA2"/>
    <w:rsid w:val="006F255C"/>
    <w:rsid w:val="00704155"/>
    <w:rsid w:val="00707DEB"/>
    <w:rsid w:val="00710455"/>
    <w:rsid w:val="00714D4D"/>
    <w:rsid w:val="007153F2"/>
    <w:rsid w:val="00720D5A"/>
    <w:rsid w:val="0074524E"/>
    <w:rsid w:val="007467DD"/>
    <w:rsid w:val="00746E50"/>
    <w:rsid w:val="00754CD7"/>
    <w:rsid w:val="0075504B"/>
    <w:rsid w:val="00757CF7"/>
    <w:rsid w:val="007604BB"/>
    <w:rsid w:val="00761339"/>
    <w:rsid w:val="00767A0E"/>
    <w:rsid w:val="00772D9D"/>
    <w:rsid w:val="007760A8"/>
    <w:rsid w:val="00785232"/>
    <w:rsid w:val="0079233D"/>
    <w:rsid w:val="00795EE9"/>
    <w:rsid w:val="00797491"/>
    <w:rsid w:val="007A0327"/>
    <w:rsid w:val="007A21EB"/>
    <w:rsid w:val="007A6CF0"/>
    <w:rsid w:val="007A7862"/>
    <w:rsid w:val="007B1A93"/>
    <w:rsid w:val="007B2D85"/>
    <w:rsid w:val="007B3488"/>
    <w:rsid w:val="007B4D60"/>
    <w:rsid w:val="007B6788"/>
    <w:rsid w:val="007B690C"/>
    <w:rsid w:val="007C36C9"/>
    <w:rsid w:val="007C4865"/>
    <w:rsid w:val="007D0D44"/>
    <w:rsid w:val="007D413A"/>
    <w:rsid w:val="007D4F86"/>
    <w:rsid w:val="007D6401"/>
    <w:rsid w:val="007E01E4"/>
    <w:rsid w:val="007E3ABF"/>
    <w:rsid w:val="007E4B30"/>
    <w:rsid w:val="007E6975"/>
    <w:rsid w:val="007F183A"/>
    <w:rsid w:val="007F6276"/>
    <w:rsid w:val="007F7107"/>
    <w:rsid w:val="00800D4C"/>
    <w:rsid w:val="008015FC"/>
    <w:rsid w:val="0080348A"/>
    <w:rsid w:val="008057C7"/>
    <w:rsid w:val="0081030F"/>
    <w:rsid w:val="00810800"/>
    <w:rsid w:val="00815708"/>
    <w:rsid w:val="0082087D"/>
    <w:rsid w:val="00823066"/>
    <w:rsid w:val="008235BE"/>
    <w:rsid w:val="00823E55"/>
    <w:rsid w:val="00826FFD"/>
    <w:rsid w:val="00835771"/>
    <w:rsid w:val="0083642D"/>
    <w:rsid w:val="00840D49"/>
    <w:rsid w:val="00842933"/>
    <w:rsid w:val="00844707"/>
    <w:rsid w:val="008534CD"/>
    <w:rsid w:val="0086082C"/>
    <w:rsid w:val="00860A7D"/>
    <w:rsid w:val="00862761"/>
    <w:rsid w:val="00864ADC"/>
    <w:rsid w:val="00866E87"/>
    <w:rsid w:val="00873D90"/>
    <w:rsid w:val="008754C0"/>
    <w:rsid w:val="00875D30"/>
    <w:rsid w:val="00880153"/>
    <w:rsid w:val="00880F97"/>
    <w:rsid w:val="0088133A"/>
    <w:rsid w:val="00885F49"/>
    <w:rsid w:val="0089285E"/>
    <w:rsid w:val="0089436C"/>
    <w:rsid w:val="008A3659"/>
    <w:rsid w:val="008A64F8"/>
    <w:rsid w:val="008B1DA0"/>
    <w:rsid w:val="008B21F8"/>
    <w:rsid w:val="008B344A"/>
    <w:rsid w:val="008B5B6E"/>
    <w:rsid w:val="008C0741"/>
    <w:rsid w:val="008C0F31"/>
    <w:rsid w:val="008D2537"/>
    <w:rsid w:val="008D365C"/>
    <w:rsid w:val="008E28E3"/>
    <w:rsid w:val="008E73AE"/>
    <w:rsid w:val="009030BF"/>
    <w:rsid w:val="00906AA9"/>
    <w:rsid w:val="0091032F"/>
    <w:rsid w:val="00910C2D"/>
    <w:rsid w:val="00913A90"/>
    <w:rsid w:val="00914057"/>
    <w:rsid w:val="00914368"/>
    <w:rsid w:val="009145BE"/>
    <w:rsid w:val="00915583"/>
    <w:rsid w:val="009172D0"/>
    <w:rsid w:val="00917507"/>
    <w:rsid w:val="009213EF"/>
    <w:rsid w:val="009224B8"/>
    <w:rsid w:val="00931076"/>
    <w:rsid w:val="0093222D"/>
    <w:rsid w:val="009341CE"/>
    <w:rsid w:val="009345D9"/>
    <w:rsid w:val="00934B15"/>
    <w:rsid w:val="009404C7"/>
    <w:rsid w:val="00940C87"/>
    <w:rsid w:val="00942B62"/>
    <w:rsid w:val="00942C67"/>
    <w:rsid w:val="009455A4"/>
    <w:rsid w:val="00946A1D"/>
    <w:rsid w:val="0095323B"/>
    <w:rsid w:val="00954DE2"/>
    <w:rsid w:val="0095518D"/>
    <w:rsid w:val="009560C8"/>
    <w:rsid w:val="00956A0C"/>
    <w:rsid w:val="00956BD9"/>
    <w:rsid w:val="00961220"/>
    <w:rsid w:val="00962489"/>
    <w:rsid w:val="0096286A"/>
    <w:rsid w:val="00962B05"/>
    <w:rsid w:val="00981982"/>
    <w:rsid w:val="00983DDE"/>
    <w:rsid w:val="0098634F"/>
    <w:rsid w:val="0098656C"/>
    <w:rsid w:val="00990C2C"/>
    <w:rsid w:val="009913B6"/>
    <w:rsid w:val="009921EF"/>
    <w:rsid w:val="009A1F3F"/>
    <w:rsid w:val="009A372C"/>
    <w:rsid w:val="009A4F92"/>
    <w:rsid w:val="009A7F06"/>
    <w:rsid w:val="009B06E0"/>
    <w:rsid w:val="009B1439"/>
    <w:rsid w:val="009B180D"/>
    <w:rsid w:val="009C25EB"/>
    <w:rsid w:val="009C4093"/>
    <w:rsid w:val="009C7062"/>
    <w:rsid w:val="009D0539"/>
    <w:rsid w:val="009D2BF6"/>
    <w:rsid w:val="009D3612"/>
    <w:rsid w:val="009D458D"/>
    <w:rsid w:val="009D5EA8"/>
    <w:rsid w:val="009E0CB0"/>
    <w:rsid w:val="009E1844"/>
    <w:rsid w:val="009E39E0"/>
    <w:rsid w:val="009E7E20"/>
    <w:rsid w:val="009F0D1B"/>
    <w:rsid w:val="009F2D8D"/>
    <w:rsid w:val="009F409E"/>
    <w:rsid w:val="009F5AB0"/>
    <w:rsid w:val="009F696D"/>
    <w:rsid w:val="009F6BC6"/>
    <w:rsid w:val="00A012BF"/>
    <w:rsid w:val="00A02AE1"/>
    <w:rsid w:val="00A115E2"/>
    <w:rsid w:val="00A121F8"/>
    <w:rsid w:val="00A12872"/>
    <w:rsid w:val="00A138D3"/>
    <w:rsid w:val="00A17328"/>
    <w:rsid w:val="00A22D6A"/>
    <w:rsid w:val="00A23A20"/>
    <w:rsid w:val="00A268B9"/>
    <w:rsid w:val="00A2703A"/>
    <w:rsid w:val="00A31608"/>
    <w:rsid w:val="00A33DFF"/>
    <w:rsid w:val="00A35115"/>
    <w:rsid w:val="00A36D9A"/>
    <w:rsid w:val="00A44039"/>
    <w:rsid w:val="00A45334"/>
    <w:rsid w:val="00A554AB"/>
    <w:rsid w:val="00A57062"/>
    <w:rsid w:val="00A5768C"/>
    <w:rsid w:val="00A60453"/>
    <w:rsid w:val="00A60EDA"/>
    <w:rsid w:val="00A62722"/>
    <w:rsid w:val="00A716D3"/>
    <w:rsid w:val="00A718D4"/>
    <w:rsid w:val="00A837AE"/>
    <w:rsid w:val="00A87010"/>
    <w:rsid w:val="00A87B9E"/>
    <w:rsid w:val="00A87CBD"/>
    <w:rsid w:val="00A92B53"/>
    <w:rsid w:val="00A94FA6"/>
    <w:rsid w:val="00AA0301"/>
    <w:rsid w:val="00AA49A0"/>
    <w:rsid w:val="00AA61B0"/>
    <w:rsid w:val="00AA6710"/>
    <w:rsid w:val="00AB0681"/>
    <w:rsid w:val="00AB39F6"/>
    <w:rsid w:val="00AC173A"/>
    <w:rsid w:val="00AC1E37"/>
    <w:rsid w:val="00AC3357"/>
    <w:rsid w:val="00AC761C"/>
    <w:rsid w:val="00AD2250"/>
    <w:rsid w:val="00AD520B"/>
    <w:rsid w:val="00AD6E9E"/>
    <w:rsid w:val="00AE11E9"/>
    <w:rsid w:val="00AE1ED7"/>
    <w:rsid w:val="00AE2839"/>
    <w:rsid w:val="00AF1C7D"/>
    <w:rsid w:val="00B00635"/>
    <w:rsid w:val="00B014CE"/>
    <w:rsid w:val="00B0215C"/>
    <w:rsid w:val="00B04BEB"/>
    <w:rsid w:val="00B0559C"/>
    <w:rsid w:val="00B058CA"/>
    <w:rsid w:val="00B149C7"/>
    <w:rsid w:val="00B14A38"/>
    <w:rsid w:val="00B14A68"/>
    <w:rsid w:val="00B15335"/>
    <w:rsid w:val="00B17BE4"/>
    <w:rsid w:val="00B23FF2"/>
    <w:rsid w:val="00B26CF0"/>
    <w:rsid w:val="00B33163"/>
    <w:rsid w:val="00B370B2"/>
    <w:rsid w:val="00B41AB7"/>
    <w:rsid w:val="00B425C3"/>
    <w:rsid w:val="00B440AD"/>
    <w:rsid w:val="00B50673"/>
    <w:rsid w:val="00B53E7E"/>
    <w:rsid w:val="00B5439C"/>
    <w:rsid w:val="00B54A73"/>
    <w:rsid w:val="00B57066"/>
    <w:rsid w:val="00B6342E"/>
    <w:rsid w:val="00B63685"/>
    <w:rsid w:val="00B63DC1"/>
    <w:rsid w:val="00B67B4A"/>
    <w:rsid w:val="00B7113F"/>
    <w:rsid w:val="00B73515"/>
    <w:rsid w:val="00B8185F"/>
    <w:rsid w:val="00B96532"/>
    <w:rsid w:val="00B967BD"/>
    <w:rsid w:val="00BA26C7"/>
    <w:rsid w:val="00BA356A"/>
    <w:rsid w:val="00BA73B6"/>
    <w:rsid w:val="00BA7E27"/>
    <w:rsid w:val="00BB2603"/>
    <w:rsid w:val="00BB4FCD"/>
    <w:rsid w:val="00BB7901"/>
    <w:rsid w:val="00BC04E9"/>
    <w:rsid w:val="00BC3C46"/>
    <w:rsid w:val="00BC59B0"/>
    <w:rsid w:val="00BD0F4F"/>
    <w:rsid w:val="00BD13EA"/>
    <w:rsid w:val="00BD6979"/>
    <w:rsid w:val="00BE3808"/>
    <w:rsid w:val="00BF52F7"/>
    <w:rsid w:val="00BF7FA2"/>
    <w:rsid w:val="00C062E9"/>
    <w:rsid w:val="00C07316"/>
    <w:rsid w:val="00C07B64"/>
    <w:rsid w:val="00C13721"/>
    <w:rsid w:val="00C14FE4"/>
    <w:rsid w:val="00C27806"/>
    <w:rsid w:val="00C3066D"/>
    <w:rsid w:val="00C320CA"/>
    <w:rsid w:val="00C33C5A"/>
    <w:rsid w:val="00C3632E"/>
    <w:rsid w:val="00C36832"/>
    <w:rsid w:val="00C36F61"/>
    <w:rsid w:val="00C37D60"/>
    <w:rsid w:val="00C40157"/>
    <w:rsid w:val="00C40DCE"/>
    <w:rsid w:val="00C51776"/>
    <w:rsid w:val="00C52416"/>
    <w:rsid w:val="00C543F4"/>
    <w:rsid w:val="00C55531"/>
    <w:rsid w:val="00C6291C"/>
    <w:rsid w:val="00C6327E"/>
    <w:rsid w:val="00C633CB"/>
    <w:rsid w:val="00C736B7"/>
    <w:rsid w:val="00C81D4A"/>
    <w:rsid w:val="00C85EBF"/>
    <w:rsid w:val="00C8762C"/>
    <w:rsid w:val="00C87FBB"/>
    <w:rsid w:val="00C9604A"/>
    <w:rsid w:val="00C97266"/>
    <w:rsid w:val="00CA00F9"/>
    <w:rsid w:val="00CA27CE"/>
    <w:rsid w:val="00CA2961"/>
    <w:rsid w:val="00CB50D7"/>
    <w:rsid w:val="00CB5C57"/>
    <w:rsid w:val="00CB703A"/>
    <w:rsid w:val="00CB7177"/>
    <w:rsid w:val="00CC1998"/>
    <w:rsid w:val="00CC3458"/>
    <w:rsid w:val="00CC4946"/>
    <w:rsid w:val="00CC58A5"/>
    <w:rsid w:val="00CC6990"/>
    <w:rsid w:val="00CD7F2F"/>
    <w:rsid w:val="00CE1428"/>
    <w:rsid w:val="00CE29F3"/>
    <w:rsid w:val="00CE5270"/>
    <w:rsid w:val="00CE67B6"/>
    <w:rsid w:val="00CF3F12"/>
    <w:rsid w:val="00CF7069"/>
    <w:rsid w:val="00CF71A2"/>
    <w:rsid w:val="00D0005D"/>
    <w:rsid w:val="00D00669"/>
    <w:rsid w:val="00D025FF"/>
    <w:rsid w:val="00D0385C"/>
    <w:rsid w:val="00D07FE7"/>
    <w:rsid w:val="00D10AAC"/>
    <w:rsid w:val="00D14795"/>
    <w:rsid w:val="00D22A95"/>
    <w:rsid w:val="00D270A4"/>
    <w:rsid w:val="00D31FE9"/>
    <w:rsid w:val="00D32EC1"/>
    <w:rsid w:val="00D34E1B"/>
    <w:rsid w:val="00D376BA"/>
    <w:rsid w:val="00D409A1"/>
    <w:rsid w:val="00D45634"/>
    <w:rsid w:val="00D47837"/>
    <w:rsid w:val="00D53601"/>
    <w:rsid w:val="00D54438"/>
    <w:rsid w:val="00D5481A"/>
    <w:rsid w:val="00D5568A"/>
    <w:rsid w:val="00D60F0C"/>
    <w:rsid w:val="00D61756"/>
    <w:rsid w:val="00D632BC"/>
    <w:rsid w:val="00D63A35"/>
    <w:rsid w:val="00D63D73"/>
    <w:rsid w:val="00D63DE3"/>
    <w:rsid w:val="00D64452"/>
    <w:rsid w:val="00D64608"/>
    <w:rsid w:val="00D64735"/>
    <w:rsid w:val="00D6531D"/>
    <w:rsid w:val="00D66E1E"/>
    <w:rsid w:val="00D75722"/>
    <w:rsid w:val="00D7655F"/>
    <w:rsid w:val="00D80CF5"/>
    <w:rsid w:val="00D82A69"/>
    <w:rsid w:val="00D86179"/>
    <w:rsid w:val="00D8632B"/>
    <w:rsid w:val="00D92B19"/>
    <w:rsid w:val="00DA06A2"/>
    <w:rsid w:val="00DA3771"/>
    <w:rsid w:val="00DA5BBA"/>
    <w:rsid w:val="00DA6404"/>
    <w:rsid w:val="00DB26D2"/>
    <w:rsid w:val="00DB67C9"/>
    <w:rsid w:val="00DB7A0D"/>
    <w:rsid w:val="00DC0C95"/>
    <w:rsid w:val="00DC5484"/>
    <w:rsid w:val="00DD05CB"/>
    <w:rsid w:val="00DD2E01"/>
    <w:rsid w:val="00DD4043"/>
    <w:rsid w:val="00DD6580"/>
    <w:rsid w:val="00DF34CC"/>
    <w:rsid w:val="00E06C1A"/>
    <w:rsid w:val="00E07614"/>
    <w:rsid w:val="00E11E2A"/>
    <w:rsid w:val="00E17C72"/>
    <w:rsid w:val="00E21FC6"/>
    <w:rsid w:val="00E3264A"/>
    <w:rsid w:val="00E431A9"/>
    <w:rsid w:val="00E434EB"/>
    <w:rsid w:val="00E47DD9"/>
    <w:rsid w:val="00E50F25"/>
    <w:rsid w:val="00E533B5"/>
    <w:rsid w:val="00E53C0F"/>
    <w:rsid w:val="00E565A2"/>
    <w:rsid w:val="00E62612"/>
    <w:rsid w:val="00E62A7F"/>
    <w:rsid w:val="00E642FE"/>
    <w:rsid w:val="00E669E2"/>
    <w:rsid w:val="00E72C76"/>
    <w:rsid w:val="00E76038"/>
    <w:rsid w:val="00E76135"/>
    <w:rsid w:val="00E77FCC"/>
    <w:rsid w:val="00E80A85"/>
    <w:rsid w:val="00E81227"/>
    <w:rsid w:val="00E82F4F"/>
    <w:rsid w:val="00E900F6"/>
    <w:rsid w:val="00E90357"/>
    <w:rsid w:val="00E916CB"/>
    <w:rsid w:val="00E93ACA"/>
    <w:rsid w:val="00E97A9F"/>
    <w:rsid w:val="00EA2F45"/>
    <w:rsid w:val="00EB188A"/>
    <w:rsid w:val="00EB2028"/>
    <w:rsid w:val="00EB4B71"/>
    <w:rsid w:val="00EB6CB0"/>
    <w:rsid w:val="00EC0BEE"/>
    <w:rsid w:val="00EC16DC"/>
    <w:rsid w:val="00EC2844"/>
    <w:rsid w:val="00EC5500"/>
    <w:rsid w:val="00ED4AA4"/>
    <w:rsid w:val="00ED7DC9"/>
    <w:rsid w:val="00EF05A5"/>
    <w:rsid w:val="00EF43FC"/>
    <w:rsid w:val="00EF64E2"/>
    <w:rsid w:val="00EF6C6C"/>
    <w:rsid w:val="00F056FC"/>
    <w:rsid w:val="00F0647C"/>
    <w:rsid w:val="00F10476"/>
    <w:rsid w:val="00F135D8"/>
    <w:rsid w:val="00F13E27"/>
    <w:rsid w:val="00F1519C"/>
    <w:rsid w:val="00F1595A"/>
    <w:rsid w:val="00F2595D"/>
    <w:rsid w:val="00F25FD9"/>
    <w:rsid w:val="00F305DE"/>
    <w:rsid w:val="00F30F89"/>
    <w:rsid w:val="00F31299"/>
    <w:rsid w:val="00F315A1"/>
    <w:rsid w:val="00F34E4C"/>
    <w:rsid w:val="00F3534A"/>
    <w:rsid w:val="00F40A2A"/>
    <w:rsid w:val="00F4187D"/>
    <w:rsid w:val="00F4296B"/>
    <w:rsid w:val="00F44E8F"/>
    <w:rsid w:val="00F471CC"/>
    <w:rsid w:val="00F50FCE"/>
    <w:rsid w:val="00F51609"/>
    <w:rsid w:val="00F53E13"/>
    <w:rsid w:val="00F55387"/>
    <w:rsid w:val="00F55682"/>
    <w:rsid w:val="00F67865"/>
    <w:rsid w:val="00F7022D"/>
    <w:rsid w:val="00F71C69"/>
    <w:rsid w:val="00F72C49"/>
    <w:rsid w:val="00F75441"/>
    <w:rsid w:val="00F81006"/>
    <w:rsid w:val="00F82B3A"/>
    <w:rsid w:val="00F85325"/>
    <w:rsid w:val="00F85F2D"/>
    <w:rsid w:val="00F8789A"/>
    <w:rsid w:val="00F90842"/>
    <w:rsid w:val="00F91A66"/>
    <w:rsid w:val="00F92682"/>
    <w:rsid w:val="00F94B77"/>
    <w:rsid w:val="00F956B1"/>
    <w:rsid w:val="00F97CB6"/>
    <w:rsid w:val="00F97FB4"/>
    <w:rsid w:val="00FA01F8"/>
    <w:rsid w:val="00FA55E7"/>
    <w:rsid w:val="00FA7893"/>
    <w:rsid w:val="00FB0EBE"/>
    <w:rsid w:val="00FB656D"/>
    <w:rsid w:val="00FD18EF"/>
    <w:rsid w:val="00FD22B1"/>
    <w:rsid w:val="00FD338E"/>
    <w:rsid w:val="00FE226F"/>
    <w:rsid w:val="00FE37DE"/>
    <w:rsid w:val="00FE3A48"/>
    <w:rsid w:val="00FE4740"/>
    <w:rsid w:val="00FE5397"/>
    <w:rsid w:val="00FF2770"/>
    <w:rsid w:val="00FF56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97FB4"/>
    <w:rPr>
      <w:sz w:val="26"/>
      <w:szCs w:val="24"/>
    </w:rPr>
  </w:style>
  <w:style w:type="paragraph" w:styleId="Heading1">
    <w:name w:val="heading 1"/>
    <w:basedOn w:val="BodyText"/>
    <w:next w:val="BodyText"/>
    <w:rsid w:val="00F97FB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97FB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F97FB4"/>
    <w:pPr>
      <w:spacing w:before="560" w:line="320" w:lineRule="exact"/>
      <w:ind w:left="0" w:firstLine="0"/>
      <w:outlineLvl w:val="2"/>
    </w:pPr>
    <w:rPr>
      <w:sz w:val="26"/>
    </w:rPr>
  </w:style>
  <w:style w:type="paragraph" w:styleId="Heading4">
    <w:name w:val="heading 4"/>
    <w:basedOn w:val="Heading3"/>
    <w:next w:val="BodyText"/>
    <w:qFormat/>
    <w:rsid w:val="00F97FB4"/>
    <w:pPr>
      <w:spacing w:before="480"/>
      <w:outlineLvl w:val="3"/>
    </w:pPr>
    <w:rPr>
      <w:b w:val="0"/>
      <w:i/>
      <w:sz w:val="24"/>
    </w:rPr>
  </w:style>
  <w:style w:type="paragraph" w:styleId="Heading5">
    <w:name w:val="heading 5"/>
    <w:basedOn w:val="Heading4"/>
    <w:next w:val="BodyText"/>
    <w:qFormat/>
    <w:rsid w:val="00F97FB4"/>
    <w:pPr>
      <w:outlineLvl w:val="4"/>
    </w:pPr>
    <w:rPr>
      <w:rFonts w:ascii="Times New Roman" w:hAnsi="Times New Roman"/>
      <w:sz w:val="26"/>
    </w:rPr>
  </w:style>
  <w:style w:type="paragraph" w:styleId="Heading6">
    <w:name w:val="heading 6"/>
    <w:basedOn w:val="BodyText"/>
    <w:next w:val="BodyText"/>
    <w:rsid w:val="00F97FB4"/>
    <w:pPr>
      <w:spacing w:after="60"/>
      <w:jc w:val="left"/>
      <w:outlineLvl w:val="5"/>
    </w:pPr>
    <w:rPr>
      <w:i/>
      <w:sz w:val="22"/>
    </w:rPr>
  </w:style>
  <w:style w:type="paragraph" w:styleId="Heading7">
    <w:name w:val="heading 7"/>
    <w:basedOn w:val="BodyText"/>
    <w:next w:val="BodyText"/>
    <w:rsid w:val="00F97FB4"/>
    <w:pPr>
      <w:spacing w:after="60" w:line="240" w:lineRule="auto"/>
      <w:jc w:val="left"/>
      <w:outlineLvl w:val="6"/>
    </w:pPr>
    <w:rPr>
      <w:rFonts w:ascii="Arial" w:hAnsi="Arial"/>
      <w:sz w:val="20"/>
    </w:rPr>
  </w:style>
  <w:style w:type="paragraph" w:styleId="Heading8">
    <w:name w:val="heading 8"/>
    <w:basedOn w:val="BodyText"/>
    <w:next w:val="BodyText"/>
    <w:rsid w:val="00F97FB4"/>
    <w:pPr>
      <w:spacing w:after="60" w:line="240" w:lineRule="auto"/>
      <w:jc w:val="left"/>
      <w:outlineLvl w:val="7"/>
    </w:pPr>
    <w:rPr>
      <w:rFonts w:ascii="Arial" w:hAnsi="Arial"/>
      <w:i/>
      <w:sz w:val="20"/>
    </w:rPr>
  </w:style>
  <w:style w:type="paragraph" w:styleId="Heading9">
    <w:name w:val="heading 9"/>
    <w:basedOn w:val="BodyText"/>
    <w:next w:val="BodyText"/>
    <w:rsid w:val="00F97FB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97F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FB4"/>
  </w:style>
  <w:style w:type="paragraph" w:styleId="BodyText">
    <w:name w:val="Body Text"/>
    <w:qFormat/>
    <w:rsid w:val="00F97FB4"/>
    <w:pPr>
      <w:spacing w:before="240" w:line="320" w:lineRule="atLeast"/>
      <w:jc w:val="both"/>
    </w:pPr>
    <w:rPr>
      <w:sz w:val="26"/>
    </w:rPr>
  </w:style>
  <w:style w:type="paragraph" w:styleId="Footer">
    <w:name w:val="footer"/>
    <w:basedOn w:val="BodyText"/>
    <w:semiHidden/>
    <w:rsid w:val="00F97FB4"/>
    <w:pPr>
      <w:spacing w:before="80" w:line="200" w:lineRule="exact"/>
      <w:ind w:right="6"/>
      <w:jc w:val="left"/>
    </w:pPr>
    <w:rPr>
      <w:caps/>
      <w:spacing w:val="-4"/>
      <w:sz w:val="16"/>
    </w:rPr>
  </w:style>
  <w:style w:type="paragraph" w:customStyle="1" w:styleId="FooterEnd">
    <w:name w:val="Footer End"/>
    <w:basedOn w:val="Footer"/>
    <w:rsid w:val="00F97FB4"/>
    <w:pPr>
      <w:spacing w:before="0" w:line="20" w:lineRule="exact"/>
    </w:pPr>
  </w:style>
  <w:style w:type="paragraph" w:styleId="Header">
    <w:name w:val="header"/>
    <w:basedOn w:val="BodyText"/>
    <w:rsid w:val="00F97FB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97FB4"/>
    <w:pPr>
      <w:spacing w:line="20" w:lineRule="exact"/>
    </w:pPr>
    <w:rPr>
      <w:sz w:val="16"/>
    </w:rPr>
  </w:style>
  <w:style w:type="paragraph" w:customStyle="1" w:styleId="HeaderEven">
    <w:name w:val="Header Even"/>
    <w:basedOn w:val="Header"/>
    <w:semiHidden/>
    <w:rsid w:val="00F97FB4"/>
  </w:style>
  <w:style w:type="paragraph" w:customStyle="1" w:styleId="HeaderOdd">
    <w:name w:val="Header Odd"/>
    <w:basedOn w:val="Header"/>
    <w:semiHidden/>
    <w:rsid w:val="00F97FB4"/>
  </w:style>
  <w:style w:type="character" w:styleId="PageNumber">
    <w:name w:val="page number"/>
    <w:basedOn w:val="DefaultParagraphFont"/>
    <w:rsid w:val="00F97FB4"/>
    <w:rPr>
      <w:rFonts w:ascii="Arial" w:hAnsi="Arial"/>
      <w:b/>
      <w:sz w:val="16"/>
    </w:rPr>
  </w:style>
  <w:style w:type="paragraph" w:customStyle="1" w:styleId="Abbreviation">
    <w:name w:val="Abbreviation"/>
    <w:basedOn w:val="BodyText"/>
    <w:rsid w:val="00F97FB4"/>
    <w:pPr>
      <w:spacing w:before="120"/>
      <w:ind w:left="2381" w:hanging="2381"/>
      <w:jc w:val="left"/>
    </w:pPr>
  </w:style>
  <w:style w:type="paragraph" w:customStyle="1" w:styleId="Box">
    <w:name w:val="Box"/>
    <w:basedOn w:val="BodyText"/>
    <w:qFormat/>
    <w:rsid w:val="00F97FB4"/>
    <w:pPr>
      <w:keepNext/>
      <w:spacing w:before="120" w:line="280" w:lineRule="atLeast"/>
    </w:pPr>
    <w:rPr>
      <w:rFonts w:ascii="Arial" w:hAnsi="Arial"/>
      <w:sz w:val="22"/>
    </w:rPr>
  </w:style>
  <w:style w:type="paragraph" w:customStyle="1" w:styleId="BoxContinued">
    <w:name w:val="Box Continued"/>
    <w:basedOn w:val="BodyText"/>
    <w:next w:val="BodyText"/>
    <w:semiHidden/>
    <w:rsid w:val="00F97FB4"/>
    <w:pPr>
      <w:spacing w:before="180" w:line="220" w:lineRule="exact"/>
      <w:jc w:val="right"/>
    </w:pPr>
    <w:rPr>
      <w:rFonts w:ascii="Arial" w:hAnsi="Arial"/>
      <w:sz w:val="18"/>
    </w:rPr>
  </w:style>
  <w:style w:type="paragraph" w:customStyle="1" w:styleId="BoxHeading1">
    <w:name w:val="Box Heading 1"/>
    <w:basedOn w:val="BodyText"/>
    <w:next w:val="Box"/>
    <w:rsid w:val="00F97FB4"/>
    <w:pPr>
      <w:keepNext/>
      <w:spacing w:before="200" w:line="280" w:lineRule="atLeast"/>
    </w:pPr>
    <w:rPr>
      <w:rFonts w:ascii="Arial" w:hAnsi="Arial"/>
      <w:b/>
      <w:sz w:val="22"/>
    </w:rPr>
  </w:style>
  <w:style w:type="paragraph" w:customStyle="1" w:styleId="BoxHeading2">
    <w:name w:val="Box Heading 2"/>
    <w:basedOn w:val="BoxHeading1"/>
    <w:next w:val="Normal"/>
    <w:rsid w:val="00F97FB4"/>
    <w:rPr>
      <w:b w:val="0"/>
      <w:i/>
    </w:rPr>
  </w:style>
  <w:style w:type="paragraph" w:customStyle="1" w:styleId="BoxListBullet">
    <w:name w:val="Box List Bullet"/>
    <w:basedOn w:val="BodyText"/>
    <w:rsid w:val="00F97FB4"/>
    <w:pPr>
      <w:keepNext/>
      <w:numPr>
        <w:numId w:val="1"/>
      </w:numPr>
      <w:spacing w:before="60" w:line="280" w:lineRule="atLeast"/>
    </w:pPr>
    <w:rPr>
      <w:rFonts w:ascii="Arial" w:hAnsi="Arial"/>
      <w:sz w:val="22"/>
    </w:rPr>
  </w:style>
  <w:style w:type="paragraph" w:customStyle="1" w:styleId="BoxListBullet2">
    <w:name w:val="Box List Bullet 2"/>
    <w:basedOn w:val="BodyText"/>
    <w:rsid w:val="00F97FB4"/>
    <w:pPr>
      <w:keepNext/>
      <w:numPr>
        <w:numId w:val="2"/>
      </w:numPr>
      <w:spacing w:before="60" w:line="280" w:lineRule="atLeast"/>
    </w:pPr>
    <w:rPr>
      <w:rFonts w:ascii="Arial" w:hAnsi="Arial"/>
      <w:sz w:val="22"/>
    </w:rPr>
  </w:style>
  <w:style w:type="paragraph" w:customStyle="1" w:styleId="BoxListNumber">
    <w:name w:val="Box List Number"/>
    <w:basedOn w:val="BodyText"/>
    <w:rsid w:val="00F97FB4"/>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F97FB4"/>
    <w:pPr>
      <w:numPr>
        <w:ilvl w:val="1"/>
      </w:numPr>
    </w:pPr>
  </w:style>
  <w:style w:type="paragraph" w:customStyle="1" w:styleId="BoxQuote">
    <w:name w:val="Box Quote"/>
    <w:basedOn w:val="BodyText"/>
    <w:next w:val="Box"/>
    <w:rsid w:val="00F97FB4"/>
    <w:pPr>
      <w:keepNext/>
      <w:spacing w:before="60" w:line="260" w:lineRule="exact"/>
      <w:ind w:left="284"/>
    </w:pPr>
    <w:rPr>
      <w:rFonts w:ascii="Arial" w:hAnsi="Arial"/>
      <w:sz w:val="20"/>
    </w:rPr>
  </w:style>
  <w:style w:type="paragraph" w:customStyle="1" w:styleId="Note">
    <w:name w:val="Note"/>
    <w:basedOn w:val="BodyText"/>
    <w:next w:val="BodyText"/>
    <w:rsid w:val="00F97FB4"/>
    <w:pPr>
      <w:keepLines/>
      <w:spacing w:before="80" w:line="220" w:lineRule="exact"/>
    </w:pPr>
    <w:rPr>
      <w:rFonts w:ascii="Arial" w:hAnsi="Arial"/>
      <w:sz w:val="18"/>
    </w:rPr>
  </w:style>
  <w:style w:type="paragraph" w:customStyle="1" w:styleId="Source">
    <w:name w:val="Source"/>
    <w:basedOn w:val="Note"/>
    <w:next w:val="BodyText"/>
    <w:rsid w:val="00F97FB4"/>
    <w:pPr>
      <w:spacing w:after="120"/>
    </w:pPr>
  </w:style>
  <w:style w:type="paragraph" w:customStyle="1" w:styleId="BoxSource">
    <w:name w:val="Box Source"/>
    <w:basedOn w:val="Source"/>
    <w:next w:val="BodyText"/>
    <w:rsid w:val="00F97FB4"/>
    <w:pPr>
      <w:spacing w:before="180" w:after="0"/>
    </w:pPr>
  </w:style>
  <w:style w:type="paragraph" w:customStyle="1" w:styleId="BoxSpaceAbove">
    <w:name w:val="Box Space Above"/>
    <w:basedOn w:val="BodyText"/>
    <w:rsid w:val="00F97FB4"/>
    <w:pPr>
      <w:keepNext/>
      <w:spacing w:before="360" w:line="80" w:lineRule="exact"/>
      <w:jc w:val="left"/>
    </w:pPr>
  </w:style>
  <w:style w:type="paragraph" w:styleId="Caption">
    <w:name w:val="caption"/>
    <w:basedOn w:val="Normal"/>
    <w:next w:val="BodyText"/>
    <w:rsid w:val="00F97FB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97FB4"/>
    <w:pPr>
      <w:spacing w:before="120" w:after="0"/>
      <w:ind w:left="1304" w:hanging="1304"/>
    </w:pPr>
    <w:rPr>
      <w:sz w:val="24"/>
    </w:rPr>
  </w:style>
  <w:style w:type="paragraph" w:customStyle="1" w:styleId="BoxSubtitle">
    <w:name w:val="Box Subtitle"/>
    <w:basedOn w:val="BoxTitle"/>
    <w:next w:val="Normal"/>
    <w:rsid w:val="00F97FB4"/>
    <w:pPr>
      <w:spacing w:after="80" w:line="200" w:lineRule="exact"/>
      <w:ind w:firstLine="0"/>
    </w:pPr>
    <w:rPr>
      <w:b w:val="0"/>
      <w:sz w:val="20"/>
    </w:rPr>
  </w:style>
  <w:style w:type="paragraph" w:customStyle="1" w:styleId="Chapter">
    <w:name w:val="Chapter"/>
    <w:basedOn w:val="Heading1"/>
    <w:next w:val="BodyText"/>
    <w:semiHidden/>
    <w:rsid w:val="00F97FB4"/>
    <w:pPr>
      <w:ind w:left="0" w:firstLine="0"/>
      <w:outlineLvl w:val="9"/>
    </w:pPr>
  </w:style>
  <w:style w:type="paragraph" w:customStyle="1" w:styleId="ChapterSummary">
    <w:name w:val="Chapter Summary"/>
    <w:basedOn w:val="BodyText"/>
    <w:rsid w:val="00F97FB4"/>
    <w:pPr>
      <w:ind w:left="907"/>
    </w:pPr>
    <w:rPr>
      <w:rFonts w:ascii="Arial" w:hAnsi="Arial"/>
      <w:b/>
      <w:sz w:val="22"/>
    </w:rPr>
  </w:style>
  <w:style w:type="character" w:styleId="CommentReference">
    <w:name w:val="annotation reference"/>
    <w:basedOn w:val="DefaultParagraphFont"/>
    <w:semiHidden/>
    <w:rsid w:val="00F97FB4"/>
    <w:rPr>
      <w:b/>
      <w:vanish/>
      <w:color w:val="FF00FF"/>
      <w:sz w:val="20"/>
    </w:rPr>
  </w:style>
  <w:style w:type="paragraph" w:styleId="CommentText">
    <w:name w:val="annotation text"/>
    <w:basedOn w:val="Normal"/>
    <w:link w:val="CommentTextChar"/>
    <w:semiHidden/>
    <w:rsid w:val="00F97FB4"/>
    <w:pPr>
      <w:spacing w:before="120" w:line="240" w:lineRule="atLeast"/>
      <w:ind w:left="567" w:hanging="567"/>
    </w:pPr>
    <w:rPr>
      <w:sz w:val="20"/>
    </w:rPr>
  </w:style>
  <w:style w:type="paragraph" w:customStyle="1" w:styleId="Continued">
    <w:name w:val="Continued"/>
    <w:basedOn w:val="BoxContinued"/>
    <w:next w:val="BodyText"/>
    <w:rsid w:val="00F97FB4"/>
  </w:style>
  <w:style w:type="character" w:customStyle="1" w:styleId="DocumentInfo">
    <w:name w:val="Document Info"/>
    <w:basedOn w:val="DefaultParagraphFont"/>
    <w:semiHidden/>
    <w:rsid w:val="00F97FB4"/>
    <w:rPr>
      <w:rFonts w:ascii="Arial" w:hAnsi="Arial"/>
      <w:sz w:val="14"/>
    </w:rPr>
  </w:style>
  <w:style w:type="character" w:customStyle="1" w:styleId="DraftingNote">
    <w:name w:val="Drafting Note"/>
    <w:basedOn w:val="DefaultParagraphFont"/>
    <w:rsid w:val="00F97FB4"/>
    <w:rPr>
      <w:b/>
      <w:color w:val="FF0000"/>
      <w:sz w:val="24"/>
      <w:u w:val="dotted"/>
    </w:rPr>
  </w:style>
  <w:style w:type="paragraph" w:customStyle="1" w:styleId="Figure">
    <w:name w:val="Figure"/>
    <w:basedOn w:val="BodyText"/>
    <w:rsid w:val="00F97FB4"/>
    <w:pPr>
      <w:keepNext/>
      <w:spacing w:before="120" w:after="120" w:line="240" w:lineRule="atLeast"/>
      <w:jc w:val="center"/>
    </w:pPr>
  </w:style>
  <w:style w:type="paragraph" w:customStyle="1" w:styleId="FigureTitle">
    <w:name w:val="Figure Title"/>
    <w:basedOn w:val="Caption"/>
    <w:next w:val="Subtitle"/>
    <w:rsid w:val="00F97FB4"/>
    <w:rPr>
      <w:sz w:val="24"/>
    </w:rPr>
  </w:style>
  <w:style w:type="paragraph" w:styleId="Subtitle">
    <w:name w:val="Subtitle"/>
    <w:basedOn w:val="Caption"/>
    <w:link w:val="SubtitleChar"/>
    <w:rsid w:val="00F97FB4"/>
    <w:pPr>
      <w:spacing w:before="0" w:line="200" w:lineRule="exact"/>
      <w:ind w:firstLine="0"/>
    </w:pPr>
    <w:rPr>
      <w:b w:val="0"/>
      <w:sz w:val="20"/>
    </w:rPr>
  </w:style>
  <w:style w:type="paragraph" w:customStyle="1" w:styleId="Finding">
    <w:name w:val="Finding"/>
    <w:basedOn w:val="BodyText"/>
    <w:rsid w:val="00F97FB4"/>
    <w:pPr>
      <w:keepLines/>
      <w:spacing w:before="180"/>
    </w:pPr>
    <w:rPr>
      <w:i/>
    </w:rPr>
  </w:style>
  <w:style w:type="paragraph" w:customStyle="1" w:styleId="FindingBullet">
    <w:name w:val="Finding Bullet"/>
    <w:basedOn w:val="Finding"/>
    <w:rsid w:val="00F97FB4"/>
    <w:pPr>
      <w:numPr>
        <w:numId w:val="3"/>
      </w:numPr>
      <w:spacing w:before="80"/>
    </w:pPr>
  </w:style>
  <w:style w:type="paragraph" w:customStyle="1" w:styleId="FindingNoTitle">
    <w:name w:val="Finding NoTitle"/>
    <w:basedOn w:val="Finding"/>
    <w:semiHidden/>
    <w:rsid w:val="00F97FB4"/>
    <w:pPr>
      <w:spacing w:before="240"/>
    </w:pPr>
  </w:style>
  <w:style w:type="paragraph" w:customStyle="1" w:styleId="RecTitle">
    <w:name w:val="Rec Title"/>
    <w:basedOn w:val="BodyText"/>
    <w:next w:val="Normal"/>
    <w:rsid w:val="00F97FB4"/>
    <w:pPr>
      <w:keepNext/>
      <w:keepLines/>
    </w:pPr>
    <w:rPr>
      <w:caps/>
      <w:sz w:val="20"/>
    </w:rPr>
  </w:style>
  <w:style w:type="paragraph" w:customStyle="1" w:styleId="FindingTitle">
    <w:name w:val="Finding Title"/>
    <w:basedOn w:val="RecTitle"/>
    <w:next w:val="Finding"/>
    <w:rsid w:val="00F97FB4"/>
    <w:pPr>
      <w:framePr w:wrap="notBeside" w:hAnchor="text"/>
    </w:pPr>
  </w:style>
  <w:style w:type="character" w:styleId="FootnoteReference">
    <w:name w:val="footnote reference"/>
    <w:basedOn w:val="DefaultParagraphFont"/>
    <w:semiHidden/>
    <w:rsid w:val="00F97FB4"/>
    <w:rPr>
      <w:rFonts w:ascii="Times New Roman" w:hAnsi="Times New Roman"/>
      <w:position w:val="6"/>
      <w:sz w:val="22"/>
      <w:vertAlign w:val="baseline"/>
    </w:rPr>
  </w:style>
  <w:style w:type="paragraph" w:styleId="FootnoteText">
    <w:name w:val="footnote text"/>
    <w:basedOn w:val="BodyText"/>
    <w:rsid w:val="00F97FB4"/>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F97FB4"/>
    <w:pPr>
      <w:spacing w:before="360" w:after="120"/>
    </w:pPr>
    <w:rPr>
      <w:rFonts w:ascii="Arial" w:hAnsi="Arial"/>
      <w:sz w:val="24"/>
    </w:rPr>
  </w:style>
  <w:style w:type="paragraph" w:customStyle="1" w:styleId="Jurisdictioncommentsbodytext">
    <w:name w:val="Jurisdiction comments body text"/>
    <w:rsid w:val="00F97FB4"/>
    <w:pPr>
      <w:spacing w:after="140"/>
      <w:jc w:val="both"/>
    </w:pPr>
    <w:rPr>
      <w:rFonts w:ascii="Arial" w:hAnsi="Arial"/>
      <w:sz w:val="24"/>
      <w:lang w:eastAsia="en-US"/>
    </w:rPr>
  </w:style>
  <w:style w:type="paragraph" w:customStyle="1" w:styleId="Jurisdictioncommentsheading">
    <w:name w:val="Jurisdiction comments heading"/>
    <w:rsid w:val="00F97FB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97FB4"/>
    <w:pPr>
      <w:numPr>
        <w:numId w:val="4"/>
      </w:numPr>
      <w:spacing w:after="140"/>
      <w:jc w:val="both"/>
    </w:pPr>
    <w:rPr>
      <w:rFonts w:ascii="Arial" w:hAnsi="Arial"/>
      <w:sz w:val="24"/>
      <w:lang w:eastAsia="en-US"/>
    </w:rPr>
  </w:style>
  <w:style w:type="paragraph" w:styleId="ListBullet">
    <w:name w:val="List Bullet"/>
    <w:basedOn w:val="BodyText"/>
    <w:rsid w:val="00F97FB4"/>
    <w:pPr>
      <w:numPr>
        <w:numId w:val="6"/>
      </w:numPr>
      <w:spacing w:before="120"/>
    </w:pPr>
  </w:style>
  <w:style w:type="paragraph" w:styleId="ListBullet2">
    <w:name w:val="List Bullet 2"/>
    <w:basedOn w:val="BodyText"/>
    <w:rsid w:val="00F97FB4"/>
    <w:pPr>
      <w:numPr>
        <w:numId w:val="8"/>
      </w:numPr>
      <w:spacing w:before="120"/>
    </w:pPr>
  </w:style>
  <w:style w:type="paragraph" w:styleId="ListBullet3">
    <w:name w:val="List Bullet 3"/>
    <w:basedOn w:val="BodyText"/>
    <w:rsid w:val="00F97FB4"/>
    <w:pPr>
      <w:numPr>
        <w:numId w:val="10"/>
      </w:numPr>
      <w:spacing w:before="120"/>
    </w:pPr>
  </w:style>
  <w:style w:type="paragraph" w:styleId="ListNumber">
    <w:name w:val="List Number"/>
    <w:basedOn w:val="BodyText"/>
    <w:rsid w:val="00F97FB4"/>
    <w:pPr>
      <w:numPr>
        <w:numId w:val="32"/>
      </w:numPr>
      <w:spacing w:before="120"/>
    </w:pPr>
  </w:style>
  <w:style w:type="paragraph" w:styleId="ListNumber2">
    <w:name w:val="List Number 2"/>
    <w:basedOn w:val="ListNumber"/>
    <w:rsid w:val="00F97FB4"/>
    <w:pPr>
      <w:numPr>
        <w:ilvl w:val="1"/>
      </w:numPr>
    </w:pPr>
  </w:style>
  <w:style w:type="paragraph" w:styleId="ListNumber3">
    <w:name w:val="List Number 3"/>
    <w:basedOn w:val="ListNumber2"/>
    <w:rsid w:val="00F97FB4"/>
    <w:pPr>
      <w:numPr>
        <w:ilvl w:val="2"/>
      </w:numPr>
    </w:pPr>
  </w:style>
  <w:style w:type="character" w:customStyle="1" w:styleId="NoteLabel">
    <w:name w:val="Note Label"/>
    <w:basedOn w:val="DefaultParagraphFont"/>
    <w:rsid w:val="00F97FB4"/>
    <w:rPr>
      <w:rFonts w:ascii="Arial" w:hAnsi="Arial"/>
      <w:b/>
      <w:position w:val="6"/>
      <w:sz w:val="18"/>
    </w:rPr>
  </w:style>
  <w:style w:type="paragraph" w:customStyle="1" w:styleId="PartDivider">
    <w:name w:val="Part Divider"/>
    <w:basedOn w:val="BodyText"/>
    <w:next w:val="BodyText"/>
    <w:semiHidden/>
    <w:rsid w:val="00F97FB4"/>
    <w:pPr>
      <w:spacing w:before="0" w:line="40" w:lineRule="exact"/>
      <w:jc w:val="right"/>
    </w:pPr>
    <w:rPr>
      <w:smallCaps/>
      <w:sz w:val="16"/>
    </w:rPr>
  </w:style>
  <w:style w:type="paragraph" w:customStyle="1" w:styleId="PartNumber">
    <w:name w:val="Part Number"/>
    <w:basedOn w:val="BodyText"/>
    <w:next w:val="BodyText"/>
    <w:semiHidden/>
    <w:rsid w:val="00F97FB4"/>
    <w:pPr>
      <w:spacing w:before="4000" w:line="320" w:lineRule="exact"/>
      <w:ind w:left="6634"/>
      <w:jc w:val="right"/>
    </w:pPr>
    <w:rPr>
      <w:smallCaps/>
      <w:spacing w:val="60"/>
      <w:sz w:val="32"/>
    </w:rPr>
  </w:style>
  <w:style w:type="paragraph" w:customStyle="1" w:styleId="PartTitle">
    <w:name w:val="Part Title"/>
    <w:basedOn w:val="BodyText"/>
    <w:semiHidden/>
    <w:rsid w:val="00F97FB4"/>
    <w:pPr>
      <w:spacing w:before="160" w:after="1360" w:line="520" w:lineRule="exact"/>
      <w:ind w:right="2381"/>
      <w:jc w:val="right"/>
    </w:pPr>
    <w:rPr>
      <w:smallCaps/>
      <w:sz w:val="52"/>
    </w:rPr>
  </w:style>
  <w:style w:type="paragraph" w:styleId="Quote">
    <w:name w:val="Quote"/>
    <w:basedOn w:val="BodyText"/>
    <w:next w:val="BodyText"/>
    <w:qFormat/>
    <w:rsid w:val="00F97FB4"/>
    <w:pPr>
      <w:spacing w:before="120" w:line="280" w:lineRule="exact"/>
      <w:ind w:left="340"/>
    </w:pPr>
    <w:rPr>
      <w:sz w:val="24"/>
    </w:rPr>
  </w:style>
  <w:style w:type="paragraph" w:customStyle="1" w:styleId="QuoteBullet">
    <w:name w:val="Quote Bullet"/>
    <w:basedOn w:val="Quote"/>
    <w:rsid w:val="00F97FB4"/>
    <w:pPr>
      <w:numPr>
        <w:numId w:val="14"/>
      </w:numPr>
    </w:pPr>
  </w:style>
  <w:style w:type="paragraph" w:customStyle="1" w:styleId="Rec">
    <w:name w:val="Rec"/>
    <w:basedOn w:val="BodyText"/>
    <w:rsid w:val="00F97FB4"/>
    <w:pPr>
      <w:keepLines/>
      <w:spacing w:before="180"/>
    </w:pPr>
    <w:rPr>
      <w:b/>
      <w:i/>
    </w:rPr>
  </w:style>
  <w:style w:type="paragraph" w:customStyle="1" w:styleId="RecBullet">
    <w:name w:val="Rec Bullet"/>
    <w:basedOn w:val="Rec"/>
    <w:rsid w:val="00F97FB4"/>
    <w:pPr>
      <w:numPr>
        <w:numId w:val="15"/>
      </w:numPr>
      <w:spacing w:before="80"/>
    </w:pPr>
  </w:style>
  <w:style w:type="paragraph" w:customStyle="1" w:styleId="RecB">
    <w:name w:val="RecB"/>
    <w:basedOn w:val="Normal"/>
    <w:semiHidden/>
    <w:rsid w:val="00F97FB4"/>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97FB4"/>
    <w:pPr>
      <w:numPr>
        <w:numId w:val="16"/>
      </w:numPr>
      <w:spacing w:before="80"/>
    </w:pPr>
  </w:style>
  <w:style w:type="paragraph" w:customStyle="1" w:styleId="RecBNoTitle">
    <w:name w:val="RecB NoTitle"/>
    <w:basedOn w:val="RecB"/>
    <w:semiHidden/>
    <w:rsid w:val="00F97FB4"/>
    <w:pPr>
      <w:spacing w:before="240"/>
    </w:pPr>
  </w:style>
  <w:style w:type="paragraph" w:customStyle="1" w:styleId="Reference">
    <w:name w:val="Reference"/>
    <w:basedOn w:val="BodyText"/>
    <w:rsid w:val="00F97FB4"/>
    <w:pPr>
      <w:spacing w:before="120"/>
      <w:ind w:left="340" w:hanging="340"/>
    </w:pPr>
  </w:style>
  <w:style w:type="paragraph" w:customStyle="1" w:styleId="SequenceInfo">
    <w:name w:val="Sequence Info"/>
    <w:basedOn w:val="BodyText"/>
    <w:semiHidden/>
    <w:rsid w:val="00F97FB4"/>
    <w:rPr>
      <w:vanish/>
      <w:sz w:val="16"/>
    </w:rPr>
  </w:style>
  <w:style w:type="paragraph" w:customStyle="1" w:styleId="SideNote">
    <w:name w:val="Side Note"/>
    <w:basedOn w:val="BodyText"/>
    <w:next w:val="BodyText"/>
    <w:semiHidden/>
    <w:rsid w:val="00F97FB4"/>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97FB4"/>
    <w:pPr>
      <w:framePr w:wrap="around"/>
      <w:numPr>
        <w:numId w:val="17"/>
      </w:numPr>
      <w:tabs>
        <w:tab w:val="left" w:pos="227"/>
      </w:tabs>
    </w:pPr>
  </w:style>
  <w:style w:type="paragraph" w:customStyle="1" w:styleId="SideNoteGraphic">
    <w:name w:val="Side Note Graphic"/>
    <w:basedOn w:val="SideNote"/>
    <w:next w:val="BodyText"/>
    <w:semiHidden/>
    <w:rsid w:val="00F97FB4"/>
    <w:pPr>
      <w:framePr w:wrap="around"/>
    </w:pPr>
  </w:style>
  <w:style w:type="paragraph" w:customStyle="1" w:styleId="TableBodyText">
    <w:name w:val="Table Body Text"/>
    <w:basedOn w:val="BodyText"/>
    <w:rsid w:val="00F97FB4"/>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97FB4"/>
    <w:pPr>
      <w:numPr>
        <w:numId w:val="18"/>
      </w:numPr>
      <w:jc w:val="left"/>
    </w:pPr>
  </w:style>
  <w:style w:type="paragraph" w:customStyle="1" w:styleId="TableColumnHeading">
    <w:name w:val="Table Column Heading"/>
    <w:basedOn w:val="TableBodyText"/>
    <w:rsid w:val="00F97FB4"/>
    <w:pPr>
      <w:spacing w:before="80" w:after="80"/>
    </w:pPr>
    <w:rPr>
      <w:i/>
    </w:rPr>
  </w:style>
  <w:style w:type="paragraph" w:styleId="TOC2">
    <w:name w:val="toc 2"/>
    <w:basedOn w:val="BodyText"/>
    <w:semiHidden/>
    <w:rsid w:val="00F97FB4"/>
    <w:pPr>
      <w:tabs>
        <w:tab w:val="right" w:pos="8789"/>
      </w:tabs>
      <w:ind w:left="510" w:right="851" w:hanging="510"/>
      <w:jc w:val="left"/>
    </w:pPr>
    <w:rPr>
      <w:b/>
    </w:rPr>
  </w:style>
  <w:style w:type="paragraph" w:styleId="TOC3">
    <w:name w:val="toc 3"/>
    <w:basedOn w:val="TOC2"/>
    <w:semiHidden/>
    <w:rsid w:val="00F97FB4"/>
    <w:pPr>
      <w:spacing w:before="60"/>
      <w:ind w:left="1190" w:hanging="680"/>
    </w:pPr>
    <w:rPr>
      <w:b w:val="0"/>
    </w:rPr>
  </w:style>
  <w:style w:type="paragraph" w:styleId="TableofFigures">
    <w:name w:val="table of figures"/>
    <w:basedOn w:val="TOC3"/>
    <w:next w:val="BodyText"/>
    <w:semiHidden/>
    <w:rsid w:val="00F97FB4"/>
    <w:pPr>
      <w:ind w:left="737" w:hanging="737"/>
    </w:pPr>
  </w:style>
  <w:style w:type="paragraph" w:customStyle="1" w:styleId="TableTitle">
    <w:name w:val="Table Title"/>
    <w:basedOn w:val="Caption"/>
    <w:next w:val="Subtitle"/>
    <w:rsid w:val="00F97FB4"/>
    <w:rPr>
      <w:sz w:val="24"/>
    </w:rPr>
  </w:style>
  <w:style w:type="paragraph" w:customStyle="1" w:styleId="TableUnitsRow">
    <w:name w:val="Table Units Row"/>
    <w:basedOn w:val="TableBodyText"/>
    <w:rsid w:val="00F97FB4"/>
    <w:pPr>
      <w:spacing w:before="80" w:after="80"/>
    </w:pPr>
  </w:style>
  <w:style w:type="paragraph" w:styleId="TOC1">
    <w:name w:val="toc 1"/>
    <w:basedOn w:val="Normal"/>
    <w:next w:val="TOC2"/>
    <w:semiHidden/>
    <w:rsid w:val="00F97FB4"/>
    <w:pPr>
      <w:tabs>
        <w:tab w:val="right" w:pos="8789"/>
      </w:tabs>
      <w:spacing w:before="480" w:after="60" w:line="320" w:lineRule="exact"/>
      <w:ind w:left="1191" w:right="851" w:hanging="1191"/>
    </w:pPr>
    <w:rPr>
      <w:b/>
      <w:caps/>
    </w:rPr>
  </w:style>
  <w:style w:type="paragraph" w:styleId="TOC4">
    <w:name w:val="toc 4"/>
    <w:basedOn w:val="TOC3"/>
    <w:semiHidden/>
    <w:rsid w:val="00F97FB4"/>
    <w:pPr>
      <w:ind w:left="1191" w:firstLine="0"/>
    </w:pPr>
  </w:style>
  <w:style w:type="paragraph" w:customStyle="1" w:styleId="RecBBullet2">
    <w:name w:val="RecB Bullet 2"/>
    <w:basedOn w:val="ListBullet2"/>
    <w:semiHidden/>
    <w:rsid w:val="00F97FB4"/>
    <w:pPr>
      <w:pBdr>
        <w:left w:val="single" w:sz="24" w:space="29" w:color="C0C0C0"/>
      </w:pBdr>
    </w:pPr>
    <w:rPr>
      <w:b/>
      <w:i/>
    </w:rPr>
  </w:style>
  <w:style w:type="paragraph" w:styleId="BalloonText">
    <w:name w:val="Balloon Text"/>
    <w:basedOn w:val="Normal"/>
    <w:link w:val="BalloonTextChar"/>
    <w:rsid w:val="00F97FB4"/>
    <w:rPr>
      <w:rFonts w:ascii="Tahoma" w:hAnsi="Tahoma" w:cs="Tahoma"/>
      <w:sz w:val="16"/>
      <w:szCs w:val="16"/>
    </w:rPr>
  </w:style>
  <w:style w:type="character" w:customStyle="1" w:styleId="BalloonTextChar">
    <w:name w:val="Balloon Text Char"/>
    <w:basedOn w:val="DefaultParagraphFont"/>
    <w:link w:val="BalloonText"/>
    <w:rsid w:val="00F97FB4"/>
    <w:rPr>
      <w:rFonts w:ascii="Tahoma" w:hAnsi="Tahoma" w:cs="Tahoma"/>
      <w:sz w:val="16"/>
      <w:szCs w:val="16"/>
    </w:rPr>
  </w:style>
  <w:style w:type="character" w:customStyle="1" w:styleId="SubtitleChar">
    <w:name w:val="Subtitle Char"/>
    <w:basedOn w:val="DefaultParagraphFont"/>
    <w:link w:val="Subtitle"/>
    <w:rsid w:val="00F97FB4"/>
    <w:rPr>
      <w:rFonts w:ascii="Arial" w:hAnsi="Arial"/>
      <w:szCs w:val="24"/>
    </w:rPr>
  </w:style>
  <w:style w:type="paragraph" w:customStyle="1" w:styleId="BoxListBullet3">
    <w:name w:val="Box List Bullet 3"/>
    <w:basedOn w:val="ListBullet3"/>
    <w:rsid w:val="00F97FB4"/>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97FB4"/>
    <w:rPr>
      <w:i/>
      <w:iCs/>
    </w:rPr>
  </w:style>
  <w:style w:type="paragraph" w:customStyle="1" w:styleId="BoxQuoteBullet">
    <w:name w:val="Box Quote Bullet"/>
    <w:basedOn w:val="BoxQuote"/>
    <w:next w:val="Box"/>
    <w:rsid w:val="00F97FB4"/>
    <w:pPr>
      <w:numPr>
        <w:numId w:val="45"/>
      </w:numPr>
      <w:ind w:left="568" w:hanging="284"/>
    </w:pPr>
  </w:style>
  <w:style w:type="paragraph" w:customStyle="1" w:styleId="InformationRequestBullet">
    <w:name w:val="Information Request Bullet"/>
    <w:basedOn w:val="ListBullet"/>
    <w:next w:val="BodyText"/>
    <w:rsid w:val="00F97FB4"/>
    <w:pPr>
      <w:numPr>
        <w:numId w:val="46"/>
      </w:numPr>
      <w:ind w:left="340" w:hanging="340"/>
    </w:pPr>
    <w:rPr>
      <w:rFonts w:ascii="Arial" w:hAnsi="Arial"/>
      <w:i/>
      <w:sz w:val="24"/>
    </w:rPr>
  </w:style>
  <w:style w:type="paragraph" w:customStyle="1" w:styleId="BoxSpaceBelow">
    <w:name w:val="Box Space Below"/>
    <w:basedOn w:val="Box"/>
    <w:rsid w:val="00F97FB4"/>
    <w:pPr>
      <w:keepNext w:val="0"/>
      <w:spacing w:before="60" w:after="60" w:line="80" w:lineRule="exact"/>
    </w:pPr>
    <w:rPr>
      <w:sz w:val="14"/>
    </w:rPr>
  </w:style>
  <w:style w:type="paragraph" w:customStyle="1" w:styleId="BoxSpace">
    <w:name w:val="Box Space"/>
    <w:basedOn w:val="BodyText"/>
    <w:rsid w:val="00AC1E37"/>
    <w:pPr>
      <w:keepNext/>
      <w:spacing w:before="360" w:line="80" w:lineRule="exact"/>
      <w:jc w:val="left"/>
    </w:pPr>
  </w:style>
  <w:style w:type="character" w:customStyle="1" w:styleId="Heading3Char">
    <w:name w:val="Heading 3 Char"/>
    <w:basedOn w:val="DefaultParagraphFont"/>
    <w:link w:val="Heading3"/>
    <w:rsid w:val="00AC1E37"/>
    <w:rPr>
      <w:rFonts w:ascii="Arial" w:hAnsi="Arial"/>
      <w:b/>
      <w:sz w:val="26"/>
    </w:rPr>
  </w:style>
  <w:style w:type="character" w:styleId="Hyperlink">
    <w:name w:val="Hyperlink"/>
    <w:basedOn w:val="DefaultParagraphFont"/>
    <w:rsid w:val="00AC1E37"/>
    <w:rPr>
      <w:color w:val="0000FF" w:themeColor="hyperlink"/>
      <w:u w:val="single"/>
    </w:rPr>
  </w:style>
  <w:style w:type="table" w:styleId="TableGrid">
    <w:name w:val="Table Grid"/>
    <w:basedOn w:val="TableNormal"/>
    <w:rsid w:val="0013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3222D"/>
    <w:rPr>
      <w:color w:val="800080" w:themeColor="followedHyperlink"/>
      <w:u w:val="single"/>
    </w:rPr>
  </w:style>
  <w:style w:type="paragraph" w:styleId="CommentSubject">
    <w:name w:val="annotation subject"/>
    <w:basedOn w:val="CommentText"/>
    <w:next w:val="CommentText"/>
    <w:link w:val="CommentSubjectChar"/>
    <w:rsid w:val="0015045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5045F"/>
    <w:rPr>
      <w:szCs w:val="24"/>
    </w:rPr>
  </w:style>
  <w:style w:type="character" w:customStyle="1" w:styleId="CommentSubjectChar">
    <w:name w:val="Comment Subject Char"/>
    <w:basedOn w:val="CommentTextChar"/>
    <w:link w:val="CommentSubject"/>
    <w:rsid w:val="0015045F"/>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97FB4"/>
    <w:rPr>
      <w:sz w:val="26"/>
      <w:szCs w:val="24"/>
    </w:rPr>
  </w:style>
  <w:style w:type="paragraph" w:styleId="Heading1">
    <w:name w:val="heading 1"/>
    <w:basedOn w:val="BodyText"/>
    <w:next w:val="BodyText"/>
    <w:rsid w:val="00F97FB4"/>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F97FB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F97FB4"/>
    <w:pPr>
      <w:spacing w:before="560" w:line="320" w:lineRule="exact"/>
      <w:ind w:left="0" w:firstLine="0"/>
      <w:outlineLvl w:val="2"/>
    </w:pPr>
    <w:rPr>
      <w:sz w:val="26"/>
    </w:rPr>
  </w:style>
  <w:style w:type="paragraph" w:styleId="Heading4">
    <w:name w:val="heading 4"/>
    <w:basedOn w:val="Heading3"/>
    <w:next w:val="BodyText"/>
    <w:qFormat/>
    <w:rsid w:val="00F97FB4"/>
    <w:pPr>
      <w:spacing w:before="480"/>
      <w:outlineLvl w:val="3"/>
    </w:pPr>
    <w:rPr>
      <w:b w:val="0"/>
      <w:i/>
      <w:sz w:val="24"/>
    </w:rPr>
  </w:style>
  <w:style w:type="paragraph" w:styleId="Heading5">
    <w:name w:val="heading 5"/>
    <w:basedOn w:val="Heading4"/>
    <w:next w:val="BodyText"/>
    <w:qFormat/>
    <w:rsid w:val="00F97FB4"/>
    <w:pPr>
      <w:outlineLvl w:val="4"/>
    </w:pPr>
    <w:rPr>
      <w:rFonts w:ascii="Times New Roman" w:hAnsi="Times New Roman"/>
      <w:sz w:val="26"/>
    </w:rPr>
  </w:style>
  <w:style w:type="paragraph" w:styleId="Heading6">
    <w:name w:val="heading 6"/>
    <w:basedOn w:val="BodyText"/>
    <w:next w:val="BodyText"/>
    <w:rsid w:val="00F97FB4"/>
    <w:pPr>
      <w:spacing w:after="60"/>
      <w:jc w:val="left"/>
      <w:outlineLvl w:val="5"/>
    </w:pPr>
    <w:rPr>
      <w:i/>
      <w:sz w:val="22"/>
    </w:rPr>
  </w:style>
  <w:style w:type="paragraph" w:styleId="Heading7">
    <w:name w:val="heading 7"/>
    <w:basedOn w:val="BodyText"/>
    <w:next w:val="BodyText"/>
    <w:rsid w:val="00F97FB4"/>
    <w:pPr>
      <w:spacing w:after="60" w:line="240" w:lineRule="auto"/>
      <w:jc w:val="left"/>
      <w:outlineLvl w:val="6"/>
    </w:pPr>
    <w:rPr>
      <w:rFonts w:ascii="Arial" w:hAnsi="Arial"/>
      <w:sz w:val="20"/>
    </w:rPr>
  </w:style>
  <w:style w:type="paragraph" w:styleId="Heading8">
    <w:name w:val="heading 8"/>
    <w:basedOn w:val="BodyText"/>
    <w:next w:val="BodyText"/>
    <w:rsid w:val="00F97FB4"/>
    <w:pPr>
      <w:spacing w:after="60" w:line="240" w:lineRule="auto"/>
      <w:jc w:val="left"/>
      <w:outlineLvl w:val="7"/>
    </w:pPr>
    <w:rPr>
      <w:rFonts w:ascii="Arial" w:hAnsi="Arial"/>
      <w:i/>
      <w:sz w:val="20"/>
    </w:rPr>
  </w:style>
  <w:style w:type="paragraph" w:styleId="Heading9">
    <w:name w:val="heading 9"/>
    <w:basedOn w:val="BodyText"/>
    <w:next w:val="BodyText"/>
    <w:rsid w:val="00F97FB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F97F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7FB4"/>
  </w:style>
  <w:style w:type="paragraph" w:styleId="BodyText">
    <w:name w:val="Body Text"/>
    <w:qFormat/>
    <w:rsid w:val="00F97FB4"/>
    <w:pPr>
      <w:spacing w:before="240" w:line="320" w:lineRule="atLeast"/>
      <w:jc w:val="both"/>
    </w:pPr>
    <w:rPr>
      <w:sz w:val="26"/>
    </w:rPr>
  </w:style>
  <w:style w:type="paragraph" w:styleId="Footer">
    <w:name w:val="footer"/>
    <w:basedOn w:val="BodyText"/>
    <w:semiHidden/>
    <w:rsid w:val="00F97FB4"/>
    <w:pPr>
      <w:spacing w:before="80" w:line="200" w:lineRule="exact"/>
      <w:ind w:right="6"/>
      <w:jc w:val="left"/>
    </w:pPr>
    <w:rPr>
      <w:caps/>
      <w:spacing w:val="-4"/>
      <w:sz w:val="16"/>
    </w:rPr>
  </w:style>
  <w:style w:type="paragraph" w:customStyle="1" w:styleId="FooterEnd">
    <w:name w:val="Footer End"/>
    <w:basedOn w:val="Footer"/>
    <w:rsid w:val="00F97FB4"/>
    <w:pPr>
      <w:spacing w:before="0" w:line="20" w:lineRule="exact"/>
    </w:pPr>
  </w:style>
  <w:style w:type="paragraph" w:styleId="Header">
    <w:name w:val="header"/>
    <w:basedOn w:val="BodyText"/>
    <w:rsid w:val="00F97FB4"/>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F97FB4"/>
    <w:pPr>
      <w:spacing w:line="20" w:lineRule="exact"/>
    </w:pPr>
    <w:rPr>
      <w:sz w:val="16"/>
    </w:rPr>
  </w:style>
  <w:style w:type="paragraph" w:customStyle="1" w:styleId="HeaderEven">
    <w:name w:val="Header Even"/>
    <w:basedOn w:val="Header"/>
    <w:semiHidden/>
    <w:rsid w:val="00F97FB4"/>
  </w:style>
  <w:style w:type="paragraph" w:customStyle="1" w:styleId="HeaderOdd">
    <w:name w:val="Header Odd"/>
    <w:basedOn w:val="Header"/>
    <w:semiHidden/>
    <w:rsid w:val="00F97FB4"/>
  </w:style>
  <w:style w:type="character" w:styleId="PageNumber">
    <w:name w:val="page number"/>
    <w:basedOn w:val="DefaultParagraphFont"/>
    <w:rsid w:val="00F97FB4"/>
    <w:rPr>
      <w:rFonts w:ascii="Arial" w:hAnsi="Arial"/>
      <w:b/>
      <w:sz w:val="16"/>
    </w:rPr>
  </w:style>
  <w:style w:type="paragraph" w:customStyle="1" w:styleId="Abbreviation">
    <w:name w:val="Abbreviation"/>
    <w:basedOn w:val="BodyText"/>
    <w:rsid w:val="00F97FB4"/>
    <w:pPr>
      <w:spacing w:before="120"/>
      <w:ind w:left="2381" w:hanging="2381"/>
      <w:jc w:val="left"/>
    </w:pPr>
  </w:style>
  <w:style w:type="paragraph" w:customStyle="1" w:styleId="Box">
    <w:name w:val="Box"/>
    <w:basedOn w:val="BodyText"/>
    <w:qFormat/>
    <w:rsid w:val="00F97FB4"/>
    <w:pPr>
      <w:keepNext/>
      <w:spacing w:before="120" w:line="280" w:lineRule="atLeast"/>
    </w:pPr>
    <w:rPr>
      <w:rFonts w:ascii="Arial" w:hAnsi="Arial"/>
      <w:sz w:val="22"/>
    </w:rPr>
  </w:style>
  <w:style w:type="paragraph" w:customStyle="1" w:styleId="BoxContinued">
    <w:name w:val="Box Continued"/>
    <w:basedOn w:val="BodyText"/>
    <w:next w:val="BodyText"/>
    <w:semiHidden/>
    <w:rsid w:val="00F97FB4"/>
    <w:pPr>
      <w:spacing w:before="180" w:line="220" w:lineRule="exact"/>
      <w:jc w:val="right"/>
    </w:pPr>
    <w:rPr>
      <w:rFonts w:ascii="Arial" w:hAnsi="Arial"/>
      <w:sz w:val="18"/>
    </w:rPr>
  </w:style>
  <w:style w:type="paragraph" w:customStyle="1" w:styleId="BoxHeading1">
    <w:name w:val="Box Heading 1"/>
    <w:basedOn w:val="BodyText"/>
    <w:next w:val="Box"/>
    <w:rsid w:val="00F97FB4"/>
    <w:pPr>
      <w:keepNext/>
      <w:spacing w:before="200" w:line="280" w:lineRule="atLeast"/>
    </w:pPr>
    <w:rPr>
      <w:rFonts w:ascii="Arial" w:hAnsi="Arial"/>
      <w:b/>
      <w:sz w:val="22"/>
    </w:rPr>
  </w:style>
  <w:style w:type="paragraph" w:customStyle="1" w:styleId="BoxHeading2">
    <w:name w:val="Box Heading 2"/>
    <w:basedOn w:val="BoxHeading1"/>
    <w:next w:val="Normal"/>
    <w:rsid w:val="00F97FB4"/>
    <w:rPr>
      <w:b w:val="0"/>
      <w:i/>
    </w:rPr>
  </w:style>
  <w:style w:type="paragraph" w:customStyle="1" w:styleId="BoxListBullet">
    <w:name w:val="Box List Bullet"/>
    <w:basedOn w:val="BodyText"/>
    <w:rsid w:val="00F97FB4"/>
    <w:pPr>
      <w:keepNext/>
      <w:numPr>
        <w:numId w:val="1"/>
      </w:numPr>
      <w:spacing w:before="60" w:line="280" w:lineRule="atLeast"/>
    </w:pPr>
    <w:rPr>
      <w:rFonts w:ascii="Arial" w:hAnsi="Arial"/>
      <w:sz w:val="22"/>
    </w:rPr>
  </w:style>
  <w:style w:type="paragraph" w:customStyle="1" w:styleId="BoxListBullet2">
    <w:name w:val="Box List Bullet 2"/>
    <w:basedOn w:val="BodyText"/>
    <w:rsid w:val="00F97FB4"/>
    <w:pPr>
      <w:keepNext/>
      <w:numPr>
        <w:numId w:val="2"/>
      </w:numPr>
      <w:spacing w:before="60" w:line="280" w:lineRule="atLeast"/>
    </w:pPr>
    <w:rPr>
      <w:rFonts w:ascii="Arial" w:hAnsi="Arial"/>
      <w:sz w:val="22"/>
    </w:rPr>
  </w:style>
  <w:style w:type="paragraph" w:customStyle="1" w:styleId="BoxListNumber">
    <w:name w:val="Box List Number"/>
    <w:basedOn w:val="BodyText"/>
    <w:rsid w:val="00F97FB4"/>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F97FB4"/>
    <w:pPr>
      <w:numPr>
        <w:ilvl w:val="1"/>
      </w:numPr>
    </w:pPr>
  </w:style>
  <w:style w:type="paragraph" w:customStyle="1" w:styleId="BoxQuote">
    <w:name w:val="Box Quote"/>
    <w:basedOn w:val="BodyText"/>
    <w:next w:val="Box"/>
    <w:rsid w:val="00F97FB4"/>
    <w:pPr>
      <w:keepNext/>
      <w:spacing w:before="60" w:line="260" w:lineRule="exact"/>
      <w:ind w:left="284"/>
    </w:pPr>
    <w:rPr>
      <w:rFonts w:ascii="Arial" w:hAnsi="Arial"/>
      <w:sz w:val="20"/>
    </w:rPr>
  </w:style>
  <w:style w:type="paragraph" w:customStyle="1" w:styleId="Note">
    <w:name w:val="Note"/>
    <w:basedOn w:val="BodyText"/>
    <w:next w:val="BodyText"/>
    <w:rsid w:val="00F97FB4"/>
    <w:pPr>
      <w:keepLines/>
      <w:spacing w:before="80" w:line="220" w:lineRule="exact"/>
    </w:pPr>
    <w:rPr>
      <w:rFonts w:ascii="Arial" w:hAnsi="Arial"/>
      <w:sz w:val="18"/>
    </w:rPr>
  </w:style>
  <w:style w:type="paragraph" w:customStyle="1" w:styleId="Source">
    <w:name w:val="Source"/>
    <w:basedOn w:val="Note"/>
    <w:next w:val="BodyText"/>
    <w:rsid w:val="00F97FB4"/>
    <w:pPr>
      <w:spacing w:after="120"/>
    </w:pPr>
  </w:style>
  <w:style w:type="paragraph" w:customStyle="1" w:styleId="BoxSource">
    <w:name w:val="Box Source"/>
    <w:basedOn w:val="Source"/>
    <w:next w:val="BodyText"/>
    <w:rsid w:val="00F97FB4"/>
    <w:pPr>
      <w:spacing w:before="180" w:after="0"/>
    </w:pPr>
  </w:style>
  <w:style w:type="paragraph" w:customStyle="1" w:styleId="BoxSpaceAbove">
    <w:name w:val="Box Space Above"/>
    <w:basedOn w:val="BodyText"/>
    <w:rsid w:val="00F97FB4"/>
    <w:pPr>
      <w:keepNext/>
      <w:spacing w:before="360" w:line="80" w:lineRule="exact"/>
      <w:jc w:val="left"/>
    </w:pPr>
  </w:style>
  <w:style w:type="paragraph" w:styleId="Caption">
    <w:name w:val="caption"/>
    <w:basedOn w:val="Normal"/>
    <w:next w:val="BodyText"/>
    <w:rsid w:val="00F97FB4"/>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F97FB4"/>
    <w:pPr>
      <w:spacing w:before="120" w:after="0"/>
      <w:ind w:left="1304" w:hanging="1304"/>
    </w:pPr>
    <w:rPr>
      <w:sz w:val="24"/>
    </w:rPr>
  </w:style>
  <w:style w:type="paragraph" w:customStyle="1" w:styleId="BoxSubtitle">
    <w:name w:val="Box Subtitle"/>
    <w:basedOn w:val="BoxTitle"/>
    <w:next w:val="Normal"/>
    <w:rsid w:val="00F97FB4"/>
    <w:pPr>
      <w:spacing w:after="80" w:line="200" w:lineRule="exact"/>
      <w:ind w:firstLine="0"/>
    </w:pPr>
    <w:rPr>
      <w:b w:val="0"/>
      <w:sz w:val="20"/>
    </w:rPr>
  </w:style>
  <w:style w:type="paragraph" w:customStyle="1" w:styleId="Chapter">
    <w:name w:val="Chapter"/>
    <w:basedOn w:val="Heading1"/>
    <w:next w:val="BodyText"/>
    <w:semiHidden/>
    <w:rsid w:val="00F97FB4"/>
    <w:pPr>
      <w:ind w:left="0" w:firstLine="0"/>
      <w:outlineLvl w:val="9"/>
    </w:pPr>
  </w:style>
  <w:style w:type="paragraph" w:customStyle="1" w:styleId="ChapterSummary">
    <w:name w:val="Chapter Summary"/>
    <w:basedOn w:val="BodyText"/>
    <w:rsid w:val="00F97FB4"/>
    <w:pPr>
      <w:ind w:left="907"/>
    </w:pPr>
    <w:rPr>
      <w:rFonts w:ascii="Arial" w:hAnsi="Arial"/>
      <w:b/>
      <w:sz w:val="22"/>
    </w:rPr>
  </w:style>
  <w:style w:type="character" w:styleId="CommentReference">
    <w:name w:val="annotation reference"/>
    <w:basedOn w:val="DefaultParagraphFont"/>
    <w:semiHidden/>
    <w:rsid w:val="00F97FB4"/>
    <w:rPr>
      <w:b/>
      <w:vanish/>
      <w:color w:val="FF00FF"/>
      <w:sz w:val="20"/>
    </w:rPr>
  </w:style>
  <w:style w:type="paragraph" w:styleId="CommentText">
    <w:name w:val="annotation text"/>
    <w:basedOn w:val="Normal"/>
    <w:link w:val="CommentTextChar"/>
    <w:semiHidden/>
    <w:rsid w:val="00F97FB4"/>
    <w:pPr>
      <w:spacing w:before="120" w:line="240" w:lineRule="atLeast"/>
      <w:ind w:left="567" w:hanging="567"/>
    </w:pPr>
    <w:rPr>
      <w:sz w:val="20"/>
    </w:rPr>
  </w:style>
  <w:style w:type="paragraph" w:customStyle="1" w:styleId="Continued">
    <w:name w:val="Continued"/>
    <w:basedOn w:val="BoxContinued"/>
    <w:next w:val="BodyText"/>
    <w:rsid w:val="00F97FB4"/>
  </w:style>
  <w:style w:type="character" w:customStyle="1" w:styleId="DocumentInfo">
    <w:name w:val="Document Info"/>
    <w:basedOn w:val="DefaultParagraphFont"/>
    <w:semiHidden/>
    <w:rsid w:val="00F97FB4"/>
    <w:rPr>
      <w:rFonts w:ascii="Arial" w:hAnsi="Arial"/>
      <w:sz w:val="14"/>
    </w:rPr>
  </w:style>
  <w:style w:type="character" w:customStyle="1" w:styleId="DraftingNote">
    <w:name w:val="Drafting Note"/>
    <w:basedOn w:val="DefaultParagraphFont"/>
    <w:rsid w:val="00F97FB4"/>
    <w:rPr>
      <w:b/>
      <w:color w:val="FF0000"/>
      <w:sz w:val="24"/>
      <w:u w:val="dotted"/>
    </w:rPr>
  </w:style>
  <w:style w:type="paragraph" w:customStyle="1" w:styleId="Figure">
    <w:name w:val="Figure"/>
    <w:basedOn w:val="BodyText"/>
    <w:rsid w:val="00F97FB4"/>
    <w:pPr>
      <w:keepNext/>
      <w:spacing w:before="120" w:after="120" w:line="240" w:lineRule="atLeast"/>
      <w:jc w:val="center"/>
    </w:pPr>
  </w:style>
  <w:style w:type="paragraph" w:customStyle="1" w:styleId="FigureTitle">
    <w:name w:val="Figure Title"/>
    <w:basedOn w:val="Caption"/>
    <w:next w:val="Subtitle"/>
    <w:rsid w:val="00F97FB4"/>
    <w:rPr>
      <w:sz w:val="24"/>
    </w:rPr>
  </w:style>
  <w:style w:type="paragraph" w:styleId="Subtitle">
    <w:name w:val="Subtitle"/>
    <w:basedOn w:val="Caption"/>
    <w:link w:val="SubtitleChar"/>
    <w:rsid w:val="00F97FB4"/>
    <w:pPr>
      <w:spacing w:before="0" w:line="200" w:lineRule="exact"/>
      <w:ind w:firstLine="0"/>
    </w:pPr>
    <w:rPr>
      <w:b w:val="0"/>
      <w:sz w:val="20"/>
    </w:rPr>
  </w:style>
  <w:style w:type="paragraph" w:customStyle="1" w:styleId="Finding">
    <w:name w:val="Finding"/>
    <w:basedOn w:val="BodyText"/>
    <w:rsid w:val="00F97FB4"/>
    <w:pPr>
      <w:keepLines/>
      <w:spacing w:before="180"/>
    </w:pPr>
    <w:rPr>
      <w:i/>
    </w:rPr>
  </w:style>
  <w:style w:type="paragraph" w:customStyle="1" w:styleId="FindingBullet">
    <w:name w:val="Finding Bullet"/>
    <w:basedOn w:val="Finding"/>
    <w:rsid w:val="00F97FB4"/>
    <w:pPr>
      <w:numPr>
        <w:numId w:val="3"/>
      </w:numPr>
      <w:spacing w:before="80"/>
    </w:pPr>
  </w:style>
  <w:style w:type="paragraph" w:customStyle="1" w:styleId="FindingNoTitle">
    <w:name w:val="Finding NoTitle"/>
    <w:basedOn w:val="Finding"/>
    <w:semiHidden/>
    <w:rsid w:val="00F97FB4"/>
    <w:pPr>
      <w:spacing w:before="240"/>
    </w:pPr>
  </w:style>
  <w:style w:type="paragraph" w:customStyle="1" w:styleId="RecTitle">
    <w:name w:val="Rec Title"/>
    <w:basedOn w:val="BodyText"/>
    <w:next w:val="Normal"/>
    <w:rsid w:val="00F97FB4"/>
    <w:pPr>
      <w:keepNext/>
      <w:keepLines/>
    </w:pPr>
    <w:rPr>
      <w:caps/>
      <w:sz w:val="20"/>
    </w:rPr>
  </w:style>
  <w:style w:type="paragraph" w:customStyle="1" w:styleId="FindingTitle">
    <w:name w:val="Finding Title"/>
    <w:basedOn w:val="RecTitle"/>
    <w:next w:val="Finding"/>
    <w:rsid w:val="00F97FB4"/>
    <w:pPr>
      <w:framePr w:wrap="notBeside" w:hAnchor="text"/>
    </w:pPr>
  </w:style>
  <w:style w:type="character" w:styleId="FootnoteReference">
    <w:name w:val="footnote reference"/>
    <w:basedOn w:val="DefaultParagraphFont"/>
    <w:semiHidden/>
    <w:rsid w:val="00F97FB4"/>
    <w:rPr>
      <w:rFonts w:ascii="Times New Roman" w:hAnsi="Times New Roman"/>
      <w:position w:val="6"/>
      <w:sz w:val="22"/>
      <w:vertAlign w:val="baseline"/>
    </w:rPr>
  </w:style>
  <w:style w:type="paragraph" w:styleId="FootnoteText">
    <w:name w:val="footnote text"/>
    <w:basedOn w:val="BodyText"/>
    <w:rsid w:val="00F97FB4"/>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F97FB4"/>
    <w:pPr>
      <w:spacing w:before="360" w:after="120"/>
    </w:pPr>
    <w:rPr>
      <w:rFonts w:ascii="Arial" w:hAnsi="Arial"/>
      <w:sz w:val="24"/>
    </w:rPr>
  </w:style>
  <w:style w:type="paragraph" w:customStyle="1" w:styleId="Jurisdictioncommentsbodytext">
    <w:name w:val="Jurisdiction comments body text"/>
    <w:rsid w:val="00F97FB4"/>
    <w:pPr>
      <w:spacing w:after="140"/>
      <w:jc w:val="both"/>
    </w:pPr>
    <w:rPr>
      <w:rFonts w:ascii="Arial" w:hAnsi="Arial"/>
      <w:sz w:val="24"/>
      <w:lang w:eastAsia="en-US"/>
    </w:rPr>
  </w:style>
  <w:style w:type="paragraph" w:customStyle="1" w:styleId="Jurisdictioncommentsheading">
    <w:name w:val="Jurisdiction comments heading"/>
    <w:rsid w:val="00F97FB4"/>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F97FB4"/>
    <w:pPr>
      <w:numPr>
        <w:numId w:val="4"/>
      </w:numPr>
      <w:spacing w:after="140"/>
      <w:jc w:val="both"/>
    </w:pPr>
    <w:rPr>
      <w:rFonts w:ascii="Arial" w:hAnsi="Arial"/>
      <w:sz w:val="24"/>
      <w:lang w:eastAsia="en-US"/>
    </w:rPr>
  </w:style>
  <w:style w:type="paragraph" w:styleId="ListBullet">
    <w:name w:val="List Bullet"/>
    <w:basedOn w:val="BodyText"/>
    <w:rsid w:val="00F97FB4"/>
    <w:pPr>
      <w:numPr>
        <w:numId w:val="6"/>
      </w:numPr>
      <w:spacing w:before="120"/>
    </w:pPr>
  </w:style>
  <w:style w:type="paragraph" w:styleId="ListBullet2">
    <w:name w:val="List Bullet 2"/>
    <w:basedOn w:val="BodyText"/>
    <w:rsid w:val="00F97FB4"/>
    <w:pPr>
      <w:numPr>
        <w:numId w:val="8"/>
      </w:numPr>
      <w:spacing w:before="120"/>
    </w:pPr>
  </w:style>
  <w:style w:type="paragraph" w:styleId="ListBullet3">
    <w:name w:val="List Bullet 3"/>
    <w:basedOn w:val="BodyText"/>
    <w:rsid w:val="00F97FB4"/>
    <w:pPr>
      <w:numPr>
        <w:numId w:val="10"/>
      </w:numPr>
      <w:spacing w:before="120"/>
    </w:pPr>
  </w:style>
  <w:style w:type="paragraph" w:styleId="ListNumber">
    <w:name w:val="List Number"/>
    <w:basedOn w:val="BodyText"/>
    <w:rsid w:val="00F97FB4"/>
    <w:pPr>
      <w:numPr>
        <w:numId w:val="32"/>
      </w:numPr>
      <w:spacing w:before="120"/>
    </w:pPr>
  </w:style>
  <w:style w:type="paragraph" w:styleId="ListNumber2">
    <w:name w:val="List Number 2"/>
    <w:basedOn w:val="ListNumber"/>
    <w:rsid w:val="00F97FB4"/>
    <w:pPr>
      <w:numPr>
        <w:ilvl w:val="1"/>
      </w:numPr>
    </w:pPr>
  </w:style>
  <w:style w:type="paragraph" w:styleId="ListNumber3">
    <w:name w:val="List Number 3"/>
    <w:basedOn w:val="ListNumber2"/>
    <w:rsid w:val="00F97FB4"/>
    <w:pPr>
      <w:numPr>
        <w:ilvl w:val="2"/>
      </w:numPr>
    </w:pPr>
  </w:style>
  <w:style w:type="character" w:customStyle="1" w:styleId="NoteLabel">
    <w:name w:val="Note Label"/>
    <w:basedOn w:val="DefaultParagraphFont"/>
    <w:rsid w:val="00F97FB4"/>
    <w:rPr>
      <w:rFonts w:ascii="Arial" w:hAnsi="Arial"/>
      <w:b/>
      <w:position w:val="6"/>
      <w:sz w:val="18"/>
    </w:rPr>
  </w:style>
  <w:style w:type="paragraph" w:customStyle="1" w:styleId="PartDivider">
    <w:name w:val="Part Divider"/>
    <w:basedOn w:val="BodyText"/>
    <w:next w:val="BodyText"/>
    <w:semiHidden/>
    <w:rsid w:val="00F97FB4"/>
    <w:pPr>
      <w:spacing w:before="0" w:line="40" w:lineRule="exact"/>
      <w:jc w:val="right"/>
    </w:pPr>
    <w:rPr>
      <w:smallCaps/>
      <w:sz w:val="16"/>
    </w:rPr>
  </w:style>
  <w:style w:type="paragraph" w:customStyle="1" w:styleId="PartNumber">
    <w:name w:val="Part Number"/>
    <w:basedOn w:val="BodyText"/>
    <w:next w:val="BodyText"/>
    <w:semiHidden/>
    <w:rsid w:val="00F97FB4"/>
    <w:pPr>
      <w:spacing w:before="4000" w:line="320" w:lineRule="exact"/>
      <w:ind w:left="6634"/>
      <w:jc w:val="right"/>
    </w:pPr>
    <w:rPr>
      <w:smallCaps/>
      <w:spacing w:val="60"/>
      <w:sz w:val="32"/>
    </w:rPr>
  </w:style>
  <w:style w:type="paragraph" w:customStyle="1" w:styleId="PartTitle">
    <w:name w:val="Part Title"/>
    <w:basedOn w:val="BodyText"/>
    <w:semiHidden/>
    <w:rsid w:val="00F97FB4"/>
    <w:pPr>
      <w:spacing w:before="160" w:after="1360" w:line="520" w:lineRule="exact"/>
      <w:ind w:right="2381"/>
      <w:jc w:val="right"/>
    </w:pPr>
    <w:rPr>
      <w:smallCaps/>
      <w:sz w:val="52"/>
    </w:rPr>
  </w:style>
  <w:style w:type="paragraph" w:styleId="Quote">
    <w:name w:val="Quote"/>
    <w:basedOn w:val="BodyText"/>
    <w:next w:val="BodyText"/>
    <w:qFormat/>
    <w:rsid w:val="00F97FB4"/>
    <w:pPr>
      <w:spacing w:before="120" w:line="280" w:lineRule="exact"/>
      <w:ind w:left="340"/>
    </w:pPr>
    <w:rPr>
      <w:sz w:val="24"/>
    </w:rPr>
  </w:style>
  <w:style w:type="paragraph" w:customStyle="1" w:styleId="QuoteBullet">
    <w:name w:val="Quote Bullet"/>
    <w:basedOn w:val="Quote"/>
    <w:rsid w:val="00F97FB4"/>
    <w:pPr>
      <w:numPr>
        <w:numId w:val="14"/>
      </w:numPr>
    </w:pPr>
  </w:style>
  <w:style w:type="paragraph" w:customStyle="1" w:styleId="Rec">
    <w:name w:val="Rec"/>
    <w:basedOn w:val="BodyText"/>
    <w:rsid w:val="00F97FB4"/>
    <w:pPr>
      <w:keepLines/>
      <w:spacing w:before="180"/>
    </w:pPr>
    <w:rPr>
      <w:b/>
      <w:i/>
    </w:rPr>
  </w:style>
  <w:style w:type="paragraph" w:customStyle="1" w:styleId="RecBullet">
    <w:name w:val="Rec Bullet"/>
    <w:basedOn w:val="Rec"/>
    <w:rsid w:val="00F97FB4"/>
    <w:pPr>
      <w:numPr>
        <w:numId w:val="15"/>
      </w:numPr>
      <w:spacing w:before="80"/>
    </w:pPr>
  </w:style>
  <w:style w:type="paragraph" w:customStyle="1" w:styleId="RecB">
    <w:name w:val="RecB"/>
    <w:basedOn w:val="Normal"/>
    <w:semiHidden/>
    <w:rsid w:val="00F97FB4"/>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97FB4"/>
    <w:pPr>
      <w:numPr>
        <w:numId w:val="16"/>
      </w:numPr>
      <w:spacing w:before="80"/>
    </w:pPr>
  </w:style>
  <w:style w:type="paragraph" w:customStyle="1" w:styleId="RecBNoTitle">
    <w:name w:val="RecB NoTitle"/>
    <w:basedOn w:val="RecB"/>
    <w:semiHidden/>
    <w:rsid w:val="00F97FB4"/>
    <w:pPr>
      <w:spacing w:before="240"/>
    </w:pPr>
  </w:style>
  <w:style w:type="paragraph" w:customStyle="1" w:styleId="Reference">
    <w:name w:val="Reference"/>
    <w:basedOn w:val="BodyText"/>
    <w:rsid w:val="00F97FB4"/>
    <w:pPr>
      <w:spacing w:before="120"/>
      <w:ind w:left="340" w:hanging="340"/>
    </w:pPr>
  </w:style>
  <w:style w:type="paragraph" w:customStyle="1" w:styleId="SequenceInfo">
    <w:name w:val="Sequence Info"/>
    <w:basedOn w:val="BodyText"/>
    <w:semiHidden/>
    <w:rsid w:val="00F97FB4"/>
    <w:rPr>
      <w:vanish/>
      <w:sz w:val="16"/>
    </w:rPr>
  </w:style>
  <w:style w:type="paragraph" w:customStyle="1" w:styleId="SideNote">
    <w:name w:val="Side Note"/>
    <w:basedOn w:val="BodyText"/>
    <w:next w:val="BodyText"/>
    <w:semiHidden/>
    <w:rsid w:val="00F97FB4"/>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F97FB4"/>
    <w:pPr>
      <w:framePr w:wrap="around"/>
      <w:numPr>
        <w:numId w:val="17"/>
      </w:numPr>
      <w:tabs>
        <w:tab w:val="left" w:pos="227"/>
      </w:tabs>
    </w:pPr>
  </w:style>
  <w:style w:type="paragraph" w:customStyle="1" w:styleId="SideNoteGraphic">
    <w:name w:val="Side Note Graphic"/>
    <w:basedOn w:val="SideNote"/>
    <w:next w:val="BodyText"/>
    <w:semiHidden/>
    <w:rsid w:val="00F97FB4"/>
    <w:pPr>
      <w:framePr w:wrap="around"/>
    </w:pPr>
  </w:style>
  <w:style w:type="paragraph" w:customStyle="1" w:styleId="TableBodyText">
    <w:name w:val="Table Body Text"/>
    <w:basedOn w:val="BodyText"/>
    <w:rsid w:val="00F97FB4"/>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F97FB4"/>
    <w:pPr>
      <w:numPr>
        <w:numId w:val="18"/>
      </w:numPr>
      <w:jc w:val="left"/>
    </w:pPr>
  </w:style>
  <w:style w:type="paragraph" w:customStyle="1" w:styleId="TableColumnHeading">
    <w:name w:val="Table Column Heading"/>
    <w:basedOn w:val="TableBodyText"/>
    <w:rsid w:val="00F97FB4"/>
    <w:pPr>
      <w:spacing w:before="80" w:after="80"/>
    </w:pPr>
    <w:rPr>
      <w:i/>
    </w:rPr>
  </w:style>
  <w:style w:type="paragraph" w:styleId="TOC2">
    <w:name w:val="toc 2"/>
    <w:basedOn w:val="BodyText"/>
    <w:semiHidden/>
    <w:rsid w:val="00F97FB4"/>
    <w:pPr>
      <w:tabs>
        <w:tab w:val="right" w:pos="8789"/>
      </w:tabs>
      <w:ind w:left="510" w:right="851" w:hanging="510"/>
      <w:jc w:val="left"/>
    </w:pPr>
    <w:rPr>
      <w:b/>
    </w:rPr>
  </w:style>
  <w:style w:type="paragraph" w:styleId="TOC3">
    <w:name w:val="toc 3"/>
    <w:basedOn w:val="TOC2"/>
    <w:semiHidden/>
    <w:rsid w:val="00F97FB4"/>
    <w:pPr>
      <w:spacing w:before="60"/>
      <w:ind w:left="1190" w:hanging="680"/>
    </w:pPr>
    <w:rPr>
      <w:b w:val="0"/>
    </w:rPr>
  </w:style>
  <w:style w:type="paragraph" w:styleId="TableofFigures">
    <w:name w:val="table of figures"/>
    <w:basedOn w:val="TOC3"/>
    <w:next w:val="BodyText"/>
    <w:semiHidden/>
    <w:rsid w:val="00F97FB4"/>
    <w:pPr>
      <w:ind w:left="737" w:hanging="737"/>
    </w:pPr>
  </w:style>
  <w:style w:type="paragraph" w:customStyle="1" w:styleId="TableTitle">
    <w:name w:val="Table Title"/>
    <w:basedOn w:val="Caption"/>
    <w:next w:val="Subtitle"/>
    <w:rsid w:val="00F97FB4"/>
    <w:rPr>
      <w:sz w:val="24"/>
    </w:rPr>
  </w:style>
  <w:style w:type="paragraph" w:customStyle="1" w:styleId="TableUnitsRow">
    <w:name w:val="Table Units Row"/>
    <w:basedOn w:val="TableBodyText"/>
    <w:rsid w:val="00F97FB4"/>
    <w:pPr>
      <w:spacing w:before="80" w:after="80"/>
    </w:pPr>
  </w:style>
  <w:style w:type="paragraph" w:styleId="TOC1">
    <w:name w:val="toc 1"/>
    <w:basedOn w:val="Normal"/>
    <w:next w:val="TOC2"/>
    <w:semiHidden/>
    <w:rsid w:val="00F97FB4"/>
    <w:pPr>
      <w:tabs>
        <w:tab w:val="right" w:pos="8789"/>
      </w:tabs>
      <w:spacing w:before="480" w:after="60" w:line="320" w:lineRule="exact"/>
      <w:ind w:left="1191" w:right="851" w:hanging="1191"/>
    </w:pPr>
    <w:rPr>
      <w:b/>
      <w:caps/>
    </w:rPr>
  </w:style>
  <w:style w:type="paragraph" w:styleId="TOC4">
    <w:name w:val="toc 4"/>
    <w:basedOn w:val="TOC3"/>
    <w:semiHidden/>
    <w:rsid w:val="00F97FB4"/>
    <w:pPr>
      <w:ind w:left="1191" w:firstLine="0"/>
    </w:pPr>
  </w:style>
  <w:style w:type="paragraph" w:customStyle="1" w:styleId="RecBBullet2">
    <w:name w:val="RecB Bullet 2"/>
    <w:basedOn w:val="ListBullet2"/>
    <w:semiHidden/>
    <w:rsid w:val="00F97FB4"/>
    <w:pPr>
      <w:pBdr>
        <w:left w:val="single" w:sz="24" w:space="29" w:color="C0C0C0"/>
      </w:pBdr>
    </w:pPr>
    <w:rPr>
      <w:b/>
      <w:i/>
    </w:rPr>
  </w:style>
  <w:style w:type="paragraph" w:styleId="BalloonText">
    <w:name w:val="Balloon Text"/>
    <w:basedOn w:val="Normal"/>
    <w:link w:val="BalloonTextChar"/>
    <w:rsid w:val="00F97FB4"/>
    <w:rPr>
      <w:rFonts w:ascii="Tahoma" w:hAnsi="Tahoma" w:cs="Tahoma"/>
      <w:sz w:val="16"/>
      <w:szCs w:val="16"/>
    </w:rPr>
  </w:style>
  <w:style w:type="character" w:customStyle="1" w:styleId="BalloonTextChar">
    <w:name w:val="Balloon Text Char"/>
    <w:basedOn w:val="DefaultParagraphFont"/>
    <w:link w:val="BalloonText"/>
    <w:rsid w:val="00F97FB4"/>
    <w:rPr>
      <w:rFonts w:ascii="Tahoma" w:hAnsi="Tahoma" w:cs="Tahoma"/>
      <w:sz w:val="16"/>
      <w:szCs w:val="16"/>
    </w:rPr>
  </w:style>
  <w:style w:type="character" w:customStyle="1" w:styleId="SubtitleChar">
    <w:name w:val="Subtitle Char"/>
    <w:basedOn w:val="DefaultParagraphFont"/>
    <w:link w:val="Subtitle"/>
    <w:rsid w:val="00F97FB4"/>
    <w:rPr>
      <w:rFonts w:ascii="Arial" w:hAnsi="Arial"/>
      <w:szCs w:val="24"/>
    </w:rPr>
  </w:style>
  <w:style w:type="paragraph" w:customStyle="1" w:styleId="BoxListBullet3">
    <w:name w:val="Box List Bullet 3"/>
    <w:basedOn w:val="ListBullet3"/>
    <w:rsid w:val="00F97FB4"/>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F97FB4"/>
    <w:rPr>
      <w:i/>
      <w:iCs/>
    </w:rPr>
  </w:style>
  <w:style w:type="paragraph" w:customStyle="1" w:styleId="BoxQuoteBullet">
    <w:name w:val="Box Quote Bullet"/>
    <w:basedOn w:val="BoxQuote"/>
    <w:next w:val="Box"/>
    <w:rsid w:val="00F97FB4"/>
    <w:pPr>
      <w:numPr>
        <w:numId w:val="45"/>
      </w:numPr>
      <w:ind w:left="568" w:hanging="284"/>
    </w:pPr>
  </w:style>
  <w:style w:type="paragraph" w:customStyle="1" w:styleId="InformationRequestBullet">
    <w:name w:val="Information Request Bullet"/>
    <w:basedOn w:val="ListBullet"/>
    <w:next w:val="BodyText"/>
    <w:rsid w:val="00F97FB4"/>
    <w:pPr>
      <w:numPr>
        <w:numId w:val="46"/>
      </w:numPr>
      <w:ind w:left="340" w:hanging="340"/>
    </w:pPr>
    <w:rPr>
      <w:rFonts w:ascii="Arial" w:hAnsi="Arial"/>
      <w:i/>
      <w:sz w:val="24"/>
    </w:rPr>
  </w:style>
  <w:style w:type="paragraph" w:customStyle="1" w:styleId="BoxSpaceBelow">
    <w:name w:val="Box Space Below"/>
    <w:basedOn w:val="Box"/>
    <w:rsid w:val="00F97FB4"/>
    <w:pPr>
      <w:keepNext w:val="0"/>
      <w:spacing w:before="60" w:after="60" w:line="80" w:lineRule="exact"/>
    </w:pPr>
    <w:rPr>
      <w:sz w:val="14"/>
    </w:rPr>
  </w:style>
  <w:style w:type="paragraph" w:customStyle="1" w:styleId="BoxSpace">
    <w:name w:val="Box Space"/>
    <w:basedOn w:val="BodyText"/>
    <w:rsid w:val="00AC1E37"/>
    <w:pPr>
      <w:keepNext/>
      <w:spacing w:before="360" w:line="80" w:lineRule="exact"/>
      <w:jc w:val="left"/>
    </w:pPr>
  </w:style>
  <w:style w:type="character" w:customStyle="1" w:styleId="Heading3Char">
    <w:name w:val="Heading 3 Char"/>
    <w:basedOn w:val="DefaultParagraphFont"/>
    <w:link w:val="Heading3"/>
    <w:rsid w:val="00AC1E37"/>
    <w:rPr>
      <w:rFonts w:ascii="Arial" w:hAnsi="Arial"/>
      <w:b/>
      <w:sz w:val="26"/>
    </w:rPr>
  </w:style>
  <w:style w:type="character" w:styleId="Hyperlink">
    <w:name w:val="Hyperlink"/>
    <w:basedOn w:val="DefaultParagraphFont"/>
    <w:rsid w:val="00AC1E37"/>
    <w:rPr>
      <w:color w:val="0000FF" w:themeColor="hyperlink"/>
      <w:u w:val="single"/>
    </w:rPr>
  </w:style>
  <w:style w:type="table" w:styleId="TableGrid">
    <w:name w:val="Table Grid"/>
    <w:basedOn w:val="TableNormal"/>
    <w:rsid w:val="00130C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3222D"/>
    <w:rPr>
      <w:color w:val="800080" w:themeColor="followedHyperlink"/>
      <w:u w:val="single"/>
    </w:rPr>
  </w:style>
  <w:style w:type="paragraph" w:styleId="CommentSubject">
    <w:name w:val="annotation subject"/>
    <w:basedOn w:val="CommentText"/>
    <w:next w:val="CommentText"/>
    <w:link w:val="CommentSubjectChar"/>
    <w:rsid w:val="0015045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5045F"/>
    <w:rPr>
      <w:szCs w:val="24"/>
    </w:rPr>
  </w:style>
  <w:style w:type="character" w:customStyle="1" w:styleId="CommentSubjectChar">
    <w:name w:val="Comment Subject Char"/>
    <w:basedOn w:val="CommentTextChar"/>
    <w:link w:val="CommentSubject"/>
    <w:rsid w:val="0015045F"/>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7000">
      <w:bodyDiv w:val="1"/>
      <w:marLeft w:val="0"/>
      <w:marRight w:val="0"/>
      <w:marTop w:val="0"/>
      <w:marBottom w:val="0"/>
      <w:divBdr>
        <w:top w:val="none" w:sz="0" w:space="0" w:color="auto"/>
        <w:left w:val="none" w:sz="0" w:space="0" w:color="auto"/>
        <w:bottom w:val="none" w:sz="0" w:space="0" w:color="auto"/>
        <w:right w:val="none" w:sz="0" w:space="0" w:color="auto"/>
      </w:divBdr>
    </w:div>
    <w:div w:id="85077869">
      <w:bodyDiv w:val="1"/>
      <w:marLeft w:val="0"/>
      <w:marRight w:val="0"/>
      <w:marTop w:val="0"/>
      <w:marBottom w:val="0"/>
      <w:divBdr>
        <w:top w:val="none" w:sz="0" w:space="0" w:color="auto"/>
        <w:left w:val="none" w:sz="0" w:space="0" w:color="auto"/>
        <w:bottom w:val="none" w:sz="0" w:space="0" w:color="auto"/>
        <w:right w:val="none" w:sz="0" w:space="0" w:color="auto"/>
      </w:divBdr>
    </w:div>
    <w:div w:id="90510755">
      <w:bodyDiv w:val="1"/>
      <w:marLeft w:val="0"/>
      <w:marRight w:val="0"/>
      <w:marTop w:val="0"/>
      <w:marBottom w:val="0"/>
      <w:divBdr>
        <w:top w:val="none" w:sz="0" w:space="0" w:color="auto"/>
        <w:left w:val="none" w:sz="0" w:space="0" w:color="auto"/>
        <w:bottom w:val="none" w:sz="0" w:space="0" w:color="auto"/>
        <w:right w:val="none" w:sz="0" w:space="0" w:color="auto"/>
      </w:divBdr>
    </w:div>
    <w:div w:id="137460860">
      <w:bodyDiv w:val="1"/>
      <w:marLeft w:val="0"/>
      <w:marRight w:val="0"/>
      <w:marTop w:val="0"/>
      <w:marBottom w:val="0"/>
      <w:divBdr>
        <w:top w:val="none" w:sz="0" w:space="0" w:color="auto"/>
        <w:left w:val="none" w:sz="0" w:space="0" w:color="auto"/>
        <w:bottom w:val="none" w:sz="0" w:space="0" w:color="auto"/>
        <w:right w:val="none" w:sz="0" w:space="0" w:color="auto"/>
      </w:divBdr>
    </w:div>
    <w:div w:id="142937674">
      <w:bodyDiv w:val="1"/>
      <w:marLeft w:val="0"/>
      <w:marRight w:val="0"/>
      <w:marTop w:val="0"/>
      <w:marBottom w:val="0"/>
      <w:divBdr>
        <w:top w:val="none" w:sz="0" w:space="0" w:color="auto"/>
        <w:left w:val="none" w:sz="0" w:space="0" w:color="auto"/>
        <w:bottom w:val="none" w:sz="0" w:space="0" w:color="auto"/>
        <w:right w:val="none" w:sz="0" w:space="0" w:color="auto"/>
      </w:divBdr>
    </w:div>
    <w:div w:id="243950917">
      <w:bodyDiv w:val="1"/>
      <w:marLeft w:val="0"/>
      <w:marRight w:val="0"/>
      <w:marTop w:val="0"/>
      <w:marBottom w:val="0"/>
      <w:divBdr>
        <w:top w:val="none" w:sz="0" w:space="0" w:color="auto"/>
        <w:left w:val="none" w:sz="0" w:space="0" w:color="auto"/>
        <w:bottom w:val="none" w:sz="0" w:space="0" w:color="auto"/>
        <w:right w:val="none" w:sz="0" w:space="0" w:color="auto"/>
      </w:divBdr>
    </w:div>
    <w:div w:id="245187952">
      <w:bodyDiv w:val="1"/>
      <w:marLeft w:val="0"/>
      <w:marRight w:val="0"/>
      <w:marTop w:val="0"/>
      <w:marBottom w:val="0"/>
      <w:divBdr>
        <w:top w:val="none" w:sz="0" w:space="0" w:color="auto"/>
        <w:left w:val="none" w:sz="0" w:space="0" w:color="auto"/>
        <w:bottom w:val="none" w:sz="0" w:space="0" w:color="auto"/>
        <w:right w:val="none" w:sz="0" w:space="0" w:color="auto"/>
      </w:divBdr>
    </w:div>
    <w:div w:id="456218408">
      <w:bodyDiv w:val="1"/>
      <w:marLeft w:val="0"/>
      <w:marRight w:val="0"/>
      <w:marTop w:val="0"/>
      <w:marBottom w:val="0"/>
      <w:divBdr>
        <w:top w:val="none" w:sz="0" w:space="0" w:color="auto"/>
        <w:left w:val="none" w:sz="0" w:space="0" w:color="auto"/>
        <w:bottom w:val="none" w:sz="0" w:space="0" w:color="auto"/>
        <w:right w:val="none" w:sz="0" w:space="0" w:color="auto"/>
      </w:divBdr>
    </w:div>
    <w:div w:id="477964124">
      <w:bodyDiv w:val="1"/>
      <w:marLeft w:val="0"/>
      <w:marRight w:val="0"/>
      <w:marTop w:val="0"/>
      <w:marBottom w:val="0"/>
      <w:divBdr>
        <w:top w:val="none" w:sz="0" w:space="0" w:color="auto"/>
        <w:left w:val="none" w:sz="0" w:space="0" w:color="auto"/>
        <w:bottom w:val="none" w:sz="0" w:space="0" w:color="auto"/>
        <w:right w:val="none" w:sz="0" w:space="0" w:color="auto"/>
      </w:divBdr>
    </w:div>
    <w:div w:id="564100449">
      <w:bodyDiv w:val="1"/>
      <w:marLeft w:val="0"/>
      <w:marRight w:val="0"/>
      <w:marTop w:val="0"/>
      <w:marBottom w:val="0"/>
      <w:divBdr>
        <w:top w:val="none" w:sz="0" w:space="0" w:color="auto"/>
        <w:left w:val="none" w:sz="0" w:space="0" w:color="auto"/>
        <w:bottom w:val="none" w:sz="0" w:space="0" w:color="auto"/>
        <w:right w:val="none" w:sz="0" w:space="0" w:color="auto"/>
      </w:divBdr>
    </w:div>
    <w:div w:id="611476056">
      <w:bodyDiv w:val="1"/>
      <w:marLeft w:val="0"/>
      <w:marRight w:val="0"/>
      <w:marTop w:val="0"/>
      <w:marBottom w:val="0"/>
      <w:divBdr>
        <w:top w:val="none" w:sz="0" w:space="0" w:color="auto"/>
        <w:left w:val="none" w:sz="0" w:space="0" w:color="auto"/>
        <w:bottom w:val="none" w:sz="0" w:space="0" w:color="auto"/>
        <w:right w:val="none" w:sz="0" w:space="0" w:color="auto"/>
      </w:divBdr>
    </w:div>
    <w:div w:id="657734545">
      <w:bodyDiv w:val="1"/>
      <w:marLeft w:val="0"/>
      <w:marRight w:val="0"/>
      <w:marTop w:val="0"/>
      <w:marBottom w:val="0"/>
      <w:divBdr>
        <w:top w:val="none" w:sz="0" w:space="0" w:color="auto"/>
        <w:left w:val="none" w:sz="0" w:space="0" w:color="auto"/>
        <w:bottom w:val="none" w:sz="0" w:space="0" w:color="auto"/>
        <w:right w:val="none" w:sz="0" w:space="0" w:color="auto"/>
      </w:divBdr>
    </w:div>
    <w:div w:id="668098243">
      <w:bodyDiv w:val="1"/>
      <w:marLeft w:val="0"/>
      <w:marRight w:val="0"/>
      <w:marTop w:val="0"/>
      <w:marBottom w:val="0"/>
      <w:divBdr>
        <w:top w:val="none" w:sz="0" w:space="0" w:color="auto"/>
        <w:left w:val="none" w:sz="0" w:space="0" w:color="auto"/>
        <w:bottom w:val="none" w:sz="0" w:space="0" w:color="auto"/>
        <w:right w:val="none" w:sz="0" w:space="0" w:color="auto"/>
      </w:divBdr>
    </w:div>
    <w:div w:id="689574193">
      <w:bodyDiv w:val="1"/>
      <w:marLeft w:val="0"/>
      <w:marRight w:val="0"/>
      <w:marTop w:val="0"/>
      <w:marBottom w:val="0"/>
      <w:divBdr>
        <w:top w:val="none" w:sz="0" w:space="0" w:color="auto"/>
        <w:left w:val="none" w:sz="0" w:space="0" w:color="auto"/>
        <w:bottom w:val="none" w:sz="0" w:space="0" w:color="auto"/>
        <w:right w:val="none" w:sz="0" w:space="0" w:color="auto"/>
      </w:divBdr>
    </w:div>
    <w:div w:id="743456085">
      <w:bodyDiv w:val="1"/>
      <w:marLeft w:val="0"/>
      <w:marRight w:val="0"/>
      <w:marTop w:val="0"/>
      <w:marBottom w:val="0"/>
      <w:divBdr>
        <w:top w:val="none" w:sz="0" w:space="0" w:color="auto"/>
        <w:left w:val="none" w:sz="0" w:space="0" w:color="auto"/>
        <w:bottom w:val="none" w:sz="0" w:space="0" w:color="auto"/>
        <w:right w:val="none" w:sz="0" w:space="0" w:color="auto"/>
      </w:divBdr>
    </w:div>
    <w:div w:id="769548944">
      <w:bodyDiv w:val="1"/>
      <w:marLeft w:val="0"/>
      <w:marRight w:val="0"/>
      <w:marTop w:val="0"/>
      <w:marBottom w:val="0"/>
      <w:divBdr>
        <w:top w:val="none" w:sz="0" w:space="0" w:color="auto"/>
        <w:left w:val="none" w:sz="0" w:space="0" w:color="auto"/>
        <w:bottom w:val="none" w:sz="0" w:space="0" w:color="auto"/>
        <w:right w:val="none" w:sz="0" w:space="0" w:color="auto"/>
      </w:divBdr>
    </w:div>
    <w:div w:id="866261722">
      <w:bodyDiv w:val="1"/>
      <w:marLeft w:val="0"/>
      <w:marRight w:val="0"/>
      <w:marTop w:val="0"/>
      <w:marBottom w:val="0"/>
      <w:divBdr>
        <w:top w:val="none" w:sz="0" w:space="0" w:color="auto"/>
        <w:left w:val="none" w:sz="0" w:space="0" w:color="auto"/>
        <w:bottom w:val="none" w:sz="0" w:space="0" w:color="auto"/>
        <w:right w:val="none" w:sz="0" w:space="0" w:color="auto"/>
      </w:divBdr>
    </w:div>
    <w:div w:id="912085859">
      <w:bodyDiv w:val="1"/>
      <w:marLeft w:val="0"/>
      <w:marRight w:val="0"/>
      <w:marTop w:val="0"/>
      <w:marBottom w:val="0"/>
      <w:divBdr>
        <w:top w:val="none" w:sz="0" w:space="0" w:color="auto"/>
        <w:left w:val="none" w:sz="0" w:space="0" w:color="auto"/>
        <w:bottom w:val="none" w:sz="0" w:space="0" w:color="auto"/>
        <w:right w:val="none" w:sz="0" w:space="0" w:color="auto"/>
      </w:divBdr>
    </w:div>
    <w:div w:id="947200457">
      <w:bodyDiv w:val="1"/>
      <w:marLeft w:val="0"/>
      <w:marRight w:val="0"/>
      <w:marTop w:val="0"/>
      <w:marBottom w:val="0"/>
      <w:divBdr>
        <w:top w:val="none" w:sz="0" w:space="0" w:color="auto"/>
        <w:left w:val="none" w:sz="0" w:space="0" w:color="auto"/>
        <w:bottom w:val="none" w:sz="0" w:space="0" w:color="auto"/>
        <w:right w:val="none" w:sz="0" w:space="0" w:color="auto"/>
      </w:divBdr>
    </w:div>
    <w:div w:id="988048091">
      <w:bodyDiv w:val="1"/>
      <w:marLeft w:val="0"/>
      <w:marRight w:val="0"/>
      <w:marTop w:val="0"/>
      <w:marBottom w:val="0"/>
      <w:divBdr>
        <w:top w:val="none" w:sz="0" w:space="0" w:color="auto"/>
        <w:left w:val="none" w:sz="0" w:space="0" w:color="auto"/>
        <w:bottom w:val="none" w:sz="0" w:space="0" w:color="auto"/>
        <w:right w:val="none" w:sz="0" w:space="0" w:color="auto"/>
      </w:divBdr>
    </w:div>
    <w:div w:id="1000623925">
      <w:bodyDiv w:val="1"/>
      <w:marLeft w:val="0"/>
      <w:marRight w:val="0"/>
      <w:marTop w:val="0"/>
      <w:marBottom w:val="0"/>
      <w:divBdr>
        <w:top w:val="none" w:sz="0" w:space="0" w:color="auto"/>
        <w:left w:val="none" w:sz="0" w:space="0" w:color="auto"/>
        <w:bottom w:val="none" w:sz="0" w:space="0" w:color="auto"/>
        <w:right w:val="none" w:sz="0" w:space="0" w:color="auto"/>
      </w:divBdr>
    </w:div>
    <w:div w:id="1253465515">
      <w:bodyDiv w:val="1"/>
      <w:marLeft w:val="0"/>
      <w:marRight w:val="0"/>
      <w:marTop w:val="0"/>
      <w:marBottom w:val="0"/>
      <w:divBdr>
        <w:top w:val="none" w:sz="0" w:space="0" w:color="auto"/>
        <w:left w:val="none" w:sz="0" w:space="0" w:color="auto"/>
        <w:bottom w:val="none" w:sz="0" w:space="0" w:color="auto"/>
        <w:right w:val="none" w:sz="0" w:space="0" w:color="auto"/>
      </w:divBdr>
    </w:div>
    <w:div w:id="1341465286">
      <w:bodyDiv w:val="1"/>
      <w:marLeft w:val="0"/>
      <w:marRight w:val="0"/>
      <w:marTop w:val="0"/>
      <w:marBottom w:val="0"/>
      <w:divBdr>
        <w:top w:val="none" w:sz="0" w:space="0" w:color="auto"/>
        <w:left w:val="none" w:sz="0" w:space="0" w:color="auto"/>
        <w:bottom w:val="none" w:sz="0" w:space="0" w:color="auto"/>
        <w:right w:val="none" w:sz="0" w:space="0" w:color="auto"/>
      </w:divBdr>
    </w:div>
    <w:div w:id="1363748298">
      <w:bodyDiv w:val="1"/>
      <w:marLeft w:val="0"/>
      <w:marRight w:val="0"/>
      <w:marTop w:val="0"/>
      <w:marBottom w:val="0"/>
      <w:divBdr>
        <w:top w:val="none" w:sz="0" w:space="0" w:color="auto"/>
        <w:left w:val="none" w:sz="0" w:space="0" w:color="auto"/>
        <w:bottom w:val="none" w:sz="0" w:space="0" w:color="auto"/>
        <w:right w:val="none" w:sz="0" w:space="0" w:color="auto"/>
      </w:divBdr>
    </w:div>
    <w:div w:id="1401322355">
      <w:bodyDiv w:val="1"/>
      <w:marLeft w:val="0"/>
      <w:marRight w:val="0"/>
      <w:marTop w:val="0"/>
      <w:marBottom w:val="0"/>
      <w:divBdr>
        <w:top w:val="none" w:sz="0" w:space="0" w:color="auto"/>
        <w:left w:val="none" w:sz="0" w:space="0" w:color="auto"/>
        <w:bottom w:val="none" w:sz="0" w:space="0" w:color="auto"/>
        <w:right w:val="none" w:sz="0" w:space="0" w:color="auto"/>
      </w:divBdr>
    </w:div>
    <w:div w:id="1435786419">
      <w:bodyDiv w:val="1"/>
      <w:marLeft w:val="0"/>
      <w:marRight w:val="0"/>
      <w:marTop w:val="0"/>
      <w:marBottom w:val="0"/>
      <w:divBdr>
        <w:top w:val="none" w:sz="0" w:space="0" w:color="auto"/>
        <w:left w:val="none" w:sz="0" w:space="0" w:color="auto"/>
        <w:bottom w:val="none" w:sz="0" w:space="0" w:color="auto"/>
        <w:right w:val="none" w:sz="0" w:space="0" w:color="auto"/>
      </w:divBdr>
    </w:div>
    <w:div w:id="1500072705">
      <w:bodyDiv w:val="1"/>
      <w:marLeft w:val="0"/>
      <w:marRight w:val="0"/>
      <w:marTop w:val="0"/>
      <w:marBottom w:val="0"/>
      <w:divBdr>
        <w:top w:val="none" w:sz="0" w:space="0" w:color="auto"/>
        <w:left w:val="none" w:sz="0" w:space="0" w:color="auto"/>
        <w:bottom w:val="none" w:sz="0" w:space="0" w:color="auto"/>
        <w:right w:val="none" w:sz="0" w:space="0" w:color="auto"/>
      </w:divBdr>
    </w:div>
    <w:div w:id="1582913189">
      <w:bodyDiv w:val="1"/>
      <w:marLeft w:val="0"/>
      <w:marRight w:val="0"/>
      <w:marTop w:val="0"/>
      <w:marBottom w:val="0"/>
      <w:divBdr>
        <w:top w:val="none" w:sz="0" w:space="0" w:color="auto"/>
        <w:left w:val="none" w:sz="0" w:space="0" w:color="auto"/>
        <w:bottom w:val="none" w:sz="0" w:space="0" w:color="auto"/>
        <w:right w:val="none" w:sz="0" w:space="0" w:color="auto"/>
      </w:divBdr>
    </w:div>
    <w:div w:id="1632785630">
      <w:bodyDiv w:val="1"/>
      <w:marLeft w:val="0"/>
      <w:marRight w:val="0"/>
      <w:marTop w:val="0"/>
      <w:marBottom w:val="0"/>
      <w:divBdr>
        <w:top w:val="none" w:sz="0" w:space="0" w:color="auto"/>
        <w:left w:val="none" w:sz="0" w:space="0" w:color="auto"/>
        <w:bottom w:val="none" w:sz="0" w:space="0" w:color="auto"/>
        <w:right w:val="none" w:sz="0" w:space="0" w:color="auto"/>
      </w:divBdr>
    </w:div>
    <w:div w:id="1659335140">
      <w:bodyDiv w:val="1"/>
      <w:marLeft w:val="0"/>
      <w:marRight w:val="0"/>
      <w:marTop w:val="0"/>
      <w:marBottom w:val="0"/>
      <w:divBdr>
        <w:top w:val="none" w:sz="0" w:space="0" w:color="auto"/>
        <w:left w:val="none" w:sz="0" w:space="0" w:color="auto"/>
        <w:bottom w:val="none" w:sz="0" w:space="0" w:color="auto"/>
        <w:right w:val="none" w:sz="0" w:space="0" w:color="auto"/>
      </w:divBdr>
    </w:div>
    <w:div w:id="1678269273">
      <w:bodyDiv w:val="1"/>
      <w:marLeft w:val="0"/>
      <w:marRight w:val="0"/>
      <w:marTop w:val="0"/>
      <w:marBottom w:val="0"/>
      <w:divBdr>
        <w:top w:val="none" w:sz="0" w:space="0" w:color="auto"/>
        <w:left w:val="none" w:sz="0" w:space="0" w:color="auto"/>
        <w:bottom w:val="none" w:sz="0" w:space="0" w:color="auto"/>
        <w:right w:val="none" w:sz="0" w:space="0" w:color="auto"/>
      </w:divBdr>
    </w:div>
    <w:div w:id="1748768071">
      <w:bodyDiv w:val="1"/>
      <w:marLeft w:val="0"/>
      <w:marRight w:val="0"/>
      <w:marTop w:val="0"/>
      <w:marBottom w:val="0"/>
      <w:divBdr>
        <w:top w:val="none" w:sz="0" w:space="0" w:color="auto"/>
        <w:left w:val="none" w:sz="0" w:space="0" w:color="auto"/>
        <w:bottom w:val="none" w:sz="0" w:space="0" w:color="auto"/>
        <w:right w:val="none" w:sz="0" w:space="0" w:color="auto"/>
      </w:divBdr>
    </w:div>
    <w:div w:id="1760906499">
      <w:bodyDiv w:val="1"/>
      <w:marLeft w:val="0"/>
      <w:marRight w:val="0"/>
      <w:marTop w:val="0"/>
      <w:marBottom w:val="0"/>
      <w:divBdr>
        <w:top w:val="none" w:sz="0" w:space="0" w:color="auto"/>
        <w:left w:val="none" w:sz="0" w:space="0" w:color="auto"/>
        <w:bottom w:val="none" w:sz="0" w:space="0" w:color="auto"/>
        <w:right w:val="none" w:sz="0" w:space="0" w:color="auto"/>
      </w:divBdr>
    </w:div>
    <w:div w:id="1771583985">
      <w:bodyDiv w:val="1"/>
      <w:marLeft w:val="0"/>
      <w:marRight w:val="0"/>
      <w:marTop w:val="0"/>
      <w:marBottom w:val="0"/>
      <w:divBdr>
        <w:top w:val="none" w:sz="0" w:space="0" w:color="auto"/>
        <w:left w:val="none" w:sz="0" w:space="0" w:color="auto"/>
        <w:bottom w:val="none" w:sz="0" w:space="0" w:color="auto"/>
        <w:right w:val="none" w:sz="0" w:space="0" w:color="auto"/>
      </w:divBdr>
    </w:div>
    <w:div w:id="1774982902">
      <w:bodyDiv w:val="1"/>
      <w:marLeft w:val="0"/>
      <w:marRight w:val="0"/>
      <w:marTop w:val="0"/>
      <w:marBottom w:val="0"/>
      <w:divBdr>
        <w:top w:val="none" w:sz="0" w:space="0" w:color="auto"/>
        <w:left w:val="none" w:sz="0" w:space="0" w:color="auto"/>
        <w:bottom w:val="none" w:sz="0" w:space="0" w:color="auto"/>
        <w:right w:val="none" w:sz="0" w:space="0" w:color="auto"/>
      </w:divBdr>
    </w:div>
    <w:div w:id="179405373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52784315">
      <w:bodyDiv w:val="1"/>
      <w:marLeft w:val="0"/>
      <w:marRight w:val="0"/>
      <w:marTop w:val="0"/>
      <w:marBottom w:val="0"/>
      <w:divBdr>
        <w:top w:val="none" w:sz="0" w:space="0" w:color="auto"/>
        <w:left w:val="none" w:sz="0" w:space="0" w:color="auto"/>
        <w:bottom w:val="none" w:sz="0" w:space="0" w:color="auto"/>
        <w:right w:val="none" w:sz="0" w:space="0" w:color="auto"/>
      </w:divBdr>
    </w:div>
    <w:div w:id="2041391486">
      <w:bodyDiv w:val="1"/>
      <w:marLeft w:val="0"/>
      <w:marRight w:val="0"/>
      <w:marTop w:val="0"/>
      <w:marBottom w:val="0"/>
      <w:divBdr>
        <w:top w:val="none" w:sz="0" w:space="0" w:color="auto"/>
        <w:left w:val="none" w:sz="0" w:space="0" w:color="auto"/>
        <w:bottom w:val="none" w:sz="0" w:space="0" w:color="auto"/>
        <w:right w:val="none" w:sz="0" w:space="0" w:color="auto"/>
      </w:divBdr>
    </w:div>
    <w:div w:id="207153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4FE1C-2A16-41F7-9255-1956D9435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554</TotalTime>
  <Pages>19</Pages>
  <Words>5329</Words>
  <Characters>29476</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contribution of changes in industry structure </vt:lpstr>
    </vt:vector>
  </TitlesOfParts>
  <Company>Productivity Commission</Company>
  <LinksUpToDate>false</LinksUpToDate>
  <CharactersWithSpaces>34736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contribution of changes in industry structure </dc:title>
  <dc:subject>Labour's share of growth in income and prosperity</dc:subject>
  <dc:creator>Productivity Commission</dc:creator>
  <cp:keywords/>
  <dc:description>5.</dc:description>
  <cp:lastModifiedBy>Productivity Commission</cp:lastModifiedBy>
  <cp:revision>22</cp:revision>
  <cp:lastPrinted>2013-09-19T04:35:00Z</cp:lastPrinted>
  <dcterms:created xsi:type="dcterms:W3CDTF">2013-07-15T06:36:00Z</dcterms:created>
  <dcterms:modified xsi:type="dcterms:W3CDTF">2013-09-24T04:55:00Z</dcterms:modified>
</cp:coreProperties>
</file>