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8A50E2" w:rsidP="008A50E2">
      <w:pPr>
        <w:pStyle w:val="Heading1"/>
        <w:spacing w:before="0"/>
      </w:pPr>
      <w:bookmarkStart w:id="0" w:name="ChapterNumber"/>
      <w:r>
        <w:t>6</w:t>
      </w:r>
      <w:bookmarkEnd w:id="0"/>
      <w:r>
        <w:tab/>
      </w:r>
      <w:bookmarkStart w:id="1" w:name="ChapterTitle"/>
      <w:r>
        <w:t>Other industry contributions</w:t>
      </w:r>
      <w:bookmarkEnd w:id="1"/>
    </w:p>
    <w:p w:rsidR="0096286A" w:rsidRDefault="009E39E0" w:rsidP="0096286A">
      <w:pPr>
        <w:pStyle w:val="BodyText"/>
      </w:pPr>
      <w:r>
        <w:t>T</w:t>
      </w:r>
      <w:r w:rsidR="00275222">
        <w:t>h</w:t>
      </w:r>
      <w:r w:rsidR="002335D7">
        <w:t xml:space="preserve">is chapter </w:t>
      </w:r>
      <w:r w:rsidR="0067048B">
        <w:t>continues</w:t>
      </w:r>
      <w:r w:rsidR="00236ABF">
        <w:t xml:space="preserve"> the </w:t>
      </w:r>
      <w:r w:rsidR="002335D7">
        <w:t>explor</w:t>
      </w:r>
      <w:r w:rsidR="00236ABF">
        <w:t>ation of</w:t>
      </w:r>
      <w:r w:rsidR="002335D7">
        <w:t xml:space="preserve"> th</w:t>
      </w:r>
      <w:r w:rsidR="00275222">
        <w:t xml:space="preserve">e industry </w:t>
      </w:r>
      <w:r w:rsidR="0046280B">
        <w:t>sources of</w:t>
      </w:r>
      <w:r w:rsidR="00275222">
        <w:t xml:space="preserve"> the </w:t>
      </w:r>
      <w:r w:rsidR="00707DEB">
        <w:t>fall in the labour income share</w:t>
      </w:r>
      <w:r w:rsidR="008728D5">
        <w:t xml:space="preserve"> (</w:t>
      </w:r>
      <w:proofErr w:type="spellStart"/>
      <w:r w:rsidR="008728D5">
        <w:t>LIS</w:t>
      </w:r>
      <w:proofErr w:type="spellEnd"/>
      <w:r w:rsidR="008728D5">
        <w:t>)</w:t>
      </w:r>
      <w:r w:rsidR="00707DEB">
        <w:t>.</w:t>
      </w:r>
      <w:r w:rsidR="008728D5">
        <w:t xml:space="preserve"> </w:t>
      </w:r>
      <w:bookmarkStart w:id="2" w:name="_GoBack"/>
      <w:bookmarkEnd w:id="2"/>
    </w:p>
    <w:p w:rsidR="00CC3458" w:rsidRDefault="008728D5" w:rsidP="0096286A">
      <w:pPr>
        <w:pStyle w:val="ListBullet"/>
      </w:pPr>
      <w:r>
        <w:t xml:space="preserve">Section 6.1 identifies </w:t>
      </w:r>
      <w:r w:rsidR="00CC3458">
        <w:t xml:space="preserve">the industry sources of the </w:t>
      </w:r>
      <w:r w:rsidR="0067048B">
        <w:t xml:space="preserve">‘quantity versus price’ explanation for the decline in the </w:t>
      </w:r>
      <w:r w:rsidR="000B099D">
        <w:t>labour income share</w:t>
      </w:r>
      <w:r w:rsidR="003549FD">
        <w:t>.</w:t>
      </w:r>
    </w:p>
    <w:p w:rsidR="0067048B" w:rsidRDefault="008728D5" w:rsidP="0067048B">
      <w:pPr>
        <w:pStyle w:val="ListBullet"/>
      </w:pPr>
      <w:r>
        <w:t xml:space="preserve">Section 6.2 identifies </w:t>
      </w:r>
      <w:r w:rsidR="0067048B">
        <w:t>the industries that contributed to the shortfall between market sector growth in rea</w:t>
      </w:r>
      <w:r w:rsidR="003549FD">
        <w:t>l wages and labour productivity.</w:t>
      </w:r>
    </w:p>
    <w:p w:rsidR="0067048B" w:rsidRDefault="0092285B" w:rsidP="0067048B">
      <w:pPr>
        <w:pStyle w:val="ListBullet"/>
      </w:pPr>
      <w:r>
        <w:t>S</w:t>
      </w:r>
      <w:r w:rsidR="008728D5">
        <w:t xml:space="preserve">ection 6.3 identifies </w:t>
      </w:r>
      <w:r w:rsidR="0067048B">
        <w:t xml:space="preserve">industry contributions to the increased output price inflation in the </w:t>
      </w:r>
      <w:proofErr w:type="spellStart"/>
      <w:r w:rsidR="0067048B">
        <w:t>2000s</w:t>
      </w:r>
      <w:proofErr w:type="spellEnd"/>
      <w:r w:rsidR="0067048B">
        <w:t>, which was a major reason f</w:t>
      </w:r>
      <w:r w:rsidR="008728D5">
        <w:t>or the weaker real wage growth.</w:t>
      </w:r>
    </w:p>
    <w:p w:rsidR="00236ABF" w:rsidRDefault="00BD57F5" w:rsidP="00236ABF">
      <w:pPr>
        <w:pStyle w:val="BodyText"/>
      </w:pPr>
      <w:r>
        <w:t>There is a summary in s</w:t>
      </w:r>
      <w:r w:rsidR="00236ABF">
        <w:t xml:space="preserve">ection </w:t>
      </w:r>
      <w:r w:rsidR="00A87D61">
        <w:t>6</w:t>
      </w:r>
      <w:r w:rsidR="0067048B">
        <w:t>.</w:t>
      </w:r>
      <w:r w:rsidR="00C06EDF">
        <w:t>4</w:t>
      </w:r>
      <w:r w:rsidR="00236ABF">
        <w:t xml:space="preserve">. </w:t>
      </w:r>
    </w:p>
    <w:p w:rsidR="007E4B30" w:rsidRDefault="006714E1" w:rsidP="007E4B30">
      <w:pPr>
        <w:pStyle w:val="Heading2"/>
      </w:pPr>
      <w:r>
        <w:fldChar w:fldCharType="begin"/>
      </w:r>
      <w:r>
        <w:instrText xml:space="preserve"> COMMENTS  \* MERGEFORMAT </w:instrText>
      </w:r>
      <w:r>
        <w:fldChar w:fldCharType="separate"/>
      </w:r>
      <w:r w:rsidR="008A50E2">
        <w:t>6.</w:t>
      </w:r>
      <w:r>
        <w:fldChar w:fldCharType="end"/>
      </w:r>
      <w:r>
        <w:fldChar w:fldCharType="begin"/>
      </w:r>
      <w:r>
        <w:instrText xml:space="preserve"> SEQ Heading2 </w:instrText>
      </w:r>
      <w:r>
        <w:fldChar w:fldCharType="separate"/>
      </w:r>
      <w:r w:rsidR="009E7788">
        <w:rPr>
          <w:noProof/>
        </w:rPr>
        <w:t>1</w:t>
      </w:r>
      <w:r>
        <w:rPr>
          <w:noProof/>
        </w:rPr>
        <w:fldChar w:fldCharType="end"/>
      </w:r>
      <w:r w:rsidR="009E3F7D">
        <w:tab/>
      </w:r>
      <w:r w:rsidR="002C1A91">
        <w:t>F</w:t>
      </w:r>
      <w:r w:rsidR="007E4B30">
        <w:t>actor proportions and reward ratios</w:t>
      </w:r>
    </w:p>
    <w:p w:rsidR="00E62A7F" w:rsidRDefault="00FB618F" w:rsidP="00AC1E37">
      <w:pPr>
        <w:pStyle w:val="BodyText"/>
      </w:pPr>
      <w:r>
        <w:t xml:space="preserve">Chapter </w:t>
      </w:r>
      <w:r w:rsidR="00B5512F">
        <w:t>4</w:t>
      </w:r>
      <w:r w:rsidR="006B1AAD">
        <w:t xml:space="preserve"> noted</w:t>
      </w:r>
      <w:r>
        <w:t xml:space="preserve"> that</w:t>
      </w:r>
      <w:r w:rsidR="00866E87">
        <w:t xml:space="preserve"> </w:t>
      </w:r>
      <w:r w:rsidR="003C1DBC">
        <w:t>the</w:t>
      </w:r>
      <w:r w:rsidR="00761339">
        <w:t xml:space="preserve"> fall in the </w:t>
      </w:r>
      <w:proofErr w:type="spellStart"/>
      <w:r w:rsidR="00761339">
        <w:t>LIS</w:t>
      </w:r>
      <w:proofErr w:type="spellEnd"/>
      <w:r w:rsidR="00761339">
        <w:t xml:space="preserve"> </w:t>
      </w:r>
      <w:r w:rsidR="00C9604A">
        <w:t>c</w:t>
      </w:r>
      <w:r w:rsidR="003C1DBC">
        <w:t>a</w:t>
      </w:r>
      <w:r w:rsidR="00C9604A">
        <w:t xml:space="preserve">me about </w:t>
      </w:r>
      <w:r w:rsidR="003C1DBC">
        <w:t>through a quantity effect, rather than a price effect</w:t>
      </w:r>
      <w:r>
        <w:t xml:space="preserve"> (section </w:t>
      </w:r>
      <w:r w:rsidR="00986C87">
        <w:t>4</w:t>
      </w:r>
      <w:r>
        <w:t>.3)</w:t>
      </w:r>
      <w:r w:rsidR="003C1DBC">
        <w:t xml:space="preserve">. </w:t>
      </w:r>
      <w:r w:rsidR="00BD57F5">
        <w:t>A step up in</w:t>
      </w:r>
      <w:r w:rsidR="00815E91">
        <w:t xml:space="preserve"> t</w:t>
      </w:r>
      <w:r w:rsidR="003C1DBC">
        <w:t xml:space="preserve">he rate </w:t>
      </w:r>
      <w:r w:rsidR="00986C87">
        <w:t>of capital deepening was found to be</w:t>
      </w:r>
      <w:r w:rsidR="00BD57F5">
        <w:t xml:space="preserve"> the key</w:t>
      </w:r>
      <w:r w:rsidR="00E62A7F">
        <w:t xml:space="preserve">. </w:t>
      </w:r>
    </w:p>
    <w:p w:rsidR="00E9062C" w:rsidRDefault="00B26CF0" w:rsidP="00AC1E37">
      <w:pPr>
        <w:pStyle w:val="BodyText"/>
      </w:pPr>
      <w:r>
        <w:t>I</w:t>
      </w:r>
      <w:r w:rsidR="00AC1E37">
        <w:t xml:space="preserve">ndustry contributions to the </w:t>
      </w:r>
      <w:r w:rsidR="00DC0EDC">
        <w:t>market sector</w:t>
      </w:r>
      <w:r w:rsidR="009B06E0">
        <w:t xml:space="preserve"> </w:t>
      </w:r>
      <w:r w:rsidR="00AC1E37">
        <w:t xml:space="preserve">growth in </w:t>
      </w:r>
      <w:r w:rsidR="00986C87">
        <w:t>factor proportions</w:t>
      </w:r>
      <w:r w:rsidR="00AC1E37">
        <w:t xml:space="preserve"> </w:t>
      </w:r>
      <w:r w:rsidR="00914057">
        <w:t xml:space="preserve">and </w:t>
      </w:r>
      <w:r w:rsidR="00BD57F5">
        <w:t xml:space="preserve">growth in </w:t>
      </w:r>
      <w:r w:rsidR="00540EE0">
        <w:t xml:space="preserve">the </w:t>
      </w:r>
      <w:r w:rsidR="00914057">
        <w:t>reward ratio</w:t>
      </w:r>
      <w:r w:rsidR="00480DB5">
        <w:t xml:space="preserve"> </w:t>
      </w:r>
      <w:r>
        <w:t>are</w:t>
      </w:r>
      <w:r w:rsidR="00AC1E37">
        <w:t xml:space="preserve"> now </w:t>
      </w:r>
      <w:r>
        <w:t>assessed</w:t>
      </w:r>
      <w:r w:rsidR="00AC1E37">
        <w:t xml:space="preserve">. </w:t>
      </w:r>
    </w:p>
    <w:p w:rsidR="00866E87" w:rsidRDefault="00E9062C" w:rsidP="00AC1E37">
      <w:pPr>
        <w:pStyle w:val="BodyText"/>
      </w:pPr>
      <w:r>
        <w:t>The analysis of wage and return estimates</w:t>
      </w:r>
      <w:r w:rsidR="00986C87">
        <w:t>, particularly at the industry level,</w:t>
      </w:r>
      <w:r>
        <w:t xml:space="preserve"> should be treated with caution</w:t>
      </w:r>
      <w:r w:rsidR="00F15EAB">
        <w:t>. They provide</w:t>
      </w:r>
      <w:r>
        <w:t xml:space="preserve"> only prima facie evidence that needs further examination and confirmation. These </w:t>
      </w:r>
      <w:r w:rsidR="00F15EAB">
        <w:t xml:space="preserve">wage and return </w:t>
      </w:r>
      <w:r>
        <w:t>estimates are based on national accounts data, which are not primarily designed to reveal wage and rate of return trends.</w:t>
      </w:r>
      <w:r w:rsidR="007A1E2C">
        <w:rPr>
          <w:rStyle w:val="FootnoteReference"/>
        </w:rPr>
        <w:footnoteReference w:id="1"/>
      </w:r>
      <w:r>
        <w:t xml:space="preserve"> </w:t>
      </w:r>
    </w:p>
    <w:p w:rsidR="0092285B" w:rsidRDefault="0092285B">
      <w:pPr>
        <w:rPr>
          <w:szCs w:val="20"/>
        </w:rPr>
      </w:pPr>
      <w:r>
        <w:br w:type="page"/>
      </w:r>
    </w:p>
    <w:p w:rsidR="00DD05CB" w:rsidRDefault="00866E87" w:rsidP="00262755">
      <w:pPr>
        <w:pStyle w:val="BodyText"/>
      </w:pPr>
      <w:r>
        <w:lastRenderedPageBreak/>
        <w:t>I</w:t>
      </w:r>
      <w:r w:rsidR="00DD05CB">
        <w:t xml:space="preserve">ndustry contributions </w:t>
      </w:r>
      <w:r>
        <w:t xml:space="preserve">are calculated </w:t>
      </w:r>
      <w:r w:rsidR="00DD05CB">
        <w:t xml:space="preserve">in a way that allows </w:t>
      </w:r>
      <w:r w:rsidR="00E779AC">
        <w:t>‘</w:t>
      </w:r>
      <w:proofErr w:type="spellStart"/>
      <w:r w:rsidR="00E779AC">
        <w:t>additivity</w:t>
      </w:r>
      <w:proofErr w:type="spellEnd"/>
      <w:r w:rsidR="00E779AC">
        <w:t>’ (see appendix A for details of the methodology). T</w:t>
      </w:r>
      <w:r>
        <w:t>he</w:t>
      </w:r>
      <w:r w:rsidR="00DD05CB">
        <w:t xml:space="preserve"> </w:t>
      </w:r>
      <w:r w:rsidR="00E779AC">
        <w:t xml:space="preserve">industry </w:t>
      </w:r>
      <w:r w:rsidR="00DD05CB">
        <w:t xml:space="preserve">contributions </w:t>
      </w:r>
      <w:r w:rsidR="00E779AC">
        <w:t xml:space="preserve">add to market sector rates of growth. But there is further </w:t>
      </w:r>
      <w:proofErr w:type="spellStart"/>
      <w:r w:rsidR="00E779AC">
        <w:t>additivity</w:t>
      </w:r>
      <w:proofErr w:type="spellEnd"/>
      <w:r w:rsidR="00E779AC">
        <w:t xml:space="preserve"> in that industry contributions to growth in the capital-labour ratio, for example, can be formed from the separate industry contributions to capital growth and to labour growth. </w:t>
      </w:r>
    </w:p>
    <w:p w:rsidR="007F6276" w:rsidRDefault="00DD05CB" w:rsidP="00AC1E37">
      <w:pPr>
        <w:pStyle w:val="BodyText"/>
      </w:pPr>
      <w:r>
        <w:t xml:space="preserve">The industry contributions to the </w:t>
      </w:r>
      <w:r w:rsidR="00C36832">
        <w:t>market sector</w:t>
      </w:r>
      <w:r>
        <w:t xml:space="preserve"> developments in the </w:t>
      </w:r>
      <w:r w:rsidR="00480DB5">
        <w:t>two decades</w:t>
      </w:r>
      <w:r>
        <w:t xml:space="preserve"> are shown in table </w:t>
      </w:r>
      <w:r w:rsidR="00E40E67">
        <w:t>6</w:t>
      </w:r>
      <w:r w:rsidR="00FB618F">
        <w:t>.1</w:t>
      </w:r>
      <w:r w:rsidR="0022363F">
        <w:t>, with</w:t>
      </w:r>
      <w:r w:rsidR="00480DB5">
        <w:t xml:space="preserve"> three columns for each decade. </w:t>
      </w:r>
    </w:p>
    <w:p w:rsidR="007F6276" w:rsidRDefault="0022363F" w:rsidP="007F6276">
      <w:pPr>
        <w:pStyle w:val="ListBullet"/>
      </w:pPr>
      <w:r>
        <w:t>T</w:t>
      </w:r>
      <w:r w:rsidR="00480DB5">
        <w:t xml:space="preserve">he first </w:t>
      </w:r>
      <w:r>
        <w:t xml:space="preserve">column </w:t>
      </w:r>
      <w:r w:rsidR="00480DB5">
        <w:t xml:space="preserve">shows industry contributions to growth in </w:t>
      </w:r>
      <w:r w:rsidR="00810800">
        <w:t xml:space="preserve">the </w:t>
      </w:r>
      <w:r w:rsidR="00DC0EDC">
        <w:t>market sector</w:t>
      </w:r>
      <w:r w:rsidR="00B5439C">
        <w:t xml:space="preserve"> </w:t>
      </w:r>
      <w:r w:rsidR="00810800">
        <w:t>reward ratio (wage rate to rate</w:t>
      </w:r>
      <w:r w:rsidR="00FB618F">
        <w:t xml:space="preserve"> of return</w:t>
      </w:r>
      <w:r w:rsidR="00810800">
        <w:t>)</w:t>
      </w:r>
      <w:r>
        <w:t>.</w:t>
      </w:r>
      <w:r w:rsidR="00480DB5">
        <w:t xml:space="preserve"> </w:t>
      </w:r>
    </w:p>
    <w:p w:rsidR="007F6276" w:rsidRDefault="0022363F" w:rsidP="007F6276">
      <w:pPr>
        <w:pStyle w:val="ListBullet"/>
      </w:pPr>
      <w:r>
        <w:t>T</w:t>
      </w:r>
      <w:r w:rsidR="00480DB5">
        <w:t xml:space="preserve">he second presents the industry contributions to growth in </w:t>
      </w:r>
      <w:r w:rsidR="00DC0EDC">
        <w:t>market sector</w:t>
      </w:r>
      <w:r w:rsidR="00810800" w:rsidRPr="00810800">
        <w:t xml:space="preserve"> </w:t>
      </w:r>
      <w:r w:rsidR="00810800">
        <w:t>factor proportions (the capital-labour ratio)</w:t>
      </w:r>
      <w:r>
        <w:t>.</w:t>
      </w:r>
      <w:r w:rsidR="007F6276">
        <w:t xml:space="preserve"> </w:t>
      </w:r>
    </w:p>
    <w:p w:rsidR="0022363F" w:rsidRDefault="0022363F" w:rsidP="007F6276">
      <w:pPr>
        <w:pStyle w:val="ListBullet"/>
      </w:pPr>
      <w:r>
        <w:t>T</w:t>
      </w:r>
      <w:r w:rsidR="007F6276">
        <w:t>he third contains the industry contributions to the gap in growth between the reward ratio and factor proportions</w:t>
      </w:r>
      <w:r>
        <w:t>;</w:t>
      </w:r>
    </w:p>
    <w:p w:rsidR="0022363F" w:rsidRDefault="0022363F" w:rsidP="0022363F">
      <w:pPr>
        <w:pStyle w:val="ListBullet2"/>
      </w:pPr>
      <w:r>
        <w:t>that is, entries in column</w:t>
      </w:r>
      <w:r w:rsidR="008728D5">
        <w:t xml:space="preserve"> 1 less the entries in column 2</w:t>
      </w:r>
    </w:p>
    <w:p w:rsidR="007F6276" w:rsidRDefault="00112CB0" w:rsidP="0022363F">
      <w:pPr>
        <w:pStyle w:val="ListBullet2"/>
      </w:pPr>
      <w:r>
        <w:t xml:space="preserve">these do not show </w:t>
      </w:r>
      <w:r w:rsidR="00C10E35">
        <w:t xml:space="preserve">magnitudes of </w:t>
      </w:r>
      <w:r>
        <w:t xml:space="preserve">contributions to change in the aggregate </w:t>
      </w:r>
      <w:proofErr w:type="spellStart"/>
      <w:r w:rsidR="008728D5">
        <w:t>LIS</w:t>
      </w:r>
      <w:proofErr w:type="spellEnd"/>
      <w:r>
        <w:t xml:space="preserve">, but </w:t>
      </w:r>
      <w:r w:rsidR="00C10E35">
        <w:t>they do indicate direction (</w:t>
      </w:r>
      <w:r w:rsidR="00507090">
        <w:t>negative</w:t>
      </w:r>
      <w:r w:rsidR="007F6276">
        <w:t xml:space="preserve"> </w:t>
      </w:r>
      <w:r w:rsidR="0022363F">
        <w:t xml:space="preserve">entries in this third column indicate </w:t>
      </w:r>
      <w:r>
        <w:t xml:space="preserve">cases that </w:t>
      </w:r>
      <w:r w:rsidR="0022363F">
        <w:t>contribut</w:t>
      </w:r>
      <w:r>
        <w:t>ed</w:t>
      </w:r>
      <w:r w:rsidR="0022363F">
        <w:t xml:space="preserve"> </w:t>
      </w:r>
      <w:r w:rsidR="007F6276">
        <w:t xml:space="preserve">to the fall in the market sector </w:t>
      </w:r>
      <w:proofErr w:type="spellStart"/>
      <w:r w:rsidR="007F6276">
        <w:t>LIS</w:t>
      </w:r>
      <w:proofErr w:type="spellEnd"/>
      <w:r w:rsidR="00C10E35">
        <w:t>)</w:t>
      </w:r>
      <w:r w:rsidR="0022363F">
        <w:t>.</w:t>
      </w:r>
      <w:r w:rsidR="007F6276">
        <w:rPr>
          <w:rStyle w:val="FootnoteReference"/>
        </w:rPr>
        <w:footnoteReference w:id="2"/>
      </w:r>
    </w:p>
    <w:p w:rsidR="00665B0B" w:rsidRDefault="00665B0B" w:rsidP="00665B0B">
      <w:pPr>
        <w:pStyle w:val="BodyText"/>
      </w:pPr>
      <w:r>
        <w:t xml:space="preserve">The industry contributions for the </w:t>
      </w:r>
      <w:proofErr w:type="spellStart"/>
      <w:r>
        <w:t>2000s</w:t>
      </w:r>
      <w:proofErr w:type="spellEnd"/>
      <w:r>
        <w:t xml:space="preserve"> decade are also displayed visually in figure</w:t>
      </w:r>
      <w:r w:rsidR="00B5512F">
        <w:t> </w:t>
      </w:r>
      <w:r w:rsidR="00A87D61">
        <w:t>6</w:t>
      </w:r>
      <w:r>
        <w:t>.1.</w:t>
      </w:r>
    </w:p>
    <w:p w:rsidR="009E3F7D" w:rsidRDefault="009E3F7D">
      <w:pPr>
        <w:pStyle w:val="TableTitle"/>
      </w:pPr>
      <w:r>
        <w:rPr>
          <w:b w:val="0"/>
        </w:rPr>
        <w:lastRenderedPageBreak/>
        <w:t xml:space="preserve">Table </w:t>
      </w:r>
      <w:r>
        <w:rPr>
          <w:b w:val="0"/>
        </w:rPr>
        <w:fldChar w:fldCharType="begin"/>
      </w:r>
      <w:r>
        <w:rPr>
          <w:b w:val="0"/>
        </w:rPr>
        <w:instrText xml:space="preserve"> COMMENTS  \* MERGEFORMAT </w:instrText>
      </w:r>
      <w:r>
        <w:rPr>
          <w:b w:val="0"/>
        </w:rPr>
        <w:fldChar w:fldCharType="separate"/>
      </w:r>
      <w:r w:rsidR="008A50E2">
        <w:rPr>
          <w:b w:val="0"/>
        </w:rPr>
        <w:t>6.</w:t>
      </w:r>
      <w:r>
        <w:rPr>
          <w:b w:val="0"/>
        </w:rPr>
        <w:fldChar w:fldCharType="end"/>
      </w:r>
      <w:r>
        <w:rPr>
          <w:b w:val="0"/>
        </w:rPr>
        <w:fldChar w:fldCharType="begin"/>
      </w:r>
      <w:r>
        <w:rPr>
          <w:b w:val="0"/>
        </w:rPr>
        <w:instrText xml:space="preserve"> SEQ Table \* ARABIC </w:instrText>
      </w:r>
      <w:r>
        <w:rPr>
          <w:b w:val="0"/>
        </w:rPr>
        <w:fldChar w:fldCharType="separate"/>
      </w:r>
      <w:r w:rsidR="009E7788">
        <w:rPr>
          <w:b w:val="0"/>
          <w:noProof/>
        </w:rPr>
        <w:t>1</w:t>
      </w:r>
      <w:r>
        <w:rPr>
          <w:b w:val="0"/>
        </w:rPr>
        <w:fldChar w:fldCharType="end"/>
      </w:r>
      <w:r>
        <w:tab/>
      </w:r>
      <w:r w:rsidRPr="0022363F">
        <w:t>Industry contributions to</w:t>
      </w:r>
      <w:r w:rsidR="0047598D">
        <w:t xml:space="preserve"> the</w:t>
      </w:r>
      <w:r w:rsidRPr="0022363F">
        <w:t xml:space="preserve"> gap in growth between reward ratios and factor proportions, </w:t>
      </w:r>
      <w:proofErr w:type="spellStart"/>
      <w:r w:rsidRPr="0022363F">
        <w:t>1990s</w:t>
      </w:r>
      <w:proofErr w:type="spellEnd"/>
      <w:r w:rsidRPr="0022363F">
        <w:t xml:space="preserve"> and </w:t>
      </w:r>
      <w:proofErr w:type="spellStart"/>
      <w:r w:rsidRPr="0022363F">
        <w:t>2000s</w:t>
      </w:r>
      <w:proofErr w:type="spellEnd"/>
      <w:r>
        <w:t xml:space="preserve"> </w:t>
      </w:r>
    </w:p>
    <w:p w:rsidR="009E3F7D" w:rsidRDefault="009E3F7D">
      <w:pPr>
        <w:pStyle w:val="Subtitle"/>
      </w:pPr>
      <w:r>
        <w:t xml:space="preserve">per cent per year </w:t>
      </w:r>
    </w:p>
    <w:tbl>
      <w:tblPr>
        <w:tblW w:w="0" w:type="auto"/>
        <w:tblLayout w:type="fixed"/>
        <w:tblCellMar>
          <w:left w:w="0" w:type="dxa"/>
          <w:right w:w="0" w:type="dxa"/>
        </w:tblCellMar>
        <w:tblLook w:val="0000" w:firstRow="0" w:lastRow="0" w:firstColumn="0" w:lastColumn="0" w:noHBand="0" w:noVBand="0"/>
      </w:tblPr>
      <w:tblGrid>
        <w:gridCol w:w="2553"/>
        <w:gridCol w:w="946"/>
        <w:gridCol w:w="946"/>
        <w:gridCol w:w="946"/>
        <w:gridCol w:w="562"/>
        <w:gridCol w:w="946"/>
        <w:gridCol w:w="946"/>
        <w:gridCol w:w="944"/>
      </w:tblGrid>
      <w:tr w:rsidR="009E3F7D" w:rsidTr="00E73288">
        <w:tc>
          <w:tcPr>
            <w:tcW w:w="2553" w:type="dxa"/>
            <w:tcBorders>
              <w:top w:val="single" w:sz="4" w:space="0" w:color="auto"/>
              <w:bottom w:val="single" w:sz="4" w:space="0" w:color="auto"/>
            </w:tcBorders>
            <w:shd w:val="clear" w:color="auto" w:fill="auto"/>
          </w:tcPr>
          <w:p w:rsidR="009E3F7D" w:rsidRDefault="009E3F7D" w:rsidP="000C6DFA">
            <w:pPr>
              <w:pStyle w:val="TableColumnHeading"/>
              <w:jc w:val="center"/>
            </w:pPr>
          </w:p>
        </w:tc>
        <w:tc>
          <w:tcPr>
            <w:tcW w:w="2838" w:type="dxa"/>
            <w:gridSpan w:val="3"/>
            <w:tcBorders>
              <w:top w:val="single" w:sz="4" w:space="0" w:color="auto"/>
              <w:bottom w:val="single" w:sz="4" w:space="0" w:color="auto"/>
            </w:tcBorders>
          </w:tcPr>
          <w:p w:rsidR="009E3F7D" w:rsidRDefault="009E3F7D" w:rsidP="000C6DFA">
            <w:pPr>
              <w:pStyle w:val="TableColumnHeading"/>
              <w:jc w:val="center"/>
            </w:pPr>
            <w:r>
              <w:t>1989-90 to 1999-00</w:t>
            </w:r>
          </w:p>
        </w:tc>
        <w:tc>
          <w:tcPr>
            <w:tcW w:w="562" w:type="dxa"/>
            <w:tcBorders>
              <w:top w:val="single" w:sz="4" w:space="0" w:color="auto"/>
            </w:tcBorders>
          </w:tcPr>
          <w:p w:rsidR="009E3F7D" w:rsidRDefault="009E3F7D" w:rsidP="000C6DFA">
            <w:pPr>
              <w:pStyle w:val="TableColumnHeading"/>
              <w:jc w:val="center"/>
            </w:pPr>
          </w:p>
        </w:tc>
        <w:tc>
          <w:tcPr>
            <w:tcW w:w="2836" w:type="dxa"/>
            <w:gridSpan w:val="3"/>
            <w:tcBorders>
              <w:top w:val="single" w:sz="4" w:space="0" w:color="auto"/>
              <w:bottom w:val="single" w:sz="4" w:space="0" w:color="auto"/>
            </w:tcBorders>
          </w:tcPr>
          <w:p w:rsidR="009E3F7D" w:rsidRDefault="009E3F7D" w:rsidP="000C6DFA">
            <w:pPr>
              <w:pStyle w:val="TableColumnHeading"/>
              <w:jc w:val="center"/>
            </w:pPr>
            <w:r>
              <w:t>1999-00 to 2009-10</w:t>
            </w:r>
          </w:p>
        </w:tc>
      </w:tr>
      <w:tr w:rsidR="009E3F7D" w:rsidTr="00E73288">
        <w:tc>
          <w:tcPr>
            <w:tcW w:w="2553" w:type="dxa"/>
            <w:tcBorders>
              <w:top w:val="single" w:sz="4" w:space="0" w:color="auto"/>
            </w:tcBorders>
            <w:shd w:val="clear" w:color="auto" w:fill="auto"/>
          </w:tcPr>
          <w:p w:rsidR="009E3F7D" w:rsidRDefault="009E3F7D" w:rsidP="00E73288">
            <w:pPr>
              <w:pStyle w:val="TableUnitsRow"/>
            </w:pPr>
          </w:p>
        </w:tc>
        <w:tc>
          <w:tcPr>
            <w:tcW w:w="946" w:type="dxa"/>
            <w:tcBorders>
              <w:top w:val="single" w:sz="4" w:space="0" w:color="auto"/>
            </w:tcBorders>
            <w:vAlign w:val="bottom"/>
          </w:tcPr>
          <w:p w:rsidR="009E3F7D" w:rsidRPr="00810800" w:rsidRDefault="009E3F7D" w:rsidP="00E73288">
            <w:pPr>
              <w:pStyle w:val="TableUnitsRow"/>
              <w:rPr>
                <w:rFonts w:ascii="Calibri" w:hAnsi="Calibri" w:cs="Calibri"/>
                <w:color w:val="000000"/>
                <w:sz w:val="22"/>
                <w:szCs w:val="22"/>
              </w:rPr>
            </w:pPr>
            <w:r w:rsidRPr="00810800">
              <w:rPr>
                <w:rFonts w:ascii="Calibri" w:hAnsi="Calibri" w:cs="Calibri"/>
                <w:color w:val="000000"/>
                <w:sz w:val="22"/>
                <w:szCs w:val="22"/>
              </w:rPr>
              <w:t>w/r</w:t>
            </w:r>
          </w:p>
        </w:tc>
        <w:tc>
          <w:tcPr>
            <w:tcW w:w="946" w:type="dxa"/>
            <w:tcBorders>
              <w:top w:val="single" w:sz="4" w:space="0" w:color="auto"/>
            </w:tcBorders>
            <w:vAlign w:val="bottom"/>
          </w:tcPr>
          <w:p w:rsidR="009E3F7D" w:rsidRPr="00810800" w:rsidRDefault="009E3F7D" w:rsidP="00E73288">
            <w:pPr>
              <w:pStyle w:val="TableUnitsRow"/>
              <w:rPr>
                <w:rFonts w:ascii="Calibri" w:hAnsi="Calibri" w:cs="Calibri"/>
                <w:color w:val="000000"/>
                <w:sz w:val="22"/>
                <w:szCs w:val="22"/>
              </w:rPr>
            </w:pPr>
            <w:r w:rsidRPr="00810800">
              <w:rPr>
                <w:rFonts w:ascii="Calibri" w:hAnsi="Calibri" w:cs="Calibri"/>
                <w:color w:val="000000"/>
                <w:sz w:val="22"/>
                <w:szCs w:val="22"/>
              </w:rPr>
              <w:t>K/L</w:t>
            </w:r>
          </w:p>
        </w:tc>
        <w:tc>
          <w:tcPr>
            <w:tcW w:w="946" w:type="dxa"/>
            <w:tcBorders>
              <w:top w:val="single" w:sz="4" w:space="0" w:color="auto"/>
            </w:tcBorders>
            <w:vAlign w:val="bottom"/>
          </w:tcPr>
          <w:p w:rsidR="009E3F7D" w:rsidRPr="00810800" w:rsidRDefault="000B099D" w:rsidP="00E73288">
            <w:pPr>
              <w:pStyle w:val="TableUnitsRow"/>
              <w:rPr>
                <w:rFonts w:ascii="Calibri" w:hAnsi="Calibri" w:cs="Calibri"/>
                <w:color w:val="000000"/>
                <w:sz w:val="22"/>
                <w:szCs w:val="22"/>
              </w:rPr>
            </w:pPr>
            <w:r w:rsidRPr="00810800">
              <w:rPr>
                <w:rFonts w:ascii="Calibri" w:hAnsi="Calibri" w:cs="Calibri"/>
                <w:color w:val="000000"/>
                <w:sz w:val="22"/>
                <w:szCs w:val="22"/>
              </w:rPr>
              <w:t>G</w:t>
            </w:r>
            <w:r w:rsidR="009E3F7D" w:rsidRPr="00810800">
              <w:rPr>
                <w:rFonts w:ascii="Calibri" w:hAnsi="Calibri" w:cs="Calibri"/>
                <w:color w:val="000000"/>
                <w:sz w:val="22"/>
                <w:szCs w:val="22"/>
              </w:rPr>
              <w:t>ap</w:t>
            </w:r>
            <w:r>
              <w:rPr>
                <w:rFonts w:ascii="Calibri" w:hAnsi="Calibri" w:cs="Calibri"/>
                <w:color w:val="000000"/>
                <w:sz w:val="22"/>
                <w:szCs w:val="22"/>
              </w:rPr>
              <w:t xml:space="preserve"> (pp)</w:t>
            </w:r>
          </w:p>
        </w:tc>
        <w:tc>
          <w:tcPr>
            <w:tcW w:w="562" w:type="dxa"/>
          </w:tcPr>
          <w:p w:rsidR="009E3F7D" w:rsidRDefault="009E3F7D" w:rsidP="00E73288">
            <w:pPr>
              <w:pStyle w:val="TableUnitsRow"/>
            </w:pPr>
          </w:p>
        </w:tc>
        <w:tc>
          <w:tcPr>
            <w:tcW w:w="946" w:type="dxa"/>
            <w:tcBorders>
              <w:top w:val="single" w:sz="4" w:space="0" w:color="auto"/>
            </w:tcBorders>
            <w:vAlign w:val="bottom"/>
          </w:tcPr>
          <w:p w:rsidR="009E3F7D" w:rsidRPr="00810800" w:rsidRDefault="009E3F7D" w:rsidP="00E73288">
            <w:pPr>
              <w:pStyle w:val="TableUnitsRow"/>
              <w:rPr>
                <w:rFonts w:ascii="Calibri" w:hAnsi="Calibri" w:cs="Calibri"/>
                <w:color w:val="000000"/>
                <w:sz w:val="22"/>
                <w:szCs w:val="22"/>
              </w:rPr>
            </w:pPr>
            <w:r w:rsidRPr="00810800">
              <w:rPr>
                <w:rFonts w:ascii="Calibri" w:hAnsi="Calibri" w:cs="Calibri"/>
                <w:color w:val="000000"/>
                <w:sz w:val="22"/>
                <w:szCs w:val="22"/>
              </w:rPr>
              <w:t>w/r</w:t>
            </w:r>
          </w:p>
        </w:tc>
        <w:tc>
          <w:tcPr>
            <w:tcW w:w="946" w:type="dxa"/>
            <w:tcBorders>
              <w:top w:val="single" w:sz="4" w:space="0" w:color="auto"/>
            </w:tcBorders>
            <w:vAlign w:val="bottom"/>
          </w:tcPr>
          <w:p w:rsidR="009E3F7D" w:rsidRPr="00810800" w:rsidRDefault="009E3F7D" w:rsidP="00E73288">
            <w:pPr>
              <w:pStyle w:val="TableUnitsRow"/>
              <w:rPr>
                <w:rFonts w:ascii="Calibri" w:hAnsi="Calibri" w:cs="Calibri"/>
                <w:color w:val="000000"/>
                <w:sz w:val="22"/>
                <w:szCs w:val="22"/>
              </w:rPr>
            </w:pPr>
            <w:r w:rsidRPr="00810800">
              <w:rPr>
                <w:rFonts w:ascii="Calibri" w:hAnsi="Calibri" w:cs="Calibri"/>
                <w:color w:val="000000"/>
                <w:sz w:val="22"/>
                <w:szCs w:val="22"/>
              </w:rPr>
              <w:t>K/L</w:t>
            </w:r>
          </w:p>
        </w:tc>
        <w:tc>
          <w:tcPr>
            <w:tcW w:w="944" w:type="dxa"/>
            <w:tcBorders>
              <w:top w:val="single" w:sz="4" w:space="0" w:color="auto"/>
            </w:tcBorders>
            <w:shd w:val="clear" w:color="auto" w:fill="auto"/>
            <w:vAlign w:val="bottom"/>
          </w:tcPr>
          <w:p w:rsidR="009E3F7D" w:rsidRPr="00810800" w:rsidRDefault="000B099D" w:rsidP="00E73288">
            <w:pPr>
              <w:pStyle w:val="TableUnitsRow"/>
              <w:rPr>
                <w:rFonts w:ascii="Calibri" w:hAnsi="Calibri" w:cs="Calibri"/>
                <w:color w:val="000000"/>
                <w:sz w:val="22"/>
                <w:szCs w:val="22"/>
              </w:rPr>
            </w:pPr>
            <w:r w:rsidRPr="00810800">
              <w:rPr>
                <w:rFonts w:ascii="Calibri" w:hAnsi="Calibri" w:cs="Calibri"/>
                <w:color w:val="000000"/>
                <w:sz w:val="22"/>
                <w:szCs w:val="22"/>
              </w:rPr>
              <w:t>G</w:t>
            </w:r>
            <w:r w:rsidR="009E3F7D" w:rsidRPr="00810800">
              <w:rPr>
                <w:rFonts w:ascii="Calibri" w:hAnsi="Calibri" w:cs="Calibri"/>
                <w:color w:val="000000"/>
                <w:sz w:val="22"/>
                <w:szCs w:val="22"/>
              </w:rPr>
              <w:t>ap</w:t>
            </w:r>
            <w:r>
              <w:rPr>
                <w:rFonts w:ascii="Calibri" w:hAnsi="Calibri" w:cs="Calibri"/>
                <w:color w:val="000000"/>
                <w:sz w:val="22"/>
                <w:szCs w:val="22"/>
              </w:rPr>
              <w:t xml:space="preserve"> (pp)</w:t>
            </w:r>
          </w:p>
        </w:tc>
      </w:tr>
      <w:tr w:rsidR="009E3F7D" w:rsidTr="00E73288">
        <w:tc>
          <w:tcPr>
            <w:tcW w:w="2553" w:type="dxa"/>
            <w:shd w:val="clear" w:color="auto" w:fill="auto"/>
            <w:vAlign w:val="bottom"/>
          </w:tcPr>
          <w:p w:rsidR="009E3F7D" w:rsidRPr="00810800" w:rsidRDefault="009E3F7D" w:rsidP="008A50E2">
            <w:pPr>
              <w:pStyle w:val="TableBodyText"/>
              <w:spacing w:before="20"/>
              <w:jc w:val="left"/>
            </w:pPr>
            <w:r w:rsidRPr="00810800">
              <w:t>Agriculture</w:t>
            </w:r>
          </w:p>
        </w:tc>
        <w:tc>
          <w:tcPr>
            <w:tcW w:w="946" w:type="dxa"/>
            <w:vAlign w:val="bottom"/>
          </w:tcPr>
          <w:p w:rsidR="009E3F7D" w:rsidRPr="00810800" w:rsidRDefault="009E3F7D" w:rsidP="008A50E2">
            <w:pPr>
              <w:pStyle w:val="TableBodyText"/>
              <w:spacing w:before="20"/>
            </w:pPr>
            <w:r w:rsidRPr="00810800">
              <w:t>0.24</w:t>
            </w:r>
          </w:p>
        </w:tc>
        <w:tc>
          <w:tcPr>
            <w:tcW w:w="946" w:type="dxa"/>
            <w:vAlign w:val="bottom"/>
          </w:tcPr>
          <w:p w:rsidR="009E3F7D" w:rsidRPr="00810800" w:rsidRDefault="009E3F7D" w:rsidP="008A50E2">
            <w:pPr>
              <w:pStyle w:val="TableBodyText"/>
              <w:spacing w:before="20"/>
            </w:pPr>
            <w:r w:rsidRPr="00810800">
              <w:t>0.00</w:t>
            </w:r>
          </w:p>
        </w:tc>
        <w:tc>
          <w:tcPr>
            <w:tcW w:w="946" w:type="dxa"/>
            <w:vAlign w:val="bottom"/>
          </w:tcPr>
          <w:p w:rsidR="009E3F7D" w:rsidRPr="00810800" w:rsidRDefault="009E3F7D" w:rsidP="008A50E2">
            <w:pPr>
              <w:pStyle w:val="TableBodyText"/>
              <w:spacing w:before="20"/>
            </w:pPr>
            <w:r w:rsidRPr="00810800">
              <w:t>0.24</w:t>
            </w:r>
          </w:p>
        </w:tc>
        <w:tc>
          <w:tcPr>
            <w:tcW w:w="562" w:type="dxa"/>
          </w:tcPr>
          <w:p w:rsidR="009E3F7D" w:rsidRDefault="009E3F7D" w:rsidP="008A50E2">
            <w:pPr>
              <w:pStyle w:val="TableBodyText"/>
              <w:spacing w:before="20"/>
            </w:pPr>
          </w:p>
        </w:tc>
        <w:tc>
          <w:tcPr>
            <w:tcW w:w="946" w:type="dxa"/>
            <w:vAlign w:val="bottom"/>
          </w:tcPr>
          <w:p w:rsidR="009E3F7D" w:rsidRPr="00810800" w:rsidRDefault="009E3F7D" w:rsidP="008A50E2">
            <w:pPr>
              <w:pStyle w:val="TableBodyText"/>
              <w:spacing w:before="20"/>
            </w:pPr>
            <w:r w:rsidRPr="00810800">
              <w:t>-0.04</w:t>
            </w:r>
          </w:p>
        </w:tc>
        <w:tc>
          <w:tcPr>
            <w:tcW w:w="946" w:type="dxa"/>
            <w:vAlign w:val="bottom"/>
          </w:tcPr>
          <w:p w:rsidR="009E3F7D" w:rsidRPr="00810800" w:rsidRDefault="009E3F7D" w:rsidP="008A50E2">
            <w:pPr>
              <w:pStyle w:val="TableBodyText"/>
              <w:spacing w:before="20"/>
            </w:pPr>
            <w:r w:rsidRPr="00810800">
              <w:t>0.22</w:t>
            </w:r>
          </w:p>
        </w:tc>
        <w:tc>
          <w:tcPr>
            <w:tcW w:w="944" w:type="dxa"/>
            <w:shd w:val="clear" w:color="auto" w:fill="auto"/>
            <w:vAlign w:val="bottom"/>
          </w:tcPr>
          <w:p w:rsidR="009E3F7D" w:rsidRPr="00810800" w:rsidRDefault="009E3F7D" w:rsidP="008A50E2">
            <w:pPr>
              <w:pStyle w:val="TableBodyText"/>
              <w:spacing w:before="20"/>
            </w:pPr>
            <w:r w:rsidRPr="00810800">
              <w:t>-0.27</w:t>
            </w:r>
          </w:p>
        </w:tc>
      </w:tr>
      <w:tr w:rsidR="009E3F7D" w:rsidTr="009E3F7D">
        <w:tc>
          <w:tcPr>
            <w:tcW w:w="2553" w:type="dxa"/>
            <w:shd w:val="clear" w:color="auto" w:fill="auto"/>
            <w:vAlign w:val="bottom"/>
          </w:tcPr>
          <w:p w:rsidR="009E3F7D" w:rsidRPr="00810800" w:rsidRDefault="009E3F7D" w:rsidP="008A50E2">
            <w:pPr>
              <w:pStyle w:val="TableBodyText"/>
              <w:spacing w:before="20"/>
              <w:jc w:val="left"/>
            </w:pPr>
            <w:r w:rsidRPr="00810800">
              <w:t>Mining</w:t>
            </w:r>
          </w:p>
        </w:tc>
        <w:tc>
          <w:tcPr>
            <w:tcW w:w="946" w:type="dxa"/>
            <w:vAlign w:val="bottom"/>
          </w:tcPr>
          <w:p w:rsidR="009E3F7D" w:rsidRPr="00810800" w:rsidRDefault="009E3F7D" w:rsidP="008A50E2">
            <w:pPr>
              <w:pStyle w:val="TableBodyText"/>
              <w:spacing w:before="20"/>
            </w:pPr>
            <w:r w:rsidRPr="00810800">
              <w:t>-0.05</w:t>
            </w:r>
          </w:p>
        </w:tc>
        <w:tc>
          <w:tcPr>
            <w:tcW w:w="946" w:type="dxa"/>
            <w:vAlign w:val="bottom"/>
          </w:tcPr>
          <w:p w:rsidR="009E3F7D" w:rsidRPr="00810800" w:rsidRDefault="009E3F7D" w:rsidP="008A50E2">
            <w:pPr>
              <w:pStyle w:val="TableBodyText"/>
              <w:spacing w:before="20"/>
            </w:pPr>
            <w:r w:rsidRPr="00810800">
              <w:t>0.55</w:t>
            </w:r>
          </w:p>
        </w:tc>
        <w:tc>
          <w:tcPr>
            <w:tcW w:w="946" w:type="dxa"/>
            <w:vAlign w:val="bottom"/>
          </w:tcPr>
          <w:p w:rsidR="009E3F7D" w:rsidRPr="00810800" w:rsidRDefault="009E3F7D" w:rsidP="008A50E2">
            <w:pPr>
              <w:pStyle w:val="TableBodyText"/>
              <w:spacing w:before="20"/>
            </w:pPr>
            <w:r w:rsidRPr="00810800">
              <w:t>-0.60</w:t>
            </w:r>
          </w:p>
        </w:tc>
        <w:tc>
          <w:tcPr>
            <w:tcW w:w="562" w:type="dxa"/>
          </w:tcPr>
          <w:p w:rsidR="009E3F7D" w:rsidRDefault="009E3F7D" w:rsidP="008A50E2">
            <w:pPr>
              <w:pStyle w:val="TableBodyText"/>
              <w:spacing w:before="20"/>
            </w:pPr>
          </w:p>
        </w:tc>
        <w:tc>
          <w:tcPr>
            <w:tcW w:w="946" w:type="dxa"/>
            <w:vAlign w:val="bottom"/>
          </w:tcPr>
          <w:p w:rsidR="009E3F7D" w:rsidRPr="00810800" w:rsidRDefault="009E3F7D" w:rsidP="008A50E2">
            <w:pPr>
              <w:pStyle w:val="TableBodyText"/>
              <w:spacing w:before="20"/>
            </w:pPr>
            <w:r w:rsidRPr="00810800">
              <w:t>-0.75</w:t>
            </w:r>
          </w:p>
        </w:tc>
        <w:tc>
          <w:tcPr>
            <w:tcW w:w="946" w:type="dxa"/>
            <w:vAlign w:val="bottom"/>
          </w:tcPr>
          <w:p w:rsidR="009E3F7D" w:rsidRPr="00810800" w:rsidRDefault="009E3F7D" w:rsidP="008A50E2">
            <w:pPr>
              <w:pStyle w:val="TableBodyText"/>
              <w:spacing w:before="20"/>
            </w:pPr>
            <w:r w:rsidRPr="00810800">
              <w:t>1.11</w:t>
            </w:r>
          </w:p>
        </w:tc>
        <w:tc>
          <w:tcPr>
            <w:tcW w:w="944" w:type="dxa"/>
            <w:shd w:val="clear" w:color="auto" w:fill="auto"/>
            <w:vAlign w:val="bottom"/>
          </w:tcPr>
          <w:p w:rsidR="009E3F7D" w:rsidRPr="00810800" w:rsidRDefault="009E3F7D" w:rsidP="008A50E2">
            <w:pPr>
              <w:pStyle w:val="TableBodyText"/>
              <w:spacing w:before="20"/>
            </w:pPr>
            <w:r w:rsidRPr="00810800">
              <w:t>-1.87</w:t>
            </w:r>
          </w:p>
        </w:tc>
      </w:tr>
      <w:tr w:rsidR="009E3F7D" w:rsidTr="009E3F7D">
        <w:tc>
          <w:tcPr>
            <w:tcW w:w="2553" w:type="dxa"/>
            <w:shd w:val="clear" w:color="auto" w:fill="auto"/>
            <w:vAlign w:val="bottom"/>
          </w:tcPr>
          <w:p w:rsidR="009E3F7D" w:rsidRPr="00810800" w:rsidRDefault="009E3F7D" w:rsidP="008A50E2">
            <w:pPr>
              <w:pStyle w:val="TableBodyText"/>
              <w:spacing w:before="20"/>
              <w:jc w:val="left"/>
            </w:pPr>
            <w:r w:rsidRPr="00810800">
              <w:t>Manufacturing</w:t>
            </w:r>
          </w:p>
        </w:tc>
        <w:tc>
          <w:tcPr>
            <w:tcW w:w="946" w:type="dxa"/>
            <w:vAlign w:val="bottom"/>
          </w:tcPr>
          <w:p w:rsidR="009E3F7D" w:rsidRPr="00810800" w:rsidRDefault="009E3F7D" w:rsidP="008A50E2">
            <w:pPr>
              <w:pStyle w:val="TableBodyText"/>
              <w:spacing w:before="20"/>
            </w:pPr>
            <w:r w:rsidRPr="00810800">
              <w:t>0.72</w:t>
            </w:r>
          </w:p>
        </w:tc>
        <w:tc>
          <w:tcPr>
            <w:tcW w:w="946" w:type="dxa"/>
            <w:vAlign w:val="bottom"/>
          </w:tcPr>
          <w:p w:rsidR="009E3F7D" w:rsidRPr="00810800" w:rsidRDefault="009E3F7D" w:rsidP="008A50E2">
            <w:pPr>
              <w:pStyle w:val="TableBodyText"/>
              <w:spacing w:before="20"/>
            </w:pPr>
            <w:r w:rsidRPr="00810800">
              <w:t>0.85</w:t>
            </w:r>
          </w:p>
        </w:tc>
        <w:tc>
          <w:tcPr>
            <w:tcW w:w="946" w:type="dxa"/>
            <w:vAlign w:val="bottom"/>
          </w:tcPr>
          <w:p w:rsidR="009E3F7D" w:rsidRPr="00810800" w:rsidRDefault="009E3F7D" w:rsidP="008A50E2">
            <w:pPr>
              <w:pStyle w:val="TableBodyText"/>
              <w:spacing w:before="20"/>
            </w:pPr>
            <w:r w:rsidRPr="00810800">
              <w:t>-0.13</w:t>
            </w:r>
          </w:p>
        </w:tc>
        <w:tc>
          <w:tcPr>
            <w:tcW w:w="562" w:type="dxa"/>
          </w:tcPr>
          <w:p w:rsidR="009E3F7D" w:rsidRDefault="009E3F7D" w:rsidP="008A50E2">
            <w:pPr>
              <w:pStyle w:val="TableBodyText"/>
              <w:spacing w:before="20"/>
            </w:pPr>
          </w:p>
        </w:tc>
        <w:tc>
          <w:tcPr>
            <w:tcW w:w="946" w:type="dxa"/>
            <w:vAlign w:val="bottom"/>
          </w:tcPr>
          <w:p w:rsidR="009E3F7D" w:rsidRPr="00810800" w:rsidRDefault="009E3F7D" w:rsidP="008A50E2">
            <w:pPr>
              <w:pStyle w:val="TableBodyText"/>
              <w:spacing w:before="20"/>
            </w:pPr>
            <w:r w:rsidRPr="00810800">
              <w:t>1.04</w:t>
            </w:r>
          </w:p>
        </w:tc>
        <w:tc>
          <w:tcPr>
            <w:tcW w:w="946" w:type="dxa"/>
            <w:vAlign w:val="bottom"/>
          </w:tcPr>
          <w:p w:rsidR="009E3F7D" w:rsidRPr="00810800" w:rsidRDefault="009E3F7D" w:rsidP="008A50E2">
            <w:pPr>
              <w:pStyle w:val="TableBodyText"/>
              <w:spacing w:before="20"/>
            </w:pPr>
            <w:r w:rsidRPr="00810800">
              <w:t>0.84</w:t>
            </w:r>
          </w:p>
        </w:tc>
        <w:tc>
          <w:tcPr>
            <w:tcW w:w="944" w:type="dxa"/>
            <w:shd w:val="clear" w:color="auto" w:fill="auto"/>
            <w:vAlign w:val="bottom"/>
          </w:tcPr>
          <w:p w:rsidR="009E3F7D" w:rsidRPr="00810800" w:rsidRDefault="009E3F7D" w:rsidP="008A50E2">
            <w:pPr>
              <w:pStyle w:val="TableBodyText"/>
              <w:spacing w:before="20"/>
            </w:pPr>
            <w:r w:rsidRPr="00810800">
              <w:t>0.20</w:t>
            </w:r>
          </w:p>
        </w:tc>
      </w:tr>
      <w:tr w:rsidR="009E3F7D" w:rsidTr="009E3F7D">
        <w:tc>
          <w:tcPr>
            <w:tcW w:w="2553" w:type="dxa"/>
            <w:shd w:val="clear" w:color="auto" w:fill="auto"/>
            <w:vAlign w:val="bottom"/>
          </w:tcPr>
          <w:p w:rsidR="009E3F7D" w:rsidRPr="00810800" w:rsidRDefault="000B099D" w:rsidP="008A50E2">
            <w:pPr>
              <w:pStyle w:val="TableBodyText"/>
              <w:spacing w:before="20"/>
              <w:jc w:val="left"/>
            </w:pPr>
            <w:r>
              <w:t>Utilities</w:t>
            </w:r>
          </w:p>
        </w:tc>
        <w:tc>
          <w:tcPr>
            <w:tcW w:w="946" w:type="dxa"/>
            <w:vAlign w:val="bottom"/>
          </w:tcPr>
          <w:p w:rsidR="009E3F7D" w:rsidRPr="00810800" w:rsidRDefault="009E3F7D" w:rsidP="008A50E2">
            <w:pPr>
              <w:pStyle w:val="TableBodyText"/>
              <w:spacing w:before="20"/>
            </w:pPr>
            <w:r w:rsidRPr="00810800">
              <w:t>-0.14</w:t>
            </w:r>
          </w:p>
        </w:tc>
        <w:tc>
          <w:tcPr>
            <w:tcW w:w="946" w:type="dxa"/>
            <w:vAlign w:val="bottom"/>
          </w:tcPr>
          <w:p w:rsidR="009E3F7D" w:rsidRPr="00810800" w:rsidRDefault="009E3F7D" w:rsidP="008A50E2">
            <w:pPr>
              <w:pStyle w:val="TableBodyText"/>
              <w:spacing w:before="20"/>
            </w:pPr>
            <w:r w:rsidRPr="00810800">
              <w:t>0.19</w:t>
            </w:r>
          </w:p>
        </w:tc>
        <w:tc>
          <w:tcPr>
            <w:tcW w:w="946" w:type="dxa"/>
            <w:vAlign w:val="bottom"/>
          </w:tcPr>
          <w:p w:rsidR="009E3F7D" w:rsidRPr="00810800" w:rsidRDefault="009E3F7D" w:rsidP="008A50E2">
            <w:pPr>
              <w:pStyle w:val="TableBodyText"/>
              <w:spacing w:before="20"/>
            </w:pPr>
            <w:r w:rsidRPr="00810800">
              <w:t>-0.33</w:t>
            </w:r>
          </w:p>
        </w:tc>
        <w:tc>
          <w:tcPr>
            <w:tcW w:w="562" w:type="dxa"/>
          </w:tcPr>
          <w:p w:rsidR="009E3F7D" w:rsidRDefault="009E3F7D" w:rsidP="008A50E2">
            <w:pPr>
              <w:pStyle w:val="TableBodyText"/>
              <w:spacing w:before="20"/>
            </w:pPr>
          </w:p>
        </w:tc>
        <w:tc>
          <w:tcPr>
            <w:tcW w:w="946" w:type="dxa"/>
            <w:vAlign w:val="bottom"/>
          </w:tcPr>
          <w:p w:rsidR="009E3F7D" w:rsidRPr="00810800" w:rsidRDefault="009E3F7D" w:rsidP="008A50E2">
            <w:pPr>
              <w:pStyle w:val="TableBodyText"/>
              <w:spacing w:before="20"/>
            </w:pPr>
            <w:r w:rsidRPr="00810800">
              <w:t>0.05</w:t>
            </w:r>
          </w:p>
        </w:tc>
        <w:tc>
          <w:tcPr>
            <w:tcW w:w="946" w:type="dxa"/>
            <w:vAlign w:val="bottom"/>
          </w:tcPr>
          <w:p w:rsidR="009E3F7D" w:rsidRPr="00810800" w:rsidRDefault="009E3F7D" w:rsidP="008A50E2">
            <w:pPr>
              <w:pStyle w:val="TableBodyText"/>
              <w:spacing w:before="20"/>
            </w:pPr>
            <w:r w:rsidRPr="00810800">
              <w:t>0.20</w:t>
            </w:r>
          </w:p>
        </w:tc>
        <w:tc>
          <w:tcPr>
            <w:tcW w:w="944" w:type="dxa"/>
            <w:shd w:val="clear" w:color="auto" w:fill="auto"/>
            <w:vAlign w:val="bottom"/>
          </w:tcPr>
          <w:p w:rsidR="009E3F7D" w:rsidRPr="00810800" w:rsidRDefault="009E3F7D" w:rsidP="008A50E2">
            <w:pPr>
              <w:pStyle w:val="TableBodyText"/>
              <w:spacing w:before="20"/>
            </w:pPr>
            <w:r w:rsidRPr="00810800">
              <w:t>-0.15</w:t>
            </w:r>
          </w:p>
        </w:tc>
      </w:tr>
      <w:tr w:rsidR="009E3F7D" w:rsidTr="009E3F7D">
        <w:tc>
          <w:tcPr>
            <w:tcW w:w="2553" w:type="dxa"/>
            <w:shd w:val="clear" w:color="auto" w:fill="auto"/>
            <w:vAlign w:val="bottom"/>
          </w:tcPr>
          <w:p w:rsidR="009E3F7D" w:rsidRPr="00810800" w:rsidRDefault="009E3F7D" w:rsidP="008A50E2">
            <w:pPr>
              <w:pStyle w:val="TableBodyText"/>
              <w:spacing w:before="20"/>
              <w:jc w:val="left"/>
            </w:pPr>
            <w:r w:rsidRPr="00810800">
              <w:t>Construction</w:t>
            </w:r>
          </w:p>
        </w:tc>
        <w:tc>
          <w:tcPr>
            <w:tcW w:w="946" w:type="dxa"/>
            <w:vAlign w:val="bottom"/>
          </w:tcPr>
          <w:p w:rsidR="009E3F7D" w:rsidRPr="00810800" w:rsidRDefault="009E3F7D" w:rsidP="008A50E2">
            <w:pPr>
              <w:pStyle w:val="TableBodyText"/>
              <w:spacing w:before="20"/>
            </w:pPr>
            <w:r w:rsidRPr="00810800">
              <w:t>0.24</w:t>
            </w:r>
          </w:p>
        </w:tc>
        <w:tc>
          <w:tcPr>
            <w:tcW w:w="946" w:type="dxa"/>
            <w:vAlign w:val="bottom"/>
          </w:tcPr>
          <w:p w:rsidR="009E3F7D" w:rsidRPr="00810800" w:rsidRDefault="009E3F7D" w:rsidP="008A50E2">
            <w:pPr>
              <w:pStyle w:val="TableBodyText"/>
              <w:spacing w:before="20"/>
            </w:pPr>
            <w:r w:rsidRPr="00810800">
              <w:t>-0.07</w:t>
            </w:r>
          </w:p>
        </w:tc>
        <w:tc>
          <w:tcPr>
            <w:tcW w:w="946" w:type="dxa"/>
            <w:vAlign w:val="bottom"/>
          </w:tcPr>
          <w:p w:rsidR="009E3F7D" w:rsidRPr="00810800" w:rsidRDefault="009E3F7D" w:rsidP="008A50E2">
            <w:pPr>
              <w:pStyle w:val="TableBodyText"/>
              <w:spacing w:before="20"/>
            </w:pPr>
            <w:r w:rsidRPr="00810800">
              <w:t>0.31</w:t>
            </w:r>
          </w:p>
        </w:tc>
        <w:tc>
          <w:tcPr>
            <w:tcW w:w="562" w:type="dxa"/>
          </w:tcPr>
          <w:p w:rsidR="009E3F7D" w:rsidRDefault="009E3F7D" w:rsidP="008A50E2">
            <w:pPr>
              <w:pStyle w:val="TableBodyText"/>
              <w:spacing w:before="20"/>
            </w:pPr>
          </w:p>
        </w:tc>
        <w:tc>
          <w:tcPr>
            <w:tcW w:w="946" w:type="dxa"/>
            <w:vAlign w:val="bottom"/>
          </w:tcPr>
          <w:p w:rsidR="009E3F7D" w:rsidRPr="00810800" w:rsidRDefault="009E3F7D" w:rsidP="008A50E2">
            <w:pPr>
              <w:pStyle w:val="TableBodyText"/>
              <w:spacing w:before="20"/>
            </w:pPr>
            <w:r w:rsidRPr="00810800">
              <w:t>0.34</w:t>
            </w:r>
          </w:p>
        </w:tc>
        <w:tc>
          <w:tcPr>
            <w:tcW w:w="946" w:type="dxa"/>
            <w:vAlign w:val="bottom"/>
          </w:tcPr>
          <w:p w:rsidR="009E3F7D" w:rsidRPr="00810800" w:rsidRDefault="009E3F7D" w:rsidP="008A50E2">
            <w:pPr>
              <w:pStyle w:val="TableBodyText"/>
              <w:spacing w:before="20"/>
            </w:pPr>
            <w:r w:rsidRPr="00810800">
              <w:t>-0.08</w:t>
            </w:r>
          </w:p>
        </w:tc>
        <w:tc>
          <w:tcPr>
            <w:tcW w:w="944" w:type="dxa"/>
            <w:shd w:val="clear" w:color="auto" w:fill="auto"/>
            <w:vAlign w:val="bottom"/>
          </w:tcPr>
          <w:p w:rsidR="009E3F7D" w:rsidRPr="00810800" w:rsidRDefault="009E3F7D" w:rsidP="008A50E2">
            <w:pPr>
              <w:pStyle w:val="TableBodyText"/>
              <w:spacing w:before="20"/>
            </w:pPr>
            <w:r w:rsidRPr="00810800">
              <w:t>0.43</w:t>
            </w:r>
          </w:p>
        </w:tc>
      </w:tr>
      <w:tr w:rsidR="009E3F7D" w:rsidTr="009E3F7D">
        <w:tc>
          <w:tcPr>
            <w:tcW w:w="2553" w:type="dxa"/>
            <w:shd w:val="clear" w:color="auto" w:fill="auto"/>
            <w:vAlign w:val="bottom"/>
          </w:tcPr>
          <w:p w:rsidR="009E3F7D" w:rsidRPr="00810800" w:rsidRDefault="009E3F7D" w:rsidP="008A50E2">
            <w:pPr>
              <w:pStyle w:val="TableBodyText"/>
              <w:spacing w:before="20"/>
              <w:jc w:val="left"/>
            </w:pPr>
            <w:r w:rsidRPr="00810800">
              <w:t>Wholesale</w:t>
            </w:r>
          </w:p>
        </w:tc>
        <w:tc>
          <w:tcPr>
            <w:tcW w:w="946" w:type="dxa"/>
            <w:vAlign w:val="bottom"/>
          </w:tcPr>
          <w:p w:rsidR="009E3F7D" w:rsidRPr="00810800" w:rsidRDefault="009E3F7D" w:rsidP="008A50E2">
            <w:pPr>
              <w:pStyle w:val="TableBodyText"/>
              <w:spacing w:before="20"/>
            </w:pPr>
            <w:r w:rsidRPr="00810800">
              <w:t>0.47</w:t>
            </w:r>
          </w:p>
        </w:tc>
        <w:tc>
          <w:tcPr>
            <w:tcW w:w="946" w:type="dxa"/>
            <w:vAlign w:val="bottom"/>
          </w:tcPr>
          <w:p w:rsidR="009E3F7D" w:rsidRPr="00810800" w:rsidRDefault="009E3F7D" w:rsidP="008A50E2">
            <w:pPr>
              <w:pStyle w:val="TableBodyText"/>
              <w:spacing w:before="20"/>
            </w:pPr>
            <w:r w:rsidRPr="00810800">
              <w:t>0.25</w:t>
            </w:r>
          </w:p>
        </w:tc>
        <w:tc>
          <w:tcPr>
            <w:tcW w:w="946" w:type="dxa"/>
            <w:vAlign w:val="bottom"/>
          </w:tcPr>
          <w:p w:rsidR="009E3F7D" w:rsidRPr="00810800" w:rsidRDefault="009E3F7D" w:rsidP="008A50E2">
            <w:pPr>
              <w:pStyle w:val="TableBodyText"/>
              <w:spacing w:before="20"/>
            </w:pPr>
            <w:r w:rsidRPr="00810800">
              <w:t>0.23</w:t>
            </w:r>
          </w:p>
        </w:tc>
        <w:tc>
          <w:tcPr>
            <w:tcW w:w="562" w:type="dxa"/>
          </w:tcPr>
          <w:p w:rsidR="009E3F7D" w:rsidRDefault="009E3F7D" w:rsidP="008A50E2">
            <w:pPr>
              <w:pStyle w:val="TableBodyText"/>
              <w:spacing w:before="20"/>
            </w:pPr>
          </w:p>
        </w:tc>
        <w:tc>
          <w:tcPr>
            <w:tcW w:w="946" w:type="dxa"/>
            <w:vAlign w:val="bottom"/>
          </w:tcPr>
          <w:p w:rsidR="009E3F7D" w:rsidRPr="00810800" w:rsidRDefault="009E3F7D" w:rsidP="008A50E2">
            <w:pPr>
              <w:pStyle w:val="TableBodyText"/>
              <w:spacing w:before="20"/>
            </w:pPr>
            <w:r w:rsidRPr="00810800">
              <w:t>0.43</w:t>
            </w:r>
          </w:p>
        </w:tc>
        <w:tc>
          <w:tcPr>
            <w:tcW w:w="946" w:type="dxa"/>
            <w:vAlign w:val="bottom"/>
          </w:tcPr>
          <w:p w:rsidR="009E3F7D" w:rsidRPr="00810800" w:rsidRDefault="009E3F7D" w:rsidP="008A50E2">
            <w:pPr>
              <w:pStyle w:val="TableBodyText"/>
              <w:spacing w:before="20"/>
            </w:pPr>
            <w:r w:rsidRPr="00810800">
              <w:t>0.31</w:t>
            </w:r>
          </w:p>
        </w:tc>
        <w:tc>
          <w:tcPr>
            <w:tcW w:w="944" w:type="dxa"/>
            <w:shd w:val="clear" w:color="auto" w:fill="auto"/>
            <w:vAlign w:val="bottom"/>
          </w:tcPr>
          <w:p w:rsidR="009E3F7D" w:rsidRPr="00810800" w:rsidRDefault="009E3F7D" w:rsidP="008A50E2">
            <w:pPr>
              <w:pStyle w:val="TableBodyText"/>
              <w:spacing w:before="20"/>
            </w:pPr>
            <w:r w:rsidRPr="00810800">
              <w:t>0.12</w:t>
            </w:r>
          </w:p>
        </w:tc>
      </w:tr>
      <w:tr w:rsidR="009E3F7D" w:rsidTr="009E3F7D">
        <w:tc>
          <w:tcPr>
            <w:tcW w:w="2553" w:type="dxa"/>
            <w:shd w:val="clear" w:color="auto" w:fill="auto"/>
            <w:vAlign w:val="bottom"/>
          </w:tcPr>
          <w:p w:rsidR="009E3F7D" w:rsidRPr="00810800" w:rsidRDefault="009E3F7D" w:rsidP="008A50E2">
            <w:pPr>
              <w:pStyle w:val="TableBodyText"/>
              <w:spacing w:before="20"/>
              <w:jc w:val="left"/>
            </w:pPr>
            <w:r w:rsidRPr="00810800">
              <w:t>Retail</w:t>
            </w:r>
          </w:p>
        </w:tc>
        <w:tc>
          <w:tcPr>
            <w:tcW w:w="946" w:type="dxa"/>
            <w:vAlign w:val="bottom"/>
          </w:tcPr>
          <w:p w:rsidR="009E3F7D" w:rsidRPr="00810800" w:rsidRDefault="009E3F7D" w:rsidP="008A50E2">
            <w:pPr>
              <w:pStyle w:val="TableBodyText"/>
              <w:spacing w:before="20"/>
            </w:pPr>
            <w:r w:rsidRPr="00810800">
              <w:t>0.55</w:t>
            </w:r>
          </w:p>
        </w:tc>
        <w:tc>
          <w:tcPr>
            <w:tcW w:w="946" w:type="dxa"/>
            <w:vAlign w:val="bottom"/>
          </w:tcPr>
          <w:p w:rsidR="009E3F7D" w:rsidRPr="00810800" w:rsidRDefault="009E3F7D" w:rsidP="008A50E2">
            <w:pPr>
              <w:pStyle w:val="TableBodyText"/>
              <w:spacing w:before="20"/>
            </w:pPr>
            <w:r w:rsidRPr="00810800">
              <w:t>0.04</w:t>
            </w:r>
          </w:p>
        </w:tc>
        <w:tc>
          <w:tcPr>
            <w:tcW w:w="946" w:type="dxa"/>
            <w:vAlign w:val="bottom"/>
          </w:tcPr>
          <w:p w:rsidR="009E3F7D" w:rsidRPr="00810800" w:rsidRDefault="009E3F7D" w:rsidP="008A50E2">
            <w:pPr>
              <w:pStyle w:val="TableBodyText"/>
              <w:spacing w:before="20"/>
            </w:pPr>
            <w:r w:rsidRPr="00810800">
              <w:t>0.51</w:t>
            </w:r>
          </w:p>
        </w:tc>
        <w:tc>
          <w:tcPr>
            <w:tcW w:w="562" w:type="dxa"/>
          </w:tcPr>
          <w:p w:rsidR="009E3F7D" w:rsidRDefault="009E3F7D" w:rsidP="008A50E2">
            <w:pPr>
              <w:pStyle w:val="TableBodyText"/>
              <w:spacing w:before="20"/>
            </w:pPr>
          </w:p>
        </w:tc>
        <w:tc>
          <w:tcPr>
            <w:tcW w:w="946" w:type="dxa"/>
            <w:vAlign w:val="bottom"/>
          </w:tcPr>
          <w:p w:rsidR="009E3F7D" w:rsidRPr="00810800" w:rsidRDefault="009E3F7D" w:rsidP="008A50E2">
            <w:pPr>
              <w:pStyle w:val="TableBodyText"/>
              <w:spacing w:before="20"/>
            </w:pPr>
            <w:r w:rsidRPr="00810800">
              <w:t>0.24</w:t>
            </w:r>
          </w:p>
        </w:tc>
        <w:tc>
          <w:tcPr>
            <w:tcW w:w="946" w:type="dxa"/>
            <w:vAlign w:val="bottom"/>
          </w:tcPr>
          <w:p w:rsidR="009E3F7D" w:rsidRPr="00810800" w:rsidRDefault="009E3F7D" w:rsidP="008A50E2">
            <w:pPr>
              <w:pStyle w:val="TableBodyText"/>
              <w:spacing w:before="20"/>
            </w:pPr>
            <w:r w:rsidRPr="00810800">
              <w:t>0.09</w:t>
            </w:r>
          </w:p>
        </w:tc>
        <w:tc>
          <w:tcPr>
            <w:tcW w:w="944" w:type="dxa"/>
            <w:shd w:val="clear" w:color="auto" w:fill="auto"/>
            <w:vAlign w:val="bottom"/>
          </w:tcPr>
          <w:p w:rsidR="009E3F7D" w:rsidRPr="00810800" w:rsidRDefault="009E3F7D" w:rsidP="008A50E2">
            <w:pPr>
              <w:pStyle w:val="TableBodyText"/>
              <w:spacing w:before="20"/>
            </w:pPr>
            <w:r w:rsidRPr="00810800">
              <w:t>0.15</w:t>
            </w:r>
          </w:p>
        </w:tc>
      </w:tr>
      <w:tr w:rsidR="009E3F7D" w:rsidTr="009E3F7D">
        <w:tc>
          <w:tcPr>
            <w:tcW w:w="2553" w:type="dxa"/>
            <w:shd w:val="clear" w:color="auto" w:fill="auto"/>
            <w:vAlign w:val="bottom"/>
          </w:tcPr>
          <w:p w:rsidR="009E3F7D" w:rsidRPr="00810800" w:rsidRDefault="009E3F7D" w:rsidP="008A50E2">
            <w:pPr>
              <w:pStyle w:val="TableBodyText"/>
              <w:spacing w:before="20"/>
              <w:jc w:val="left"/>
            </w:pPr>
            <w:r w:rsidRPr="00810800">
              <w:t>Accommodation</w:t>
            </w:r>
          </w:p>
        </w:tc>
        <w:tc>
          <w:tcPr>
            <w:tcW w:w="946" w:type="dxa"/>
            <w:vAlign w:val="bottom"/>
          </w:tcPr>
          <w:p w:rsidR="009E3F7D" w:rsidRPr="00810800" w:rsidRDefault="009E3F7D" w:rsidP="008A50E2">
            <w:pPr>
              <w:pStyle w:val="TableBodyText"/>
              <w:spacing w:before="20"/>
            </w:pPr>
            <w:r w:rsidRPr="00810800">
              <w:t>0.14</w:t>
            </w:r>
          </w:p>
        </w:tc>
        <w:tc>
          <w:tcPr>
            <w:tcW w:w="946" w:type="dxa"/>
            <w:vAlign w:val="bottom"/>
          </w:tcPr>
          <w:p w:rsidR="009E3F7D" w:rsidRPr="00810800" w:rsidRDefault="009E3F7D" w:rsidP="008A50E2">
            <w:pPr>
              <w:pStyle w:val="TableBodyText"/>
              <w:spacing w:before="20"/>
            </w:pPr>
            <w:r w:rsidRPr="00810800">
              <w:t>-0.20</w:t>
            </w:r>
          </w:p>
        </w:tc>
        <w:tc>
          <w:tcPr>
            <w:tcW w:w="946" w:type="dxa"/>
            <w:vAlign w:val="bottom"/>
          </w:tcPr>
          <w:p w:rsidR="009E3F7D" w:rsidRPr="00810800" w:rsidRDefault="009E3F7D" w:rsidP="008A50E2">
            <w:pPr>
              <w:pStyle w:val="TableBodyText"/>
              <w:spacing w:before="20"/>
            </w:pPr>
            <w:r w:rsidRPr="00810800">
              <w:t>0.34</w:t>
            </w:r>
          </w:p>
        </w:tc>
        <w:tc>
          <w:tcPr>
            <w:tcW w:w="562" w:type="dxa"/>
          </w:tcPr>
          <w:p w:rsidR="009E3F7D" w:rsidRDefault="009E3F7D" w:rsidP="008A50E2">
            <w:pPr>
              <w:pStyle w:val="TableBodyText"/>
              <w:spacing w:before="20"/>
            </w:pPr>
          </w:p>
        </w:tc>
        <w:tc>
          <w:tcPr>
            <w:tcW w:w="946" w:type="dxa"/>
            <w:vAlign w:val="bottom"/>
          </w:tcPr>
          <w:p w:rsidR="009E3F7D" w:rsidRPr="00810800" w:rsidRDefault="009E3F7D" w:rsidP="008A50E2">
            <w:pPr>
              <w:pStyle w:val="TableBodyText"/>
              <w:spacing w:before="20"/>
            </w:pPr>
            <w:r w:rsidRPr="00810800">
              <w:t>0.09</w:t>
            </w:r>
          </w:p>
        </w:tc>
        <w:tc>
          <w:tcPr>
            <w:tcW w:w="946" w:type="dxa"/>
            <w:vAlign w:val="bottom"/>
          </w:tcPr>
          <w:p w:rsidR="009E3F7D" w:rsidRPr="00810800" w:rsidRDefault="009E3F7D" w:rsidP="008A50E2">
            <w:pPr>
              <w:pStyle w:val="TableBodyText"/>
              <w:spacing w:before="20"/>
            </w:pPr>
            <w:r w:rsidRPr="00810800">
              <w:t>0.00</w:t>
            </w:r>
          </w:p>
        </w:tc>
        <w:tc>
          <w:tcPr>
            <w:tcW w:w="944" w:type="dxa"/>
            <w:shd w:val="clear" w:color="auto" w:fill="auto"/>
            <w:vAlign w:val="bottom"/>
          </w:tcPr>
          <w:p w:rsidR="009E3F7D" w:rsidRPr="00810800" w:rsidRDefault="009E3F7D" w:rsidP="008A50E2">
            <w:pPr>
              <w:pStyle w:val="TableBodyText"/>
              <w:spacing w:before="20"/>
            </w:pPr>
            <w:r w:rsidRPr="00810800">
              <w:t>0.09</w:t>
            </w:r>
          </w:p>
        </w:tc>
      </w:tr>
      <w:tr w:rsidR="009E3F7D" w:rsidTr="009E3F7D">
        <w:tc>
          <w:tcPr>
            <w:tcW w:w="2553" w:type="dxa"/>
            <w:shd w:val="clear" w:color="auto" w:fill="auto"/>
            <w:vAlign w:val="bottom"/>
          </w:tcPr>
          <w:p w:rsidR="009E3F7D" w:rsidRPr="00810800" w:rsidRDefault="009E3F7D" w:rsidP="008A50E2">
            <w:pPr>
              <w:pStyle w:val="TableBodyText"/>
              <w:spacing w:before="20"/>
              <w:jc w:val="left"/>
            </w:pPr>
            <w:r w:rsidRPr="00810800">
              <w:t>Transport</w:t>
            </w:r>
          </w:p>
        </w:tc>
        <w:tc>
          <w:tcPr>
            <w:tcW w:w="946" w:type="dxa"/>
            <w:vAlign w:val="bottom"/>
          </w:tcPr>
          <w:p w:rsidR="009E3F7D" w:rsidRPr="00810800" w:rsidRDefault="009E3F7D" w:rsidP="008A50E2">
            <w:pPr>
              <w:pStyle w:val="TableBodyText"/>
              <w:spacing w:before="20"/>
            </w:pPr>
            <w:r w:rsidRPr="00810800">
              <w:t>0.06</w:t>
            </w:r>
          </w:p>
        </w:tc>
        <w:tc>
          <w:tcPr>
            <w:tcW w:w="946" w:type="dxa"/>
            <w:vAlign w:val="bottom"/>
          </w:tcPr>
          <w:p w:rsidR="009E3F7D" w:rsidRPr="00810800" w:rsidRDefault="009E3F7D" w:rsidP="008A50E2">
            <w:pPr>
              <w:pStyle w:val="TableBodyText"/>
              <w:spacing w:before="20"/>
            </w:pPr>
            <w:r w:rsidRPr="00810800">
              <w:t>0.07</w:t>
            </w:r>
          </w:p>
        </w:tc>
        <w:tc>
          <w:tcPr>
            <w:tcW w:w="946" w:type="dxa"/>
            <w:vAlign w:val="bottom"/>
          </w:tcPr>
          <w:p w:rsidR="009E3F7D" w:rsidRPr="00810800" w:rsidRDefault="009E3F7D" w:rsidP="008A50E2">
            <w:pPr>
              <w:pStyle w:val="TableBodyText"/>
              <w:spacing w:before="20"/>
            </w:pPr>
            <w:r w:rsidRPr="00810800">
              <w:t>0.00</w:t>
            </w:r>
          </w:p>
        </w:tc>
        <w:tc>
          <w:tcPr>
            <w:tcW w:w="562" w:type="dxa"/>
          </w:tcPr>
          <w:p w:rsidR="009E3F7D" w:rsidRDefault="009E3F7D" w:rsidP="008A50E2">
            <w:pPr>
              <w:pStyle w:val="TableBodyText"/>
              <w:spacing w:before="20"/>
            </w:pPr>
          </w:p>
        </w:tc>
        <w:tc>
          <w:tcPr>
            <w:tcW w:w="946" w:type="dxa"/>
            <w:vAlign w:val="bottom"/>
          </w:tcPr>
          <w:p w:rsidR="009E3F7D" w:rsidRPr="00810800" w:rsidRDefault="009E3F7D" w:rsidP="008A50E2">
            <w:pPr>
              <w:pStyle w:val="TableBodyText"/>
              <w:spacing w:before="20"/>
            </w:pPr>
            <w:r w:rsidRPr="00810800">
              <w:t>0.25</w:t>
            </w:r>
          </w:p>
        </w:tc>
        <w:tc>
          <w:tcPr>
            <w:tcW w:w="946" w:type="dxa"/>
            <w:vAlign w:val="bottom"/>
          </w:tcPr>
          <w:p w:rsidR="009E3F7D" w:rsidRPr="00810800" w:rsidRDefault="009E3F7D" w:rsidP="008A50E2">
            <w:pPr>
              <w:pStyle w:val="TableBodyText"/>
              <w:spacing w:before="20"/>
            </w:pPr>
            <w:r w:rsidRPr="00810800">
              <w:t>0.22</w:t>
            </w:r>
          </w:p>
        </w:tc>
        <w:tc>
          <w:tcPr>
            <w:tcW w:w="944" w:type="dxa"/>
            <w:shd w:val="clear" w:color="auto" w:fill="auto"/>
            <w:vAlign w:val="bottom"/>
          </w:tcPr>
          <w:p w:rsidR="009E3F7D" w:rsidRPr="00810800" w:rsidRDefault="009E3F7D" w:rsidP="008A50E2">
            <w:pPr>
              <w:pStyle w:val="TableBodyText"/>
              <w:spacing w:before="20"/>
            </w:pPr>
            <w:r w:rsidRPr="00810800">
              <w:t>0.03</w:t>
            </w:r>
          </w:p>
        </w:tc>
      </w:tr>
      <w:tr w:rsidR="009E3F7D" w:rsidTr="009E3F7D">
        <w:tc>
          <w:tcPr>
            <w:tcW w:w="2553" w:type="dxa"/>
            <w:shd w:val="clear" w:color="auto" w:fill="auto"/>
            <w:vAlign w:val="bottom"/>
          </w:tcPr>
          <w:p w:rsidR="009E3F7D" w:rsidRPr="00810800" w:rsidRDefault="009E3F7D" w:rsidP="008A50E2">
            <w:pPr>
              <w:pStyle w:val="TableBodyText"/>
              <w:spacing w:before="20"/>
              <w:jc w:val="left"/>
            </w:pPr>
            <w:r w:rsidRPr="00810800">
              <w:t>Telecoms</w:t>
            </w:r>
          </w:p>
        </w:tc>
        <w:tc>
          <w:tcPr>
            <w:tcW w:w="946" w:type="dxa"/>
            <w:vAlign w:val="bottom"/>
          </w:tcPr>
          <w:p w:rsidR="009E3F7D" w:rsidRPr="00810800" w:rsidRDefault="009E3F7D" w:rsidP="008A50E2">
            <w:pPr>
              <w:pStyle w:val="TableBodyText"/>
              <w:spacing w:before="20"/>
            </w:pPr>
            <w:r w:rsidRPr="00810800">
              <w:t>0.11</w:t>
            </w:r>
          </w:p>
        </w:tc>
        <w:tc>
          <w:tcPr>
            <w:tcW w:w="946" w:type="dxa"/>
            <w:vAlign w:val="bottom"/>
          </w:tcPr>
          <w:p w:rsidR="009E3F7D" w:rsidRPr="00810800" w:rsidRDefault="009E3F7D" w:rsidP="008A50E2">
            <w:pPr>
              <w:pStyle w:val="TableBodyText"/>
              <w:spacing w:before="20"/>
            </w:pPr>
            <w:r w:rsidRPr="00810800">
              <w:t>0.56</w:t>
            </w:r>
          </w:p>
        </w:tc>
        <w:tc>
          <w:tcPr>
            <w:tcW w:w="946" w:type="dxa"/>
            <w:vAlign w:val="bottom"/>
          </w:tcPr>
          <w:p w:rsidR="009E3F7D" w:rsidRPr="00810800" w:rsidRDefault="009E3F7D" w:rsidP="008A50E2">
            <w:pPr>
              <w:pStyle w:val="TableBodyText"/>
              <w:spacing w:before="20"/>
            </w:pPr>
            <w:r w:rsidRPr="00810800">
              <w:t>-0.46</w:t>
            </w:r>
          </w:p>
        </w:tc>
        <w:tc>
          <w:tcPr>
            <w:tcW w:w="562" w:type="dxa"/>
          </w:tcPr>
          <w:p w:rsidR="009E3F7D" w:rsidRDefault="009E3F7D" w:rsidP="008A50E2">
            <w:pPr>
              <w:pStyle w:val="TableBodyText"/>
              <w:spacing w:before="20"/>
            </w:pPr>
          </w:p>
        </w:tc>
        <w:tc>
          <w:tcPr>
            <w:tcW w:w="946" w:type="dxa"/>
            <w:vAlign w:val="bottom"/>
          </w:tcPr>
          <w:p w:rsidR="009E3F7D" w:rsidRPr="00810800" w:rsidRDefault="009E3F7D" w:rsidP="008A50E2">
            <w:pPr>
              <w:pStyle w:val="TableBodyText"/>
              <w:spacing w:before="20"/>
            </w:pPr>
            <w:r w:rsidRPr="00810800">
              <w:t>0.13</w:t>
            </w:r>
          </w:p>
        </w:tc>
        <w:tc>
          <w:tcPr>
            <w:tcW w:w="946" w:type="dxa"/>
            <w:vAlign w:val="bottom"/>
          </w:tcPr>
          <w:p w:rsidR="009E3F7D" w:rsidRPr="00810800" w:rsidRDefault="009E3F7D" w:rsidP="008A50E2">
            <w:pPr>
              <w:pStyle w:val="TableBodyText"/>
              <w:spacing w:before="20"/>
            </w:pPr>
            <w:r w:rsidRPr="00810800">
              <w:t>0.49</w:t>
            </w:r>
          </w:p>
        </w:tc>
        <w:tc>
          <w:tcPr>
            <w:tcW w:w="944" w:type="dxa"/>
            <w:shd w:val="clear" w:color="auto" w:fill="auto"/>
            <w:vAlign w:val="bottom"/>
          </w:tcPr>
          <w:p w:rsidR="009E3F7D" w:rsidRPr="00810800" w:rsidRDefault="009E3F7D" w:rsidP="008A50E2">
            <w:pPr>
              <w:pStyle w:val="TableBodyText"/>
              <w:spacing w:before="20"/>
            </w:pPr>
            <w:r w:rsidRPr="00810800">
              <w:t>-0.36</w:t>
            </w:r>
          </w:p>
        </w:tc>
      </w:tr>
      <w:tr w:rsidR="009E3F7D" w:rsidTr="009E3F7D">
        <w:tc>
          <w:tcPr>
            <w:tcW w:w="2553" w:type="dxa"/>
            <w:shd w:val="clear" w:color="auto" w:fill="auto"/>
            <w:vAlign w:val="bottom"/>
          </w:tcPr>
          <w:p w:rsidR="009E3F7D" w:rsidRPr="00810800" w:rsidRDefault="009E3F7D" w:rsidP="008A50E2">
            <w:pPr>
              <w:pStyle w:val="TableBodyText"/>
              <w:spacing w:before="20"/>
              <w:jc w:val="left"/>
            </w:pPr>
            <w:r w:rsidRPr="00810800">
              <w:t>Financ</w:t>
            </w:r>
            <w:r>
              <w:t>e</w:t>
            </w:r>
          </w:p>
        </w:tc>
        <w:tc>
          <w:tcPr>
            <w:tcW w:w="946" w:type="dxa"/>
            <w:vAlign w:val="bottom"/>
          </w:tcPr>
          <w:p w:rsidR="009E3F7D" w:rsidRPr="00810800" w:rsidRDefault="009E3F7D" w:rsidP="008A50E2">
            <w:pPr>
              <w:pStyle w:val="TableBodyText"/>
              <w:spacing w:before="20"/>
            </w:pPr>
            <w:r w:rsidRPr="00810800">
              <w:t>-0.11</w:t>
            </w:r>
          </w:p>
        </w:tc>
        <w:tc>
          <w:tcPr>
            <w:tcW w:w="946" w:type="dxa"/>
            <w:vAlign w:val="bottom"/>
          </w:tcPr>
          <w:p w:rsidR="009E3F7D" w:rsidRPr="00810800" w:rsidRDefault="009E3F7D" w:rsidP="008A50E2">
            <w:pPr>
              <w:pStyle w:val="TableBodyText"/>
              <w:spacing w:before="20"/>
            </w:pPr>
            <w:r w:rsidRPr="00810800">
              <w:t>0.65</w:t>
            </w:r>
          </w:p>
        </w:tc>
        <w:tc>
          <w:tcPr>
            <w:tcW w:w="946" w:type="dxa"/>
            <w:vAlign w:val="bottom"/>
          </w:tcPr>
          <w:p w:rsidR="009E3F7D" w:rsidRPr="00810800" w:rsidRDefault="009E3F7D" w:rsidP="008A50E2">
            <w:pPr>
              <w:pStyle w:val="TableBodyText"/>
              <w:spacing w:before="20"/>
            </w:pPr>
            <w:r w:rsidRPr="00810800">
              <w:t>-0.77</w:t>
            </w:r>
          </w:p>
        </w:tc>
        <w:tc>
          <w:tcPr>
            <w:tcW w:w="562" w:type="dxa"/>
          </w:tcPr>
          <w:p w:rsidR="009E3F7D" w:rsidRDefault="009E3F7D" w:rsidP="008A50E2">
            <w:pPr>
              <w:pStyle w:val="TableBodyText"/>
              <w:spacing w:before="20"/>
            </w:pPr>
          </w:p>
        </w:tc>
        <w:tc>
          <w:tcPr>
            <w:tcW w:w="946" w:type="dxa"/>
            <w:vAlign w:val="bottom"/>
          </w:tcPr>
          <w:p w:rsidR="009E3F7D" w:rsidRPr="00810800" w:rsidRDefault="009E3F7D" w:rsidP="008A50E2">
            <w:pPr>
              <w:pStyle w:val="TableBodyText"/>
              <w:spacing w:before="20"/>
            </w:pPr>
            <w:r w:rsidRPr="00810800">
              <w:t>0.38</w:t>
            </w:r>
          </w:p>
        </w:tc>
        <w:tc>
          <w:tcPr>
            <w:tcW w:w="946" w:type="dxa"/>
            <w:vAlign w:val="bottom"/>
          </w:tcPr>
          <w:p w:rsidR="009E3F7D" w:rsidRPr="00810800" w:rsidRDefault="009E3F7D" w:rsidP="008A50E2">
            <w:pPr>
              <w:pStyle w:val="TableBodyText"/>
              <w:spacing w:before="20"/>
            </w:pPr>
            <w:r w:rsidRPr="00810800">
              <w:t>0.56</w:t>
            </w:r>
          </w:p>
        </w:tc>
        <w:tc>
          <w:tcPr>
            <w:tcW w:w="944" w:type="dxa"/>
            <w:shd w:val="clear" w:color="auto" w:fill="auto"/>
            <w:vAlign w:val="bottom"/>
          </w:tcPr>
          <w:p w:rsidR="009E3F7D" w:rsidRPr="00810800" w:rsidRDefault="009E3F7D" w:rsidP="008A50E2">
            <w:pPr>
              <w:pStyle w:val="TableBodyText"/>
              <w:spacing w:before="20"/>
            </w:pPr>
            <w:r w:rsidRPr="00810800">
              <w:t>-0.18</w:t>
            </w:r>
          </w:p>
        </w:tc>
      </w:tr>
      <w:tr w:rsidR="009E3F7D" w:rsidTr="009E3F7D">
        <w:tc>
          <w:tcPr>
            <w:tcW w:w="2553" w:type="dxa"/>
            <w:shd w:val="clear" w:color="auto" w:fill="auto"/>
            <w:vAlign w:val="bottom"/>
          </w:tcPr>
          <w:p w:rsidR="009E3F7D" w:rsidRPr="00810800" w:rsidRDefault="009E3F7D" w:rsidP="008A50E2">
            <w:pPr>
              <w:pStyle w:val="TableBodyText"/>
              <w:spacing w:before="20"/>
              <w:jc w:val="left"/>
            </w:pPr>
            <w:r w:rsidRPr="00810800">
              <w:t>Arts &amp; rec</w:t>
            </w:r>
          </w:p>
        </w:tc>
        <w:tc>
          <w:tcPr>
            <w:tcW w:w="946" w:type="dxa"/>
            <w:vAlign w:val="bottom"/>
          </w:tcPr>
          <w:p w:rsidR="009E3F7D" w:rsidRPr="00810800" w:rsidRDefault="009E3F7D" w:rsidP="008A50E2">
            <w:pPr>
              <w:pStyle w:val="TableBodyText"/>
              <w:spacing w:before="20"/>
            </w:pPr>
            <w:r w:rsidRPr="00810800">
              <w:t>0.07</w:t>
            </w:r>
          </w:p>
        </w:tc>
        <w:tc>
          <w:tcPr>
            <w:tcW w:w="946" w:type="dxa"/>
            <w:vAlign w:val="bottom"/>
          </w:tcPr>
          <w:p w:rsidR="009E3F7D" w:rsidRPr="00810800" w:rsidRDefault="009E3F7D" w:rsidP="008A50E2">
            <w:pPr>
              <w:pStyle w:val="TableBodyText"/>
              <w:spacing w:before="20"/>
            </w:pPr>
            <w:r w:rsidRPr="00810800">
              <w:t>0.02</w:t>
            </w:r>
          </w:p>
        </w:tc>
        <w:tc>
          <w:tcPr>
            <w:tcW w:w="946" w:type="dxa"/>
            <w:vAlign w:val="bottom"/>
          </w:tcPr>
          <w:p w:rsidR="009E3F7D" w:rsidRPr="00810800" w:rsidRDefault="009E3F7D" w:rsidP="008A50E2">
            <w:pPr>
              <w:pStyle w:val="TableBodyText"/>
              <w:spacing w:before="20"/>
            </w:pPr>
            <w:r w:rsidRPr="00810800">
              <w:t>0.05</w:t>
            </w:r>
          </w:p>
        </w:tc>
        <w:tc>
          <w:tcPr>
            <w:tcW w:w="562" w:type="dxa"/>
          </w:tcPr>
          <w:p w:rsidR="009E3F7D" w:rsidRDefault="009E3F7D" w:rsidP="008A50E2">
            <w:pPr>
              <w:pStyle w:val="TableBodyText"/>
              <w:spacing w:before="20"/>
            </w:pPr>
          </w:p>
        </w:tc>
        <w:tc>
          <w:tcPr>
            <w:tcW w:w="946" w:type="dxa"/>
            <w:vAlign w:val="bottom"/>
          </w:tcPr>
          <w:p w:rsidR="009E3F7D" w:rsidRPr="00810800" w:rsidRDefault="009E3F7D" w:rsidP="008A50E2">
            <w:pPr>
              <w:pStyle w:val="TableBodyText"/>
              <w:spacing w:before="20"/>
            </w:pPr>
            <w:r w:rsidRPr="00810800">
              <w:t>0.02</w:t>
            </w:r>
          </w:p>
        </w:tc>
        <w:tc>
          <w:tcPr>
            <w:tcW w:w="946" w:type="dxa"/>
            <w:vAlign w:val="bottom"/>
          </w:tcPr>
          <w:p w:rsidR="009E3F7D" w:rsidRPr="00810800" w:rsidRDefault="009E3F7D" w:rsidP="008A50E2">
            <w:pPr>
              <w:pStyle w:val="TableBodyText"/>
              <w:spacing w:before="20"/>
            </w:pPr>
            <w:r w:rsidRPr="00810800">
              <w:t>0.00</w:t>
            </w:r>
          </w:p>
        </w:tc>
        <w:tc>
          <w:tcPr>
            <w:tcW w:w="944" w:type="dxa"/>
            <w:shd w:val="clear" w:color="auto" w:fill="auto"/>
            <w:vAlign w:val="bottom"/>
          </w:tcPr>
          <w:p w:rsidR="009E3F7D" w:rsidRPr="00810800" w:rsidRDefault="009E3F7D" w:rsidP="008A50E2">
            <w:pPr>
              <w:pStyle w:val="TableBodyText"/>
              <w:spacing w:before="20"/>
            </w:pPr>
            <w:r w:rsidRPr="00810800">
              <w:t>0.01</w:t>
            </w:r>
          </w:p>
        </w:tc>
      </w:tr>
      <w:tr w:rsidR="009E3F7D" w:rsidTr="009E3F7D">
        <w:tc>
          <w:tcPr>
            <w:tcW w:w="2553" w:type="dxa"/>
            <w:tcBorders>
              <w:bottom w:val="single" w:sz="4" w:space="0" w:color="auto"/>
            </w:tcBorders>
            <w:shd w:val="clear" w:color="auto" w:fill="auto"/>
            <w:vAlign w:val="bottom"/>
          </w:tcPr>
          <w:p w:rsidR="009E3F7D" w:rsidRPr="00810800" w:rsidRDefault="009E3F7D" w:rsidP="008A50E2">
            <w:pPr>
              <w:pStyle w:val="TableBodyText"/>
              <w:spacing w:before="20"/>
              <w:jc w:val="left"/>
            </w:pPr>
            <w:r w:rsidRPr="00810800">
              <w:t xml:space="preserve">Market sector </w:t>
            </w:r>
            <w:r w:rsidR="008728D5">
              <w:t>12</w:t>
            </w:r>
          </w:p>
        </w:tc>
        <w:tc>
          <w:tcPr>
            <w:tcW w:w="946" w:type="dxa"/>
            <w:tcBorders>
              <w:bottom w:val="single" w:sz="4" w:space="0" w:color="auto"/>
            </w:tcBorders>
            <w:vAlign w:val="bottom"/>
          </w:tcPr>
          <w:p w:rsidR="009E3F7D" w:rsidRPr="00810800" w:rsidRDefault="009E3F7D" w:rsidP="008A50E2">
            <w:pPr>
              <w:pStyle w:val="TableBodyText"/>
              <w:spacing w:before="20"/>
            </w:pPr>
            <w:r w:rsidRPr="00810800">
              <w:t>2.3</w:t>
            </w:r>
          </w:p>
        </w:tc>
        <w:tc>
          <w:tcPr>
            <w:tcW w:w="946" w:type="dxa"/>
            <w:tcBorders>
              <w:bottom w:val="single" w:sz="4" w:space="0" w:color="auto"/>
            </w:tcBorders>
            <w:vAlign w:val="bottom"/>
          </w:tcPr>
          <w:p w:rsidR="009E3F7D" w:rsidRPr="00810800" w:rsidRDefault="009E3F7D" w:rsidP="008A50E2">
            <w:pPr>
              <w:pStyle w:val="TableBodyText"/>
              <w:spacing w:before="20"/>
            </w:pPr>
            <w:r w:rsidRPr="00810800">
              <w:t>2.9</w:t>
            </w:r>
          </w:p>
        </w:tc>
        <w:tc>
          <w:tcPr>
            <w:tcW w:w="946" w:type="dxa"/>
            <w:tcBorders>
              <w:bottom w:val="single" w:sz="4" w:space="0" w:color="auto"/>
            </w:tcBorders>
            <w:vAlign w:val="bottom"/>
          </w:tcPr>
          <w:p w:rsidR="009E3F7D" w:rsidRPr="00810800" w:rsidRDefault="009E3F7D" w:rsidP="008A50E2">
            <w:pPr>
              <w:pStyle w:val="TableBodyText"/>
              <w:spacing w:before="20"/>
            </w:pPr>
            <w:r w:rsidRPr="00810800">
              <w:t>-0.6</w:t>
            </w:r>
          </w:p>
        </w:tc>
        <w:tc>
          <w:tcPr>
            <w:tcW w:w="562" w:type="dxa"/>
            <w:tcBorders>
              <w:bottom w:val="single" w:sz="4" w:space="0" w:color="auto"/>
            </w:tcBorders>
          </w:tcPr>
          <w:p w:rsidR="009E3F7D" w:rsidRDefault="009E3F7D" w:rsidP="008A50E2">
            <w:pPr>
              <w:pStyle w:val="TableBodyText"/>
              <w:spacing w:before="20"/>
            </w:pPr>
          </w:p>
        </w:tc>
        <w:tc>
          <w:tcPr>
            <w:tcW w:w="946" w:type="dxa"/>
            <w:tcBorders>
              <w:bottom w:val="single" w:sz="4" w:space="0" w:color="auto"/>
            </w:tcBorders>
            <w:vAlign w:val="bottom"/>
          </w:tcPr>
          <w:p w:rsidR="009E3F7D" w:rsidRPr="00810800" w:rsidRDefault="009E3F7D" w:rsidP="008A50E2">
            <w:pPr>
              <w:pStyle w:val="TableBodyText"/>
              <w:spacing w:before="20"/>
            </w:pPr>
            <w:r w:rsidRPr="00810800">
              <w:t>2.2</w:t>
            </w:r>
          </w:p>
        </w:tc>
        <w:tc>
          <w:tcPr>
            <w:tcW w:w="946" w:type="dxa"/>
            <w:tcBorders>
              <w:bottom w:val="single" w:sz="4" w:space="0" w:color="auto"/>
            </w:tcBorders>
            <w:vAlign w:val="bottom"/>
          </w:tcPr>
          <w:p w:rsidR="009E3F7D" w:rsidRPr="00810800" w:rsidRDefault="009E3F7D" w:rsidP="008A50E2">
            <w:pPr>
              <w:pStyle w:val="TableBodyText"/>
              <w:spacing w:before="20"/>
            </w:pPr>
            <w:r w:rsidRPr="00810800">
              <w:t>4.0</w:t>
            </w:r>
          </w:p>
        </w:tc>
        <w:tc>
          <w:tcPr>
            <w:tcW w:w="944" w:type="dxa"/>
            <w:tcBorders>
              <w:bottom w:val="single" w:sz="4" w:space="0" w:color="auto"/>
            </w:tcBorders>
            <w:shd w:val="clear" w:color="auto" w:fill="auto"/>
            <w:vAlign w:val="bottom"/>
          </w:tcPr>
          <w:p w:rsidR="009E3F7D" w:rsidRPr="00810800" w:rsidRDefault="009E3F7D" w:rsidP="008A50E2">
            <w:pPr>
              <w:pStyle w:val="TableBodyText"/>
              <w:spacing w:before="20"/>
            </w:pPr>
            <w:r w:rsidRPr="00810800">
              <w:t>-1.8</w:t>
            </w:r>
          </w:p>
        </w:tc>
      </w:tr>
    </w:tbl>
    <w:p w:rsidR="003D415A" w:rsidRDefault="003D415A" w:rsidP="003D415A">
      <w:pPr>
        <w:pStyle w:val="Note"/>
      </w:pPr>
      <w:r>
        <w:t>Note:  pp = percentage points.</w:t>
      </w:r>
    </w:p>
    <w:p w:rsidR="000B099D" w:rsidRDefault="000B099D" w:rsidP="009079D3">
      <w:pPr>
        <w:pStyle w:val="Source"/>
      </w:pPr>
      <w:r>
        <w:rPr>
          <w:i/>
        </w:rPr>
        <w:t>Source</w:t>
      </w:r>
      <w:r w:rsidRPr="00167F06">
        <w:t>:</w:t>
      </w:r>
      <w:r>
        <w:t xml:space="preserve"> Author’s estimates</w:t>
      </w:r>
      <w:r w:rsidRPr="00167F06">
        <w:t xml:space="preserve"> </w:t>
      </w:r>
      <w:r>
        <w:t xml:space="preserve">based on ABS </w:t>
      </w:r>
      <w:r w:rsidR="008A50E2">
        <w:t>(</w:t>
      </w:r>
      <w:r>
        <w:t>Cat</w:t>
      </w:r>
      <w:r w:rsidR="008728D5">
        <w:t>.</w:t>
      </w:r>
      <w:r>
        <w:t xml:space="preserve"> </w:t>
      </w:r>
      <w:r w:rsidR="008728D5">
        <w:t>n</w:t>
      </w:r>
      <w:r>
        <w:t>o</w:t>
      </w:r>
      <w:r w:rsidR="008728D5">
        <w:t>.</w:t>
      </w:r>
      <w:r>
        <w:t xml:space="preserve"> 5260.0550.02</w:t>
      </w:r>
      <w:r w:rsidR="008A50E2">
        <w:t>)</w:t>
      </w:r>
      <w:r>
        <w:t>.</w:t>
      </w:r>
    </w:p>
    <w:p w:rsidR="008F0F54" w:rsidRDefault="008F0F54" w:rsidP="008A580C">
      <w:pPr>
        <w:pStyle w:val="FigureTitle"/>
      </w:pPr>
      <w:r w:rsidRPr="008A580C">
        <w:rPr>
          <w:b w:val="0"/>
        </w:rPr>
        <w:t xml:space="preserve">Figure </w:t>
      </w:r>
      <w:r w:rsidRPr="008A580C">
        <w:rPr>
          <w:b w:val="0"/>
        </w:rPr>
        <w:fldChar w:fldCharType="begin"/>
      </w:r>
      <w:r w:rsidRPr="008A580C">
        <w:rPr>
          <w:b w:val="0"/>
        </w:rPr>
        <w:instrText xml:space="preserve"> COMMENTS  \* MERGEFORMAT </w:instrText>
      </w:r>
      <w:r w:rsidRPr="008A580C">
        <w:rPr>
          <w:b w:val="0"/>
        </w:rPr>
        <w:fldChar w:fldCharType="separate"/>
      </w:r>
      <w:r w:rsidR="008A50E2">
        <w:rPr>
          <w:b w:val="0"/>
        </w:rPr>
        <w:t>6.</w:t>
      </w:r>
      <w:r w:rsidRPr="008A580C">
        <w:rPr>
          <w:b w:val="0"/>
        </w:rPr>
        <w:fldChar w:fldCharType="end"/>
      </w:r>
      <w:r w:rsidRPr="008A580C">
        <w:rPr>
          <w:b w:val="0"/>
        </w:rPr>
        <w:fldChar w:fldCharType="begin"/>
      </w:r>
      <w:r w:rsidRPr="008A580C">
        <w:rPr>
          <w:b w:val="0"/>
        </w:rPr>
        <w:instrText xml:space="preserve"> SEQ Figure \* ARABIC </w:instrText>
      </w:r>
      <w:r w:rsidRPr="008A580C">
        <w:rPr>
          <w:b w:val="0"/>
        </w:rPr>
        <w:fldChar w:fldCharType="separate"/>
      </w:r>
      <w:r w:rsidR="009E7788">
        <w:rPr>
          <w:b w:val="0"/>
          <w:noProof/>
        </w:rPr>
        <w:t>1</w:t>
      </w:r>
      <w:r w:rsidRPr="008A580C">
        <w:rPr>
          <w:b w:val="0"/>
        </w:rPr>
        <w:fldChar w:fldCharType="end"/>
      </w:r>
      <w:r>
        <w:tab/>
        <w:t xml:space="preserve">Industry contributions to growth in </w:t>
      </w:r>
      <w:r w:rsidR="000C3361">
        <w:t xml:space="preserve">the </w:t>
      </w:r>
      <w:r>
        <w:t xml:space="preserve">reward ratio, factor proportions and </w:t>
      </w:r>
      <w:r w:rsidR="0047598D">
        <w:t>the gap between them</w:t>
      </w:r>
      <w:r>
        <w:t xml:space="preserve">, </w:t>
      </w:r>
      <w:proofErr w:type="spellStart"/>
      <w:r>
        <w:t>2000s</w:t>
      </w:r>
      <w:proofErr w:type="spellEnd"/>
    </w:p>
    <w:p w:rsidR="008F0F54" w:rsidRDefault="008F0F54" w:rsidP="008F0F54">
      <w:pPr>
        <w:pStyle w:val="Subtitle"/>
      </w:pPr>
      <w:r>
        <w:t>percentage points</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8F0F54" w:rsidTr="008F0F54">
        <w:tc>
          <w:tcPr>
            <w:tcW w:w="8777" w:type="dxa"/>
          </w:tcPr>
          <w:p w:rsidR="008F0F54" w:rsidRDefault="0046717B" w:rsidP="008F0F54">
            <w:pPr>
              <w:pStyle w:val="Figure"/>
            </w:pPr>
            <w:r>
              <w:rPr>
                <w:noProof/>
              </w:rPr>
              <w:drawing>
                <wp:inline distT="0" distB="0" distL="0" distR="0" wp14:anchorId="706815CC" wp14:editId="641936D5">
                  <wp:extent cx="4733925" cy="2943225"/>
                  <wp:effectExtent l="0" t="0" r="9525" b="9525"/>
                  <wp:docPr id="4" name="Picture 4" descr="1 Industry contributions to growth in reward ratio, factor proportions and the growth gap between the two. This figure shows that mining made the outstanding negative contribution to the difference between growth in the reward ratio and growth in factor proportions because of a combination of relatively large (negative) contribution to growth in the reward ratio and relatively large contribution to growth in factor propor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33925" cy="2943225"/>
                          </a:xfrm>
                          <a:prstGeom prst="rect">
                            <a:avLst/>
                          </a:prstGeom>
                          <a:noFill/>
                          <a:ln>
                            <a:noFill/>
                          </a:ln>
                        </pic:spPr>
                      </pic:pic>
                    </a:graphicData>
                  </a:graphic>
                </wp:inline>
              </w:drawing>
            </w:r>
          </w:p>
        </w:tc>
      </w:tr>
    </w:tbl>
    <w:p w:rsidR="000B099D" w:rsidRDefault="003D415A" w:rsidP="000B099D">
      <w:pPr>
        <w:pStyle w:val="Source"/>
      </w:pPr>
      <w:r>
        <w:rPr>
          <w:i/>
        </w:rPr>
        <w:t>Data source</w:t>
      </w:r>
      <w:r w:rsidR="000B099D" w:rsidRPr="00167F06">
        <w:t>:</w:t>
      </w:r>
      <w:r w:rsidR="000B099D">
        <w:t xml:space="preserve"> Author’s estimates</w:t>
      </w:r>
      <w:r w:rsidR="000B099D" w:rsidRPr="00167F06">
        <w:t xml:space="preserve"> </w:t>
      </w:r>
      <w:r w:rsidR="000B099D">
        <w:t xml:space="preserve">based on ABS </w:t>
      </w:r>
      <w:r w:rsidR="008A50E2">
        <w:t>(</w:t>
      </w:r>
      <w:r w:rsidR="000B099D">
        <w:t>Cat</w:t>
      </w:r>
      <w:r>
        <w:t>.</w:t>
      </w:r>
      <w:r w:rsidR="000B099D">
        <w:t xml:space="preserve"> </w:t>
      </w:r>
      <w:r>
        <w:t>n</w:t>
      </w:r>
      <w:r w:rsidR="000B099D">
        <w:t>o</w:t>
      </w:r>
      <w:r>
        <w:t>.</w:t>
      </w:r>
      <w:r w:rsidR="000B099D">
        <w:t xml:space="preserve"> 5260.0550.02</w:t>
      </w:r>
      <w:r w:rsidR="008A50E2">
        <w:t>)</w:t>
      </w:r>
      <w:r w:rsidR="000B099D">
        <w:t>.</w:t>
      </w:r>
    </w:p>
    <w:p w:rsidR="00034F22" w:rsidRDefault="00034F22" w:rsidP="00034F22">
      <w:pPr>
        <w:pStyle w:val="Heading4"/>
      </w:pPr>
      <w:r w:rsidRPr="0022363F">
        <w:lastRenderedPageBreak/>
        <w:t>Mining made the largest contribution</w:t>
      </w:r>
    </w:p>
    <w:p w:rsidR="00034F22" w:rsidRDefault="00034F22" w:rsidP="00034F22">
      <w:pPr>
        <w:pStyle w:val="BodyText"/>
      </w:pPr>
      <w:r>
        <w:t xml:space="preserve">The mining boom stands out as the driver of the fall in the </w:t>
      </w:r>
      <w:proofErr w:type="spellStart"/>
      <w:r w:rsidR="003D415A">
        <w:t>LIS</w:t>
      </w:r>
      <w:proofErr w:type="spellEnd"/>
      <w:r w:rsidR="003D415A">
        <w:t xml:space="preserve"> </w:t>
      </w:r>
      <w:r>
        <w:t>from the quantity and price perspective.</w:t>
      </w:r>
    </w:p>
    <w:p w:rsidR="00034F22" w:rsidRDefault="00034F22" w:rsidP="00034F22">
      <w:pPr>
        <w:pStyle w:val="BodyText"/>
      </w:pPr>
      <w:r>
        <w:t xml:space="preserve">The Mining </w:t>
      </w:r>
      <w:r w:rsidR="00DC0EDC">
        <w:t>sector</w:t>
      </w:r>
      <w:r>
        <w:t xml:space="preserve"> had a profound effect. In a sense, it alone contributed all (strictly, a little more than all) of the gap between growth in the reward ratio and growth in the capital-labour ratio at the market sector level.</w:t>
      </w:r>
      <w:r>
        <w:rPr>
          <w:rStyle w:val="FootnoteReference"/>
        </w:rPr>
        <w:footnoteReference w:id="3"/>
      </w:r>
      <w:r>
        <w:t xml:space="preserve"> </w:t>
      </w:r>
    </w:p>
    <w:p w:rsidR="00665B0B" w:rsidRDefault="00665B0B" w:rsidP="00665B0B">
      <w:pPr>
        <w:pStyle w:val="BodyText"/>
      </w:pPr>
      <w:r>
        <w:t>Mining’s contribution came</w:t>
      </w:r>
      <w:r w:rsidR="00034F22">
        <w:t>, in large part,</w:t>
      </w:r>
      <w:r>
        <w:t xml:space="preserve"> from a very strong contribution to growth in the </w:t>
      </w:r>
      <w:r w:rsidR="00DC0EDC">
        <w:t>market sector</w:t>
      </w:r>
      <w:r>
        <w:t xml:space="preserve"> capital-labour ratio, as a result of the industry</w:t>
      </w:r>
      <w:r w:rsidR="00034F22">
        <w:t>’s heavy capital investment</w:t>
      </w:r>
      <w:r>
        <w:t xml:space="preserve">. </w:t>
      </w:r>
      <w:r w:rsidR="00034F22">
        <w:t xml:space="preserve">However, with strong growth in returns on the back of higher resource rents, Mining also made </w:t>
      </w:r>
      <w:r>
        <w:t>a strong negative contribution to the wage-return ratio</w:t>
      </w:r>
      <w:r w:rsidR="00034F22">
        <w:t>.</w:t>
      </w:r>
    </w:p>
    <w:p w:rsidR="00B44D42" w:rsidRDefault="00082121" w:rsidP="00665B0B">
      <w:pPr>
        <w:pStyle w:val="BodyText"/>
      </w:pPr>
      <w:r>
        <w:t xml:space="preserve">It should be noted, however, that the growth in capital in </w:t>
      </w:r>
      <w:r w:rsidR="00DC0EDC">
        <w:t xml:space="preserve">Mining </w:t>
      </w:r>
      <w:r>
        <w:t>is overstated somewhat</w:t>
      </w:r>
      <w:r w:rsidR="00B44D42">
        <w:t xml:space="preserve"> in ABS estimates</w:t>
      </w:r>
      <w:r>
        <w:t>. Topp et al</w:t>
      </w:r>
      <w:r w:rsidR="003D415A">
        <w:t>.</w:t>
      </w:r>
      <w:r>
        <w:t xml:space="preserve"> (2008) drew attention to the fact that </w:t>
      </w:r>
      <w:r w:rsidR="00B44D42">
        <w:t xml:space="preserve">the ABS assumption that mining investment is added to the capital stock </w:t>
      </w:r>
      <w:r w:rsidR="00381156">
        <w:t>as it occurs</w:t>
      </w:r>
      <w:r w:rsidR="00C06EDF">
        <w:t>, rather than when development projects are completed</w:t>
      </w:r>
      <w:r w:rsidR="00B44D42">
        <w:t xml:space="preserve"> means that growth in capital input in Mining </w:t>
      </w:r>
      <w:r w:rsidR="00C06EDF">
        <w:t>occurs in advance of when it produces output. This becomes a problem</w:t>
      </w:r>
      <w:r w:rsidR="00B44D42">
        <w:t xml:space="preserve"> when there is an acceleration in investment, as has occurred in the past decade. In reality, annual investment represents work-in-progress, until the project is completed and production then comes on stream. Topp et al</w:t>
      </w:r>
      <w:r w:rsidR="00DC0EDC">
        <w:t>.</w:t>
      </w:r>
      <w:r w:rsidR="00B44D42">
        <w:t xml:space="preserve"> estimated the typical lag between commencement and completion of </w:t>
      </w:r>
      <w:r w:rsidR="00381156">
        <w:t xml:space="preserve">a </w:t>
      </w:r>
      <w:r w:rsidR="00B44D42">
        <w:t>project in the mining industry to be three years.</w:t>
      </w:r>
    </w:p>
    <w:p w:rsidR="00082121" w:rsidRDefault="00B44D42" w:rsidP="00665B0B">
      <w:pPr>
        <w:pStyle w:val="BodyText"/>
      </w:pPr>
      <w:r>
        <w:t xml:space="preserve">With a rapid acceleration in investment continuing through the latter part of the decade, the extent of growth in capital in Mining (and the market sector as a whole) is likely overstated. </w:t>
      </w:r>
      <w:r w:rsidR="00381156">
        <w:t>Since the capital stock is the base for calculating the rate of return, t</w:t>
      </w:r>
      <w:r>
        <w:t xml:space="preserve">his also means that the growth in the rate of return on capital would be understated. </w:t>
      </w:r>
    </w:p>
    <w:p w:rsidR="00C06EDF" w:rsidRDefault="00C06EDF" w:rsidP="00665B0B">
      <w:pPr>
        <w:pStyle w:val="BodyText"/>
      </w:pPr>
      <w:r>
        <w:t xml:space="preserve">This measurement issue is likely to soften the conclusion, but is very unlikely to undermine the conclusion that the fall in the </w:t>
      </w:r>
      <w:proofErr w:type="spellStart"/>
      <w:r w:rsidR="003D415A">
        <w:t>LIS</w:t>
      </w:r>
      <w:proofErr w:type="spellEnd"/>
      <w:r w:rsidR="003D415A">
        <w:t xml:space="preserve"> </w:t>
      </w:r>
      <w:r>
        <w:t>was attributable to a quantity effect.</w:t>
      </w:r>
    </w:p>
    <w:p w:rsidR="00521989" w:rsidRDefault="00521989" w:rsidP="00665B0B">
      <w:pPr>
        <w:pStyle w:val="Heading4"/>
      </w:pPr>
      <w:r>
        <w:t>‘</w:t>
      </w:r>
      <w:r w:rsidR="00FB618F">
        <w:t>S</w:t>
      </w:r>
      <w:r>
        <w:t>econd-tier’ contributors</w:t>
      </w:r>
    </w:p>
    <w:p w:rsidR="008F0F54" w:rsidRDefault="00E62A7F" w:rsidP="00E53C0F">
      <w:pPr>
        <w:pStyle w:val="BodyText"/>
      </w:pPr>
      <w:r>
        <w:t xml:space="preserve">The </w:t>
      </w:r>
      <w:r w:rsidR="008F0F54">
        <w:t>set</w:t>
      </w:r>
      <w:r>
        <w:t xml:space="preserve"> of second-tier contributors to the fall in </w:t>
      </w:r>
      <w:proofErr w:type="spellStart"/>
      <w:r w:rsidR="003D415A">
        <w:t>LIS</w:t>
      </w:r>
      <w:proofErr w:type="spellEnd"/>
      <w:r w:rsidR="003D415A">
        <w:t xml:space="preserve"> </w:t>
      </w:r>
      <w:r w:rsidR="00815E91">
        <w:t>is</w:t>
      </w:r>
      <w:r w:rsidR="009921EF">
        <w:t xml:space="preserve"> </w:t>
      </w:r>
      <w:r w:rsidR="00FB618F">
        <w:t xml:space="preserve">the same </w:t>
      </w:r>
      <w:r w:rsidR="00C86AE8">
        <w:t xml:space="preserve">set </w:t>
      </w:r>
      <w:r w:rsidR="00FB618F">
        <w:t>identified in the decomposition analysis of fa</w:t>
      </w:r>
      <w:r w:rsidR="00815E91">
        <w:t>c</w:t>
      </w:r>
      <w:r w:rsidR="00FB618F">
        <w:t>tor income growth (</w:t>
      </w:r>
      <w:r w:rsidR="00FB618F" w:rsidRPr="00FB3FF5">
        <w:t xml:space="preserve">section </w:t>
      </w:r>
      <w:r w:rsidR="00FB3FF5">
        <w:t>5.3</w:t>
      </w:r>
      <w:r w:rsidR="00FB618F" w:rsidRPr="00FB3FF5">
        <w:t xml:space="preserve"> </w:t>
      </w:r>
      <w:r w:rsidR="00FB618F">
        <w:t>of the previous chapter)</w:t>
      </w:r>
      <w:r w:rsidR="00815E91">
        <w:t>. The</w:t>
      </w:r>
      <w:r w:rsidR="00E9062C">
        <w:t xml:space="preserve"> set comprises</w:t>
      </w:r>
      <w:r w:rsidR="00C970D8">
        <w:t xml:space="preserve"> </w:t>
      </w:r>
      <w:r w:rsidR="009921EF">
        <w:t>Telecoms</w:t>
      </w:r>
      <w:r w:rsidR="00C86AE8">
        <w:t>,</w:t>
      </w:r>
      <w:r w:rsidR="009921EF">
        <w:t xml:space="preserve"> Agriculture</w:t>
      </w:r>
      <w:r w:rsidR="00446E47">
        <w:t>, Financ</w:t>
      </w:r>
      <w:r w:rsidR="00FB3FF5">
        <w:t>e</w:t>
      </w:r>
      <w:r w:rsidR="00446E47">
        <w:t xml:space="preserve"> </w:t>
      </w:r>
      <w:r w:rsidR="00C86AE8">
        <w:t xml:space="preserve">and </w:t>
      </w:r>
      <w:r w:rsidR="00FB3FF5">
        <w:t>the Utilities</w:t>
      </w:r>
      <w:r w:rsidR="009921EF">
        <w:t xml:space="preserve">. </w:t>
      </w:r>
      <w:r w:rsidR="00451AA7">
        <w:t xml:space="preserve">The </w:t>
      </w:r>
      <w:r w:rsidR="00451AA7">
        <w:lastRenderedPageBreak/>
        <w:t xml:space="preserve">negative </w:t>
      </w:r>
      <w:proofErr w:type="spellStart"/>
      <w:r w:rsidR="003D415A">
        <w:t>LIS</w:t>
      </w:r>
      <w:proofErr w:type="spellEnd"/>
      <w:r w:rsidR="00C94AF3">
        <w:t xml:space="preserve"> </w:t>
      </w:r>
      <w:r w:rsidR="00451AA7">
        <w:t xml:space="preserve">effect </w:t>
      </w:r>
      <w:r w:rsidR="00C94AF3">
        <w:t xml:space="preserve">in these industries </w:t>
      </w:r>
      <w:r w:rsidR="00451AA7">
        <w:t>was due to a dominant capital contribution. In the case of Financ</w:t>
      </w:r>
      <w:r w:rsidR="00FB3FF5">
        <w:t>e</w:t>
      </w:r>
      <w:r w:rsidR="00451AA7">
        <w:t>, this was still the case even though th</w:t>
      </w:r>
      <w:r w:rsidR="00C94AF3">
        <w:t>e</w:t>
      </w:r>
      <w:r w:rsidR="00451AA7">
        <w:t xml:space="preserve"> industry made the strongest contribution of all industries to growth in the average wage rate.</w:t>
      </w:r>
    </w:p>
    <w:p w:rsidR="00112CB0" w:rsidRDefault="008F0F54" w:rsidP="00E53C0F">
      <w:pPr>
        <w:pStyle w:val="BodyText"/>
      </w:pPr>
      <w:r>
        <w:t>Construction</w:t>
      </w:r>
      <w:r w:rsidR="00E40E67">
        <w:t>, while it</w:t>
      </w:r>
      <w:r>
        <w:t xml:space="preserve"> </w:t>
      </w:r>
      <w:r w:rsidR="003F37EA">
        <w:t xml:space="preserve">generated a lot more income via the mining boom, </w:t>
      </w:r>
      <w:r w:rsidR="00C86AE8">
        <w:t>had a positive effect on the</w:t>
      </w:r>
      <w:r>
        <w:t xml:space="preserve"> </w:t>
      </w:r>
      <w:proofErr w:type="spellStart"/>
      <w:r w:rsidR="003D415A">
        <w:t>LIS</w:t>
      </w:r>
      <w:proofErr w:type="spellEnd"/>
      <w:r>
        <w:t xml:space="preserve">. It made a stronger contribution to </w:t>
      </w:r>
      <w:r w:rsidR="00C86AE8">
        <w:t>growth in</w:t>
      </w:r>
      <w:r>
        <w:t xml:space="preserve"> </w:t>
      </w:r>
      <w:r w:rsidR="00C94AF3">
        <w:t xml:space="preserve">use of </w:t>
      </w:r>
      <w:r>
        <w:t xml:space="preserve">labour than it did to growth in </w:t>
      </w:r>
      <w:r w:rsidR="00C94AF3">
        <w:t xml:space="preserve">use of </w:t>
      </w:r>
      <w:r>
        <w:t xml:space="preserve">capital. It also made a stronger contribution to </w:t>
      </w:r>
      <w:r w:rsidR="00112CB0">
        <w:t>growth in the average wage than it did to the rate of return.</w:t>
      </w:r>
    </w:p>
    <w:p w:rsidR="00E62A7F" w:rsidRDefault="009921EF" w:rsidP="00E53C0F">
      <w:pPr>
        <w:pStyle w:val="BodyText"/>
      </w:pPr>
      <w:r>
        <w:t>Manufacturing</w:t>
      </w:r>
      <w:r w:rsidR="003F37EA">
        <w:t xml:space="preserve">, which was negatively affected by the </w:t>
      </w:r>
      <w:r w:rsidR="003549FD">
        <w:t xml:space="preserve">mining and terms of trade </w:t>
      </w:r>
      <w:r w:rsidR="003F37EA">
        <w:t>booms,</w:t>
      </w:r>
      <w:r>
        <w:t xml:space="preserve"> </w:t>
      </w:r>
      <w:r w:rsidR="00112CB0">
        <w:t>also made a</w:t>
      </w:r>
      <w:r>
        <w:t xml:space="preserve"> positive contribut</w:t>
      </w:r>
      <w:r w:rsidR="00112CB0">
        <w:t>ion</w:t>
      </w:r>
      <w:r w:rsidR="00E40E67">
        <w:t xml:space="preserve"> to the </w:t>
      </w:r>
      <w:proofErr w:type="spellStart"/>
      <w:r w:rsidR="003D415A">
        <w:t>LIS</w:t>
      </w:r>
      <w:proofErr w:type="spellEnd"/>
      <w:r w:rsidR="00521989">
        <w:t xml:space="preserve">. </w:t>
      </w:r>
      <w:r w:rsidR="003F37EA">
        <w:t>That positive influence came despite a fall in its use of labour. Manufacturing</w:t>
      </w:r>
      <w:r w:rsidR="00521989">
        <w:t xml:space="preserve"> made, by far, the largest contribution to the growth </w:t>
      </w:r>
      <w:r w:rsidR="00C86AE8">
        <w:t xml:space="preserve">in </w:t>
      </w:r>
      <w:r w:rsidR="00521989">
        <w:t xml:space="preserve">the </w:t>
      </w:r>
      <w:r w:rsidR="00112CB0">
        <w:t>reward</w:t>
      </w:r>
      <w:r w:rsidR="00521989">
        <w:t xml:space="preserve"> ratio</w:t>
      </w:r>
      <w:r w:rsidR="00707810">
        <w:t xml:space="preserve">, as well </w:t>
      </w:r>
      <w:r w:rsidR="00C06EDF">
        <w:t xml:space="preserve">as </w:t>
      </w:r>
      <w:r w:rsidR="00521989">
        <w:t xml:space="preserve">a strong contribution to the growth in the capital-labour ratio. </w:t>
      </w:r>
      <w:r w:rsidR="00C94AF3">
        <w:t xml:space="preserve">The reward ratio effect came about because </w:t>
      </w:r>
      <w:r w:rsidR="00707810">
        <w:t xml:space="preserve">Manufacturing was a strong source of growth in wages, whereas it had a negative impact on the rate of return. It was a source of growth in capital but reduction in </w:t>
      </w:r>
      <w:r w:rsidR="00C94AF3">
        <w:t xml:space="preserve">use of </w:t>
      </w:r>
      <w:r w:rsidR="00707810">
        <w:t>labour.</w:t>
      </w:r>
    </w:p>
    <w:p w:rsidR="00307CD9" w:rsidRDefault="00307CD9" w:rsidP="00307CD9">
      <w:pPr>
        <w:pStyle w:val="Heading4"/>
      </w:pPr>
      <w:r>
        <w:t>Some broader implications</w:t>
      </w:r>
    </w:p>
    <w:p w:rsidR="00FB3FF5" w:rsidRDefault="00FB3FF5" w:rsidP="00E53C0F">
      <w:pPr>
        <w:pStyle w:val="BodyText"/>
      </w:pPr>
      <w:r>
        <w:t xml:space="preserve">It would appear </w:t>
      </w:r>
      <w:r w:rsidR="004C1FCD">
        <w:t xml:space="preserve">at face value </w:t>
      </w:r>
      <w:r>
        <w:t xml:space="preserve">from these results that some of the gains from the mining boom were captured by the </w:t>
      </w:r>
      <w:r w:rsidR="003D415A">
        <w:t xml:space="preserve">Construction </w:t>
      </w:r>
      <w:r w:rsidR="00DC0EDC">
        <w:t>sector</w:t>
      </w:r>
      <w:r>
        <w:t>. Furthermore, it seems that labour captured more of the gains than capital in both quantity (employment) and price (wage) terms.</w:t>
      </w:r>
      <w:r w:rsidR="004C1FCD">
        <w:t xml:space="preserve"> It also appears that, in </w:t>
      </w:r>
      <w:r w:rsidR="003D415A">
        <w:t>M</w:t>
      </w:r>
      <w:r w:rsidR="004C1FCD">
        <w:t>anufacturing, capital has borne more of the burden of</w:t>
      </w:r>
      <w:r>
        <w:t xml:space="preserve"> </w:t>
      </w:r>
      <w:r w:rsidR="004C1FCD">
        <w:t xml:space="preserve">adjustment </w:t>
      </w:r>
      <w:r w:rsidR="00307CD9">
        <w:t xml:space="preserve">through lower returns </w:t>
      </w:r>
      <w:r w:rsidR="004C1FCD">
        <w:t>than labour</w:t>
      </w:r>
      <w:r w:rsidR="00307CD9" w:rsidRPr="00307CD9">
        <w:t xml:space="preserve"> </w:t>
      </w:r>
      <w:r w:rsidR="00307CD9">
        <w:t>has through moderation of wage growth</w:t>
      </w:r>
      <w:r w:rsidR="004C1FCD">
        <w:t>.</w:t>
      </w:r>
      <w:r w:rsidR="00307CD9">
        <w:t xml:space="preserve"> There is no way to tell from the current analysis, but this may be because of a tendency for wage relativities to be maintained across industries.</w:t>
      </w:r>
    </w:p>
    <w:p w:rsidR="00D5381B" w:rsidRDefault="00D5381B" w:rsidP="00E53C0F">
      <w:pPr>
        <w:pStyle w:val="BodyText"/>
      </w:pPr>
      <w:r>
        <w:t>The importance of wage growth in Financ</w:t>
      </w:r>
      <w:r w:rsidR="00FB3FF5">
        <w:t>e</w:t>
      </w:r>
      <w:r>
        <w:t xml:space="preserve"> is of interest. </w:t>
      </w:r>
      <w:r w:rsidR="00331EDE">
        <w:t>This could be a case of skill-biased technological change associated with information and communications technologies.</w:t>
      </w:r>
      <w:r>
        <w:t xml:space="preserve"> </w:t>
      </w:r>
      <w:r w:rsidR="00331EDE">
        <w:t xml:space="preserve">Since there was little change in employment in the industry, the strong wage growth could reflect some substitution of </w:t>
      </w:r>
      <w:r w:rsidR="005C18F2">
        <w:t xml:space="preserve">more </w:t>
      </w:r>
      <w:r w:rsidR="00331EDE">
        <w:t xml:space="preserve">skilled for </w:t>
      </w:r>
      <w:r w:rsidR="005C18F2">
        <w:t xml:space="preserve">less </w:t>
      </w:r>
      <w:r w:rsidR="00331EDE">
        <w:t xml:space="preserve">skilled workers. </w:t>
      </w:r>
      <w:r w:rsidR="005C18F2">
        <w:t>F</w:t>
      </w:r>
      <w:r w:rsidR="00331EDE">
        <w:t>urther research is needed to take this view beyond mere speculation.</w:t>
      </w:r>
    </w:p>
    <w:p w:rsidR="007E4B30" w:rsidRDefault="006714E1" w:rsidP="007E4B30">
      <w:pPr>
        <w:pStyle w:val="Heading2"/>
      </w:pPr>
      <w:r>
        <w:fldChar w:fldCharType="begin"/>
      </w:r>
      <w:r>
        <w:instrText xml:space="preserve"> COMMENTS  \* MERGEFORMAT </w:instrText>
      </w:r>
      <w:r>
        <w:fldChar w:fldCharType="separate"/>
      </w:r>
      <w:r w:rsidR="008A50E2">
        <w:t>6.</w:t>
      </w:r>
      <w:r>
        <w:fldChar w:fldCharType="end"/>
      </w:r>
      <w:r>
        <w:fldChar w:fldCharType="begin"/>
      </w:r>
      <w:r>
        <w:instrText xml:space="preserve"> SEQ Heading2 </w:instrText>
      </w:r>
      <w:r>
        <w:fldChar w:fldCharType="separate"/>
      </w:r>
      <w:r w:rsidR="009E7788">
        <w:rPr>
          <w:noProof/>
        </w:rPr>
        <w:t>2</w:t>
      </w:r>
      <w:r>
        <w:rPr>
          <w:noProof/>
        </w:rPr>
        <w:fldChar w:fldCharType="end"/>
      </w:r>
      <w:r w:rsidR="000C6DFA">
        <w:tab/>
      </w:r>
      <w:r w:rsidR="0067048B">
        <w:t>Real product wage and labour productivity</w:t>
      </w:r>
    </w:p>
    <w:p w:rsidR="00330E69" w:rsidRDefault="00C970D8" w:rsidP="002C02FE">
      <w:pPr>
        <w:pStyle w:val="BodyText"/>
      </w:pPr>
      <w:r>
        <w:t>C</w:t>
      </w:r>
      <w:r w:rsidR="002C02FE">
        <w:t xml:space="preserve">hapter </w:t>
      </w:r>
      <w:r w:rsidR="00307CD9">
        <w:t>4</w:t>
      </w:r>
      <w:r>
        <w:t xml:space="preserve"> </w:t>
      </w:r>
      <w:r w:rsidR="00CC58A5">
        <w:t xml:space="preserve">also </w:t>
      </w:r>
      <w:r w:rsidR="002C02FE">
        <w:t xml:space="preserve">analysed the </w:t>
      </w:r>
      <w:proofErr w:type="spellStart"/>
      <w:r w:rsidR="003D415A">
        <w:t>LIS</w:t>
      </w:r>
      <w:proofErr w:type="spellEnd"/>
      <w:r w:rsidR="006C7440">
        <w:t xml:space="preserve"> </w:t>
      </w:r>
      <w:r w:rsidR="007E3ABF">
        <w:t>fall</w:t>
      </w:r>
      <w:r w:rsidR="002C02FE">
        <w:t xml:space="preserve"> as </w:t>
      </w:r>
      <w:r w:rsidR="009D0539">
        <w:t xml:space="preserve">a </w:t>
      </w:r>
      <w:r w:rsidR="00020208">
        <w:t>shortfall</w:t>
      </w:r>
      <w:r w:rsidR="002C02FE">
        <w:t xml:space="preserve"> </w:t>
      </w:r>
      <w:r w:rsidR="009D0539">
        <w:t xml:space="preserve">between </w:t>
      </w:r>
      <w:r w:rsidR="002C02FE">
        <w:t xml:space="preserve">growth </w:t>
      </w:r>
      <w:r w:rsidR="009D0539">
        <w:t>in the real product wage</w:t>
      </w:r>
      <w:r w:rsidR="002C02FE">
        <w:t xml:space="preserve"> and </w:t>
      </w:r>
      <w:r w:rsidR="00020208">
        <w:t xml:space="preserve">growth </w:t>
      </w:r>
      <w:r w:rsidR="009D0539">
        <w:t>in labour</w:t>
      </w:r>
      <w:r w:rsidR="002C02FE">
        <w:t xml:space="preserve"> productivit</w:t>
      </w:r>
      <w:r w:rsidR="009D0539">
        <w:t>y</w:t>
      </w:r>
      <w:r w:rsidR="00CC58A5" w:rsidRPr="00CC58A5">
        <w:t xml:space="preserve"> </w:t>
      </w:r>
      <w:r w:rsidR="00CC58A5">
        <w:t xml:space="preserve">(section </w:t>
      </w:r>
      <w:r w:rsidR="00307CD9">
        <w:t>4.4</w:t>
      </w:r>
      <w:r w:rsidR="00CC58A5">
        <w:t>)</w:t>
      </w:r>
      <w:r w:rsidR="002C02FE">
        <w:t xml:space="preserve">. </w:t>
      </w:r>
      <w:r w:rsidR="00020208">
        <w:t xml:space="preserve">From this ‘productivity and cost’ perspective, the fall in </w:t>
      </w:r>
      <w:proofErr w:type="spellStart"/>
      <w:r w:rsidR="003D415A">
        <w:t>LIS</w:t>
      </w:r>
      <w:proofErr w:type="spellEnd"/>
      <w:r w:rsidR="003D415A">
        <w:t xml:space="preserve"> </w:t>
      </w:r>
      <w:r w:rsidR="00020208">
        <w:t>was</w:t>
      </w:r>
      <w:r w:rsidR="009D0539">
        <w:t xml:space="preserve"> shown to </w:t>
      </w:r>
      <w:r w:rsidR="00020208">
        <w:t>be equivalent to a fall</w:t>
      </w:r>
      <w:r w:rsidR="009D0539">
        <w:t xml:space="preserve"> in </w:t>
      </w:r>
      <w:r w:rsidR="00330E69">
        <w:t>real unit labour costs (</w:t>
      </w:r>
      <w:proofErr w:type="spellStart"/>
      <w:r w:rsidR="00330E69">
        <w:t>RULC</w:t>
      </w:r>
      <w:proofErr w:type="spellEnd"/>
      <w:r w:rsidR="00330E69">
        <w:t xml:space="preserve">). </w:t>
      </w:r>
    </w:p>
    <w:p w:rsidR="003F37EA" w:rsidRDefault="00330E69" w:rsidP="00AC1E37">
      <w:pPr>
        <w:pStyle w:val="BodyText"/>
      </w:pPr>
      <w:r>
        <w:lastRenderedPageBreak/>
        <w:t xml:space="preserve">The </w:t>
      </w:r>
      <w:r w:rsidR="00307CD9">
        <w:t>industry contributions to growth in the real product wage (</w:t>
      </w:r>
      <w:proofErr w:type="spellStart"/>
      <w:r w:rsidR="00307CD9">
        <w:t>RPW</w:t>
      </w:r>
      <w:proofErr w:type="spellEnd"/>
      <w:r w:rsidR="00307CD9">
        <w:t>) and labour productivity (LP) are now assessed. The details of the ‘additive’ methodology are set</w:t>
      </w:r>
      <w:r>
        <w:t xml:space="preserve"> out in </w:t>
      </w:r>
      <w:r w:rsidRPr="002C3F77">
        <w:t xml:space="preserve">appendix </w:t>
      </w:r>
      <w:r w:rsidR="002C3F77">
        <w:t>A</w:t>
      </w:r>
      <w:r>
        <w:t>.</w:t>
      </w:r>
      <w:r w:rsidR="00BA1261">
        <w:t xml:space="preserve"> </w:t>
      </w:r>
      <w:r w:rsidR="003F37EA">
        <w:t>Again, the wage estimates used here need to be treated with caution.</w:t>
      </w:r>
    </w:p>
    <w:p w:rsidR="00F34E4C" w:rsidRDefault="00C51776" w:rsidP="00AC1E37">
      <w:pPr>
        <w:pStyle w:val="BodyText"/>
      </w:pPr>
      <w:r>
        <w:t xml:space="preserve">Table </w:t>
      </w:r>
      <w:r w:rsidR="00A87D61">
        <w:t>6</w:t>
      </w:r>
      <w:r w:rsidR="00C970D8">
        <w:t>.2</w:t>
      </w:r>
      <w:r>
        <w:t xml:space="preserve"> presents the</w:t>
      </w:r>
      <w:r w:rsidR="00330E69">
        <w:t xml:space="preserve"> industry contributions </w:t>
      </w:r>
      <w:r>
        <w:t xml:space="preserve">to the decline in </w:t>
      </w:r>
      <w:r w:rsidR="00DC0EDC">
        <w:t>market sector</w:t>
      </w:r>
      <w:r>
        <w:t xml:space="preserve"> </w:t>
      </w:r>
      <w:r w:rsidR="000B099D">
        <w:t>labour income share</w:t>
      </w:r>
      <w:r w:rsidR="00330E69">
        <w:t xml:space="preserve"> as decompositions of </w:t>
      </w:r>
      <w:r w:rsidR="00020208">
        <w:t xml:space="preserve">the </w:t>
      </w:r>
      <w:r>
        <w:t xml:space="preserve">rate of </w:t>
      </w:r>
      <w:r w:rsidR="00330E69">
        <w:t xml:space="preserve">growth in market sector </w:t>
      </w:r>
      <w:proofErr w:type="spellStart"/>
      <w:r w:rsidR="00330E69">
        <w:t>RULC</w:t>
      </w:r>
      <w:proofErr w:type="spellEnd"/>
      <w:r w:rsidR="00330E69">
        <w:t xml:space="preserve">. </w:t>
      </w:r>
      <w:r>
        <w:t xml:space="preserve">The decline in </w:t>
      </w:r>
      <w:r w:rsidR="00DC0EDC">
        <w:t>market sector</w:t>
      </w:r>
      <w:r>
        <w:t xml:space="preserve"> </w:t>
      </w:r>
      <w:proofErr w:type="spellStart"/>
      <w:r>
        <w:t>RULC</w:t>
      </w:r>
      <w:proofErr w:type="spellEnd"/>
      <w:r>
        <w:t xml:space="preserve"> at </w:t>
      </w:r>
      <w:r w:rsidR="00F70A9F">
        <w:t>0.7</w:t>
      </w:r>
      <w:r>
        <w:t xml:space="preserve"> per cent a year over the </w:t>
      </w:r>
      <w:proofErr w:type="spellStart"/>
      <w:r>
        <w:t>2000s</w:t>
      </w:r>
      <w:proofErr w:type="spellEnd"/>
      <w:r>
        <w:t xml:space="preserve"> is (approximately) equivalent to the 4 percentage point fall in the </w:t>
      </w:r>
      <w:proofErr w:type="spellStart"/>
      <w:r w:rsidR="003D415A">
        <w:t>LIS</w:t>
      </w:r>
      <w:proofErr w:type="spellEnd"/>
      <w:r w:rsidR="003D415A">
        <w:t xml:space="preserve"> </w:t>
      </w:r>
      <w:r>
        <w:t xml:space="preserve">from </w:t>
      </w:r>
      <w:r w:rsidR="00F34E4C">
        <w:t>57 per cent to 53 per cent.</w:t>
      </w:r>
    </w:p>
    <w:p w:rsidR="00EF64E2" w:rsidRDefault="00F34E4C" w:rsidP="00AC1E37">
      <w:pPr>
        <w:pStyle w:val="BodyText"/>
      </w:pPr>
      <w:r>
        <w:t>Again</w:t>
      </w:r>
      <w:r w:rsidR="00330E69">
        <w:t>, there are three columns for each decade</w:t>
      </w:r>
      <w:r>
        <w:t xml:space="preserve"> in the table</w:t>
      </w:r>
      <w:r w:rsidR="00330E69">
        <w:t xml:space="preserve">. An industry’s contribution to market sector growth in the </w:t>
      </w:r>
      <w:proofErr w:type="spellStart"/>
      <w:r w:rsidR="00330E69">
        <w:t>RPW</w:t>
      </w:r>
      <w:proofErr w:type="spellEnd"/>
      <w:r w:rsidR="00330E69">
        <w:t xml:space="preserve">, </w:t>
      </w:r>
      <w:r w:rsidR="007760A8">
        <w:t>less</w:t>
      </w:r>
      <w:r w:rsidR="003D415A">
        <w:t xml:space="preserve"> its contribution to market </w:t>
      </w:r>
      <w:r w:rsidR="00330E69">
        <w:t>sector LP growth equals its c</w:t>
      </w:r>
      <w:r w:rsidR="003D415A">
        <w:t xml:space="preserve">ontribution to growth in market </w:t>
      </w:r>
      <w:r w:rsidR="00330E69">
        <w:t xml:space="preserve">sector </w:t>
      </w:r>
      <w:proofErr w:type="spellStart"/>
      <w:r w:rsidR="00330E69">
        <w:t>RULC</w:t>
      </w:r>
      <w:proofErr w:type="spellEnd"/>
      <w:r w:rsidR="00330E69">
        <w:t xml:space="preserve">. Industry contributions in each column sum to the </w:t>
      </w:r>
      <w:r w:rsidR="00DC0EDC">
        <w:t>market sector</w:t>
      </w:r>
      <w:r w:rsidR="00330E69">
        <w:t xml:space="preserve"> growth presented at the bottom of each column.</w:t>
      </w:r>
    </w:p>
    <w:p w:rsidR="00112CB0" w:rsidRDefault="00112CB0" w:rsidP="00112CB0">
      <w:pPr>
        <w:pStyle w:val="BodyText"/>
      </w:pPr>
      <w:r>
        <w:t xml:space="preserve">The contributions for the </w:t>
      </w:r>
      <w:proofErr w:type="spellStart"/>
      <w:r>
        <w:t>2000s</w:t>
      </w:r>
      <w:proofErr w:type="spellEnd"/>
      <w:r>
        <w:t xml:space="preserve"> are also presented visually in figure </w:t>
      </w:r>
      <w:r w:rsidR="00A87D61">
        <w:t>6</w:t>
      </w:r>
      <w:r>
        <w:t>.</w:t>
      </w:r>
      <w:r w:rsidR="00A87D61">
        <w:t>2</w:t>
      </w:r>
      <w:r>
        <w:t>.</w:t>
      </w:r>
    </w:p>
    <w:p w:rsidR="000950BA" w:rsidRDefault="000950BA">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r w:rsidR="008A50E2">
        <w:rPr>
          <w:b w:val="0"/>
        </w:rPr>
        <w:t>6.</w:t>
      </w:r>
      <w:r>
        <w:rPr>
          <w:b w:val="0"/>
        </w:rPr>
        <w:fldChar w:fldCharType="end"/>
      </w:r>
      <w:r>
        <w:rPr>
          <w:b w:val="0"/>
        </w:rPr>
        <w:fldChar w:fldCharType="begin"/>
      </w:r>
      <w:r>
        <w:rPr>
          <w:b w:val="0"/>
        </w:rPr>
        <w:instrText xml:space="preserve"> SEQ Table \* ARABIC </w:instrText>
      </w:r>
      <w:r>
        <w:rPr>
          <w:b w:val="0"/>
        </w:rPr>
        <w:fldChar w:fldCharType="separate"/>
      </w:r>
      <w:r w:rsidR="009E7788">
        <w:rPr>
          <w:b w:val="0"/>
          <w:noProof/>
        </w:rPr>
        <w:t>2</w:t>
      </w:r>
      <w:r>
        <w:rPr>
          <w:b w:val="0"/>
        </w:rPr>
        <w:fldChar w:fldCharType="end"/>
      </w:r>
      <w:r>
        <w:tab/>
        <w:t>Industry contributions to the real product wage (</w:t>
      </w:r>
      <w:proofErr w:type="spellStart"/>
      <w:r>
        <w:t>RPW</w:t>
      </w:r>
      <w:proofErr w:type="spellEnd"/>
      <w:r>
        <w:t>), labour productivity (LP) and real unit labour costs (</w:t>
      </w:r>
      <w:proofErr w:type="spellStart"/>
      <w:r>
        <w:t>RULC</w:t>
      </w:r>
      <w:proofErr w:type="spellEnd"/>
      <w:r>
        <w:t xml:space="preserve">), </w:t>
      </w:r>
      <w:proofErr w:type="spellStart"/>
      <w:r>
        <w:t>1990s</w:t>
      </w:r>
      <w:proofErr w:type="spellEnd"/>
      <w:r>
        <w:t xml:space="preserve"> and </w:t>
      </w:r>
      <w:proofErr w:type="spellStart"/>
      <w:r>
        <w:t>2000s</w:t>
      </w:r>
      <w:proofErr w:type="spellEnd"/>
      <w:r>
        <w:t xml:space="preserve"> </w:t>
      </w:r>
    </w:p>
    <w:p w:rsidR="000B099D" w:rsidRPr="008A580C" w:rsidRDefault="003D415A" w:rsidP="008A580C">
      <w:pPr>
        <w:pStyle w:val="Subtitle"/>
      </w:pPr>
      <w:r>
        <w:t>p</w:t>
      </w:r>
      <w:r w:rsidR="000B099D" w:rsidRPr="008A580C">
        <w:t>ercentage points</w:t>
      </w:r>
    </w:p>
    <w:tbl>
      <w:tblPr>
        <w:tblW w:w="0" w:type="auto"/>
        <w:tblInd w:w="108" w:type="dxa"/>
        <w:tblLayout w:type="fixed"/>
        <w:tblLook w:val="04A0" w:firstRow="1" w:lastRow="0" w:firstColumn="1" w:lastColumn="0" w:noHBand="0" w:noVBand="1"/>
      </w:tblPr>
      <w:tblGrid>
        <w:gridCol w:w="2169"/>
        <w:gridCol w:w="1001"/>
        <w:gridCol w:w="987"/>
        <w:gridCol w:w="1099"/>
        <w:gridCol w:w="558"/>
        <w:gridCol w:w="1001"/>
        <w:gridCol w:w="987"/>
        <w:gridCol w:w="987"/>
      </w:tblGrid>
      <w:tr w:rsidR="000950BA" w:rsidRPr="000950BA" w:rsidTr="00A163F2">
        <w:trPr>
          <w:trHeight w:val="300"/>
        </w:trPr>
        <w:tc>
          <w:tcPr>
            <w:tcW w:w="2169" w:type="dxa"/>
            <w:tcBorders>
              <w:top w:val="single" w:sz="4" w:space="0" w:color="auto"/>
              <w:left w:val="nil"/>
              <w:right w:val="nil"/>
            </w:tcBorders>
            <w:shd w:val="clear" w:color="auto" w:fill="auto"/>
            <w:noWrap/>
            <w:vAlign w:val="bottom"/>
          </w:tcPr>
          <w:p w:rsidR="000950BA" w:rsidRPr="000950BA" w:rsidRDefault="000950BA" w:rsidP="000950BA">
            <w:pPr>
              <w:pStyle w:val="TableColumnHeading"/>
              <w:jc w:val="center"/>
            </w:pPr>
          </w:p>
        </w:tc>
        <w:tc>
          <w:tcPr>
            <w:tcW w:w="3087" w:type="dxa"/>
            <w:gridSpan w:val="3"/>
            <w:tcBorders>
              <w:top w:val="single" w:sz="4" w:space="0" w:color="auto"/>
              <w:left w:val="nil"/>
              <w:bottom w:val="single" w:sz="4" w:space="0" w:color="auto"/>
              <w:right w:val="nil"/>
            </w:tcBorders>
            <w:shd w:val="clear" w:color="auto" w:fill="auto"/>
            <w:noWrap/>
            <w:vAlign w:val="bottom"/>
          </w:tcPr>
          <w:p w:rsidR="000950BA" w:rsidRPr="000950BA" w:rsidRDefault="000950BA" w:rsidP="000950BA">
            <w:pPr>
              <w:pStyle w:val="TableColumnHeading"/>
              <w:jc w:val="center"/>
            </w:pPr>
            <w:r w:rsidRPr="000950BA">
              <w:t>1989-90 to 1999-00</w:t>
            </w:r>
          </w:p>
        </w:tc>
        <w:tc>
          <w:tcPr>
            <w:tcW w:w="558" w:type="dxa"/>
            <w:tcBorders>
              <w:top w:val="single" w:sz="4" w:space="0" w:color="auto"/>
              <w:left w:val="nil"/>
              <w:right w:val="nil"/>
            </w:tcBorders>
          </w:tcPr>
          <w:p w:rsidR="000950BA" w:rsidRPr="000950BA" w:rsidRDefault="000950BA" w:rsidP="000950BA">
            <w:pPr>
              <w:pStyle w:val="TableColumnHeading"/>
              <w:jc w:val="center"/>
            </w:pPr>
          </w:p>
        </w:tc>
        <w:tc>
          <w:tcPr>
            <w:tcW w:w="2975" w:type="dxa"/>
            <w:gridSpan w:val="3"/>
            <w:tcBorders>
              <w:top w:val="single" w:sz="4" w:space="0" w:color="auto"/>
              <w:left w:val="nil"/>
              <w:bottom w:val="single" w:sz="4" w:space="0" w:color="auto"/>
              <w:right w:val="nil"/>
            </w:tcBorders>
            <w:shd w:val="clear" w:color="auto" w:fill="auto"/>
            <w:noWrap/>
            <w:vAlign w:val="bottom"/>
          </w:tcPr>
          <w:p w:rsidR="000950BA" w:rsidRPr="000950BA" w:rsidRDefault="000950BA" w:rsidP="000950BA">
            <w:pPr>
              <w:pStyle w:val="TableColumnHeading"/>
              <w:jc w:val="center"/>
            </w:pPr>
            <w:r w:rsidRPr="000950BA">
              <w:t>1999-00 to 2009-10</w:t>
            </w:r>
          </w:p>
        </w:tc>
      </w:tr>
      <w:tr w:rsidR="000950BA" w:rsidRPr="00B815E6" w:rsidTr="00A163F2">
        <w:trPr>
          <w:trHeight w:val="300"/>
        </w:trPr>
        <w:tc>
          <w:tcPr>
            <w:tcW w:w="2169" w:type="dxa"/>
            <w:tcBorders>
              <w:left w:val="nil"/>
              <w:bottom w:val="single" w:sz="4" w:space="0" w:color="auto"/>
              <w:right w:val="nil"/>
            </w:tcBorders>
            <w:shd w:val="clear" w:color="auto" w:fill="auto"/>
            <w:noWrap/>
            <w:vAlign w:val="bottom"/>
            <w:hideMark/>
          </w:tcPr>
          <w:p w:rsidR="000950BA" w:rsidRPr="00B815E6" w:rsidRDefault="000950BA" w:rsidP="000950BA">
            <w:pPr>
              <w:pStyle w:val="TableColumnHeading"/>
            </w:pPr>
          </w:p>
        </w:tc>
        <w:tc>
          <w:tcPr>
            <w:tcW w:w="1001" w:type="dxa"/>
            <w:tcBorders>
              <w:top w:val="single" w:sz="4" w:space="0" w:color="auto"/>
              <w:left w:val="nil"/>
              <w:bottom w:val="single" w:sz="4" w:space="0" w:color="auto"/>
              <w:right w:val="nil"/>
            </w:tcBorders>
            <w:shd w:val="clear" w:color="auto" w:fill="auto"/>
            <w:noWrap/>
            <w:vAlign w:val="bottom"/>
            <w:hideMark/>
          </w:tcPr>
          <w:p w:rsidR="000950BA" w:rsidRPr="00B815E6" w:rsidRDefault="000950BA" w:rsidP="000950BA">
            <w:pPr>
              <w:pStyle w:val="TableColumnHeading"/>
            </w:pPr>
            <w:proofErr w:type="spellStart"/>
            <w:r w:rsidRPr="00B815E6">
              <w:t>RPW</w:t>
            </w:r>
            <w:proofErr w:type="spellEnd"/>
          </w:p>
        </w:tc>
        <w:tc>
          <w:tcPr>
            <w:tcW w:w="987" w:type="dxa"/>
            <w:tcBorders>
              <w:top w:val="single" w:sz="4" w:space="0" w:color="auto"/>
              <w:left w:val="nil"/>
              <w:bottom w:val="single" w:sz="4" w:space="0" w:color="auto"/>
              <w:right w:val="nil"/>
            </w:tcBorders>
            <w:shd w:val="clear" w:color="auto" w:fill="auto"/>
            <w:noWrap/>
            <w:vAlign w:val="bottom"/>
            <w:hideMark/>
          </w:tcPr>
          <w:p w:rsidR="000950BA" w:rsidRPr="00B815E6" w:rsidRDefault="000950BA" w:rsidP="000950BA">
            <w:pPr>
              <w:pStyle w:val="TableColumnHeading"/>
            </w:pPr>
            <w:r w:rsidRPr="00B815E6">
              <w:t>LP</w:t>
            </w:r>
          </w:p>
        </w:tc>
        <w:tc>
          <w:tcPr>
            <w:tcW w:w="1099" w:type="dxa"/>
            <w:tcBorders>
              <w:top w:val="single" w:sz="4" w:space="0" w:color="auto"/>
              <w:left w:val="nil"/>
              <w:bottom w:val="single" w:sz="4" w:space="0" w:color="auto"/>
              <w:right w:val="nil"/>
            </w:tcBorders>
            <w:shd w:val="clear" w:color="auto" w:fill="auto"/>
            <w:noWrap/>
            <w:vAlign w:val="bottom"/>
            <w:hideMark/>
          </w:tcPr>
          <w:p w:rsidR="000950BA" w:rsidRPr="00B815E6" w:rsidRDefault="000950BA" w:rsidP="000950BA">
            <w:pPr>
              <w:pStyle w:val="TableColumnHeading"/>
            </w:pPr>
            <w:proofErr w:type="spellStart"/>
            <w:r w:rsidRPr="00B815E6">
              <w:t>RULC</w:t>
            </w:r>
            <w:proofErr w:type="spellEnd"/>
          </w:p>
        </w:tc>
        <w:tc>
          <w:tcPr>
            <w:tcW w:w="558" w:type="dxa"/>
            <w:tcBorders>
              <w:left w:val="nil"/>
              <w:bottom w:val="single" w:sz="4" w:space="0" w:color="auto"/>
              <w:right w:val="nil"/>
            </w:tcBorders>
          </w:tcPr>
          <w:p w:rsidR="000950BA" w:rsidRPr="00B815E6" w:rsidRDefault="000950BA" w:rsidP="000950BA">
            <w:pPr>
              <w:pStyle w:val="TableColumnHeading"/>
            </w:pPr>
          </w:p>
        </w:tc>
        <w:tc>
          <w:tcPr>
            <w:tcW w:w="1001" w:type="dxa"/>
            <w:tcBorders>
              <w:top w:val="single" w:sz="4" w:space="0" w:color="auto"/>
              <w:left w:val="nil"/>
              <w:bottom w:val="single" w:sz="4" w:space="0" w:color="auto"/>
              <w:right w:val="nil"/>
            </w:tcBorders>
            <w:shd w:val="clear" w:color="auto" w:fill="auto"/>
            <w:noWrap/>
            <w:vAlign w:val="bottom"/>
            <w:hideMark/>
          </w:tcPr>
          <w:p w:rsidR="000950BA" w:rsidRPr="00B815E6" w:rsidRDefault="000950BA" w:rsidP="000950BA">
            <w:pPr>
              <w:pStyle w:val="TableColumnHeading"/>
            </w:pPr>
            <w:proofErr w:type="spellStart"/>
            <w:r w:rsidRPr="00B815E6">
              <w:t>RPW</w:t>
            </w:r>
            <w:proofErr w:type="spellEnd"/>
          </w:p>
        </w:tc>
        <w:tc>
          <w:tcPr>
            <w:tcW w:w="987" w:type="dxa"/>
            <w:tcBorders>
              <w:top w:val="single" w:sz="4" w:space="0" w:color="auto"/>
              <w:left w:val="nil"/>
              <w:bottom w:val="single" w:sz="4" w:space="0" w:color="auto"/>
              <w:right w:val="nil"/>
            </w:tcBorders>
            <w:shd w:val="clear" w:color="auto" w:fill="auto"/>
            <w:noWrap/>
            <w:vAlign w:val="bottom"/>
            <w:hideMark/>
          </w:tcPr>
          <w:p w:rsidR="000950BA" w:rsidRPr="00B815E6" w:rsidRDefault="000950BA" w:rsidP="000950BA">
            <w:pPr>
              <w:pStyle w:val="TableColumnHeading"/>
            </w:pPr>
            <w:r w:rsidRPr="00B815E6">
              <w:t>LP</w:t>
            </w:r>
          </w:p>
        </w:tc>
        <w:tc>
          <w:tcPr>
            <w:tcW w:w="987" w:type="dxa"/>
            <w:tcBorders>
              <w:top w:val="single" w:sz="4" w:space="0" w:color="auto"/>
              <w:left w:val="nil"/>
              <w:bottom w:val="single" w:sz="4" w:space="0" w:color="auto"/>
              <w:right w:val="nil"/>
            </w:tcBorders>
            <w:shd w:val="clear" w:color="auto" w:fill="auto"/>
            <w:noWrap/>
            <w:vAlign w:val="bottom"/>
            <w:hideMark/>
          </w:tcPr>
          <w:p w:rsidR="000950BA" w:rsidRPr="00B815E6" w:rsidRDefault="000950BA" w:rsidP="000950BA">
            <w:pPr>
              <w:pStyle w:val="TableColumnHeading"/>
            </w:pPr>
            <w:proofErr w:type="spellStart"/>
            <w:r w:rsidRPr="00B815E6">
              <w:t>RULC</w:t>
            </w:r>
            <w:proofErr w:type="spellEnd"/>
          </w:p>
        </w:tc>
      </w:tr>
      <w:tr w:rsidR="000950BA" w:rsidRPr="00B815E6" w:rsidTr="00A163F2">
        <w:trPr>
          <w:trHeight w:val="300"/>
        </w:trPr>
        <w:tc>
          <w:tcPr>
            <w:tcW w:w="2169" w:type="dxa"/>
            <w:tcBorders>
              <w:top w:val="single" w:sz="4" w:space="0" w:color="auto"/>
              <w:left w:val="nil"/>
              <w:bottom w:val="nil"/>
              <w:right w:val="nil"/>
            </w:tcBorders>
            <w:shd w:val="clear" w:color="auto" w:fill="auto"/>
            <w:noWrap/>
            <w:vAlign w:val="bottom"/>
            <w:hideMark/>
          </w:tcPr>
          <w:p w:rsidR="000950BA" w:rsidRPr="00B815E6" w:rsidRDefault="000950BA" w:rsidP="00A163F2">
            <w:pPr>
              <w:pStyle w:val="TableBodyText"/>
              <w:ind w:left="0" w:right="0"/>
              <w:jc w:val="left"/>
            </w:pPr>
            <w:r w:rsidRPr="00B815E6">
              <w:t>Agriculture</w:t>
            </w:r>
          </w:p>
        </w:tc>
        <w:tc>
          <w:tcPr>
            <w:tcW w:w="1001" w:type="dxa"/>
            <w:tcBorders>
              <w:top w:val="single" w:sz="4" w:space="0" w:color="auto"/>
              <w:left w:val="nil"/>
              <w:bottom w:val="nil"/>
              <w:right w:val="nil"/>
            </w:tcBorders>
            <w:shd w:val="clear" w:color="auto" w:fill="auto"/>
            <w:noWrap/>
            <w:vAlign w:val="bottom"/>
            <w:hideMark/>
          </w:tcPr>
          <w:p w:rsidR="000950BA" w:rsidRPr="00B815E6" w:rsidRDefault="000950BA" w:rsidP="000950BA">
            <w:pPr>
              <w:pStyle w:val="TableBodyText"/>
            </w:pPr>
            <w:r w:rsidRPr="00B815E6">
              <w:t>0.27</w:t>
            </w:r>
          </w:p>
        </w:tc>
        <w:tc>
          <w:tcPr>
            <w:tcW w:w="987" w:type="dxa"/>
            <w:tcBorders>
              <w:top w:val="single" w:sz="4" w:space="0" w:color="auto"/>
              <w:left w:val="nil"/>
              <w:bottom w:val="nil"/>
              <w:right w:val="nil"/>
            </w:tcBorders>
            <w:shd w:val="clear" w:color="auto" w:fill="auto"/>
            <w:noWrap/>
            <w:vAlign w:val="bottom"/>
            <w:hideMark/>
          </w:tcPr>
          <w:p w:rsidR="000950BA" w:rsidRPr="00B815E6" w:rsidRDefault="000950BA" w:rsidP="000950BA">
            <w:pPr>
              <w:pStyle w:val="TableBodyText"/>
            </w:pPr>
            <w:r w:rsidRPr="00B815E6">
              <w:t>0.19</w:t>
            </w:r>
          </w:p>
        </w:tc>
        <w:tc>
          <w:tcPr>
            <w:tcW w:w="1099" w:type="dxa"/>
            <w:tcBorders>
              <w:top w:val="single" w:sz="4" w:space="0" w:color="auto"/>
              <w:left w:val="nil"/>
              <w:bottom w:val="nil"/>
              <w:right w:val="nil"/>
            </w:tcBorders>
            <w:shd w:val="clear" w:color="auto" w:fill="auto"/>
            <w:noWrap/>
            <w:vAlign w:val="bottom"/>
            <w:hideMark/>
          </w:tcPr>
          <w:p w:rsidR="000950BA" w:rsidRPr="00B815E6" w:rsidRDefault="000950BA" w:rsidP="000950BA">
            <w:pPr>
              <w:pStyle w:val="TableBodyText"/>
            </w:pPr>
            <w:r w:rsidRPr="00B815E6">
              <w:t>0.08</w:t>
            </w:r>
          </w:p>
        </w:tc>
        <w:tc>
          <w:tcPr>
            <w:tcW w:w="558" w:type="dxa"/>
            <w:tcBorders>
              <w:top w:val="single" w:sz="4" w:space="0" w:color="auto"/>
              <w:left w:val="nil"/>
              <w:bottom w:val="nil"/>
              <w:right w:val="nil"/>
            </w:tcBorders>
          </w:tcPr>
          <w:p w:rsidR="000950BA" w:rsidRPr="00B815E6" w:rsidRDefault="000950BA" w:rsidP="000950BA">
            <w:pPr>
              <w:pStyle w:val="TableBodyText"/>
            </w:pPr>
          </w:p>
        </w:tc>
        <w:tc>
          <w:tcPr>
            <w:tcW w:w="1001" w:type="dxa"/>
            <w:tcBorders>
              <w:top w:val="single" w:sz="4" w:space="0" w:color="auto"/>
              <w:left w:val="nil"/>
              <w:bottom w:val="nil"/>
              <w:right w:val="nil"/>
            </w:tcBorders>
            <w:shd w:val="clear" w:color="auto" w:fill="auto"/>
            <w:noWrap/>
            <w:vAlign w:val="bottom"/>
            <w:hideMark/>
          </w:tcPr>
          <w:p w:rsidR="000950BA" w:rsidRPr="00B815E6" w:rsidRDefault="000950BA" w:rsidP="000950BA">
            <w:pPr>
              <w:pStyle w:val="TableBodyText"/>
            </w:pPr>
            <w:r w:rsidRPr="00B815E6">
              <w:t>0.12</w:t>
            </w:r>
          </w:p>
        </w:tc>
        <w:tc>
          <w:tcPr>
            <w:tcW w:w="987" w:type="dxa"/>
            <w:tcBorders>
              <w:top w:val="single" w:sz="4" w:space="0" w:color="auto"/>
              <w:left w:val="nil"/>
              <w:bottom w:val="nil"/>
              <w:right w:val="nil"/>
            </w:tcBorders>
            <w:shd w:val="clear" w:color="auto" w:fill="auto"/>
            <w:noWrap/>
            <w:vAlign w:val="bottom"/>
            <w:hideMark/>
          </w:tcPr>
          <w:p w:rsidR="000950BA" w:rsidRPr="00B815E6" w:rsidRDefault="000950BA" w:rsidP="000950BA">
            <w:pPr>
              <w:pStyle w:val="TableBodyText"/>
            </w:pPr>
            <w:r w:rsidRPr="00B815E6">
              <w:t>0.24</w:t>
            </w:r>
          </w:p>
        </w:tc>
        <w:tc>
          <w:tcPr>
            <w:tcW w:w="987" w:type="dxa"/>
            <w:tcBorders>
              <w:top w:val="single" w:sz="4" w:space="0" w:color="auto"/>
              <w:left w:val="nil"/>
              <w:bottom w:val="nil"/>
              <w:right w:val="nil"/>
            </w:tcBorders>
            <w:shd w:val="clear" w:color="auto" w:fill="auto"/>
            <w:noWrap/>
            <w:vAlign w:val="bottom"/>
            <w:hideMark/>
          </w:tcPr>
          <w:p w:rsidR="000950BA" w:rsidRPr="00B815E6" w:rsidRDefault="000950BA" w:rsidP="000950BA">
            <w:pPr>
              <w:pStyle w:val="TableBodyText"/>
            </w:pPr>
            <w:r w:rsidRPr="00B815E6">
              <w:t>-0.12</w:t>
            </w:r>
          </w:p>
        </w:tc>
      </w:tr>
      <w:tr w:rsidR="000950BA" w:rsidRPr="00B815E6" w:rsidTr="00A163F2">
        <w:trPr>
          <w:trHeight w:val="300"/>
        </w:trPr>
        <w:tc>
          <w:tcPr>
            <w:tcW w:w="2169" w:type="dxa"/>
            <w:tcBorders>
              <w:top w:val="nil"/>
              <w:left w:val="nil"/>
              <w:bottom w:val="nil"/>
              <w:right w:val="nil"/>
            </w:tcBorders>
            <w:shd w:val="clear" w:color="auto" w:fill="auto"/>
            <w:noWrap/>
            <w:vAlign w:val="bottom"/>
            <w:hideMark/>
          </w:tcPr>
          <w:p w:rsidR="000950BA" w:rsidRPr="00B815E6" w:rsidRDefault="000950BA" w:rsidP="00A163F2">
            <w:pPr>
              <w:pStyle w:val="TableBodyText"/>
              <w:ind w:left="0" w:right="0"/>
              <w:jc w:val="left"/>
            </w:pPr>
            <w:r w:rsidRPr="00B815E6">
              <w:t>Mining</w:t>
            </w:r>
          </w:p>
        </w:tc>
        <w:tc>
          <w:tcPr>
            <w:tcW w:w="1001"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0.08</w:t>
            </w:r>
          </w:p>
        </w:tc>
        <w:tc>
          <w:tcPr>
            <w:tcW w:w="987"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0.31</w:t>
            </w:r>
          </w:p>
        </w:tc>
        <w:tc>
          <w:tcPr>
            <w:tcW w:w="1099"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-0.23</w:t>
            </w:r>
          </w:p>
        </w:tc>
        <w:tc>
          <w:tcPr>
            <w:tcW w:w="558" w:type="dxa"/>
            <w:tcBorders>
              <w:top w:val="nil"/>
              <w:left w:val="nil"/>
              <w:bottom w:val="nil"/>
              <w:right w:val="nil"/>
            </w:tcBorders>
          </w:tcPr>
          <w:p w:rsidR="000950BA" w:rsidRPr="00B815E6" w:rsidRDefault="000950BA" w:rsidP="000950BA">
            <w:pPr>
              <w:pStyle w:val="TableBodyText"/>
            </w:pPr>
          </w:p>
        </w:tc>
        <w:tc>
          <w:tcPr>
            <w:tcW w:w="1001"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-0.61</w:t>
            </w:r>
          </w:p>
        </w:tc>
        <w:tc>
          <w:tcPr>
            <w:tcW w:w="987"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0.16</w:t>
            </w:r>
          </w:p>
        </w:tc>
        <w:tc>
          <w:tcPr>
            <w:tcW w:w="987"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-0.78</w:t>
            </w:r>
          </w:p>
        </w:tc>
      </w:tr>
      <w:tr w:rsidR="000950BA" w:rsidRPr="00B815E6" w:rsidTr="00A163F2">
        <w:trPr>
          <w:trHeight w:val="300"/>
        </w:trPr>
        <w:tc>
          <w:tcPr>
            <w:tcW w:w="2169" w:type="dxa"/>
            <w:tcBorders>
              <w:top w:val="nil"/>
              <w:left w:val="nil"/>
              <w:bottom w:val="nil"/>
              <w:right w:val="nil"/>
            </w:tcBorders>
            <w:shd w:val="clear" w:color="auto" w:fill="auto"/>
            <w:noWrap/>
            <w:vAlign w:val="bottom"/>
            <w:hideMark/>
          </w:tcPr>
          <w:p w:rsidR="000950BA" w:rsidRPr="00B815E6" w:rsidRDefault="000950BA" w:rsidP="00A163F2">
            <w:pPr>
              <w:pStyle w:val="TableBodyText"/>
              <w:ind w:left="0" w:right="0"/>
              <w:jc w:val="left"/>
            </w:pPr>
            <w:r w:rsidRPr="00B815E6">
              <w:t>Manufacturing</w:t>
            </w:r>
          </w:p>
        </w:tc>
        <w:tc>
          <w:tcPr>
            <w:tcW w:w="1001"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0.40</w:t>
            </w:r>
          </w:p>
        </w:tc>
        <w:tc>
          <w:tcPr>
            <w:tcW w:w="987"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0.45</w:t>
            </w:r>
          </w:p>
        </w:tc>
        <w:tc>
          <w:tcPr>
            <w:tcW w:w="1099"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-0.06</w:t>
            </w:r>
          </w:p>
        </w:tc>
        <w:tc>
          <w:tcPr>
            <w:tcW w:w="558" w:type="dxa"/>
            <w:tcBorders>
              <w:top w:val="nil"/>
              <w:left w:val="nil"/>
              <w:bottom w:val="nil"/>
              <w:right w:val="nil"/>
            </w:tcBorders>
          </w:tcPr>
          <w:p w:rsidR="000950BA" w:rsidRPr="00B815E6" w:rsidRDefault="000950BA" w:rsidP="000950BA">
            <w:pPr>
              <w:pStyle w:val="TableBodyText"/>
            </w:pPr>
          </w:p>
        </w:tc>
        <w:tc>
          <w:tcPr>
            <w:tcW w:w="1001"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0.45</w:t>
            </w:r>
          </w:p>
        </w:tc>
        <w:tc>
          <w:tcPr>
            <w:tcW w:w="987"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0.38</w:t>
            </w:r>
          </w:p>
        </w:tc>
        <w:tc>
          <w:tcPr>
            <w:tcW w:w="987"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0.07</w:t>
            </w:r>
          </w:p>
        </w:tc>
      </w:tr>
      <w:tr w:rsidR="000950BA" w:rsidRPr="00B815E6" w:rsidTr="00A163F2">
        <w:trPr>
          <w:trHeight w:val="300"/>
        </w:trPr>
        <w:tc>
          <w:tcPr>
            <w:tcW w:w="2169" w:type="dxa"/>
            <w:tcBorders>
              <w:top w:val="nil"/>
              <w:left w:val="nil"/>
              <w:bottom w:val="nil"/>
              <w:right w:val="nil"/>
            </w:tcBorders>
            <w:shd w:val="clear" w:color="auto" w:fill="auto"/>
            <w:noWrap/>
            <w:vAlign w:val="bottom"/>
            <w:hideMark/>
          </w:tcPr>
          <w:p w:rsidR="000950BA" w:rsidRPr="00B815E6" w:rsidRDefault="00CD4A9D" w:rsidP="00A163F2">
            <w:pPr>
              <w:pStyle w:val="TableBodyText"/>
              <w:ind w:left="0" w:right="0"/>
              <w:jc w:val="left"/>
            </w:pPr>
            <w:r>
              <w:t>Utilities</w:t>
            </w:r>
          </w:p>
        </w:tc>
        <w:tc>
          <w:tcPr>
            <w:tcW w:w="1001"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0.03</w:t>
            </w:r>
          </w:p>
        </w:tc>
        <w:tc>
          <w:tcPr>
            <w:tcW w:w="987"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0.15</w:t>
            </w:r>
          </w:p>
        </w:tc>
        <w:tc>
          <w:tcPr>
            <w:tcW w:w="1099"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-0.12</w:t>
            </w:r>
          </w:p>
        </w:tc>
        <w:tc>
          <w:tcPr>
            <w:tcW w:w="558" w:type="dxa"/>
            <w:tcBorders>
              <w:top w:val="nil"/>
              <w:left w:val="nil"/>
              <w:bottom w:val="nil"/>
              <w:right w:val="nil"/>
            </w:tcBorders>
          </w:tcPr>
          <w:p w:rsidR="000950BA" w:rsidRPr="00B815E6" w:rsidRDefault="000950BA" w:rsidP="000950BA">
            <w:pPr>
              <w:pStyle w:val="TableBodyText"/>
            </w:pPr>
          </w:p>
        </w:tc>
        <w:tc>
          <w:tcPr>
            <w:tcW w:w="1001"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-0.11</w:t>
            </w:r>
          </w:p>
        </w:tc>
        <w:tc>
          <w:tcPr>
            <w:tcW w:w="987"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-0.05</w:t>
            </w:r>
          </w:p>
        </w:tc>
        <w:tc>
          <w:tcPr>
            <w:tcW w:w="987"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-0.06</w:t>
            </w:r>
          </w:p>
        </w:tc>
      </w:tr>
      <w:tr w:rsidR="000950BA" w:rsidRPr="00B815E6" w:rsidTr="00A163F2">
        <w:trPr>
          <w:trHeight w:val="300"/>
        </w:trPr>
        <w:tc>
          <w:tcPr>
            <w:tcW w:w="2169" w:type="dxa"/>
            <w:tcBorders>
              <w:top w:val="nil"/>
              <w:left w:val="nil"/>
              <w:bottom w:val="nil"/>
              <w:right w:val="nil"/>
            </w:tcBorders>
            <w:shd w:val="clear" w:color="auto" w:fill="auto"/>
            <w:noWrap/>
            <w:vAlign w:val="bottom"/>
            <w:hideMark/>
          </w:tcPr>
          <w:p w:rsidR="000950BA" w:rsidRPr="00B815E6" w:rsidRDefault="000950BA" w:rsidP="00A163F2">
            <w:pPr>
              <w:pStyle w:val="TableBodyText"/>
              <w:ind w:left="0" w:right="0"/>
              <w:jc w:val="left"/>
            </w:pPr>
            <w:r w:rsidRPr="00B815E6">
              <w:t>Construction</w:t>
            </w:r>
          </w:p>
        </w:tc>
        <w:tc>
          <w:tcPr>
            <w:tcW w:w="1001"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0.16</w:t>
            </w:r>
          </w:p>
        </w:tc>
        <w:tc>
          <w:tcPr>
            <w:tcW w:w="987"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0.05</w:t>
            </w:r>
          </w:p>
        </w:tc>
        <w:tc>
          <w:tcPr>
            <w:tcW w:w="1099"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0.11</w:t>
            </w:r>
          </w:p>
        </w:tc>
        <w:tc>
          <w:tcPr>
            <w:tcW w:w="558" w:type="dxa"/>
            <w:tcBorders>
              <w:top w:val="nil"/>
              <w:left w:val="nil"/>
              <w:bottom w:val="nil"/>
              <w:right w:val="nil"/>
            </w:tcBorders>
          </w:tcPr>
          <w:p w:rsidR="000950BA" w:rsidRPr="00B815E6" w:rsidRDefault="000950BA" w:rsidP="000950BA">
            <w:pPr>
              <w:pStyle w:val="TableBodyText"/>
            </w:pPr>
          </w:p>
        </w:tc>
        <w:tc>
          <w:tcPr>
            <w:tcW w:w="1001"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0.15</w:t>
            </w:r>
          </w:p>
        </w:tc>
        <w:tc>
          <w:tcPr>
            <w:tcW w:w="987"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-0.03</w:t>
            </w:r>
          </w:p>
        </w:tc>
        <w:tc>
          <w:tcPr>
            <w:tcW w:w="987"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0.18</w:t>
            </w:r>
          </w:p>
        </w:tc>
      </w:tr>
      <w:tr w:rsidR="000950BA" w:rsidRPr="00B815E6" w:rsidTr="00A163F2">
        <w:trPr>
          <w:trHeight w:val="300"/>
        </w:trPr>
        <w:tc>
          <w:tcPr>
            <w:tcW w:w="2169" w:type="dxa"/>
            <w:tcBorders>
              <w:top w:val="nil"/>
              <w:left w:val="nil"/>
              <w:bottom w:val="nil"/>
              <w:right w:val="nil"/>
            </w:tcBorders>
            <w:shd w:val="clear" w:color="auto" w:fill="auto"/>
            <w:noWrap/>
            <w:vAlign w:val="bottom"/>
            <w:hideMark/>
          </w:tcPr>
          <w:p w:rsidR="000950BA" w:rsidRPr="00B815E6" w:rsidRDefault="000950BA" w:rsidP="00A163F2">
            <w:pPr>
              <w:pStyle w:val="TableBodyText"/>
              <w:ind w:left="0" w:right="0"/>
              <w:jc w:val="left"/>
            </w:pPr>
            <w:r w:rsidRPr="00B815E6">
              <w:t>Wholesale</w:t>
            </w:r>
          </w:p>
        </w:tc>
        <w:tc>
          <w:tcPr>
            <w:tcW w:w="1001"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0.32</w:t>
            </w:r>
          </w:p>
        </w:tc>
        <w:tc>
          <w:tcPr>
            <w:tcW w:w="987"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0.24</w:t>
            </w:r>
          </w:p>
        </w:tc>
        <w:tc>
          <w:tcPr>
            <w:tcW w:w="1099"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0.08</w:t>
            </w:r>
          </w:p>
        </w:tc>
        <w:tc>
          <w:tcPr>
            <w:tcW w:w="558" w:type="dxa"/>
            <w:tcBorders>
              <w:top w:val="nil"/>
              <w:left w:val="nil"/>
              <w:bottom w:val="nil"/>
              <w:right w:val="nil"/>
            </w:tcBorders>
          </w:tcPr>
          <w:p w:rsidR="000950BA" w:rsidRPr="00B815E6" w:rsidRDefault="000950BA" w:rsidP="000950BA">
            <w:pPr>
              <w:pStyle w:val="TableBodyText"/>
            </w:pPr>
          </w:p>
        </w:tc>
        <w:tc>
          <w:tcPr>
            <w:tcW w:w="1001"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0.22</w:t>
            </w:r>
          </w:p>
        </w:tc>
        <w:tc>
          <w:tcPr>
            <w:tcW w:w="987"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0.17</w:t>
            </w:r>
          </w:p>
        </w:tc>
        <w:tc>
          <w:tcPr>
            <w:tcW w:w="987"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0.05</w:t>
            </w:r>
          </w:p>
        </w:tc>
      </w:tr>
      <w:tr w:rsidR="000950BA" w:rsidRPr="00B815E6" w:rsidTr="00A163F2">
        <w:trPr>
          <w:trHeight w:val="300"/>
        </w:trPr>
        <w:tc>
          <w:tcPr>
            <w:tcW w:w="2169" w:type="dxa"/>
            <w:tcBorders>
              <w:top w:val="nil"/>
              <w:left w:val="nil"/>
              <w:bottom w:val="nil"/>
              <w:right w:val="nil"/>
            </w:tcBorders>
            <w:shd w:val="clear" w:color="auto" w:fill="auto"/>
            <w:noWrap/>
            <w:vAlign w:val="bottom"/>
            <w:hideMark/>
          </w:tcPr>
          <w:p w:rsidR="000950BA" w:rsidRPr="00B815E6" w:rsidRDefault="000950BA" w:rsidP="00A163F2">
            <w:pPr>
              <w:pStyle w:val="TableBodyText"/>
              <w:ind w:left="0" w:right="0"/>
              <w:jc w:val="left"/>
            </w:pPr>
            <w:r w:rsidRPr="00B815E6">
              <w:t>Retail</w:t>
            </w:r>
          </w:p>
        </w:tc>
        <w:tc>
          <w:tcPr>
            <w:tcW w:w="1001"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0.30</w:t>
            </w:r>
          </w:p>
        </w:tc>
        <w:tc>
          <w:tcPr>
            <w:tcW w:w="987"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0.11</w:t>
            </w:r>
          </w:p>
        </w:tc>
        <w:tc>
          <w:tcPr>
            <w:tcW w:w="1099"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0.19</w:t>
            </w:r>
          </w:p>
        </w:tc>
        <w:tc>
          <w:tcPr>
            <w:tcW w:w="558" w:type="dxa"/>
            <w:tcBorders>
              <w:top w:val="nil"/>
              <w:left w:val="nil"/>
              <w:bottom w:val="nil"/>
              <w:right w:val="nil"/>
            </w:tcBorders>
          </w:tcPr>
          <w:p w:rsidR="000950BA" w:rsidRPr="00B815E6" w:rsidRDefault="000950BA" w:rsidP="000950BA">
            <w:pPr>
              <w:pStyle w:val="TableBodyText"/>
            </w:pPr>
          </w:p>
        </w:tc>
        <w:tc>
          <w:tcPr>
            <w:tcW w:w="1001"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0.17</w:t>
            </w:r>
          </w:p>
        </w:tc>
        <w:tc>
          <w:tcPr>
            <w:tcW w:w="987"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0.10</w:t>
            </w:r>
          </w:p>
        </w:tc>
        <w:tc>
          <w:tcPr>
            <w:tcW w:w="987"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0.07</w:t>
            </w:r>
          </w:p>
        </w:tc>
      </w:tr>
      <w:tr w:rsidR="000950BA" w:rsidRPr="00B815E6" w:rsidTr="00A163F2">
        <w:trPr>
          <w:trHeight w:val="300"/>
        </w:trPr>
        <w:tc>
          <w:tcPr>
            <w:tcW w:w="2169" w:type="dxa"/>
            <w:tcBorders>
              <w:top w:val="nil"/>
              <w:left w:val="nil"/>
              <w:bottom w:val="nil"/>
              <w:right w:val="nil"/>
            </w:tcBorders>
            <w:shd w:val="clear" w:color="auto" w:fill="auto"/>
            <w:noWrap/>
            <w:vAlign w:val="bottom"/>
            <w:hideMark/>
          </w:tcPr>
          <w:p w:rsidR="000950BA" w:rsidRPr="00B815E6" w:rsidRDefault="000950BA" w:rsidP="00A163F2">
            <w:pPr>
              <w:pStyle w:val="TableBodyText"/>
              <w:ind w:left="0" w:right="0"/>
              <w:jc w:val="left"/>
            </w:pPr>
            <w:r w:rsidRPr="00B815E6">
              <w:t>Accommodation</w:t>
            </w:r>
          </w:p>
        </w:tc>
        <w:tc>
          <w:tcPr>
            <w:tcW w:w="1001"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0.00</w:t>
            </w:r>
          </w:p>
        </w:tc>
        <w:tc>
          <w:tcPr>
            <w:tcW w:w="987"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-0.12</w:t>
            </w:r>
          </w:p>
        </w:tc>
        <w:tc>
          <w:tcPr>
            <w:tcW w:w="1099"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0.13</w:t>
            </w:r>
          </w:p>
        </w:tc>
        <w:tc>
          <w:tcPr>
            <w:tcW w:w="558" w:type="dxa"/>
            <w:tcBorders>
              <w:top w:val="nil"/>
              <w:left w:val="nil"/>
              <w:bottom w:val="nil"/>
              <w:right w:val="nil"/>
            </w:tcBorders>
          </w:tcPr>
          <w:p w:rsidR="000950BA" w:rsidRPr="00B815E6" w:rsidRDefault="000950BA" w:rsidP="000950BA">
            <w:pPr>
              <w:pStyle w:val="TableBodyText"/>
            </w:pPr>
          </w:p>
        </w:tc>
        <w:tc>
          <w:tcPr>
            <w:tcW w:w="1001"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0.01</w:t>
            </w:r>
          </w:p>
        </w:tc>
        <w:tc>
          <w:tcPr>
            <w:tcW w:w="987"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-0.02</w:t>
            </w:r>
          </w:p>
        </w:tc>
        <w:tc>
          <w:tcPr>
            <w:tcW w:w="987"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0.04</w:t>
            </w:r>
          </w:p>
        </w:tc>
      </w:tr>
      <w:tr w:rsidR="000950BA" w:rsidRPr="00B815E6" w:rsidTr="00A163F2">
        <w:trPr>
          <w:trHeight w:val="300"/>
        </w:trPr>
        <w:tc>
          <w:tcPr>
            <w:tcW w:w="2169" w:type="dxa"/>
            <w:tcBorders>
              <w:top w:val="nil"/>
              <w:left w:val="nil"/>
              <w:bottom w:val="nil"/>
              <w:right w:val="nil"/>
            </w:tcBorders>
            <w:shd w:val="clear" w:color="auto" w:fill="auto"/>
            <w:noWrap/>
            <w:vAlign w:val="bottom"/>
            <w:hideMark/>
          </w:tcPr>
          <w:p w:rsidR="000950BA" w:rsidRPr="00B815E6" w:rsidRDefault="000950BA" w:rsidP="00A163F2">
            <w:pPr>
              <w:pStyle w:val="TableBodyText"/>
              <w:ind w:left="0" w:right="0"/>
              <w:jc w:val="left"/>
            </w:pPr>
            <w:r w:rsidRPr="00B815E6">
              <w:t>Transport</w:t>
            </w:r>
          </w:p>
        </w:tc>
        <w:tc>
          <w:tcPr>
            <w:tcW w:w="1001"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0.17</w:t>
            </w:r>
          </w:p>
        </w:tc>
        <w:tc>
          <w:tcPr>
            <w:tcW w:w="987"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0.18</w:t>
            </w:r>
          </w:p>
        </w:tc>
        <w:tc>
          <w:tcPr>
            <w:tcW w:w="1099"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-0.01</w:t>
            </w:r>
          </w:p>
        </w:tc>
        <w:tc>
          <w:tcPr>
            <w:tcW w:w="558" w:type="dxa"/>
            <w:tcBorders>
              <w:top w:val="nil"/>
              <w:left w:val="nil"/>
              <w:bottom w:val="nil"/>
              <w:right w:val="nil"/>
            </w:tcBorders>
          </w:tcPr>
          <w:p w:rsidR="000950BA" w:rsidRPr="00B815E6" w:rsidRDefault="000950BA" w:rsidP="000950BA">
            <w:pPr>
              <w:pStyle w:val="TableBodyText"/>
            </w:pPr>
          </w:p>
        </w:tc>
        <w:tc>
          <w:tcPr>
            <w:tcW w:w="1001"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0.13</w:t>
            </w:r>
          </w:p>
        </w:tc>
        <w:tc>
          <w:tcPr>
            <w:tcW w:w="987"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0.12</w:t>
            </w:r>
          </w:p>
        </w:tc>
        <w:tc>
          <w:tcPr>
            <w:tcW w:w="987"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0.01</w:t>
            </w:r>
          </w:p>
        </w:tc>
      </w:tr>
      <w:tr w:rsidR="000950BA" w:rsidRPr="00B815E6" w:rsidTr="00A163F2">
        <w:trPr>
          <w:trHeight w:val="300"/>
        </w:trPr>
        <w:tc>
          <w:tcPr>
            <w:tcW w:w="2169" w:type="dxa"/>
            <w:tcBorders>
              <w:top w:val="nil"/>
              <w:left w:val="nil"/>
              <w:bottom w:val="nil"/>
              <w:right w:val="nil"/>
            </w:tcBorders>
            <w:shd w:val="clear" w:color="auto" w:fill="auto"/>
            <w:noWrap/>
            <w:vAlign w:val="bottom"/>
            <w:hideMark/>
          </w:tcPr>
          <w:p w:rsidR="000950BA" w:rsidRPr="00B815E6" w:rsidRDefault="000950BA" w:rsidP="00A163F2">
            <w:pPr>
              <w:pStyle w:val="TableBodyText"/>
              <w:ind w:left="0" w:right="0"/>
              <w:jc w:val="left"/>
            </w:pPr>
            <w:r w:rsidRPr="00B815E6">
              <w:t>Telecoms</w:t>
            </w:r>
          </w:p>
        </w:tc>
        <w:tc>
          <w:tcPr>
            <w:tcW w:w="1001"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0.21</w:t>
            </w:r>
          </w:p>
        </w:tc>
        <w:tc>
          <w:tcPr>
            <w:tcW w:w="987"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0.38</w:t>
            </w:r>
          </w:p>
        </w:tc>
        <w:tc>
          <w:tcPr>
            <w:tcW w:w="1099"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-0.18</w:t>
            </w:r>
          </w:p>
        </w:tc>
        <w:tc>
          <w:tcPr>
            <w:tcW w:w="558" w:type="dxa"/>
            <w:tcBorders>
              <w:top w:val="nil"/>
              <w:left w:val="nil"/>
              <w:bottom w:val="nil"/>
              <w:right w:val="nil"/>
            </w:tcBorders>
          </w:tcPr>
          <w:p w:rsidR="000950BA" w:rsidRPr="00B815E6" w:rsidRDefault="000950BA" w:rsidP="000950BA">
            <w:pPr>
              <w:pStyle w:val="TableBodyText"/>
            </w:pPr>
          </w:p>
        </w:tc>
        <w:tc>
          <w:tcPr>
            <w:tcW w:w="1001"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0.07</w:t>
            </w:r>
          </w:p>
        </w:tc>
        <w:tc>
          <w:tcPr>
            <w:tcW w:w="987"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0.22</w:t>
            </w:r>
          </w:p>
        </w:tc>
        <w:tc>
          <w:tcPr>
            <w:tcW w:w="987"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-0.15</w:t>
            </w:r>
          </w:p>
        </w:tc>
      </w:tr>
      <w:tr w:rsidR="000950BA" w:rsidRPr="00B815E6" w:rsidTr="00A163F2">
        <w:trPr>
          <w:trHeight w:val="300"/>
        </w:trPr>
        <w:tc>
          <w:tcPr>
            <w:tcW w:w="2169" w:type="dxa"/>
            <w:tcBorders>
              <w:top w:val="nil"/>
              <w:left w:val="nil"/>
              <w:bottom w:val="nil"/>
              <w:right w:val="nil"/>
            </w:tcBorders>
            <w:shd w:val="clear" w:color="auto" w:fill="auto"/>
            <w:noWrap/>
            <w:vAlign w:val="bottom"/>
            <w:hideMark/>
          </w:tcPr>
          <w:p w:rsidR="000950BA" w:rsidRPr="00B815E6" w:rsidRDefault="000950BA" w:rsidP="00A163F2">
            <w:pPr>
              <w:pStyle w:val="TableBodyText"/>
              <w:ind w:left="0" w:right="0"/>
              <w:jc w:val="left"/>
            </w:pPr>
            <w:r w:rsidRPr="00B815E6">
              <w:t>Financial</w:t>
            </w:r>
          </w:p>
        </w:tc>
        <w:tc>
          <w:tcPr>
            <w:tcW w:w="1001"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0.35</w:t>
            </w:r>
          </w:p>
        </w:tc>
        <w:tc>
          <w:tcPr>
            <w:tcW w:w="987"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0.66</w:t>
            </w:r>
          </w:p>
        </w:tc>
        <w:tc>
          <w:tcPr>
            <w:tcW w:w="1099"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-0.30</w:t>
            </w:r>
          </w:p>
        </w:tc>
        <w:tc>
          <w:tcPr>
            <w:tcW w:w="558" w:type="dxa"/>
            <w:tcBorders>
              <w:top w:val="nil"/>
              <w:left w:val="nil"/>
              <w:bottom w:val="nil"/>
              <w:right w:val="nil"/>
            </w:tcBorders>
          </w:tcPr>
          <w:p w:rsidR="000950BA" w:rsidRPr="00B815E6" w:rsidRDefault="000950BA" w:rsidP="000950BA">
            <w:pPr>
              <w:pStyle w:val="TableBodyText"/>
            </w:pPr>
          </w:p>
        </w:tc>
        <w:tc>
          <w:tcPr>
            <w:tcW w:w="1001"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0.53</w:t>
            </w:r>
          </w:p>
        </w:tc>
        <w:tc>
          <w:tcPr>
            <w:tcW w:w="987"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0.62</w:t>
            </w:r>
          </w:p>
        </w:tc>
        <w:tc>
          <w:tcPr>
            <w:tcW w:w="987" w:type="dxa"/>
            <w:tcBorders>
              <w:top w:val="nil"/>
              <w:left w:val="nil"/>
              <w:bottom w:val="nil"/>
              <w:right w:val="nil"/>
            </w:tcBorders>
            <w:shd w:val="clear" w:color="auto" w:fill="auto"/>
            <w:noWrap/>
            <w:vAlign w:val="bottom"/>
            <w:hideMark/>
          </w:tcPr>
          <w:p w:rsidR="000950BA" w:rsidRPr="00B815E6" w:rsidRDefault="000950BA" w:rsidP="000950BA">
            <w:pPr>
              <w:pStyle w:val="TableBodyText"/>
            </w:pPr>
            <w:r w:rsidRPr="00B815E6">
              <w:t>-0.09</w:t>
            </w:r>
          </w:p>
        </w:tc>
      </w:tr>
      <w:tr w:rsidR="000950BA" w:rsidRPr="00B815E6" w:rsidTr="00A163F2">
        <w:trPr>
          <w:trHeight w:val="300"/>
        </w:trPr>
        <w:tc>
          <w:tcPr>
            <w:tcW w:w="2169" w:type="dxa"/>
            <w:tcBorders>
              <w:top w:val="nil"/>
              <w:left w:val="nil"/>
              <w:right w:val="nil"/>
            </w:tcBorders>
            <w:shd w:val="clear" w:color="auto" w:fill="auto"/>
            <w:noWrap/>
            <w:vAlign w:val="bottom"/>
            <w:hideMark/>
          </w:tcPr>
          <w:p w:rsidR="000950BA" w:rsidRPr="00B815E6" w:rsidRDefault="000950BA" w:rsidP="00A163F2">
            <w:pPr>
              <w:pStyle w:val="TableBodyText"/>
              <w:ind w:left="0" w:right="0"/>
              <w:jc w:val="left"/>
            </w:pPr>
            <w:r w:rsidRPr="00B815E6">
              <w:t>Arts &amp; rec</w:t>
            </w:r>
          </w:p>
        </w:tc>
        <w:tc>
          <w:tcPr>
            <w:tcW w:w="1001" w:type="dxa"/>
            <w:tcBorders>
              <w:top w:val="nil"/>
              <w:left w:val="nil"/>
              <w:right w:val="nil"/>
            </w:tcBorders>
            <w:shd w:val="clear" w:color="auto" w:fill="auto"/>
            <w:noWrap/>
            <w:vAlign w:val="bottom"/>
            <w:hideMark/>
          </w:tcPr>
          <w:p w:rsidR="000950BA" w:rsidRPr="00B815E6" w:rsidRDefault="000950BA" w:rsidP="000950BA">
            <w:pPr>
              <w:pStyle w:val="TableBodyText"/>
            </w:pPr>
            <w:r w:rsidRPr="00B815E6">
              <w:t>0.27</w:t>
            </w:r>
          </w:p>
        </w:tc>
        <w:tc>
          <w:tcPr>
            <w:tcW w:w="987" w:type="dxa"/>
            <w:tcBorders>
              <w:top w:val="nil"/>
              <w:left w:val="nil"/>
              <w:right w:val="nil"/>
            </w:tcBorders>
            <w:shd w:val="clear" w:color="auto" w:fill="auto"/>
            <w:noWrap/>
            <w:vAlign w:val="bottom"/>
            <w:hideMark/>
          </w:tcPr>
          <w:p w:rsidR="000950BA" w:rsidRPr="00B815E6" w:rsidRDefault="000950BA" w:rsidP="000950BA">
            <w:pPr>
              <w:pStyle w:val="TableBodyText"/>
            </w:pPr>
            <w:r w:rsidRPr="00B815E6">
              <w:t>0.19</w:t>
            </w:r>
          </w:p>
        </w:tc>
        <w:tc>
          <w:tcPr>
            <w:tcW w:w="1099" w:type="dxa"/>
            <w:tcBorders>
              <w:top w:val="nil"/>
              <w:left w:val="nil"/>
              <w:right w:val="nil"/>
            </w:tcBorders>
            <w:shd w:val="clear" w:color="auto" w:fill="auto"/>
            <w:noWrap/>
            <w:vAlign w:val="bottom"/>
            <w:hideMark/>
          </w:tcPr>
          <w:p w:rsidR="000950BA" w:rsidRPr="00B815E6" w:rsidRDefault="000950BA" w:rsidP="000950BA">
            <w:pPr>
              <w:pStyle w:val="TableBodyText"/>
            </w:pPr>
            <w:r w:rsidRPr="00B815E6">
              <w:t>0.08</w:t>
            </w:r>
          </w:p>
        </w:tc>
        <w:tc>
          <w:tcPr>
            <w:tcW w:w="558" w:type="dxa"/>
            <w:tcBorders>
              <w:top w:val="nil"/>
              <w:left w:val="nil"/>
              <w:right w:val="nil"/>
            </w:tcBorders>
          </w:tcPr>
          <w:p w:rsidR="000950BA" w:rsidRPr="00B815E6" w:rsidRDefault="000950BA" w:rsidP="000950BA">
            <w:pPr>
              <w:pStyle w:val="TableBodyText"/>
            </w:pPr>
          </w:p>
        </w:tc>
        <w:tc>
          <w:tcPr>
            <w:tcW w:w="1001" w:type="dxa"/>
            <w:tcBorders>
              <w:top w:val="nil"/>
              <w:left w:val="nil"/>
              <w:right w:val="nil"/>
            </w:tcBorders>
            <w:shd w:val="clear" w:color="auto" w:fill="auto"/>
            <w:noWrap/>
            <w:vAlign w:val="bottom"/>
            <w:hideMark/>
          </w:tcPr>
          <w:p w:rsidR="000950BA" w:rsidRPr="00B815E6" w:rsidRDefault="000950BA" w:rsidP="000950BA">
            <w:pPr>
              <w:pStyle w:val="TableBodyText"/>
            </w:pPr>
            <w:r w:rsidRPr="00B815E6">
              <w:t>0.31</w:t>
            </w:r>
          </w:p>
        </w:tc>
        <w:tc>
          <w:tcPr>
            <w:tcW w:w="987" w:type="dxa"/>
            <w:tcBorders>
              <w:top w:val="nil"/>
              <w:left w:val="nil"/>
              <w:right w:val="nil"/>
            </w:tcBorders>
            <w:shd w:val="clear" w:color="auto" w:fill="auto"/>
            <w:noWrap/>
            <w:vAlign w:val="bottom"/>
            <w:hideMark/>
          </w:tcPr>
          <w:p w:rsidR="000950BA" w:rsidRPr="00B815E6" w:rsidRDefault="000950BA" w:rsidP="000950BA">
            <w:pPr>
              <w:pStyle w:val="TableBodyText"/>
            </w:pPr>
            <w:r w:rsidRPr="00B815E6">
              <w:t>0.24</w:t>
            </w:r>
          </w:p>
        </w:tc>
        <w:tc>
          <w:tcPr>
            <w:tcW w:w="987" w:type="dxa"/>
            <w:tcBorders>
              <w:top w:val="nil"/>
              <w:left w:val="nil"/>
              <w:right w:val="nil"/>
            </w:tcBorders>
            <w:shd w:val="clear" w:color="auto" w:fill="auto"/>
            <w:noWrap/>
            <w:vAlign w:val="bottom"/>
            <w:hideMark/>
          </w:tcPr>
          <w:p w:rsidR="000950BA" w:rsidRPr="00B815E6" w:rsidRDefault="000950BA" w:rsidP="000950BA">
            <w:pPr>
              <w:pStyle w:val="TableBodyText"/>
            </w:pPr>
            <w:r w:rsidRPr="00B815E6">
              <w:t>0.07</w:t>
            </w:r>
          </w:p>
        </w:tc>
      </w:tr>
      <w:tr w:rsidR="000950BA" w:rsidRPr="00B815E6" w:rsidTr="00A163F2">
        <w:trPr>
          <w:trHeight w:val="300"/>
        </w:trPr>
        <w:tc>
          <w:tcPr>
            <w:tcW w:w="2169" w:type="dxa"/>
            <w:tcBorders>
              <w:top w:val="nil"/>
              <w:left w:val="nil"/>
              <w:bottom w:val="single" w:sz="4" w:space="0" w:color="auto"/>
              <w:right w:val="nil"/>
            </w:tcBorders>
            <w:shd w:val="clear" w:color="auto" w:fill="auto"/>
            <w:noWrap/>
            <w:vAlign w:val="bottom"/>
            <w:hideMark/>
          </w:tcPr>
          <w:p w:rsidR="000950BA" w:rsidRPr="00B815E6" w:rsidRDefault="000950BA" w:rsidP="00A163F2">
            <w:pPr>
              <w:pStyle w:val="TableBodyText"/>
              <w:ind w:left="0" w:right="0"/>
              <w:jc w:val="left"/>
            </w:pPr>
            <w:r w:rsidRPr="00B815E6">
              <w:t>Market sector 12</w:t>
            </w:r>
          </w:p>
        </w:tc>
        <w:tc>
          <w:tcPr>
            <w:tcW w:w="1001" w:type="dxa"/>
            <w:tcBorders>
              <w:top w:val="nil"/>
              <w:left w:val="nil"/>
              <w:bottom w:val="single" w:sz="4" w:space="0" w:color="auto"/>
              <w:right w:val="nil"/>
            </w:tcBorders>
            <w:shd w:val="clear" w:color="auto" w:fill="auto"/>
            <w:noWrap/>
            <w:vAlign w:val="bottom"/>
            <w:hideMark/>
          </w:tcPr>
          <w:p w:rsidR="000950BA" w:rsidRPr="00B815E6" w:rsidRDefault="000950BA" w:rsidP="000950BA">
            <w:pPr>
              <w:pStyle w:val="TableBodyText"/>
            </w:pPr>
            <w:r w:rsidRPr="00B815E6">
              <w:t>2.7</w:t>
            </w:r>
          </w:p>
        </w:tc>
        <w:tc>
          <w:tcPr>
            <w:tcW w:w="987" w:type="dxa"/>
            <w:tcBorders>
              <w:top w:val="nil"/>
              <w:left w:val="nil"/>
              <w:bottom w:val="single" w:sz="4" w:space="0" w:color="auto"/>
              <w:right w:val="nil"/>
            </w:tcBorders>
            <w:shd w:val="clear" w:color="auto" w:fill="auto"/>
            <w:noWrap/>
            <w:vAlign w:val="bottom"/>
            <w:hideMark/>
          </w:tcPr>
          <w:p w:rsidR="000950BA" w:rsidRPr="00B815E6" w:rsidRDefault="000950BA" w:rsidP="000950BA">
            <w:pPr>
              <w:pStyle w:val="TableBodyText"/>
            </w:pPr>
            <w:r w:rsidRPr="00B815E6">
              <w:t>2.8</w:t>
            </w:r>
          </w:p>
        </w:tc>
        <w:tc>
          <w:tcPr>
            <w:tcW w:w="1099" w:type="dxa"/>
            <w:tcBorders>
              <w:top w:val="nil"/>
              <w:left w:val="nil"/>
              <w:bottom w:val="single" w:sz="4" w:space="0" w:color="auto"/>
              <w:right w:val="nil"/>
            </w:tcBorders>
            <w:shd w:val="clear" w:color="auto" w:fill="auto"/>
            <w:noWrap/>
            <w:vAlign w:val="bottom"/>
            <w:hideMark/>
          </w:tcPr>
          <w:p w:rsidR="000950BA" w:rsidRPr="00B815E6" w:rsidRDefault="000950BA" w:rsidP="000950BA">
            <w:pPr>
              <w:pStyle w:val="TableBodyText"/>
            </w:pPr>
            <w:r w:rsidRPr="00B815E6">
              <w:t>-0.1</w:t>
            </w:r>
          </w:p>
        </w:tc>
        <w:tc>
          <w:tcPr>
            <w:tcW w:w="558" w:type="dxa"/>
            <w:tcBorders>
              <w:top w:val="nil"/>
              <w:left w:val="nil"/>
              <w:bottom w:val="single" w:sz="4" w:space="0" w:color="auto"/>
              <w:right w:val="nil"/>
            </w:tcBorders>
          </w:tcPr>
          <w:p w:rsidR="000950BA" w:rsidRPr="00B815E6" w:rsidRDefault="000950BA" w:rsidP="000950BA">
            <w:pPr>
              <w:pStyle w:val="TableBodyText"/>
            </w:pPr>
          </w:p>
        </w:tc>
        <w:tc>
          <w:tcPr>
            <w:tcW w:w="1001" w:type="dxa"/>
            <w:tcBorders>
              <w:top w:val="nil"/>
              <w:left w:val="nil"/>
              <w:bottom w:val="single" w:sz="4" w:space="0" w:color="auto"/>
              <w:right w:val="nil"/>
            </w:tcBorders>
            <w:shd w:val="clear" w:color="auto" w:fill="auto"/>
            <w:noWrap/>
            <w:vAlign w:val="bottom"/>
            <w:hideMark/>
          </w:tcPr>
          <w:p w:rsidR="000950BA" w:rsidRPr="00B815E6" w:rsidRDefault="000950BA" w:rsidP="000950BA">
            <w:pPr>
              <w:pStyle w:val="TableBodyText"/>
            </w:pPr>
            <w:r w:rsidRPr="00B815E6">
              <w:t>1.4</w:t>
            </w:r>
          </w:p>
        </w:tc>
        <w:tc>
          <w:tcPr>
            <w:tcW w:w="987" w:type="dxa"/>
            <w:tcBorders>
              <w:top w:val="nil"/>
              <w:left w:val="nil"/>
              <w:bottom w:val="single" w:sz="4" w:space="0" w:color="auto"/>
              <w:right w:val="nil"/>
            </w:tcBorders>
            <w:shd w:val="clear" w:color="auto" w:fill="auto"/>
            <w:noWrap/>
            <w:vAlign w:val="bottom"/>
            <w:hideMark/>
          </w:tcPr>
          <w:p w:rsidR="000950BA" w:rsidRPr="00B815E6" w:rsidRDefault="000950BA" w:rsidP="000950BA">
            <w:pPr>
              <w:pStyle w:val="TableBodyText"/>
            </w:pPr>
            <w:r w:rsidRPr="00B815E6">
              <w:t>2.2</w:t>
            </w:r>
          </w:p>
        </w:tc>
        <w:tc>
          <w:tcPr>
            <w:tcW w:w="987" w:type="dxa"/>
            <w:tcBorders>
              <w:top w:val="nil"/>
              <w:left w:val="nil"/>
              <w:bottom w:val="single" w:sz="4" w:space="0" w:color="auto"/>
              <w:right w:val="nil"/>
            </w:tcBorders>
            <w:shd w:val="clear" w:color="auto" w:fill="auto"/>
            <w:noWrap/>
            <w:vAlign w:val="bottom"/>
            <w:hideMark/>
          </w:tcPr>
          <w:p w:rsidR="000950BA" w:rsidRPr="00B815E6" w:rsidRDefault="000950BA" w:rsidP="000950BA">
            <w:pPr>
              <w:pStyle w:val="TableBodyText"/>
            </w:pPr>
            <w:r w:rsidRPr="00B815E6">
              <w:t>-0.7</w:t>
            </w:r>
          </w:p>
        </w:tc>
      </w:tr>
    </w:tbl>
    <w:p w:rsidR="000B099D" w:rsidRDefault="000B099D" w:rsidP="000B099D">
      <w:pPr>
        <w:pStyle w:val="Source"/>
      </w:pPr>
      <w:r>
        <w:rPr>
          <w:i/>
        </w:rPr>
        <w:t>Source</w:t>
      </w:r>
      <w:r w:rsidRPr="00167F06">
        <w:t>:</w:t>
      </w:r>
      <w:r>
        <w:t xml:space="preserve"> Author’s estimates</w:t>
      </w:r>
      <w:r w:rsidRPr="00167F06">
        <w:t xml:space="preserve"> </w:t>
      </w:r>
      <w:r>
        <w:t xml:space="preserve">based on ABS </w:t>
      </w:r>
      <w:r w:rsidR="008A50E2">
        <w:t>(</w:t>
      </w:r>
      <w:r>
        <w:t>Cat</w:t>
      </w:r>
      <w:r w:rsidR="003D415A">
        <w:t>.</w:t>
      </w:r>
      <w:r>
        <w:t xml:space="preserve"> </w:t>
      </w:r>
      <w:r w:rsidR="003D415A">
        <w:t>n</w:t>
      </w:r>
      <w:r>
        <w:t>o</w:t>
      </w:r>
      <w:r w:rsidR="003D415A">
        <w:t>.</w:t>
      </w:r>
      <w:r>
        <w:t xml:space="preserve"> 5260.0550.02</w:t>
      </w:r>
      <w:r w:rsidR="008A50E2">
        <w:t>)</w:t>
      </w:r>
      <w:r>
        <w:t>.</w:t>
      </w:r>
    </w:p>
    <w:p w:rsidR="00C970D8" w:rsidRDefault="00C970D8">
      <w:pPr>
        <w:pStyle w:val="FigureTitle"/>
      </w:pPr>
      <w:r>
        <w:rPr>
          <w:b w:val="0"/>
        </w:rPr>
        <w:lastRenderedPageBreak/>
        <w:t xml:space="preserve">Figure </w:t>
      </w:r>
      <w:r>
        <w:rPr>
          <w:b w:val="0"/>
        </w:rPr>
        <w:fldChar w:fldCharType="begin"/>
      </w:r>
      <w:r>
        <w:rPr>
          <w:b w:val="0"/>
        </w:rPr>
        <w:instrText xml:space="preserve"> COMMENTS  \* MERGEFORMAT </w:instrText>
      </w:r>
      <w:r>
        <w:rPr>
          <w:b w:val="0"/>
        </w:rPr>
        <w:fldChar w:fldCharType="separate"/>
      </w:r>
      <w:r w:rsidR="008A50E2">
        <w:rPr>
          <w:b w:val="0"/>
        </w:rPr>
        <w:t>6.</w:t>
      </w:r>
      <w:r>
        <w:rPr>
          <w:b w:val="0"/>
        </w:rPr>
        <w:fldChar w:fldCharType="end"/>
      </w:r>
      <w:r>
        <w:rPr>
          <w:b w:val="0"/>
        </w:rPr>
        <w:fldChar w:fldCharType="begin"/>
      </w:r>
      <w:r>
        <w:rPr>
          <w:b w:val="0"/>
        </w:rPr>
        <w:instrText xml:space="preserve"> SEQ Figure \* ARABIC </w:instrText>
      </w:r>
      <w:r>
        <w:rPr>
          <w:b w:val="0"/>
        </w:rPr>
        <w:fldChar w:fldCharType="separate"/>
      </w:r>
      <w:r w:rsidR="009E7788">
        <w:rPr>
          <w:b w:val="0"/>
          <w:noProof/>
        </w:rPr>
        <w:t>2</w:t>
      </w:r>
      <w:r>
        <w:rPr>
          <w:b w:val="0"/>
        </w:rPr>
        <w:fldChar w:fldCharType="end"/>
      </w:r>
      <w:r>
        <w:tab/>
      </w:r>
      <w:r w:rsidRPr="00C970D8">
        <w:t xml:space="preserve">Industry contributions to </w:t>
      </w:r>
      <w:r w:rsidR="00DC0EDC">
        <w:t>market sector</w:t>
      </w:r>
      <w:r w:rsidRPr="00C970D8">
        <w:t xml:space="preserve"> growth in </w:t>
      </w:r>
      <w:proofErr w:type="spellStart"/>
      <w:r w:rsidRPr="00C970D8">
        <w:t>RPW</w:t>
      </w:r>
      <w:proofErr w:type="spellEnd"/>
      <w:r w:rsidRPr="00C970D8">
        <w:t xml:space="preserve">, LP and </w:t>
      </w:r>
      <w:proofErr w:type="spellStart"/>
      <w:r w:rsidRPr="00C970D8">
        <w:t>RULC</w:t>
      </w:r>
      <w:proofErr w:type="spellEnd"/>
      <w:r w:rsidRPr="00C970D8">
        <w:t xml:space="preserve">, </w:t>
      </w:r>
      <w:proofErr w:type="spellStart"/>
      <w:r w:rsidRPr="00C970D8">
        <w:t>2000s</w:t>
      </w:r>
      <w:proofErr w:type="spellEnd"/>
    </w:p>
    <w:p w:rsidR="00C970D8" w:rsidRDefault="003D415A">
      <w:pPr>
        <w:pStyle w:val="Subtitle"/>
      </w:pPr>
      <w:r>
        <w:t>p</w:t>
      </w:r>
      <w:r w:rsidR="000B099D">
        <w:t>ercentage points</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C970D8" w:rsidTr="00E82FD0">
        <w:tc>
          <w:tcPr>
            <w:tcW w:w="8777" w:type="dxa"/>
          </w:tcPr>
          <w:p w:rsidR="00C970D8" w:rsidRDefault="0046717B">
            <w:pPr>
              <w:pStyle w:val="Figure"/>
            </w:pPr>
            <w:r>
              <w:rPr>
                <w:noProof/>
              </w:rPr>
              <w:drawing>
                <wp:inline distT="0" distB="0" distL="0" distR="0" wp14:anchorId="36596FA8" wp14:editId="201D578D">
                  <wp:extent cx="4772025" cy="3152775"/>
                  <wp:effectExtent l="0" t="0" r="9525" b="9525"/>
                  <wp:docPr id="6" name="Picture 6" descr="Industry contributions to market-sector growth in RPW, LP and RULC. This figure shows that Mining contributed most to the decline in RULC mostly because of its strong negative contribution to growth in R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72025" cy="3152775"/>
                          </a:xfrm>
                          <a:prstGeom prst="rect">
                            <a:avLst/>
                          </a:prstGeom>
                          <a:noFill/>
                          <a:ln>
                            <a:noFill/>
                          </a:ln>
                        </pic:spPr>
                      </pic:pic>
                    </a:graphicData>
                  </a:graphic>
                </wp:inline>
              </w:drawing>
            </w:r>
          </w:p>
        </w:tc>
      </w:tr>
    </w:tbl>
    <w:p w:rsidR="000B099D" w:rsidRDefault="003D415A" w:rsidP="000B099D">
      <w:pPr>
        <w:pStyle w:val="Source"/>
      </w:pPr>
      <w:r>
        <w:rPr>
          <w:i/>
        </w:rPr>
        <w:t>Data s</w:t>
      </w:r>
      <w:r w:rsidR="000B099D">
        <w:rPr>
          <w:i/>
        </w:rPr>
        <w:t>ource</w:t>
      </w:r>
      <w:r w:rsidR="000B099D" w:rsidRPr="00167F06">
        <w:t>:</w:t>
      </w:r>
      <w:r w:rsidR="000B099D">
        <w:t xml:space="preserve"> Author’s estimates</w:t>
      </w:r>
      <w:r w:rsidR="000B099D" w:rsidRPr="00167F06">
        <w:t xml:space="preserve"> </w:t>
      </w:r>
      <w:r w:rsidR="000B099D">
        <w:t xml:space="preserve">based on ABS </w:t>
      </w:r>
      <w:r>
        <w:t>(</w:t>
      </w:r>
      <w:r w:rsidR="000B099D">
        <w:t>Cat</w:t>
      </w:r>
      <w:r>
        <w:t xml:space="preserve">. no. </w:t>
      </w:r>
      <w:r w:rsidR="000B099D">
        <w:t>5260.0550.02</w:t>
      </w:r>
      <w:r>
        <w:t>)</w:t>
      </w:r>
      <w:r w:rsidR="000B099D">
        <w:t>.</w:t>
      </w:r>
    </w:p>
    <w:p w:rsidR="008A580C" w:rsidRDefault="008A580C" w:rsidP="008A580C">
      <w:pPr>
        <w:pStyle w:val="Heading4"/>
      </w:pPr>
      <w:r>
        <w:t>Again Mining stands out</w:t>
      </w:r>
    </w:p>
    <w:p w:rsidR="008A580C" w:rsidRDefault="008A580C" w:rsidP="008A580C">
      <w:pPr>
        <w:pStyle w:val="BodyText"/>
      </w:pPr>
      <w:r>
        <w:t xml:space="preserve">The Mining </w:t>
      </w:r>
      <w:r w:rsidR="00DC0EDC">
        <w:t>sector</w:t>
      </w:r>
      <w:r>
        <w:t xml:space="preserve"> stands out as the major contributor to the fall in </w:t>
      </w:r>
      <w:proofErr w:type="spellStart"/>
      <w:r w:rsidR="003D415A">
        <w:t>LIS</w:t>
      </w:r>
      <w:proofErr w:type="spellEnd"/>
      <w:r>
        <w:t xml:space="preserve"> from the productivity and costs point of view:</w:t>
      </w:r>
    </w:p>
    <w:p w:rsidR="008A580C" w:rsidRDefault="008A580C" w:rsidP="008A580C">
      <w:pPr>
        <w:pStyle w:val="ListBullet"/>
      </w:pPr>
      <w:r>
        <w:t xml:space="preserve">On its own, Mining accounted for more than all of the decline in </w:t>
      </w:r>
      <w:proofErr w:type="spellStart"/>
      <w:r>
        <w:t>RULC</w:t>
      </w:r>
      <w:proofErr w:type="spellEnd"/>
      <w:r>
        <w:t>.</w:t>
      </w:r>
    </w:p>
    <w:p w:rsidR="008A580C" w:rsidRDefault="008A580C" w:rsidP="008A580C">
      <w:pPr>
        <w:pStyle w:val="ListBullet"/>
      </w:pPr>
      <w:r>
        <w:t>That large negative contribution came about</w:t>
      </w:r>
      <w:r w:rsidRPr="000045F2">
        <w:t xml:space="preserve"> </w:t>
      </w:r>
      <w:r>
        <w:t xml:space="preserve">mostly through a negative contribution to </w:t>
      </w:r>
      <w:proofErr w:type="spellStart"/>
      <w:r>
        <w:t>RPW</w:t>
      </w:r>
      <w:proofErr w:type="spellEnd"/>
      <w:r>
        <w:t xml:space="preserve"> growth. </w:t>
      </w:r>
    </w:p>
    <w:p w:rsidR="008A580C" w:rsidRDefault="008A580C" w:rsidP="008A580C">
      <w:pPr>
        <w:pStyle w:val="ListBullet2"/>
      </w:pPr>
      <w:r>
        <w:t xml:space="preserve">It was not just that Mining’s </w:t>
      </w:r>
      <w:proofErr w:type="spellStart"/>
      <w:r>
        <w:t>RPW</w:t>
      </w:r>
      <w:proofErr w:type="spellEnd"/>
      <w:r>
        <w:t xml:space="preserve"> contribution failed to keep up with its LP contribution. Its </w:t>
      </w:r>
      <w:proofErr w:type="spellStart"/>
      <w:r>
        <w:t>RPW</w:t>
      </w:r>
      <w:proofErr w:type="spellEnd"/>
      <w:r>
        <w:t xml:space="preserve"> contribution was strongly negative.</w:t>
      </w:r>
    </w:p>
    <w:p w:rsidR="008A580C" w:rsidRDefault="008A580C" w:rsidP="008A580C">
      <w:pPr>
        <w:pStyle w:val="ListBullet"/>
      </w:pPr>
      <w:r>
        <w:t>Its contribution to labour productivity growth was moderate.</w:t>
      </w:r>
      <w:r>
        <w:rPr>
          <w:rStyle w:val="FootnoteReference"/>
        </w:rPr>
        <w:footnoteReference w:id="4"/>
      </w:r>
    </w:p>
    <w:p w:rsidR="00687A8B" w:rsidRDefault="003F37EA" w:rsidP="008A580C">
      <w:pPr>
        <w:pStyle w:val="BodyText"/>
      </w:pPr>
      <w:r w:rsidRPr="008A580C">
        <w:t xml:space="preserve">This is the main </w:t>
      </w:r>
      <w:r w:rsidR="00005531" w:rsidRPr="008A580C">
        <w:t xml:space="preserve">industry, from </w:t>
      </w:r>
      <w:r w:rsidRPr="008A580C">
        <w:t xml:space="preserve">the market sector </w:t>
      </w:r>
      <w:r w:rsidR="00005531" w:rsidRPr="008A580C">
        <w:t xml:space="preserve">perspective, </w:t>
      </w:r>
      <w:r w:rsidR="00BA1261" w:rsidRPr="008A580C">
        <w:t xml:space="preserve">that led to </w:t>
      </w:r>
      <w:r w:rsidRPr="008A580C">
        <w:t>real wage</w:t>
      </w:r>
      <w:r>
        <w:t xml:space="preserve"> growth trail</w:t>
      </w:r>
      <w:r w:rsidR="00BA1261">
        <w:t>ing</w:t>
      </w:r>
      <w:r>
        <w:t xml:space="preserve"> labour productivity growth.</w:t>
      </w:r>
      <w:r w:rsidR="00005531">
        <w:t xml:space="preserve"> </w:t>
      </w:r>
      <w:r w:rsidR="00687A8B">
        <w:t xml:space="preserve">It was the industry that contributed most to the decline in </w:t>
      </w:r>
      <w:proofErr w:type="spellStart"/>
      <w:r w:rsidR="00687A8B">
        <w:t>RULC</w:t>
      </w:r>
      <w:proofErr w:type="spellEnd"/>
      <w:r w:rsidR="00BA1261">
        <w:t>.</w:t>
      </w:r>
    </w:p>
    <w:p w:rsidR="00F30F89" w:rsidRDefault="00F30F89" w:rsidP="008A580C">
      <w:pPr>
        <w:pStyle w:val="BodyText"/>
      </w:pPr>
      <w:r>
        <w:lastRenderedPageBreak/>
        <w:t xml:space="preserve">Mining </w:t>
      </w:r>
      <w:r w:rsidR="00D86351">
        <w:t xml:space="preserve">also </w:t>
      </w:r>
      <w:r>
        <w:t xml:space="preserve">had the largest effect on the change in market sector </w:t>
      </w:r>
      <w:proofErr w:type="spellStart"/>
      <w:r>
        <w:t>RULC</w:t>
      </w:r>
      <w:proofErr w:type="spellEnd"/>
      <w:r>
        <w:t xml:space="preserve"> growth between the </w:t>
      </w:r>
      <w:r w:rsidR="00687A8B">
        <w:t xml:space="preserve">two </w:t>
      </w:r>
      <w:r>
        <w:t>decades.</w:t>
      </w:r>
      <w:r w:rsidR="00D86351">
        <w:t xml:space="preserve"> </w:t>
      </w:r>
      <w:r w:rsidR="00687A8B">
        <w:t xml:space="preserve">A sharper decline in the </w:t>
      </w:r>
      <w:proofErr w:type="spellStart"/>
      <w:r w:rsidR="00687A8B">
        <w:t>RPW</w:t>
      </w:r>
      <w:proofErr w:type="spellEnd"/>
      <w:r w:rsidR="00687A8B">
        <w:t xml:space="preserve"> contribution was the reason. The sector’s contribution to growth in </w:t>
      </w:r>
      <w:r w:rsidR="00DC0EDC">
        <w:t>market sector</w:t>
      </w:r>
      <w:r w:rsidR="00687A8B">
        <w:t xml:space="preserve"> labour productivity fell between the </w:t>
      </w:r>
      <w:r>
        <w:t>decades.</w:t>
      </w:r>
    </w:p>
    <w:p w:rsidR="00A22D6A" w:rsidRDefault="00A22D6A" w:rsidP="00A22D6A">
      <w:pPr>
        <w:pStyle w:val="Heading4"/>
      </w:pPr>
      <w:r>
        <w:t>Other industr</w:t>
      </w:r>
      <w:r w:rsidR="00961220">
        <w:t xml:space="preserve">ies </w:t>
      </w:r>
      <w:r w:rsidR="00E565A2">
        <w:t>made</w:t>
      </w:r>
      <w:r w:rsidR="00961220">
        <w:t xml:space="preserve"> largely offsetting </w:t>
      </w:r>
      <w:r>
        <w:t>contributions</w:t>
      </w:r>
    </w:p>
    <w:p w:rsidR="00424E65" w:rsidRDefault="00F2595D" w:rsidP="00092E29">
      <w:pPr>
        <w:pStyle w:val="BodyText"/>
      </w:pPr>
      <w:r>
        <w:t xml:space="preserve">The ‘second-tier’ contributions </w:t>
      </w:r>
      <w:r w:rsidR="00CA0FF4">
        <w:t xml:space="preserve">to the </w:t>
      </w:r>
      <w:proofErr w:type="spellStart"/>
      <w:r w:rsidR="003D415A">
        <w:t>LIS</w:t>
      </w:r>
      <w:proofErr w:type="spellEnd"/>
      <w:r w:rsidR="003D415A">
        <w:t xml:space="preserve"> </w:t>
      </w:r>
      <w:r w:rsidR="00CA0FF4">
        <w:t xml:space="preserve">fall </w:t>
      </w:r>
      <w:r>
        <w:t xml:space="preserve">came from the same set of industries as appeared in the price-quantity analysis. </w:t>
      </w:r>
      <w:r w:rsidR="00D86351">
        <w:t xml:space="preserve">They </w:t>
      </w:r>
      <w:r w:rsidR="00CA0FF4">
        <w:t xml:space="preserve">each </w:t>
      </w:r>
      <w:r w:rsidR="00D86351">
        <w:t xml:space="preserve">were relatively small and, </w:t>
      </w:r>
      <w:r w:rsidR="00CA0FF4">
        <w:t>as a group</w:t>
      </w:r>
      <w:r w:rsidR="00D86351">
        <w:t xml:space="preserve">, </w:t>
      </w:r>
      <w:r w:rsidR="00CA0FF4">
        <w:t xml:space="preserve">were </w:t>
      </w:r>
      <w:r w:rsidR="00D86351">
        <w:t>offset</w:t>
      </w:r>
      <w:r w:rsidR="00CA0FF4">
        <w:t xml:space="preserve"> by the industries that made positive contributions</w:t>
      </w:r>
      <w:r w:rsidR="00D86351">
        <w:t>.</w:t>
      </w:r>
    </w:p>
    <w:p w:rsidR="00234821" w:rsidRDefault="00234821" w:rsidP="00092E29">
      <w:pPr>
        <w:pStyle w:val="BodyText"/>
      </w:pPr>
      <w:r>
        <w:t>Again Construction and Manufacturing</w:t>
      </w:r>
      <w:r w:rsidR="00EC4DA6">
        <w:t xml:space="preserve"> </w:t>
      </w:r>
      <w:r>
        <w:t xml:space="preserve">are found to have made positive contributions to the aggregate </w:t>
      </w:r>
      <w:proofErr w:type="spellStart"/>
      <w:r w:rsidR="003D415A">
        <w:t>LIS</w:t>
      </w:r>
      <w:proofErr w:type="spellEnd"/>
      <w:r>
        <w:t xml:space="preserve">. </w:t>
      </w:r>
      <w:r w:rsidR="00BB0C6D">
        <w:t xml:space="preserve">From the </w:t>
      </w:r>
      <w:r w:rsidR="00DC0EDC">
        <w:t>market sector</w:t>
      </w:r>
      <w:r w:rsidR="00BB0C6D">
        <w:t xml:space="preserve"> point of view:</w:t>
      </w:r>
    </w:p>
    <w:p w:rsidR="00BB0C6D" w:rsidRDefault="00BB0C6D" w:rsidP="00234821">
      <w:pPr>
        <w:pStyle w:val="ListBullet"/>
      </w:pPr>
      <w:r>
        <w:t xml:space="preserve">the activities in </w:t>
      </w:r>
      <w:r w:rsidR="00234821">
        <w:t xml:space="preserve">Construction </w:t>
      </w:r>
      <w:r>
        <w:t>added to growth in real wages but added</w:t>
      </w:r>
      <w:r w:rsidR="003549FD">
        <w:t xml:space="preserve"> nothing to labour productivity</w:t>
      </w:r>
    </w:p>
    <w:p w:rsidR="00234821" w:rsidRDefault="00BB0C6D" w:rsidP="00BB0C6D">
      <w:pPr>
        <w:pStyle w:val="ListBullet2"/>
      </w:pPr>
      <w:r>
        <w:t>Construct</w:t>
      </w:r>
      <w:r w:rsidR="00665B0B">
        <w:t>ion</w:t>
      </w:r>
      <w:r>
        <w:t xml:space="preserve"> added equally to output growth and growth in use of la</w:t>
      </w:r>
      <w:r w:rsidR="003549FD">
        <w:t>bour</w:t>
      </w:r>
    </w:p>
    <w:p w:rsidR="00BB0C6D" w:rsidRDefault="00234821" w:rsidP="00234821">
      <w:pPr>
        <w:pStyle w:val="ListBullet"/>
      </w:pPr>
      <w:r>
        <w:t xml:space="preserve">Manufacturing </w:t>
      </w:r>
      <w:r w:rsidR="00BB0C6D">
        <w:t>added to both</w:t>
      </w:r>
      <w:r>
        <w:t xml:space="preserve"> </w:t>
      </w:r>
      <w:proofErr w:type="spellStart"/>
      <w:r>
        <w:t>RPW</w:t>
      </w:r>
      <w:proofErr w:type="spellEnd"/>
      <w:r>
        <w:t xml:space="preserve"> growth and </w:t>
      </w:r>
      <w:r w:rsidR="00BB0C6D">
        <w:t xml:space="preserve">LP growth, with the balance </w:t>
      </w:r>
      <w:r w:rsidR="00CA0FF4">
        <w:t xml:space="preserve">leaning </w:t>
      </w:r>
      <w:r w:rsidR="00BB0C6D">
        <w:t xml:space="preserve">a little </w:t>
      </w:r>
      <w:r w:rsidR="00CA0FF4">
        <w:t>toward</w:t>
      </w:r>
      <w:r w:rsidR="00BB0C6D">
        <w:t xml:space="preserve"> the former</w:t>
      </w:r>
    </w:p>
    <w:p w:rsidR="00234821" w:rsidRDefault="00CA0FF4" w:rsidP="00EC4DA6">
      <w:pPr>
        <w:pStyle w:val="ListBullet2"/>
      </w:pPr>
      <w:r>
        <w:t xml:space="preserve">while the industry only made a </w:t>
      </w:r>
      <w:r w:rsidR="00BB0C6D">
        <w:t>small output</w:t>
      </w:r>
      <w:r>
        <w:t xml:space="preserve"> contribution, its labour contribution was</w:t>
      </w:r>
      <w:r w:rsidR="00BB0C6D">
        <w:t xml:space="preserve"> negative</w:t>
      </w:r>
      <w:r w:rsidR="00234821">
        <w:t xml:space="preserve">. </w:t>
      </w:r>
    </w:p>
    <w:p w:rsidR="007E4B30" w:rsidRDefault="006714E1" w:rsidP="007E4B30">
      <w:pPr>
        <w:pStyle w:val="Heading2"/>
      </w:pPr>
      <w:r>
        <w:fldChar w:fldCharType="begin"/>
      </w:r>
      <w:r>
        <w:instrText xml:space="preserve"> COMMENTS  \* MERGEFORMAT </w:instrText>
      </w:r>
      <w:r>
        <w:fldChar w:fldCharType="separate"/>
      </w:r>
      <w:r w:rsidR="008A50E2">
        <w:t>6.</w:t>
      </w:r>
      <w:r>
        <w:fldChar w:fldCharType="end"/>
      </w:r>
      <w:r>
        <w:fldChar w:fldCharType="begin"/>
      </w:r>
      <w:r>
        <w:instrText xml:space="preserve"> SEQ Heading2 </w:instrText>
      </w:r>
      <w:r>
        <w:fldChar w:fldCharType="separate"/>
      </w:r>
      <w:r w:rsidR="009E7788">
        <w:rPr>
          <w:noProof/>
        </w:rPr>
        <w:t>3</w:t>
      </w:r>
      <w:r>
        <w:rPr>
          <w:noProof/>
        </w:rPr>
        <w:fldChar w:fldCharType="end"/>
      </w:r>
      <w:r w:rsidR="00A163F2">
        <w:tab/>
      </w:r>
      <w:r w:rsidR="00D47837">
        <w:t xml:space="preserve">Industry </w:t>
      </w:r>
      <w:r w:rsidR="00176EFF">
        <w:t>sources</w:t>
      </w:r>
      <w:r w:rsidR="00D47837">
        <w:t xml:space="preserve"> of p</w:t>
      </w:r>
      <w:r w:rsidR="007E4B30">
        <w:t>roduct price</w:t>
      </w:r>
      <w:r w:rsidR="00176EFF">
        <w:t xml:space="preserve"> inflation</w:t>
      </w:r>
    </w:p>
    <w:p w:rsidR="007467DD" w:rsidRDefault="00815E91" w:rsidP="007467DD">
      <w:pPr>
        <w:pStyle w:val="BodyText"/>
      </w:pPr>
      <w:r>
        <w:t>C</w:t>
      </w:r>
      <w:r w:rsidR="007467DD">
        <w:t xml:space="preserve">hapter </w:t>
      </w:r>
      <w:r w:rsidR="006E29AB">
        <w:t>4</w:t>
      </w:r>
      <w:r>
        <w:t xml:space="preserve"> </w:t>
      </w:r>
      <w:r w:rsidR="007467DD">
        <w:t>drew attention to the fact that</w:t>
      </w:r>
      <w:r w:rsidR="006E29AB">
        <w:t xml:space="preserve"> an</w:t>
      </w:r>
      <w:r w:rsidR="000C4156">
        <w:t xml:space="preserve"> increase in product price inflation in the </w:t>
      </w:r>
      <w:proofErr w:type="spellStart"/>
      <w:r w:rsidR="000C4156">
        <w:t>2000s</w:t>
      </w:r>
      <w:proofErr w:type="spellEnd"/>
      <w:r w:rsidR="000C4156">
        <w:t xml:space="preserve"> was the main reason for growth in the real product wage to trail growth in labour productivity.</w:t>
      </w:r>
    </w:p>
    <w:p w:rsidR="000C4156" w:rsidRDefault="000C4156" w:rsidP="007467DD">
      <w:pPr>
        <w:pStyle w:val="BodyText"/>
      </w:pPr>
      <w:r>
        <w:t xml:space="preserve">The industry contributions to product price inflation are shown in table </w:t>
      </w:r>
      <w:r w:rsidR="00A87D61">
        <w:t>6</w:t>
      </w:r>
      <w:r w:rsidR="00815E91">
        <w:t>.</w:t>
      </w:r>
      <w:r w:rsidR="003D415A">
        <w:t>3</w:t>
      </w:r>
      <w:r w:rsidR="003B6823">
        <w:t xml:space="preserve"> and figure </w:t>
      </w:r>
      <w:r w:rsidR="00A87D61">
        <w:t>6.</w:t>
      </w:r>
      <w:r w:rsidR="003D415A">
        <w:t>3</w:t>
      </w:r>
      <w:r>
        <w:t>.</w:t>
      </w:r>
    </w:p>
    <w:p w:rsidR="00157351" w:rsidRDefault="00157351" w:rsidP="00157351">
      <w:pPr>
        <w:pStyle w:val="BodyText"/>
      </w:pPr>
      <w:r>
        <w:t xml:space="preserve">The Mining industry made the most important contribution to product price inflation. It accounted for 25 per cent of the </w:t>
      </w:r>
      <w:r w:rsidR="00DC0EDC">
        <w:t>market sector</w:t>
      </w:r>
      <w:r>
        <w:t xml:space="preserve"> inflation in the </w:t>
      </w:r>
      <w:proofErr w:type="spellStart"/>
      <w:r>
        <w:t>2000s</w:t>
      </w:r>
      <w:proofErr w:type="spellEnd"/>
      <w:r>
        <w:t xml:space="preserve"> and for over a third of the additional inflation in the </w:t>
      </w:r>
      <w:proofErr w:type="spellStart"/>
      <w:r>
        <w:t>2000s</w:t>
      </w:r>
      <w:proofErr w:type="spellEnd"/>
      <w:r>
        <w:t xml:space="preserve">, compared with the </w:t>
      </w:r>
      <w:proofErr w:type="spellStart"/>
      <w:r>
        <w:t>1990s</w:t>
      </w:r>
      <w:proofErr w:type="spellEnd"/>
      <w:r>
        <w:t>.</w:t>
      </w:r>
    </w:p>
    <w:p w:rsidR="00157351" w:rsidRDefault="00157351" w:rsidP="00157351">
      <w:pPr>
        <w:pStyle w:val="BodyText"/>
      </w:pPr>
      <w:r>
        <w:t>Other industries also made important contributions. Manufacturing, Construction, and Financ</w:t>
      </w:r>
      <w:r w:rsidR="006E29AB">
        <w:t>e</w:t>
      </w:r>
      <w:r>
        <w:t xml:space="preserve"> each contributed around 0.4 </w:t>
      </w:r>
      <w:r w:rsidR="003E1559">
        <w:t>percentage points</w:t>
      </w:r>
      <w:r>
        <w:t xml:space="preserve"> or 13 per cent of the </w:t>
      </w:r>
      <w:proofErr w:type="spellStart"/>
      <w:r>
        <w:t>2000s</w:t>
      </w:r>
      <w:proofErr w:type="spellEnd"/>
      <w:r>
        <w:t xml:space="preserve"> product price inflation.</w:t>
      </w:r>
    </w:p>
    <w:p w:rsidR="00EA2C01" w:rsidRDefault="00EA2C01">
      <w:pPr>
        <w:pStyle w:val="TableTitle"/>
      </w:pPr>
      <w:r>
        <w:rPr>
          <w:b w:val="0"/>
        </w:rPr>
        <w:lastRenderedPageBreak/>
        <w:t xml:space="preserve">Table </w:t>
      </w:r>
      <w:r>
        <w:rPr>
          <w:b w:val="0"/>
        </w:rPr>
        <w:fldChar w:fldCharType="begin"/>
      </w:r>
      <w:r>
        <w:rPr>
          <w:b w:val="0"/>
        </w:rPr>
        <w:instrText xml:space="preserve"> COMMENTS  \* MERGEFORMAT </w:instrText>
      </w:r>
      <w:r>
        <w:rPr>
          <w:b w:val="0"/>
        </w:rPr>
        <w:fldChar w:fldCharType="separate"/>
      </w:r>
      <w:r w:rsidR="008A50E2">
        <w:rPr>
          <w:b w:val="0"/>
        </w:rPr>
        <w:t>6.</w:t>
      </w:r>
      <w:r>
        <w:rPr>
          <w:b w:val="0"/>
        </w:rPr>
        <w:fldChar w:fldCharType="end"/>
      </w:r>
      <w:r>
        <w:rPr>
          <w:b w:val="0"/>
        </w:rPr>
        <w:fldChar w:fldCharType="begin"/>
      </w:r>
      <w:r>
        <w:rPr>
          <w:b w:val="0"/>
        </w:rPr>
        <w:instrText xml:space="preserve"> SEQ Table \* ARABIC </w:instrText>
      </w:r>
      <w:r>
        <w:rPr>
          <w:b w:val="0"/>
        </w:rPr>
        <w:fldChar w:fldCharType="separate"/>
      </w:r>
      <w:r w:rsidR="009E7788">
        <w:rPr>
          <w:b w:val="0"/>
          <w:noProof/>
        </w:rPr>
        <w:t>3</w:t>
      </w:r>
      <w:r>
        <w:rPr>
          <w:b w:val="0"/>
        </w:rPr>
        <w:fldChar w:fldCharType="end"/>
      </w:r>
      <w:r>
        <w:tab/>
        <w:t xml:space="preserve">Industry contributions to </w:t>
      </w:r>
      <w:r w:rsidR="00DC0EDC">
        <w:t>market sector</w:t>
      </w:r>
      <w:r>
        <w:t xml:space="preserve"> product price inflation, </w:t>
      </w:r>
      <w:proofErr w:type="spellStart"/>
      <w:r>
        <w:t>1990s</w:t>
      </w:r>
      <w:proofErr w:type="spellEnd"/>
      <w:r>
        <w:t xml:space="preserve"> and </w:t>
      </w:r>
      <w:proofErr w:type="spellStart"/>
      <w:r>
        <w:t>2000s</w:t>
      </w:r>
      <w:proofErr w:type="spellEnd"/>
      <w:r>
        <w:t xml:space="preserve"> </w:t>
      </w:r>
    </w:p>
    <w:tbl>
      <w:tblPr>
        <w:tblW w:w="8789" w:type="dxa"/>
        <w:tblInd w:w="108" w:type="dxa"/>
        <w:tblLayout w:type="fixed"/>
        <w:tblLook w:val="04A0" w:firstRow="1" w:lastRow="0" w:firstColumn="1" w:lastColumn="0" w:noHBand="0" w:noVBand="1"/>
      </w:tblPr>
      <w:tblGrid>
        <w:gridCol w:w="2041"/>
        <w:gridCol w:w="1099"/>
        <w:gridCol w:w="1099"/>
        <w:gridCol w:w="244"/>
        <w:gridCol w:w="1099"/>
        <w:gridCol w:w="1099"/>
        <w:gridCol w:w="47"/>
        <w:gridCol w:w="197"/>
        <w:gridCol w:w="47"/>
        <w:gridCol w:w="889"/>
        <w:gridCol w:w="928"/>
      </w:tblGrid>
      <w:tr w:rsidR="008D36B1" w:rsidRPr="00EA2C01" w:rsidTr="008D36B1">
        <w:trPr>
          <w:trHeight w:val="300"/>
        </w:trPr>
        <w:tc>
          <w:tcPr>
            <w:tcW w:w="2041" w:type="dxa"/>
            <w:tcBorders>
              <w:top w:val="single" w:sz="4" w:space="0" w:color="auto"/>
              <w:left w:val="nil"/>
              <w:bottom w:val="single" w:sz="4" w:space="0" w:color="auto"/>
              <w:right w:val="nil"/>
            </w:tcBorders>
            <w:shd w:val="clear" w:color="auto" w:fill="auto"/>
            <w:noWrap/>
            <w:vAlign w:val="bottom"/>
          </w:tcPr>
          <w:p w:rsidR="00EA2C01" w:rsidRPr="00EA2C01" w:rsidRDefault="00EA2C01" w:rsidP="000D3D4F">
            <w:pPr>
              <w:pStyle w:val="TableColumnHeading"/>
            </w:pPr>
          </w:p>
        </w:tc>
        <w:tc>
          <w:tcPr>
            <w:tcW w:w="2198" w:type="dxa"/>
            <w:gridSpan w:val="2"/>
            <w:tcBorders>
              <w:top w:val="single" w:sz="4" w:space="0" w:color="auto"/>
              <w:left w:val="nil"/>
              <w:bottom w:val="single" w:sz="4" w:space="0" w:color="auto"/>
              <w:right w:val="nil"/>
            </w:tcBorders>
            <w:shd w:val="clear" w:color="auto" w:fill="auto"/>
            <w:noWrap/>
            <w:vAlign w:val="bottom"/>
          </w:tcPr>
          <w:p w:rsidR="00EA2C01" w:rsidRPr="00EA2C01" w:rsidRDefault="00EA2C01" w:rsidP="000D3D4F">
            <w:pPr>
              <w:pStyle w:val="TableColumnHeading"/>
            </w:pPr>
            <w:r w:rsidRPr="00EA2C01">
              <w:t>1989-90 to 1999-00</w:t>
            </w:r>
          </w:p>
        </w:tc>
        <w:tc>
          <w:tcPr>
            <w:tcW w:w="244" w:type="dxa"/>
            <w:tcBorders>
              <w:top w:val="single" w:sz="4" w:space="0" w:color="auto"/>
              <w:left w:val="nil"/>
              <w:bottom w:val="single" w:sz="4" w:space="0" w:color="auto"/>
              <w:right w:val="nil"/>
            </w:tcBorders>
          </w:tcPr>
          <w:p w:rsidR="00EA2C01" w:rsidRPr="00EA2C01" w:rsidRDefault="00EA2C01" w:rsidP="000D3D4F">
            <w:pPr>
              <w:pStyle w:val="TableColumnHeading"/>
            </w:pPr>
          </w:p>
        </w:tc>
        <w:tc>
          <w:tcPr>
            <w:tcW w:w="2245" w:type="dxa"/>
            <w:gridSpan w:val="3"/>
            <w:tcBorders>
              <w:top w:val="single" w:sz="4" w:space="0" w:color="auto"/>
              <w:left w:val="nil"/>
              <w:bottom w:val="single" w:sz="4" w:space="0" w:color="auto"/>
              <w:right w:val="nil"/>
            </w:tcBorders>
            <w:shd w:val="clear" w:color="auto" w:fill="auto"/>
            <w:noWrap/>
            <w:vAlign w:val="bottom"/>
          </w:tcPr>
          <w:p w:rsidR="00EA2C01" w:rsidRPr="00EA2C01" w:rsidRDefault="00EA2C01" w:rsidP="000D3D4F">
            <w:pPr>
              <w:pStyle w:val="TableColumnHeading"/>
            </w:pPr>
            <w:r w:rsidRPr="00EA2C01">
              <w:t>1999-00 to  2009-10</w:t>
            </w:r>
          </w:p>
        </w:tc>
        <w:tc>
          <w:tcPr>
            <w:tcW w:w="244" w:type="dxa"/>
            <w:gridSpan w:val="2"/>
            <w:tcBorders>
              <w:top w:val="single" w:sz="4" w:space="0" w:color="auto"/>
              <w:left w:val="nil"/>
              <w:bottom w:val="single" w:sz="4" w:space="0" w:color="auto"/>
              <w:right w:val="nil"/>
            </w:tcBorders>
          </w:tcPr>
          <w:p w:rsidR="00EA2C01" w:rsidRPr="00EA2C01" w:rsidRDefault="00EA2C01" w:rsidP="000D3D4F">
            <w:pPr>
              <w:pStyle w:val="TableColumnHeading"/>
            </w:pPr>
          </w:p>
        </w:tc>
        <w:tc>
          <w:tcPr>
            <w:tcW w:w="1817" w:type="dxa"/>
            <w:gridSpan w:val="2"/>
            <w:tcBorders>
              <w:top w:val="single" w:sz="4" w:space="0" w:color="auto"/>
              <w:left w:val="nil"/>
              <w:bottom w:val="single" w:sz="4" w:space="0" w:color="auto"/>
              <w:right w:val="nil"/>
            </w:tcBorders>
            <w:shd w:val="clear" w:color="auto" w:fill="auto"/>
            <w:noWrap/>
            <w:vAlign w:val="bottom"/>
          </w:tcPr>
          <w:p w:rsidR="00EA2C01" w:rsidRPr="00EA2C01" w:rsidRDefault="00EA2C01" w:rsidP="000D3D4F">
            <w:pPr>
              <w:pStyle w:val="TableColumnHeading"/>
            </w:pPr>
            <w:r w:rsidRPr="00EA2C01">
              <w:t>decadal change</w:t>
            </w:r>
          </w:p>
        </w:tc>
      </w:tr>
      <w:tr w:rsidR="00EA2C01" w:rsidRPr="00CB1755" w:rsidTr="008D36B1">
        <w:trPr>
          <w:trHeight w:val="300"/>
        </w:trPr>
        <w:tc>
          <w:tcPr>
            <w:tcW w:w="2041" w:type="dxa"/>
            <w:tcBorders>
              <w:top w:val="nil"/>
              <w:left w:val="nil"/>
              <w:bottom w:val="nil"/>
              <w:right w:val="nil"/>
            </w:tcBorders>
            <w:shd w:val="clear" w:color="auto" w:fill="auto"/>
            <w:noWrap/>
            <w:vAlign w:val="bottom"/>
            <w:hideMark/>
          </w:tcPr>
          <w:p w:rsidR="00A163F2" w:rsidRPr="00CB1755" w:rsidRDefault="00A163F2" w:rsidP="00EA2C01">
            <w:pPr>
              <w:pStyle w:val="TableUnitsRow"/>
            </w:pPr>
          </w:p>
        </w:tc>
        <w:tc>
          <w:tcPr>
            <w:tcW w:w="1099" w:type="dxa"/>
            <w:tcBorders>
              <w:top w:val="nil"/>
              <w:left w:val="nil"/>
              <w:bottom w:val="nil"/>
              <w:right w:val="nil"/>
            </w:tcBorders>
            <w:shd w:val="clear" w:color="auto" w:fill="auto"/>
            <w:noWrap/>
            <w:vAlign w:val="bottom"/>
            <w:hideMark/>
          </w:tcPr>
          <w:p w:rsidR="00A163F2" w:rsidRPr="00CB1755" w:rsidRDefault="00A163F2" w:rsidP="00EA2C01">
            <w:pPr>
              <w:pStyle w:val="TableUnitsRow"/>
            </w:pPr>
            <w:r w:rsidRPr="00CB1755">
              <w:t>pp</w:t>
            </w:r>
          </w:p>
        </w:tc>
        <w:tc>
          <w:tcPr>
            <w:tcW w:w="1099" w:type="dxa"/>
            <w:tcBorders>
              <w:top w:val="nil"/>
              <w:left w:val="nil"/>
              <w:bottom w:val="nil"/>
              <w:right w:val="nil"/>
            </w:tcBorders>
            <w:shd w:val="clear" w:color="auto" w:fill="auto"/>
            <w:noWrap/>
            <w:vAlign w:val="bottom"/>
            <w:hideMark/>
          </w:tcPr>
          <w:p w:rsidR="00A163F2" w:rsidRPr="00CB1755" w:rsidRDefault="00A163F2" w:rsidP="00EA2C01">
            <w:pPr>
              <w:pStyle w:val="TableUnitsRow"/>
            </w:pPr>
            <w:r w:rsidRPr="00CB1755">
              <w:t>%</w:t>
            </w:r>
          </w:p>
        </w:tc>
        <w:tc>
          <w:tcPr>
            <w:tcW w:w="244" w:type="dxa"/>
            <w:tcBorders>
              <w:top w:val="nil"/>
              <w:left w:val="nil"/>
              <w:bottom w:val="nil"/>
              <w:right w:val="nil"/>
            </w:tcBorders>
          </w:tcPr>
          <w:p w:rsidR="00A163F2" w:rsidRPr="00CB1755" w:rsidRDefault="00A163F2" w:rsidP="00EA2C01">
            <w:pPr>
              <w:pStyle w:val="TableUnitsRow"/>
            </w:pPr>
          </w:p>
        </w:tc>
        <w:tc>
          <w:tcPr>
            <w:tcW w:w="1099" w:type="dxa"/>
            <w:tcBorders>
              <w:top w:val="nil"/>
              <w:left w:val="nil"/>
              <w:bottom w:val="nil"/>
              <w:right w:val="nil"/>
            </w:tcBorders>
            <w:shd w:val="clear" w:color="auto" w:fill="auto"/>
            <w:noWrap/>
            <w:vAlign w:val="bottom"/>
            <w:hideMark/>
          </w:tcPr>
          <w:p w:rsidR="00A163F2" w:rsidRPr="00CB1755" w:rsidRDefault="00A163F2" w:rsidP="00EA2C01">
            <w:pPr>
              <w:pStyle w:val="TableUnitsRow"/>
            </w:pPr>
            <w:r w:rsidRPr="00CB1755">
              <w:t>pp</w:t>
            </w:r>
          </w:p>
        </w:tc>
        <w:tc>
          <w:tcPr>
            <w:tcW w:w="1099" w:type="dxa"/>
            <w:tcBorders>
              <w:top w:val="nil"/>
              <w:left w:val="nil"/>
              <w:bottom w:val="nil"/>
              <w:right w:val="nil"/>
            </w:tcBorders>
            <w:shd w:val="clear" w:color="auto" w:fill="auto"/>
            <w:noWrap/>
            <w:vAlign w:val="bottom"/>
            <w:hideMark/>
          </w:tcPr>
          <w:p w:rsidR="00A163F2" w:rsidRPr="00CB1755" w:rsidRDefault="00A163F2" w:rsidP="00EA2C01">
            <w:pPr>
              <w:pStyle w:val="TableUnitsRow"/>
            </w:pPr>
            <w:r w:rsidRPr="00CB1755">
              <w:t>%</w:t>
            </w:r>
          </w:p>
        </w:tc>
        <w:tc>
          <w:tcPr>
            <w:tcW w:w="244" w:type="dxa"/>
            <w:gridSpan w:val="2"/>
            <w:tcBorders>
              <w:top w:val="nil"/>
              <w:left w:val="nil"/>
              <w:bottom w:val="nil"/>
              <w:right w:val="nil"/>
            </w:tcBorders>
          </w:tcPr>
          <w:p w:rsidR="00A163F2" w:rsidRPr="00CB1755" w:rsidRDefault="00A163F2" w:rsidP="00EA2C01">
            <w:pPr>
              <w:pStyle w:val="TableUnitsRow"/>
            </w:pPr>
          </w:p>
        </w:tc>
        <w:tc>
          <w:tcPr>
            <w:tcW w:w="936" w:type="dxa"/>
            <w:gridSpan w:val="2"/>
            <w:tcBorders>
              <w:top w:val="nil"/>
              <w:left w:val="nil"/>
              <w:bottom w:val="nil"/>
              <w:right w:val="nil"/>
            </w:tcBorders>
            <w:shd w:val="clear" w:color="auto" w:fill="auto"/>
            <w:noWrap/>
            <w:vAlign w:val="bottom"/>
            <w:hideMark/>
          </w:tcPr>
          <w:p w:rsidR="00A163F2" w:rsidRPr="00CB1755" w:rsidRDefault="00A163F2" w:rsidP="00EA2C01">
            <w:pPr>
              <w:pStyle w:val="TableUnitsRow"/>
            </w:pPr>
            <w:r w:rsidRPr="00CB1755">
              <w:t>pp</w:t>
            </w:r>
          </w:p>
        </w:tc>
        <w:tc>
          <w:tcPr>
            <w:tcW w:w="928" w:type="dxa"/>
            <w:tcBorders>
              <w:top w:val="nil"/>
              <w:left w:val="nil"/>
              <w:bottom w:val="nil"/>
              <w:right w:val="nil"/>
            </w:tcBorders>
            <w:shd w:val="clear" w:color="auto" w:fill="auto"/>
            <w:noWrap/>
            <w:vAlign w:val="bottom"/>
            <w:hideMark/>
          </w:tcPr>
          <w:p w:rsidR="00A163F2" w:rsidRPr="00CB1755" w:rsidRDefault="00A163F2" w:rsidP="00EA2C01">
            <w:pPr>
              <w:pStyle w:val="TableUnitsRow"/>
            </w:pPr>
            <w:r w:rsidRPr="00CB1755">
              <w:t>%</w:t>
            </w:r>
          </w:p>
        </w:tc>
      </w:tr>
      <w:tr w:rsidR="00EA2C01" w:rsidRPr="00CB1755" w:rsidTr="008D36B1">
        <w:trPr>
          <w:trHeight w:val="300"/>
        </w:trPr>
        <w:tc>
          <w:tcPr>
            <w:tcW w:w="2041" w:type="dxa"/>
            <w:tcBorders>
              <w:top w:val="nil"/>
              <w:left w:val="nil"/>
              <w:bottom w:val="nil"/>
              <w:right w:val="nil"/>
            </w:tcBorders>
            <w:shd w:val="clear" w:color="auto" w:fill="auto"/>
            <w:noWrap/>
            <w:vAlign w:val="bottom"/>
            <w:hideMark/>
          </w:tcPr>
          <w:p w:rsidR="00A163F2" w:rsidRPr="00CB1755" w:rsidRDefault="00A163F2" w:rsidP="00EA2C01">
            <w:pPr>
              <w:pStyle w:val="TableBodyText"/>
              <w:jc w:val="left"/>
            </w:pPr>
            <w:r w:rsidRPr="00CB1755">
              <w:t>Agriculture</w:t>
            </w:r>
          </w:p>
        </w:tc>
        <w:tc>
          <w:tcPr>
            <w:tcW w:w="1099"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-0.12</w:t>
            </w:r>
          </w:p>
        </w:tc>
        <w:tc>
          <w:tcPr>
            <w:tcW w:w="1099"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-11</w:t>
            </w:r>
          </w:p>
        </w:tc>
        <w:tc>
          <w:tcPr>
            <w:tcW w:w="244" w:type="dxa"/>
            <w:tcBorders>
              <w:top w:val="nil"/>
              <w:left w:val="nil"/>
              <w:bottom w:val="nil"/>
              <w:right w:val="nil"/>
            </w:tcBorders>
          </w:tcPr>
          <w:p w:rsidR="00A163F2" w:rsidRPr="00CB1755" w:rsidRDefault="00A163F2" w:rsidP="00EA2C01">
            <w:pPr>
              <w:pStyle w:val="TableBodyText"/>
            </w:pPr>
          </w:p>
        </w:tc>
        <w:tc>
          <w:tcPr>
            <w:tcW w:w="1099"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0.10</w:t>
            </w:r>
          </w:p>
        </w:tc>
        <w:tc>
          <w:tcPr>
            <w:tcW w:w="1099"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3</w:t>
            </w:r>
          </w:p>
        </w:tc>
        <w:tc>
          <w:tcPr>
            <w:tcW w:w="244" w:type="dxa"/>
            <w:gridSpan w:val="2"/>
            <w:tcBorders>
              <w:top w:val="nil"/>
              <w:left w:val="nil"/>
              <w:bottom w:val="nil"/>
              <w:right w:val="nil"/>
            </w:tcBorders>
          </w:tcPr>
          <w:p w:rsidR="00A163F2" w:rsidRPr="00CB1755" w:rsidRDefault="00A163F2" w:rsidP="00EA2C01">
            <w:pPr>
              <w:pStyle w:val="TableBodyText"/>
            </w:pPr>
          </w:p>
        </w:tc>
        <w:tc>
          <w:tcPr>
            <w:tcW w:w="936" w:type="dxa"/>
            <w:gridSpan w:val="2"/>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0.22</w:t>
            </w:r>
          </w:p>
        </w:tc>
        <w:tc>
          <w:tcPr>
            <w:tcW w:w="928"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10</w:t>
            </w:r>
          </w:p>
        </w:tc>
      </w:tr>
      <w:tr w:rsidR="00EA2C01" w:rsidRPr="00CB1755" w:rsidTr="008D36B1">
        <w:trPr>
          <w:trHeight w:val="300"/>
        </w:trPr>
        <w:tc>
          <w:tcPr>
            <w:tcW w:w="2041" w:type="dxa"/>
            <w:tcBorders>
              <w:top w:val="nil"/>
              <w:left w:val="nil"/>
              <w:bottom w:val="nil"/>
              <w:right w:val="nil"/>
            </w:tcBorders>
            <w:shd w:val="clear" w:color="auto" w:fill="auto"/>
            <w:noWrap/>
            <w:vAlign w:val="bottom"/>
            <w:hideMark/>
          </w:tcPr>
          <w:p w:rsidR="00A163F2" w:rsidRPr="00CB1755" w:rsidRDefault="00A163F2" w:rsidP="00EA2C01">
            <w:pPr>
              <w:pStyle w:val="TableBodyText"/>
              <w:jc w:val="left"/>
            </w:pPr>
            <w:r w:rsidRPr="00CB1755">
              <w:t>Mining</w:t>
            </w:r>
          </w:p>
        </w:tc>
        <w:tc>
          <w:tcPr>
            <w:tcW w:w="1099"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0.03</w:t>
            </w:r>
          </w:p>
        </w:tc>
        <w:tc>
          <w:tcPr>
            <w:tcW w:w="1099"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3</w:t>
            </w:r>
          </w:p>
        </w:tc>
        <w:tc>
          <w:tcPr>
            <w:tcW w:w="244" w:type="dxa"/>
            <w:tcBorders>
              <w:top w:val="nil"/>
              <w:left w:val="nil"/>
              <w:bottom w:val="nil"/>
              <w:right w:val="nil"/>
            </w:tcBorders>
          </w:tcPr>
          <w:p w:rsidR="00A163F2" w:rsidRPr="00CB1755" w:rsidRDefault="00A163F2" w:rsidP="00EA2C01">
            <w:pPr>
              <w:pStyle w:val="TableBodyText"/>
            </w:pPr>
          </w:p>
        </w:tc>
        <w:tc>
          <w:tcPr>
            <w:tcW w:w="1099"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0.78</w:t>
            </w:r>
          </w:p>
        </w:tc>
        <w:tc>
          <w:tcPr>
            <w:tcW w:w="1099"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23</w:t>
            </w:r>
          </w:p>
        </w:tc>
        <w:tc>
          <w:tcPr>
            <w:tcW w:w="244" w:type="dxa"/>
            <w:gridSpan w:val="2"/>
            <w:tcBorders>
              <w:top w:val="nil"/>
              <w:left w:val="nil"/>
              <w:bottom w:val="nil"/>
              <w:right w:val="nil"/>
            </w:tcBorders>
          </w:tcPr>
          <w:p w:rsidR="00A163F2" w:rsidRPr="00CB1755" w:rsidRDefault="00A163F2" w:rsidP="00EA2C01">
            <w:pPr>
              <w:pStyle w:val="TableBodyText"/>
            </w:pPr>
          </w:p>
        </w:tc>
        <w:tc>
          <w:tcPr>
            <w:tcW w:w="936" w:type="dxa"/>
            <w:gridSpan w:val="2"/>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0.75</w:t>
            </w:r>
          </w:p>
        </w:tc>
        <w:tc>
          <w:tcPr>
            <w:tcW w:w="928"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33</w:t>
            </w:r>
          </w:p>
        </w:tc>
      </w:tr>
      <w:tr w:rsidR="00EA2C01" w:rsidRPr="00CB1755" w:rsidTr="008D36B1">
        <w:trPr>
          <w:trHeight w:val="300"/>
        </w:trPr>
        <w:tc>
          <w:tcPr>
            <w:tcW w:w="2041" w:type="dxa"/>
            <w:tcBorders>
              <w:top w:val="nil"/>
              <w:left w:val="nil"/>
              <w:bottom w:val="nil"/>
              <w:right w:val="nil"/>
            </w:tcBorders>
            <w:shd w:val="clear" w:color="auto" w:fill="auto"/>
            <w:noWrap/>
            <w:vAlign w:val="bottom"/>
            <w:hideMark/>
          </w:tcPr>
          <w:p w:rsidR="00A163F2" w:rsidRPr="00CB1755" w:rsidRDefault="00A163F2" w:rsidP="00EA2C01">
            <w:pPr>
              <w:pStyle w:val="TableBodyText"/>
              <w:jc w:val="left"/>
            </w:pPr>
            <w:r w:rsidRPr="00CB1755">
              <w:t>Manufacturing</w:t>
            </w:r>
          </w:p>
        </w:tc>
        <w:tc>
          <w:tcPr>
            <w:tcW w:w="1099"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0.38</w:t>
            </w:r>
          </w:p>
        </w:tc>
        <w:tc>
          <w:tcPr>
            <w:tcW w:w="1099"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35</w:t>
            </w:r>
          </w:p>
        </w:tc>
        <w:tc>
          <w:tcPr>
            <w:tcW w:w="244" w:type="dxa"/>
            <w:tcBorders>
              <w:top w:val="nil"/>
              <w:left w:val="nil"/>
              <w:bottom w:val="nil"/>
              <w:right w:val="nil"/>
            </w:tcBorders>
          </w:tcPr>
          <w:p w:rsidR="00A163F2" w:rsidRPr="00CB1755" w:rsidRDefault="00A163F2" w:rsidP="00EA2C01">
            <w:pPr>
              <w:pStyle w:val="TableBodyText"/>
            </w:pPr>
          </w:p>
        </w:tc>
        <w:tc>
          <w:tcPr>
            <w:tcW w:w="1099"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0.40</w:t>
            </w:r>
          </w:p>
        </w:tc>
        <w:tc>
          <w:tcPr>
            <w:tcW w:w="1099"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12</w:t>
            </w:r>
          </w:p>
        </w:tc>
        <w:tc>
          <w:tcPr>
            <w:tcW w:w="244" w:type="dxa"/>
            <w:gridSpan w:val="2"/>
            <w:tcBorders>
              <w:top w:val="nil"/>
              <w:left w:val="nil"/>
              <w:bottom w:val="nil"/>
              <w:right w:val="nil"/>
            </w:tcBorders>
          </w:tcPr>
          <w:p w:rsidR="00A163F2" w:rsidRPr="00CB1755" w:rsidRDefault="00A163F2" w:rsidP="00EA2C01">
            <w:pPr>
              <w:pStyle w:val="TableBodyText"/>
            </w:pPr>
          </w:p>
        </w:tc>
        <w:tc>
          <w:tcPr>
            <w:tcW w:w="936" w:type="dxa"/>
            <w:gridSpan w:val="2"/>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0.02</w:t>
            </w:r>
          </w:p>
        </w:tc>
        <w:tc>
          <w:tcPr>
            <w:tcW w:w="928"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1</w:t>
            </w:r>
          </w:p>
        </w:tc>
      </w:tr>
      <w:tr w:rsidR="00EA2C01" w:rsidRPr="00CB1755" w:rsidTr="008D36B1">
        <w:trPr>
          <w:trHeight w:val="300"/>
        </w:trPr>
        <w:tc>
          <w:tcPr>
            <w:tcW w:w="2041" w:type="dxa"/>
            <w:tcBorders>
              <w:top w:val="nil"/>
              <w:left w:val="nil"/>
              <w:bottom w:val="nil"/>
              <w:right w:val="nil"/>
            </w:tcBorders>
            <w:shd w:val="clear" w:color="auto" w:fill="auto"/>
            <w:noWrap/>
            <w:vAlign w:val="bottom"/>
            <w:hideMark/>
          </w:tcPr>
          <w:p w:rsidR="00A163F2" w:rsidRPr="00CB1755" w:rsidRDefault="00CD4A9D" w:rsidP="00EA2C01">
            <w:pPr>
              <w:pStyle w:val="TableBodyText"/>
              <w:jc w:val="left"/>
            </w:pPr>
            <w:r>
              <w:t>Utilities</w:t>
            </w:r>
          </w:p>
        </w:tc>
        <w:tc>
          <w:tcPr>
            <w:tcW w:w="1099"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-0.04</w:t>
            </w:r>
          </w:p>
        </w:tc>
        <w:tc>
          <w:tcPr>
            <w:tcW w:w="1099"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-4</w:t>
            </w:r>
          </w:p>
        </w:tc>
        <w:tc>
          <w:tcPr>
            <w:tcW w:w="244" w:type="dxa"/>
            <w:tcBorders>
              <w:top w:val="nil"/>
              <w:left w:val="nil"/>
              <w:bottom w:val="nil"/>
              <w:right w:val="nil"/>
            </w:tcBorders>
          </w:tcPr>
          <w:p w:rsidR="00A163F2" w:rsidRPr="00CB1755" w:rsidRDefault="00A163F2" w:rsidP="00EA2C01">
            <w:pPr>
              <w:pStyle w:val="TableBodyText"/>
            </w:pPr>
          </w:p>
        </w:tc>
        <w:tc>
          <w:tcPr>
            <w:tcW w:w="1099"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0.18</w:t>
            </w:r>
          </w:p>
        </w:tc>
        <w:tc>
          <w:tcPr>
            <w:tcW w:w="1099"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5</w:t>
            </w:r>
          </w:p>
        </w:tc>
        <w:tc>
          <w:tcPr>
            <w:tcW w:w="244" w:type="dxa"/>
            <w:gridSpan w:val="2"/>
            <w:tcBorders>
              <w:top w:val="nil"/>
              <w:left w:val="nil"/>
              <w:bottom w:val="nil"/>
              <w:right w:val="nil"/>
            </w:tcBorders>
          </w:tcPr>
          <w:p w:rsidR="00A163F2" w:rsidRPr="00CB1755" w:rsidRDefault="00A163F2" w:rsidP="00EA2C01">
            <w:pPr>
              <w:pStyle w:val="TableBodyText"/>
            </w:pPr>
          </w:p>
        </w:tc>
        <w:tc>
          <w:tcPr>
            <w:tcW w:w="936" w:type="dxa"/>
            <w:gridSpan w:val="2"/>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0.22</w:t>
            </w:r>
          </w:p>
        </w:tc>
        <w:tc>
          <w:tcPr>
            <w:tcW w:w="928"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10</w:t>
            </w:r>
          </w:p>
        </w:tc>
      </w:tr>
      <w:tr w:rsidR="00EA2C01" w:rsidRPr="00CB1755" w:rsidTr="008D36B1">
        <w:trPr>
          <w:trHeight w:val="300"/>
        </w:trPr>
        <w:tc>
          <w:tcPr>
            <w:tcW w:w="2041" w:type="dxa"/>
            <w:tcBorders>
              <w:top w:val="nil"/>
              <w:left w:val="nil"/>
              <w:bottom w:val="nil"/>
              <w:right w:val="nil"/>
            </w:tcBorders>
            <w:shd w:val="clear" w:color="auto" w:fill="auto"/>
            <w:noWrap/>
            <w:vAlign w:val="bottom"/>
            <w:hideMark/>
          </w:tcPr>
          <w:p w:rsidR="00A163F2" w:rsidRPr="00CB1755" w:rsidRDefault="00A163F2" w:rsidP="00EA2C01">
            <w:pPr>
              <w:pStyle w:val="TableBodyText"/>
              <w:jc w:val="left"/>
            </w:pPr>
            <w:r w:rsidRPr="00CB1755">
              <w:t>Construction</w:t>
            </w:r>
          </w:p>
        </w:tc>
        <w:tc>
          <w:tcPr>
            <w:tcW w:w="1099"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0.10</w:t>
            </w:r>
          </w:p>
        </w:tc>
        <w:tc>
          <w:tcPr>
            <w:tcW w:w="1099"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9</w:t>
            </w:r>
          </w:p>
        </w:tc>
        <w:tc>
          <w:tcPr>
            <w:tcW w:w="244" w:type="dxa"/>
            <w:tcBorders>
              <w:top w:val="nil"/>
              <w:left w:val="nil"/>
              <w:bottom w:val="nil"/>
              <w:right w:val="nil"/>
            </w:tcBorders>
          </w:tcPr>
          <w:p w:rsidR="00A163F2" w:rsidRPr="00CB1755" w:rsidRDefault="00A163F2" w:rsidP="00EA2C01">
            <w:pPr>
              <w:pStyle w:val="TableBodyText"/>
            </w:pPr>
          </w:p>
        </w:tc>
        <w:tc>
          <w:tcPr>
            <w:tcW w:w="1099"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0.40</w:t>
            </w:r>
          </w:p>
        </w:tc>
        <w:tc>
          <w:tcPr>
            <w:tcW w:w="1099"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12</w:t>
            </w:r>
          </w:p>
        </w:tc>
        <w:tc>
          <w:tcPr>
            <w:tcW w:w="244" w:type="dxa"/>
            <w:gridSpan w:val="2"/>
            <w:tcBorders>
              <w:top w:val="nil"/>
              <w:left w:val="nil"/>
              <w:bottom w:val="nil"/>
              <w:right w:val="nil"/>
            </w:tcBorders>
          </w:tcPr>
          <w:p w:rsidR="00A163F2" w:rsidRPr="00CB1755" w:rsidRDefault="00A163F2" w:rsidP="00EA2C01">
            <w:pPr>
              <w:pStyle w:val="TableBodyText"/>
            </w:pPr>
          </w:p>
        </w:tc>
        <w:tc>
          <w:tcPr>
            <w:tcW w:w="936" w:type="dxa"/>
            <w:gridSpan w:val="2"/>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0.30</w:t>
            </w:r>
          </w:p>
        </w:tc>
        <w:tc>
          <w:tcPr>
            <w:tcW w:w="928"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13</w:t>
            </w:r>
          </w:p>
        </w:tc>
      </w:tr>
      <w:tr w:rsidR="00EA2C01" w:rsidRPr="00CB1755" w:rsidTr="008D36B1">
        <w:trPr>
          <w:trHeight w:val="300"/>
        </w:trPr>
        <w:tc>
          <w:tcPr>
            <w:tcW w:w="2041" w:type="dxa"/>
            <w:tcBorders>
              <w:top w:val="nil"/>
              <w:left w:val="nil"/>
              <w:bottom w:val="nil"/>
              <w:right w:val="nil"/>
            </w:tcBorders>
            <w:shd w:val="clear" w:color="auto" w:fill="auto"/>
            <w:noWrap/>
            <w:vAlign w:val="bottom"/>
            <w:hideMark/>
          </w:tcPr>
          <w:p w:rsidR="00A163F2" w:rsidRPr="00CB1755" w:rsidRDefault="00A163F2" w:rsidP="00EA2C01">
            <w:pPr>
              <w:pStyle w:val="TableBodyText"/>
              <w:jc w:val="left"/>
            </w:pPr>
            <w:r w:rsidRPr="00CB1755">
              <w:t>Wholesale</w:t>
            </w:r>
          </w:p>
        </w:tc>
        <w:tc>
          <w:tcPr>
            <w:tcW w:w="1099"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0.08</w:t>
            </w:r>
          </w:p>
        </w:tc>
        <w:tc>
          <w:tcPr>
            <w:tcW w:w="1099"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7</w:t>
            </w:r>
          </w:p>
        </w:tc>
        <w:tc>
          <w:tcPr>
            <w:tcW w:w="244" w:type="dxa"/>
            <w:tcBorders>
              <w:top w:val="nil"/>
              <w:left w:val="nil"/>
              <w:bottom w:val="nil"/>
              <w:right w:val="nil"/>
            </w:tcBorders>
          </w:tcPr>
          <w:p w:rsidR="00A163F2" w:rsidRPr="00CB1755" w:rsidRDefault="00A163F2" w:rsidP="00EA2C01">
            <w:pPr>
              <w:pStyle w:val="TableBodyText"/>
            </w:pPr>
          </w:p>
        </w:tc>
        <w:tc>
          <w:tcPr>
            <w:tcW w:w="1099"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0.22</w:t>
            </w:r>
          </w:p>
        </w:tc>
        <w:tc>
          <w:tcPr>
            <w:tcW w:w="1099"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6</w:t>
            </w:r>
          </w:p>
        </w:tc>
        <w:tc>
          <w:tcPr>
            <w:tcW w:w="244" w:type="dxa"/>
            <w:gridSpan w:val="2"/>
            <w:tcBorders>
              <w:top w:val="nil"/>
              <w:left w:val="nil"/>
              <w:bottom w:val="nil"/>
              <w:right w:val="nil"/>
            </w:tcBorders>
          </w:tcPr>
          <w:p w:rsidR="00A163F2" w:rsidRPr="00CB1755" w:rsidRDefault="00A163F2" w:rsidP="00EA2C01">
            <w:pPr>
              <w:pStyle w:val="TableBodyText"/>
            </w:pPr>
          </w:p>
        </w:tc>
        <w:tc>
          <w:tcPr>
            <w:tcW w:w="936" w:type="dxa"/>
            <w:gridSpan w:val="2"/>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0.14</w:t>
            </w:r>
          </w:p>
        </w:tc>
        <w:tc>
          <w:tcPr>
            <w:tcW w:w="928"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6</w:t>
            </w:r>
          </w:p>
        </w:tc>
      </w:tr>
      <w:tr w:rsidR="00EA2C01" w:rsidRPr="00CB1755" w:rsidTr="008D36B1">
        <w:trPr>
          <w:trHeight w:val="300"/>
        </w:trPr>
        <w:tc>
          <w:tcPr>
            <w:tcW w:w="2041" w:type="dxa"/>
            <w:tcBorders>
              <w:top w:val="nil"/>
              <w:left w:val="nil"/>
              <w:bottom w:val="nil"/>
              <w:right w:val="nil"/>
            </w:tcBorders>
            <w:shd w:val="clear" w:color="auto" w:fill="auto"/>
            <w:noWrap/>
            <w:vAlign w:val="bottom"/>
            <w:hideMark/>
          </w:tcPr>
          <w:p w:rsidR="00A163F2" w:rsidRPr="00CB1755" w:rsidRDefault="00A163F2" w:rsidP="00EA2C01">
            <w:pPr>
              <w:pStyle w:val="TableBodyText"/>
              <w:jc w:val="left"/>
            </w:pPr>
            <w:r w:rsidRPr="00CB1755">
              <w:t>Retail</w:t>
            </w:r>
          </w:p>
        </w:tc>
        <w:tc>
          <w:tcPr>
            <w:tcW w:w="1099"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0.12</w:t>
            </w:r>
          </w:p>
        </w:tc>
        <w:tc>
          <w:tcPr>
            <w:tcW w:w="1099"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11</w:t>
            </w:r>
          </w:p>
        </w:tc>
        <w:tc>
          <w:tcPr>
            <w:tcW w:w="244" w:type="dxa"/>
            <w:tcBorders>
              <w:top w:val="nil"/>
              <w:left w:val="nil"/>
              <w:bottom w:val="nil"/>
              <w:right w:val="nil"/>
            </w:tcBorders>
          </w:tcPr>
          <w:p w:rsidR="00A163F2" w:rsidRPr="00CB1755" w:rsidRDefault="00A163F2" w:rsidP="00EA2C01">
            <w:pPr>
              <w:pStyle w:val="TableBodyText"/>
            </w:pPr>
          </w:p>
        </w:tc>
        <w:tc>
          <w:tcPr>
            <w:tcW w:w="1099"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0.16</w:t>
            </w:r>
          </w:p>
        </w:tc>
        <w:tc>
          <w:tcPr>
            <w:tcW w:w="1099"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5</w:t>
            </w:r>
          </w:p>
        </w:tc>
        <w:tc>
          <w:tcPr>
            <w:tcW w:w="244" w:type="dxa"/>
            <w:gridSpan w:val="2"/>
            <w:tcBorders>
              <w:top w:val="nil"/>
              <w:left w:val="nil"/>
              <w:bottom w:val="nil"/>
              <w:right w:val="nil"/>
            </w:tcBorders>
          </w:tcPr>
          <w:p w:rsidR="00A163F2" w:rsidRPr="00CB1755" w:rsidRDefault="00A163F2" w:rsidP="00EA2C01">
            <w:pPr>
              <w:pStyle w:val="TableBodyText"/>
            </w:pPr>
          </w:p>
        </w:tc>
        <w:tc>
          <w:tcPr>
            <w:tcW w:w="936" w:type="dxa"/>
            <w:gridSpan w:val="2"/>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0.04</w:t>
            </w:r>
          </w:p>
        </w:tc>
        <w:tc>
          <w:tcPr>
            <w:tcW w:w="928"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2</w:t>
            </w:r>
          </w:p>
        </w:tc>
      </w:tr>
      <w:tr w:rsidR="00EA2C01" w:rsidRPr="00CB1755" w:rsidTr="008D36B1">
        <w:trPr>
          <w:trHeight w:val="300"/>
        </w:trPr>
        <w:tc>
          <w:tcPr>
            <w:tcW w:w="2041" w:type="dxa"/>
            <w:tcBorders>
              <w:top w:val="nil"/>
              <w:left w:val="nil"/>
              <w:bottom w:val="nil"/>
              <w:right w:val="nil"/>
            </w:tcBorders>
            <w:shd w:val="clear" w:color="auto" w:fill="auto"/>
            <w:noWrap/>
            <w:vAlign w:val="bottom"/>
            <w:hideMark/>
          </w:tcPr>
          <w:p w:rsidR="00A163F2" w:rsidRPr="00CB1755" w:rsidRDefault="00A163F2" w:rsidP="00EA2C01">
            <w:pPr>
              <w:pStyle w:val="TableBodyText"/>
              <w:jc w:val="left"/>
            </w:pPr>
            <w:r w:rsidRPr="00CB1755">
              <w:t>Accommodation</w:t>
            </w:r>
          </w:p>
        </w:tc>
        <w:tc>
          <w:tcPr>
            <w:tcW w:w="1099"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0.13</w:t>
            </w:r>
          </w:p>
        </w:tc>
        <w:tc>
          <w:tcPr>
            <w:tcW w:w="1099"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12</w:t>
            </w:r>
          </w:p>
        </w:tc>
        <w:tc>
          <w:tcPr>
            <w:tcW w:w="244" w:type="dxa"/>
            <w:tcBorders>
              <w:top w:val="nil"/>
              <w:left w:val="nil"/>
              <w:bottom w:val="nil"/>
              <w:right w:val="nil"/>
            </w:tcBorders>
          </w:tcPr>
          <w:p w:rsidR="00A163F2" w:rsidRPr="00CB1755" w:rsidRDefault="00A163F2" w:rsidP="00EA2C01">
            <w:pPr>
              <w:pStyle w:val="TableBodyText"/>
            </w:pPr>
          </w:p>
        </w:tc>
        <w:tc>
          <w:tcPr>
            <w:tcW w:w="1099"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0.16</w:t>
            </w:r>
          </w:p>
        </w:tc>
        <w:tc>
          <w:tcPr>
            <w:tcW w:w="1099"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5</w:t>
            </w:r>
          </w:p>
        </w:tc>
        <w:tc>
          <w:tcPr>
            <w:tcW w:w="244" w:type="dxa"/>
            <w:gridSpan w:val="2"/>
            <w:tcBorders>
              <w:top w:val="nil"/>
              <w:left w:val="nil"/>
              <w:bottom w:val="nil"/>
              <w:right w:val="nil"/>
            </w:tcBorders>
          </w:tcPr>
          <w:p w:rsidR="00A163F2" w:rsidRPr="00CB1755" w:rsidRDefault="00A163F2" w:rsidP="00EA2C01">
            <w:pPr>
              <w:pStyle w:val="TableBodyText"/>
            </w:pPr>
          </w:p>
        </w:tc>
        <w:tc>
          <w:tcPr>
            <w:tcW w:w="936" w:type="dxa"/>
            <w:gridSpan w:val="2"/>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0.02</w:t>
            </w:r>
          </w:p>
        </w:tc>
        <w:tc>
          <w:tcPr>
            <w:tcW w:w="928"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1</w:t>
            </w:r>
          </w:p>
        </w:tc>
      </w:tr>
      <w:tr w:rsidR="00EA2C01" w:rsidRPr="00CB1755" w:rsidTr="008D36B1">
        <w:trPr>
          <w:trHeight w:val="300"/>
        </w:trPr>
        <w:tc>
          <w:tcPr>
            <w:tcW w:w="2041" w:type="dxa"/>
            <w:tcBorders>
              <w:top w:val="nil"/>
              <w:left w:val="nil"/>
              <w:bottom w:val="nil"/>
              <w:right w:val="nil"/>
            </w:tcBorders>
            <w:shd w:val="clear" w:color="auto" w:fill="auto"/>
            <w:noWrap/>
            <w:vAlign w:val="bottom"/>
            <w:hideMark/>
          </w:tcPr>
          <w:p w:rsidR="00A163F2" w:rsidRPr="00CB1755" w:rsidRDefault="00A163F2" w:rsidP="00EA2C01">
            <w:pPr>
              <w:pStyle w:val="TableBodyText"/>
              <w:jc w:val="left"/>
            </w:pPr>
            <w:r w:rsidRPr="00CB1755">
              <w:t>Transport</w:t>
            </w:r>
          </w:p>
        </w:tc>
        <w:tc>
          <w:tcPr>
            <w:tcW w:w="1099"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0.06</w:t>
            </w:r>
          </w:p>
        </w:tc>
        <w:tc>
          <w:tcPr>
            <w:tcW w:w="1099"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6</w:t>
            </w:r>
          </w:p>
        </w:tc>
        <w:tc>
          <w:tcPr>
            <w:tcW w:w="244" w:type="dxa"/>
            <w:tcBorders>
              <w:top w:val="nil"/>
              <w:left w:val="nil"/>
              <w:bottom w:val="nil"/>
              <w:right w:val="nil"/>
            </w:tcBorders>
          </w:tcPr>
          <w:p w:rsidR="00A163F2" w:rsidRPr="00CB1755" w:rsidRDefault="00A163F2" w:rsidP="00EA2C01">
            <w:pPr>
              <w:pStyle w:val="TableBodyText"/>
            </w:pPr>
          </w:p>
        </w:tc>
        <w:tc>
          <w:tcPr>
            <w:tcW w:w="1099"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0.24</w:t>
            </w:r>
          </w:p>
        </w:tc>
        <w:tc>
          <w:tcPr>
            <w:tcW w:w="1099"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7</w:t>
            </w:r>
          </w:p>
        </w:tc>
        <w:tc>
          <w:tcPr>
            <w:tcW w:w="244" w:type="dxa"/>
            <w:gridSpan w:val="2"/>
            <w:tcBorders>
              <w:top w:val="nil"/>
              <w:left w:val="nil"/>
              <w:bottom w:val="nil"/>
              <w:right w:val="nil"/>
            </w:tcBorders>
          </w:tcPr>
          <w:p w:rsidR="00A163F2" w:rsidRPr="00CB1755" w:rsidRDefault="00A163F2" w:rsidP="00EA2C01">
            <w:pPr>
              <w:pStyle w:val="TableBodyText"/>
            </w:pPr>
          </w:p>
        </w:tc>
        <w:tc>
          <w:tcPr>
            <w:tcW w:w="936" w:type="dxa"/>
            <w:gridSpan w:val="2"/>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0.18</w:t>
            </w:r>
          </w:p>
        </w:tc>
        <w:tc>
          <w:tcPr>
            <w:tcW w:w="928"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8</w:t>
            </w:r>
          </w:p>
        </w:tc>
      </w:tr>
      <w:tr w:rsidR="00EA2C01" w:rsidRPr="00CB1755" w:rsidTr="008D36B1">
        <w:trPr>
          <w:trHeight w:val="300"/>
        </w:trPr>
        <w:tc>
          <w:tcPr>
            <w:tcW w:w="2041" w:type="dxa"/>
            <w:tcBorders>
              <w:top w:val="nil"/>
              <w:left w:val="nil"/>
              <w:bottom w:val="nil"/>
              <w:right w:val="nil"/>
            </w:tcBorders>
            <w:shd w:val="clear" w:color="auto" w:fill="auto"/>
            <w:noWrap/>
            <w:vAlign w:val="bottom"/>
            <w:hideMark/>
          </w:tcPr>
          <w:p w:rsidR="00A163F2" w:rsidRPr="00CB1755" w:rsidRDefault="00A163F2" w:rsidP="00EA2C01">
            <w:pPr>
              <w:pStyle w:val="TableBodyText"/>
              <w:jc w:val="left"/>
            </w:pPr>
            <w:r w:rsidRPr="00CB1755">
              <w:t>Telecoms</w:t>
            </w:r>
          </w:p>
        </w:tc>
        <w:tc>
          <w:tcPr>
            <w:tcW w:w="1099"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-0.05</w:t>
            </w:r>
          </w:p>
        </w:tc>
        <w:tc>
          <w:tcPr>
            <w:tcW w:w="1099"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-4</w:t>
            </w:r>
          </w:p>
        </w:tc>
        <w:tc>
          <w:tcPr>
            <w:tcW w:w="244" w:type="dxa"/>
            <w:tcBorders>
              <w:top w:val="nil"/>
              <w:left w:val="nil"/>
              <w:bottom w:val="nil"/>
              <w:right w:val="nil"/>
            </w:tcBorders>
          </w:tcPr>
          <w:p w:rsidR="00A163F2" w:rsidRPr="00CB1755" w:rsidRDefault="00A163F2" w:rsidP="00EA2C01">
            <w:pPr>
              <w:pStyle w:val="TableBodyText"/>
            </w:pPr>
          </w:p>
        </w:tc>
        <w:tc>
          <w:tcPr>
            <w:tcW w:w="1099"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0.07</w:t>
            </w:r>
          </w:p>
        </w:tc>
        <w:tc>
          <w:tcPr>
            <w:tcW w:w="1099"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2</w:t>
            </w:r>
          </w:p>
        </w:tc>
        <w:tc>
          <w:tcPr>
            <w:tcW w:w="244" w:type="dxa"/>
            <w:gridSpan w:val="2"/>
            <w:tcBorders>
              <w:top w:val="nil"/>
              <w:left w:val="nil"/>
              <w:bottom w:val="nil"/>
              <w:right w:val="nil"/>
            </w:tcBorders>
          </w:tcPr>
          <w:p w:rsidR="00A163F2" w:rsidRPr="00CB1755" w:rsidRDefault="00A163F2" w:rsidP="00EA2C01">
            <w:pPr>
              <w:pStyle w:val="TableBodyText"/>
            </w:pPr>
          </w:p>
        </w:tc>
        <w:tc>
          <w:tcPr>
            <w:tcW w:w="936" w:type="dxa"/>
            <w:gridSpan w:val="2"/>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0.12</w:t>
            </w:r>
          </w:p>
        </w:tc>
        <w:tc>
          <w:tcPr>
            <w:tcW w:w="928"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5</w:t>
            </w:r>
          </w:p>
        </w:tc>
      </w:tr>
      <w:tr w:rsidR="00EA2C01" w:rsidRPr="00CB1755" w:rsidTr="008D36B1">
        <w:trPr>
          <w:trHeight w:val="300"/>
        </w:trPr>
        <w:tc>
          <w:tcPr>
            <w:tcW w:w="2041" w:type="dxa"/>
            <w:tcBorders>
              <w:top w:val="nil"/>
              <w:left w:val="nil"/>
              <w:bottom w:val="nil"/>
              <w:right w:val="nil"/>
            </w:tcBorders>
            <w:shd w:val="clear" w:color="auto" w:fill="auto"/>
            <w:noWrap/>
            <w:vAlign w:val="bottom"/>
            <w:hideMark/>
          </w:tcPr>
          <w:p w:rsidR="00A163F2" w:rsidRPr="00CB1755" w:rsidRDefault="00A163F2" w:rsidP="00EA2C01">
            <w:pPr>
              <w:pStyle w:val="TableBodyText"/>
              <w:jc w:val="left"/>
            </w:pPr>
            <w:r w:rsidRPr="00CB1755">
              <w:t>Financ</w:t>
            </w:r>
            <w:r>
              <w:t>e</w:t>
            </w:r>
          </w:p>
        </w:tc>
        <w:tc>
          <w:tcPr>
            <w:tcW w:w="1099"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0.35</w:t>
            </w:r>
          </w:p>
        </w:tc>
        <w:tc>
          <w:tcPr>
            <w:tcW w:w="1099"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32</w:t>
            </w:r>
          </w:p>
        </w:tc>
        <w:tc>
          <w:tcPr>
            <w:tcW w:w="244" w:type="dxa"/>
            <w:tcBorders>
              <w:top w:val="nil"/>
              <w:left w:val="nil"/>
              <w:bottom w:val="nil"/>
              <w:right w:val="nil"/>
            </w:tcBorders>
          </w:tcPr>
          <w:p w:rsidR="00A163F2" w:rsidRPr="00CB1755" w:rsidRDefault="00A163F2" w:rsidP="00EA2C01">
            <w:pPr>
              <w:pStyle w:val="TableBodyText"/>
            </w:pPr>
          </w:p>
        </w:tc>
        <w:tc>
          <w:tcPr>
            <w:tcW w:w="1099"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0.41</w:t>
            </w:r>
          </w:p>
        </w:tc>
        <w:tc>
          <w:tcPr>
            <w:tcW w:w="1099"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12</w:t>
            </w:r>
          </w:p>
        </w:tc>
        <w:tc>
          <w:tcPr>
            <w:tcW w:w="244" w:type="dxa"/>
            <w:gridSpan w:val="2"/>
            <w:tcBorders>
              <w:top w:val="nil"/>
              <w:left w:val="nil"/>
              <w:bottom w:val="nil"/>
              <w:right w:val="nil"/>
            </w:tcBorders>
          </w:tcPr>
          <w:p w:rsidR="00A163F2" w:rsidRPr="00CB1755" w:rsidRDefault="00A163F2" w:rsidP="00EA2C01">
            <w:pPr>
              <w:pStyle w:val="TableBodyText"/>
            </w:pPr>
          </w:p>
        </w:tc>
        <w:tc>
          <w:tcPr>
            <w:tcW w:w="936" w:type="dxa"/>
            <w:gridSpan w:val="2"/>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0.06</w:t>
            </w:r>
          </w:p>
        </w:tc>
        <w:tc>
          <w:tcPr>
            <w:tcW w:w="928" w:type="dxa"/>
            <w:tcBorders>
              <w:top w:val="nil"/>
              <w:left w:val="nil"/>
              <w:bottom w:val="nil"/>
              <w:right w:val="nil"/>
            </w:tcBorders>
            <w:shd w:val="clear" w:color="auto" w:fill="auto"/>
            <w:noWrap/>
            <w:vAlign w:val="bottom"/>
            <w:hideMark/>
          </w:tcPr>
          <w:p w:rsidR="00A163F2" w:rsidRPr="00CB1755" w:rsidRDefault="00A163F2" w:rsidP="00EA2C01">
            <w:pPr>
              <w:pStyle w:val="TableBodyText"/>
            </w:pPr>
            <w:r w:rsidRPr="00CB1755">
              <w:t>3</w:t>
            </w:r>
          </w:p>
        </w:tc>
      </w:tr>
      <w:tr w:rsidR="00EA2C01" w:rsidRPr="00CB1755" w:rsidTr="008D36B1">
        <w:trPr>
          <w:trHeight w:val="300"/>
        </w:trPr>
        <w:tc>
          <w:tcPr>
            <w:tcW w:w="2041" w:type="dxa"/>
            <w:tcBorders>
              <w:top w:val="nil"/>
              <w:left w:val="nil"/>
              <w:right w:val="nil"/>
            </w:tcBorders>
            <w:shd w:val="clear" w:color="auto" w:fill="auto"/>
            <w:noWrap/>
            <w:vAlign w:val="bottom"/>
            <w:hideMark/>
          </w:tcPr>
          <w:p w:rsidR="00A163F2" w:rsidRPr="00CB1755" w:rsidRDefault="00A163F2" w:rsidP="00EA2C01">
            <w:pPr>
              <w:pStyle w:val="TableBodyText"/>
              <w:jc w:val="left"/>
            </w:pPr>
            <w:r w:rsidRPr="00CB1755">
              <w:t>Arts &amp; rec</w:t>
            </w:r>
          </w:p>
        </w:tc>
        <w:tc>
          <w:tcPr>
            <w:tcW w:w="1099" w:type="dxa"/>
            <w:tcBorders>
              <w:top w:val="nil"/>
              <w:left w:val="nil"/>
              <w:right w:val="nil"/>
            </w:tcBorders>
            <w:shd w:val="clear" w:color="auto" w:fill="auto"/>
            <w:noWrap/>
            <w:vAlign w:val="bottom"/>
            <w:hideMark/>
          </w:tcPr>
          <w:p w:rsidR="00A163F2" w:rsidRPr="00CB1755" w:rsidRDefault="00A163F2" w:rsidP="00EA2C01">
            <w:pPr>
              <w:pStyle w:val="TableBodyText"/>
            </w:pPr>
            <w:r w:rsidRPr="00CB1755">
              <w:t>0.15</w:t>
            </w:r>
          </w:p>
        </w:tc>
        <w:tc>
          <w:tcPr>
            <w:tcW w:w="1099" w:type="dxa"/>
            <w:tcBorders>
              <w:top w:val="nil"/>
              <w:left w:val="nil"/>
              <w:right w:val="nil"/>
            </w:tcBorders>
            <w:shd w:val="clear" w:color="auto" w:fill="auto"/>
            <w:noWrap/>
            <w:vAlign w:val="bottom"/>
            <w:hideMark/>
          </w:tcPr>
          <w:p w:rsidR="00A163F2" w:rsidRPr="00CB1755" w:rsidRDefault="00A163F2" w:rsidP="00EA2C01">
            <w:pPr>
              <w:pStyle w:val="TableBodyText"/>
            </w:pPr>
            <w:r w:rsidRPr="00CB1755">
              <w:t>14</w:t>
            </w:r>
          </w:p>
        </w:tc>
        <w:tc>
          <w:tcPr>
            <w:tcW w:w="244" w:type="dxa"/>
            <w:tcBorders>
              <w:top w:val="nil"/>
              <w:left w:val="nil"/>
              <w:right w:val="nil"/>
            </w:tcBorders>
          </w:tcPr>
          <w:p w:rsidR="00A163F2" w:rsidRPr="00CB1755" w:rsidRDefault="00A163F2" w:rsidP="00EA2C01">
            <w:pPr>
              <w:pStyle w:val="TableBodyText"/>
            </w:pPr>
          </w:p>
        </w:tc>
        <w:tc>
          <w:tcPr>
            <w:tcW w:w="1099" w:type="dxa"/>
            <w:tcBorders>
              <w:top w:val="nil"/>
              <w:left w:val="nil"/>
              <w:right w:val="nil"/>
            </w:tcBorders>
            <w:shd w:val="clear" w:color="auto" w:fill="auto"/>
            <w:noWrap/>
            <w:vAlign w:val="bottom"/>
            <w:hideMark/>
          </w:tcPr>
          <w:p w:rsidR="00A163F2" w:rsidRPr="00CB1755" w:rsidRDefault="00A163F2" w:rsidP="00EA2C01">
            <w:pPr>
              <w:pStyle w:val="TableBodyText"/>
            </w:pPr>
            <w:r w:rsidRPr="00CB1755">
              <w:t>0.23</w:t>
            </w:r>
          </w:p>
        </w:tc>
        <w:tc>
          <w:tcPr>
            <w:tcW w:w="1099" w:type="dxa"/>
            <w:tcBorders>
              <w:top w:val="nil"/>
              <w:left w:val="nil"/>
              <w:right w:val="nil"/>
            </w:tcBorders>
            <w:shd w:val="clear" w:color="auto" w:fill="auto"/>
            <w:noWrap/>
            <w:vAlign w:val="bottom"/>
            <w:hideMark/>
          </w:tcPr>
          <w:p w:rsidR="00A163F2" w:rsidRPr="00CB1755" w:rsidRDefault="00A163F2" w:rsidP="00EA2C01">
            <w:pPr>
              <w:pStyle w:val="TableBodyText"/>
            </w:pPr>
            <w:r w:rsidRPr="00CB1755">
              <w:t>7</w:t>
            </w:r>
          </w:p>
        </w:tc>
        <w:tc>
          <w:tcPr>
            <w:tcW w:w="244" w:type="dxa"/>
            <w:gridSpan w:val="2"/>
            <w:tcBorders>
              <w:top w:val="nil"/>
              <w:left w:val="nil"/>
              <w:right w:val="nil"/>
            </w:tcBorders>
          </w:tcPr>
          <w:p w:rsidR="00A163F2" w:rsidRPr="00CB1755" w:rsidRDefault="00A163F2" w:rsidP="00EA2C01">
            <w:pPr>
              <w:pStyle w:val="TableBodyText"/>
            </w:pPr>
          </w:p>
        </w:tc>
        <w:tc>
          <w:tcPr>
            <w:tcW w:w="936" w:type="dxa"/>
            <w:gridSpan w:val="2"/>
            <w:tcBorders>
              <w:top w:val="nil"/>
              <w:left w:val="nil"/>
              <w:right w:val="nil"/>
            </w:tcBorders>
            <w:shd w:val="clear" w:color="auto" w:fill="auto"/>
            <w:noWrap/>
            <w:vAlign w:val="bottom"/>
            <w:hideMark/>
          </w:tcPr>
          <w:p w:rsidR="00A163F2" w:rsidRPr="00CB1755" w:rsidRDefault="00A163F2" w:rsidP="00EA2C01">
            <w:pPr>
              <w:pStyle w:val="TableBodyText"/>
            </w:pPr>
            <w:r w:rsidRPr="00CB1755">
              <w:t>0.08</w:t>
            </w:r>
          </w:p>
        </w:tc>
        <w:tc>
          <w:tcPr>
            <w:tcW w:w="928" w:type="dxa"/>
            <w:tcBorders>
              <w:top w:val="nil"/>
              <w:left w:val="nil"/>
              <w:right w:val="nil"/>
            </w:tcBorders>
            <w:shd w:val="clear" w:color="auto" w:fill="auto"/>
            <w:noWrap/>
            <w:vAlign w:val="bottom"/>
            <w:hideMark/>
          </w:tcPr>
          <w:p w:rsidR="00A163F2" w:rsidRPr="00CB1755" w:rsidRDefault="00A163F2" w:rsidP="00EA2C01">
            <w:pPr>
              <w:pStyle w:val="TableBodyText"/>
            </w:pPr>
            <w:r w:rsidRPr="00CB1755">
              <w:t>3</w:t>
            </w:r>
          </w:p>
        </w:tc>
      </w:tr>
      <w:tr w:rsidR="00EA2C01" w:rsidRPr="00CB1755" w:rsidTr="008D36B1">
        <w:trPr>
          <w:trHeight w:val="300"/>
        </w:trPr>
        <w:tc>
          <w:tcPr>
            <w:tcW w:w="2041" w:type="dxa"/>
            <w:tcBorders>
              <w:top w:val="nil"/>
              <w:left w:val="nil"/>
              <w:bottom w:val="single" w:sz="4" w:space="0" w:color="auto"/>
              <w:right w:val="nil"/>
            </w:tcBorders>
            <w:shd w:val="clear" w:color="auto" w:fill="auto"/>
            <w:noWrap/>
            <w:vAlign w:val="bottom"/>
            <w:hideMark/>
          </w:tcPr>
          <w:p w:rsidR="00A163F2" w:rsidRPr="00CB1755" w:rsidRDefault="00A163F2" w:rsidP="00EA2C01">
            <w:pPr>
              <w:pStyle w:val="TableBodyText"/>
              <w:jc w:val="left"/>
            </w:pPr>
            <w:r w:rsidRPr="00CB1755">
              <w:t xml:space="preserve">Market sector </w:t>
            </w:r>
            <w:r w:rsidR="003D415A">
              <w:t>12</w:t>
            </w:r>
          </w:p>
        </w:tc>
        <w:tc>
          <w:tcPr>
            <w:tcW w:w="1099" w:type="dxa"/>
            <w:tcBorders>
              <w:top w:val="nil"/>
              <w:left w:val="nil"/>
              <w:bottom w:val="single" w:sz="4" w:space="0" w:color="auto"/>
              <w:right w:val="nil"/>
            </w:tcBorders>
            <w:shd w:val="clear" w:color="auto" w:fill="auto"/>
            <w:noWrap/>
            <w:vAlign w:val="bottom"/>
            <w:hideMark/>
          </w:tcPr>
          <w:p w:rsidR="00A163F2" w:rsidRPr="00CB1755" w:rsidRDefault="00A163F2" w:rsidP="00EA2C01">
            <w:pPr>
              <w:pStyle w:val="TableBodyText"/>
            </w:pPr>
            <w:r w:rsidRPr="00CB1755">
              <w:t>1.1</w:t>
            </w:r>
          </w:p>
        </w:tc>
        <w:tc>
          <w:tcPr>
            <w:tcW w:w="1099" w:type="dxa"/>
            <w:tcBorders>
              <w:top w:val="nil"/>
              <w:left w:val="nil"/>
              <w:bottom w:val="single" w:sz="4" w:space="0" w:color="auto"/>
              <w:right w:val="nil"/>
            </w:tcBorders>
            <w:shd w:val="clear" w:color="auto" w:fill="auto"/>
            <w:noWrap/>
            <w:vAlign w:val="bottom"/>
            <w:hideMark/>
          </w:tcPr>
          <w:p w:rsidR="00A163F2" w:rsidRPr="00CB1755" w:rsidRDefault="00A163F2" w:rsidP="00EA2C01">
            <w:pPr>
              <w:pStyle w:val="TableBodyText"/>
            </w:pPr>
            <w:r w:rsidRPr="00CB1755">
              <w:t>100</w:t>
            </w:r>
          </w:p>
        </w:tc>
        <w:tc>
          <w:tcPr>
            <w:tcW w:w="244" w:type="dxa"/>
            <w:tcBorders>
              <w:top w:val="nil"/>
              <w:left w:val="nil"/>
              <w:bottom w:val="single" w:sz="4" w:space="0" w:color="auto"/>
              <w:right w:val="nil"/>
            </w:tcBorders>
          </w:tcPr>
          <w:p w:rsidR="00A163F2" w:rsidRPr="00CB1755" w:rsidRDefault="00A163F2" w:rsidP="00EA2C01">
            <w:pPr>
              <w:pStyle w:val="TableBodyText"/>
            </w:pPr>
          </w:p>
        </w:tc>
        <w:tc>
          <w:tcPr>
            <w:tcW w:w="1099" w:type="dxa"/>
            <w:tcBorders>
              <w:top w:val="nil"/>
              <w:left w:val="nil"/>
              <w:bottom w:val="single" w:sz="4" w:space="0" w:color="auto"/>
              <w:right w:val="nil"/>
            </w:tcBorders>
            <w:shd w:val="clear" w:color="auto" w:fill="auto"/>
            <w:noWrap/>
            <w:vAlign w:val="bottom"/>
            <w:hideMark/>
          </w:tcPr>
          <w:p w:rsidR="00A163F2" w:rsidRPr="00CB1755" w:rsidRDefault="00A163F2" w:rsidP="00EA2C01">
            <w:pPr>
              <w:pStyle w:val="TableBodyText"/>
            </w:pPr>
            <w:r w:rsidRPr="00CB1755">
              <w:t>3.4</w:t>
            </w:r>
          </w:p>
        </w:tc>
        <w:tc>
          <w:tcPr>
            <w:tcW w:w="1099" w:type="dxa"/>
            <w:tcBorders>
              <w:top w:val="nil"/>
              <w:left w:val="nil"/>
              <w:bottom w:val="single" w:sz="4" w:space="0" w:color="auto"/>
              <w:right w:val="nil"/>
            </w:tcBorders>
            <w:shd w:val="clear" w:color="auto" w:fill="auto"/>
            <w:noWrap/>
            <w:vAlign w:val="bottom"/>
            <w:hideMark/>
          </w:tcPr>
          <w:p w:rsidR="00A163F2" w:rsidRPr="00CB1755" w:rsidRDefault="00A163F2" w:rsidP="00EA2C01">
            <w:pPr>
              <w:pStyle w:val="TableBodyText"/>
            </w:pPr>
            <w:r w:rsidRPr="00CB1755">
              <w:t>100</w:t>
            </w:r>
          </w:p>
        </w:tc>
        <w:tc>
          <w:tcPr>
            <w:tcW w:w="244" w:type="dxa"/>
            <w:gridSpan w:val="2"/>
            <w:tcBorders>
              <w:top w:val="nil"/>
              <w:left w:val="nil"/>
              <w:bottom w:val="single" w:sz="4" w:space="0" w:color="auto"/>
              <w:right w:val="nil"/>
            </w:tcBorders>
          </w:tcPr>
          <w:p w:rsidR="00A163F2" w:rsidRPr="00CB1755" w:rsidRDefault="00A163F2" w:rsidP="00EA2C01">
            <w:pPr>
              <w:pStyle w:val="TableBodyText"/>
            </w:pPr>
          </w:p>
        </w:tc>
        <w:tc>
          <w:tcPr>
            <w:tcW w:w="936" w:type="dxa"/>
            <w:gridSpan w:val="2"/>
            <w:tcBorders>
              <w:top w:val="nil"/>
              <w:left w:val="nil"/>
              <w:bottom w:val="single" w:sz="4" w:space="0" w:color="auto"/>
              <w:right w:val="nil"/>
            </w:tcBorders>
            <w:shd w:val="clear" w:color="auto" w:fill="auto"/>
            <w:noWrap/>
            <w:vAlign w:val="bottom"/>
            <w:hideMark/>
          </w:tcPr>
          <w:p w:rsidR="00A163F2" w:rsidRPr="00CB1755" w:rsidRDefault="00A163F2" w:rsidP="00EA2C01">
            <w:pPr>
              <w:pStyle w:val="TableBodyText"/>
            </w:pPr>
            <w:r w:rsidRPr="00CB1755">
              <w:t>2.3</w:t>
            </w:r>
          </w:p>
        </w:tc>
        <w:tc>
          <w:tcPr>
            <w:tcW w:w="928" w:type="dxa"/>
            <w:tcBorders>
              <w:top w:val="nil"/>
              <w:left w:val="nil"/>
              <w:bottom w:val="single" w:sz="4" w:space="0" w:color="auto"/>
              <w:right w:val="nil"/>
            </w:tcBorders>
            <w:shd w:val="clear" w:color="auto" w:fill="auto"/>
            <w:noWrap/>
            <w:vAlign w:val="bottom"/>
            <w:hideMark/>
          </w:tcPr>
          <w:p w:rsidR="00A163F2" w:rsidRPr="00CB1755" w:rsidRDefault="00A163F2" w:rsidP="00EA2C01">
            <w:pPr>
              <w:pStyle w:val="TableBodyText"/>
            </w:pPr>
            <w:r w:rsidRPr="00CB1755">
              <w:t>100</w:t>
            </w:r>
          </w:p>
        </w:tc>
      </w:tr>
    </w:tbl>
    <w:p w:rsidR="00CD4A9D" w:rsidRDefault="00CD4A9D" w:rsidP="00CD4A9D">
      <w:pPr>
        <w:pStyle w:val="Source"/>
      </w:pPr>
      <w:r>
        <w:rPr>
          <w:i/>
        </w:rPr>
        <w:t>Source</w:t>
      </w:r>
      <w:r w:rsidRPr="00167F06">
        <w:t>:</w:t>
      </w:r>
      <w:r>
        <w:t xml:space="preserve"> Author’s estimates</w:t>
      </w:r>
      <w:r w:rsidRPr="00167F06">
        <w:t xml:space="preserve"> </w:t>
      </w:r>
      <w:r>
        <w:t xml:space="preserve">based on ABS </w:t>
      </w:r>
      <w:r w:rsidR="008A50E2">
        <w:t>(</w:t>
      </w:r>
      <w:r>
        <w:t>Cat</w:t>
      </w:r>
      <w:r w:rsidR="003D415A">
        <w:t>. n</w:t>
      </w:r>
      <w:r>
        <w:t>o</w:t>
      </w:r>
      <w:r w:rsidR="003D415A">
        <w:t>.</w:t>
      </w:r>
      <w:r>
        <w:t xml:space="preserve"> 5260.0550.02</w:t>
      </w:r>
      <w:r w:rsidR="008A50E2">
        <w:t>)</w:t>
      </w:r>
      <w:r>
        <w:t>.</w:t>
      </w:r>
    </w:p>
    <w:p w:rsidR="003B6823" w:rsidRPr="00A87D61" w:rsidRDefault="00FA5355" w:rsidP="003B6823">
      <w:pPr>
        <w:pStyle w:val="FigureTitle"/>
        <w:rPr>
          <w:b w:val="0"/>
        </w:rPr>
      </w:pPr>
      <w:r>
        <w:rPr>
          <w:b w:val="0"/>
        </w:rPr>
        <w:t xml:space="preserve">Figure </w:t>
      </w:r>
      <w:r>
        <w:rPr>
          <w:b w:val="0"/>
        </w:rPr>
        <w:fldChar w:fldCharType="begin"/>
      </w:r>
      <w:r>
        <w:rPr>
          <w:b w:val="0"/>
        </w:rPr>
        <w:instrText xml:space="preserve"> COMMENTS  \* MERGEFORMAT </w:instrText>
      </w:r>
      <w:r>
        <w:rPr>
          <w:b w:val="0"/>
        </w:rPr>
        <w:fldChar w:fldCharType="separate"/>
      </w:r>
      <w:r w:rsidR="008A50E2">
        <w:rPr>
          <w:b w:val="0"/>
        </w:rPr>
        <w:t>6.</w:t>
      </w:r>
      <w:r>
        <w:rPr>
          <w:b w:val="0"/>
        </w:rPr>
        <w:fldChar w:fldCharType="end"/>
      </w:r>
      <w:r>
        <w:rPr>
          <w:b w:val="0"/>
        </w:rPr>
        <w:fldChar w:fldCharType="begin"/>
      </w:r>
      <w:r>
        <w:rPr>
          <w:b w:val="0"/>
        </w:rPr>
        <w:instrText xml:space="preserve"> SEQ Figure \* ARABIC </w:instrText>
      </w:r>
      <w:r>
        <w:rPr>
          <w:b w:val="0"/>
        </w:rPr>
        <w:fldChar w:fldCharType="separate"/>
      </w:r>
      <w:r w:rsidR="009E7788">
        <w:rPr>
          <w:b w:val="0"/>
          <w:noProof/>
        </w:rPr>
        <w:t>3</w:t>
      </w:r>
      <w:r>
        <w:rPr>
          <w:b w:val="0"/>
        </w:rPr>
        <w:fldChar w:fldCharType="end"/>
      </w:r>
      <w:r w:rsidR="003B6823">
        <w:tab/>
        <w:t xml:space="preserve">Industry contributions to growth in </w:t>
      </w:r>
      <w:r w:rsidR="003D415A">
        <w:t>product</w:t>
      </w:r>
      <w:r w:rsidR="003B6823">
        <w:t xml:space="preserve"> prices in the </w:t>
      </w:r>
      <w:proofErr w:type="spellStart"/>
      <w:r w:rsidR="003B6823">
        <w:t>1990s</w:t>
      </w:r>
      <w:proofErr w:type="spellEnd"/>
      <w:r w:rsidR="003B6823">
        <w:t xml:space="preserve"> and the </w:t>
      </w:r>
      <w:proofErr w:type="spellStart"/>
      <w:r w:rsidR="003B6823">
        <w:t>2000s</w:t>
      </w:r>
      <w:proofErr w:type="spellEnd"/>
      <w:r w:rsidR="003B6823" w:rsidRPr="003E1559">
        <w:rPr>
          <w:rStyle w:val="NoteLabel"/>
        </w:rPr>
        <w:t>a</w:t>
      </w:r>
    </w:p>
    <w:p w:rsidR="003B6823" w:rsidRDefault="003B6823" w:rsidP="003B6823">
      <w:pPr>
        <w:pStyle w:val="Subtitle"/>
      </w:pPr>
      <w:r>
        <w:t>percentage points</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3B6823" w:rsidTr="00CB1755">
        <w:tc>
          <w:tcPr>
            <w:tcW w:w="8777" w:type="dxa"/>
          </w:tcPr>
          <w:p w:rsidR="003B6823" w:rsidRDefault="0046717B" w:rsidP="00B06E0C">
            <w:pPr>
              <w:pStyle w:val="Figure"/>
              <w:spacing w:before="0" w:after="0"/>
            </w:pPr>
            <w:r>
              <w:rPr>
                <w:noProof/>
              </w:rPr>
              <w:drawing>
                <wp:inline distT="0" distB="0" distL="0" distR="0">
                  <wp:extent cx="4943475" cy="2924175"/>
                  <wp:effectExtent l="0" t="0" r="9525" b="9525"/>
                  <wp:docPr id="7" name="Picture 7" descr="Industry contributions to growth in product prices in the 1990s and the 2000s. This figure shows that Mining greatly increased its contribution to growth in product prices in the 2000s. Construction showed the next highest increase in contrib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43475" cy="2924175"/>
                          </a:xfrm>
                          <a:prstGeom prst="rect">
                            <a:avLst/>
                          </a:prstGeom>
                          <a:noFill/>
                          <a:ln>
                            <a:noFill/>
                          </a:ln>
                        </pic:spPr>
                      </pic:pic>
                    </a:graphicData>
                  </a:graphic>
                </wp:inline>
              </w:drawing>
            </w:r>
          </w:p>
        </w:tc>
      </w:tr>
    </w:tbl>
    <w:p w:rsidR="00CB1755" w:rsidRDefault="00CB1755" w:rsidP="00CB1755">
      <w:pPr>
        <w:pStyle w:val="Note"/>
      </w:pPr>
      <w:r>
        <w:rPr>
          <w:rStyle w:val="NoteLabel"/>
        </w:rPr>
        <w:t>a</w:t>
      </w:r>
      <w:r>
        <w:t xml:space="preserve"> 1999-00 to 2009-10.</w:t>
      </w:r>
    </w:p>
    <w:p w:rsidR="00CD4A9D" w:rsidRDefault="003D415A" w:rsidP="00CD4A9D">
      <w:pPr>
        <w:pStyle w:val="Source"/>
      </w:pPr>
      <w:r>
        <w:rPr>
          <w:i/>
        </w:rPr>
        <w:t>Data s</w:t>
      </w:r>
      <w:r w:rsidR="00CD4A9D">
        <w:rPr>
          <w:i/>
        </w:rPr>
        <w:t>ource</w:t>
      </w:r>
      <w:r w:rsidR="00CD4A9D" w:rsidRPr="00167F06">
        <w:t>:</w:t>
      </w:r>
      <w:r w:rsidR="00CD4A9D">
        <w:t xml:space="preserve"> Author’s estimates</w:t>
      </w:r>
      <w:r w:rsidR="00CD4A9D" w:rsidRPr="00167F06">
        <w:t xml:space="preserve"> </w:t>
      </w:r>
      <w:r w:rsidR="00CD4A9D">
        <w:t xml:space="preserve">based on ABS </w:t>
      </w:r>
      <w:r w:rsidR="008A50E2">
        <w:t>(</w:t>
      </w:r>
      <w:r w:rsidR="00CD4A9D">
        <w:t>Cat</w:t>
      </w:r>
      <w:r>
        <w:t>. n</w:t>
      </w:r>
      <w:r w:rsidR="00CD4A9D">
        <w:t>o</w:t>
      </w:r>
      <w:r>
        <w:t>.</w:t>
      </w:r>
      <w:r w:rsidR="00CD4A9D">
        <w:t xml:space="preserve"> 5260.0550.02</w:t>
      </w:r>
      <w:r w:rsidR="008A50E2">
        <w:t>)</w:t>
      </w:r>
      <w:r w:rsidR="00CD4A9D">
        <w:t>.</w:t>
      </w:r>
    </w:p>
    <w:p w:rsidR="009E1844" w:rsidRDefault="006714E1" w:rsidP="007E4B30">
      <w:pPr>
        <w:pStyle w:val="Heading2"/>
      </w:pPr>
      <w:r>
        <w:lastRenderedPageBreak/>
        <w:fldChar w:fldCharType="begin"/>
      </w:r>
      <w:r>
        <w:instrText xml:space="preserve"> COMMENTS  \* MERGEFORMAT </w:instrText>
      </w:r>
      <w:r>
        <w:fldChar w:fldCharType="separate"/>
      </w:r>
      <w:r w:rsidR="008A50E2">
        <w:t>6.</w:t>
      </w:r>
      <w:r>
        <w:fldChar w:fldCharType="end"/>
      </w:r>
      <w:r>
        <w:fldChar w:fldCharType="begin"/>
      </w:r>
      <w:r>
        <w:instrText xml:space="preserve"> SEQ Heading2 </w:instrText>
      </w:r>
      <w:r>
        <w:fldChar w:fldCharType="separate"/>
      </w:r>
      <w:r w:rsidR="009E7788">
        <w:rPr>
          <w:noProof/>
        </w:rPr>
        <w:t>4</w:t>
      </w:r>
      <w:r>
        <w:rPr>
          <w:noProof/>
        </w:rPr>
        <w:fldChar w:fldCharType="end"/>
      </w:r>
      <w:r w:rsidR="00FA5355">
        <w:tab/>
      </w:r>
      <w:r w:rsidR="00A87D61">
        <w:t>Key point s</w:t>
      </w:r>
      <w:r w:rsidR="00AE2839">
        <w:t>ummar</w:t>
      </w:r>
      <w:r w:rsidR="00CC6990">
        <w:t xml:space="preserve">y </w:t>
      </w:r>
    </w:p>
    <w:p w:rsidR="004D0DA9" w:rsidRDefault="004D0DA9" w:rsidP="00612898">
      <w:pPr>
        <w:pStyle w:val="ListBullet"/>
      </w:pPr>
      <w:r>
        <w:t>There are some data measurement issues that caution against taking the findings as being precise.</w:t>
      </w:r>
    </w:p>
    <w:p w:rsidR="00A05800" w:rsidRDefault="004D0DA9" w:rsidP="00612898">
      <w:pPr>
        <w:pStyle w:val="ListBullet"/>
      </w:pPr>
      <w:r>
        <w:t>Nevertheless, t</w:t>
      </w:r>
      <w:r w:rsidR="00461FF4">
        <w:t>he</w:t>
      </w:r>
      <w:r w:rsidR="003F37EA">
        <w:t xml:space="preserve"> mining boom</w:t>
      </w:r>
      <w:r w:rsidR="00FC0EC3">
        <w:t xml:space="preserve">, and specifically the mining industry, </w:t>
      </w:r>
      <w:r>
        <w:t xml:space="preserve">were </w:t>
      </w:r>
      <w:r w:rsidR="00A05800">
        <w:t>the principal drivers</w:t>
      </w:r>
      <w:r w:rsidR="00461FF4">
        <w:t xml:space="preserve"> of the fall in the </w:t>
      </w:r>
      <w:proofErr w:type="spellStart"/>
      <w:r w:rsidR="003D415A">
        <w:t>LIS</w:t>
      </w:r>
      <w:proofErr w:type="spellEnd"/>
      <w:r w:rsidR="00461FF4">
        <w:t>, according to the analys</w:t>
      </w:r>
      <w:r w:rsidR="00EE45E8">
        <w:t>i</w:t>
      </w:r>
      <w:r w:rsidR="00461FF4">
        <w:t>s in this chapter</w:t>
      </w:r>
      <w:r w:rsidR="003F37EA">
        <w:t xml:space="preserve">. </w:t>
      </w:r>
    </w:p>
    <w:p w:rsidR="00A05800" w:rsidRDefault="00A05800" w:rsidP="00612898">
      <w:pPr>
        <w:pStyle w:val="ListBullet2"/>
      </w:pPr>
      <w:r>
        <w:t xml:space="preserve">From both the ‘quantity and price’ and ‘productivity and cost’ points of view, Mining alone accounted for more than the entire changes associated with the fall in market sector </w:t>
      </w:r>
      <w:proofErr w:type="spellStart"/>
      <w:r w:rsidR="003D415A">
        <w:t>LIS</w:t>
      </w:r>
      <w:proofErr w:type="spellEnd"/>
      <w:r>
        <w:t>.</w:t>
      </w:r>
    </w:p>
    <w:p w:rsidR="00612898" w:rsidRDefault="00612898" w:rsidP="00612898">
      <w:pPr>
        <w:pStyle w:val="ListBullet2"/>
      </w:pPr>
      <w:r>
        <w:t>Mining was not assisted in this role by the other two industries most affected by the mining boom.</w:t>
      </w:r>
      <w:r w:rsidR="00A05800">
        <w:t xml:space="preserve"> Construction and Manufacturing worked in the direction of </w:t>
      </w:r>
      <w:r>
        <w:t xml:space="preserve">increasing the </w:t>
      </w:r>
      <w:proofErr w:type="spellStart"/>
      <w:r w:rsidR="003D415A">
        <w:t>LIS</w:t>
      </w:r>
      <w:proofErr w:type="spellEnd"/>
      <w:r>
        <w:t>.</w:t>
      </w:r>
    </w:p>
    <w:p w:rsidR="00612898" w:rsidRDefault="00612898" w:rsidP="00612898">
      <w:pPr>
        <w:pStyle w:val="ListBullet"/>
      </w:pPr>
      <w:r>
        <w:t xml:space="preserve">The same set of ‘second tier’ contributors to the fall in </w:t>
      </w:r>
      <w:proofErr w:type="spellStart"/>
      <w:r w:rsidR="003D415A">
        <w:t>LIS</w:t>
      </w:r>
      <w:proofErr w:type="spellEnd"/>
      <w:r>
        <w:t xml:space="preserve"> were observed.</w:t>
      </w:r>
    </w:p>
    <w:p w:rsidR="00612898" w:rsidRDefault="00612898" w:rsidP="00612898">
      <w:pPr>
        <w:pStyle w:val="ListBullet2"/>
      </w:pPr>
      <w:r>
        <w:t xml:space="preserve">Telecoms, Agriculture, Finance and the Utilities. </w:t>
      </w:r>
    </w:p>
    <w:p w:rsidR="00612898" w:rsidRDefault="00612898" w:rsidP="002F7AB5">
      <w:pPr>
        <w:pStyle w:val="ListBullet"/>
      </w:pPr>
      <w:r>
        <w:t xml:space="preserve">Mining had a profound effect on the </w:t>
      </w:r>
      <w:r w:rsidR="00DC0EDC">
        <w:t xml:space="preserve">Market </w:t>
      </w:r>
      <w:r>
        <w:t xml:space="preserve">sector </w:t>
      </w:r>
      <w:proofErr w:type="spellStart"/>
      <w:r w:rsidR="003D415A">
        <w:t>LIS</w:t>
      </w:r>
      <w:proofErr w:type="spellEnd"/>
      <w:r>
        <w:t xml:space="preserve"> through: </w:t>
      </w:r>
    </w:p>
    <w:p w:rsidR="00612898" w:rsidRDefault="003D415A" w:rsidP="002F7AB5">
      <w:pPr>
        <w:pStyle w:val="ListBullet2"/>
      </w:pPr>
      <w:r>
        <w:t>growth in its capital stock</w:t>
      </w:r>
    </w:p>
    <w:p w:rsidR="00612898" w:rsidRDefault="00612898" w:rsidP="002F7AB5">
      <w:pPr>
        <w:pStyle w:val="ListBullet3"/>
      </w:pPr>
      <w:r>
        <w:t xml:space="preserve">it also contributed </w:t>
      </w:r>
      <w:r w:rsidR="003549FD">
        <w:t xml:space="preserve">to </w:t>
      </w:r>
      <w:r>
        <w:t>relatively strong growth in the rate of return, but this was offset by relatively strong growth in wage</w:t>
      </w:r>
      <w:r w:rsidR="0060171F">
        <w:t xml:space="preserve"> contributions</w:t>
      </w:r>
      <w:r>
        <w:t xml:space="preserve"> in other industries</w:t>
      </w:r>
      <w:r w:rsidR="001E62D4">
        <w:t xml:space="preserve"> </w:t>
      </w:r>
      <w:r w:rsidR="0060171F">
        <w:t>(relative to their rate of return contributions)</w:t>
      </w:r>
    </w:p>
    <w:p w:rsidR="002F7AB5" w:rsidRDefault="002F7AB5" w:rsidP="002F7AB5">
      <w:pPr>
        <w:pStyle w:val="ListBullet2"/>
      </w:pPr>
      <w:r>
        <w:t>its negative effect on the real product wage</w:t>
      </w:r>
    </w:p>
    <w:p w:rsidR="002F7AB5" w:rsidRDefault="002F7AB5" w:rsidP="002F7AB5">
      <w:pPr>
        <w:pStyle w:val="ListBullet2"/>
      </w:pPr>
      <w:r>
        <w:t>its role in lifting product price inflation, which was the main factor holding back growth in the real product wage.</w:t>
      </w:r>
    </w:p>
    <w:p w:rsidR="002F7AB5" w:rsidRDefault="002F7AB5" w:rsidP="00AC2EA6">
      <w:pPr>
        <w:pStyle w:val="ListBullet"/>
      </w:pPr>
      <w:r>
        <w:t>It would seem, at first glance, that Construction may have captured some of the rents from mining.</w:t>
      </w:r>
    </w:p>
    <w:p w:rsidR="00AC2EA6" w:rsidRDefault="002F7AB5" w:rsidP="00AC2EA6">
      <w:pPr>
        <w:pStyle w:val="ListBullet2"/>
      </w:pPr>
      <w:r>
        <w:t>It further appears that labour captured more of the rents than capital</w:t>
      </w:r>
      <w:r w:rsidR="00AC2EA6">
        <w:t xml:space="preserve">, and so the sector had a positive effect on the </w:t>
      </w:r>
      <w:proofErr w:type="spellStart"/>
      <w:r w:rsidR="003D415A">
        <w:t>LIS</w:t>
      </w:r>
      <w:proofErr w:type="spellEnd"/>
      <w:r w:rsidR="00AC2EA6">
        <w:t>.</w:t>
      </w:r>
    </w:p>
    <w:p w:rsidR="00AC2EA6" w:rsidRDefault="00AC2EA6" w:rsidP="00AC2EA6">
      <w:pPr>
        <w:pStyle w:val="ListBullet"/>
      </w:pPr>
      <w:r>
        <w:t xml:space="preserve">Manufacturing had a positive effect on the </w:t>
      </w:r>
      <w:proofErr w:type="spellStart"/>
      <w:r w:rsidR="003D415A">
        <w:t>LIS</w:t>
      </w:r>
      <w:proofErr w:type="spellEnd"/>
      <w:r w:rsidR="003D415A">
        <w:t xml:space="preserve"> </w:t>
      </w:r>
      <w:r>
        <w:t>because capital bore more of the adjustment than labour.</w:t>
      </w:r>
    </w:p>
    <w:p w:rsidR="00AC2EA6" w:rsidRDefault="00AC2EA6" w:rsidP="00AC2EA6">
      <w:pPr>
        <w:pStyle w:val="ListBullet2"/>
      </w:pPr>
      <w:r>
        <w:t>There was downward adjustment in employment but not wages, which may be because wages are determined by broader conditions than those facing the industry itself.</w:t>
      </w:r>
    </w:p>
    <w:sectPr w:rsidR="00AC2EA6" w:rsidSect="008A50E2">
      <w:headerReference w:type="even" r:id="rId12"/>
      <w:headerReference w:type="default" r:id="rId13"/>
      <w:footerReference w:type="even" r:id="rId14"/>
      <w:footerReference w:type="default" r:id="rId15"/>
      <w:pgSz w:w="11907" w:h="16840" w:code="9"/>
      <w:pgMar w:top="1985" w:right="1304" w:bottom="1418" w:left="1814" w:header="1701" w:footer="567" w:gutter="0"/>
      <w:pgNumType w:start="85"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85B" w:rsidRDefault="0092285B">
      <w:r>
        <w:separator/>
      </w:r>
    </w:p>
  </w:endnote>
  <w:endnote w:type="continuationSeparator" w:id="0">
    <w:p w:rsidR="0092285B" w:rsidRDefault="00922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92285B">
      <w:trPr>
        <w:trHeight w:hRule="exact" w:val="740"/>
      </w:trPr>
      <w:tc>
        <w:tcPr>
          <w:tcW w:w="510" w:type="dxa"/>
          <w:tcBorders>
            <w:top w:val="single" w:sz="6" w:space="0" w:color="auto"/>
          </w:tcBorders>
        </w:tcPr>
        <w:p w:rsidR="0092285B" w:rsidRDefault="0092285B" w:rsidP="008A50E2">
          <w:pPr>
            <w:pStyle w:val="Footer"/>
            <w:tabs>
              <w:tab w:val="left" w:pos="0"/>
            </w:tabs>
            <w:ind w:right="0"/>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6714E1">
            <w:rPr>
              <w:rStyle w:val="PageNumber"/>
              <w:noProof/>
            </w:rPr>
            <w:t>94</w:t>
          </w:r>
          <w:r>
            <w:rPr>
              <w:rStyle w:val="PageNumber"/>
            </w:rPr>
            <w:fldChar w:fldCharType="end"/>
          </w:r>
        </w:p>
      </w:tc>
      <w:tc>
        <w:tcPr>
          <w:tcW w:w="1644" w:type="dxa"/>
          <w:tcBorders>
            <w:top w:val="single" w:sz="6" w:space="0" w:color="auto"/>
          </w:tcBorders>
        </w:tcPr>
        <w:p w:rsidR="0092285B" w:rsidRDefault="006714E1" w:rsidP="0019293B">
          <w:pPr>
            <w:pStyle w:val="Footer"/>
          </w:pPr>
          <w:r>
            <w:fldChar w:fldCharType="begin"/>
          </w:r>
          <w:r>
            <w:instrText xml:space="preserve"> SUBJECT  \* MERGEFORMAT </w:instrText>
          </w:r>
          <w:r>
            <w:fldChar w:fldCharType="separate"/>
          </w:r>
          <w:r w:rsidR="009E7788">
            <w:t>Labour's share of growth in income and prosperity</w:t>
          </w:r>
          <w:r>
            <w:fldChar w:fldCharType="end"/>
          </w:r>
        </w:p>
      </w:tc>
      <w:tc>
        <w:tcPr>
          <w:tcW w:w="6634" w:type="dxa"/>
        </w:tcPr>
        <w:p w:rsidR="0092285B" w:rsidRDefault="0092285B" w:rsidP="0019293B">
          <w:pPr>
            <w:pStyle w:val="Footer"/>
          </w:pPr>
        </w:p>
      </w:tc>
    </w:tr>
  </w:tbl>
  <w:p w:rsidR="0092285B" w:rsidRDefault="0092285B"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92285B">
      <w:trPr>
        <w:trHeight w:hRule="exact" w:val="740"/>
      </w:trPr>
      <w:tc>
        <w:tcPr>
          <w:tcW w:w="6634" w:type="dxa"/>
        </w:tcPr>
        <w:p w:rsidR="0092285B" w:rsidRDefault="0092285B">
          <w:pPr>
            <w:pStyle w:val="Footer"/>
            <w:ind w:right="360" w:firstLine="360"/>
          </w:pPr>
        </w:p>
      </w:tc>
      <w:tc>
        <w:tcPr>
          <w:tcW w:w="1644" w:type="dxa"/>
          <w:tcBorders>
            <w:top w:val="single" w:sz="6" w:space="0" w:color="auto"/>
          </w:tcBorders>
        </w:tcPr>
        <w:p w:rsidR="0092285B" w:rsidRDefault="006714E1">
          <w:pPr>
            <w:pStyle w:val="Footer"/>
          </w:pPr>
          <w:r>
            <w:fldChar w:fldCharType="begin"/>
          </w:r>
          <w:r>
            <w:instrText xml:space="preserve"> TITLE  \* MERGEFORMAT </w:instrText>
          </w:r>
          <w:r>
            <w:fldChar w:fldCharType="separate"/>
          </w:r>
          <w:r w:rsidR="009E7788">
            <w:t>Other industry contributions</w:t>
          </w:r>
          <w:r>
            <w:fldChar w:fldCharType="end"/>
          </w:r>
        </w:p>
      </w:tc>
      <w:tc>
        <w:tcPr>
          <w:tcW w:w="510" w:type="dxa"/>
          <w:tcBorders>
            <w:top w:val="single" w:sz="6" w:space="0" w:color="auto"/>
          </w:tcBorders>
        </w:tcPr>
        <w:p w:rsidR="0092285B" w:rsidRDefault="0092285B">
          <w:pPr>
            <w:pStyle w:val="Footer"/>
            <w:jc w:val="right"/>
          </w:pPr>
          <w:r>
            <w:rPr>
              <w:rStyle w:val="PageNumber"/>
            </w:rPr>
            <w:fldChar w:fldCharType="begin"/>
          </w:r>
          <w:r>
            <w:rPr>
              <w:rStyle w:val="PageNumber"/>
            </w:rPr>
            <w:instrText xml:space="preserve">PAGE  </w:instrText>
          </w:r>
          <w:r>
            <w:rPr>
              <w:rStyle w:val="PageNumber"/>
            </w:rPr>
            <w:fldChar w:fldCharType="separate"/>
          </w:r>
          <w:r w:rsidR="006714E1">
            <w:rPr>
              <w:rStyle w:val="PageNumber"/>
              <w:noProof/>
            </w:rPr>
            <w:t>85</w:t>
          </w:r>
          <w:r>
            <w:rPr>
              <w:rStyle w:val="PageNumber"/>
            </w:rPr>
            <w:fldChar w:fldCharType="end"/>
          </w:r>
        </w:p>
      </w:tc>
    </w:tr>
  </w:tbl>
  <w:p w:rsidR="0092285B" w:rsidRDefault="0092285B">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85B" w:rsidRDefault="0092285B">
      <w:r>
        <w:separator/>
      </w:r>
    </w:p>
  </w:footnote>
  <w:footnote w:type="continuationSeparator" w:id="0">
    <w:p w:rsidR="0092285B" w:rsidRDefault="0092285B">
      <w:r>
        <w:continuationSeparator/>
      </w:r>
    </w:p>
  </w:footnote>
  <w:footnote w:id="1">
    <w:p w:rsidR="0092285B" w:rsidRDefault="0092285B">
      <w:pPr>
        <w:pStyle w:val="FootnoteText"/>
      </w:pPr>
      <w:r>
        <w:rPr>
          <w:rStyle w:val="FootnoteReference"/>
        </w:rPr>
        <w:footnoteRef/>
      </w:r>
      <w:r>
        <w:tab/>
        <w:t>As discussed in chapter 3, the ‘wage’ is the cost of labour to the industry. It will vary across industries with the skill mix of employees as well as any variations in labour on-costs. It will also vary with the utilisation rate of labour employed in the industry. As a result of these factors there can be substantial variations in the real wage (cost of labour) across industries.</w:t>
      </w:r>
    </w:p>
  </w:footnote>
  <w:footnote w:id="2">
    <w:p w:rsidR="0092285B" w:rsidRDefault="0092285B">
      <w:pPr>
        <w:pStyle w:val="FootnoteText"/>
      </w:pPr>
      <w:r>
        <w:rPr>
          <w:rStyle w:val="FootnoteReference"/>
        </w:rPr>
        <w:footnoteRef/>
      </w:r>
      <w:r>
        <w:tab/>
        <w:t xml:space="preserve">The entries are not a reliable indicator of the extent of an industry’s contribution to the fall in </w:t>
      </w:r>
      <w:proofErr w:type="spellStart"/>
      <w:r>
        <w:t>LIS</w:t>
      </w:r>
      <w:proofErr w:type="spellEnd"/>
      <w:r>
        <w:t xml:space="preserve"> because the gap in growth between the reward ratio and factor proportions is equal to the growth in the </w:t>
      </w:r>
      <w:proofErr w:type="spellStart"/>
      <w:r>
        <w:t>LIS</w:t>
      </w:r>
      <w:proofErr w:type="spellEnd"/>
      <w:r>
        <w:t xml:space="preserve"> less the growth in the capital income share. </w:t>
      </w:r>
      <w:r w:rsidRPr="00FC0EC3">
        <w:t xml:space="preserve">See </w:t>
      </w:r>
      <w:r>
        <w:t>box 4.1 in chapter 4.</w:t>
      </w:r>
      <w:r w:rsidRPr="00E53C0F">
        <w:t xml:space="preserve"> </w:t>
      </w:r>
      <w:r>
        <w:t xml:space="preserve"> </w:t>
      </w:r>
    </w:p>
  </w:footnote>
  <w:footnote w:id="3">
    <w:p w:rsidR="0092285B" w:rsidRDefault="0092285B" w:rsidP="00034F22">
      <w:pPr>
        <w:pStyle w:val="FootnoteText"/>
      </w:pPr>
      <w:r>
        <w:rPr>
          <w:rStyle w:val="FootnoteReference"/>
        </w:rPr>
        <w:footnoteRef/>
      </w:r>
      <w:r>
        <w:tab/>
        <w:t>There is a small approximation or rounding error between the market sector growth gap reported here (</w:t>
      </w:r>
      <w:r>
        <w:noBreakHyphen/>
        <w:t>1.8 percentage points) and that reported in chapter 4 (</w:t>
      </w:r>
      <w:r>
        <w:noBreakHyphen/>
        <w:t>1.7 percentage points).</w:t>
      </w:r>
    </w:p>
  </w:footnote>
  <w:footnote w:id="4">
    <w:p w:rsidR="0092285B" w:rsidRDefault="0092285B" w:rsidP="008A580C">
      <w:pPr>
        <w:pStyle w:val="FootnoteText"/>
      </w:pPr>
      <w:r>
        <w:rPr>
          <w:rStyle w:val="FootnoteReference"/>
        </w:rPr>
        <w:footnoteRef/>
      </w:r>
      <w:r>
        <w:tab/>
        <w:t xml:space="preserve">Labour productivity declined within the industry in the </w:t>
      </w:r>
      <w:proofErr w:type="spellStart"/>
      <w:r>
        <w:t>2000s</w:t>
      </w:r>
      <w:proofErr w:type="spellEnd"/>
      <w:r>
        <w:t xml:space="preserve">. Nevertheless, it made a </w:t>
      </w:r>
      <w:r w:rsidR="000B1361">
        <w:t xml:space="preserve">stronger contribution to market </w:t>
      </w:r>
      <w:r>
        <w:t>sector outp</w:t>
      </w:r>
      <w:r w:rsidR="000B1361">
        <w:t xml:space="preserve">ut growth than it did to market </w:t>
      </w:r>
      <w:r>
        <w:t>sector labour growth.</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92285B">
      <w:tc>
        <w:tcPr>
          <w:tcW w:w="2155" w:type="dxa"/>
          <w:tcBorders>
            <w:top w:val="single" w:sz="24" w:space="0" w:color="auto"/>
          </w:tcBorders>
        </w:tcPr>
        <w:p w:rsidR="0092285B" w:rsidRDefault="0092285B" w:rsidP="0019293B">
          <w:pPr>
            <w:pStyle w:val="HeaderEven"/>
          </w:pPr>
        </w:p>
      </w:tc>
      <w:tc>
        <w:tcPr>
          <w:tcW w:w="6634" w:type="dxa"/>
          <w:tcBorders>
            <w:top w:val="single" w:sz="6" w:space="0" w:color="auto"/>
          </w:tcBorders>
        </w:tcPr>
        <w:p w:rsidR="0092285B" w:rsidRDefault="0092285B" w:rsidP="0019293B">
          <w:pPr>
            <w:pStyle w:val="HeaderEven"/>
          </w:pPr>
        </w:p>
      </w:tc>
    </w:tr>
  </w:tbl>
  <w:p w:rsidR="0092285B" w:rsidRDefault="0092285B"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2285B">
      <w:tc>
        <w:tcPr>
          <w:tcW w:w="6634" w:type="dxa"/>
          <w:tcBorders>
            <w:top w:val="single" w:sz="6" w:space="0" w:color="auto"/>
          </w:tcBorders>
        </w:tcPr>
        <w:p w:rsidR="0092285B" w:rsidRDefault="0092285B" w:rsidP="00E669E2">
          <w:pPr>
            <w:pStyle w:val="HeaderOdd"/>
          </w:pPr>
        </w:p>
      </w:tc>
      <w:tc>
        <w:tcPr>
          <w:tcW w:w="2155" w:type="dxa"/>
          <w:tcBorders>
            <w:top w:val="single" w:sz="24" w:space="0" w:color="auto"/>
          </w:tcBorders>
        </w:tcPr>
        <w:p w:rsidR="0092285B" w:rsidRDefault="0092285B" w:rsidP="00E669E2">
          <w:pPr>
            <w:pStyle w:val="HeaderOdd"/>
          </w:pPr>
        </w:p>
      </w:tc>
    </w:tr>
  </w:tbl>
  <w:p w:rsidR="0092285B" w:rsidRDefault="0092285B"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Other industry contributions"/>
    <w:docVar w:name="ShortReportTitle" w:val="Labour's share of growth in income and prosperity"/>
  </w:docVars>
  <w:rsids>
    <w:rsidRoot w:val="007E4B30"/>
    <w:rsid w:val="000045F2"/>
    <w:rsid w:val="00005531"/>
    <w:rsid w:val="000073D1"/>
    <w:rsid w:val="00017AA0"/>
    <w:rsid w:val="00020208"/>
    <w:rsid w:val="000227D5"/>
    <w:rsid w:val="000245AA"/>
    <w:rsid w:val="00034F22"/>
    <w:rsid w:val="0003664B"/>
    <w:rsid w:val="0004111F"/>
    <w:rsid w:val="00043757"/>
    <w:rsid w:val="000512D8"/>
    <w:rsid w:val="000565B3"/>
    <w:rsid w:val="000604E1"/>
    <w:rsid w:val="00061676"/>
    <w:rsid w:val="000642AD"/>
    <w:rsid w:val="0007150B"/>
    <w:rsid w:val="00075A82"/>
    <w:rsid w:val="00081173"/>
    <w:rsid w:val="00082121"/>
    <w:rsid w:val="00092E29"/>
    <w:rsid w:val="000938F5"/>
    <w:rsid w:val="000950BA"/>
    <w:rsid w:val="00096E55"/>
    <w:rsid w:val="000B099D"/>
    <w:rsid w:val="000B1361"/>
    <w:rsid w:val="000B2EB2"/>
    <w:rsid w:val="000B601B"/>
    <w:rsid w:val="000C207E"/>
    <w:rsid w:val="000C3361"/>
    <w:rsid w:val="000C4156"/>
    <w:rsid w:val="000C534A"/>
    <w:rsid w:val="000C63D0"/>
    <w:rsid w:val="000C6DFA"/>
    <w:rsid w:val="000D0E25"/>
    <w:rsid w:val="000D3D4F"/>
    <w:rsid w:val="000E01AE"/>
    <w:rsid w:val="000E03F9"/>
    <w:rsid w:val="000F0035"/>
    <w:rsid w:val="000F420B"/>
    <w:rsid w:val="00100360"/>
    <w:rsid w:val="00110116"/>
    <w:rsid w:val="00112CB0"/>
    <w:rsid w:val="00117F02"/>
    <w:rsid w:val="00120072"/>
    <w:rsid w:val="00124273"/>
    <w:rsid w:val="00126EB8"/>
    <w:rsid w:val="001274D4"/>
    <w:rsid w:val="00130C68"/>
    <w:rsid w:val="00135532"/>
    <w:rsid w:val="001363AA"/>
    <w:rsid w:val="001376EF"/>
    <w:rsid w:val="00141318"/>
    <w:rsid w:val="00153D76"/>
    <w:rsid w:val="00157351"/>
    <w:rsid w:val="00160FC5"/>
    <w:rsid w:val="00171792"/>
    <w:rsid w:val="00171B61"/>
    <w:rsid w:val="00175C79"/>
    <w:rsid w:val="00176EFF"/>
    <w:rsid w:val="0018396B"/>
    <w:rsid w:val="00183E82"/>
    <w:rsid w:val="00185C25"/>
    <w:rsid w:val="001878BB"/>
    <w:rsid w:val="001908B3"/>
    <w:rsid w:val="00191AE0"/>
    <w:rsid w:val="00192450"/>
    <w:rsid w:val="0019293B"/>
    <w:rsid w:val="00194EB0"/>
    <w:rsid w:val="00197117"/>
    <w:rsid w:val="001B048D"/>
    <w:rsid w:val="001B5E73"/>
    <w:rsid w:val="001C0865"/>
    <w:rsid w:val="001C3ABA"/>
    <w:rsid w:val="001D5119"/>
    <w:rsid w:val="001E62D4"/>
    <w:rsid w:val="001E790A"/>
    <w:rsid w:val="001E7BE8"/>
    <w:rsid w:val="001F0248"/>
    <w:rsid w:val="001F2C42"/>
    <w:rsid w:val="001F3EB3"/>
    <w:rsid w:val="001F4F86"/>
    <w:rsid w:val="002003B5"/>
    <w:rsid w:val="00202C2C"/>
    <w:rsid w:val="00202F79"/>
    <w:rsid w:val="00204A97"/>
    <w:rsid w:val="00207270"/>
    <w:rsid w:val="00212CB7"/>
    <w:rsid w:val="002135AB"/>
    <w:rsid w:val="002144BE"/>
    <w:rsid w:val="00215FEA"/>
    <w:rsid w:val="00221A21"/>
    <w:rsid w:val="0022363F"/>
    <w:rsid w:val="00225FD1"/>
    <w:rsid w:val="00226439"/>
    <w:rsid w:val="002335D7"/>
    <w:rsid w:val="002335DD"/>
    <w:rsid w:val="00234821"/>
    <w:rsid w:val="00236ABF"/>
    <w:rsid w:val="00242279"/>
    <w:rsid w:val="00243F2E"/>
    <w:rsid w:val="00245C82"/>
    <w:rsid w:val="002523CE"/>
    <w:rsid w:val="00256674"/>
    <w:rsid w:val="00257CAC"/>
    <w:rsid w:val="0026186F"/>
    <w:rsid w:val="00262755"/>
    <w:rsid w:val="00265C60"/>
    <w:rsid w:val="00275222"/>
    <w:rsid w:val="0027534F"/>
    <w:rsid w:val="002802B2"/>
    <w:rsid w:val="00287643"/>
    <w:rsid w:val="00291B40"/>
    <w:rsid w:val="0029512B"/>
    <w:rsid w:val="002A3405"/>
    <w:rsid w:val="002A3723"/>
    <w:rsid w:val="002B4008"/>
    <w:rsid w:val="002B4E0D"/>
    <w:rsid w:val="002B625B"/>
    <w:rsid w:val="002C02FE"/>
    <w:rsid w:val="002C0D1C"/>
    <w:rsid w:val="002C1A91"/>
    <w:rsid w:val="002C3F77"/>
    <w:rsid w:val="002D0E8E"/>
    <w:rsid w:val="002D2695"/>
    <w:rsid w:val="002D47E5"/>
    <w:rsid w:val="002E138D"/>
    <w:rsid w:val="002E37D7"/>
    <w:rsid w:val="002E576F"/>
    <w:rsid w:val="002E69B2"/>
    <w:rsid w:val="002F7AB5"/>
    <w:rsid w:val="00301189"/>
    <w:rsid w:val="00301E2B"/>
    <w:rsid w:val="00307CD9"/>
    <w:rsid w:val="0031427C"/>
    <w:rsid w:val="00315B8A"/>
    <w:rsid w:val="00323E09"/>
    <w:rsid w:val="00330E69"/>
    <w:rsid w:val="00331EDE"/>
    <w:rsid w:val="00332420"/>
    <w:rsid w:val="00333932"/>
    <w:rsid w:val="00334F5B"/>
    <w:rsid w:val="003518AA"/>
    <w:rsid w:val="00352165"/>
    <w:rsid w:val="00353182"/>
    <w:rsid w:val="003549FD"/>
    <w:rsid w:val="003565D9"/>
    <w:rsid w:val="003602E1"/>
    <w:rsid w:val="00363078"/>
    <w:rsid w:val="00364A62"/>
    <w:rsid w:val="0037026F"/>
    <w:rsid w:val="00371240"/>
    <w:rsid w:val="00374731"/>
    <w:rsid w:val="0037482D"/>
    <w:rsid w:val="00376E59"/>
    <w:rsid w:val="00381156"/>
    <w:rsid w:val="00385731"/>
    <w:rsid w:val="003919F9"/>
    <w:rsid w:val="00391F3C"/>
    <w:rsid w:val="003A3CAB"/>
    <w:rsid w:val="003B6823"/>
    <w:rsid w:val="003B7ECA"/>
    <w:rsid w:val="003C1DBC"/>
    <w:rsid w:val="003C38B5"/>
    <w:rsid w:val="003C5D99"/>
    <w:rsid w:val="003D0F94"/>
    <w:rsid w:val="003D415A"/>
    <w:rsid w:val="003D4BCC"/>
    <w:rsid w:val="003E1559"/>
    <w:rsid w:val="003E2F59"/>
    <w:rsid w:val="003E523D"/>
    <w:rsid w:val="003F0789"/>
    <w:rsid w:val="003F37EA"/>
    <w:rsid w:val="003F548F"/>
    <w:rsid w:val="003F6F9F"/>
    <w:rsid w:val="00401882"/>
    <w:rsid w:val="00402D12"/>
    <w:rsid w:val="004051F7"/>
    <w:rsid w:val="004100C8"/>
    <w:rsid w:val="00410E4F"/>
    <w:rsid w:val="00411DBD"/>
    <w:rsid w:val="00412ACE"/>
    <w:rsid w:val="0041470A"/>
    <w:rsid w:val="004173F7"/>
    <w:rsid w:val="00424E65"/>
    <w:rsid w:val="00431249"/>
    <w:rsid w:val="0043209B"/>
    <w:rsid w:val="00433B6C"/>
    <w:rsid w:val="00434C19"/>
    <w:rsid w:val="0043560B"/>
    <w:rsid w:val="004468B4"/>
    <w:rsid w:val="00446E47"/>
    <w:rsid w:val="00450810"/>
    <w:rsid w:val="00451484"/>
    <w:rsid w:val="00451AA7"/>
    <w:rsid w:val="0045255B"/>
    <w:rsid w:val="004565B3"/>
    <w:rsid w:val="0045775A"/>
    <w:rsid w:val="00461FF4"/>
    <w:rsid w:val="0046280B"/>
    <w:rsid w:val="0046717B"/>
    <w:rsid w:val="0047207B"/>
    <w:rsid w:val="00473F74"/>
    <w:rsid w:val="0047598D"/>
    <w:rsid w:val="00477144"/>
    <w:rsid w:val="00480DB5"/>
    <w:rsid w:val="00485554"/>
    <w:rsid w:val="00485B54"/>
    <w:rsid w:val="00491380"/>
    <w:rsid w:val="00493BA2"/>
    <w:rsid w:val="0049459F"/>
    <w:rsid w:val="004A2B2C"/>
    <w:rsid w:val="004A38DD"/>
    <w:rsid w:val="004B43AE"/>
    <w:rsid w:val="004B4BEB"/>
    <w:rsid w:val="004C0AA3"/>
    <w:rsid w:val="004C1FCD"/>
    <w:rsid w:val="004C30ED"/>
    <w:rsid w:val="004D0DA9"/>
    <w:rsid w:val="004D5675"/>
    <w:rsid w:val="004D7162"/>
    <w:rsid w:val="004E0A5A"/>
    <w:rsid w:val="004E4A86"/>
    <w:rsid w:val="004E5E03"/>
    <w:rsid w:val="00503732"/>
    <w:rsid w:val="00507090"/>
    <w:rsid w:val="00511DD0"/>
    <w:rsid w:val="00521989"/>
    <w:rsid w:val="00521B1A"/>
    <w:rsid w:val="00523639"/>
    <w:rsid w:val="00523979"/>
    <w:rsid w:val="00530419"/>
    <w:rsid w:val="00531FE5"/>
    <w:rsid w:val="0053748E"/>
    <w:rsid w:val="005402FA"/>
    <w:rsid w:val="00540EE0"/>
    <w:rsid w:val="005410D6"/>
    <w:rsid w:val="00542D3A"/>
    <w:rsid w:val="005459F1"/>
    <w:rsid w:val="00550130"/>
    <w:rsid w:val="00550420"/>
    <w:rsid w:val="00575EE0"/>
    <w:rsid w:val="00577B74"/>
    <w:rsid w:val="00582C7A"/>
    <w:rsid w:val="00583C39"/>
    <w:rsid w:val="00587F28"/>
    <w:rsid w:val="005909CF"/>
    <w:rsid w:val="00591E71"/>
    <w:rsid w:val="00597313"/>
    <w:rsid w:val="005A0D41"/>
    <w:rsid w:val="005B1846"/>
    <w:rsid w:val="005B6390"/>
    <w:rsid w:val="005C18F2"/>
    <w:rsid w:val="005D4542"/>
    <w:rsid w:val="005E18CE"/>
    <w:rsid w:val="005F02F6"/>
    <w:rsid w:val="0060171F"/>
    <w:rsid w:val="00603CBC"/>
    <w:rsid w:val="00603FB8"/>
    <w:rsid w:val="0060550A"/>
    <w:rsid w:val="00606F43"/>
    <w:rsid w:val="00607BF1"/>
    <w:rsid w:val="00612898"/>
    <w:rsid w:val="00612DA8"/>
    <w:rsid w:val="00614A64"/>
    <w:rsid w:val="006157BD"/>
    <w:rsid w:val="006270F7"/>
    <w:rsid w:val="00630D4D"/>
    <w:rsid w:val="00632641"/>
    <w:rsid w:val="00632A74"/>
    <w:rsid w:val="0063349A"/>
    <w:rsid w:val="006371E1"/>
    <w:rsid w:val="00644541"/>
    <w:rsid w:val="00653C58"/>
    <w:rsid w:val="00665B0B"/>
    <w:rsid w:val="00665EDD"/>
    <w:rsid w:val="0067048B"/>
    <w:rsid w:val="006714E1"/>
    <w:rsid w:val="006812EF"/>
    <w:rsid w:val="00682064"/>
    <w:rsid w:val="00687A8B"/>
    <w:rsid w:val="00690FE7"/>
    <w:rsid w:val="006A4655"/>
    <w:rsid w:val="006B1AAD"/>
    <w:rsid w:val="006B2B3C"/>
    <w:rsid w:val="006C1D81"/>
    <w:rsid w:val="006C7038"/>
    <w:rsid w:val="006C7440"/>
    <w:rsid w:val="006E29AB"/>
    <w:rsid w:val="006E59CE"/>
    <w:rsid w:val="006E73EF"/>
    <w:rsid w:val="006E7AA2"/>
    <w:rsid w:val="0070383E"/>
    <w:rsid w:val="00707810"/>
    <w:rsid w:val="00707DEB"/>
    <w:rsid w:val="00714D4D"/>
    <w:rsid w:val="007153F2"/>
    <w:rsid w:val="00720D5A"/>
    <w:rsid w:val="0074524E"/>
    <w:rsid w:val="007467DD"/>
    <w:rsid w:val="00746E50"/>
    <w:rsid w:val="00754CD7"/>
    <w:rsid w:val="0075504B"/>
    <w:rsid w:val="007604BB"/>
    <w:rsid w:val="00761339"/>
    <w:rsid w:val="00767A0E"/>
    <w:rsid w:val="00772D9D"/>
    <w:rsid w:val="007760A8"/>
    <w:rsid w:val="00785232"/>
    <w:rsid w:val="0079233D"/>
    <w:rsid w:val="00797491"/>
    <w:rsid w:val="007A0327"/>
    <w:rsid w:val="007A1E2C"/>
    <w:rsid w:val="007A21EB"/>
    <w:rsid w:val="007A6CF0"/>
    <w:rsid w:val="007A72B2"/>
    <w:rsid w:val="007B1A93"/>
    <w:rsid w:val="007B2D85"/>
    <w:rsid w:val="007B4D60"/>
    <w:rsid w:val="007B6788"/>
    <w:rsid w:val="007B690C"/>
    <w:rsid w:val="007C36C9"/>
    <w:rsid w:val="007D055C"/>
    <w:rsid w:val="007D4F86"/>
    <w:rsid w:val="007D6401"/>
    <w:rsid w:val="007E01E4"/>
    <w:rsid w:val="007E1FC4"/>
    <w:rsid w:val="007E3ABF"/>
    <w:rsid w:val="007E4B30"/>
    <w:rsid w:val="007E6975"/>
    <w:rsid w:val="007F6276"/>
    <w:rsid w:val="007F7107"/>
    <w:rsid w:val="00800D4C"/>
    <w:rsid w:val="008057C7"/>
    <w:rsid w:val="0081030F"/>
    <w:rsid w:val="00810800"/>
    <w:rsid w:val="00815E91"/>
    <w:rsid w:val="0082087D"/>
    <w:rsid w:val="00821637"/>
    <w:rsid w:val="00823066"/>
    <w:rsid w:val="00826FFD"/>
    <w:rsid w:val="00835771"/>
    <w:rsid w:val="0083642D"/>
    <w:rsid w:val="00840D49"/>
    <w:rsid w:val="00842933"/>
    <w:rsid w:val="00843AC2"/>
    <w:rsid w:val="00844707"/>
    <w:rsid w:val="008534CD"/>
    <w:rsid w:val="0086082C"/>
    <w:rsid w:val="00860A7D"/>
    <w:rsid w:val="00862761"/>
    <w:rsid w:val="008647A8"/>
    <w:rsid w:val="00864ADC"/>
    <w:rsid w:val="00866E87"/>
    <w:rsid w:val="008728D5"/>
    <w:rsid w:val="00873D90"/>
    <w:rsid w:val="00875D30"/>
    <w:rsid w:val="00880153"/>
    <w:rsid w:val="00880F97"/>
    <w:rsid w:val="0088133A"/>
    <w:rsid w:val="0089285E"/>
    <w:rsid w:val="0089436C"/>
    <w:rsid w:val="008A3659"/>
    <w:rsid w:val="008A50E2"/>
    <w:rsid w:val="008A580C"/>
    <w:rsid w:val="008A64F8"/>
    <w:rsid w:val="008B1DA0"/>
    <w:rsid w:val="008B2FE5"/>
    <w:rsid w:val="008C0741"/>
    <w:rsid w:val="008D365C"/>
    <w:rsid w:val="008D36B1"/>
    <w:rsid w:val="008E28E3"/>
    <w:rsid w:val="008E73AE"/>
    <w:rsid w:val="008F0F54"/>
    <w:rsid w:val="009030BF"/>
    <w:rsid w:val="009079D3"/>
    <w:rsid w:val="0091032F"/>
    <w:rsid w:val="00910C2D"/>
    <w:rsid w:val="00913A90"/>
    <w:rsid w:val="00914057"/>
    <w:rsid w:val="00914368"/>
    <w:rsid w:val="009145BE"/>
    <w:rsid w:val="00915583"/>
    <w:rsid w:val="00917507"/>
    <w:rsid w:val="009224B8"/>
    <w:rsid w:val="0092285B"/>
    <w:rsid w:val="00931076"/>
    <w:rsid w:val="0093222D"/>
    <w:rsid w:val="009341CE"/>
    <w:rsid w:val="009345D9"/>
    <w:rsid w:val="00934B15"/>
    <w:rsid w:val="009367DF"/>
    <w:rsid w:val="00940C87"/>
    <w:rsid w:val="00942B62"/>
    <w:rsid w:val="0095323B"/>
    <w:rsid w:val="00956A0C"/>
    <w:rsid w:val="00956BD9"/>
    <w:rsid w:val="00961220"/>
    <w:rsid w:val="00962489"/>
    <w:rsid w:val="0096286A"/>
    <w:rsid w:val="00962B05"/>
    <w:rsid w:val="00981982"/>
    <w:rsid w:val="0098634F"/>
    <w:rsid w:val="0098656C"/>
    <w:rsid w:val="00986C87"/>
    <w:rsid w:val="00990C2C"/>
    <w:rsid w:val="009921EF"/>
    <w:rsid w:val="009A372C"/>
    <w:rsid w:val="009A42CE"/>
    <w:rsid w:val="009A4F92"/>
    <w:rsid w:val="009A7F06"/>
    <w:rsid w:val="009B06E0"/>
    <w:rsid w:val="009B1439"/>
    <w:rsid w:val="009B180D"/>
    <w:rsid w:val="009C25EB"/>
    <w:rsid w:val="009C4093"/>
    <w:rsid w:val="009C7062"/>
    <w:rsid w:val="009D0539"/>
    <w:rsid w:val="009D2BF6"/>
    <w:rsid w:val="009D5EA8"/>
    <w:rsid w:val="009E1844"/>
    <w:rsid w:val="009E39E0"/>
    <w:rsid w:val="009E3F7D"/>
    <w:rsid w:val="009E7788"/>
    <w:rsid w:val="009F0D1B"/>
    <w:rsid w:val="009F5AB0"/>
    <w:rsid w:val="009F696D"/>
    <w:rsid w:val="009F6BC6"/>
    <w:rsid w:val="00A02AE1"/>
    <w:rsid w:val="00A05800"/>
    <w:rsid w:val="00A115E2"/>
    <w:rsid w:val="00A121F8"/>
    <w:rsid w:val="00A138D3"/>
    <w:rsid w:val="00A163F2"/>
    <w:rsid w:val="00A17328"/>
    <w:rsid w:val="00A22D6A"/>
    <w:rsid w:val="00A23A20"/>
    <w:rsid w:val="00A24DE2"/>
    <w:rsid w:val="00A268B9"/>
    <w:rsid w:val="00A2703A"/>
    <w:rsid w:val="00A31608"/>
    <w:rsid w:val="00A33DFF"/>
    <w:rsid w:val="00A35115"/>
    <w:rsid w:val="00A36D9A"/>
    <w:rsid w:val="00A45334"/>
    <w:rsid w:val="00A554AB"/>
    <w:rsid w:val="00A57062"/>
    <w:rsid w:val="00A62722"/>
    <w:rsid w:val="00A837AE"/>
    <w:rsid w:val="00A87B9E"/>
    <w:rsid w:val="00A87CBD"/>
    <w:rsid w:val="00A87D61"/>
    <w:rsid w:val="00A92B53"/>
    <w:rsid w:val="00A94FA6"/>
    <w:rsid w:val="00AA0301"/>
    <w:rsid w:val="00AA49A0"/>
    <w:rsid w:val="00AA61B0"/>
    <w:rsid w:val="00AA6710"/>
    <w:rsid w:val="00AB0681"/>
    <w:rsid w:val="00AB2CCF"/>
    <w:rsid w:val="00AB39F6"/>
    <w:rsid w:val="00AC173A"/>
    <w:rsid w:val="00AC1E37"/>
    <w:rsid w:val="00AC2EA6"/>
    <w:rsid w:val="00AC3357"/>
    <w:rsid w:val="00AC4893"/>
    <w:rsid w:val="00AC761C"/>
    <w:rsid w:val="00AD520B"/>
    <w:rsid w:val="00AD6E9E"/>
    <w:rsid w:val="00AE1ED7"/>
    <w:rsid w:val="00AE2839"/>
    <w:rsid w:val="00AF1C7D"/>
    <w:rsid w:val="00B00635"/>
    <w:rsid w:val="00B014CE"/>
    <w:rsid w:val="00B0215C"/>
    <w:rsid w:val="00B04BEB"/>
    <w:rsid w:val="00B0559C"/>
    <w:rsid w:val="00B058CA"/>
    <w:rsid w:val="00B06E0C"/>
    <w:rsid w:val="00B14A38"/>
    <w:rsid w:val="00B14A68"/>
    <w:rsid w:val="00B15335"/>
    <w:rsid w:val="00B15F30"/>
    <w:rsid w:val="00B21658"/>
    <w:rsid w:val="00B26CF0"/>
    <w:rsid w:val="00B33163"/>
    <w:rsid w:val="00B41AB7"/>
    <w:rsid w:val="00B425C3"/>
    <w:rsid w:val="00B440AD"/>
    <w:rsid w:val="00B44D42"/>
    <w:rsid w:val="00B50673"/>
    <w:rsid w:val="00B53E7E"/>
    <w:rsid w:val="00B5439C"/>
    <w:rsid w:val="00B54A73"/>
    <w:rsid w:val="00B5512F"/>
    <w:rsid w:val="00B57066"/>
    <w:rsid w:val="00B6342E"/>
    <w:rsid w:val="00B7113F"/>
    <w:rsid w:val="00B815E6"/>
    <w:rsid w:val="00B8185F"/>
    <w:rsid w:val="00B96532"/>
    <w:rsid w:val="00BA1261"/>
    <w:rsid w:val="00BA356A"/>
    <w:rsid w:val="00BA73B6"/>
    <w:rsid w:val="00BA7E27"/>
    <w:rsid w:val="00BB0C6D"/>
    <w:rsid w:val="00BB2603"/>
    <w:rsid w:val="00BB4FCD"/>
    <w:rsid w:val="00BB7901"/>
    <w:rsid w:val="00BC04E9"/>
    <w:rsid w:val="00BD13EA"/>
    <w:rsid w:val="00BD57F5"/>
    <w:rsid w:val="00BD7627"/>
    <w:rsid w:val="00BD7881"/>
    <w:rsid w:val="00BE3808"/>
    <w:rsid w:val="00BF241A"/>
    <w:rsid w:val="00BF52F7"/>
    <w:rsid w:val="00C062E9"/>
    <w:rsid w:val="00C06EDF"/>
    <w:rsid w:val="00C07316"/>
    <w:rsid w:val="00C07B64"/>
    <w:rsid w:val="00C10E35"/>
    <w:rsid w:val="00C13721"/>
    <w:rsid w:val="00C14FE4"/>
    <w:rsid w:val="00C27806"/>
    <w:rsid w:val="00C3066D"/>
    <w:rsid w:val="00C30C22"/>
    <w:rsid w:val="00C320CA"/>
    <w:rsid w:val="00C33C5A"/>
    <w:rsid w:val="00C3632E"/>
    <w:rsid w:val="00C36832"/>
    <w:rsid w:val="00C36F61"/>
    <w:rsid w:val="00C40157"/>
    <w:rsid w:val="00C51776"/>
    <w:rsid w:val="00C52416"/>
    <w:rsid w:val="00C543F4"/>
    <w:rsid w:val="00C55531"/>
    <w:rsid w:val="00C6291C"/>
    <w:rsid w:val="00C6327E"/>
    <w:rsid w:val="00C633CB"/>
    <w:rsid w:val="00C736B7"/>
    <w:rsid w:val="00C81D4A"/>
    <w:rsid w:val="00C85EBF"/>
    <w:rsid w:val="00C86AE8"/>
    <w:rsid w:val="00C8762C"/>
    <w:rsid w:val="00C94AF3"/>
    <w:rsid w:val="00C9604A"/>
    <w:rsid w:val="00C970D8"/>
    <w:rsid w:val="00C97266"/>
    <w:rsid w:val="00CA00F9"/>
    <w:rsid w:val="00CA0FF4"/>
    <w:rsid w:val="00CA27CE"/>
    <w:rsid w:val="00CA2961"/>
    <w:rsid w:val="00CA7A22"/>
    <w:rsid w:val="00CB1755"/>
    <w:rsid w:val="00CB50D7"/>
    <w:rsid w:val="00CB5C57"/>
    <w:rsid w:val="00CB703A"/>
    <w:rsid w:val="00CB7177"/>
    <w:rsid w:val="00CC1998"/>
    <w:rsid w:val="00CC3458"/>
    <w:rsid w:val="00CC4946"/>
    <w:rsid w:val="00CC58A5"/>
    <w:rsid w:val="00CC6990"/>
    <w:rsid w:val="00CD4A9D"/>
    <w:rsid w:val="00CD7F2F"/>
    <w:rsid w:val="00CE1428"/>
    <w:rsid w:val="00CE265E"/>
    <w:rsid w:val="00CE29F3"/>
    <w:rsid w:val="00CE67B6"/>
    <w:rsid w:val="00CF71A2"/>
    <w:rsid w:val="00D0005D"/>
    <w:rsid w:val="00D00669"/>
    <w:rsid w:val="00D025FF"/>
    <w:rsid w:val="00D05555"/>
    <w:rsid w:val="00D07FE7"/>
    <w:rsid w:val="00D10AAC"/>
    <w:rsid w:val="00D14795"/>
    <w:rsid w:val="00D270A4"/>
    <w:rsid w:val="00D31FE9"/>
    <w:rsid w:val="00D32EC1"/>
    <w:rsid w:val="00D34E1B"/>
    <w:rsid w:val="00D376BA"/>
    <w:rsid w:val="00D409A1"/>
    <w:rsid w:val="00D44251"/>
    <w:rsid w:val="00D45634"/>
    <w:rsid w:val="00D47837"/>
    <w:rsid w:val="00D5381B"/>
    <w:rsid w:val="00D5568A"/>
    <w:rsid w:val="00D60F0C"/>
    <w:rsid w:val="00D61756"/>
    <w:rsid w:val="00D632BC"/>
    <w:rsid w:val="00D63D73"/>
    <w:rsid w:val="00D63DE3"/>
    <w:rsid w:val="00D64452"/>
    <w:rsid w:val="00D64608"/>
    <w:rsid w:val="00D64735"/>
    <w:rsid w:val="00D6531D"/>
    <w:rsid w:val="00D66E1E"/>
    <w:rsid w:val="00D75722"/>
    <w:rsid w:val="00D7655F"/>
    <w:rsid w:val="00D80CF5"/>
    <w:rsid w:val="00D8632B"/>
    <w:rsid w:val="00D86351"/>
    <w:rsid w:val="00DA3771"/>
    <w:rsid w:val="00DA5BBA"/>
    <w:rsid w:val="00DA6404"/>
    <w:rsid w:val="00DB26D2"/>
    <w:rsid w:val="00DB67C9"/>
    <w:rsid w:val="00DC0C95"/>
    <w:rsid w:val="00DC0EDC"/>
    <w:rsid w:val="00DC5484"/>
    <w:rsid w:val="00DD05CB"/>
    <w:rsid w:val="00DD6580"/>
    <w:rsid w:val="00DF34CC"/>
    <w:rsid w:val="00E07614"/>
    <w:rsid w:val="00E17C72"/>
    <w:rsid w:val="00E20492"/>
    <w:rsid w:val="00E21FC6"/>
    <w:rsid w:val="00E40E67"/>
    <w:rsid w:val="00E431A9"/>
    <w:rsid w:val="00E53C0F"/>
    <w:rsid w:val="00E565A2"/>
    <w:rsid w:val="00E62A7F"/>
    <w:rsid w:val="00E642FE"/>
    <w:rsid w:val="00E669E2"/>
    <w:rsid w:val="00E73288"/>
    <w:rsid w:val="00E76135"/>
    <w:rsid w:val="00E779AC"/>
    <w:rsid w:val="00E77FCC"/>
    <w:rsid w:val="00E81227"/>
    <w:rsid w:val="00E82F4F"/>
    <w:rsid w:val="00E82FD0"/>
    <w:rsid w:val="00E90357"/>
    <w:rsid w:val="00E9062C"/>
    <w:rsid w:val="00E916CB"/>
    <w:rsid w:val="00E93ACA"/>
    <w:rsid w:val="00E97A9F"/>
    <w:rsid w:val="00EA2C01"/>
    <w:rsid w:val="00EA2F45"/>
    <w:rsid w:val="00EB188A"/>
    <w:rsid w:val="00EB2028"/>
    <w:rsid w:val="00EB6CB0"/>
    <w:rsid w:val="00EC2844"/>
    <w:rsid w:val="00EC4DA6"/>
    <w:rsid w:val="00EC5500"/>
    <w:rsid w:val="00ED4AA4"/>
    <w:rsid w:val="00ED7DC9"/>
    <w:rsid w:val="00EE45E8"/>
    <w:rsid w:val="00EF05A5"/>
    <w:rsid w:val="00EF43FC"/>
    <w:rsid w:val="00EF64E2"/>
    <w:rsid w:val="00EF6C6C"/>
    <w:rsid w:val="00F00585"/>
    <w:rsid w:val="00F056FC"/>
    <w:rsid w:val="00F0647C"/>
    <w:rsid w:val="00F10476"/>
    <w:rsid w:val="00F135D8"/>
    <w:rsid w:val="00F13E27"/>
    <w:rsid w:val="00F1519C"/>
    <w:rsid w:val="00F15EAB"/>
    <w:rsid w:val="00F2595D"/>
    <w:rsid w:val="00F25FD9"/>
    <w:rsid w:val="00F305DE"/>
    <w:rsid w:val="00F30F89"/>
    <w:rsid w:val="00F31299"/>
    <w:rsid w:val="00F315A1"/>
    <w:rsid w:val="00F34E4C"/>
    <w:rsid w:val="00F3534A"/>
    <w:rsid w:val="00F40A2A"/>
    <w:rsid w:val="00F4187D"/>
    <w:rsid w:val="00F4296B"/>
    <w:rsid w:val="00F471CC"/>
    <w:rsid w:val="00F478E6"/>
    <w:rsid w:val="00F50FCE"/>
    <w:rsid w:val="00F51609"/>
    <w:rsid w:val="00F53E13"/>
    <w:rsid w:val="00F55682"/>
    <w:rsid w:val="00F67865"/>
    <w:rsid w:val="00F7022D"/>
    <w:rsid w:val="00F70A9F"/>
    <w:rsid w:val="00F72C49"/>
    <w:rsid w:val="00F75441"/>
    <w:rsid w:val="00F81006"/>
    <w:rsid w:val="00F82B3A"/>
    <w:rsid w:val="00F85325"/>
    <w:rsid w:val="00F91A66"/>
    <w:rsid w:val="00F94B77"/>
    <w:rsid w:val="00F956B1"/>
    <w:rsid w:val="00FA01F8"/>
    <w:rsid w:val="00FA5355"/>
    <w:rsid w:val="00FA7893"/>
    <w:rsid w:val="00FB3FF5"/>
    <w:rsid w:val="00FB618F"/>
    <w:rsid w:val="00FB656D"/>
    <w:rsid w:val="00FC0EC3"/>
    <w:rsid w:val="00FD18EF"/>
    <w:rsid w:val="00FD22B1"/>
    <w:rsid w:val="00FD31E5"/>
    <w:rsid w:val="00FD338E"/>
    <w:rsid w:val="00FE0AB5"/>
    <w:rsid w:val="00FE3A48"/>
    <w:rsid w:val="00FE5397"/>
    <w:rsid w:val="00FF2770"/>
    <w:rsid w:val="00FF56E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6714E1"/>
    <w:rPr>
      <w:sz w:val="26"/>
      <w:szCs w:val="24"/>
    </w:rPr>
  </w:style>
  <w:style w:type="paragraph" w:styleId="Heading1">
    <w:name w:val="heading 1"/>
    <w:basedOn w:val="BodyText"/>
    <w:next w:val="BodyText"/>
    <w:rsid w:val="006714E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6714E1"/>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6714E1"/>
    <w:pPr>
      <w:spacing w:before="560" w:line="320" w:lineRule="exact"/>
      <w:ind w:left="0" w:firstLine="0"/>
      <w:outlineLvl w:val="2"/>
    </w:pPr>
    <w:rPr>
      <w:sz w:val="26"/>
    </w:rPr>
  </w:style>
  <w:style w:type="paragraph" w:styleId="Heading4">
    <w:name w:val="heading 4"/>
    <w:basedOn w:val="Heading3"/>
    <w:next w:val="BodyText"/>
    <w:qFormat/>
    <w:rsid w:val="006714E1"/>
    <w:pPr>
      <w:spacing w:before="480"/>
      <w:outlineLvl w:val="3"/>
    </w:pPr>
    <w:rPr>
      <w:b w:val="0"/>
      <w:i/>
      <w:sz w:val="24"/>
    </w:rPr>
  </w:style>
  <w:style w:type="paragraph" w:styleId="Heading5">
    <w:name w:val="heading 5"/>
    <w:basedOn w:val="Heading4"/>
    <w:next w:val="BodyText"/>
    <w:qFormat/>
    <w:rsid w:val="006714E1"/>
    <w:pPr>
      <w:outlineLvl w:val="4"/>
    </w:pPr>
    <w:rPr>
      <w:rFonts w:ascii="Times New Roman" w:hAnsi="Times New Roman"/>
      <w:sz w:val="26"/>
    </w:rPr>
  </w:style>
  <w:style w:type="paragraph" w:styleId="Heading6">
    <w:name w:val="heading 6"/>
    <w:basedOn w:val="BodyText"/>
    <w:next w:val="BodyText"/>
    <w:rsid w:val="006714E1"/>
    <w:pPr>
      <w:spacing w:after="60"/>
      <w:jc w:val="left"/>
      <w:outlineLvl w:val="5"/>
    </w:pPr>
    <w:rPr>
      <w:i/>
      <w:sz w:val="22"/>
    </w:rPr>
  </w:style>
  <w:style w:type="paragraph" w:styleId="Heading7">
    <w:name w:val="heading 7"/>
    <w:basedOn w:val="BodyText"/>
    <w:next w:val="BodyText"/>
    <w:rsid w:val="006714E1"/>
    <w:pPr>
      <w:spacing w:after="60" w:line="240" w:lineRule="auto"/>
      <w:jc w:val="left"/>
      <w:outlineLvl w:val="6"/>
    </w:pPr>
    <w:rPr>
      <w:rFonts w:ascii="Arial" w:hAnsi="Arial"/>
      <w:sz w:val="20"/>
    </w:rPr>
  </w:style>
  <w:style w:type="paragraph" w:styleId="Heading8">
    <w:name w:val="heading 8"/>
    <w:basedOn w:val="BodyText"/>
    <w:next w:val="BodyText"/>
    <w:rsid w:val="006714E1"/>
    <w:pPr>
      <w:spacing w:after="60" w:line="240" w:lineRule="auto"/>
      <w:jc w:val="left"/>
      <w:outlineLvl w:val="7"/>
    </w:pPr>
    <w:rPr>
      <w:rFonts w:ascii="Arial" w:hAnsi="Arial"/>
      <w:i/>
      <w:sz w:val="20"/>
    </w:rPr>
  </w:style>
  <w:style w:type="paragraph" w:styleId="Heading9">
    <w:name w:val="heading 9"/>
    <w:basedOn w:val="BodyText"/>
    <w:next w:val="BodyText"/>
    <w:rsid w:val="006714E1"/>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6714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14E1"/>
  </w:style>
  <w:style w:type="paragraph" w:styleId="BodyText">
    <w:name w:val="Body Text"/>
    <w:qFormat/>
    <w:rsid w:val="006714E1"/>
    <w:pPr>
      <w:spacing w:before="240" w:line="320" w:lineRule="atLeast"/>
      <w:jc w:val="both"/>
    </w:pPr>
    <w:rPr>
      <w:sz w:val="26"/>
    </w:rPr>
  </w:style>
  <w:style w:type="paragraph" w:styleId="Footer">
    <w:name w:val="footer"/>
    <w:basedOn w:val="BodyText"/>
    <w:semiHidden/>
    <w:rsid w:val="006714E1"/>
    <w:pPr>
      <w:spacing w:before="80" w:line="200" w:lineRule="exact"/>
      <w:ind w:right="6"/>
      <w:jc w:val="left"/>
    </w:pPr>
    <w:rPr>
      <w:caps/>
      <w:spacing w:val="-4"/>
      <w:sz w:val="16"/>
    </w:rPr>
  </w:style>
  <w:style w:type="paragraph" w:customStyle="1" w:styleId="FooterEnd">
    <w:name w:val="Footer End"/>
    <w:basedOn w:val="Footer"/>
    <w:rsid w:val="006714E1"/>
    <w:pPr>
      <w:spacing w:before="0" w:line="20" w:lineRule="exact"/>
    </w:pPr>
  </w:style>
  <w:style w:type="paragraph" w:styleId="Header">
    <w:name w:val="header"/>
    <w:basedOn w:val="BodyText"/>
    <w:rsid w:val="006714E1"/>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6714E1"/>
    <w:pPr>
      <w:spacing w:line="20" w:lineRule="exact"/>
    </w:pPr>
    <w:rPr>
      <w:sz w:val="16"/>
    </w:rPr>
  </w:style>
  <w:style w:type="paragraph" w:customStyle="1" w:styleId="HeaderEven">
    <w:name w:val="Header Even"/>
    <w:basedOn w:val="Header"/>
    <w:semiHidden/>
    <w:rsid w:val="006714E1"/>
  </w:style>
  <w:style w:type="paragraph" w:customStyle="1" w:styleId="HeaderOdd">
    <w:name w:val="Header Odd"/>
    <w:basedOn w:val="Header"/>
    <w:semiHidden/>
    <w:rsid w:val="006714E1"/>
  </w:style>
  <w:style w:type="character" w:styleId="PageNumber">
    <w:name w:val="page number"/>
    <w:basedOn w:val="DefaultParagraphFont"/>
    <w:rsid w:val="006714E1"/>
    <w:rPr>
      <w:rFonts w:ascii="Arial" w:hAnsi="Arial"/>
      <w:b/>
      <w:sz w:val="16"/>
    </w:rPr>
  </w:style>
  <w:style w:type="paragraph" w:customStyle="1" w:styleId="Abbreviation">
    <w:name w:val="Abbreviation"/>
    <w:basedOn w:val="BodyText"/>
    <w:rsid w:val="006714E1"/>
    <w:pPr>
      <w:spacing w:before="120"/>
      <w:ind w:left="2381" w:hanging="2381"/>
      <w:jc w:val="left"/>
    </w:pPr>
  </w:style>
  <w:style w:type="paragraph" w:customStyle="1" w:styleId="Box">
    <w:name w:val="Box"/>
    <w:basedOn w:val="BodyText"/>
    <w:qFormat/>
    <w:rsid w:val="006714E1"/>
    <w:pPr>
      <w:keepNext/>
      <w:spacing w:before="120" w:line="280" w:lineRule="atLeast"/>
    </w:pPr>
    <w:rPr>
      <w:rFonts w:ascii="Arial" w:hAnsi="Arial"/>
      <w:sz w:val="22"/>
    </w:rPr>
  </w:style>
  <w:style w:type="paragraph" w:customStyle="1" w:styleId="BoxContinued">
    <w:name w:val="Box Continued"/>
    <w:basedOn w:val="BodyText"/>
    <w:next w:val="BodyText"/>
    <w:semiHidden/>
    <w:rsid w:val="006714E1"/>
    <w:pPr>
      <w:spacing w:before="180" w:line="220" w:lineRule="exact"/>
      <w:jc w:val="right"/>
    </w:pPr>
    <w:rPr>
      <w:rFonts w:ascii="Arial" w:hAnsi="Arial"/>
      <w:sz w:val="18"/>
    </w:rPr>
  </w:style>
  <w:style w:type="paragraph" w:customStyle="1" w:styleId="BoxHeading1">
    <w:name w:val="Box Heading 1"/>
    <w:basedOn w:val="BodyText"/>
    <w:next w:val="Box"/>
    <w:rsid w:val="006714E1"/>
    <w:pPr>
      <w:keepNext/>
      <w:spacing w:before="200" w:line="280" w:lineRule="atLeast"/>
    </w:pPr>
    <w:rPr>
      <w:rFonts w:ascii="Arial" w:hAnsi="Arial"/>
      <w:b/>
      <w:sz w:val="22"/>
    </w:rPr>
  </w:style>
  <w:style w:type="paragraph" w:customStyle="1" w:styleId="BoxHeading2">
    <w:name w:val="Box Heading 2"/>
    <w:basedOn w:val="BoxHeading1"/>
    <w:next w:val="Normal"/>
    <w:rsid w:val="006714E1"/>
    <w:rPr>
      <w:b w:val="0"/>
      <w:i/>
    </w:rPr>
  </w:style>
  <w:style w:type="paragraph" w:customStyle="1" w:styleId="BoxListBullet">
    <w:name w:val="Box List Bullet"/>
    <w:basedOn w:val="BodyText"/>
    <w:rsid w:val="006714E1"/>
    <w:pPr>
      <w:keepNext/>
      <w:numPr>
        <w:numId w:val="1"/>
      </w:numPr>
      <w:spacing w:before="60" w:line="280" w:lineRule="atLeast"/>
    </w:pPr>
    <w:rPr>
      <w:rFonts w:ascii="Arial" w:hAnsi="Arial"/>
      <w:sz w:val="22"/>
    </w:rPr>
  </w:style>
  <w:style w:type="paragraph" w:customStyle="1" w:styleId="BoxListBullet2">
    <w:name w:val="Box List Bullet 2"/>
    <w:basedOn w:val="BodyText"/>
    <w:rsid w:val="006714E1"/>
    <w:pPr>
      <w:keepNext/>
      <w:numPr>
        <w:numId w:val="2"/>
      </w:numPr>
      <w:spacing w:before="60" w:line="280" w:lineRule="atLeast"/>
    </w:pPr>
    <w:rPr>
      <w:rFonts w:ascii="Arial" w:hAnsi="Arial"/>
      <w:sz w:val="22"/>
    </w:rPr>
  </w:style>
  <w:style w:type="paragraph" w:customStyle="1" w:styleId="BoxListNumber">
    <w:name w:val="Box List Number"/>
    <w:basedOn w:val="BodyText"/>
    <w:rsid w:val="006714E1"/>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6714E1"/>
    <w:pPr>
      <w:numPr>
        <w:ilvl w:val="1"/>
      </w:numPr>
    </w:pPr>
  </w:style>
  <w:style w:type="paragraph" w:customStyle="1" w:styleId="BoxQuote">
    <w:name w:val="Box Quote"/>
    <w:basedOn w:val="BodyText"/>
    <w:next w:val="Box"/>
    <w:rsid w:val="006714E1"/>
    <w:pPr>
      <w:keepNext/>
      <w:spacing w:before="60" w:line="260" w:lineRule="exact"/>
      <w:ind w:left="284"/>
    </w:pPr>
    <w:rPr>
      <w:rFonts w:ascii="Arial" w:hAnsi="Arial"/>
      <w:sz w:val="20"/>
    </w:rPr>
  </w:style>
  <w:style w:type="paragraph" w:customStyle="1" w:styleId="Note">
    <w:name w:val="Note"/>
    <w:basedOn w:val="BodyText"/>
    <w:next w:val="BodyText"/>
    <w:rsid w:val="006714E1"/>
    <w:pPr>
      <w:keepLines/>
      <w:spacing w:before="80" w:line="220" w:lineRule="exact"/>
    </w:pPr>
    <w:rPr>
      <w:rFonts w:ascii="Arial" w:hAnsi="Arial"/>
      <w:sz w:val="18"/>
    </w:rPr>
  </w:style>
  <w:style w:type="paragraph" w:customStyle="1" w:styleId="Source">
    <w:name w:val="Source"/>
    <w:basedOn w:val="Note"/>
    <w:next w:val="BodyText"/>
    <w:rsid w:val="006714E1"/>
    <w:pPr>
      <w:spacing w:after="120"/>
    </w:pPr>
  </w:style>
  <w:style w:type="paragraph" w:customStyle="1" w:styleId="BoxSource">
    <w:name w:val="Box Source"/>
    <w:basedOn w:val="Source"/>
    <w:next w:val="BodyText"/>
    <w:rsid w:val="006714E1"/>
    <w:pPr>
      <w:spacing w:before="180" w:after="0"/>
    </w:pPr>
  </w:style>
  <w:style w:type="paragraph" w:customStyle="1" w:styleId="BoxSpaceAbove">
    <w:name w:val="Box Space Above"/>
    <w:basedOn w:val="BodyText"/>
    <w:rsid w:val="006714E1"/>
    <w:pPr>
      <w:keepNext/>
      <w:spacing w:before="360" w:line="80" w:lineRule="exact"/>
      <w:jc w:val="left"/>
    </w:pPr>
  </w:style>
  <w:style w:type="paragraph" w:styleId="Caption">
    <w:name w:val="caption"/>
    <w:basedOn w:val="Normal"/>
    <w:next w:val="BodyText"/>
    <w:rsid w:val="006714E1"/>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6714E1"/>
    <w:pPr>
      <w:spacing w:before="120" w:after="0"/>
      <w:ind w:left="1304" w:hanging="1304"/>
    </w:pPr>
    <w:rPr>
      <w:sz w:val="24"/>
    </w:rPr>
  </w:style>
  <w:style w:type="paragraph" w:customStyle="1" w:styleId="BoxSubtitle">
    <w:name w:val="Box Subtitle"/>
    <w:basedOn w:val="BoxTitle"/>
    <w:next w:val="Normal"/>
    <w:rsid w:val="006714E1"/>
    <w:pPr>
      <w:spacing w:after="80" w:line="200" w:lineRule="exact"/>
      <w:ind w:firstLine="0"/>
    </w:pPr>
    <w:rPr>
      <w:b w:val="0"/>
      <w:sz w:val="20"/>
    </w:rPr>
  </w:style>
  <w:style w:type="paragraph" w:customStyle="1" w:styleId="Chapter">
    <w:name w:val="Chapter"/>
    <w:basedOn w:val="Heading1"/>
    <w:next w:val="BodyText"/>
    <w:semiHidden/>
    <w:rsid w:val="006714E1"/>
    <w:pPr>
      <w:ind w:left="0" w:firstLine="0"/>
      <w:outlineLvl w:val="9"/>
    </w:pPr>
  </w:style>
  <w:style w:type="paragraph" w:customStyle="1" w:styleId="ChapterSummary">
    <w:name w:val="Chapter Summary"/>
    <w:basedOn w:val="BodyText"/>
    <w:rsid w:val="006714E1"/>
    <w:pPr>
      <w:ind w:left="907"/>
    </w:pPr>
    <w:rPr>
      <w:rFonts w:ascii="Arial" w:hAnsi="Arial"/>
      <w:b/>
      <w:sz w:val="22"/>
    </w:rPr>
  </w:style>
  <w:style w:type="character" w:styleId="CommentReference">
    <w:name w:val="annotation reference"/>
    <w:basedOn w:val="DefaultParagraphFont"/>
    <w:semiHidden/>
    <w:rsid w:val="006714E1"/>
    <w:rPr>
      <w:b/>
      <w:vanish/>
      <w:color w:val="FF00FF"/>
      <w:sz w:val="20"/>
    </w:rPr>
  </w:style>
  <w:style w:type="paragraph" w:styleId="CommentText">
    <w:name w:val="annotation text"/>
    <w:basedOn w:val="Normal"/>
    <w:link w:val="CommentTextChar"/>
    <w:semiHidden/>
    <w:rsid w:val="006714E1"/>
    <w:pPr>
      <w:spacing w:before="120" w:line="240" w:lineRule="atLeast"/>
      <w:ind w:left="567" w:hanging="567"/>
    </w:pPr>
    <w:rPr>
      <w:sz w:val="20"/>
    </w:rPr>
  </w:style>
  <w:style w:type="paragraph" w:customStyle="1" w:styleId="Continued">
    <w:name w:val="Continued"/>
    <w:basedOn w:val="BoxContinued"/>
    <w:next w:val="BodyText"/>
    <w:rsid w:val="006714E1"/>
  </w:style>
  <w:style w:type="character" w:customStyle="1" w:styleId="DocumentInfo">
    <w:name w:val="Document Info"/>
    <w:basedOn w:val="DefaultParagraphFont"/>
    <w:semiHidden/>
    <w:rsid w:val="006714E1"/>
    <w:rPr>
      <w:rFonts w:ascii="Arial" w:hAnsi="Arial"/>
      <w:sz w:val="14"/>
    </w:rPr>
  </w:style>
  <w:style w:type="character" w:customStyle="1" w:styleId="DraftingNote">
    <w:name w:val="Drafting Note"/>
    <w:basedOn w:val="DefaultParagraphFont"/>
    <w:rsid w:val="006714E1"/>
    <w:rPr>
      <w:b/>
      <w:color w:val="FF0000"/>
      <w:sz w:val="24"/>
      <w:u w:val="dotted"/>
    </w:rPr>
  </w:style>
  <w:style w:type="paragraph" w:customStyle="1" w:styleId="Figure">
    <w:name w:val="Figure"/>
    <w:basedOn w:val="BodyText"/>
    <w:rsid w:val="006714E1"/>
    <w:pPr>
      <w:keepNext/>
      <w:spacing w:before="120" w:after="120" w:line="240" w:lineRule="atLeast"/>
      <w:jc w:val="center"/>
    </w:pPr>
  </w:style>
  <w:style w:type="paragraph" w:customStyle="1" w:styleId="FigureTitle">
    <w:name w:val="Figure Title"/>
    <w:basedOn w:val="Caption"/>
    <w:next w:val="Subtitle"/>
    <w:rsid w:val="006714E1"/>
    <w:rPr>
      <w:sz w:val="24"/>
    </w:rPr>
  </w:style>
  <w:style w:type="paragraph" w:styleId="Subtitle">
    <w:name w:val="Subtitle"/>
    <w:basedOn w:val="Caption"/>
    <w:link w:val="SubtitleChar"/>
    <w:rsid w:val="006714E1"/>
    <w:pPr>
      <w:spacing w:before="0" w:line="200" w:lineRule="exact"/>
      <w:ind w:firstLine="0"/>
    </w:pPr>
    <w:rPr>
      <w:b w:val="0"/>
      <w:sz w:val="20"/>
    </w:rPr>
  </w:style>
  <w:style w:type="paragraph" w:customStyle="1" w:styleId="Finding">
    <w:name w:val="Finding"/>
    <w:basedOn w:val="BodyText"/>
    <w:rsid w:val="006714E1"/>
    <w:pPr>
      <w:keepLines/>
      <w:spacing w:before="180"/>
    </w:pPr>
    <w:rPr>
      <w:i/>
    </w:rPr>
  </w:style>
  <w:style w:type="paragraph" w:customStyle="1" w:styleId="FindingBullet">
    <w:name w:val="Finding Bullet"/>
    <w:basedOn w:val="Finding"/>
    <w:rsid w:val="006714E1"/>
    <w:pPr>
      <w:numPr>
        <w:numId w:val="3"/>
      </w:numPr>
      <w:spacing w:before="80"/>
    </w:pPr>
  </w:style>
  <w:style w:type="paragraph" w:customStyle="1" w:styleId="FindingNoTitle">
    <w:name w:val="Finding NoTitle"/>
    <w:basedOn w:val="Finding"/>
    <w:semiHidden/>
    <w:rsid w:val="006714E1"/>
    <w:pPr>
      <w:spacing w:before="240"/>
    </w:pPr>
  </w:style>
  <w:style w:type="paragraph" w:customStyle="1" w:styleId="RecTitle">
    <w:name w:val="Rec Title"/>
    <w:basedOn w:val="BodyText"/>
    <w:next w:val="Normal"/>
    <w:rsid w:val="006714E1"/>
    <w:pPr>
      <w:keepNext/>
      <w:keepLines/>
    </w:pPr>
    <w:rPr>
      <w:caps/>
      <w:sz w:val="20"/>
    </w:rPr>
  </w:style>
  <w:style w:type="paragraph" w:customStyle="1" w:styleId="FindingTitle">
    <w:name w:val="Finding Title"/>
    <w:basedOn w:val="RecTitle"/>
    <w:next w:val="Finding"/>
    <w:rsid w:val="006714E1"/>
    <w:pPr>
      <w:framePr w:wrap="notBeside" w:hAnchor="text"/>
    </w:pPr>
  </w:style>
  <w:style w:type="character" w:styleId="FootnoteReference">
    <w:name w:val="footnote reference"/>
    <w:basedOn w:val="DefaultParagraphFont"/>
    <w:semiHidden/>
    <w:rsid w:val="006714E1"/>
    <w:rPr>
      <w:rFonts w:ascii="Times New Roman" w:hAnsi="Times New Roman"/>
      <w:position w:val="6"/>
      <w:sz w:val="22"/>
      <w:vertAlign w:val="baseline"/>
    </w:rPr>
  </w:style>
  <w:style w:type="paragraph" w:styleId="FootnoteText">
    <w:name w:val="footnote text"/>
    <w:basedOn w:val="BodyText"/>
    <w:rsid w:val="006714E1"/>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6714E1"/>
    <w:pPr>
      <w:spacing w:before="360" w:after="120"/>
    </w:pPr>
    <w:rPr>
      <w:rFonts w:ascii="Arial" w:hAnsi="Arial"/>
      <w:sz w:val="24"/>
    </w:rPr>
  </w:style>
  <w:style w:type="paragraph" w:customStyle="1" w:styleId="Jurisdictioncommentsbodytext">
    <w:name w:val="Jurisdiction comments body text"/>
    <w:rsid w:val="006714E1"/>
    <w:pPr>
      <w:spacing w:after="140"/>
      <w:jc w:val="both"/>
    </w:pPr>
    <w:rPr>
      <w:rFonts w:ascii="Arial" w:hAnsi="Arial"/>
      <w:sz w:val="24"/>
      <w:lang w:eastAsia="en-US"/>
    </w:rPr>
  </w:style>
  <w:style w:type="paragraph" w:customStyle="1" w:styleId="Jurisdictioncommentsheading">
    <w:name w:val="Jurisdiction comments heading"/>
    <w:rsid w:val="006714E1"/>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6714E1"/>
    <w:pPr>
      <w:numPr>
        <w:numId w:val="4"/>
      </w:numPr>
      <w:spacing w:after="140"/>
      <w:jc w:val="both"/>
    </w:pPr>
    <w:rPr>
      <w:rFonts w:ascii="Arial" w:hAnsi="Arial"/>
      <w:sz w:val="24"/>
      <w:lang w:eastAsia="en-US"/>
    </w:rPr>
  </w:style>
  <w:style w:type="paragraph" w:styleId="ListBullet">
    <w:name w:val="List Bullet"/>
    <w:basedOn w:val="BodyText"/>
    <w:rsid w:val="006714E1"/>
    <w:pPr>
      <w:numPr>
        <w:numId w:val="6"/>
      </w:numPr>
      <w:spacing w:before="120"/>
    </w:pPr>
  </w:style>
  <w:style w:type="paragraph" w:styleId="ListBullet2">
    <w:name w:val="List Bullet 2"/>
    <w:basedOn w:val="BodyText"/>
    <w:rsid w:val="006714E1"/>
    <w:pPr>
      <w:numPr>
        <w:numId w:val="8"/>
      </w:numPr>
      <w:spacing w:before="120"/>
    </w:pPr>
  </w:style>
  <w:style w:type="paragraph" w:styleId="ListBullet3">
    <w:name w:val="List Bullet 3"/>
    <w:basedOn w:val="BodyText"/>
    <w:rsid w:val="006714E1"/>
    <w:pPr>
      <w:numPr>
        <w:numId w:val="10"/>
      </w:numPr>
      <w:spacing w:before="120"/>
    </w:pPr>
  </w:style>
  <w:style w:type="paragraph" w:styleId="ListNumber">
    <w:name w:val="List Number"/>
    <w:basedOn w:val="BodyText"/>
    <w:rsid w:val="006714E1"/>
    <w:pPr>
      <w:numPr>
        <w:numId w:val="32"/>
      </w:numPr>
      <w:spacing w:before="120"/>
    </w:pPr>
  </w:style>
  <w:style w:type="paragraph" w:styleId="ListNumber2">
    <w:name w:val="List Number 2"/>
    <w:basedOn w:val="ListNumber"/>
    <w:rsid w:val="006714E1"/>
    <w:pPr>
      <w:numPr>
        <w:ilvl w:val="1"/>
      </w:numPr>
    </w:pPr>
  </w:style>
  <w:style w:type="paragraph" w:styleId="ListNumber3">
    <w:name w:val="List Number 3"/>
    <w:basedOn w:val="ListNumber2"/>
    <w:rsid w:val="006714E1"/>
    <w:pPr>
      <w:numPr>
        <w:ilvl w:val="2"/>
      </w:numPr>
    </w:pPr>
  </w:style>
  <w:style w:type="character" w:customStyle="1" w:styleId="NoteLabel">
    <w:name w:val="Note Label"/>
    <w:basedOn w:val="DefaultParagraphFont"/>
    <w:rsid w:val="006714E1"/>
    <w:rPr>
      <w:rFonts w:ascii="Arial" w:hAnsi="Arial"/>
      <w:b/>
      <w:position w:val="6"/>
      <w:sz w:val="18"/>
    </w:rPr>
  </w:style>
  <w:style w:type="paragraph" w:customStyle="1" w:styleId="PartDivider">
    <w:name w:val="Part Divider"/>
    <w:basedOn w:val="BodyText"/>
    <w:next w:val="BodyText"/>
    <w:semiHidden/>
    <w:rsid w:val="006714E1"/>
    <w:pPr>
      <w:spacing w:before="0" w:line="40" w:lineRule="exact"/>
      <w:jc w:val="right"/>
    </w:pPr>
    <w:rPr>
      <w:smallCaps/>
      <w:sz w:val="16"/>
    </w:rPr>
  </w:style>
  <w:style w:type="paragraph" w:customStyle="1" w:styleId="PartNumber">
    <w:name w:val="Part Number"/>
    <w:basedOn w:val="BodyText"/>
    <w:next w:val="BodyText"/>
    <w:semiHidden/>
    <w:rsid w:val="006714E1"/>
    <w:pPr>
      <w:spacing w:before="4000" w:line="320" w:lineRule="exact"/>
      <w:ind w:left="6634"/>
      <w:jc w:val="right"/>
    </w:pPr>
    <w:rPr>
      <w:smallCaps/>
      <w:spacing w:val="60"/>
      <w:sz w:val="32"/>
    </w:rPr>
  </w:style>
  <w:style w:type="paragraph" w:customStyle="1" w:styleId="PartTitle">
    <w:name w:val="Part Title"/>
    <w:basedOn w:val="BodyText"/>
    <w:semiHidden/>
    <w:rsid w:val="006714E1"/>
    <w:pPr>
      <w:spacing w:before="160" w:after="1360" w:line="520" w:lineRule="exact"/>
      <w:ind w:right="2381"/>
      <w:jc w:val="right"/>
    </w:pPr>
    <w:rPr>
      <w:smallCaps/>
      <w:sz w:val="52"/>
    </w:rPr>
  </w:style>
  <w:style w:type="paragraph" w:styleId="Quote">
    <w:name w:val="Quote"/>
    <w:basedOn w:val="BodyText"/>
    <w:next w:val="BodyText"/>
    <w:qFormat/>
    <w:rsid w:val="006714E1"/>
    <w:pPr>
      <w:spacing w:before="120" w:line="280" w:lineRule="exact"/>
      <w:ind w:left="340"/>
    </w:pPr>
    <w:rPr>
      <w:sz w:val="24"/>
    </w:rPr>
  </w:style>
  <w:style w:type="paragraph" w:customStyle="1" w:styleId="QuoteBullet">
    <w:name w:val="Quote Bullet"/>
    <w:basedOn w:val="Quote"/>
    <w:rsid w:val="006714E1"/>
    <w:pPr>
      <w:numPr>
        <w:numId w:val="14"/>
      </w:numPr>
    </w:pPr>
  </w:style>
  <w:style w:type="paragraph" w:customStyle="1" w:styleId="Rec">
    <w:name w:val="Rec"/>
    <w:basedOn w:val="BodyText"/>
    <w:rsid w:val="006714E1"/>
    <w:pPr>
      <w:keepLines/>
      <w:spacing w:before="180"/>
    </w:pPr>
    <w:rPr>
      <w:b/>
      <w:i/>
    </w:rPr>
  </w:style>
  <w:style w:type="paragraph" w:customStyle="1" w:styleId="RecBullet">
    <w:name w:val="Rec Bullet"/>
    <w:basedOn w:val="Rec"/>
    <w:rsid w:val="006714E1"/>
    <w:pPr>
      <w:numPr>
        <w:numId w:val="15"/>
      </w:numPr>
      <w:spacing w:before="80"/>
    </w:pPr>
  </w:style>
  <w:style w:type="paragraph" w:customStyle="1" w:styleId="RecB">
    <w:name w:val="RecB"/>
    <w:basedOn w:val="Normal"/>
    <w:semiHidden/>
    <w:rsid w:val="006714E1"/>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6714E1"/>
    <w:pPr>
      <w:numPr>
        <w:numId w:val="16"/>
      </w:numPr>
      <w:spacing w:before="80"/>
    </w:pPr>
  </w:style>
  <w:style w:type="paragraph" w:customStyle="1" w:styleId="RecBNoTitle">
    <w:name w:val="RecB NoTitle"/>
    <w:basedOn w:val="RecB"/>
    <w:semiHidden/>
    <w:rsid w:val="006714E1"/>
    <w:pPr>
      <w:spacing w:before="240"/>
    </w:pPr>
  </w:style>
  <w:style w:type="paragraph" w:customStyle="1" w:styleId="Reference">
    <w:name w:val="Reference"/>
    <w:basedOn w:val="BodyText"/>
    <w:rsid w:val="006714E1"/>
    <w:pPr>
      <w:spacing w:before="120"/>
      <w:ind w:left="340" w:hanging="340"/>
    </w:pPr>
  </w:style>
  <w:style w:type="paragraph" w:customStyle="1" w:styleId="SequenceInfo">
    <w:name w:val="Sequence Info"/>
    <w:basedOn w:val="BodyText"/>
    <w:semiHidden/>
    <w:rsid w:val="006714E1"/>
    <w:rPr>
      <w:vanish/>
      <w:sz w:val="16"/>
    </w:rPr>
  </w:style>
  <w:style w:type="paragraph" w:customStyle="1" w:styleId="SideNote">
    <w:name w:val="Side Note"/>
    <w:basedOn w:val="BodyText"/>
    <w:next w:val="BodyText"/>
    <w:semiHidden/>
    <w:rsid w:val="006714E1"/>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6714E1"/>
    <w:pPr>
      <w:framePr w:wrap="around"/>
      <w:numPr>
        <w:numId w:val="17"/>
      </w:numPr>
      <w:tabs>
        <w:tab w:val="left" w:pos="227"/>
      </w:tabs>
    </w:pPr>
  </w:style>
  <w:style w:type="paragraph" w:customStyle="1" w:styleId="SideNoteGraphic">
    <w:name w:val="Side Note Graphic"/>
    <w:basedOn w:val="SideNote"/>
    <w:next w:val="BodyText"/>
    <w:semiHidden/>
    <w:rsid w:val="006714E1"/>
    <w:pPr>
      <w:framePr w:wrap="around"/>
    </w:pPr>
  </w:style>
  <w:style w:type="paragraph" w:customStyle="1" w:styleId="TableBodyText">
    <w:name w:val="Table Body Text"/>
    <w:basedOn w:val="BodyText"/>
    <w:rsid w:val="006714E1"/>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6714E1"/>
    <w:pPr>
      <w:numPr>
        <w:numId w:val="18"/>
      </w:numPr>
      <w:jc w:val="left"/>
    </w:pPr>
  </w:style>
  <w:style w:type="paragraph" w:customStyle="1" w:styleId="TableColumnHeading">
    <w:name w:val="Table Column Heading"/>
    <w:basedOn w:val="TableBodyText"/>
    <w:rsid w:val="006714E1"/>
    <w:pPr>
      <w:spacing w:before="80" w:after="80"/>
    </w:pPr>
    <w:rPr>
      <w:i/>
    </w:rPr>
  </w:style>
  <w:style w:type="paragraph" w:styleId="TOC2">
    <w:name w:val="toc 2"/>
    <w:basedOn w:val="BodyText"/>
    <w:semiHidden/>
    <w:rsid w:val="006714E1"/>
    <w:pPr>
      <w:tabs>
        <w:tab w:val="right" w:pos="8789"/>
      </w:tabs>
      <w:ind w:left="510" w:right="851" w:hanging="510"/>
      <w:jc w:val="left"/>
    </w:pPr>
    <w:rPr>
      <w:b/>
    </w:rPr>
  </w:style>
  <w:style w:type="paragraph" w:styleId="TOC3">
    <w:name w:val="toc 3"/>
    <w:basedOn w:val="TOC2"/>
    <w:semiHidden/>
    <w:rsid w:val="006714E1"/>
    <w:pPr>
      <w:spacing w:before="60"/>
      <w:ind w:left="1190" w:hanging="680"/>
    </w:pPr>
    <w:rPr>
      <w:b w:val="0"/>
    </w:rPr>
  </w:style>
  <w:style w:type="paragraph" w:styleId="TableofFigures">
    <w:name w:val="table of figures"/>
    <w:basedOn w:val="TOC3"/>
    <w:next w:val="BodyText"/>
    <w:semiHidden/>
    <w:rsid w:val="006714E1"/>
    <w:pPr>
      <w:ind w:left="737" w:hanging="737"/>
    </w:pPr>
  </w:style>
  <w:style w:type="paragraph" w:customStyle="1" w:styleId="TableTitle">
    <w:name w:val="Table Title"/>
    <w:basedOn w:val="Caption"/>
    <w:next w:val="Subtitle"/>
    <w:rsid w:val="006714E1"/>
    <w:rPr>
      <w:sz w:val="24"/>
    </w:rPr>
  </w:style>
  <w:style w:type="paragraph" w:customStyle="1" w:styleId="TableUnitsRow">
    <w:name w:val="Table Units Row"/>
    <w:basedOn w:val="TableBodyText"/>
    <w:rsid w:val="006714E1"/>
    <w:pPr>
      <w:spacing w:before="80" w:after="80"/>
    </w:pPr>
  </w:style>
  <w:style w:type="paragraph" w:styleId="TOC1">
    <w:name w:val="toc 1"/>
    <w:basedOn w:val="Normal"/>
    <w:next w:val="TOC2"/>
    <w:semiHidden/>
    <w:rsid w:val="006714E1"/>
    <w:pPr>
      <w:tabs>
        <w:tab w:val="right" w:pos="8789"/>
      </w:tabs>
      <w:spacing w:before="480" w:after="60" w:line="320" w:lineRule="exact"/>
      <w:ind w:left="1191" w:right="851" w:hanging="1191"/>
    </w:pPr>
    <w:rPr>
      <w:b/>
      <w:caps/>
    </w:rPr>
  </w:style>
  <w:style w:type="paragraph" w:styleId="TOC4">
    <w:name w:val="toc 4"/>
    <w:basedOn w:val="TOC3"/>
    <w:semiHidden/>
    <w:rsid w:val="006714E1"/>
    <w:pPr>
      <w:ind w:left="1191" w:firstLine="0"/>
    </w:pPr>
  </w:style>
  <w:style w:type="paragraph" w:customStyle="1" w:styleId="RecBBullet2">
    <w:name w:val="RecB Bullet 2"/>
    <w:basedOn w:val="ListBullet2"/>
    <w:semiHidden/>
    <w:rsid w:val="006714E1"/>
    <w:pPr>
      <w:pBdr>
        <w:left w:val="single" w:sz="24" w:space="29" w:color="C0C0C0"/>
      </w:pBdr>
    </w:pPr>
    <w:rPr>
      <w:b/>
      <w:i/>
    </w:rPr>
  </w:style>
  <w:style w:type="paragraph" w:styleId="BalloonText">
    <w:name w:val="Balloon Text"/>
    <w:basedOn w:val="Normal"/>
    <w:link w:val="BalloonTextChar"/>
    <w:rsid w:val="006714E1"/>
    <w:rPr>
      <w:rFonts w:ascii="Tahoma" w:hAnsi="Tahoma" w:cs="Tahoma"/>
      <w:sz w:val="16"/>
      <w:szCs w:val="16"/>
    </w:rPr>
  </w:style>
  <w:style w:type="character" w:customStyle="1" w:styleId="BalloonTextChar">
    <w:name w:val="Balloon Text Char"/>
    <w:basedOn w:val="DefaultParagraphFont"/>
    <w:link w:val="BalloonText"/>
    <w:rsid w:val="006714E1"/>
    <w:rPr>
      <w:rFonts w:ascii="Tahoma" w:hAnsi="Tahoma" w:cs="Tahoma"/>
      <w:sz w:val="16"/>
      <w:szCs w:val="16"/>
    </w:rPr>
  </w:style>
  <w:style w:type="character" w:customStyle="1" w:styleId="SubtitleChar">
    <w:name w:val="Subtitle Char"/>
    <w:basedOn w:val="DefaultParagraphFont"/>
    <w:link w:val="Subtitle"/>
    <w:rsid w:val="006714E1"/>
    <w:rPr>
      <w:rFonts w:ascii="Arial" w:hAnsi="Arial"/>
      <w:szCs w:val="24"/>
    </w:rPr>
  </w:style>
  <w:style w:type="paragraph" w:customStyle="1" w:styleId="BoxListBullet3">
    <w:name w:val="Box List Bullet 3"/>
    <w:basedOn w:val="ListBullet3"/>
    <w:rsid w:val="006714E1"/>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6714E1"/>
    <w:rPr>
      <w:i/>
      <w:iCs/>
    </w:rPr>
  </w:style>
  <w:style w:type="paragraph" w:customStyle="1" w:styleId="BoxQuoteBullet">
    <w:name w:val="Box Quote Bullet"/>
    <w:basedOn w:val="BoxQuote"/>
    <w:next w:val="Box"/>
    <w:rsid w:val="006714E1"/>
    <w:pPr>
      <w:numPr>
        <w:numId w:val="45"/>
      </w:numPr>
      <w:ind w:left="568" w:hanging="284"/>
    </w:pPr>
  </w:style>
  <w:style w:type="paragraph" w:customStyle="1" w:styleId="InformationRequestBullet">
    <w:name w:val="Information Request Bullet"/>
    <w:basedOn w:val="ListBullet"/>
    <w:next w:val="BodyText"/>
    <w:rsid w:val="006714E1"/>
    <w:pPr>
      <w:numPr>
        <w:numId w:val="46"/>
      </w:numPr>
      <w:ind w:left="340" w:hanging="340"/>
    </w:pPr>
    <w:rPr>
      <w:rFonts w:ascii="Arial" w:hAnsi="Arial"/>
      <w:i/>
      <w:sz w:val="24"/>
    </w:rPr>
  </w:style>
  <w:style w:type="paragraph" w:customStyle="1" w:styleId="BoxSpaceBelow">
    <w:name w:val="Box Space Below"/>
    <w:basedOn w:val="Box"/>
    <w:rsid w:val="006714E1"/>
    <w:pPr>
      <w:keepNext w:val="0"/>
      <w:spacing w:before="60" w:after="60" w:line="80" w:lineRule="exact"/>
    </w:pPr>
    <w:rPr>
      <w:sz w:val="14"/>
    </w:rPr>
  </w:style>
  <w:style w:type="paragraph" w:customStyle="1" w:styleId="BoxSpace">
    <w:name w:val="Box Space"/>
    <w:basedOn w:val="BodyText"/>
    <w:rsid w:val="00AC1E37"/>
    <w:pPr>
      <w:keepNext/>
      <w:spacing w:before="360" w:line="80" w:lineRule="exact"/>
      <w:jc w:val="left"/>
    </w:pPr>
  </w:style>
  <w:style w:type="character" w:customStyle="1" w:styleId="Heading3Char">
    <w:name w:val="Heading 3 Char"/>
    <w:basedOn w:val="DefaultParagraphFont"/>
    <w:link w:val="Heading3"/>
    <w:rsid w:val="00AC1E37"/>
    <w:rPr>
      <w:rFonts w:ascii="Arial" w:hAnsi="Arial"/>
      <w:b/>
      <w:sz w:val="26"/>
    </w:rPr>
  </w:style>
  <w:style w:type="character" w:styleId="Hyperlink">
    <w:name w:val="Hyperlink"/>
    <w:basedOn w:val="DefaultParagraphFont"/>
    <w:rsid w:val="00AC1E37"/>
    <w:rPr>
      <w:color w:val="0000FF" w:themeColor="hyperlink"/>
      <w:u w:val="single"/>
    </w:rPr>
  </w:style>
  <w:style w:type="table" w:styleId="TableGrid">
    <w:name w:val="Table Grid"/>
    <w:basedOn w:val="TableNormal"/>
    <w:rsid w:val="00130C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93222D"/>
    <w:rPr>
      <w:color w:val="800080" w:themeColor="followedHyperlink"/>
      <w:u w:val="single"/>
    </w:rPr>
  </w:style>
  <w:style w:type="paragraph" w:styleId="CommentSubject">
    <w:name w:val="annotation subject"/>
    <w:basedOn w:val="CommentText"/>
    <w:next w:val="CommentText"/>
    <w:link w:val="CommentSubjectChar"/>
    <w:rsid w:val="005C18F2"/>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5C18F2"/>
    <w:rPr>
      <w:szCs w:val="24"/>
    </w:rPr>
  </w:style>
  <w:style w:type="character" w:customStyle="1" w:styleId="CommentSubjectChar">
    <w:name w:val="Comment Subject Char"/>
    <w:basedOn w:val="CommentTextChar"/>
    <w:link w:val="CommentSubject"/>
    <w:rsid w:val="005C18F2"/>
    <w:rPr>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6714E1"/>
    <w:rPr>
      <w:sz w:val="26"/>
      <w:szCs w:val="24"/>
    </w:rPr>
  </w:style>
  <w:style w:type="paragraph" w:styleId="Heading1">
    <w:name w:val="heading 1"/>
    <w:basedOn w:val="BodyText"/>
    <w:next w:val="BodyText"/>
    <w:rsid w:val="006714E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6714E1"/>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6714E1"/>
    <w:pPr>
      <w:spacing w:before="560" w:line="320" w:lineRule="exact"/>
      <w:ind w:left="0" w:firstLine="0"/>
      <w:outlineLvl w:val="2"/>
    </w:pPr>
    <w:rPr>
      <w:sz w:val="26"/>
    </w:rPr>
  </w:style>
  <w:style w:type="paragraph" w:styleId="Heading4">
    <w:name w:val="heading 4"/>
    <w:basedOn w:val="Heading3"/>
    <w:next w:val="BodyText"/>
    <w:qFormat/>
    <w:rsid w:val="006714E1"/>
    <w:pPr>
      <w:spacing w:before="480"/>
      <w:outlineLvl w:val="3"/>
    </w:pPr>
    <w:rPr>
      <w:b w:val="0"/>
      <w:i/>
      <w:sz w:val="24"/>
    </w:rPr>
  </w:style>
  <w:style w:type="paragraph" w:styleId="Heading5">
    <w:name w:val="heading 5"/>
    <w:basedOn w:val="Heading4"/>
    <w:next w:val="BodyText"/>
    <w:qFormat/>
    <w:rsid w:val="006714E1"/>
    <w:pPr>
      <w:outlineLvl w:val="4"/>
    </w:pPr>
    <w:rPr>
      <w:rFonts w:ascii="Times New Roman" w:hAnsi="Times New Roman"/>
      <w:sz w:val="26"/>
    </w:rPr>
  </w:style>
  <w:style w:type="paragraph" w:styleId="Heading6">
    <w:name w:val="heading 6"/>
    <w:basedOn w:val="BodyText"/>
    <w:next w:val="BodyText"/>
    <w:rsid w:val="006714E1"/>
    <w:pPr>
      <w:spacing w:after="60"/>
      <w:jc w:val="left"/>
      <w:outlineLvl w:val="5"/>
    </w:pPr>
    <w:rPr>
      <w:i/>
      <w:sz w:val="22"/>
    </w:rPr>
  </w:style>
  <w:style w:type="paragraph" w:styleId="Heading7">
    <w:name w:val="heading 7"/>
    <w:basedOn w:val="BodyText"/>
    <w:next w:val="BodyText"/>
    <w:rsid w:val="006714E1"/>
    <w:pPr>
      <w:spacing w:after="60" w:line="240" w:lineRule="auto"/>
      <w:jc w:val="left"/>
      <w:outlineLvl w:val="6"/>
    </w:pPr>
    <w:rPr>
      <w:rFonts w:ascii="Arial" w:hAnsi="Arial"/>
      <w:sz w:val="20"/>
    </w:rPr>
  </w:style>
  <w:style w:type="paragraph" w:styleId="Heading8">
    <w:name w:val="heading 8"/>
    <w:basedOn w:val="BodyText"/>
    <w:next w:val="BodyText"/>
    <w:rsid w:val="006714E1"/>
    <w:pPr>
      <w:spacing w:after="60" w:line="240" w:lineRule="auto"/>
      <w:jc w:val="left"/>
      <w:outlineLvl w:val="7"/>
    </w:pPr>
    <w:rPr>
      <w:rFonts w:ascii="Arial" w:hAnsi="Arial"/>
      <w:i/>
      <w:sz w:val="20"/>
    </w:rPr>
  </w:style>
  <w:style w:type="paragraph" w:styleId="Heading9">
    <w:name w:val="heading 9"/>
    <w:basedOn w:val="BodyText"/>
    <w:next w:val="BodyText"/>
    <w:rsid w:val="006714E1"/>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6714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714E1"/>
  </w:style>
  <w:style w:type="paragraph" w:styleId="BodyText">
    <w:name w:val="Body Text"/>
    <w:qFormat/>
    <w:rsid w:val="006714E1"/>
    <w:pPr>
      <w:spacing w:before="240" w:line="320" w:lineRule="atLeast"/>
      <w:jc w:val="both"/>
    </w:pPr>
    <w:rPr>
      <w:sz w:val="26"/>
    </w:rPr>
  </w:style>
  <w:style w:type="paragraph" w:styleId="Footer">
    <w:name w:val="footer"/>
    <w:basedOn w:val="BodyText"/>
    <w:semiHidden/>
    <w:rsid w:val="006714E1"/>
    <w:pPr>
      <w:spacing w:before="80" w:line="200" w:lineRule="exact"/>
      <w:ind w:right="6"/>
      <w:jc w:val="left"/>
    </w:pPr>
    <w:rPr>
      <w:caps/>
      <w:spacing w:val="-4"/>
      <w:sz w:val="16"/>
    </w:rPr>
  </w:style>
  <w:style w:type="paragraph" w:customStyle="1" w:styleId="FooterEnd">
    <w:name w:val="Footer End"/>
    <w:basedOn w:val="Footer"/>
    <w:rsid w:val="006714E1"/>
    <w:pPr>
      <w:spacing w:before="0" w:line="20" w:lineRule="exact"/>
    </w:pPr>
  </w:style>
  <w:style w:type="paragraph" w:styleId="Header">
    <w:name w:val="header"/>
    <w:basedOn w:val="BodyText"/>
    <w:rsid w:val="006714E1"/>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6714E1"/>
    <w:pPr>
      <w:spacing w:line="20" w:lineRule="exact"/>
    </w:pPr>
    <w:rPr>
      <w:sz w:val="16"/>
    </w:rPr>
  </w:style>
  <w:style w:type="paragraph" w:customStyle="1" w:styleId="HeaderEven">
    <w:name w:val="Header Even"/>
    <w:basedOn w:val="Header"/>
    <w:semiHidden/>
    <w:rsid w:val="006714E1"/>
  </w:style>
  <w:style w:type="paragraph" w:customStyle="1" w:styleId="HeaderOdd">
    <w:name w:val="Header Odd"/>
    <w:basedOn w:val="Header"/>
    <w:semiHidden/>
    <w:rsid w:val="006714E1"/>
  </w:style>
  <w:style w:type="character" w:styleId="PageNumber">
    <w:name w:val="page number"/>
    <w:basedOn w:val="DefaultParagraphFont"/>
    <w:rsid w:val="006714E1"/>
    <w:rPr>
      <w:rFonts w:ascii="Arial" w:hAnsi="Arial"/>
      <w:b/>
      <w:sz w:val="16"/>
    </w:rPr>
  </w:style>
  <w:style w:type="paragraph" w:customStyle="1" w:styleId="Abbreviation">
    <w:name w:val="Abbreviation"/>
    <w:basedOn w:val="BodyText"/>
    <w:rsid w:val="006714E1"/>
    <w:pPr>
      <w:spacing w:before="120"/>
      <w:ind w:left="2381" w:hanging="2381"/>
      <w:jc w:val="left"/>
    </w:pPr>
  </w:style>
  <w:style w:type="paragraph" w:customStyle="1" w:styleId="Box">
    <w:name w:val="Box"/>
    <w:basedOn w:val="BodyText"/>
    <w:qFormat/>
    <w:rsid w:val="006714E1"/>
    <w:pPr>
      <w:keepNext/>
      <w:spacing w:before="120" w:line="280" w:lineRule="atLeast"/>
    </w:pPr>
    <w:rPr>
      <w:rFonts w:ascii="Arial" w:hAnsi="Arial"/>
      <w:sz w:val="22"/>
    </w:rPr>
  </w:style>
  <w:style w:type="paragraph" w:customStyle="1" w:styleId="BoxContinued">
    <w:name w:val="Box Continued"/>
    <w:basedOn w:val="BodyText"/>
    <w:next w:val="BodyText"/>
    <w:semiHidden/>
    <w:rsid w:val="006714E1"/>
    <w:pPr>
      <w:spacing w:before="180" w:line="220" w:lineRule="exact"/>
      <w:jc w:val="right"/>
    </w:pPr>
    <w:rPr>
      <w:rFonts w:ascii="Arial" w:hAnsi="Arial"/>
      <w:sz w:val="18"/>
    </w:rPr>
  </w:style>
  <w:style w:type="paragraph" w:customStyle="1" w:styleId="BoxHeading1">
    <w:name w:val="Box Heading 1"/>
    <w:basedOn w:val="BodyText"/>
    <w:next w:val="Box"/>
    <w:rsid w:val="006714E1"/>
    <w:pPr>
      <w:keepNext/>
      <w:spacing w:before="200" w:line="280" w:lineRule="atLeast"/>
    </w:pPr>
    <w:rPr>
      <w:rFonts w:ascii="Arial" w:hAnsi="Arial"/>
      <w:b/>
      <w:sz w:val="22"/>
    </w:rPr>
  </w:style>
  <w:style w:type="paragraph" w:customStyle="1" w:styleId="BoxHeading2">
    <w:name w:val="Box Heading 2"/>
    <w:basedOn w:val="BoxHeading1"/>
    <w:next w:val="Normal"/>
    <w:rsid w:val="006714E1"/>
    <w:rPr>
      <w:b w:val="0"/>
      <w:i/>
    </w:rPr>
  </w:style>
  <w:style w:type="paragraph" w:customStyle="1" w:styleId="BoxListBullet">
    <w:name w:val="Box List Bullet"/>
    <w:basedOn w:val="BodyText"/>
    <w:rsid w:val="006714E1"/>
    <w:pPr>
      <w:keepNext/>
      <w:numPr>
        <w:numId w:val="1"/>
      </w:numPr>
      <w:spacing w:before="60" w:line="280" w:lineRule="atLeast"/>
    </w:pPr>
    <w:rPr>
      <w:rFonts w:ascii="Arial" w:hAnsi="Arial"/>
      <w:sz w:val="22"/>
    </w:rPr>
  </w:style>
  <w:style w:type="paragraph" w:customStyle="1" w:styleId="BoxListBullet2">
    <w:name w:val="Box List Bullet 2"/>
    <w:basedOn w:val="BodyText"/>
    <w:rsid w:val="006714E1"/>
    <w:pPr>
      <w:keepNext/>
      <w:numPr>
        <w:numId w:val="2"/>
      </w:numPr>
      <w:spacing w:before="60" w:line="280" w:lineRule="atLeast"/>
    </w:pPr>
    <w:rPr>
      <w:rFonts w:ascii="Arial" w:hAnsi="Arial"/>
      <w:sz w:val="22"/>
    </w:rPr>
  </w:style>
  <w:style w:type="paragraph" w:customStyle="1" w:styleId="BoxListNumber">
    <w:name w:val="Box List Number"/>
    <w:basedOn w:val="BodyText"/>
    <w:rsid w:val="006714E1"/>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6714E1"/>
    <w:pPr>
      <w:numPr>
        <w:ilvl w:val="1"/>
      </w:numPr>
    </w:pPr>
  </w:style>
  <w:style w:type="paragraph" w:customStyle="1" w:styleId="BoxQuote">
    <w:name w:val="Box Quote"/>
    <w:basedOn w:val="BodyText"/>
    <w:next w:val="Box"/>
    <w:rsid w:val="006714E1"/>
    <w:pPr>
      <w:keepNext/>
      <w:spacing w:before="60" w:line="260" w:lineRule="exact"/>
      <w:ind w:left="284"/>
    </w:pPr>
    <w:rPr>
      <w:rFonts w:ascii="Arial" w:hAnsi="Arial"/>
      <w:sz w:val="20"/>
    </w:rPr>
  </w:style>
  <w:style w:type="paragraph" w:customStyle="1" w:styleId="Note">
    <w:name w:val="Note"/>
    <w:basedOn w:val="BodyText"/>
    <w:next w:val="BodyText"/>
    <w:rsid w:val="006714E1"/>
    <w:pPr>
      <w:keepLines/>
      <w:spacing w:before="80" w:line="220" w:lineRule="exact"/>
    </w:pPr>
    <w:rPr>
      <w:rFonts w:ascii="Arial" w:hAnsi="Arial"/>
      <w:sz w:val="18"/>
    </w:rPr>
  </w:style>
  <w:style w:type="paragraph" w:customStyle="1" w:styleId="Source">
    <w:name w:val="Source"/>
    <w:basedOn w:val="Note"/>
    <w:next w:val="BodyText"/>
    <w:rsid w:val="006714E1"/>
    <w:pPr>
      <w:spacing w:after="120"/>
    </w:pPr>
  </w:style>
  <w:style w:type="paragraph" w:customStyle="1" w:styleId="BoxSource">
    <w:name w:val="Box Source"/>
    <w:basedOn w:val="Source"/>
    <w:next w:val="BodyText"/>
    <w:rsid w:val="006714E1"/>
    <w:pPr>
      <w:spacing w:before="180" w:after="0"/>
    </w:pPr>
  </w:style>
  <w:style w:type="paragraph" w:customStyle="1" w:styleId="BoxSpaceAbove">
    <w:name w:val="Box Space Above"/>
    <w:basedOn w:val="BodyText"/>
    <w:rsid w:val="006714E1"/>
    <w:pPr>
      <w:keepNext/>
      <w:spacing w:before="360" w:line="80" w:lineRule="exact"/>
      <w:jc w:val="left"/>
    </w:pPr>
  </w:style>
  <w:style w:type="paragraph" w:styleId="Caption">
    <w:name w:val="caption"/>
    <w:basedOn w:val="Normal"/>
    <w:next w:val="BodyText"/>
    <w:rsid w:val="006714E1"/>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6714E1"/>
    <w:pPr>
      <w:spacing w:before="120" w:after="0"/>
      <w:ind w:left="1304" w:hanging="1304"/>
    </w:pPr>
    <w:rPr>
      <w:sz w:val="24"/>
    </w:rPr>
  </w:style>
  <w:style w:type="paragraph" w:customStyle="1" w:styleId="BoxSubtitle">
    <w:name w:val="Box Subtitle"/>
    <w:basedOn w:val="BoxTitle"/>
    <w:next w:val="Normal"/>
    <w:rsid w:val="006714E1"/>
    <w:pPr>
      <w:spacing w:after="80" w:line="200" w:lineRule="exact"/>
      <w:ind w:firstLine="0"/>
    </w:pPr>
    <w:rPr>
      <w:b w:val="0"/>
      <w:sz w:val="20"/>
    </w:rPr>
  </w:style>
  <w:style w:type="paragraph" w:customStyle="1" w:styleId="Chapter">
    <w:name w:val="Chapter"/>
    <w:basedOn w:val="Heading1"/>
    <w:next w:val="BodyText"/>
    <w:semiHidden/>
    <w:rsid w:val="006714E1"/>
    <w:pPr>
      <w:ind w:left="0" w:firstLine="0"/>
      <w:outlineLvl w:val="9"/>
    </w:pPr>
  </w:style>
  <w:style w:type="paragraph" w:customStyle="1" w:styleId="ChapterSummary">
    <w:name w:val="Chapter Summary"/>
    <w:basedOn w:val="BodyText"/>
    <w:rsid w:val="006714E1"/>
    <w:pPr>
      <w:ind w:left="907"/>
    </w:pPr>
    <w:rPr>
      <w:rFonts w:ascii="Arial" w:hAnsi="Arial"/>
      <w:b/>
      <w:sz w:val="22"/>
    </w:rPr>
  </w:style>
  <w:style w:type="character" w:styleId="CommentReference">
    <w:name w:val="annotation reference"/>
    <w:basedOn w:val="DefaultParagraphFont"/>
    <w:semiHidden/>
    <w:rsid w:val="006714E1"/>
    <w:rPr>
      <w:b/>
      <w:vanish/>
      <w:color w:val="FF00FF"/>
      <w:sz w:val="20"/>
    </w:rPr>
  </w:style>
  <w:style w:type="paragraph" w:styleId="CommentText">
    <w:name w:val="annotation text"/>
    <w:basedOn w:val="Normal"/>
    <w:link w:val="CommentTextChar"/>
    <w:semiHidden/>
    <w:rsid w:val="006714E1"/>
    <w:pPr>
      <w:spacing w:before="120" w:line="240" w:lineRule="atLeast"/>
      <w:ind w:left="567" w:hanging="567"/>
    </w:pPr>
    <w:rPr>
      <w:sz w:val="20"/>
    </w:rPr>
  </w:style>
  <w:style w:type="paragraph" w:customStyle="1" w:styleId="Continued">
    <w:name w:val="Continued"/>
    <w:basedOn w:val="BoxContinued"/>
    <w:next w:val="BodyText"/>
    <w:rsid w:val="006714E1"/>
  </w:style>
  <w:style w:type="character" w:customStyle="1" w:styleId="DocumentInfo">
    <w:name w:val="Document Info"/>
    <w:basedOn w:val="DefaultParagraphFont"/>
    <w:semiHidden/>
    <w:rsid w:val="006714E1"/>
    <w:rPr>
      <w:rFonts w:ascii="Arial" w:hAnsi="Arial"/>
      <w:sz w:val="14"/>
    </w:rPr>
  </w:style>
  <w:style w:type="character" w:customStyle="1" w:styleId="DraftingNote">
    <w:name w:val="Drafting Note"/>
    <w:basedOn w:val="DefaultParagraphFont"/>
    <w:rsid w:val="006714E1"/>
    <w:rPr>
      <w:b/>
      <w:color w:val="FF0000"/>
      <w:sz w:val="24"/>
      <w:u w:val="dotted"/>
    </w:rPr>
  </w:style>
  <w:style w:type="paragraph" w:customStyle="1" w:styleId="Figure">
    <w:name w:val="Figure"/>
    <w:basedOn w:val="BodyText"/>
    <w:rsid w:val="006714E1"/>
    <w:pPr>
      <w:keepNext/>
      <w:spacing w:before="120" w:after="120" w:line="240" w:lineRule="atLeast"/>
      <w:jc w:val="center"/>
    </w:pPr>
  </w:style>
  <w:style w:type="paragraph" w:customStyle="1" w:styleId="FigureTitle">
    <w:name w:val="Figure Title"/>
    <w:basedOn w:val="Caption"/>
    <w:next w:val="Subtitle"/>
    <w:rsid w:val="006714E1"/>
    <w:rPr>
      <w:sz w:val="24"/>
    </w:rPr>
  </w:style>
  <w:style w:type="paragraph" w:styleId="Subtitle">
    <w:name w:val="Subtitle"/>
    <w:basedOn w:val="Caption"/>
    <w:link w:val="SubtitleChar"/>
    <w:rsid w:val="006714E1"/>
    <w:pPr>
      <w:spacing w:before="0" w:line="200" w:lineRule="exact"/>
      <w:ind w:firstLine="0"/>
    </w:pPr>
    <w:rPr>
      <w:b w:val="0"/>
      <w:sz w:val="20"/>
    </w:rPr>
  </w:style>
  <w:style w:type="paragraph" w:customStyle="1" w:styleId="Finding">
    <w:name w:val="Finding"/>
    <w:basedOn w:val="BodyText"/>
    <w:rsid w:val="006714E1"/>
    <w:pPr>
      <w:keepLines/>
      <w:spacing w:before="180"/>
    </w:pPr>
    <w:rPr>
      <w:i/>
    </w:rPr>
  </w:style>
  <w:style w:type="paragraph" w:customStyle="1" w:styleId="FindingBullet">
    <w:name w:val="Finding Bullet"/>
    <w:basedOn w:val="Finding"/>
    <w:rsid w:val="006714E1"/>
    <w:pPr>
      <w:numPr>
        <w:numId w:val="3"/>
      </w:numPr>
      <w:spacing w:before="80"/>
    </w:pPr>
  </w:style>
  <w:style w:type="paragraph" w:customStyle="1" w:styleId="FindingNoTitle">
    <w:name w:val="Finding NoTitle"/>
    <w:basedOn w:val="Finding"/>
    <w:semiHidden/>
    <w:rsid w:val="006714E1"/>
    <w:pPr>
      <w:spacing w:before="240"/>
    </w:pPr>
  </w:style>
  <w:style w:type="paragraph" w:customStyle="1" w:styleId="RecTitle">
    <w:name w:val="Rec Title"/>
    <w:basedOn w:val="BodyText"/>
    <w:next w:val="Normal"/>
    <w:rsid w:val="006714E1"/>
    <w:pPr>
      <w:keepNext/>
      <w:keepLines/>
    </w:pPr>
    <w:rPr>
      <w:caps/>
      <w:sz w:val="20"/>
    </w:rPr>
  </w:style>
  <w:style w:type="paragraph" w:customStyle="1" w:styleId="FindingTitle">
    <w:name w:val="Finding Title"/>
    <w:basedOn w:val="RecTitle"/>
    <w:next w:val="Finding"/>
    <w:rsid w:val="006714E1"/>
    <w:pPr>
      <w:framePr w:wrap="notBeside" w:hAnchor="text"/>
    </w:pPr>
  </w:style>
  <w:style w:type="character" w:styleId="FootnoteReference">
    <w:name w:val="footnote reference"/>
    <w:basedOn w:val="DefaultParagraphFont"/>
    <w:semiHidden/>
    <w:rsid w:val="006714E1"/>
    <w:rPr>
      <w:rFonts w:ascii="Times New Roman" w:hAnsi="Times New Roman"/>
      <w:position w:val="6"/>
      <w:sz w:val="22"/>
      <w:vertAlign w:val="baseline"/>
    </w:rPr>
  </w:style>
  <w:style w:type="paragraph" w:styleId="FootnoteText">
    <w:name w:val="footnote text"/>
    <w:basedOn w:val="BodyText"/>
    <w:rsid w:val="006714E1"/>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6714E1"/>
    <w:pPr>
      <w:spacing w:before="360" w:after="120"/>
    </w:pPr>
    <w:rPr>
      <w:rFonts w:ascii="Arial" w:hAnsi="Arial"/>
      <w:sz w:val="24"/>
    </w:rPr>
  </w:style>
  <w:style w:type="paragraph" w:customStyle="1" w:styleId="Jurisdictioncommentsbodytext">
    <w:name w:val="Jurisdiction comments body text"/>
    <w:rsid w:val="006714E1"/>
    <w:pPr>
      <w:spacing w:after="140"/>
      <w:jc w:val="both"/>
    </w:pPr>
    <w:rPr>
      <w:rFonts w:ascii="Arial" w:hAnsi="Arial"/>
      <w:sz w:val="24"/>
      <w:lang w:eastAsia="en-US"/>
    </w:rPr>
  </w:style>
  <w:style w:type="paragraph" w:customStyle="1" w:styleId="Jurisdictioncommentsheading">
    <w:name w:val="Jurisdiction comments heading"/>
    <w:rsid w:val="006714E1"/>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6714E1"/>
    <w:pPr>
      <w:numPr>
        <w:numId w:val="4"/>
      </w:numPr>
      <w:spacing w:after="140"/>
      <w:jc w:val="both"/>
    </w:pPr>
    <w:rPr>
      <w:rFonts w:ascii="Arial" w:hAnsi="Arial"/>
      <w:sz w:val="24"/>
      <w:lang w:eastAsia="en-US"/>
    </w:rPr>
  </w:style>
  <w:style w:type="paragraph" w:styleId="ListBullet">
    <w:name w:val="List Bullet"/>
    <w:basedOn w:val="BodyText"/>
    <w:rsid w:val="006714E1"/>
    <w:pPr>
      <w:numPr>
        <w:numId w:val="6"/>
      </w:numPr>
      <w:spacing w:before="120"/>
    </w:pPr>
  </w:style>
  <w:style w:type="paragraph" w:styleId="ListBullet2">
    <w:name w:val="List Bullet 2"/>
    <w:basedOn w:val="BodyText"/>
    <w:rsid w:val="006714E1"/>
    <w:pPr>
      <w:numPr>
        <w:numId w:val="8"/>
      </w:numPr>
      <w:spacing w:before="120"/>
    </w:pPr>
  </w:style>
  <w:style w:type="paragraph" w:styleId="ListBullet3">
    <w:name w:val="List Bullet 3"/>
    <w:basedOn w:val="BodyText"/>
    <w:rsid w:val="006714E1"/>
    <w:pPr>
      <w:numPr>
        <w:numId w:val="10"/>
      </w:numPr>
      <w:spacing w:before="120"/>
    </w:pPr>
  </w:style>
  <w:style w:type="paragraph" w:styleId="ListNumber">
    <w:name w:val="List Number"/>
    <w:basedOn w:val="BodyText"/>
    <w:rsid w:val="006714E1"/>
    <w:pPr>
      <w:numPr>
        <w:numId w:val="32"/>
      </w:numPr>
      <w:spacing w:before="120"/>
    </w:pPr>
  </w:style>
  <w:style w:type="paragraph" w:styleId="ListNumber2">
    <w:name w:val="List Number 2"/>
    <w:basedOn w:val="ListNumber"/>
    <w:rsid w:val="006714E1"/>
    <w:pPr>
      <w:numPr>
        <w:ilvl w:val="1"/>
      </w:numPr>
    </w:pPr>
  </w:style>
  <w:style w:type="paragraph" w:styleId="ListNumber3">
    <w:name w:val="List Number 3"/>
    <w:basedOn w:val="ListNumber2"/>
    <w:rsid w:val="006714E1"/>
    <w:pPr>
      <w:numPr>
        <w:ilvl w:val="2"/>
      </w:numPr>
    </w:pPr>
  </w:style>
  <w:style w:type="character" w:customStyle="1" w:styleId="NoteLabel">
    <w:name w:val="Note Label"/>
    <w:basedOn w:val="DefaultParagraphFont"/>
    <w:rsid w:val="006714E1"/>
    <w:rPr>
      <w:rFonts w:ascii="Arial" w:hAnsi="Arial"/>
      <w:b/>
      <w:position w:val="6"/>
      <w:sz w:val="18"/>
    </w:rPr>
  </w:style>
  <w:style w:type="paragraph" w:customStyle="1" w:styleId="PartDivider">
    <w:name w:val="Part Divider"/>
    <w:basedOn w:val="BodyText"/>
    <w:next w:val="BodyText"/>
    <w:semiHidden/>
    <w:rsid w:val="006714E1"/>
    <w:pPr>
      <w:spacing w:before="0" w:line="40" w:lineRule="exact"/>
      <w:jc w:val="right"/>
    </w:pPr>
    <w:rPr>
      <w:smallCaps/>
      <w:sz w:val="16"/>
    </w:rPr>
  </w:style>
  <w:style w:type="paragraph" w:customStyle="1" w:styleId="PartNumber">
    <w:name w:val="Part Number"/>
    <w:basedOn w:val="BodyText"/>
    <w:next w:val="BodyText"/>
    <w:semiHidden/>
    <w:rsid w:val="006714E1"/>
    <w:pPr>
      <w:spacing w:before="4000" w:line="320" w:lineRule="exact"/>
      <w:ind w:left="6634"/>
      <w:jc w:val="right"/>
    </w:pPr>
    <w:rPr>
      <w:smallCaps/>
      <w:spacing w:val="60"/>
      <w:sz w:val="32"/>
    </w:rPr>
  </w:style>
  <w:style w:type="paragraph" w:customStyle="1" w:styleId="PartTitle">
    <w:name w:val="Part Title"/>
    <w:basedOn w:val="BodyText"/>
    <w:semiHidden/>
    <w:rsid w:val="006714E1"/>
    <w:pPr>
      <w:spacing w:before="160" w:after="1360" w:line="520" w:lineRule="exact"/>
      <w:ind w:right="2381"/>
      <w:jc w:val="right"/>
    </w:pPr>
    <w:rPr>
      <w:smallCaps/>
      <w:sz w:val="52"/>
    </w:rPr>
  </w:style>
  <w:style w:type="paragraph" w:styleId="Quote">
    <w:name w:val="Quote"/>
    <w:basedOn w:val="BodyText"/>
    <w:next w:val="BodyText"/>
    <w:qFormat/>
    <w:rsid w:val="006714E1"/>
    <w:pPr>
      <w:spacing w:before="120" w:line="280" w:lineRule="exact"/>
      <w:ind w:left="340"/>
    </w:pPr>
    <w:rPr>
      <w:sz w:val="24"/>
    </w:rPr>
  </w:style>
  <w:style w:type="paragraph" w:customStyle="1" w:styleId="QuoteBullet">
    <w:name w:val="Quote Bullet"/>
    <w:basedOn w:val="Quote"/>
    <w:rsid w:val="006714E1"/>
    <w:pPr>
      <w:numPr>
        <w:numId w:val="14"/>
      </w:numPr>
    </w:pPr>
  </w:style>
  <w:style w:type="paragraph" w:customStyle="1" w:styleId="Rec">
    <w:name w:val="Rec"/>
    <w:basedOn w:val="BodyText"/>
    <w:rsid w:val="006714E1"/>
    <w:pPr>
      <w:keepLines/>
      <w:spacing w:before="180"/>
    </w:pPr>
    <w:rPr>
      <w:b/>
      <w:i/>
    </w:rPr>
  </w:style>
  <w:style w:type="paragraph" w:customStyle="1" w:styleId="RecBullet">
    <w:name w:val="Rec Bullet"/>
    <w:basedOn w:val="Rec"/>
    <w:rsid w:val="006714E1"/>
    <w:pPr>
      <w:numPr>
        <w:numId w:val="15"/>
      </w:numPr>
      <w:spacing w:before="80"/>
    </w:pPr>
  </w:style>
  <w:style w:type="paragraph" w:customStyle="1" w:styleId="RecB">
    <w:name w:val="RecB"/>
    <w:basedOn w:val="Normal"/>
    <w:semiHidden/>
    <w:rsid w:val="006714E1"/>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6714E1"/>
    <w:pPr>
      <w:numPr>
        <w:numId w:val="16"/>
      </w:numPr>
      <w:spacing w:before="80"/>
    </w:pPr>
  </w:style>
  <w:style w:type="paragraph" w:customStyle="1" w:styleId="RecBNoTitle">
    <w:name w:val="RecB NoTitle"/>
    <w:basedOn w:val="RecB"/>
    <w:semiHidden/>
    <w:rsid w:val="006714E1"/>
    <w:pPr>
      <w:spacing w:before="240"/>
    </w:pPr>
  </w:style>
  <w:style w:type="paragraph" w:customStyle="1" w:styleId="Reference">
    <w:name w:val="Reference"/>
    <w:basedOn w:val="BodyText"/>
    <w:rsid w:val="006714E1"/>
    <w:pPr>
      <w:spacing w:before="120"/>
      <w:ind w:left="340" w:hanging="340"/>
    </w:pPr>
  </w:style>
  <w:style w:type="paragraph" w:customStyle="1" w:styleId="SequenceInfo">
    <w:name w:val="Sequence Info"/>
    <w:basedOn w:val="BodyText"/>
    <w:semiHidden/>
    <w:rsid w:val="006714E1"/>
    <w:rPr>
      <w:vanish/>
      <w:sz w:val="16"/>
    </w:rPr>
  </w:style>
  <w:style w:type="paragraph" w:customStyle="1" w:styleId="SideNote">
    <w:name w:val="Side Note"/>
    <w:basedOn w:val="BodyText"/>
    <w:next w:val="BodyText"/>
    <w:semiHidden/>
    <w:rsid w:val="006714E1"/>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6714E1"/>
    <w:pPr>
      <w:framePr w:wrap="around"/>
      <w:numPr>
        <w:numId w:val="17"/>
      </w:numPr>
      <w:tabs>
        <w:tab w:val="left" w:pos="227"/>
      </w:tabs>
    </w:pPr>
  </w:style>
  <w:style w:type="paragraph" w:customStyle="1" w:styleId="SideNoteGraphic">
    <w:name w:val="Side Note Graphic"/>
    <w:basedOn w:val="SideNote"/>
    <w:next w:val="BodyText"/>
    <w:semiHidden/>
    <w:rsid w:val="006714E1"/>
    <w:pPr>
      <w:framePr w:wrap="around"/>
    </w:pPr>
  </w:style>
  <w:style w:type="paragraph" w:customStyle="1" w:styleId="TableBodyText">
    <w:name w:val="Table Body Text"/>
    <w:basedOn w:val="BodyText"/>
    <w:rsid w:val="006714E1"/>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6714E1"/>
    <w:pPr>
      <w:numPr>
        <w:numId w:val="18"/>
      </w:numPr>
      <w:jc w:val="left"/>
    </w:pPr>
  </w:style>
  <w:style w:type="paragraph" w:customStyle="1" w:styleId="TableColumnHeading">
    <w:name w:val="Table Column Heading"/>
    <w:basedOn w:val="TableBodyText"/>
    <w:rsid w:val="006714E1"/>
    <w:pPr>
      <w:spacing w:before="80" w:after="80"/>
    </w:pPr>
    <w:rPr>
      <w:i/>
    </w:rPr>
  </w:style>
  <w:style w:type="paragraph" w:styleId="TOC2">
    <w:name w:val="toc 2"/>
    <w:basedOn w:val="BodyText"/>
    <w:semiHidden/>
    <w:rsid w:val="006714E1"/>
    <w:pPr>
      <w:tabs>
        <w:tab w:val="right" w:pos="8789"/>
      </w:tabs>
      <w:ind w:left="510" w:right="851" w:hanging="510"/>
      <w:jc w:val="left"/>
    </w:pPr>
    <w:rPr>
      <w:b/>
    </w:rPr>
  </w:style>
  <w:style w:type="paragraph" w:styleId="TOC3">
    <w:name w:val="toc 3"/>
    <w:basedOn w:val="TOC2"/>
    <w:semiHidden/>
    <w:rsid w:val="006714E1"/>
    <w:pPr>
      <w:spacing w:before="60"/>
      <w:ind w:left="1190" w:hanging="680"/>
    </w:pPr>
    <w:rPr>
      <w:b w:val="0"/>
    </w:rPr>
  </w:style>
  <w:style w:type="paragraph" w:styleId="TableofFigures">
    <w:name w:val="table of figures"/>
    <w:basedOn w:val="TOC3"/>
    <w:next w:val="BodyText"/>
    <w:semiHidden/>
    <w:rsid w:val="006714E1"/>
    <w:pPr>
      <w:ind w:left="737" w:hanging="737"/>
    </w:pPr>
  </w:style>
  <w:style w:type="paragraph" w:customStyle="1" w:styleId="TableTitle">
    <w:name w:val="Table Title"/>
    <w:basedOn w:val="Caption"/>
    <w:next w:val="Subtitle"/>
    <w:rsid w:val="006714E1"/>
    <w:rPr>
      <w:sz w:val="24"/>
    </w:rPr>
  </w:style>
  <w:style w:type="paragraph" w:customStyle="1" w:styleId="TableUnitsRow">
    <w:name w:val="Table Units Row"/>
    <w:basedOn w:val="TableBodyText"/>
    <w:rsid w:val="006714E1"/>
    <w:pPr>
      <w:spacing w:before="80" w:after="80"/>
    </w:pPr>
  </w:style>
  <w:style w:type="paragraph" w:styleId="TOC1">
    <w:name w:val="toc 1"/>
    <w:basedOn w:val="Normal"/>
    <w:next w:val="TOC2"/>
    <w:semiHidden/>
    <w:rsid w:val="006714E1"/>
    <w:pPr>
      <w:tabs>
        <w:tab w:val="right" w:pos="8789"/>
      </w:tabs>
      <w:spacing w:before="480" w:after="60" w:line="320" w:lineRule="exact"/>
      <w:ind w:left="1191" w:right="851" w:hanging="1191"/>
    </w:pPr>
    <w:rPr>
      <w:b/>
      <w:caps/>
    </w:rPr>
  </w:style>
  <w:style w:type="paragraph" w:styleId="TOC4">
    <w:name w:val="toc 4"/>
    <w:basedOn w:val="TOC3"/>
    <w:semiHidden/>
    <w:rsid w:val="006714E1"/>
    <w:pPr>
      <w:ind w:left="1191" w:firstLine="0"/>
    </w:pPr>
  </w:style>
  <w:style w:type="paragraph" w:customStyle="1" w:styleId="RecBBullet2">
    <w:name w:val="RecB Bullet 2"/>
    <w:basedOn w:val="ListBullet2"/>
    <w:semiHidden/>
    <w:rsid w:val="006714E1"/>
    <w:pPr>
      <w:pBdr>
        <w:left w:val="single" w:sz="24" w:space="29" w:color="C0C0C0"/>
      </w:pBdr>
    </w:pPr>
    <w:rPr>
      <w:b/>
      <w:i/>
    </w:rPr>
  </w:style>
  <w:style w:type="paragraph" w:styleId="BalloonText">
    <w:name w:val="Balloon Text"/>
    <w:basedOn w:val="Normal"/>
    <w:link w:val="BalloonTextChar"/>
    <w:rsid w:val="006714E1"/>
    <w:rPr>
      <w:rFonts w:ascii="Tahoma" w:hAnsi="Tahoma" w:cs="Tahoma"/>
      <w:sz w:val="16"/>
      <w:szCs w:val="16"/>
    </w:rPr>
  </w:style>
  <w:style w:type="character" w:customStyle="1" w:styleId="BalloonTextChar">
    <w:name w:val="Balloon Text Char"/>
    <w:basedOn w:val="DefaultParagraphFont"/>
    <w:link w:val="BalloonText"/>
    <w:rsid w:val="006714E1"/>
    <w:rPr>
      <w:rFonts w:ascii="Tahoma" w:hAnsi="Tahoma" w:cs="Tahoma"/>
      <w:sz w:val="16"/>
      <w:szCs w:val="16"/>
    </w:rPr>
  </w:style>
  <w:style w:type="character" w:customStyle="1" w:styleId="SubtitleChar">
    <w:name w:val="Subtitle Char"/>
    <w:basedOn w:val="DefaultParagraphFont"/>
    <w:link w:val="Subtitle"/>
    <w:rsid w:val="006714E1"/>
    <w:rPr>
      <w:rFonts w:ascii="Arial" w:hAnsi="Arial"/>
      <w:szCs w:val="24"/>
    </w:rPr>
  </w:style>
  <w:style w:type="paragraph" w:customStyle="1" w:styleId="BoxListBullet3">
    <w:name w:val="Box List Bullet 3"/>
    <w:basedOn w:val="ListBullet3"/>
    <w:rsid w:val="006714E1"/>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6714E1"/>
    <w:rPr>
      <w:i/>
      <w:iCs/>
    </w:rPr>
  </w:style>
  <w:style w:type="paragraph" w:customStyle="1" w:styleId="BoxQuoteBullet">
    <w:name w:val="Box Quote Bullet"/>
    <w:basedOn w:val="BoxQuote"/>
    <w:next w:val="Box"/>
    <w:rsid w:val="006714E1"/>
    <w:pPr>
      <w:numPr>
        <w:numId w:val="45"/>
      </w:numPr>
      <w:ind w:left="568" w:hanging="284"/>
    </w:pPr>
  </w:style>
  <w:style w:type="paragraph" w:customStyle="1" w:styleId="InformationRequestBullet">
    <w:name w:val="Information Request Bullet"/>
    <w:basedOn w:val="ListBullet"/>
    <w:next w:val="BodyText"/>
    <w:rsid w:val="006714E1"/>
    <w:pPr>
      <w:numPr>
        <w:numId w:val="46"/>
      </w:numPr>
      <w:ind w:left="340" w:hanging="340"/>
    </w:pPr>
    <w:rPr>
      <w:rFonts w:ascii="Arial" w:hAnsi="Arial"/>
      <w:i/>
      <w:sz w:val="24"/>
    </w:rPr>
  </w:style>
  <w:style w:type="paragraph" w:customStyle="1" w:styleId="BoxSpaceBelow">
    <w:name w:val="Box Space Below"/>
    <w:basedOn w:val="Box"/>
    <w:rsid w:val="006714E1"/>
    <w:pPr>
      <w:keepNext w:val="0"/>
      <w:spacing w:before="60" w:after="60" w:line="80" w:lineRule="exact"/>
    </w:pPr>
    <w:rPr>
      <w:sz w:val="14"/>
    </w:rPr>
  </w:style>
  <w:style w:type="paragraph" w:customStyle="1" w:styleId="BoxSpace">
    <w:name w:val="Box Space"/>
    <w:basedOn w:val="BodyText"/>
    <w:rsid w:val="00AC1E37"/>
    <w:pPr>
      <w:keepNext/>
      <w:spacing w:before="360" w:line="80" w:lineRule="exact"/>
      <w:jc w:val="left"/>
    </w:pPr>
  </w:style>
  <w:style w:type="character" w:customStyle="1" w:styleId="Heading3Char">
    <w:name w:val="Heading 3 Char"/>
    <w:basedOn w:val="DefaultParagraphFont"/>
    <w:link w:val="Heading3"/>
    <w:rsid w:val="00AC1E37"/>
    <w:rPr>
      <w:rFonts w:ascii="Arial" w:hAnsi="Arial"/>
      <w:b/>
      <w:sz w:val="26"/>
    </w:rPr>
  </w:style>
  <w:style w:type="character" w:styleId="Hyperlink">
    <w:name w:val="Hyperlink"/>
    <w:basedOn w:val="DefaultParagraphFont"/>
    <w:rsid w:val="00AC1E37"/>
    <w:rPr>
      <w:color w:val="0000FF" w:themeColor="hyperlink"/>
      <w:u w:val="single"/>
    </w:rPr>
  </w:style>
  <w:style w:type="table" w:styleId="TableGrid">
    <w:name w:val="Table Grid"/>
    <w:basedOn w:val="TableNormal"/>
    <w:rsid w:val="00130C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93222D"/>
    <w:rPr>
      <w:color w:val="800080" w:themeColor="followedHyperlink"/>
      <w:u w:val="single"/>
    </w:rPr>
  </w:style>
  <w:style w:type="paragraph" w:styleId="CommentSubject">
    <w:name w:val="annotation subject"/>
    <w:basedOn w:val="CommentText"/>
    <w:next w:val="CommentText"/>
    <w:link w:val="CommentSubjectChar"/>
    <w:rsid w:val="005C18F2"/>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5C18F2"/>
    <w:rPr>
      <w:szCs w:val="24"/>
    </w:rPr>
  </w:style>
  <w:style w:type="character" w:customStyle="1" w:styleId="CommentSubjectChar">
    <w:name w:val="Comment Subject Char"/>
    <w:basedOn w:val="CommentTextChar"/>
    <w:link w:val="CommentSubject"/>
    <w:rsid w:val="005C18F2"/>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7000">
      <w:bodyDiv w:val="1"/>
      <w:marLeft w:val="0"/>
      <w:marRight w:val="0"/>
      <w:marTop w:val="0"/>
      <w:marBottom w:val="0"/>
      <w:divBdr>
        <w:top w:val="none" w:sz="0" w:space="0" w:color="auto"/>
        <w:left w:val="none" w:sz="0" w:space="0" w:color="auto"/>
        <w:bottom w:val="none" w:sz="0" w:space="0" w:color="auto"/>
        <w:right w:val="none" w:sz="0" w:space="0" w:color="auto"/>
      </w:divBdr>
    </w:div>
    <w:div w:id="33119678">
      <w:bodyDiv w:val="1"/>
      <w:marLeft w:val="0"/>
      <w:marRight w:val="0"/>
      <w:marTop w:val="0"/>
      <w:marBottom w:val="0"/>
      <w:divBdr>
        <w:top w:val="none" w:sz="0" w:space="0" w:color="auto"/>
        <w:left w:val="none" w:sz="0" w:space="0" w:color="auto"/>
        <w:bottom w:val="none" w:sz="0" w:space="0" w:color="auto"/>
        <w:right w:val="none" w:sz="0" w:space="0" w:color="auto"/>
      </w:divBdr>
    </w:div>
    <w:div w:id="85077869">
      <w:bodyDiv w:val="1"/>
      <w:marLeft w:val="0"/>
      <w:marRight w:val="0"/>
      <w:marTop w:val="0"/>
      <w:marBottom w:val="0"/>
      <w:divBdr>
        <w:top w:val="none" w:sz="0" w:space="0" w:color="auto"/>
        <w:left w:val="none" w:sz="0" w:space="0" w:color="auto"/>
        <w:bottom w:val="none" w:sz="0" w:space="0" w:color="auto"/>
        <w:right w:val="none" w:sz="0" w:space="0" w:color="auto"/>
      </w:divBdr>
    </w:div>
    <w:div w:id="90510755">
      <w:bodyDiv w:val="1"/>
      <w:marLeft w:val="0"/>
      <w:marRight w:val="0"/>
      <w:marTop w:val="0"/>
      <w:marBottom w:val="0"/>
      <w:divBdr>
        <w:top w:val="none" w:sz="0" w:space="0" w:color="auto"/>
        <w:left w:val="none" w:sz="0" w:space="0" w:color="auto"/>
        <w:bottom w:val="none" w:sz="0" w:space="0" w:color="auto"/>
        <w:right w:val="none" w:sz="0" w:space="0" w:color="auto"/>
      </w:divBdr>
    </w:div>
    <w:div w:id="137460860">
      <w:bodyDiv w:val="1"/>
      <w:marLeft w:val="0"/>
      <w:marRight w:val="0"/>
      <w:marTop w:val="0"/>
      <w:marBottom w:val="0"/>
      <w:divBdr>
        <w:top w:val="none" w:sz="0" w:space="0" w:color="auto"/>
        <w:left w:val="none" w:sz="0" w:space="0" w:color="auto"/>
        <w:bottom w:val="none" w:sz="0" w:space="0" w:color="auto"/>
        <w:right w:val="none" w:sz="0" w:space="0" w:color="auto"/>
      </w:divBdr>
    </w:div>
    <w:div w:id="142937674">
      <w:bodyDiv w:val="1"/>
      <w:marLeft w:val="0"/>
      <w:marRight w:val="0"/>
      <w:marTop w:val="0"/>
      <w:marBottom w:val="0"/>
      <w:divBdr>
        <w:top w:val="none" w:sz="0" w:space="0" w:color="auto"/>
        <w:left w:val="none" w:sz="0" w:space="0" w:color="auto"/>
        <w:bottom w:val="none" w:sz="0" w:space="0" w:color="auto"/>
        <w:right w:val="none" w:sz="0" w:space="0" w:color="auto"/>
      </w:divBdr>
    </w:div>
    <w:div w:id="245187952">
      <w:bodyDiv w:val="1"/>
      <w:marLeft w:val="0"/>
      <w:marRight w:val="0"/>
      <w:marTop w:val="0"/>
      <w:marBottom w:val="0"/>
      <w:divBdr>
        <w:top w:val="none" w:sz="0" w:space="0" w:color="auto"/>
        <w:left w:val="none" w:sz="0" w:space="0" w:color="auto"/>
        <w:bottom w:val="none" w:sz="0" w:space="0" w:color="auto"/>
        <w:right w:val="none" w:sz="0" w:space="0" w:color="auto"/>
      </w:divBdr>
    </w:div>
    <w:div w:id="456218408">
      <w:bodyDiv w:val="1"/>
      <w:marLeft w:val="0"/>
      <w:marRight w:val="0"/>
      <w:marTop w:val="0"/>
      <w:marBottom w:val="0"/>
      <w:divBdr>
        <w:top w:val="none" w:sz="0" w:space="0" w:color="auto"/>
        <w:left w:val="none" w:sz="0" w:space="0" w:color="auto"/>
        <w:bottom w:val="none" w:sz="0" w:space="0" w:color="auto"/>
        <w:right w:val="none" w:sz="0" w:space="0" w:color="auto"/>
      </w:divBdr>
    </w:div>
    <w:div w:id="477964124">
      <w:bodyDiv w:val="1"/>
      <w:marLeft w:val="0"/>
      <w:marRight w:val="0"/>
      <w:marTop w:val="0"/>
      <w:marBottom w:val="0"/>
      <w:divBdr>
        <w:top w:val="none" w:sz="0" w:space="0" w:color="auto"/>
        <w:left w:val="none" w:sz="0" w:space="0" w:color="auto"/>
        <w:bottom w:val="none" w:sz="0" w:space="0" w:color="auto"/>
        <w:right w:val="none" w:sz="0" w:space="0" w:color="auto"/>
      </w:divBdr>
    </w:div>
    <w:div w:id="564100449">
      <w:bodyDiv w:val="1"/>
      <w:marLeft w:val="0"/>
      <w:marRight w:val="0"/>
      <w:marTop w:val="0"/>
      <w:marBottom w:val="0"/>
      <w:divBdr>
        <w:top w:val="none" w:sz="0" w:space="0" w:color="auto"/>
        <w:left w:val="none" w:sz="0" w:space="0" w:color="auto"/>
        <w:bottom w:val="none" w:sz="0" w:space="0" w:color="auto"/>
        <w:right w:val="none" w:sz="0" w:space="0" w:color="auto"/>
      </w:divBdr>
    </w:div>
    <w:div w:id="611476056">
      <w:bodyDiv w:val="1"/>
      <w:marLeft w:val="0"/>
      <w:marRight w:val="0"/>
      <w:marTop w:val="0"/>
      <w:marBottom w:val="0"/>
      <w:divBdr>
        <w:top w:val="none" w:sz="0" w:space="0" w:color="auto"/>
        <w:left w:val="none" w:sz="0" w:space="0" w:color="auto"/>
        <w:bottom w:val="none" w:sz="0" w:space="0" w:color="auto"/>
        <w:right w:val="none" w:sz="0" w:space="0" w:color="auto"/>
      </w:divBdr>
    </w:div>
    <w:div w:id="689574193">
      <w:bodyDiv w:val="1"/>
      <w:marLeft w:val="0"/>
      <w:marRight w:val="0"/>
      <w:marTop w:val="0"/>
      <w:marBottom w:val="0"/>
      <w:divBdr>
        <w:top w:val="none" w:sz="0" w:space="0" w:color="auto"/>
        <w:left w:val="none" w:sz="0" w:space="0" w:color="auto"/>
        <w:bottom w:val="none" w:sz="0" w:space="0" w:color="auto"/>
        <w:right w:val="none" w:sz="0" w:space="0" w:color="auto"/>
      </w:divBdr>
    </w:div>
    <w:div w:id="743456085">
      <w:bodyDiv w:val="1"/>
      <w:marLeft w:val="0"/>
      <w:marRight w:val="0"/>
      <w:marTop w:val="0"/>
      <w:marBottom w:val="0"/>
      <w:divBdr>
        <w:top w:val="none" w:sz="0" w:space="0" w:color="auto"/>
        <w:left w:val="none" w:sz="0" w:space="0" w:color="auto"/>
        <w:bottom w:val="none" w:sz="0" w:space="0" w:color="auto"/>
        <w:right w:val="none" w:sz="0" w:space="0" w:color="auto"/>
      </w:divBdr>
    </w:div>
    <w:div w:id="769548944">
      <w:bodyDiv w:val="1"/>
      <w:marLeft w:val="0"/>
      <w:marRight w:val="0"/>
      <w:marTop w:val="0"/>
      <w:marBottom w:val="0"/>
      <w:divBdr>
        <w:top w:val="none" w:sz="0" w:space="0" w:color="auto"/>
        <w:left w:val="none" w:sz="0" w:space="0" w:color="auto"/>
        <w:bottom w:val="none" w:sz="0" w:space="0" w:color="auto"/>
        <w:right w:val="none" w:sz="0" w:space="0" w:color="auto"/>
      </w:divBdr>
    </w:div>
    <w:div w:id="866261722">
      <w:bodyDiv w:val="1"/>
      <w:marLeft w:val="0"/>
      <w:marRight w:val="0"/>
      <w:marTop w:val="0"/>
      <w:marBottom w:val="0"/>
      <w:divBdr>
        <w:top w:val="none" w:sz="0" w:space="0" w:color="auto"/>
        <w:left w:val="none" w:sz="0" w:space="0" w:color="auto"/>
        <w:bottom w:val="none" w:sz="0" w:space="0" w:color="auto"/>
        <w:right w:val="none" w:sz="0" w:space="0" w:color="auto"/>
      </w:divBdr>
    </w:div>
    <w:div w:id="912085859">
      <w:bodyDiv w:val="1"/>
      <w:marLeft w:val="0"/>
      <w:marRight w:val="0"/>
      <w:marTop w:val="0"/>
      <w:marBottom w:val="0"/>
      <w:divBdr>
        <w:top w:val="none" w:sz="0" w:space="0" w:color="auto"/>
        <w:left w:val="none" w:sz="0" w:space="0" w:color="auto"/>
        <w:bottom w:val="none" w:sz="0" w:space="0" w:color="auto"/>
        <w:right w:val="none" w:sz="0" w:space="0" w:color="auto"/>
      </w:divBdr>
    </w:div>
    <w:div w:id="947200457">
      <w:bodyDiv w:val="1"/>
      <w:marLeft w:val="0"/>
      <w:marRight w:val="0"/>
      <w:marTop w:val="0"/>
      <w:marBottom w:val="0"/>
      <w:divBdr>
        <w:top w:val="none" w:sz="0" w:space="0" w:color="auto"/>
        <w:left w:val="none" w:sz="0" w:space="0" w:color="auto"/>
        <w:bottom w:val="none" w:sz="0" w:space="0" w:color="auto"/>
        <w:right w:val="none" w:sz="0" w:space="0" w:color="auto"/>
      </w:divBdr>
    </w:div>
    <w:div w:id="988048091">
      <w:bodyDiv w:val="1"/>
      <w:marLeft w:val="0"/>
      <w:marRight w:val="0"/>
      <w:marTop w:val="0"/>
      <w:marBottom w:val="0"/>
      <w:divBdr>
        <w:top w:val="none" w:sz="0" w:space="0" w:color="auto"/>
        <w:left w:val="none" w:sz="0" w:space="0" w:color="auto"/>
        <w:bottom w:val="none" w:sz="0" w:space="0" w:color="auto"/>
        <w:right w:val="none" w:sz="0" w:space="0" w:color="auto"/>
      </w:divBdr>
    </w:div>
    <w:div w:id="1253465515">
      <w:bodyDiv w:val="1"/>
      <w:marLeft w:val="0"/>
      <w:marRight w:val="0"/>
      <w:marTop w:val="0"/>
      <w:marBottom w:val="0"/>
      <w:divBdr>
        <w:top w:val="none" w:sz="0" w:space="0" w:color="auto"/>
        <w:left w:val="none" w:sz="0" w:space="0" w:color="auto"/>
        <w:bottom w:val="none" w:sz="0" w:space="0" w:color="auto"/>
        <w:right w:val="none" w:sz="0" w:space="0" w:color="auto"/>
      </w:divBdr>
    </w:div>
    <w:div w:id="1341465286">
      <w:bodyDiv w:val="1"/>
      <w:marLeft w:val="0"/>
      <w:marRight w:val="0"/>
      <w:marTop w:val="0"/>
      <w:marBottom w:val="0"/>
      <w:divBdr>
        <w:top w:val="none" w:sz="0" w:space="0" w:color="auto"/>
        <w:left w:val="none" w:sz="0" w:space="0" w:color="auto"/>
        <w:bottom w:val="none" w:sz="0" w:space="0" w:color="auto"/>
        <w:right w:val="none" w:sz="0" w:space="0" w:color="auto"/>
      </w:divBdr>
    </w:div>
    <w:div w:id="1355309393">
      <w:bodyDiv w:val="1"/>
      <w:marLeft w:val="0"/>
      <w:marRight w:val="0"/>
      <w:marTop w:val="0"/>
      <w:marBottom w:val="0"/>
      <w:divBdr>
        <w:top w:val="none" w:sz="0" w:space="0" w:color="auto"/>
        <w:left w:val="none" w:sz="0" w:space="0" w:color="auto"/>
        <w:bottom w:val="none" w:sz="0" w:space="0" w:color="auto"/>
        <w:right w:val="none" w:sz="0" w:space="0" w:color="auto"/>
      </w:divBdr>
    </w:div>
    <w:div w:id="1363748298">
      <w:bodyDiv w:val="1"/>
      <w:marLeft w:val="0"/>
      <w:marRight w:val="0"/>
      <w:marTop w:val="0"/>
      <w:marBottom w:val="0"/>
      <w:divBdr>
        <w:top w:val="none" w:sz="0" w:space="0" w:color="auto"/>
        <w:left w:val="none" w:sz="0" w:space="0" w:color="auto"/>
        <w:bottom w:val="none" w:sz="0" w:space="0" w:color="auto"/>
        <w:right w:val="none" w:sz="0" w:space="0" w:color="auto"/>
      </w:divBdr>
    </w:div>
    <w:div w:id="1401322355">
      <w:bodyDiv w:val="1"/>
      <w:marLeft w:val="0"/>
      <w:marRight w:val="0"/>
      <w:marTop w:val="0"/>
      <w:marBottom w:val="0"/>
      <w:divBdr>
        <w:top w:val="none" w:sz="0" w:space="0" w:color="auto"/>
        <w:left w:val="none" w:sz="0" w:space="0" w:color="auto"/>
        <w:bottom w:val="none" w:sz="0" w:space="0" w:color="auto"/>
        <w:right w:val="none" w:sz="0" w:space="0" w:color="auto"/>
      </w:divBdr>
    </w:div>
    <w:div w:id="1435786419">
      <w:bodyDiv w:val="1"/>
      <w:marLeft w:val="0"/>
      <w:marRight w:val="0"/>
      <w:marTop w:val="0"/>
      <w:marBottom w:val="0"/>
      <w:divBdr>
        <w:top w:val="none" w:sz="0" w:space="0" w:color="auto"/>
        <w:left w:val="none" w:sz="0" w:space="0" w:color="auto"/>
        <w:bottom w:val="none" w:sz="0" w:space="0" w:color="auto"/>
        <w:right w:val="none" w:sz="0" w:space="0" w:color="auto"/>
      </w:divBdr>
    </w:div>
    <w:div w:id="1490514553">
      <w:bodyDiv w:val="1"/>
      <w:marLeft w:val="0"/>
      <w:marRight w:val="0"/>
      <w:marTop w:val="0"/>
      <w:marBottom w:val="0"/>
      <w:divBdr>
        <w:top w:val="none" w:sz="0" w:space="0" w:color="auto"/>
        <w:left w:val="none" w:sz="0" w:space="0" w:color="auto"/>
        <w:bottom w:val="none" w:sz="0" w:space="0" w:color="auto"/>
        <w:right w:val="none" w:sz="0" w:space="0" w:color="auto"/>
      </w:divBdr>
    </w:div>
    <w:div w:id="1500072705">
      <w:bodyDiv w:val="1"/>
      <w:marLeft w:val="0"/>
      <w:marRight w:val="0"/>
      <w:marTop w:val="0"/>
      <w:marBottom w:val="0"/>
      <w:divBdr>
        <w:top w:val="none" w:sz="0" w:space="0" w:color="auto"/>
        <w:left w:val="none" w:sz="0" w:space="0" w:color="auto"/>
        <w:bottom w:val="none" w:sz="0" w:space="0" w:color="auto"/>
        <w:right w:val="none" w:sz="0" w:space="0" w:color="auto"/>
      </w:divBdr>
    </w:div>
    <w:div w:id="1582913189">
      <w:bodyDiv w:val="1"/>
      <w:marLeft w:val="0"/>
      <w:marRight w:val="0"/>
      <w:marTop w:val="0"/>
      <w:marBottom w:val="0"/>
      <w:divBdr>
        <w:top w:val="none" w:sz="0" w:space="0" w:color="auto"/>
        <w:left w:val="none" w:sz="0" w:space="0" w:color="auto"/>
        <w:bottom w:val="none" w:sz="0" w:space="0" w:color="auto"/>
        <w:right w:val="none" w:sz="0" w:space="0" w:color="auto"/>
      </w:divBdr>
    </w:div>
    <w:div w:id="1632785630">
      <w:bodyDiv w:val="1"/>
      <w:marLeft w:val="0"/>
      <w:marRight w:val="0"/>
      <w:marTop w:val="0"/>
      <w:marBottom w:val="0"/>
      <w:divBdr>
        <w:top w:val="none" w:sz="0" w:space="0" w:color="auto"/>
        <w:left w:val="none" w:sz="0" w:space="0" w:color="auto"/>
        <w:bottom w:val="none" w:sz="0" w:space="0" w:color="auto"/>
        <w:right w:val="none" w:sz="0" w:space="0" w:color="auto"/>
      </w:divBdr>
    </w:div>
    <w:div w:id="1659335140">
      <w:bodyDiv w:val="1"/>
      <w:marLeft w:val="0"/>
      <w:marRight w:val="0"/>
      <w:marTop w:val="0"/>
      <w:marBottom w:val="0"/>
      <w:divBdr>
        <w:top w:val="none" w:sz="0" w:space="0" w:color="auto"/>
        <w:left w:val="none" w:sz="0" w:space="0" w:color="auto"/>
        <w:bottom w:val="none" w:sz="0" w:space="0" w:color="auto"/>
        <w:right w:val="none" w:sz="0" w:space="0" w:color="auto"/>
      </w:divBdr>
    </w:div>
    <w:div w:id="1678269273">
      <w:bodyDiv w:val="1"/>
      <w:marLeft w:val="0"/>
      <w:marRight w:val="0"/>
      <w:marTop w:val="0"/>
      <w:marBottom w:val="0"/>
      <w:divBdr>
        <w:top w:val="none" w:sz="0" w:space="0" w:color="auto"/>
        <w:left w:val="none" w:sz="0" w:space="0" w:color="auto"/>
        <w:bottom w:val="none" w:sz="0" w:space="0" w:color="auto"/>
        <w:right w:val="none" w:sz="0" w:space="0" w:color="auto"/>
      </w:divBdr>
    </w:div>
    <w:div w:id="1748768071">
      <w:bodyDiv w:val="1"/>
      <w:marLeft w:val="0"/>
      <w:marRight w:val="0"/>
      <w:marTop w:val="0"/>
      <w:marBottom w:val="0"/>
      <w:divBdr>
        <w:top w:val="none" w:sz="0" w:space="0" w:color="auto"/>
        <w:left w:val="none" w:sz="0" w:space="0" w:color="auto"/>
        <w:bottom w:val="none" w:sz="0" w:space="0" w:color="auto"/>
        <w:right w:val="none" w:sz="0" w:space="0" w:color="auto"/>
      </w:divBdr>
    </w:div>
    <w:div w:id="1771583985">
      <w:bodyDiv w:val="1"/>
      <w:marLeft w:val="0"/>
      <w:marRight w:val="0"/>
      <w:marTop w:val="0"/>
      <w:marBottom w:val="0"/>
      <w:divBdr>
        <w:top w:val="none" w:sz="0" w:space="0" w:color="auto"/>
        <w:left w:val="none" w:sz="0" w:space="0" w:color="auto"/>
        <w:bottom w:val="none" w:sz="0" w:space="0" w:color="auto"/>
        <w:right w:val="none" w:sz="0" w:space="0" w:color="auto"/>
      </w:divBdr>
    </w:div>
    <w:div w:id="1774982902">
      <w:bodyDiv w:val="1"/>
      <w:marLeft w:val="0"/>
      <w:marRight w:val="0"/>
      <w:marTop w:val="0"/>
      <w:marBottom w:val="0"/>
      <w:divBdr>
        <w:top w:val="none" w:sz="0" w:space="0" w:color="auto"/>
        <w:left w:val="none" w:sz="0" w:space="0" w:color="auto"/>
        <w:bottom w:val="none" w:sz="0" w:space="0" w:color="auto"/>
        <w:right w:val="none" w:sz="0" w:space="0" w:color="auto"/>
      </w:divBdr>
    </w:div>
    <w:div w:id="1794053730">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34705196">
      <w:bodyDiv w:val="1"/>
      <w:marLeft w:val="0"/>
      <w:marRight w:val="0"/>
      <w:marTop w:val="0"/>
      <w:marBottom w:val="0"/>
      <w:divBdr>
        <w:top w:val="none" w:sz="0" w:space="0" w:color="auto"/>
        <w:left w:val="none" w:sz="0" w:space="0" w:color="auto"/>
        <w:bottom w:val="none" w:sz="0" w:space="0" w:color="auto"/>
        <w:right w:val="none" w:sz="0" w:space="0" w:color="auto"/>
      </w:divBdr>
    </w:div>
    <w:div w:id="1949003625">
      <w:bodyDiv w:val="1"/>
      <w:marLeft w:val="0"/>
      <w:marRight w:val="0"/>
      <w:marTop w:val="0"/>
      <w:marBottom w:val="0"/>
      <w:divBdr>
        <w:top w:val="none" w:sz="0" w:space="0" w:color="auto"/>
        <w:left w:val="none" w:sz="0" w:space="0" w:color="auto"/>
        <w:bottom w:val="none" w:sz="0" w:space="0" w:color="auto"/>
        <w:right w:val="none" w:sz="0" w:space="0" w:color="auto"/>
      </w:divBdr>
    </w:div>
    <w:div w:id="1952784315">
      <w:bodyDiv w:val="1"/>
      <w:marLeft w:val="0"/>
      <w:marRight w:val="0"/>
      <w:marTop w:val="0"/>
      <w:marBottom w:val="0"/>
      <w:divBdr>
        <w:top w:val="none" w:sz="0" w:space="0" w:color="auto"/>
        <w:left w:val="none" w:sz="0" w:space="0" w:color="auto"/>
        <w:bottom w:val="none" w:sz="0" w:space="0" w:color="auto"/>
        <w:right w:val="none" w:sz="0" w:space="0" w:color="auto"/>
      </w:divBdr>
    </w:div>
    <w:div w:id="2071535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1F8ACD-1770-4E59-9D41-B9F3ABA56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429</TotalTime>
  <Pages>10</Pages>
  <Words>2561</Words>
  <Characters>12934</Characters>
  <Application>Microsoft Office Word</Application>
  <DocSecurity>0</DocSecurity>
  <Lines>586</Lines>
  <Paragraphs>391</Paragraphs>
  <ScaleCrop>false</ScaleCrop>
  <HeadingPairs>
    <vt:vector size="2" baseType="variant">
      <vt:variant>
        <vt:lpstr>Title</vt:lpstr>
      </vt:variant>
      <vt:variant>
        <vt:i4>1</vt:i4>
      </vt:variant>
    </vt:vector>
  </HeadingPairs>
  <TitlesOfParts>
    <vt:vector size="1" baseType="lpstr">
      <vt:lpstr>Other industry contributions</vt:lpstr>
    </vt:vector>
  </TitlesOfParts>
  <Company>Productivity Commission</Company>
  <LinksUpToDate>false</LinksUpToDate>
  <CharactersWithSpaces>15158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Other industry contributions</dc:title>
  <dc:subject>Labour's share of growth in income and prosperity</dc:subject>
  <dc:creator>Productivity Commission</dc:creator>
  <cp:keywords/>
  <dc:description>6.</dc:description>
  <cp:lastModifiedBy>Productivity Commission</cp:lastModifiedBy>
  <cp:revision>19</cp:revision>
  <cp:lastPrinted>2013-09-19T04:36:00Z</cp:lastPrinted>
  <dcterms:created xsi:type="dcterms:W3CDTF">2013-07-17T01:17:00Z</dcterms:created>
  <dcterms:modified xsi:type="dcterms:W3CDTF">2013-09-24T04:57:00Z</dcterms:modified>
</cp:coreProperties>
</file>