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42D28" w:rsidP="00842D28">
      <w:pPr>
        <w:pStyle w:val="Chapter"/>
        <w:ind w:left="907" w:hanging="907"/>
      </w:pPr>
      <w:bookmarkStart w:id="0" w:name="ChapterNumber"/>
      <w:bookmarkStart w:id="1" w:name="_GoBack"/>
      <w:bookmarkEnd w:id="1"/>
      <w:r>
        <w:t>7</w:t>
      </w:r>
      <w:bookmarkEnd w:id="0"/>
      <w:r>
        <w:tab/>
      </w:r>
      <w:bookmarkStart w:id="2" w:name="ChapterTitle"/>
      <w:r>
        <w:t>Product and consumer prices</w:t>
      </w:r>
      <w:bookmarkEnd w:id="2"/>
    </w:p>
    <w:p w:rsidR="005030AC" w:rsidRDefault="001576C9" w:rsidP="00DC48E3">
      <w:pPr>
        <w:pStyle w:val="BodyText"/>
      </w:pPr>
      <w:r>
        <w:t xml:space="preserve">The shift in the terms of trade </w:t>
      </w:r>
      <w:r w:rsidR="009A604B">
        <w:t xml:space="preserve">affected </w:t>
      </w:r>
      <w:r w:rsidR="00250622">
        <w:t>prosperity</w:t>
      </w:r>
      <w:r w:rsidR="00AE629A">
        <w:t xml:space="preserve"> and </w:t>
      </w:r>
      <w:r>
        <w:t>its distribution in another way</w:t>
      </w:r>
      <w:r w:rsidR="00250622">
        <w:t>.</w:t>
      </w:r>
      <w:r w:rsidR="009A604B">
        <w:t xml:space="preserve"> </w:t>
      </w:r>
    </w:p>
    <w:p w:rsidR="001576C9" w:rsidRDefault="008120B2" w:rsidP="001576C9">
      <w:pPr>
        <w:pStyle w:val="Heading2"/>
      </w:pPr>
      <w:fldSimple w:instr=" COMMENTS  \* MERGEFORMAT ">
        <w:r w:rsidR="00842D28">
          <w:t>7.</w:t>
        </w:r>
      </w:fldSimple>
      <w:fldSimple w:instr=" SEQ Heading2 ">
        <w:r>
          <w:rPr>
            <w:noProof/>
          </w:rPr>
          <w:t>1</w:t>
        </w:r>
      </w:fldSimple>
      <w:r w:rsidR="001576C9">
        <w:tab/>
        <w:t xml:space="preserve">A wedge between </w:t>
      </w:r>
      <w:r w:rsidR="0089727B">
        <w:t xml:space="preserve">product </w:t>
      </w:r>
      <w:r w:rsidR="001576C9">
        <w:t xml:space="preserve">and </w:t>
      </w:r>
      <w:r w:rsidR="0089727B">
        <w:t xml:space="preserve">consumer </w:t>
      </w:r>
      <w:r w:rsidR="001576C9">
        <w:t>prices</w:t>
      </w:r>
    </w:p>
    <w:p w:rsidR="009A604B" w:rsidRDefault="009A604B" w:rsidP="00DC48E3">
      <w:pPr>
        <w:pStyle w:val="BodyText"/>
      </w:pPr>
      <w:r>
        <w:t xml:space="preserve">Ordinarily, </w:t>
      </w:r>
      <w:r w:rsidR="00BC35FC">
        <w:t>m</w:t>
      </w:r>
      <w:r>
        <w:t>ovements in the prices of goods and services produced in Australia are closely aligned with movements in the prices of the goods and services that Australians consume.</w:t>
      </w:r>
      <w:r w:rsidR="006C754E" w:rsidRPr="006C754E">
        <w:t xml:space="preserve"> </w:t>
      </w:r>
      <w:r w:rsidR="00204737">
        <w:t>M</w:t>
      </w:r>
      <w:r w:rsidR="006C754E">
        <w:t>ovements in the GDP implicit price deflator, representing produc</w:t>
      </w:r>
      <w:r w:rsidR="001576C9">
        <w:t>t</w:t>
      </w:r>
      <w:r w:rsidR="006C754E">
        <w:t xml:space="preserve"> prices, and the CPI, representing consumer prices, were closely aligned from 1959-60 to the end of the 20</w:t>
      </w:r>
      <w:r w:rsidR="006C754E" w:rsidRPr="006C754E">
        <w:rPr>
          <w:vertAlign w:val="superscript"/>
        </w:rPr>
        <w:t>th</w:t>
      </w:r>
      <w:r w:rsidR="006C754E">
        <w:t xml:space="preserve"> century</w:t>
      </w:r>
      <w:r w:rsidR="00204737">
        <w:t xml:space="preserve"> (figure </w:t>
      </w:r>
      <w:r w:rsidR="001576C9">
        <w:t>7.1</w:t>
      </w:r>
      <w:r w:rsidR="00204737">
        <w:t>)</w:t>
      </w:r>
      <w:r w:rsidR="006C754E">
        <w:t>.</w:t>
      </w:r>
    </w:p>
    <w:p w:rsidR="00DC48E3" w:rsidRDefault="00DC48E3" w:rsidP="00DC48E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842D28">
        <w:rPr>
          <w:b w:val="0"/>
        </w:rPr>
        <w:t>7.</w:t>
      </w:r>
      <w:r>
        <w:rPr>
          <w:b w:val="0"/>
        </w:rPr>
        <w:fldChar w:fldCharType="end"/>
      </w:r>
      <w:r>
        <w:rPr>
          <w:b w:val="0"/>
        </w:rPr>
        <w:fldChar w:fldCharType="begin"/>
      </w:r>
      <w:r>
        <w:rPr>
          <w:b w:val="0"/>
        </w:rPr>
        <w:instrText xml:space="preserve"> SEQ Figure \* ARABIC </w:instrText>
      </w:r>
      <w:r>
        <w:rPr>
          <w:b w:val="0"/>
        </w:rPr>
        <w:fldChar w:fldCharType="separate"/>
      </w:r>
      <w:r w:rsidR="008120B2">
        <w:rPr>
          <w:b w:val="0"/>
          <w:noProof/>
        </w:rPr>
        <w:t>1</w:t>
      </w:r>
      <w:r>
        <w:rPr>
          <w:b w:val="0"/>
        </w:rPr>
        <w:fldChar w:fldCharType="end"/>
      </w:r>
      <w:r>
        <w:tab/>
      </w:r>
      <w:r w:rsidR="004F5428">
        <w:t>Produc</w:t>
      </w:r>
      <w:r w:rsidR="0089727B">
        <w:t>t</w:t>
      </w:r>
      <w:r w:rsidR="004F5428">
        <w:t xml:space="preserve"> and consumer prices</w:t>
      </w:r>
      <w:r w:rsidR="004F5428" w:rsidRPr="00F169DB">
        <w:rPr>
          <w:rStyle w:val="NoteLabel"/>
        </w:rPr>
        <w:t>a</w:t>
      </w:r>
      <w:r w:rsidR="004F5428">
        <w:t>, 1959-60 to 2011-12</w:t>
      </w:r>
    </w:p>
    <w:p w:rsidR="00DC48E3" w:rsidRDefault="00DC48E3" w:rsidP="00DC48E3">
      <w:pPr>
        <w:pStyle w:val="Subtitle"/>
      </w:pPr>
      <w:r>
        <w:t>indexes, 1999-00=100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C48E3" w:rsidTr="006457C5">
        <w:tc>
          <w:tcPr>
            <w:tcW w:w="8777" w:type="dxa"/>
          </w:tcPr>
          <w:p w:rsidR="00DC48E3" w:rsidRDefault="0001536E" w:rsidP="00C36CD5">
            <w:pPr>
              <w:pStyle w:val="Figure"/>
            </w:pPr>
            <w:r>
              <w:rPr>
                <w:noProof/>
              </w:rPr>
              <w:drawing>
                <wp:inline distT="0" distB="0" distL="0" distR="0" wp14:anchorId="761C7BB5" wp14:editId="3DC2CA03">
                  <wp:extent cx="4600575" cy="2933700"/>
                  <wp:effectExtent l="0" t="0" r="9525" b="0"/>
                  <wp:docPr id="1" name="Picture 1" descr="Product and consumer prices, 1959-60 to 2011-12. This figure shows that, while product and consumer prices moved together over the 4 decade from the 1960s to the 1990s, product prices grew faster than consumer prices in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0575" cy="2933700"/>
                          </a:xfrm>
                          <a:prstGeom prst="rect">
                            <a:avLst/>
                          </a:prstGeom>
                          <a:noFill/>
                          <a:ln>
                            <a:noFill/>
                          </a:ln>
                        </pic:spPr>
                      </pic:pic>
                    </a:graphicData>
                  </a:graphic>
                </wp:inline>
              </w:drawing>
            </w:r>
          </w:p>
        </w:tc>
      </w:tr>
    </w:tbl>
    <w:p w:rsidR="00DC48E3" w:rsidRDefault="00DC48E3" w:rsidP="00DC48E3">
      <w:pPr>
        <w:pStyle w:val="Note"/>
      </w:pPr>
      <w:r>
        <w:rPr>
          <w:rStyle w:val="NoteLabel"/>
        </w:rPr>
        <w:t>a</w:t>
      </w:r>
      <w:r>
        <w:t xml:space="preserve"> </w:t>
      </w:r>
      <w:r w:rsidR="004F5428">
        <w:t>GDP implicit price deflator and price deflator for households’ final consumption expenditure</w:t>
      </w:r>
      <w:r w:rsidR="00AB0B7C">
        <w:t>.</w:t>
      </w:r>
    </w:p>
    <w:p w:rsidR="00DC48E3" w:rsidRDefault="00DC48E3" w:rsidP="00DC48E3">
      <w:pPr>
        <w:pStyle w:val="Source"/>
      </w:pPr>
      <w:r>
        <w:rPr>
          <w:i/>
        </w:rPr>
        <w:t>Data source</w:t>
      </w:r>
      <w:r w:rsidR="00AB0B7C">
        <w:rPr>
          <w:i/>
        </w:rPr>
        <w:t>s</w:t>
      </w:r>
      <w:r w:rsidRPr="00167F06">
        <w:t xml:space="preserve">: </w:t>
      </w:r>
      <w:r w:rsidR="004F5428">
        <w:t xml:space="preserve">ABS </w:t>
      </w:r>
      <w:r w:rsidR="00842D28">
        <w:t>(</w:t>
      </w:r>
      <w:r w:rsidR="008046B5">
        <w:t xml:space="preserve">Cat. no. </w:t>
      </w:r>
      <w:r w:rsidR="004F5428">
        <w:t>5204.0</w:t>
      </w:r>
      <w:r w:rsidR="00842D28">
        <w:t>)</w:t>
      </w:r>
      <w:r w:rsidR="00AB0B7C">
        <w:t>;</w:t>
      </w:r>
      <w:r w:rsidR="00842D28">
        <w:t xml:space="preserve"> </w:t>
      </w:r>
      <w:r w:rsidR="00AB0B7C">
        <w:t>author estimates</w:t>
      </w:r>
      <w:r w:rsidR="00842D28">
        <w:t>.</w:t>
      </w:r>
    </w:p>
    <w:p w:rsidR="009220BE" w:rsidRDefault="009220BE">
      <w:pPr>
        <w:rPr>
          <w:szCs w:val="20"/>
        </w:rPr>
      </w:pPr>
      <w:r>
        <w:br w:type="page"/>
      </w:r>
    </w:p>
    <w:p w:rsidR="001576C9" w:rsidRPr="00204737" w:rsidRDefault="001576C9" w:rsidP="001576C9">
      <w:pPr>
        <w:pStyle w:val="BodyText"/>
      </w:pPr>
      <w:r>
        <w:lastRenderedPageBreak/>
        <w:t>However, product prices rose faster than consumer prices</w:t>
      </w:r>
      <w:r w:rsidRPr="00204737">
        <w:t xml:space="preserve"> </w:t>
      </w:r>
      <w:r>
        <w:t xml:space="preserve">in the first decade of the </w:t>
      </w:r>
      <w:proofErr w:type="spellStart"/>
      <w:r>
        <w:t>2000s</w:t>
      </w:r>
      <w:proofErr w:type="spellEnd"/>
      <w:r>
        <w:t>. The GDP deflator rose by an annual average of 3.7 per cent, whereas consumer prices rose 2.8 per cent a year on average. The two price series departed after 2002-03, as the terms of trade took off.</w:t>
      </w:r>
    </w:p>
    <w:p w:rsidR="00DC48E3" w:rsidRDefault="00DC48E3" w:rsidP="00DC48E3">
      <w:pPr>
        <w:pStyle w:val="BodyText"/>
      </w:pPr>
      <w:r>
        <w:t>The rise in produc</w:t>
      </w:r>
      <w:r w:rsidR="001576C9">
        <w:t>t</w:t>
      </w:r>
      <w:r>
        <w:t xml:space="preserve"> prices in the 12-industry market sector in the </w:t>
      </w:r>
      <w:proofErr w:type="spellStart"/>
      <w:r>
        <w:t>2000s</w:t>
      </w:r>
      <w:proofErr w:type="spellEnd"/>
      <w:r>
        <w:t xml:space="preserve"> was quite similar to the rise for the economy as a whole (figure </w:t>
      </w:r>
      <w:r w:rsidR="001576C9">
        <w:t>7.</w:t>
      </w:r>
      <w:r w:rsidR="003B64EF">
        <w:t>2</w:t>
      </w:r>
      <w:r>
        <w:t>).</w:t>
      </w:r>
      <w:r w:rsidR="00813F10">
        <w:rPr>
          <w:rStyle w:val="FootnoteReference"/>
        </w:rPr>
        <w:footnoteReference w:id="1"/>
      </w:r>
      <w:r>
        <w:t xml:space="preserve"> According to these estimates</w:t>
      </w:r>
      <w:r w:rsidR="008F58A0">
        <w:t>, however, t</w:t>
      </w:r>
      <w:r>
        <w:t xml:space="preserve">he </w:t>
      </w:r>
      <w:r w:rsidR="001576C9">
        <w:t>market sector</w:t>
      </w:r>
      <w:r>
        <w:t xml:space="preserve"> experienced a stronger fall in prices in 2009-10, in the aftermath of the global financial crisis.</w:t>
      </w:r>
      <w:r w:rsidR="00B37327">
        <w:rPr>
          <w:rStyle w:val="FootnoteReference"/>
        </w:rPr>
        <w:footnoteReference w:id="2"/>
      </w:r>
    </w:p>
    <w:p w:rsidR="00565665" w:rsidRDefault="00565665" w:rsidP="00565665">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842D28">
        <w:rPr>
          <w:b w:val="0"/>
        </w:rPr>
        <w:t>7.</w:t>
      </w:r>
      <w:r>
        <w:rPr>
          <w:b w:val="0"/>
        </w:rPr>
        <w:fldChar w:fldCharType="end"/>
      </w:r>
      <w:r>
        <w:rPr>
          <w:b w:val="0"/>
        </w:rPr>
        <w:fldChar w:fldCharType="begin"/>
      </w:r>
      <w:r>
        <w:rPr>
          <w:b w:val="0"/>
        </w:rPr>
        <w:instrText xml:space="preserve"> SEQ Figure \* ARABIC </w:instrText>
      </w:r>
      <w:r>
        <w:rPr>
          <w:b w:val="0"/>
        </w:rPr>
        <w:fldChar w:fldCharType="separate"/>
      </w:r>
      <w:r w:rsidR="008120B2">
        <w:rPr>
          <w:b w:val="0"/>
          <w:noProof/>
        </w:rPr>
        <w:t>2</w:t>
      </w:r>
      <w:r>
        <w:rPr>
          <w:b w:val="0"/>
        </w:rPr>
        <w:fldChar w:fldCharType="end"/>
      </w:r>
      <w:r>
        <w:tab/>
        <w:t xml:space="preserve">GDP deflator, </w:t>
      </w:r>
      <w:r w:rsidR="00813F10">
        <w:t>market sector</w:t>
      </w:r>
      <w:r>
        <w:t xml:space="preserve"> prices and the CPI, </w:t>
      </w:r>
      <w:proofErr w:type="spellStart"/>
      <w:r>
        <w:t>1990s</w:t>
      </w:r>
      <w:proofErr w:type="spellEnd"/>
      <w:r>
        <w:t xml:space="preserve"> and </w:t>
      </w:r>
      <w:proofErr w:type="spellStart"/>
      <w:r>
        <w:t>2000s</w:t>
      </w:r>
      <w:proofErr w:type="spellEnd"/>
    </w:p>
    <w:p w:rsidR="00565665" w:rsidRDefault="00565665" w:rsidP="00565665">
      <w:pPr>
        <w:pStyle w:val="Subtitle"/>
      </w:pPr>
      <w:r>
        <w:t>indexes, 1999-00=100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65665" w:rsidTr="00565665">
        <w:tc>
          <w:tcPr>
            <w:tcW w:w="8777" w:type="dxa"/>
          </w:tcPr>
          <w:p w:rsidR="00565665" w:rsidRDefault="0001536E" w:rsidP="00565665">
            <w:pPr>
              <w:pStyle w:val="Figure"/>
            </w:pPr>
            <w:r>
              <w:rPr>
                <w:noProof/>
              </w:rPr>
              <w:drawing>
                <wp:inline distT="0" distB="0" distL="0" distR="0" wp14:anchorId="74CCA749" wp14:editId="6A3A7F52">
                  <wp:extent cx="4953000" cy="2914650"/>
                  <wp:effectExtent l="0" t="0" r="0" b="0"/>
                  <wp:docPr id="2" name="Picture 2" descr="GDP deflator, market sector prices and the CPI, 1990s and 2000s.This figure shows that market-sector product prices and the implicit GDP deflator moved closely together over the two decades, although there was a little less growth in market-sector prices in the 199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53000" cy="2914650"/>
                          </a:xfrm>
                          <a:prstGeom prst="rect">
                            <a:avLst/>
                          </a:prstGeom>
                          <a:noFill/>
                          <a:ln>
                            <a:noFill/>
                          </a:ln>
                        </pic:spPr>
                      </pic:pic>
                    </a:graphicData>
                  </a:graphic>
                </wp:inline>
              </w:drawing>
            </w:r>
          </w:p>
        </w:tc>
      </w:tr>
    </w:tbl>
    <w:p w:rsidR="00AB0B7C" w:rsidRDefault="00AB0B7C" w:rsidP="00AB0B7C">
      <w:pPr>
        <w:pStyle w:val="Source"/>
      </w:pPr>
      <w:r>
        <w:rPr>
          <w:i/>
        </w:rPr>
        <w:t>Data sources</w:t>
      </w:r>
      <w:r w:rsidRPr="00167F06">
        <w:t xml:space="preserve">: </w:t>
      </w:r>
      <w:r>
        <w:t>ABS (Cat. no. 5204.0); author estimates.</w:t>
      </w:r>
    </w:p>
    <w:p w:rsidR="00842D28" w:rsidRDefault="00842D28">
      <w:pPr>
        <w:rPr>
          <w:szCs w:val="20"/>
        </w:rPr>
      </w:pPr>
      <w:r>
        <w:br w:type="page"/>
      </w:r>
    </w:p>
    <w:p w:rsidR="00565665" w:rsidRDefault="00565665" w:rsidP="00565665">
      <w:pPr>
        <w:pStyle w:val="BodyText"/>
      </w:pPr>
      <w:r>
        <w:lastRenderedPageBreak/>
        <w:t>The wedge between movements in product prices and consumer prices was a manifestation of</w:t>
      </w:r>
      <w:r w:rsidRPr="00565665">
        <w:t xml:space="preserve"> </w:t>
      </w:r>
      <w:r>
        <w:t xml:space="preserve">the </w:t>
      </w:r>
      <w:r w:rsidR="009220BE">
        <w:t xml:space="preserve">shift in the </w:t>
      </w:r>
      <w:r>
        <w:t xml:space="preserve">terms of trade. Higher export prices, especially for minerals, fuelled strong growth in product prices, as was demonstrated in the previous chapter. However, these would have had little direct effect on domestic consumer prices. Import prices, on the other hand, fell with exchange rate appreciation and lower supply prices for many goods on world markets. Lower import prices helped to keep domestic consumer prices in check. </w:t>
      </w:r>
    </w:p>
    <w:p w:rsidR="00184797" w:rsidRDefault="008120B2" w:rsidP="00565665">
      <w:pPr>
        <w:pStyle w:val="Heading2"/>
      </w:pPr>
      <w:fldSimple w:instr=" COMMENTS  \* MERGEFORMAT ">
        <w:r w:rsidR="00842D28">
          <w:t>7.</w:t>
        </w:r>
      </w:fldSimple>
      <w:fldSimple w:instr=" SEQ Heading2 ">
        <w:r>
          <w:rPr>
            <w:noProof/>
          </w:rPr>
          <w:t>2</w:t>
        </w:r>
      </w:fldSimple>
      <w:r w:rsidR="00565665">
        <w:tab/>
        <w:t xml:space="preserve">A wedge between </w:t>
      </w:r>
      <w:r w:rsidR="00184797">
        <w:t xml:space="preserve">real consumption wages </w:t>
      </w:r>
      <w:r w:rsidR="00565665">
        <w:t>and real product wages</w:t>
      </w:r>
    </w:p>
    <w:p w:rsidR="00184797" w:rsidRDefault="00184797" w:rsidP="00184797">
      <w:pPr>
        <w:pStyle w:val="BodyText"/>
      </w:pPr>
      <w:r>
        <w:t>The wedge between consumer and produc</w:t>
      </w:r>
      <w:r w:rsidR="009220BE">
        <w:t>t</w:t>
      </w:r>
      <w:r>
        <w:t xml:space="preserve"> prices meant that there was also a wedge between real wages as a cost to producers</w:t>
      </w:r>
      <w:r w:rsidR="009220BE" w:rsidRPr="009220BE">
        <w:t xml:space="preserve"> </w:t>
      </w:r>
      <w:r w:rsidR="009220BE">
        <w:t>and real wages as income to labour. While product prices are relevant to producers in determining the real cost of employing labour, consumer prices are relevant to workers in determining the real value of their incomes as wherewithal to purchase goods and services.</w:t>
      </w:r>
      <w:r>
        <w:rPr>
          <w:rStyle w:val="FootnoteReference"/>
        </w:rPr>
        <w:footnoteReference w:id="3"/>
      </w:r>
      <w:r>
        <w:t xml:space="preserve"> </w:t>
      </w:r>
      <w:r w:rsidR="009220BE">
        <w:t xml:space="preserve">The nominal wage deflated by an index of consumer prices </w:t>
      </w:r>
      <w:r>
        <w:t>is referred to as the real consumption wage (</w:t>
      </w:r>
      <w:proofErr w:type="spellStart"/>
      <w:r>
        <w:t>RCW</w:t>
      </w:r>
      <w:proofErr w:type="spellEnd"/>
      <w:r>
        <w:t>).</w:t>
      </w:r>
    </w:p>
    <w:p w:rsidR="00184797" w:rsidRDefault="00184797" w:rsidP="00184797">
      <w:pPr>
        <w:pStyle w:val="BodyText"/>
      </w:pPr>
      <w:r>
        <w:t xml:space="preserve">Whereas </w:t>
      </w:r>
      <w:r w:rsidR="00AB0B7C">
        <w:t>real product wage (</w:t>
      </w:r>
      <w:proofErr w:type="spellStart"/>
      <w:r>
        <w:t>RPW</w:t>
      </w:r>
      <w:proofErr w:type="spellEnd"/>
      <w:r w:rsidR="00AB0B7C">
        <w:t xml:space="preserve">) </w:t>
      </w:r>
      <w:r>
        <w:t xml:space="preserve">growth fell behind labour productivity growth in the </w:t>
      </w:r>
      <w:proofErr w:type="spellStart"/>
      <w:r>
        <w:t>2000s</w:t>
      </w:r>
      <w:proofErr w:type="spellEnd"/>
      <w:r>
        <w:t xml:space="preserve">, </w:t>
      </w:r>
      <w:proofErr w:type="spellStart"/>
      <w:r>
        <w:t>RCW</w:t>
      </w:r>
      <w:proofErr w:type="spellEnd"/>
      <w:r>
        <w:t xml:space="preserve"> growth roughly kept pace with productivity growth (figure </w:t>
      </w:r>
      <w:r w:rsidR="00565665">
        <w:t>7.3</w:t>
      </w:r>
      <w:r>
        <w:t xml:space="preserve">). Over the decade, </w:t>
      </w:r>
      <w:r w:rsidR="001730D2">
        <w:t xml:space="preserve">labour productivity (LP) </w:t>
      </w:r>
      <w:r>
        <w:t xml:space="preserve">grew </w:t>
      </w:r>
      <w:r w:rsidR="00E25F10">
        <w:t xml:space="preserve">at </w:t>
      </w:r>
      <w:r>
        <w:t xml:space="preserve">2.1 per cent a year on average and the </w:t>
      </w:r>
      <w:proofErr w:type="spellStart"/>
      <w:r>
        <w:t>RCW</w:t>
      </w:r>
      <w:proofErr w:type="spellEnd"/>
      <w:r>
        <w:t xml:space="preserve"> grew </w:t>
      </w:r>
      <w:r w:rsidR="00E25F10">
        <w:t xml:space="preserve">at </w:t>
      </w:r>
      <w:r>
        <w:t xml:space="preserve">2.0 per cent a year. </w:t>
      </w:r>
      <w:proofErr w:type="spellStart"/>
      <w:r>
        <w:t>RPW</w:t>
      </w:r>
      <w:proofErr w:type="spellEnd"/>
      <w:r>
        <w:t xml:space="preserve">, on the other hand, only grew </w:t>
      </w:r>
      <w:r w:rsidR="00E25F10">
        <w:t xml:space="preserve">at </w:t>
      </w:r>
      <w:r w:rsidR="00AB0B7C">
        <w:t>1.1</w:t>
      </w:r>
      <w:r>
        <w:t xml:space="preserve"> per cent a year</w:t>
      </w:r>
      <w:r w:rsidR="00F37DC4">
        <w:t xml:space="preserve"> (table </w:t>
      </w:r>
      <w:r w:rsidR="001730D2">
        <w:t>7.1</w:t>
      </w:r>
      <w:r w:rsidR="00F37DC4">
        <w:t>)</w:t>
      </w:r>
      <w:r>
        <w:t xml:space="preserve">. </w:t>
      </w:r>
    </w:p>
    <w:p w:rsidR="00184797" w:rsidRDefault="00184797" w:rsidP="00184797">
      <w:pPr>
        <w:pStyle w:val="BodyText"/>
      </w:pPr>
      <w:proofErr w:type="spellStart"/>
      <w:r>
        <w:t>RCW</w:t>
      </w:r>
      <w:proofErr w:type="spellEnd"/>
      <w:r>
        <w:t xml:space="preserve"> growth and </w:t>
      </w:r>
      <w:proofErr w:type="spellStart"/>
      <w:r>
        <w:t>RPW</w:t>
      </w:r>
      <w:proofErr w:type="spellEnd"/>
      <w:r>
        <w:t xml:space="preserve"> growth diverged </w:t>
      </w:r>
      <w:r w:rsidR="00F37DC4">
        <w:t>after</w:t>
      </w:r>
      <w:r>
        <w:t xml:space="preserve"> 2003-04, once the terms of trade </w:t>
      </w:r>
      <w:r w:rsidR="00E25F10">
        <w:t xml:space="preserve">had </w:t>
      </w:r>
      <w:r>
        <w:t xml:space="preserve">started to </w:t>
      </w:r>
      <w:r w:rsidR="00E25F10">
        <w:t>rise</w:t>
      </w:r>
      <w:r w:rsidR="001730D2">
        <w:t xml:space="preserve"> (right panel of figure 7.3)</w:t>
      </w:r>
      <w:r>
        <w:t xml:space="preserve">. </w:t>
      </w:r>
    </w:p>
    <w:p w:rsidR="00F37DC4" w:rsidRDefault="00F37DC4" w:rsidP="00F37DC4">
      <w:pPr>
        <w:pStyle w:val="BodyText"/>
      </w:pPr>
      <w:r>
        <w:t xml:space="preserve">The implication is that the consumption gain to workers — the increased purchasing power of their incomes — </w:t>
      </w:r>
      <w:r w:rsidR="00E25F10">
        <w:t>‘</w:t>
      </w:r>
      <w:r>
        <w:t>compensated</w:t>
      </w:r>
      <w:r w:rsidR="00E25F10">
        <w:t>’ in a sense</w:t>
      </w:r>
      <w:r>
        <w:t xml:space="preserve"> for the lower share of income growth from production (at producer prices) in the </w:t>
      </w:r>
      <w:proofErr w:type="spellStart"/>
      <w:r>
        <w:t>2000s</w:t>
      </w:r>
      <w:proofErr w:type="spellEnd"/>
      <w:r>
        <w:t xml:space="preserve">. The labour share of income from production fell over the </w:t>
      </w:r>
      <w:proofErr w:type="spellStart"/>
      <w:r>
        <w:t>2000s</w:t>
      </w:r>
      <w:proofErr w:type="spellEnd"/>
      <w:r>
        <w:t xml:space="preserve"> as growth in the </w:t>
      </w:r>
      <w:proofErr w:type="spellStart"/>
      <w:r>
        <w:t>RPW</w:t>
      </w:r>
      <w:proofErr w:type="spellEnd"/>
      <w:r>
        <w:t xml:space="preserve"> fell behind LP growth. However, growth in </w:t>
      </w:r>
      <w:proofErr w:type="spellStart"/>
      <w:r>
        <w:t>RCW</w:t>
      </w:r>
      <w:proofErr w:type="spellEnd"/>
      <w:r>
        <w:t xml:space="preserve"> </w:t>
      </w:r>
      <w:r w:rsidR="001730D2">
        <w:t>kept</w:t>
      </w:r>
      <w:r>
        <w:t xml:space="preserve"> up </w:t>
      </w:r>
      <w:r w:rsidR="001730D2">
        <w:t>with</w:t>
      </w:r>
      <w:r>
        <w:t xml:space="preserve"> LP growth </w:t>
      </w:r>
      <w:r w:rsidR="001730D2">
        <w:t>over the course of the decade</w:t>
      </w:r>
      <w:r>
        <w:t>.</w:t>
      </w:r>
      <w:r w:rsidR="00E5609E" w:rsidDel="00E5609E">
        <w:rPr>
          <w:rStyle w:val="FootnoteReference"/>
        </w:rPr>
        <w:t xml:space="preserve"> </w:t>
      </w:r>
    </w:p>
    <w:p w:rsidR="009220BE" w:rsidRDefault="009220BE" w:rsidP="00F37DC4">
      <w:pPr>
        <w:pStyle w:val="BodyText"/>
      </w:pPr>
      <w:r>
        <w:t xml:space="preserve">It is important to note, from a general living standards point of view, that this consumption gain was available to all </w:t>
      </w:r>
      <w:r w:rsidR="00976DF2">
        <w:t>residents and for all sources of</w:t>
      </w:r>
      <w:r>
        <w:t xml:space="preserve"> income.</w:t>
      </w:r>
    </w:p>
    <w:p w:rsidR="00F10F4E" w:rsidRDefault="00F10F4E">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842D28">
        <w:rPr>
          <w:b w:val="0"/>
        </w:rPr>
        <w:t>7.</w:t>
      </w:r>
      <w:r>
        <w:rPr>
          <w:b w:val="0"/>
        </w:rPr>
        <w:fldChar w:fldCharType="end"/>
      </w:r>
      <w:r>
        <w:rPr>
          <w:b w:val="0"/>
        </w:rPr>
        <w:fldChar w:fldCharType="begin"/>
      </w:r>
      <w:r>
        <w:rPr>
          <w:b w:val="0"/>
        </w:rPr>
        <w:instrText xml:space="preserve"> SEQ Figure \* ARABIC </w:instrText>
      </w:r>
      <w:r>
        <w:rPr>
          <w:b w:val="0"/>
        </w:rPr>
        <w:fldChar w:fldCharType="separate"/>
      </w:r>
      <w:r w:rsidR="008120B2">
        <w:rPr>
          <w:b w:val="0"/>
          <w:noProof/>
        </w:rPr>
        <w:t>3</w:t>
      </w:r>
      <w:r>
        <w:rPr>
          <w:b w:val="0"/>
        </w:rPr>
        <w:fldChar w:fldCharType="end"/>
      </w:r>
      <w:r>
        <w:tab/>
      </w:r>
      <w:r w:rsidR="00C56F14">
        <w:t xml:space="preserve">Cumulative growth in labour productivity (LP), </w:t>
      </w:r>
      <w:r w:rsidR="00A63EC0">
        <w:t xml:space="preserve">the </w:t>
      </w:r>
      <w:r w:rsidR="00C56F14">
        <w:t>real product wage (</w:t>
      </w:r>
      <w:proofErr w:type="spellStart"/>
      <w:r w:rsidR="00C56F14">
        <w:t>RPW</w:t>
      </w:r>
      <w:proofErr w:type="spellEnd"/>
      <w:r w:rsidR="00C56F14">
        <w:t xml:space="preserve">) and </w:t>
      </w:r>
      <w:r w:rsidR="00A63EC0">
        <w:t xml:space="preserve">the </w:t>
      </w:r>
      <w:r w:rsidR="00C56F14">
        <w:t>real consumption wage (</w:t>
      </w:r>
      <w:proofErr w:type="spellStart"/>
      <w:r w:rsidR="00C56F14">
        <w:t>RCW</w:t>
      </w:r>
      <w:proofErr w:type="spellEnd"/>
      <w:r w:rsidR="00C56F14">
        <w:t xml:space="preserve">), </w:t>
      </w:r>
      <w:proofErr w:type="spellStart"/>
      <w:r w:rsidR="00C56F14">
        <w:t>1990s</w:t>
      </w:r>
      <w:proofErr w:type="spellEnd"/>
      <w:r w:rsidR="00C56F14">
        <w:t xml:space="preserve"> and </w:t>
      </w:r>
      <w:proofErr w:type="spellStart"/>
      <w:r w:rsidR="00C56F14">
        <w:t>2000s</w:t>
      </w:r>
      <w:proofErr w:type="spellEnd"/>
    </w:p>
    <w:p w:rsidR="00F10F4E" w:rsidRDefault="00C56F14">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484EAB" w:rsidRPr="00484EAB" w:rsidTr="0027762B">
        <w:tc>
          <w:tcPr>
            <w:tcW w:w="4388" w:type="dxa"/>
          </w:tcPr>
          <w:p w:rsidR="00484EAB" w:rsidRPr="00484EAB" w:rsidRDefault="00484EAB" w:rsidP="000B06EB">
            <w:pPr>
              <w:pStyle w:val="Figure"/>
              <w:spacing w:after="0"/>
              <w:rPr>
                <w:i/>
                <w:noProof/>
                <w:sz w:val="22"/>
                <w:szCs w:val="22"/>
              </w:rPr>
            </w:pPr>
            <w:r w:rsidRPr="00484EAB">
              <w:rPr>
                <w:i/>
                <w:noProof/>
                <w:sz w:val="22"/>
                <w:szCs w:val="22"/>
              </w:rPr>
              <w:t>1990s</w:t>
            </w:r>
          </w:p>
        </w:tc>
        <w:tc>
          <w:tcPr>
            <w:tcW w:w="4389" w:type="dxa"/>
          </w:tcPr>
          <w:p w:rsidR="00484EAB" w:rsidRPr="00484EAB" w:rsidRDefault="00484EAB" w:rsidP="000B06EB">
            <w:pPr>
              <w:pStyle w:val="Figure"/>
              <w:spacing w:after="0"/>
              <w:rPr>
                <w:i/>
                <w:noProof/>
                <w:sz w:val="22"/>
                <w:szCs w:val="22"/>
              </w:rPr>
            </w:pPr>
            <w:r w:rsidRPr="00484EAB">
              <w:rPr>
                <w:i/>
                <w:noProof/>
                <w:sz w:val="22"/>
                <w:szCs w:val="22"/>
              </w:rPr>
              <w:t>2000s</w:t>
            </w:r>
          </w:p>
        </w:tc>
      </w:tr>
      <w:tr w:rsidR="00484EAB" w:rsidTr="0027762B">
        <w:tc>
          <w:tcPr>
            <w:tcW w:w="4388" w:type="dxa"/>
          </w:tcPr>
          <w:p w:rsidR="00484EAB" w:rsidRPr="00F10F4E" w:rsidRDefault="0001536E" w:rsidP="000B06EB">
            <w:pPr>
              <w:pStyle w:val="Figure"/>
              <w:spacing w:before="0"/>
              <w:rPr>
                <w:noProof/>
              </w:rPr>
            </w:pPr>
            <w:r>
              <w:rPr>
                <w:noProof/>
              </w:rPr>
              <w:drawing>
                <wp:inline distT="0" distB="0" distL="0" distR="0">
                  <wp:extent cx="2562225" cy="1962150"/>
                  <wp:effectExtent l="0" t="0" r="9525" b="0"/>
                  <wp:docPr id="4" name="Picture 4" descr="Cumulative growth in labour productivity (LP), the real product wage (RPW) and the real consumption wage (RCW), 1990s and 2000s. This figure shows that LP and the RPW grew in close alignment in the 1990s, with less growth in RCW. In the 2000s, Grwoth in LP and RCW were closely aligned, with less growth in R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2225" cy="1962150"/>
                          </a:xfrm>
                          <a:prstGeom prst="rect">
                            <a:avLst/>
                          </a:prstGeom>
                          <a:noFill/>
                          <a:ln>
                            <a:noFill/>
                          </a:ln>
                        </pic:spPr>
                      </pic:pic>
                    </a:graphicData>
                  </a:graphic>
                </wp:inline>
              </w:drawing>
            </w:r>
          </w:p>
        </w:tc>
        <w:tc>
          <w:tcPr>
            <w:tcW w:w="4389" w:type="dxa"/>
          </w:tcPr>
          <w:p w:rsidR="00484EAB" w:rsidRPr="001C4B4C" w:rsidRDefault="0001536E" w:rsidP="000B06EB">
            <w:pPr>
              <w:pStyle w:val="Figure"/>
              <w:spacing w:before="0"/>
              <w:rPr>
                <w:noProof/>
              </w:rPr>
            </w:pPr>
            <w:r>
              <w:rPr>
                <w:noProof/>
              </w:rPr>
              <w:drawing>
                <wp:inline distT="0" distB="0" distL="0" distR="0">
                  <wp:extent cx="2571750" cy="1971675"/>
                  <wp:effectExtent l="0" t="0" r="0" b="9525"/>
                  <wp:docPr id="3" name="Picture 3" descr="Cumulative growth in labour productivity (LP), the real product wage (RPW) and the real consumption wage (RCW), 1990s and 2000s. This figure shows that LP and the RPW grew in close alignment in the 1990s, with less growth in RCW. In the 2000s, Grwoth in LP and RCW were closely aligned, with less growth in R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1971675"/>
                          </a:xfrm>
                          <a:prstGeom prst="rect">
                            <a:avLst/>
                          </a:prstGeom>
                          <a:noFill/>
                          <a:ln>
                            <a:noFill/>
                          </a:ln>
                        </pic:spPr>
                      </pic:pic>
                    </a:graphicData>
                  </a:graphic>
                </wp:inline>
              </w:drawing>
            </w:r>
          </w:p>
        </w:tc>
      </w:tr>
    </w:tbl>
    <w:p w:rsidR="00F10F4E" w:rsidRDefault="00AB0B7C">
      <w:pPr>
        <w:pStyle w:val="Source"/>
      </w:pPr>
      <w:r>
        <w:rPr>
          <w:i/>
        </w:rPr>
        <w:t>Data s</w:t>
      </w:r>
      <w:r w:rsidR="00F10F4E">
        <w:rPr>
          <w:i/>
        </w:rPr>
        <w:t>ource</w:t>
      </w:r>
      <w:r w:rsidR="00F10F4E" w:rsidRPr="00167F06">
        <w:t xml:space="preserve">: </w:t>
      </w:r>
      <w:r w:rsidR="008811C6">
        <w:t>Author’s estimates</w:t>
      </w:r>
      <w:r w:rsidR="00293BCE">
        <w:t xml:space="preserve"> based on ABS</w:t>
      </w:r>
      <w:r>
        <w:t xml:space="preserve"> </w:t>
      </w:r>
      <w:r w:rsidR="008046B5">
        <w:t xml:space="preserve">(Cat. no. </w:t>
      </w:r>
      <w:r w:rsidR="00293BCE">
        <w:t>5204.0</w:t>
      </w:r>
      <w:r w:rsidR="008046B5">
        <w:t>;</w:t>
      </w:r>
      <w:r w:rsidR="00293BCE">
        <w:t xml:space="preserve"> </w:t>
      </w:r>
      <w:r w:rsidR="008046B5">
        <w:t xml:space="preserve">Cat. no. </w:t>
      </w:r>
      <w:r w:rsidR="00293BCE">
        <w:t>5260.0550.02</w:t>
      </w:r>
      <w:r w:rsidR="008046B5">
        <w:t>)</w:t>
      </w:r>
      <w:r>
        <w:t xml:space="preserve">. </w:t>
      </w:r>
    </w:p>
    <w:p w:rsidR="00AD0925" w:rsidRPr="00180281" w:rsidRDefault="00691B4E" w:rsidP="00691B4E">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842D28">
        <w:rPr>
          <w:b w:val="0"/>
        </w:rPr>
        <w:t>7.</w:t>
      </w:r>
      <w:r>
        <w:rPr>
          <w:b w:val="0"/>
        </w:rPr>
        <w:fldChar w:fldCharType="end"/>
      </w:r>
      <w:r>
        <w:rPr>
          <w:b w:val="0"/>
        </w:rPr>
        <w:fldChar w:fldCharType="begin"/>
      </w:r>
      <w:r>
        <w:rPr>
          <w:b w:val="0"/>
        </w:rPr>
        <w:instrText xml:space="preserve"> SEQ Table \* ARABIC </w:instrText>
      </w:r>
      <w:r>
        <w:rPr>
          <w:b w:val="0"/>
        </w:rPr>
        <w:fldChar w:fldCharType="separate"/>
      </w:r>
      <w:r w:rsidR="008120B2">
        <w:rPr>
          <w:b w:val="0"/>
          <w:noProof/>
        </w:rPr>
        <w:t>1</w:t>
      </w:r>
      <w:r>
        <w:rPr>
          <w:b w:val="0"/>
        </w:rPr>
        <w:fldChar w:fldCharType="end"/>
      </w:r>
      <w:r>
        <w:rPr>
          <w:b w:val="0"/>
        </w:rPr>
        <w:tab/>
      </w:r>
      <w:r w:rsidR="001025B7" w:rsidRPr="00180281">
        <w:t>Growth in productivity, prices and real wages</w:t>
      </w:r>
    </w:p>
    <w:p w:rsidR="001025B7" w:rsidRPr="001025B7" w:rsidRDefault="001025B7" w:rsidP="001025B7">
      <w:pPr>
        <w:pStyle w:val="Subtitle"/>
      </w:pPr>
      <w:r>
        <w:t>per cent per year</w:t>
      </w:r>
    </w:p>
    <w:tbl>
      <w:tblPr>
        <w:tblW w:w="4880" w:type="pct"/>
        <w:tblInd w:w="108" w:type="dxa"/>
        <w:tblLook w:val="04A0" w:firstRow="1" w:lastRow="0" w:firstColumn="1" w:lastColumn="0" w:noHBand="0" w:noVBand="1"/>
      </w:tblPr>
      <w:tblGrid>
        <w:gridCol w:w="3377"/>
        <w:gridCol w:w="1587"/>
        <w:gridCol w:w="1700"/>
        <w:gridCol w:w="2125"/>
      </w:tblGrid>
      <w:tr w:rsidR="00175136" w:rsidRPr="00180281" w:rsidTr="00180281">
        <w:trPr>
          <w:trHeight w:val="397"/>
        </w:trPr>
        <w:tc>
          <w:tcPr>
            <w:tcW w:w="1921" w:type="pct"/>
            <w:tcBorders>
              <w:top w:val="single" w:sz="4" w:space="0" w:color="auto"/>
              <w:bottom w:val="single" w:sz="4" w:space="0" w:color="auto"/>
            </w:tcBorders>
            <w:shd w:val="clear" w:color="auto" w:fill="auto"/>
            <w:noWrap/>
            <w:vAlign w:val="bottom"/>
            <w:hideMark/>
          </w:tcPr>
          <w:p w:rsidR="00175136" w:rsidRPr="00180281" w:rsidRDefault="00175136" w:rsidP="00180281">
            <w:pPr>
              <w:pStyle w:val="TableColumnHeading"/>
              <w:jc w:val="left"/>
            </w:pPr>
            <w:r w:rsidRPr="00180281">
              <w:t>Growth in</w:t>
            </w:r>
          </w:p>
        </w:tc>
        <w:tc>
          <w:tcPr>
            <w:tcW w:w="903" w:type="pct"/>
            <w:tcBorders>
              <w:top w:val="single" w:sz="4" w:space="0" w:color="auto"/>
              <w:bottom w:val="single" w:sz="4" w:space="0" w:color="auto"/>
            </w:tcBorders>
            <w:shd w:val="clear" w:color="auto" w:fill="auto"/>
            <w:noWrap/>
            <w:vAlign w:val="bottom"/>
            <w:hideMark/>
          </w:tcPr>
          <w:p w:rsidR="00175136" w:rsidRPr="00180281" w:rsidRDefault="00175136" w:rsidP="00180281">
            <w:pPr>
              <w:pStyle w:val="TableColumnHeading"/>
            </w:pPr>
            <w:proofErr w:type="spellStart"/>
            <w:r w:rsidRPr="00180281">
              <w:t>1990s</w:t>
            </w:r>
            <w:proofErr w:type="spellEnd"/>
          </w:p>
        </w:tc>
        <w:tc>
          <w:tcPr>
            <w:tcW w:w="967" w:type="pct"/>
            <w:tcBorders>
              <w:top w:val="single" w:sz="4" w:space="0" w:color="auto"/>
              <w:bottom w:val="single" w:sz="4" w:space="0" w:color="auto"/>
            </w:tcBorders>
            <w:shd w:val="clear" w:color="auto" w:fill="auto"/>
            <w:noWrap/>
            <w:vAlign w:val="bottom"/>
            <w:hideMark/>
          </w:tcPr>
          <w:p w:rsidR="00175136" w:rsidRPr="00180281" w:rsidRDefault="00175136" w:rsidP="00180281">
            <w:pPr>
              <w:pStyle w:val="TableColumnHeading"/>
            </w:pPr>
            <w:proofErr w:type="spellStart"/>
            <w:r w:rsidRPr="00180281">
              <w:t>2000s</w:t>
            </w:r>
            <w:proofErr w:type="spellEnd"/>
          </w:p>
        </w:tc>
        <w:tc>
          <w:tcPr>
            <w:tcW w:w="1209" w:type="pct"/>
            <w:tcBorders>
              <w:top w:val="single" w:sz="4" w:space="0" w:color="auto"/>
              <w:bottom w:val="single" w:sz="4" w:space="0" w:color="auto"/>
            </w:tcBorders>
            <w:shd w:val="clear" w:color="auto" w:fill="auto"/>
            <w:vAlign w:val="bottom"/>
            <w:hideMark/>
          </w:tcPr>
          <w:p w:rsidR="00175136" w:rsidRPr="00180281" w:rsidRDefault="00175136" w:rsidP="00180281">
            <w:pPr>
              <w:pStyle w:val="TableColumnHeading"/>
            </w:pPr>
            <w:r w:rsidRPr="00180281">
              <w:t>200</w:t>
            </w:r>
            <w:r w:rsidR="0054221F" w:rsidRPr="00180281">
              <w:t>2</w:t>
            </w:r>
            <w:r w:rsidRPr="00180281">
              <w:t>-0</w:t>
            </w:r>
            <w:r w:rsidR="0054221F" w:rsidRPr="00180281">
              <w:t>3</w:t>
            </w:r>
            <w:r w:rsidRPr="00180281">
              <w:t xml:space="preserve"> to 2011-12</w:t>
            </w:r>
          </w:p>
        </w:tc>
      </w:tr>
      <w:tr w:rsidR="00175136" w:rsidRPr="00175136" w:rsidTr="00180281">
        <w:trPr>
          <w:trHeight w:val="300"/>
        </w:trPr>
        <w:tc>
          <w:tcPr>
            <w:tcW w:w="1921" w:type="pct"/>
            <w:tcBorders>
              <w:top w:val="single" w:sz="4" w:space="0" w:color="auto"/>
            </w:tcBorders>
            <w:shd w:val="clear" w:color="auto" w:fill="auto"/>
            <w:noWrap/>
            <w:vAlign w:val="bottom"/>
            <w:hideMark/>
          </w:tcPr>
          <w:p w:rsidR="00175136" w:rsidRPr="00175136" w:rsidRDefault="00333A8D" w:rsidP="00691B4E">
            <w:pPr>
              <w:pStyle w:val="TableBodyText"/>
              <w:jc w:val="left"/>
            </w:pPr>
            <w:r>
              <w:t>L</w:t>
            </w:r>
            <w:r w:rsidR="00175136" w:rsidRPr="00175136">
              <w:t>abour productivity</w:t>
            </w:r>
          </w:p>
        </w:tc>
        <w:tc>
          <w:tcPr>
            <w:tcW w:w="903" w:type="pct"/>
            <w:tcBorders>
              <w:top w:val="single" w:sz="4" w:space="0" w:color="auto"/>
            </w:tcBorders>
            <w:shd w:val="clear" w:color="auto" w:fill="auto"/>
            <w:noWrap/>
            <w:vAlign w:val="bottom"/>
            <w:hideMark/>
          </w:tcPr>
          <w:p w:rsidR="00175136" w:rsidRPr="00175136" w:rsidRDefault="00175136" w:rsidP="00691B4E">
            <w:pPr>
              <w:pStyle w:val="TableBodyText"/>
            </w:pPr>
            <w:r w:rsidRPr="00175136">
              <w:t>2.9</w:t>
            </w:r>
          </w:p>
        </w:tc>
        <w:tc>
          <w:tcPr>
            <w:tcW w:w="967" w:type="pct"/>
            <w:tcBorders>
              <w:top w:val="single" w:sz="4" w:space="0" w:color="auto"/>
            </w:tcBorders>
            <w:shd w:val="clear" w:color="auto" w:fill="auto"/>
            <w:noWrap/>
            <w:vAlign w:val="bottom"/>
            <w:hideMark/>
          </w:tcPr>
          <w:p w:rsidR="00175136" w:rsidRPr="00175136" w:rsidRDefault="00175136" w:rsidP="00691B4E">
            <w:pPr>
              <w:pStyle w:val="TableBodyText"/>
            </w:pPr>
            <w:r w:rsidRPr="00175136">
              <w:t>2.1</w:t>
            </w:r>
          </w:p>
        </w:tc>
        <w:tc>
          <w:tcPr>
            <w:tcW w:w="1209" w:type="pct"/>
            <w:tcBorders>
              <w:top w:val="single" w:sz="4" w:space="0" w:color="auto"/>
            </w:tcBorders>
            <w:shd w:val="clear" w:color="auto" w:fill="auto"/>
            <w:noWrap/>
            <w:vAlign w:val="bottom"/>
            <w:hideMark/>
          </w:tcPr>
          <w:p w:rsidR="00175136" w:rsidRPr="00175136" w:rsidRDefault="00175136" w:rsidP="0054221F">
            <w:pPr>
              <w:pStyle w:val="TableBodyText"/>
            </w:pPr>
            <w:r w:rsidRPr="00175136">
              <w:t>1.</w:t>
            </w:r>
            <w:r w:rsidR="0054221F">
              <w:t>8</w:t>
            </w:r>
          </w:p>
        </w:tc>
      </w:tr>
      <w:tr w:rsidR="00175136" w:rsidRPr="00175136" w:rsidTr="00180281">
        <w:trPr>
          <w:trHeight w:val="300"/>
        </w:trPr>
        <w:tc>
          <w:tcPr>
            <w:tcW w:w="1921" w:type="pct"/>
            <w:shd w:val="clear" w:color="auto" w:fill="auto"/>
            <w:noWrap/>
            <w:vAlign w:val="bottom"/>
            <w:hideMark/>
          </w:tcPr>
          <w:p w:rsidR="00175136" w:rsidRPr="00175136" w:rsidRDefault="00333A8D" w:rsidP="00691B4E">
            <w:pPr>
              <w:pStyle w:val="TableBodyText"/>
              <w:jc w:val="left"/>
            </w:pPr>
            <w:r>
              <w:t>P</w:t>
            </w:r>
            <w:r w:rsidR="00FB4F15">
              <w:t>roduct</w:t>
            </w:r>
            <w:r w:rsidR="00175136" w:rsidRPr="00175136">
              <w:t xml:space="preserve"> prices</w:t>
            </w:r>
          </w:p>
        </w:tc>
        <w:tc>
          <w:tcPr>
            <w:tcW w:w="903" w:type="pct"/>
            <w:shd w:val="clear" w:color="auto" w:fill="auto"/>
            <w:noWrap/>
            <w:vAlign w:val="bottom"/>
            <w:hideMark/>
          </w:tcPr>
          <w:p w:rsidR="00175136" w:rsidRPr="00175136" w:rsidRDefault="00175136" w:rsidP="00691B4E">
            <w:pPr>
              <w:pStyle w:val="TableBodyText"/>
            </w:pPr>
            <w:r w:rsidRPr="00175136">
              <w:t>1.6</w:t>
            </w:r>
          </w:p>
        </w:tc>
        <w:tc>
          <w:tcPr>
            <w:tcW w:w="967" w:type="pct"/>
            <w:shd w:val="clear" w:color="auto" w:fill="auto"/>
            <w:noWrap/>
            <w:vAlign w:val="bottom"/>
            <w:hideMark/>
          </w:tcPr>
          <w:p w:rsidR="00175136" w:rsidRPr="00175136" w:rsidRDefault="00175136" w:rsidP="00691B4E">
            <w:pPr>
              <w:pStyle w:val="TableBodyText"/>
            </w:pPr>
            <w:r w:rsidRPr="00175136">
              <w:t>3.7</w:t>
            </w:r>
          </w:p>
        </w:tc>
        <w:tc>
          <w:tcPr>
            <w:tcW w:w="1209" w:type="pct"/>
            <w:shd w:val="clear" w:color="auto" w:fill="auto"/>
            <w:noWrap/>
            <w:vAlign w:val="bottom"/>
            <w:hideMark/>
          </w:tcPr>
          <w:p w:rsidR="00175136" w:rsidRPr="00175136" w:rsidRDefault="00175136" w:rsidP="0054221F">
            <w:pPr>
              <w:pStyle w:val="TableBodyText"/>
            </w:pPr>
            <w:r w:rsidRPr="00175136">
              <w:t>3.</w:t>
            </w:r>
            <w:r w:rsidR="0054221F">
              <w:t>8</w:t>
            </w:r>
          </w:p>
        </w:tc>
      </w:tr>
      <w:tr w:rsidR="00175136" w:rsidRPr="00175136" w:rsidTr="00180281">
        <w:trPr>
          <w:trHeight w:val="300"/>
        </w:trPr>
        <w:tc>
          <w:tcPr>
            <w:tcW w:w="1921" w:type="pct"/>
            <w:shd w:val="clear" w:color="auto" w:fill="auto"/>
            <w:noWrap/>
            <w:vAlign w:val="bottom"/>
            <w:hideMark/>
          </w:tcPr>
          <w:p w:rsidR="00175136" w:rsidRPr="00175136" w:rsidRDefault="00333A8D" w:rsidP="00691B4E">
            <w:pPr>
              <w:pStyle w:val="TableBodyText"/>
              <w:jc w:val="left"/>
            </w:pPr>
            <w:r>
              <w:t>C</w:t>
            </w:r>
            <w:r w:rsidR="00175136" w:rsidRPr="00175136">
              <w:t>onsumer prices</w:t>
            </w:r>
          </w:p>
        </w:tc>
        <w:tc>
          <w:tcPr>
            <w:tcW w:w="903" w:type="pct"/>
            <w:shd w:val="clear" w:color="auto" w:fill="auto"/>
            <w:noWrap/>
            <w:vAlign w:val="bottom"/>
            <w:hideMark/>
          </w:tcPr>
          <w:p w:rsidR="00175136" w:rsidRPr="00175136" w:rsidRDefault="00175136" w:rsidP="00691B4E">
            <w:pPr>
              <w:pStyle w:val="TableBodyText"/>
            </w:pPr>
            <w:r w:rsidRPr="00175136">
              <w:t>2.3</w:t>
            </w:r>
          </w:p>
        </w:tc>
        <w:tc>
          <w:tcPr>
            <w:tcW w:w="967" w:type="pct"/>
            <w:shd w:val="clear" w:color="auto" w:fill="auto"/>
            <w:noWrap/>
            <w:vAlign w:val="bottom"/>
            <w:hideMark/>
          </w:tcPr>
          <w:p w:rsidR="00175136" w:rsidRPr="00175136" w:rsidRDefault="00175136" w:rsidP="00691B4E">
            <w:pPr>
              <w:pStyle w:val="TableBodyText"/>
            </w:pPr>
            <w:r w:rsidRPr="00175136">
              <w:t>2.8</w:t>
            </w:r>
          </w:p>
        </w:tc>
        <w:tc>
          <w:tcPr>
            <w:tcW w:w="1209" w:type="pct"/>
            <w:shd w:val="clear" w:color="auto" w:fill="auto"/>
            <w:noWrap/>
            <w:vAlign w:val="bottom"/>
            <w:hideMark/>
          </w:tcPr>
          <w:p w:rsidR="00175136" w:rsidRPr="00175136" w:rsidRDefault="0054221F" w:rsidP="00691B4E">
            <w:pPr>
              <w:pStyle w:val="TableBodyText"/>
            </w:pPr>
            <w:r>
              <w:t>2.5</w:t>
            </w:r>
          </w:p>
        </w:tc>
      </w:tr>
      <w:tr w:rsidR="00175136" w:rsidRPr="00175136" w:rsidTr="00180281">
        <w:trPr>
          <w:trHeight w:val="300"/>
        </w:trPr>
        <w:tc>
          <w:tcPr>
            <w:tcW w:w="1921" w:type="pct"/>
            <w:shd w:val="clear" w:color="auto" w:fill="auto"/>
            <w:noWrap/>
            <w:vAlign w:val="bottom"/>
            <w:hideMark/>
          </w:tcPr>
          <w:p w:rsidR="00175136" w:rsidRPr="00175136" w:rsidRDefault="00333A8D" w:rsidP="00691B4E">
            <w:pPr>
              <w:pStyle w:val="TableBodyText"/>
              <w:jc w:val="left"/>
            </w:pPr>
            <w:r>
              <w:t>Real Product Wage (</w:t>
            </w:r>
            <w:proofErr w:type="spellStart"/>
            <w:r w:rsidR="00175136" w:rsidRPr="00175136">
              <w:t>RPW</w:t>
            </w:r>
            <w:proofErr w:type="spellEnd"/>
            <w:r>
              <w:t>)</w:t>
            </w:r>
          </w:p>
        </w:tc>
        <w:tc>
          <w:tcPr>
            <w:tcW w:w="903" w:type="pct"/>
            <w:shd w:val="clear" w:color="auto" w:fill="auto"/>
            <w:noWrap/>
            <w:vAlign w:val="bottom"/>
            <w:hideMark/>
          </w:tcPr>
          <w:p w:rsidR="00175136" w:rsidRPr="00175136" w:rsidRDefault="00175136" w:rsidP="00691B4E">
            <w:pPr>
              <w:pStyle w:val="TableBodyText"/>
            </w:pPr>
            <w:r w:rsidRPr="00175136">
              <w:t>2.1</w:t>
            </w:r>
          </w:p>
        </w:tc>
        <w:tc>
          <w:tcPr>
            <w:tcW w:w="967" w:type="pct"/>
            <w:shd w:val="clear" w:color="auto" w:fill="auto"/>
            <w:noWrap/>
            <w:vAlign w:val="bottom"/>
            <w:hideMark/>
          </w:tcPr>
          <w:p w:rsidR="00175136" w:rsidRPr="00175136" w:rsidRDefault="00175136" w:rsidP="003E75CB">
            <w:pPr>
              <w:pStyle w:val="TableBodyText"/>
            </w:pPr>
            <w:r w:rsidRPr="00175136">
              <w:t>1.</w:t>
            </w:r>
            <w:r w:rsidR="003E75CB">
              <w:t>1</w:t>
            </w:r>
          </w:p>
        </w:tc>
        <w:tc>
          <w:tcPr>
            <w:tcW w:w="1209" w:type="pct"/>
            <w:shd w:val="clear" w:color="auto" w:fill="auto"/>
            <w:noWrap/>
            <w:vAlign w:val="bottom"/>
            <w:hideMark/>
          </w:tcPr>
          <w:p w:rsidR="00175136" w:rsidRPr="00175136" w:rsidRDefault="0054221F" w:rsidP="003E75CB">
            <w:pPr>
              <w:pStyle w:val="TableBodyText"/>
              <w:rPr>
                <w:highlight w:val="lightGray"/>
              </w:rPr>
            </w:pPr>
            <w:r>
              <w:rPr>
                <w:highlight w:val="lightGray"/>
              </w:rPr>
              <w:t>1.</w:t>
            </w:r>
            <w:r w:rsidR="003E75CB">
              <w:rPr>
                <w:highlight w:val="lightGray"/>
              </w:rPr>
              <w:t>4</w:t>
            </w:r>
          </w:p>
        </w:tc>
      </w:tr>
      <w:tr w:rsidR="00175136" w:rsidRPr="00175136" w:rsidTr="00180281">
        <w:trPr>
          <w:trHeight w:val="300"/>
        </w:trPr>
        <w:tc>
          <w:tcPr>
            <w:tcW w:w="1921" w:type="pct"/>
            <w:tcBorders>
              <w:bottom w:val="single" w:sz="4" w:space="0" w:color="auto"/>
            </w:tcBorders>
            <w:shd w:val="clear" w:color="auto" w:fill="auto"/>
            <w:noWrap/>
            <w:vAlign w:val="bottom"/>
            <w:hideMark/>
          </w:tcPr>
          <w:p w:rsidR="00175136" w:rsidRPr="00175136" w:rsidRDefault="00333A8D" w:rsidP="00691B4E">
            <w:pPr>
              <w:pStyle w:val="TableBodyText"/>
              <w:jc w:val="left"/>
            </w:pPr>
            <w:r>
              <w:t>Real Consumption Wage (</w:t>
            </w:r>
            <w:proofErr w:type="spellStart"/>
            <w:r w:rsidR="00175136" w:rsidRPr="00175136">
              <w:t>RCW</w:t>
            </w:r>
            <w:proofErr w:type="spellEnd"/>
            <w:r>
              <w:t>)</w:t>
            </w:r>
          </w:p>
        </w:tc>
        <w:tc>
          <w:tcPr>
            <w:tcW w:w="903" w:type="pct"/>
            <w:tcBorders>
              <w:bottom w:val="single" w:sz="4" w:space="0" w:color="auto"/>
            </w:tcBorders>
            <w:shd w:val="clear" w:color="auto" w:fill="auto"/>
            <w:noWrap/>
            <w:vAlign w:val="bottom"/>
            <w:hideMark/>
          </w:tcPr>
          <w:p w:rsidR="00175136" w:rsidRPr="00175136" w:rsidRDefault="00175136" w:rsidP="00691B4E">
            <w:pPr>
              <w:pStyle w:val="TableBodyText"/>
            </w:pPr>
            <w:r w:rsidRPr="00175136">
              <w:t>1.5</w:t>
            </w:r>
          </w:p>
        </w:tc>
        <w:tc>
          <w:tcPr>
            <w:tcW w:w="967" w:type="pct"/>
            <w:tcBorders>
              <w:bottom w:val="single" w:sz="4" w:space="0" w:color="auto"/>
            </w:tcBorders>
            <w:shd w:val="clear" w:color="auto" w:fill="auto"/>
            <w:noWrap/>
            <w:vAlign w:val="bottom"/>
            <w:hideMark/>
          </w:tcPr>
          <w:p w:rsidR="00175136" w:rsidRPr="00175136" w:rsidRDefault="00175136" w:rsidP="00691B4E">
            <w:pPr>
              <w:pStyle w:val="TableBodyText"/>
            </w:pPr>
            <w:r w:rsidRPr="00175136">
              <w:t>2.0</w:t>
            </w:r>
          </w:p>
        </w:tc>
        <w:tc>
          <w:tcPr>
            <w:tcW w:w="1209" w:type="pct"/>
            <w:tcBorders>
              <w:bottom w:val="single" w:sz="4" w:space="0" w:color="auto"/>
            </w:tcBorders>
            <w:shd w:val="clear" w:color="auto" w:fill="auto"/>
            <w:noWrap/>
            <w:vAlign w:val="bottom"/>
            <w:hideMark/>
          </w:tcPr>
          <w:p w:rsidR="00175136" w:rsidRPr="00175136" w:rsidRDefault="0054221F" w:rsidP="00691B4E">
            <w:pPr>
              <w:pStyle w:val="TableBodyText"/>
              <w:rPr>
                <w:highlight w:val="lightGray"/>
              </w:rPr>
            </w:pPr>
            <w:r>
              <w:rPr>
                <w:highlight w:val="lightGray"/>
              </w:rPr>
              <w:t>2.6</w:t>
            </w:r>
          </w:p>
        </w:tc>
      </w:tr>
    </w:tbl>
    <w:p w:rsidR="00293BCE" w:rsidRDefault="00293BCE" w:rsidP="00293BCE">
      <w:pPr>
        <w:pStyle w:val="Source"/>
      </w:pPr>
      <w:r>
        <w:rPr>
          <w:i/>
        </w:rPr>
        <w:t>Source</w:t>
      </w:r>
      <w:r w:rsidRPr="00167F06">
        <w:t xml:space="preserve">: </w:t>
      </w:r>
      <w:r>
        <w:t xml:space="preserve">Author’s estimates based on ABS </w:t>
      </w:r>
      <w:r w:rsidR="008046B5">
        <w:t>(</w:t>
      </w:r>
      <w:r>
        <w:t>Cat</w:t>
      </w:r>
      <w:r w:rsidR="008046B5">
        <w:t>. no.</w:t>
      </w:r>
      <w:r>
        <w:t xml:space="preserve"> 5204.0</w:t>
      </w:r>
      <w:r w:rsidR="008046B5">
        <w:t>; Cat. no.</w:t>
      </w:r>
      <w:r>
        <w:t xml:space="preserve"> 5260.0550.02</w:t>
      </w:r>
      <w:r w:rsidR="008046B5">
        <w:t>).</w:t>
      </w:r>
    </w:p>
    <w:p w:rsidR="00BD7B10" w:rsidRDefault="00BD7B10" w:rsidP="00634B70">
      <w:pPr>
        <w:pStyle w:val="Heading3"/>
      </w:pPr>
      <w:r>
        <w:t xml:space="preserve">The </w:t>
      </w:r>
      <w:proofErr w:type="spellStart"/>
      <w:r>
        <w:t>1990s</w:t>
      </w:r>
      <w:proofErr w:type="spellEnd"/>
    </w:p>
    <w:p w:rsidR="00BD7B10" w:rsidRDefault="00BD7B10" w:rsidP="00AD0925">
      <w:pPr>
        <w:pStyle w:val="BodyText"/>
      </w:pPr>
      <w:r>
        <w:t xml:space="preserve">There was also a wedge between producer and consumer prices in the </w:t>
      </w:r>
      <w:proofErr w:type="spellStart"/>
      <w:r>
        <w:t>1990s</w:t>
      </w:r>
      <w:proofErr w:type="spellEnd"/>
      <w:r>
        <w:t>. It was, however, smaller in size and opposite in direction</w:t>
      </w:r>
      <w:r w:rsidR="003C21EF">
        <w:t>. C</w:t>
      </w:r>
      <w:r>
        <w:t xml:space="preserve">onsumer prices </w:t>
      </w:r>
      <w:r w:rsidR="00333A8D">
        <w:t xml:space="preserve">rose </w:t>
      </w:r>
      <w:r>
        <w:t xml:space="preserve">more than producer prices. The left-hand panel in figure </w:t>
      </w:r>
      <w:r w:rsidR="001730D2">
        <w:t>7.3</w:t>
      </w:r>
      <w:r>
        <w:t xml:space="preserve"> shows that the </w:t>
      </w:r>
      <w:proofErr w:type="spellStart"/>
      <w:r>
        <w:t>RCW</w:t>
      </w:r>
      <w:proofErr w:type="spellEnd"/>
      <w:r>
        <w:t xml:space="preserve"> grew</w:t>
      </w:r>
      <w:r w:rsidR="00E62FB4">
        <w:t xml:space="preserve"> less than the </w:t>
      </w:r>
      <w:proofErr w:type="spellStart"/>
      <w:r w:rsidR="00E62FB4">
        <w:t>RPW</w:t>
      </w:r>
      <w:proofErr w:type="spellEnd"/>
      <w:r w:rsidR="00E62FB4">
        <w:t xml:space="preserve"> over the </w:t>
      </w:r>
      <w:proofErr w:type="spellStart"/>
      <w:r w:rsidR="00E62FB4">
        <w:t>1990s</w:t>
      </w:r>
      <w:proofErr w:type="spellEnd"/>
      <w:r w:rsidR="00E62FB4">
        <w:t>.</w:t>
      </w:r>
    </w:p>
    <w:p w:rsidR="00E62FB4" w:rsidRDefault="00E62FB4" w:rsidP="00AD0925">
      <w:pPr>
        <w:pStyle w:val="BodyText"/>
      </w:pPr>
      <w:r>
        <w:t xml:space="preserve">Timing, however, played a </w:t>
      </w:r>
      <w:r w:rsidR="00634B70">
        <w:t xml:space="preserve">more precise </w:t>
      </w:r>
      <w:r>
        <w:t xml:space="preserve">role. </w:t>
      </w:r>
      <w:r w:rsidR="003C21EF">
        <w:t>It appears that th</w:t>
      </w:r>
      <w:r w:rsidR="001730D2">
        <w:t>e</w:t>
      </w:r>
      <w:r w:rsidR="003C21EF">
        <w:t xml:space="preserve"> </w:t>
      </w:r>
      <w:r w:rsidR="009D677D">
        <w:t xml:space="preserve">divergence in the </w:t>
      </w:r>
      <w:r w:rsidR="001730D2">
        <w:t xml:space="preserve">real </w:t>
      </w:r>
      <w:r w:rsidR="009D677D">
        <w:t>product and real consumption wages arose in</w:t>
      </w:r>
      <w:r w:rsidR="001730D2">
        <w:t xml:space="preserve"> the early </w:t>
      </w:r>
      <w:proofErr w:type="spellStart"/>
      <w:r w:rsidR="001730D2">
        <w:t>1990s</w:t>
      </w:r>
      <w:proofErr w:type="spellEnd"/>
      <w:r w:rsidR="001730D2">
        <w:t xml:space="preserve"> recession. F</w:t>
      </w:r>
      <w:r w:rsidR="00634B70">
        <w:t xml:space="preserve">rom 1992-93, </w:t>
      </w:r>
      <w:r w:rsidR="001730D2">
        <w:t xml:space="preserve">however, </w:t>
      </w:r>
      <w:r w:rsidR="00BE193C">
        <w:t xml:space="preserve">they </w:t>
      </w:r>
      <w:r w:rsidR="00634B70">
        <w:t>ran in close parallel</w:t>
      </w:r>
      <w:r w:rsidR="001730D2">
        <w:t xml:space="preserve">. A </w:t>
      </w:r>
      <w:r w:rsidR="00634B70">
        <w:t xml:space="preserve">fall in the terms of trade in the early </w:t>
      </w:r>
      <w:proofErr w:type="spellStart"/>
      <w:r w:rsidR="00634B70">
        <w:t>1990s</w:t>
      </w:r>
      <w:proofErr w:type="spellEnd"/>
      <w:r w:rsidR="00634B70">
        <w:t xml:space="preserve"> was associated with an exchange rate depreciation, which in turn was likely influenced by the weakness of the domestic economy during the recession. </w:t>
      </w:r>
    </w:p>
    <w:p w:rsidR="003C21EF" w:rsidRDefault="003C21EF" w:rsidP="00AD0925">
      <w:pPr>
        <w:pStyle w:val="BodyText"/>
      </w:pPr>
      <w:r>
        <w:lastRenderedPageBreak/>
        <w:t xml:space="preserve">Labour productivity, the </w:t>
      </w:r>
      <w:proofErr w:type="spellStart"/>
      <w:r>
        <w:t>RCW</w:t>
      </w:r>
      <w:proofErr w:type="spellEnd"/>
      <w:r>
        <w:t xml:space="preserve"> and the </w:t>
      </w:r>
      <w:proofErr w:type="spellStart"/>
      <w:r>
        <w:t>RPW</w:t>
      </w:r>
      <w:proofErr w:type="spellEnd"/>
      <w:r>
        <w:t xml:space="preserve"> moved closely together (in parallel in figure </w:t>
      </w:r>
      <w:r w:rsidR="001730D2">
        <w:t>7.3</w:t>
      </w:r>
      <w:r>
        <w:t xml:space="preserve">) from 1994-95. This was the period of strong productivity growth in the </w:t>
      </w:r>
      <w:proofErr w:type="spellStart"/>
      <w:r>
        <w:t>1990s</w:t>
      </w:r>
      <w:proofErr w:type="spellEnd"/>
      <w:r>
        <w:t>, outside of the recession and with relatively stable terms of trade.</w:t>
      </w:r>
    </w:p>
    <w:p w:rsidR="00AE7A60" w:rsidRDefault="008120B2" w:rsidP="00AE7A60">
      <w:pPr>
        <w:pStyle w:val="Heading2"/>
      </w:pPr>
      <w:fldSimple w:instr=" COMMENTS  \* MERGEFORMAT ">
        <w:r w:rsidR="00842D28">
          <w:t>7.</w:t>
        </w:r>
      </w:fldSimple>
      <w:fldSimple w:instr=" SEQ Heading2 ">
        <w:r>
          <w:rPr>
            <w:noProof/>
          </w:rPr>
          <w:t>3</w:t>
        </w:r>
      </w:fldSimple>
      <w:r w:rsidR="00691B4E">
        <w:tab/>
      </w:r>
      <w:r w:rsidR="001730D2">
        <w:t>Key point s</w:t>
      </w:r>
      <w:r w:rsidR="00F37DC4">
        <w:t>ummary</w:t>
      </w:r>
    </w:p>
    <w:p w:rsidR="004E2250" w:rsidRDefault="004E2250" w:rsidP="004E2250">
      <w:pPr>
        <w:pStyle w:val="ListBullet"/>
      </w:pPr>
      <w:r>
        <w:t xml:space="preserve">The terms of trade drove a wedge between growth in product prices and consumer prices in the </w:t>
      </w:r>
      <w:proofErr w:type="spellStart"/>
      <w:r>
        <w:t>2000s</w:t>
      </w:r>
      <w:proofErr w:type="spellEnd"/>
      <w:r>
        <w:t>.</w:t>
      </w:r>
    </w:p>
    <w:p w:rsidR="004E2250" w:rsidRDefault="004E2250" w:rsidP="004E2250">
      <w:pPr>
        <w:pStyle w:val="ListBullet2"/>
      </w:pPr>
      <w:r>
        <w:t>Higher commodity export prices meant there was more growth in product prices than in consumer prices, which were also held in check by cheaper imports.</w:t>
      </w:r>
    </w:p>
    <w:p w:rsidR="004E2250" w:rsidRDefault="004E2250" w:rsidP="004E2250">
      <w:pPr>
        <w:pStyle w:val="ListBullet"/>
      </w:pPr>
      <w:r>
        <w:t xml:space="preserve">This in turn drove a wedge between growth in the </w:t>
      </w:r>
      <w:proofErr w:type="spellStart"/>
      <w:r w:rsidR="00F47AFF">
        <w:t>RPW</w:t>
      </w:r>
      <w:proofErr w:type="spellEnd"/>
      <w:r>
        <w:t xml:space="preserve"> (based on product prices) and the </w:t>
      </w:r>
      <w:proofErr w:type="spellStart"/>
      <w:r w:rsidR="00F47AFF">
        <w:t>RCW</w:t>
      </w:r>
      <w:proofErr w:type="spellEnd"/>
      <w:r>
        <w:t xml:space="preserve"> (based on consumption prices).</w:t>
      </w:r>
    </w:p>
    <w:p w:rsidR="004E2250" w:rsidRDefault="004E2250" w:rsidP="004E2250">
      <w:pPr>
        <w:pStyle w:val="ListBullet2"/>
      </w:pPr>
      <w:r>
        <w:t xml:space="preserve">There was stronger growth in the </w:t>
      </w:r>
      <w:proofErr w:type="spellStart"/>
      <w:r>
        <w:t>RCW</w:t>
      </w:r>
      <w:proofErr w:type="spellEnd"/>
      <w:r>
        <w:t xml:space="preserve"> than in the </w:t>
      </w:r>
      <w:proofErr w:type="spellStart"/>
      <w:r>
        <w:t>RPW</w:t>
      </w:r>
      <w:proofErr w:type="spellEnd"/>
      <w:r>
        <w:t>.</w:t>
      </w:r>
    </w:p>
    <w:p w:rsidR="00D40D32" w:rsidRDefault="004E2250" w:rsidP="00D40D32">
      <w:pPr>
        <w:pStyle w:val="ListBullet"/>
      </w:pPr>
      <w:r>
        <w:t xml:space="preserve">While growth in the </w:t>
      </w:r>
      <w:proofErr w:type="spellStart"/>
      <w:r>
        <w:t>RPW</w:t>
      </w:r>
      <w:proofErr w:type="spellEnd"/>
      <w:r>
        <w:t xml:space="preserve"> fell behind growth in labour productivity, growth in the </w:t>
      </w:r>
      <w:proofErr w:type="spellStart"/>
      <w:r>
        <w:t>RCW</w:t>
      </w:r>
      <w:proofErr w:type="spellEnd"/>
      <w:r>
        <w:t xml:space="preserve"> did not.</w:t>
      </w:r>
    </w:p>
    <w:p w:rsidR="00D40D32" w:rsidRDefault="00D40D32" w:rsidP="00D40D32">
      <w:pPr>
        <w:pStyle w:val="ListBullet2"/>
      </w:pPr>
      <w:r>
        <w:t xml:space="preserve">Both labour productivity and the </w:t>
      </w:r>
      <w:proofErr w:type="spellStart"/>
      <w:r w:rsidR="00F47AFF">
        <w:t>RCW</w:t>
      </w:r>
      <w:proofErr w:type="spellEnd"/>
      <w:r w:rsidR="00F47AFF">
        <w:t xml:space="preserve"> </w:t>
      </w:r>
      <w:r>
        <w:t xml:space="preserve">grew at an average rate of around 2 per cent a year, whereas the </w:t>
      </w:r>
      <w:proofErr w:type="spellStart"/>
      <w:r w:rsidR="00F47AFF">
        <w:t>RPW</w:t>
      </w:r>
      <w:proofErr w:type="spellEnd"/>
      <w:r w:rsidR="00F47AFF">
        <w:t xml:space="preserve"> </w:t>
      </w:r>
      <w:r>
        <w:t>grew at half that rate.</w:t>
      </w:r>
    </w:p>
    <w:p w:rsidR="00D40D32" w:rsidRDefault="00D40D32" w:rsidP="00D40D32">
      <w:pPr>
        <w:pStyle w:val="ListBullet2"/>
      </w:pPr>
      <w:r>
        <w:t>One way to interpret this is to say that, while labour received a lower share of the income generated, the real value of the income received increased. These effects were offsetting.</w:t>
      </w:r>
    </w:p>
    <w:p w:rsidR="00D40D32" w:rsidRDefault="00D40D32" w:rsidP="00D40D32">
      <w:pPr>
        <w:pStyle w:val="ListBullet"/>
      </w:pPr>
      <w:r>
        <w:t>However, the increased value of income was not confined to labour income. It applied to all forms of income.</w:t>
      </w:r>
    </w:p>
    <w:sectPr w:rsidR="00D40D32" w:rsidSect="00842D28">
      <w:headerReference w:type="even" r:id="rId13"/>
      <w:headerReference w:type="default" r:id="rId14"/>
      <w:footerReference w:type="even" r:id="rId15"/>
      <w:footerReference w:type="default" r:id="rId16"/>
      <w:pgSz w:w="11907" w:h="16840" w:code="9"/>
      <w:pgMar w:top="1985" w:right="1304" w:bottom="1418" w:left="1814" w:header="1701" w:footer="567" w:gutter="0"/>
      <w:pgNumType w:start="9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62B" w:rsidRDefault="0027762B">
      <w:r>
        <w:separator/>
      </w:r>
    </w:p>
  </w:endnote>
  <w:endnote w:type="continuationSeparator" w:id="0">
    <w:p w:rsidR="0027762B" w:rsidRDefault="0027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7762B">
      <w:trPr>
        <w:trHeight w:hRule="exact" w:val="740"/>
      </w:trPr>
      <w:tc>
        <w:tcPr>
          <w:tcW w:w="510" w:type="dxa"/>
          <w:tcBorders>
            <w:top w:val="single" w:sz="6" w:space="0" w:color="auto"/>
          </w:tcBorders>
        </w:tcPr>
        <w:p w:rsidR="0027762B" w:rsidRDefault="00842D28" w:rsidP="008046B5">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960720">
            <w:rPr>
              <w:rStyle w:val="PageNumber"/>
              <w:noProof/>
            </w:rPr>
            <w:t>98</w:t>
          </w:r>
          <w:r>
            <w:rPr>
              <w:rStyle w:val="PageNumber"/>
            </w:rPr>
            <w:fldChar w:fldCharType="end"/>
          </w:r>
        </w:p>
      </w:tc>
      <w:tc>
        <w:tcPr>
          <w:tcW w:w="1644" w:type="dxa"/>
          <w:tcBorders>
            <w:top w:val="single" w:sz="6" w:space="0" w:color="auto"/>
          </w:tcBorders>
        </w:tcPr>
        <w:p w:rsidR="0027762B" w:rsidRDefault="008120B2" w:rsidP="00AE7A60">
          <w:pPr>
            <w:pStyle w:val="Footer"/>
          </w:pPr>
          <w:fldSimple w:instr=" SUBJECT  \* MERGEFORMAT ">
            <w:r>
              <w:t>Labour's share of growth in income and prosperity</w:t>
            </w:r>
          </w:fldSimple>
        </w:p>
      </w:tc>
      <w:tc>
        <w:tcPr>
          <w:tcW w:w="6634" w:type="dxa"/>
        </w:tcPr>
        <w:p w:rsidR="0027762B" w:rsidRDefault="0027762B" w:rsidP="0019293B">
          <w:pPr>
            <w:pStyle w:val="Footer"/>
          </w:pPr>
        </w:p>
      </w:tc>
    </w:tr>
  </w:tbl>
  <w:p w:rsidR="0027762B" w:rsidRDefault="0027762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7762B">
      <w:trPr>
        <w:trHeight w:hRule="exact" w:val="740"/>
      </w:trPr>
      <w:tc>
        <w:tcPr>
          <w:tcW w:w="6634" w:type="dxa"/>
        </w:tcPr>
        <w:p w:rsidR="0027762B" w:rsidRDefault="0027762B">
          <w:pPr>
            <w:pStyle w:val="Footer"/>
            <w:ind w:right="360" w:firstLine="360"/>
          </w:pPr>
        </w:p>
      </w:tc>
      <w:tc>
        <w:tcPr>
          <w:tcW w:w="1644" w:type="dxa"/>
          <w:tcBorders>
            <w:top w:val="single" w:sz="6" w:space="0" w:color="auto"/>
          </w:tcBorders>
        </w:tcPr>
        <w:p w:rsidR="0027762B" w:rsidRDefault="008120B2">
          <w:pPr>
            <w:pStyle w:val="Footer"/>
          </w:pPr>
          <w:fldSimple w:instr=" TITLE  \* MERGEFORMAT ">
            <w:r>
              <w:t>Product and consumer prices</w:t>
            </w:r>
          </w:fldSimple>
        </w:p>
      </w:tc>
      <w:tc>
        <w:tcPr>
          <w:tcW w:w="510" w:type="dxa"/>
          <w:tcBorders>
            <w:top w:val="single" w:sz="6" w:space="0" w:color="auto"/>
          </w:tcBorders>
        </w:tcPr>
        <w:p w:rsidR="0027762B" w:rsidRDefault="0027762B">
          <w:pPr>
            <w:pStyle w:val="Footer"/>
            <w:jc w:val="right"/>
          </w:pPr>
          <w:r>
            <w:rPr>
              <w:rStyle w:val="PageNumber"/>
            </w:rPr>
            <w:fldChar w:fldCharType="begin"/>
          </w:r>
          <w:r>
            <w:rPr>
              <w:rStyle w:val="PageNumber"/>
            </w:rPr>
            <w:instrText xml:space="preserve">PAGE  </w:instrText>
          </w:r>
          <w:r>
            <w:rPr>
              <w:rStyle w:val="PageNumber"/>
            </w:rPr>
            <w:fldChar w:fldCharType="separate"/>
          </w:r>
          <w:r w:rsidR="00960720">
            <w:rPr>
              <w:rStyle w:val="PageNumber"/>
              <w:noProof/>
            </w:rPr>
            <w:t>95</w:t>
          </w:r>
          <w:r>
            <w:rPr>
              <w:rStyle w:val="PageNumber"/>
            </w:rPr>
            <w:fldChar w:fldCharType="end"/>
          </w:r>
        </w:p>
      </w:tc>
    </w:tr>
  </w:tbl>
  <w:p w:rsidR="0027762B" w:rsidRDefault="0027762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62B" w:rsidRDefault="0027762B">
      <w:r>
        <w:separator/>
      </w:r>
    </w:p>
  </w:footnote>
  <w:footnote w:type="continuationSeparator" w:id="0">
    <w:p w:rsidR="0027762B" w:rsidRDefault="0027762B">
      <w:r>
        <w:continuationSeparator/>
      </w:r>
    </w:p>
  </w:footnote>
  <w:footnote w:id="1">
    <w:p w:rsidR="0027762B" w:rsidRDefault="0027762B">
      <w:pPr>
        <w:pStyle w:val="FootnoteText"/>
      </w:pPr>
      <w:r>
        <w:rPr>
          <w:rStyle w:val="FootnoteReference"/>
        </w:rPr>
        <w:footnoteRef/>
      </w:r>
      <w:r>
        <w:tab/>
        <w:t>Market sector prices are implicit prices formed from the ratio of current-price to chain-volume gross value added.</w:t>
      </w:r>
    </w:p>
  </w:footnote>
  <w:footnote w:id="2">
    <w:p w:rsidR="0027762B" w:rsidRDefault="0027762B">
      <w:pPr>
        <w:pStyle w:val="FootnoteText"/>
      </w:pPr>
      <w:r>
        <w:rPr>
          <w:rStyle w:val="FootnoteReference"/>
        </w:rPr>
        <w:footnoteRef/>
      </w:r>
      <w:r>
        <w:tab/>
      </w:r>
      <w:r w:rsidRPr="00B37327">
        <w:t xml:space="preserve">The departure of </w:t>
      </w:r>
      <w:r w:rsidR="00CF2597">
        <w:t xml:space="preserve">market </w:t>
      </w:r>
      <w:r>
        <w:t>sector</w:t>
      </w:r>
      <w:r w:rsidRPr="00B37327">
        <w:t xml:space="preserve"> prices from the GDP deflator in the </w:t>
      </w:r>
      <w:proofErr w:type="spellStart"/>
      <w:r w:rsidRPr="00B37327">
        <w:t>1990s</w:t>
      </w:r>
      <w:proofErr w:type="spellEnd"/>
      <w:r w:rsidRPr="00B37327">
        <w:t xml:space="preserve"> is of passing interest. There was </w:t>
      </w:r>
      <w:r>
        <w:t>much less</w:t>
      </w:r>
      <w:r w:rsidRPr="00B37327">
        <w:t xml:space="preserve"> rise in </w:t>
      </w:r>
      <w:r>
        <w:t>market sector</w:t>
      </w:r>
      <w:r w:rsidRPr="00B37327">
        <w:t xml:space="preserve"> prices from 1993-94 until the end of the decade. The market sector was the source of strong productivity gains over this period and the small</w:t>
      </w:r>
      <w:r>
        <w:t>er</w:t>
      </w:r>
      <w:r w:rsidRPr="00B37327">
        <w:t xml:space="preserve"> rise in </w:t>
      </w:r>
      <w:proofErr w:type="spellStart"/>
      <w:r w:rsidRPr="00B37327">
        <w:t>MS12</w:t>
      </w:r>
      <w:proofErr w:type="spellEnd"/>
      <w:r w:rsidRPr="00B37327">
        <w:t xml:space="preserve"> prices suggests that many of the productivity gains were passed on in the form of lower output prices than would otherwise be the case</w:t>
      </w:r>
      <w:r>
        <w:t>. This supports the conclusion of</w:t>
      </w:r>
      <w:r w:rsidRPr="00B37327">
        <w:t xml:space="preserve"> Parham et al</w:t>
      </w:r>
      <w:r w:rsidR="00AB0B7C">
        <w:t>.</w:t>
      </w:r>
      <w:r w:rsidRPr="00B37327">
        <w:t xml:space="preserve"> </w:t>
      </w:r>
      <w:r>
        <w:t>(</w:t>
      </w:r>
      <w:r w:rsidRPr="00B37327">
        <w:t>2000).</w:t>
      </w:r>
    </w:p>
  </w:footnote>
  <w:footnote w:id="3">
    <w:p w:rsidR="0027762B" w:rsidRDefault="0027762B" w:rsidP="00184797">
      <w:pPr>
        <w:pStyle w:val="FootnoteText"/>
      </w:pPr>
      <w:r>
        <w:rPr>
          <w:rStyle w:val="FootnoteReference"/>
        </w:rPr>
        <w:footnoteRef/>
      </w:r>
      <w:r>
        <w:tab/>
        <w:t xml:space="preserve">There is a further wedge between wages as a cost and wages as income and that is the on-costs that add further costs of employing labour beyond the wage payments received by workers. On-costs have not changed a lot as a proportion of total labour costs over the two decades.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7762B">
      <w:tc>
        <w:tcPr>
          <w:tcW w:w="2155" w:type="dxa"/>
          <w:tcBorders>
            <w:top w:val="single" w:sz="24" w:space="0" w:color="auto"/>
          </w:tcBorders>
        </w:tcPr>
        <w:p w:rsidR="0027762B" w:rsidRDefault="0027762B" w:rsidP="0019293B">
          <w:pPr>
            <w:pStyle w:val="HeaderEven"/>
          </w:pPr>
        </w:p>
      </w:tc>
      <w:tc>
        <w:tcPr>
          <w:tcW w:w="6634" w:type="dxa"/>
          <w:tcBorders>
            <w:top w:val="single" w:sz="6" w:space="0" w:color="auto"/>
          </w:tcBorders>
        </w:tcPr>
        <w:p w:rsidR="0027762B" w:rsidRDefault="0027762B" w:rsidP="0019293B">
          <w:pPr>
            <w:pStyle w:val="HeaderEven"/>
          </w:pPr>
        </w:p>
      </w:tc>
    </w:tr>
  </w:tbl>
  <w:p w:rsidR="0027762B" w:rsidRDefault="0027762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7762B">
      <w:tc>
        <w:tcPr>
          <w:tcW w:w="6634" w:type="dxa"/>
          <w:tcBorders>
            <w:top w:val="single" w:sz="6" w:space="0" w:color="auto"/>
          </w:tcBorders>
        </w:tcPr>
        <w:p w:rsidR="0027762B" w:rsidRDefault="0027762B" w:rsidP="00E669E2">
          <w:pPr>
            <w:pStyle w:val="HeaderOdd"/>
          </w:pPr>
        </w:p>
      </w:tc>
      <w:tc>
        <w:tcPr>
          <w:tcW w:w="2155" w:type="dxa"/>
          <w:tcBorders>
            <w:top w:val="single" w:sz="24" w:space="0" w:color="auto"/>
          </w:tcBorders>
        </w:tcPr>
        <w:p w:rsidR="0027762B" w:rsidRDefault="0027762B" w:rsidP="00E669E2">
          <w:pPr>
            <w:pStyle w:val="HeaderOdd"/>
          </w:pPr>
        </w:p>
      </w:tc>
    </w:tr>
  </w:tbl>
  <w:p w:rsidR="0027762B" w:rsidRDefault="0027762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roduct and consumer prices"/>
    <w:docVar w:name="ShortReportTitle" w:val="Labour's share of growth in income and prosperity"/>
  </w:docVars>
  <w:rsids>
    <w:rsidRoot w:val="00AE7A60"/>
    <w:rsid w:val="0001434A"/>
    <w:rsid w:val="0001536E"/>
    <w:rsid w:val="00015E54"/>
    <w:rsid w:val="000227D5"/>
    <w:rsid w:val="000245AA"/>
    <w:rsid w:val="00024FCD"/>
    <w:rsid w:val="0003664B"/>
    <w:rsid w:val="0004111F"/>
    <w:rsid w:val="000415F3"/>
    <w:rsid w:val="0004521A"/>
    <w:rsid w:val="00046AAE"/>
    <w:rsid w:val="0004754B"/>
    <w:rsid w:val="00051AF8"/>
    <w:rsid w:val="000565B3"/>
    <w:rsid w:val="0007150B"/>
    <w:rsid w:val="00075963"/>
    <w:rsid w:val="000848DD"/>
    <w:rsid w:val="00086CF6"/>
    <w:rsid w:val="000918D7"/>
    <w:rsid w:val="000938F5"/>
    <w:rsid w:val="000939BB"/>
    <w:rsid w:val="00094DCC"/>
    <w:rsid w:val="00096E55"/>
    <w:rsid w:val="00096EC4"/>
    <w:rsid w:val="000A2991"/>
    <w:rsid w:val="000A35EE"/>
    <w:rsid w:val="000A5C84"/>
    <w:rsid w:val="000B06EB"/>
    <w:rsid w:val="000B2B9F"/>
    <w:rsid w:val="000B4E18"/>
    <w:rsid w:val="000B601B"/>
    <w:rsid w:val="000C207E"/>
    <w:rsid w:val="000C5E6E"/>
    <w:rsid w:val="000D4987"/>
    <w:rsid w:val="000D7342"/>
    <w:rsid w:val="000E4BC4"/>
    <w:rsid w:val="000E5772"/>
    <w:rsid w:val="000E7724"/>
    <w:rsid w:val="000F0035"/>
    <w:rsid w:val="000F420B"/>
    <w:rsid w:val="001004F9"/>
    <w:rsid w:val="001025B7"/>
    <w:rsid w:val="00107337"/>
    <w:rsid w:val="00110116"/>
    <w:rsid w:val="001109DF"/>
    <w:rsid w:val="00114222"/>
    <w:rsid w:val="00120072"/>
    <w:rsid w:val="001258AA"/>
    <w:rsid w:val="001266E0"/>
    <w:rsid w:val="00126E1C"/>
    <w:rsid w:val="00126EB8"/>
    <w:rsid w:val="001274D4"/>
    <w:rsid w:val="00131BB8"/>
    <w:rsid w:val="00132C8B"/>
    <w:rsid w:val="00135059"/>
    <w:rsid w:val="0013522F"/>
    <w:rsid w:val="001363AA"/>
    <w:rsid w:val="00136BE8"/>
    <w:rsid w:val="00144706"/>
    <w:rsid w:val="001576C9"/>
    <w:rsid w:val="001730D2"/>
    <w:rsid w:val="00175136"/>
    <w:rsid w:val="00175C1D"/>
    <w:rsid w:val="00177053"/>
    <w:rsid w:val="00177FB9"/>
    <w:rsid w:val="00180281"/>
    <w:rsid w:val="0018062B"/>
    <w:rsid w:val="001821FB"/>
    <w:rsid w:val="00183E82"/>
    <w:rsid w:val="00184797"/>
    <w:rsid w:val="001878BB"/>
    <w:rsid w:val="00191AE0"/>
    <w:rsid w:val="0019293B"/>
    <w:rsid w:val="00197237"/>
    <w:rsid w:val="001A0A1A"/>
    <w:rsid w:val="001A1BDF"/>
    <w:rsid w:val="001A269D"/>
    <w:rsid w:val="001C0865"/>
    <w:rsid w:val="001C3ABA"/>
    <w:rsid w:val="001C4B4C"/>
    <w:rsid w:val="001C75E5"/>
    <w:rsid w:val="001D27F6"/>
    <w:rsid w:val="001D54AE"/>
    <w:rsid w:val="001D7701"/>
    <w:rsid w:val="001E789F"/>
    <w:rsid w:val="001E7BE8"/>
    <w:rsid w:val="001F0248"/>
    <w:rsid w:val="001F1431"/>
    <w:rsid w:val="001F3EB3"/>
    <w:rsid w:val="001F4F26"/>
    <w:rsid w:val="001F4F86"/>
    <w:rsid w:val="001F6A00"/>
    <w:rsid w:val="002015FF"/>
    <w:rsid w:val="00201E64"/>
    <w:rsid w:val="00202C2C"/>
    <w:rsid w:val="00204737"/>
    <w:rsid w:val="002135AB"/>
    <w:rsid w:val="002144BE"/>
    <w:rsid w:val="00220B7F"/>
    <w:rsid w:val="00221F9B"/>
    <w:rsid w:val="002360A9"/>
    <w:rsid w:val="00236819"/>
    <w:rsid w:val="00241C99"/>
    <w:rsid w:val="00242279"/>
    <w:rsid w:val="00245C82"/>
    <w:rsid w:val="00250622"/>
    <w:rsid w:val="00267386"/>
    <w:rsid w:val="00273485"/>
    <w:rsid w:val="00274EC7"/>
    <w:rsid w:val="00276446"/>
    <w:rsid w:val="00276C7A"/>
    <w:rsid w:val="0027762B"/>
    <w:rsid w:val="002814D9"/>
    <w:rsid w:val="00285CE6"/>
    <w:rsid w:val="00290B8F"/>
    <w:rsid w:val="00290B94"/>
    <w:rsid w:val="00291B40"/>
    <w:rsid w:val="002935D1"/>
    <w:rsid w:val="00293BCE"/>
    <w:rsid w:val="002A4C51"/>
    <w:rsid w:val="002A62E9"/>
    <w:rsid w:val="002B4008"/>
    <w:rsid w:val="002B7305"/>
    <w:rsid w:val="002C4974"/>
    <w:rsid w:val="002C720E"/>
    <w:rsid w:val="002D0E8E"/>
    <w:rsid w:val="002D5B3A"/>
    <w:rsid w:val="002E22C3"/>
    <w:rsid w:val="002E501B"/>
    <w:rsid w:val="002F4FE8"/>
    <w:rsid w:val="00301189"/>
    <w:rsid w:val="00303F7E"/>
    <w:rsid w:val="00306323"/>
    <w:rsid w:val="003127A3"/>
    <w:rsid w:val="00312DC4"/>
    <w:rsid w:val="0032196A"/>
    <w:rsid w:val="00323E09"/>
    <w:rsid w:val="0032712C"/>
    <w:rsid w:val="00333932"/>
    <w:rsid w:val="00333A8D"/>
    <w:rsid w:val="003435FC"/>
    <w:rsid w:val="003518AA"/>
    <w:rsid w:val="00352165"/>
    <w:rsid w:val="00353182"/>
    <w:rsid w:val="00355A7D"/>
    <w:rsid w:val="003565D9"/>
    <w:rsid w:val="003602E1"/>
    <w:rsid w:val="00362FF3"/>
    <w:rsid w:val="003636FB"/>
    <w:rsid w:val="0037026F"/>
    <w:rsid w:val="00371240"/>
    <w:rsid w:val="00374731"/>
    <w:rsid w:val="00375F2A"/>
    <w:rsid w:val="00376E59"/>
    <w:rsid w:val="00376F6E"/>
    <w:rsid w:val="00377401"/>
    <w:rsid w:val="0038069A"/>
    <w:rsid w:val="0038307A"/>
    <w:rsid w:val="003855DC"/>
    <w:rsid w:val="0038617E"/>
    <w:rsid w:val="00387589"/>
    <w:rsid w:val="003919F9"/>
    <w:rsid w:val="00392E1F"/>
    <w:rsid w:val="003970D7"/>
    <w:rsid w:val="003A61A1"/>
    <w:rsid w:val="003B2299"/>
    <w:rsid w:val="003B42C9"/>
    <w:rsid w:val="003B64EF"/>
    <w:rsid w:val="003C172A"/>
    <w:rsid w:val="003C21EF"/>
    <w:rsid w:val="003C38B5"/>
    <w:rsid w:val="003C4EAE"/>
    <w:rsid w:val="003C5D99"/>
    <w:rsid w:val="003E1423"/>
    <w:rsid w:val="003E2F59"/>
    <w:rsid w:val="003E57F1"/>
    <w:rsid w:val="003E67E0"/>
    <w:rsid w:val="003E75CB"/>
    <w:rsid w:val="003E7CD3"/>
    <w:rsid w:val="003F0789"/>
    <w:rsid w:val="003F3354"/>
    <w:rsid w:val="003F5013"/>
    <w:rsid w:val="003F5559"/>
    <w:rsid w:val="00401882"/>
    <w:rsid w:val="00402D53"/>
    <w:rsid w:val="004100C8"/>
    <w:rsid w:val="00411A91"/>
    <w:rsid w:val="00411DBD"/>
    <w:rsid w:val="00412ACE"/>
    <w:rsid w:val="00417C49"/>
    <w:rsid w:val="004261E2"/>
    <w:rsid w:val="00431249"/>
    <w:rsid w:val="00433382"/>
    <w:rsid w:val="00434C19"/>
    <w:rsid w:val="004351E4"/>
    <w:rsid w:val="0043705F"/>
    <w:rsid w:val="0044217D"/>
    <w:rsid w:val="00445F3D"/>
    <w:rsid w:val="00447513"/>
    <w:rsid w:val="00447891"/>
    <w:rsid w:val="00450810"/>
    <w:rsid w:val="004528BB"/>
    <w:rsid w:val="00454A5F"/>
    <w:rsid w:val="00461269"/>
    <w:rsid w:val="0046433F"/>
    <w:rsid w:val="00466389"/>
    <w:rsid w:val="00474460"/>
    <w:rsid w:val="00477144"/>
    <w:rsid w:val="00480357"/>
    <w:rsid w:val="00484EAB"/>
    <w:rsid w:val="00491380"/>
    <w:rsid w:val="0049459F"/>
    <w:rsid w:val="0049773F"/>
    <w:rsid w:val="004A1463"/>
    <w:rsid w:val="004A38DD"/>
    <w:rsid w:val="004B43AE"/>
    <w:rsid w:val="004C1393"/>
    <w:rsid w:val="004C30ED"/>
    <w:rsid w:val="004D3DF4"/>
    <w:rsid w:val="004D41B5"/>
    <w:rsid w:val="004D5675"/>
    <w:rsid w:val="004D5F0A"/>
    <w:rsid w:val="004E2250"/>
    <w:rsid w:val="004E230D"/>
    <w:rsid w:val="004E7AEA"/>
    <w:rsid w:val="004F5428"/>
    <w:rsid w:val="005030AC"/>
    <w:rsid w:val="00510D42"/>
    <w:rsid w:val="005137A3"/>
    <w:rsid w:val="005233C3"/>
    <w:rsid w:val="00523639"/>
    <w:rsid w:val="00531FE5"/>
    <w:rsid w:val="0053208A"/>
    <w:rsid w:val="005365D5"/>
    <w:rsid w:val="005402FA"/>
    <w:rsid w:val="00540B8D"/>
    <w:rsid w:val="0054221F"/>
    <w:rsid w:val="00542BE1"/>
    <w:rsid w:val="00552342"/>
    <w:rsid w:val="00552AEE"/>
    <w:rsid w:val="005650AD"/>
    <w:rsid w:val="00565665"/>
    <w:rsid w:val="00565C54"/>
    <w:rsid w:val="00571693"/>
    <w:rsid w:val="00573D04"/>
    <w:rsid w:val="00576941"/>
    <w:rsid w:val="0058101D"/>
    <w:rsid w:val="0058159D"/>
    <w:rsid w:val="00583C39"/>
    <w:rsid w:val="00584A26"/>
    <w:rsid w:val="00587F28"/>
    <w:rsid w:val="005909CF"/>
    <w:rsid w:val="00591E71"/>
    <w:rsid w:val="0059597D"/>
    <w:rsid w:val="005A0D41"/>
    <w:rsid w:val="005A7197"/>
    <w:rsid w:val="005B1416"/>
    <w:rsid w:val="005B278D"/>
    <w:rsid w:val="005B4075"/>
    <w:rsid w:val="005B7516"/>
    <w:rsid w:val="005C114B"/>
    <w:rsid w:val="005C3281"/>
    <w:rsid w:val="005C38C0"/>
    <w:rsid w:val="005C38D0"/>
    <w:rsid w:val="005E02AD"/>
    <w:rsid w:val="005E4C15"/>
    <w:rsid w:val="005E5909"/>
    <w:rsid w:val="005E61E5"/>
    <w:rsid w:val="005E7DA1"/>
    <w:rsid w:val="005F4C84"/>
    <w:rsid w:val="00600485"/>
    <w:rsid w:val="00607BF1"/>
    <w:rsid w:val="006235BC"/>
    <w:rsid w:val="006236C2"/>
    <w:rsid w:val="00630D4D"/>
    <w:rsid w:val="00632A74"/>
    <w:rsid w:val="0063342C"/>
    <w:rsid w:val="00634B70"/>
    <w:rsid w:val="00640041"/>
    <w:rsid w:val="006457C5"/>
    <w:rsid w:val="006522FA"/>
    <w:rsid w:val="0066007C"/>
    <w:rsid w:val="00667A52"/>
    <w:rsid w:val="00671CA9"/>
    <w:rsid w:val="0067594E"/>
    <w:rsid w:val="00682A13"/>
    <w:rsid w:val="00683740"/>
    <w:rsid w:val="00691B4E"/>
    <w:rsid w:val="00693C7A"/>
    <w:rsid w:val="00694B58"/>
    <w:rsid w:val="00695DAF"/>
    <w:rsid w:val="00696C89"/>
    <w:rsid w:val="006A0539"/>
    <w:rsid w:val="006A05A9"/>
    <w:rsid w:val="006A402D"/>
    <w:rsid w:val="006A4655"/>
    <w:rsid w:val="006B2B3C"/>
    <w:rsid w:val="006C1D81"/>
    <w:rsid w:val="006C2195"/>
    <w:rsid w:val="006C6D8E"/>
    <w:rsid w:val="006C7038"/>
    <w:rsid w:val="006C754E"/>
    <w:rsid w:val="006C79AF"/>
    <w:rsid w:val="006E73EF"/>
    <w:rsid w:val="006F2468"/>
    <w:rsid w:val="006F6AAA"/>
    <w:rsid w:val="006F6CF0"/>
    <w:rsid w:val="0070274B"/>
    <w:rsid w:val="00702AE8"/>
    <w:rsid w:val="00706603"/>
    <w:rsid w:val="00711099"/>
    <w:rsid w:val="00714D4D"/>
    <w:rsid w:val="00721025"/>
    <w:rsid w:val="007255CE"/>
    <w:rsid w:val="007501CB"/>
    <w:rsid w:val="00751B83"/>
    <w:rsid w:val="007604BB"/>
    <w:rsid w:val="0076277D"/>
    <w:rsid w:val="00772A50"/>
    <w:rsid w:val="007816B2"/>
    <w:rsid w:val="00785232"/>
    <w:rsid w:val="007A21EB"/>
    <w:rsid w:val="007A7525"/>
    <w:rsid w:val="007B1A93"/>
    <w:rsid w:val="007B5893"/>
    <w:rsid w:val="007C36C9"/>
    <w:rsid w:val="007C4BD9"/>
    <w:rsid w:val="007C5BF4"/>
    <w:rsid w:val="007D2239"/>
    <w:rsid w:val="007D6401"/>
    <w:rsid w:val="007E01E4"/>
    <w:rsid w:val="007E74C9"/>
    <w:rsid w:val="007F04AF"/>
    <w:rsid w:val="007F0B78"/>
    <w:rsid w:val="007F5F9C"/>
    <w:rsid w:val="007F7107"/>
    <w:rsid w:val="007F7B3D"/>
    <w:rsid w:val="007F7C3D"/>
    <w:rsid w:val="00800D4C"/>
    <w:rsid w:val="008046B5"/>
    <w:rsid w:val="0080715F"/>
    <w:rsid w:val="0081030F"/>
    <w:rsid w:val="008120B2"/>
    <w:rsid w:val="008123D1"/>
    <w:rsid w:val="008129BB"/>
    <w:rsid w:val="00813F10"/>
    <w:rsid w:val="00820083"/>
    <w:rsid w:val="0082087D"/>
    <w:rsid w:val="008332E9"/>
    <w:rsid w:val="0083519E"/>
    <w:rsid w:val="00835771"/>
    <w:rsid w:val="00836E2B"/>
    <w:rsid w:val="00842933"/>
    <w:rsid w:val="00842D28"/>
    <w:rsid w:val="008439A9"/>
    <w:rsid w:val="008539A1"/>
    <w:rsid w:val="00854A53"/>
    <w:rsid w:val="00857542"/>
    <w:rsid w:val="0086082C"/>
    <w:rsid w:val="00864ADC"/>
    <w:rsid w:val="008655EE"/>
    <w:rsid w:val="008710B7"/>
    <w:rsid w:val="00875BCD"/>
    <w:rsid w:val="00875DA6"/>
    <w:rsid w:val="00880153"/>
    <w:rsid w:val="00880F97"/>
    <w:rsid w:val="008811C6"/>
    <w:rsid w:val="0088133A"/>
    <w:rsid w:val="00892415"/>
    <w:rsid w:val="0089285E"/>
    <w:rsid w:val="0089436C"/>
    <w:rsid w:val="0089727B"/>
    <w:rsid w:val="008A2F09"/>
    <w:rsid w:val="008A6472"/>
    <w:rsid w:val="008B11D5"/>
    <w:rsid w:val="008C6C43"/>
    <w:rsid w:val="008D365C"/>
    <w:rsid w:val="008D7790"/>
    <w:rsid w:val="008E6F9A"/>
    <w:rsid w:val="008F1436"/>
    <w:rsid w:val="008F3DBA"/>
    <w:rsid w:val="008F58A0"/>
    <w:rsid w:val="008F6882"/>
    <w:rsid w:val="009030BF"/>
    <w:rsid w:val="0091024F"/>
    <w:rsid w:val="0091032F"/>
    <w:rsid w:val="00912FB1"/>
    <w:rsid w:val="00914368"/>
    <w:rsid w:val="00916EB9"/>
    <w:rsid w:val="009220BE"/>
    <w:rsid w:val="00931076"/>
    <w:rsid w:val="009345D9"/>
    <w:rsid w:val="00934B15"/>
    <w:rsid w:val="00940C87"/>
    <w:rsid w:val="00940D06"/>
    <w:rsid w:val="00942B62"/>
    <w:rsid w:val="00945BBB"/>
    <w:rsid w:val="00946988"/>
    <w:rsid w:val="00952E89"/>
    <w:rsid w:val="0095323B"/>
    <w:rsid w:val="0095657B"/>
    <w:rsid w:val="00956A0C"/>
    <w:rsid w:val="00956BD9"/>
    <w:rsid w:val="00960694"/>
    <w:rsid w:val="00960720"/>
    <w:rsid w:val="00962489"/>
    <w:rsid w:val="00971C34"/>
    <w:rsid w:val="00973565"/>
    <w:rsid w:val="00976DF2"/>
    <w:rsid w:val="00982022"/>
    <w:rsid w:val="009879CE"/>
    <w:rsid w:val="00990C2C"/>
    <w:rsid w:val="00992CF0"/>
    <w:rsid w:val="009A086C"/>
    <w:rsid w:val="009A2825"/>
    <w:rsid w:val="009A3D83"/>
    <w:rsid w:val="009A604B"/>
    <w:rsid w:val="009B032C"/>
    <w:rsid w:val="009B126D"/>
    <w:rsid w:val="009B41BB"/>
    <w:rsid w:val="009B4EA1"/>
    <w:rsid w:val="009B6CC6"/>
    <w:rsid w:val="009C3B52"/>
    <w:rsid w:val="009C4085"/>
    <w:rsid w:val="009D3937"/>
    <w:rsid w:val="009D677D"/>
    <w:rsid w:val="009E022B"/>
    <w:rsid w:val="009E13CD"/>
    <w:rsid w:val="009E1844"/>
    <w:rsid w:val="009E710A"/>
    <w:rsid w:val="009F0D1B"/>
    <w:rsid w:val="009F696D"/>
    <w:rsid w:val="009F6BC6"/>
    <w:rsid w:val="00A00342"/>
    <w:rsid w:val="00A03FA4"/>
    <w:rsid w:val="00A15A41"/>
    <w:rsid w:val="00A15E66"/>
    <w:rsid w:val="00A17328"/>
    <w:rsid w:val="00A22EC9"/>
    <w:rsid w:val="00A23A20"/>
    <w:rsid w:val="00A23C2F"/>
    <w:rsid w:val="00A24C02"/>
    <w:rsid w:val="00A268B9"/>
    <w:rsid w:val="00A2703A"/>
    <w:rsid w:val="00A30DEA"/>
    <w:rsid w:val="00A31D9A"/>
    <w:rsid w:val="00A32684"/>
    <w:rsid w:val="00A33DFF"/>
    <w:rsid w:val="00A35115"/>
    <w:rsid w:val="00A36D9A"/>
    <w:rsid w:val="00A432DA"/>
    <w:rsid w:val="00A44201"/>
    <w:rsid w:val="00A554AB"/>
    <w:rsid w:val="00A57062"/>
    <w:rsid w:val="00A62D2A"/>
    <w:rsid w:val="00A63EC0"/>
    <w:rsid w:val="00A77C69"/>
    <w:rsid w:val="00A83086"/>
    <w:rsid w:val="00A84B73"/>
    <w:rsid w:val="00A92B53"/>
    <w:rsid w:val="00A94FA6"/>
    <w:rsid w:val="00AA49A0"/>
    <w:rsid w:val="00AA6710"/>
    <w:rsid w:val="00AA7162"/>
    <w:rsid w:val="00AB0681"/>
    <w:rsid w:val="00AB0B7C"/>
    <w:rsid w:val="00AB468D"/>
    <w:rsid w:val="00AB742E"/>
    <w:rsid w:val="00AC2034"/>
    <w:rsid w:val="00AD0925"/>
    <w:rsid w:val="00AD520B"/>
    <w:rsid w:val="00AD5E80"/>
    <w:rsid w:val="00AE17D3"/>
    <w:rsid w:val="00AE406A"/>
    <w:rsid w:val="00AE629A"/>
    <w:rsid w:val="00AE7A60"/>
    <w:rsid w:val="00B266A1"/>
    <w:rsid w:val="00B33E50"/>
    <w:rsid w:val="00B34C87"/>
    <w:rsid w:val="00B36B6D"/>
    <w:rsid w:val="00B37327"/>
    <w:rsid w:val="00B425C3"/>
    <w:rsid w:val="00B440AD"/>
    <w:rsid w:val="00B466A2"/>
    <w:rsid w:val="00B53081"/>
    <w:rsid w:val="00B53A4B"/>
    <w:rsid w:val="00B53E7E"/>
    <w:rsid w:val="00B55339"/>
    <w:rsid w:val="00B62802"/>
    <w:rsid w:val="00B6342E"/>
    <w:rsid w:val="00B65D1A"/>
    <w:rsid w:val="00B65E61"/>
    <w:rsid w:val="00B7030C"/>
    <w:rsid w:val="00B7113F"/>
    <w:rsid w:val="00B717A9"/>
    <w:rsid w:val="00B908D8"/>
    <w:rsid w:val="00B97659"/>
    <w:rsid w:val="00BA73B6"/>
    <w:rsid w:val="00BA7E27"/>
    <w:rsid w:val="00BB2603"/>
    <w:rsid w:val="00BB399D"/>
    <w:rsid w:val="00BB4FCD"/>
    <w:rsid w:val="00BB59FD"/>
    <w:rsid w:val="00BC04E9"/>
    <w:rsid w:val="00BC35FC"/>
    <w:rsid w:val="00BC758B"/>
    <w:rsid w:val="00BD13EA"/>
    <w:rsid w:val="00BD23D9"/>
    <w:rsid w:val="00BD7005"/>
    <w:rsid w:val="00BD7B10"/>
    <w:rsid w:val="00BE193C"/>
    <w:rsid w:val="00BE2153"/>
    <w:rsid w:val="00BE3808"/>
    <w:rsid w:val="00BE3F62"/>
    <w:rsid w:val="00BF6EB5"/>
    <w:rsid w:val="00C014A1"/>
    <w:rsid w:val="00C062E9"/>
    <w:rsid w:val="00C07B64"/>
    <w:rsid w:val="00C13721"/>
    <w:rsid w:val="00C14FE4"/>
    <w:rsid w:val="00C237FB"/>
    <w:rsid w:val="00C27525"/>
    <w:rsid w:val="00C3066D"/>
    <w:rsid w:val="00C307F8"/>
    <w:rsid w:val="00C32FB1"/>
    <w:rsid w:val="00C34ABA"/>
    <w:rsid w:val="00C36CD5"/>
    <w:rsid w:val="00C431EF"/>
    <w:rsid w:val="00C448EC"/>
    <w:rsid w:val="00C47E26"/>
    <w:rsid w:val="00C5101B"/>
    <w:rsid w:val="00C52416"/>
    <w:rsid w:val="00C543F4"/>
    <w:rsid w:val="00C54E39"/>
    <w:rsid w:val="00C54FE8"/>
    <w:rsid w:val="00C55902"/>
    <w:rsid w:val="00C56F14"/>
    <w:rsid w:val="00C6215F"/>
    <w:rsid w:val="00C6291C"/>
    <w:rsid w:val="00C633CB"/>
    <w:rsid w:val="00C63EF7"/>
    <w:rsid w:val="00C63F89"/>
    <w:rsid w:val="00C65F83"/>
    <w:rsid w:val="00C7044A"/>
    <w:rsid w:val="00C736B7"/>
    <w:rsid w:val="00C74947"/>
    <w:rsid w:val="00C74A66"/>
    <w:rsid w:val="00C81D4A"/>
    <w:rsid w:val="00C8762C"/>
    <w:rsid w:val="00C90DAE"/>
    <w:rsid w:val="00C9417E"/>
    <w:rsid w:val="00CA00F9"/>
    <w:rsid w:val="00CA2961"/>
    <w:rsid w:val="00CA67EA"/>
    <w:rsid w:val="00CA6BBD"/>
    <w:rsid w:val="00CB0FEF"/>
    <w:rsid w:val="00CB41B3"/>
    <w:rsid w:val="00CB50D7"/>
    <w:rsid w:val="00CB6215"/>
    <w:rsid w:val="00CB7177"/>
    <w:rsid w:val="00CC17EB"/>
    <w:rsid w:val="00CC1998"/>
    <w:rsid w:val="00CC4946"/>
    <w:rsid w:val="00CC5098"/>
    <w:rsid w:val="00CD072D"/>
    <w:rsid w:val="00CD0DDA"/>
    <w:rsid w:val="00CD35DA"/>
    <w:rsid w:val="00CE2C00"/>
    <w:rsid w:val="00CF2597"/>
    <w:rsid w:val="00D00313"/>
    <w:rsid w:val="00D033CB"/>
    <w:rsid w:val="00D03722"/>
    <w:rsid w:val="00D179C2"/>
    <w:rsid w:val="00D203F4"/>
    <w:rsid w:val="00D2293F"/>
    <w:rsid w:val="00D270A4"/>
    <w:rsid w:val="00D31FE9"/>
    <w:rsid w:val="00D34E1B"/>
    <w:rsid w:val="00D376BA"/>
    <w:rsid w:val="00D40D32"/>
    <w:rsid w:val="00D45634"/>
    <w:rsid w:val="00D47604"/>
    <w:rsid w:val="00D5568A"/>
    <w:rsid w:val="00D61637"/>
    <w:rsid w:val="00D61696"/>
    <w:rsid w:val="00D63D73"/>
    <w:rsid w:val="00D64452"/>
    <w:rsid w:val="00D66E1E"/>
    <w:rsid w:val="00D67B30"/>
    <w:rsid w:val="00D73BD8"/>
    <w:rsid w:val="00D754C7"/>
    <w:rsid w:val="00D75722"/>
    <w:rsid w:val="00D762B9"/>
    <w:rsid w:val="00D7713C"/>
    <w:rsid w:val="00D80CF5"/>
    <w:rsid w:val="00D84320"/>
    <w:rsid w:val="00D879C4"/>
    <w:rsid w:val="00DA45BD"/>
    <w:rsid w:val="00DA5BBA"/>
    <w:rsid w:val="00DA759B"/>
    <w:rsid w:val="00DB26D2"/>
    <w:rsid w:val="00DB3B60"/>
    <w:rsid w:val="00DB67C9"/>
    <w:rsid w:val="00DC0C95"/>
    <w:rsid w:val="00DC48E3"/>
    <w:rsid w:val="00DC5EF4"/>
    <w:rsid w:val="00DD4411"/>
    <w:rsid w:val="00DD6580"/>
    <w:rsid w:val="00DE1D44"/>
    <w:rsid w:val="00DE3325"/>
    <w:rsid w:val="00DE5ABC"/>
    <w:rsid w:val="00DE62A1"/>
    <w:rsid w:val="00DF0E43"/>
    <w:rsid w:val="00DF3BDA"/>
    <w:rsid w:val="00DF41B0"/>
    <w:rsid w:val="00E021C4"/>
    <w:rsid w:val="00E04188"/>
    <w:rsid w:val="00E17229"/>
    <w:rsid w:val="00E17C72"/>
    <w:rsid w:val="00E21FC6"/>
    <w:rsid w:val="00E22384"/>
    <w:rsid w:val="00E25F10"/>
    <w:rsid w:val="00E26A3F"/>
    <w:rsid w:val="00E32889"/>
    <w:rsid w:val="00E3470A"/>
    <w:rsid w:val="00E41841"/>
    <w:rsid w:val="00E431A9"/>
    <w:rsid w:val="00E472C5"/>
    <w:rsid w:val="00E47936"/>
    <w:rsid w:val="00E5257C"/>
    <w:rsid w:val="00E5609E"/>
    <w:rsid w:val="00E5618E"/>
    <w:rsid w:val="00E56BD0"/>
    <w:rsid w:val="00E61409"/>
    <w:rsid w:val="00E62FB4"/>
    <w:rsid w:val="00E63789"/>
    <w:rsid w:val="00E669E2"/>
    <w:rsid w:val="00E74082"/>
    <w:rsid w:val="00E76135"/>
    <w:rsid w:val="00E80FBA"/>
    <w:rsid w:val="00E82F4F"/>
    <w:rsid w:val="00E84235"/>
    <w:rsid w:val="00E92278"/>
    <w:rsid w:val="00EA0C33"/>
    <w:rsid w:val="00EA657D"/>
    <w:rsid w:val="00EB11D9"/>
    <w:rsid w:val="00EC1E12"/>
    <w:rsid w:val="00EC2844"/>
    <w:rsid w:val="00EC4181"/>
    <w:rsid w:val="00EC5500"/>
    <w:rsid w:val="00EC6B8D"/>
    <w:rsid w:val="00EC7010"/>
    <w:rsid w:val="00ED17DA"/>
    <w:rsid w:val="00ED4B39"/>
    <w:rsid w:val="00EF1A46"/>
    <w:rsid w:val="00EF277A"/>
    <w:rsid w:val="00EF6C6C"/>
    <w:rsid w:val="00F04AEE"/>
    <w:rsid w:val="00F04D03"/>
    <w:rsid w:val="00F056FC"/>
    <w:rsid w:val="00F075D8"/>
    <w:rsid w:val="00F10476"/>
    <w:rsid w:val="00F10F4E"/>
    <w:rsid w:val="00F135D8"/>
    <w:rsid w:val="00F14121"/>
    <w:rsid w:val="00F1591D"/>
    <w:rsid w:val="00F169DB"/>
    <w:rsid w:val="00F21722"/>
    <w:rsid w:val="00F31299"/>
    <w:rsid w:val="00F337F8"/>
    <w:rsid w:val="00F338AF"/>
    <w:rsid w:val="00F3534A"/>
    <w:rsid w:val="00F37792"/>
    <w:rsid w:val="00F37DC4"/>
    <w:rsid w:val="00F421CB"/>
    <w:rsid w:val="00F47AFF"/>
    <w:rsid w:val="00F51609"/>
    <w:rsid w:val="00F63606"/>
    <w:rsid w:val="00F6547F"/>
    <w:rsid w:val="00F66C36"/>
    <w:rsid w:val="00F81006"/>
    <w:rsid w:val="00F837AE"/>
    <w:rsid w:val="00F85325"/>
    <w:rsid w:val="00F942C1"/>
    <w:rsid w:val="00F944A6"/>
    <w:rsid w:val="00F94CB1"/>
    <w:rsid w:val="00FA104B"/>
    <w:rsid w:val="00FA1E43"/>
    <w:rsid w:val="00FB4F15"/>
    <w:rsid w:val="00FC360E"/>
    <w:rsid w:val="00FD22B1"/>
    <w:rsid w:val="00FE02F8"/>
    <w:rsid w:val="00FE238D"/>
    <w:rsid w:val="00FE5397"/>
    <w:rsid w:val="00FF28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333A8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33A8D"/>
    <w:rPr>
      <w:szCs w:val="24"/>
    </w:rPr>
  </w:style>
  <w:style w:type="character" w:customStyle="1" w:styleId="CommentSubjectChar">
    <w:name w:val="Comment Subject Char"/>
    <w:basedOn w:val="CommentTextChar"/>
    <w:link w:val="CommentSubject"/>
    <w:rsid w:val="00333A8D"/>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333A8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33A8D"/>
    <w:rPr>
      <w:szCs w:val="24"/>
    </w:rPr>
  </w:style>
  <w:style w:type="character" w:customStyle="1" w:styleId="CommentSubjectChar">
    <w:name w:val="Comment Subject Char"/>
    <w:basedOn w:val="CommentTextChar"/>
    <w:link w:val="CommentSubject"/>
    <w:rsid w:val="00333A8D"/>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21974">
      <w:bodyDiv w:val="1"/>
      <w:marLeft w:val="0"/>
      <w:marRight w:val="0"/>
      <w:marTop w:val="0"/>
      <w:marBottom w:val="0"/>
      <w:divBdr>
        <w:top w:val="none" w:sz="0" w:space="0" w:color="auto"/>
        <w:left w:val="none" w:sz="0" w:space="0" w:color="auto"/>
        <w:bottom w:val="none" w:sz="0" w:space="0" w:color="auto"/>
        <w:right w:val="none" w:sz="0" w:space="0" w:color="auto"/>
      </w:divBdr>
    </w:div>
    <w:div w:id="566066255">
      <w:bodyDiv w:val="1"/>
      <w:marLeft w:val="0"/>
      <w:marRight w:val="0"/>
      <w:marTop w:val="0"/>
      <w:marBottom w:val="0"/>
      <w:divBdr>
        <w:top w:val="none" w:sz="0" w:space="0" w:color="auto"/>
        <w:left w:val="none" w:sz="0" w:space="0" w:color="auto"/>
        <w:bottom w:val="none" w:sz="0" w:space="0" w:color="auto"/>
        <w:right w:val="none" w:sz="0" w:space="0" w:color="auto"/>
      </w:divBdr>
    </w:div>
    <w:div w:id="1121806470">
      <w:bodyDiv w:val="1"/>
      <w:marLeft w:val="0"/>
      <w:marRight w:val="0"/>
      <w:marTop w:val="0"/>
      <w:marBottom w:val="0"/>
      <w:divBdr>
        <w:top w:val="none" w:sz="0" w:space="0" w:color="auto"/>
        <w:left w:val="none" w:sz="0" w:space="0" w:color="auto"/>
        <w:bottom w:val="none" w:sz="0" w:space="0" w:color="auto"/>
        <w:right w:val="none" w:sz="0" w:space="0" w:color="auto"/>
      </w:divBdr>
    </w:div>
    <w:div w:id="1145507748">
      <w:bodyDiv w:val="1"/>
      <w:marLeft w:val="0"/>
      <w:marRight w:val="0"/>
      <w:marTop w:val="0"/>
      <w:marBottom w:val="0"/>
      <w:divBdr>
        <w:top w:val="none" w:sz="0" w:space="0" w:color="auto"/>
        <w:left w:val="none" w:sz="0" w:space="0" w:color="auto"/>
        <w:bottom w:val="none" w:sz="0" w:space="0" w:color="auto"/>
        <w:right w:val="none" w:sz="0" w:space="0" w:color="auto"/>
      </w:divBdr>
    </w:div>
    <w:div w:id="1576090891">
      <w:bodyDiv w:val="1"/>
      <w:marLeft w:val="0"/>
      <w:marRight w:val="0"/>
      <w:marTop w:val="0"/>
      <w:marBottom w:val="0"/>
      <w:divBdr>
        <w:top w:val="none" w:sz="0" w:space="0" w:color="auto"/>
        <w:left w:val="none" w:sz="0" w:space="0" w:color="auto"/>
        <w:bottom w:val="none" w:sz="0" w:space="0" w:color="auto"/>
        <w:right w:val="none" w:sz="0" w:space="0" w:color="auto"/>
      </w:divBdr>
    </w:div>
    <w:div w:id="1629385911">
      <w:bodyDiv w:val="1"/>
      <w:marLeft w:val="0"/>
      <w:marRight w:val="0"/>
      <w:marTop w:val="0"/>
      <w:marBottom w:val="0"/>
      <w:divBdr>
        <w:top w:val="none" w:sz="0" w:space="0" w:color="auto"/>
        <w:left w:val="none" w:sz="0" w:space="0" w:color="auto"/>
        <w:bottom w:val="none" w:sz="0" w:space="0" w:color="auto"/>
        <w:right w:val="none" w:sz="0" w:space="0" w:color="auto"/>
      </w:divBdr>
    </w:div>
    <w:div w:id="1640303910">
      <w:bodyDiv w:val="1"/>
      <w:marLeft w:val="0"/>
      <w:marRight w:val="0"/>
      <w:marTop w:val="0"/>
      <w:marBottom w:val="0"/>
      <w:divBdr>
        <w:top w:val="none" w:sz="0" w:space="0" w:color="auto"/>
        <w:left w:val="none" w:sz="0" w:space="0" w:color="auto"/>
        <w:bottom w:val="none" w:sz="0" w:space="0" w:color="auto"/>
        <w:right w:val="none" w:sz="0" w:space="0" w:color="auto"/>
      </w:divBdr>
    </w:div>
    <w:div w:id="1845589924">
      <w:bodyDiv w:val="1"/>
      <w:marLeft w:val="0"/>
      <w:marRight w:val="0"/>
      <w:marTop w:val="0"/>
      <w:marBottom w:val="0"/>
      <w:divBdr>
        <w:top w:val="none" w:sz="0" w:space="0" w:color="auto"/>
        <w:left w:val="none" w:sz="0" w:space="0" w:color="auto"/>
        <w:bottom w:val="none" w:sz="0" w:space="0" w:color="auto"/>
        <w:right w:val="none" w:sz="0" w:space="0" w:color="auto"/>
      </w:divBdr>
    </w:div>
    <w:div w:id="18806232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81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F555A-34FE-4940-A2C5-05F51DFD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97</TotalTime>
  <Pages>5</Pages>
  <Words>1037</Words>
  <Characters>5128</Characters>
  <Application>Microsoft Office Word</Application>
  <DocSecurity>0</DocSecurity>
  <Lines>127</Lines>
  <Paragraphs>65</Paragraphs>
  <ScaleCrop>false</ScaleCrop>
  <HeadingPairs>
    <vt:vector size="2" baseType="variant">
      <vt:variant>
        <vt:lpstr>Title</vt:lpstr>
      </vt:variant>
      <vt:variant>
        <vt:i4>1</vt:i4>
      </vt:variant>
    </vt:vector>
  </HeadingPairs>
  <TitlesOfParts>
    <vt:vector size="1" baseType="lpstr">
      <vt:lpstr>Product and consumer prices</vt:lpstr>
    </vt:vector>
  </TitlesOfParts>
  <Company>Productivity Commission</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and consumer prices</dc:title>
  <dc:subject>Labour's share of growth in income and prosperity</dc:subject>
  <dc:creator>Productivity Commission</dc:creator>
  <cp:keywords/>
  <dc:description>7.</dc:description>
  <cp:lastModifiedBy>Productivity Commission</cp:lastModifiedBy>
  <cp:revision>12</cp:revision>
  <cp:lastPrinted>2013-09-19T04:36:00Z</cp:lastPrinted>
  <dcterms:created xsi:type="dcterms:W3CDTF">2013-06-26T05:43:00Z</dcterms:created>
  <dcterms:modified xsi:type="dcterms:W3CDTF">2013-09-24T04:58:00Z</dcterms:modified>
</cp:coreProperties>
</file>