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C93C66" w:rsidRDefault="00C93C66" w:rsidP="00B04D19">
      <w:pPr>
        <w:pStyle w:val="Heading1NotTOC"/>
        <w:rPr>
          <w:kern w:val="0"/>
          <w:sz w:val="24"/>
          <w:szCs w:val="20"/>
          <w:lang w:eastAsia="en-AU"/>
        </w:rPr>
      </w:pPr>
      <w:r>
        <w:rPr>
          <w:noProof/>
          <w:color w:val="FFFFFF" w:themeColor="background1"/>
          <w:sz w:val="16"/>
          <w:szCs w:val="16"/>
          <w:lang w:eastAsia="en-AU"/>
        </w:rPr>
        <w:drawing>
          <wp:anchor distT="0" distB="0" distL="114300" distR="114300" simplePos="0" relativeHeight="251659264" behindDoc="0" locked="0" layoutInCell="1" allowOverlap="1">
            <wp:simplePos x="1157468" y="-6690167"/>
            <wp:positionH relativeFrom="page">
              <wp:align>center</wp:align>
            </wp:positionH>
            <wp:positionV relativeFrom="page">
              <wp:align>center</wp:align>
            </wp:positionV>
            <wp:extent cx="7560000" cy="10738800"/>
            <wp:effectExtent l="0" t="0" r="3175" b="5715"/>
            <wp:wrapNone/>
            <wp:docPr id="3" name="Picture 3" descr="National Indigenous Reform Agreement. Performance Assessment 2013-14. November 201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RA-reporting-2013-14-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r w:rsidRPr="00C93C66">
        <w:rPr>
          <w:color w:val="FFFFFF" w:themeColor="background1"/>
          <w:sz w:val="16"/>
          <w:szCs w:val="16"/>
        </w:rPr>
        <w:t>National Indigenous Reform Agreement. Performance Assessment 2013-14. November 2015.</w:t>
      </w:r>
      <w:r w:rsidRPr="00C93C66">
        <w:rPr>
          <w:kern w:val="0"/>
          <w:sz w:val="24"/>
          <w:szCs w:val="20"/>
          <w:lang w:eastAsia="en-AU"/>
        </w:rPr>
        <w:t xml:space="preserve"> </w:t>
      </w:r>
    </w:p>
    <w:p w:rsidR="00B04D19" w:rsidRDefault="00B04D19" w:rsidP="00CD5E6B">
      <w:pPr>
        <w:pStyle w:val="BodyText"/>
        <w:rPr>
          <w:b/>
          <w:szCs w:val="26"/>
        </w:rPr>
      </w:pPr>
      <w:r>
        <w:br w:type="page"/>
      </w:r>
    </w:p>
    <w:p w:rsidR="0010154C" w:rsidRDefault="0010154C" w:rsidP="0010154C">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t>2015</w:t>
      </w:r>
    </w:p>
    <w:p w:rsidR="0010154C" w:rsidRPr="007809B8" w:rsidRDefault="0010154C" w:rsidP="0010154C">
      <w:pPr>
        <w:pStyle w:val="BodyText"/>
        <w:tabs>
          <w:tab w:val="left" w:pos="851"/>
        </w:tabs>
        <w:spacing w:before="200" w:after="120"/>
        <w:jc w:val="left"/>
        <w:rPr>
          <w:b/>
        </w:rPr>
      </w:pPr>
      <w:bookmarkStart w:id="0" w:name="ISSN"/>
      <w:bookmarkEnd w:id="0"/>
      <w:r>
        <w:rPr>
          <w:b/>
        </w:rPr>
        <w:t>ISBN</w:t>
      </w:r>
      <w:r>
        <w:rPr>
          <w:b/>
        </w:rPr>
        <w:tab/>
      </w:r>
      <w:r w:rsidRPr="00531746">
        <w:rPr>
          <w:b/>
        </w:rPr>
        <w:t xml:space="preserve">978-1-74037-560-3 </w:t>
      </w:r>
      <w:r>
        <w:rPr>
          <w:b/>
        </w:rPr>
        <w:t>(PDF)</w:t>
      </w:r>
    </w:p>
    <w:p w:rsidR="0010154C" w:rsidRDefault="0010154C" w:rsidP="0010154C">
      <w:pPr>
        <w:pStyle w:val="BodyText"/>
        <w:spacing w:after="120"/>
      </w:pPr>
      <w:r w:rsidRPr="00862D8F">
        <w:rPr>
          <w:noProof/>
          <w:sz w:val="22"/>
          <w:szCs w:val="22"/>
        </w:rPr>
        <w:drawing>
          <wp:inline distT="0" distB="0" distL="0" distR="0" wp14:anchorId="2CAF6DE4" wp14:editId="6117883C">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0154C" w:rsidRPr="008A3857" w:rsidRDefault="0010154C" w:rsidP="0010154C">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10154C" w:rsidRPr="008A3857" w:rsidRDefault="0010154C" w:rsidP="0010154C">
      <w:pPr>
        <w:pStyle w:val="Copyrightsubtitle"/>
      </w:pPr>
      <w:r w:rsidRPr="008A3857">
        <w:t>Use of the Commonwealth Coat of Arms</w:t>
      </w:r>
    </w:p>
    <w:p w:rsidR="0010154C" w:rsidRPr="008A3857" w:rsidRDefault="0010154C" w:rsidP="0010154C">
      <w:pPr>
        <w:pStyle w:val="Copyrightbodytext"/>
      </w:pPr>
      <w:r w:rsidRPr="008A3857">
        <w:t>For terms of use of the Coat of Arms visit the ‘</w:t>
      </w:r>
      <w:hyperlink r:id="rId13" w:history="1">
        <w:r w:rsidRPr="00805FD7">
          <w:t>It’s an Honour</w:t>
        </w:r>
      </w:hyperlink>
      <w:r w:rsidRPr="008A3857">
        <w:t>’ website</w:t>
      </w:r>
      <w:r w:rsidRPr="00BA0B81">
        <w:t xml:space="preserve">: </w:t>
      </w:r>
      <w:hyperlink r:id="rId14" w:history="1">
        <w:r w:rsidRPr="00805FD7">
          <w:t>http://</w:t>
        </w:r>
        <w:proofErr w:type="spellStart"/>
        <w:r w:rsidRPr="00805FD7">
          <w:t>www.itsanhonour.gov.au</w:t>
        </w:r>
        <w:proofErr w:type="spellEnd"/>
      </w:hyperlink>
    </w:p>
    <w:p w:rsidR="0010154C" w:rsidRPr="008A3857" w:rsidRDefault="0010154C" w:rsidP="0010154C">
      <w:pPr>
        <w:pStyle w:val="Copyrightsubtitle"/>
      </w:pPr>
      <w:r w:rsidRPr="008A3857">
        <w:t>Third party copyright</w:t>
      </w:r>
    </w:p>
    <w:p w:rsidR="0010154C" w:rsidRPr="008A3857" w:rsidRDefault="0010154C" w:rsidP="0010154C">
      <w:pPr>
        <w:pStyle w:val="Copyrightbodytext"/>
      </w:pPr>
      <w:r w:rsidRPr="008A3857">
        <w:t>Wherever a third party holds copyright in this material, the copyright remains with that party. Their permission may be required to use the material, please contact them directly.</w:t>
      </w:r>
    </w:p>
    <w:p w:rsidR="0010154C" w:rsidRPr="008A3857" w:rsidRDefault="0010154C" w:rsidP="0010154C">
      <w:pPr>
        <w:pStyle w:val="Copyrightsubtitle"/>
      </w:pPr>
      <w:r w:rsidRPr="008A3857">
        <w:t>Attribution</w:t>
      </w:r>
    </w:p>
    <w:p w:rsidR="0010154C" w:rsidRPr="008A3857" w:rsidRDefault="0010154C" w:rsidP="0010154C">
      <w:pPr>
        <w:pStyle w:val="Copyrightbodytext"/>
      </w:pPr>
      <w:r w:rsidRPr="008A3857">
        <w:t xml:space="preserve">This work should be attributed as follows, </w:t>
      </w:r>
      <w:r w:rsidRPr="008E242D">
        <w:rPr>
          <w:i/>
        </w:rPr>
        <w:t xml:space="preserve">Source: Productivity Commission, </w:t>
      </w:r>
      <w:r>
        <w:rPr>
          <w:i/>
        </w:rPr>
        <w:t>National Indigenous Reform Agreement,</w:t>
      </w:r>
      <w:r w:rsidR="008D62C5">
        <w:rPr>
          <w:i/>
        </w:rPr>
        <w:t xml:space="preserve"> Performance Assessment 2013-14</w:t>
      </w:r>
      <w:r w:rsidRPr="008A3857">
        <w:t>.</w:t>
      </w:r>
    </w:p>
    <w:p w:rsidR="0010154C" w:rsidRPr="008A3857" w:rsidRDefault="0010154C" w:rsidP="0010154C">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Pr="00531746">
        <w:rPr>
          <w:i/>
        </w:rPr>
        <w:t>National Indigenous Reform Agreement</w:t>
      </w:r>
      <w:r>
        <w:rPr>
          <w:i/>
        </w:rPr>
        <w:t>,</w:t>
      </w:r>
      <w:r w:rsidRPr="00531746">
        <w:rPr>
          <w:i/>
        </w:rPr>
        <w:t xml:space="preserve"> P</w:t>
      </w:r>
      <w:r>
        <w:rPr>
          <w:i/>
        </w:rPr>
        <w:t xml:space="preserve">erformance Assessment </w:t>
      </w:r>
      <w:r>
        <w:rPr>
          <w:i/>
        </w:rPr>
        <w:br/>
        <w:t>2013-14.</w:t>
      </w:r>
    </w:p>
    <w:p w:rsidR="0010154C" w:rsidRPr="008A3857" w:rsidRDefault="0010154C" w:rsidP="0010154C">
      <w:pPr>
        <w:pStyle w:val="Copyrightsubtitle"/>
      </w:pPr>
      <w:r w:rsidRPr="008A3857">
        <w:t xml:space="preserve">An appropriate </w:t>
      </w:r>
      <w:r>
        <w:t>reference</w:t>
      </w:r>
      <w:r w:rsidRPr="008A3857">
        <w:t xml:space="preserve"> for this publication is:</w:t>
      </w:r>
    </w:p>
    <w:p w:rsidR="0010154C" w:rsidRDefault="0010154C" w:rsidP="0010154C">
      <w:pPr>
        <w:pStyle w:val="Copyrightbodytext"/>
      </w:pPr>
      <w:bookmarkStart w:id="1" w:name="JEL"/>
      <w:bookmarkEnd w:id="1"/>
      <w:r w:rsidRPr="00531746">
        <w:t>Productivity Commission</w:t>
      </w:r>
      <w:r>
        <w:t xml:space="preserve"> 2015</w:t>
      </w:r>
      <w:r w:rsidRPr="00531746">
        <w:t xml:space="preserve">, </w:t>
      </w:r>
      <w:r w:rsidRPr="00697AFE">
        <w:rPr>
          <w:i/>
        </w:rPr>
        <w:t>National Indigenous Reform Agreement,</w:t>
      </w:r>
      <w:r>
        <w:rPr>
          <w:i/>
        </w:rPr>
        <w:t xml:space="preserve"> Performance Assessment </w:t>
      </w:r>
      <w:r>
        <w:rPr>
          <w:i/>
        </w:rPr>
        <w:br/>
        <w:t>2013-</w:t>
      </w:r>
      <w:r w:rsidRPr="00697AFE">
        <w:rPr>
          <w:i/>
        </w:rPr>
        <w:t>14</w:t>
      </w:r>
      <w:r w:rsidR="00D54432" w:rsidRPr="00D54432">
        <w:t>, Canberra.</w:t>
      </w:r>
    </w:p>
    <w:p w:rsidR="0010154C" w:rsidRPr="008A3857" w:rsidRDefault="0010154C" w:rsidP="0010154C">
      <w:pPr>
        <w:pStyle w:val="Copyrightsubtitle"/>
      </w:pPr>
      <w:r w:rsidRPr="008A3857">
        <w:t>Publications enquiries</w:t>
      </w:r>
    </w:p>
    <w:p w:rsidR="0010154C" w:rsidRDefault="0010154C" w:rsidP="0010154C">
      <w:pPr>
        <w:pStyle w:val="Copyrightbodytext"/>
      </w:pPr>
      <w:r w:rsidRPr="008A3857">
        <w:t xml:space="preserve">Media and Publications, </w:t>
      </w:r>
      <w:r>
        <w:rPr>
          <w:szCs w:val="24"/>
        </w:rPr>
        <w:t>phone:</w:t>
      </w:r>
      <w:r w:rsidRPr="00BB5DCF">
        <w:rPr>
          <w:szCs w:val="24"/>
        </w:rPr>
        <w:t xml:space="preserve"> (03) 9653 2244 or email: </w:t>
      </w:r>
      <w:proofErr w:type="spellStart"/>
      <w:r w:rsidRPr="00BB5DCF">
        <w:rPr>
          <w:szCs w:val="24"/>
        </w:rPr>
        <w:t>maps@pc.gov.au</w:t>
      </w:r>
      <w:proofErr w:type="spellEnd"/>
    </w:p>
    <w:p w:rsidR="0010154C" w:rsidRDefault="0010154C" w:rsidP="0010154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154C" w:rsidTr="009E4787">
        <w:tc>
          <w:tcPr>
            <w:tcW w:w="8771" w:type="dxa"/>
            <w:tcBorders>
              <w:top w:val="single" w:sz="6" w:space="0" w:color="78A22F"/>
              <w:left w:val="nil"/>
              <w:bottom w:val="nil"/>
              <w:right w:val="nil"/>
            </w:tcBorders>
            <w:shd w:val="clear" w:color="auto" w:fill="F2F2F2" w:themeFill="background1" w:themeFillShade="F2"/>
          </w:tcPr>
          <w:p w:rsidR="0010154C" w:rsidRPr="008A3857" w:rsidRDefault="0010154C" w:rsidP="009E4787">
            <w:pPr>
              <w:pStyle w:val="BoxTitle"/>
              <w:rPr>
                <w:sz w:val="22"/>
                <w:szCs w:val="22"/>
              </w:rPr>
            </w:pPr>
            <w:r w:rsidRPr="008A3857">
              <w:rPr>
                <w:sz w:val="22"/>
                <w:szCs w:val="22"/>
              </w:rPr>
              <w:t>The Productivity Commission</w:t>
            </w:r>
          </w:p>
        </w:tc>
      </w:tr>
      <w:tr w:rsidR="0010154C" w:rsidTr="009E4787">
        <w:trPr>
          <w:cantSplit/>
        </w:trPr>
        <w:tc>
          <w:tcPr>
            <w:tcW w:w="8771" w:type="dxa"/>
            <w:tcBorders>
              <w:top w:val="nil"/>
              <w:left w:val="nil"/>
              <w:bottom w:val="nil"/>
              <w:right w:val="nil"/>
            </w:tcBorders>
            <w:shd w:val="clear" w:color="auto" w:fill="F2F2F2" w:themeFill="background1" w:themeFillShade="F2"/>
          </w:tcPr>
          <w:p w:rsidR="0010154C" w:rsidRDefault="0010154C" w:rsidP="009E4787">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10154C" w:rsidRDefault="0010154C" w:rsidP="009E4787">
            <w:pPr>
              <w:pStyle w:val="Box"/>
            </w:pPr>
            <w:r w:rsidRPr="00BB5DCF">
              <w:t>The Commission’s independence is underpinned by an Act of Parliament. Its processes and outputs are open to public scrutiny and are driven by concern for the wellbeing of the community as a whole.</w:t>
            </w:r>
          </w:p>
          <w:p w:rsidR="0010154C" w:rsidRDefault="0010154C" w:rsidP="009E4787">
            <w:pPr>
              <w:pStyle w:val="Box"/>
            </w:pPr>
            <w:r w:rsidRPr="00BB5DCF">
              <w:rPr>
                <w:szCs w:val="24"/>
              </w:rPr>
              <w:t>Further information on the Productivity Commission can be obtained from the Commission’s website (</w:t>
            </w:r>
            <w:proofErr w:type="spellStart"/>
            <w:r w:rsidR="00D54432">
              <w:fldChar w:fldCharType="begin"/>
            </w:r>
            <w:r w:rsidR="00D54432">
              <w:instrText xml:space="preserve"> HYPERLINK "http://www.pc.gov.au/" </w:instrText>
            </w:r>
            <w:r w:rsidR="00D54432">
              <w:fldChar w:fldCharType="separate"/>
            </w:r>
            <w:r w:rsidRPr="00805FD7">
              <w:t>www.pc.gov.au</w:t>
            </w:r>
            <w:proofErr w:type="spellEnd"/>
            <w:r w:rsidR="00D54432">
              <w:fldChar w:fldCharType="end"/>
            </w:r>
            <w:r w:rsidRPr="00BB5DCF">
              <w:rPr>
                <w:szCs w:val="24"/>
              </w:rPr>
              <w:t>)</w:t>
            </w:r>
            <w:r>
              <w:rPr>
                <w:szCs w:val="24"/>
              </w:rPr>
              <w:t>.</w:t>
            </w:r>
          </w:p>
        </w:tc>
      </w:tr>
      <w:tr w:rsidR="0010154C" w:rsidTr="009E4787">
        <w:trPr>
          <w:cantSplit/>
        </w:trPr>
        <w:tc>
          <w:tcPr>
            <w:tcW w:w="8771" w:type="dxa"/>
            <w:tcBorders>
              <w:top w:val="nil"/>
              <w:left w:val="nil"/>
              <w:bottom w:val="single" w:sz="6" w:space="0" w:color="78A22F"/>
              <w:right w:val="nil"/>
            </w:tcBorders>
            <w:shd w:val="clear" w:color="auto" w:fill="F2F2F2" w:themeFill="background1" w:themeFillShade="F2"/>
          </w:tcPr>
          <w:p w:rsidR="0010154C" w:rsidRDefault="0010154C" w:rsidP="009E4787">
            <w:pPr>
              <w:pStyle w:val="Box"/>
              <w:spacing w:before="0" w:line="120" w:lineRule="exact"/>
            </w:pPr>
          </w:p>
        </w:tc>
      </w:tr>
    </w:tbl>
    <w:p w:rsidR="0010154C" w:rsidRDefault="0010154C" w:rsidP="0010154C">
      <w:pPr>
        <w:pStyle w:val="BodyText"/>
        <w:sectPr w:rsidR="0010154C" w:rsidSect="00122FE9">
          <w:footerReference w:type="even" r:id="rId15"/>
          <w:type w:val="oddPage"/>
          <w:pgSz w:w="11907" w:h="16840" w:code="9"/>
          <w:pgMar w:top="1304" w:right="1304" w:bottom="567" w:left="1814" w:header="1701" w:footer="397" w:gutter="0"/>
          <w:pgNumType w:fmt="lowerRoman" w:start="1"/>
          <w:cols w:space="720"/>
          <w:titlePg/>
        </w:sectPr>
      </w:pPr>
      <w:bookmarkStart w:id="2" w:name="cov"/>
      <w:bookmarkEnd w:id="2"/>
    </w:p>
    <w:p w:rsidR="00D400D0" w:rsidRDefault="004F147E" w:rsidP="00627CCE">
      <w:pPr>
        <w:pStyle w:val="BodyText"/>
        <w:ind w:left="142"/>
        <w:sectPr w:rsidR="00D400D0" w:rsidSect="00627CCE">
          <w:headerReference w:type="even" r:id="rId16"/>
          <w:type w:val="oddPage"/>
          <w:pgSz w:w="11907" w:h="16840" w:code="9"/>
          <w:pgMar w:top="1304" w:right="1304" w:bottom="567" w:left="567" w:header="1701" w:footer="397" w:gutter="0"/>
          <w:pgNumType w:fmt="lowerRoman" w:start="1"/>
          <w:cols w:space="720"/>
          <w:titlePg/>
        </w:sectPr>
      </w:pPr>
      <w:r>
        <w:rPr>
          <w:noProof/>
        </w:rPr>
        <w:lastRenderedPageBreak/>
        <w:drawing>
          <wp:anchor distT="0" distB="0" distL="114300" distR="114300" simplePos="0" relativeHeight="251658240" behindDoc="1" locked="0" layoutInCell="1" allowOverlap="1" wp14:anchorId="7BEF4C14" wp14:editId="26468E95">
            <wp:simplePos x="0" y="0"/>
            <wp:positionH relativeFrom="column">
              <wp:posOffset>-1230</wp:posOffset>
            </wp:positionH>
            <wp:positionV relativeFrom="paragraph">
              <wp:posOffset>144234</wp:posOffset>
            </wp:positionV>
            <wp:extent cx="7014258" cy="851896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 signed by Peter.jpg"/>
                    <pic:cNvPicPr/>
                  </pic:nvPicPr>
                  <pic:blipFill rotWithShape="1">
                    <a:blip r:embed="rId17" cstate="print">
                      <a:extLst>
                        <a:ext uri="{28A0092B-C50C-407E-A947-70E740481C1C}">
                          <a14:useLocalDpi xmlns:a14="http://schemas.microsoft.com/office/drawing/2010/main" val="0"/>
                        </a:ext>
                      </a:extLst>
                    </a:blip>
                    <a:srcRect b="4616"/>
                    <a:stretch/>
                  </pic:blipFill>
                  <pic:spPr bwMode="auto">
                    <a:xfrm>
                      <a:off x="0" y="0"/>
                      <a:ext cx="7020400" cy="85264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F147E" w:rsidRDefault="004F147E" w:rsidP="00373F18">
      <w:pPr>
        <w:pStyle w:val="Heading1"/>
        <w:spacing w:before="0" w:after="100" w:afterAutospacing="1"/>
      </w:pPr>
      <w:bookmarkStart w:id="3" w:name="_Toc417887213"/>
      <w:bookmarkStart w:id="4" w:name="_Toc434316177"/>
      <w:r>
        <w:lastRenderedPageBreak/>
        <w:t>Letter of Direction</w:t>
      </w:r>
      <w:bookmarkEnd w:id="3"/>
      <w:bookmarkEnd w:id="4"/>
    </w:p>
    <w:p w:rsidR="00373F18" w:rsidRDefault="00373F18">
      <w:pPr>
        <w:pStyle w:val="BodyText"/>
      </w:pPr>
      <w:r>
        <w:rPr>
          <w:noProof/>
        </w:rPr>
        <w:drawing>
          <wp:inline distT="0" distB="0" distL="0" distR="0" wp14:anchorId="1D52B615" wp14:editId="092012AF">
            <wp:extent cx="5562600" cy="781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63368" cy="7819200"/>
                    </a:xfrm>
                    <a:prstGeom prst="rect">
                      <a:avLst/>
                    </a:prstGeom>
                    <a:noFill/>
                    <a:ln>
                      <a:noFill/>
                    </a:ln>
                  </pic:spPr>
                </pic:pic>
              </a:graphicData>
            </a:graphic>
          </wp:inline>
        </w:drawing>
      </w:r>
    </w:p>
    <w:p w:rsidR="004F147E" w:rsidRDefault="004F147E">
      <w:pPr>
        <w:pStyle w:val="BodyText"/>
        <w:sectPr w:rsidR="004F147E" w:rsidSect="00D400D0">
          <w:headerReference w:type="first" r:id="rId19"/>
          <w:footerReference w:type="first" r:id="rId20"/>
          <w:type w:val="evenPage"/>
          <w:pgSz w:w="11907" w:h="16840" w:code="9"/>
          <w:pgMar w:top="1304" w:right="1304" w:bottom="567" w:left="567" w:header="1701" w:footer="397" w:gutter="0"/>
          <w:pgNumType w:fmt="lowerRoman" w:start="1"/>
          <w:cols w:space="720"/>
          <w:titlePg/>
        </w:sectPr>
      </w:pPr>
    </w:p>
    <w:p w:rsidR="00474412" w:rsidRDefault="00735FEA" w:rsidP="008206EE">
      <w:pPr>
        <w:pStyle w:val="Heading1NotTOC"/>
        <w:rPr>
          <w:noProof/>
        </w:rPr>
      </w:pPr>
      <w:bookmarkStart w:id="5" w:name="Contents"/>
      <w:bookmarkEnd w:id="5"/>
      <w:r w:rsidRPr="00B153C3">
        <w:lastRenderedPageBreak/>
        <w:t>Contents</w:t>
      </w:r>
      <w:bookmarkStart w:id="6" w:name="InsertContents"/>
      <w:bookmarkEnd w:id="6"/>
    </w:p>
    <w:p w:rsidR="00474412" w:rsidRDefault="00474412">
      <w:pPr>
        <w:pStyle w:val="TOC1"/>
        <w:rPr>
          <w:rFonts w:asciiTheme="minorHAnsi" w:eastAsiaTheme="minorEastAsia" w:hAnsiTheme="minorHAnsi" w:cstheme="minorBidi"/>
          <w:b w:val="0"/>
          <w:noProof/>
          <w:sz w:val="22"/>
          <w:szCs w:val="22"/>
          <w:lang w:eastAsia="en-AU"/>
        </w:rPr>
      </w:pPr>
      <w:r>
        <w:rPr>
          <w:noProof/>
        </w:rPr>
        <w:t>Letter of Direction</w:t>
      </w:r>
      <w:r>
        <w:rPr>
          <w:noProof/>
        </w:rPr>
        <w:tab/>
        <w:t>ii</w:t>
      </w:r>
    </w:p>
    <w:p w:rsidR="00474412" w:rsidRDefault="00474412">
      <w:pPr>
        <w:pStyle w:val="TOC1"/>
        <w:rPr>
          <w:rFonts w:asciiTheme="minorHAnsi" w:eastAsiaTheme="minorEastAsia" w:hAnsiTheme="minorHAnsi" w:cstheme="minorBidi"/>
          <w:b w:val="0"/>
          <w:noProof/>
          <w:sz w:val="22"/>
          <w:szCs w:val="22"/>
          <w:lang w:eastAsia="en-AU"/>
        </w:rPr>
      </w:pPr>
      <w:r>
        <w:rPr>
          <w:noProof/>
        </w:rPr>
        <w:t>Acknowledgments</w:t>
      </w:r>
      <w:r>
        <w:rPr>
          <w:noProof/>
        </w:rPr>
        <w:tab/>
        <w:t>v</w:t>
      </w:r>
    </w:p>
    <w:p w:rsidR="00474412" w:rsidRDefault="00474412">
      <w:pPr>
        <w:pStyle w:val="TOC1"/>
        <w:rPr>
          <w:rFonts w:asciiTheme="minorHAnsi" w:eastAsiaTheme="minorEastAsia" w:hAnsiTheme="minorHAnsi" w:cstheme="minorBidi"/>
          <w:b w:val="0"/>
          <w:noProof/>
          <w:sz w:val="22"/>
          <w:szCs w:val="22"/>
          <w:lang w:eastAsia="en-AU"/>
        </w:rPr>
      </w:pPr>
      <w:r>
        <w:rPr>
          <w:noProof/>
        </w:rPr>
        <w:t>Abbreviations</w:t>
      </w:r>
      <w:r>
        <w:rPr>
          <w:noProof/>
        </w:rPr>
        <w:tab/>
        <w:t>vi</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Overview</w:t>
      </w:r>
      <w:r>
        <w:rPr>
          <w:noProof/>
        </w:rPr>
        <w:tab/>
      </w:r>
      <w:r>
        <w:rPr>
          <w:noProof/>
        </w:rPr>
        <w:t>1</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report</w:t>
      </w:r>
      <w:r>
        <w:rPr>
          <w:noProof/>
        </w:rPr>
        <w:tab/>
        <w:t>19</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National Indigenous Reform Agreement</w:t>
      </w:r>
      <w:r>
        <w:rPr>
          <w:noProof/>
        </w:rPr>
        <w:tab/>
        <w:t>19</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Reporting on Closing the Gap targets</w:t>
      </w:r>
      <w:r>
        <w:rPr>
          <w:noProof/>
        </w:rPr>
        <w:tab/>
        <w:t>20</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roles of targets and indicators</w:t>
      </w:r>
      <w:r>
        <w:rPr>
          <w:noProof/>
        </w:rPr>
        <w:tab/>
        <w:t>20</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Some general statistical and measurement issues</w:t>
      </w:r>
      <w:r>
        <w:rPr>
          <w:noProof/>
        </w:rPr>
        <w:tab/>
        <w:t>23</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Geographic and State and Territory outcomes</w:t>
      </w:r>
      <w:r>
        <w:rPr>
          <w:noProof/>
        </w:rPr>
        <w:tab/>
        <w:t>26</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The rest of the report</w:t>
      </w:r>
      <w:r>
        <w:rPr>
          <w:noProof/>
        </w:rPr>
        <w:tab/>
        <w:t>26</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Life expectancy</w:t>
      </w:r>
      <w:r>
        <w:rPr>
          <w:noProof/>
        </w:rPr>
        <w:tab/>
        <w:t>29</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w:t>
      </w:r>
      <w:r>
        <w:rPr>
          <w:noProof/>
        </w:rPr>
        <w:tab/>
        <w:t>30</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Starting gaps and progress to date</w:t>
      </w:r>
      <w:r>
        <w:rPr>
          <w:noProof/>
        </w:rPr>
        <w:tab/>
        <w:t>31</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Some cautions about the results</w:t>
      </w:r>
      <w:r>
        <w:rPr>
          <w:noProof/>
        </w:rPr>
        <w:tab/>
        <w:t>40</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Other elements of the health picture</w:t>
      </w:r>
      <w:r>
        <w:rPr>
          <w:noProof/>
        </w:rPr>
        <w:tab/>
        <w:t>41</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Where to from here?</w:t>
      </w:r>
      <w:r>
        <w:rPr>
          <w:noProof/>
        </w:rPr>
        <w:tab/>
        <w:t>44</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47</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Child mortality</w:t>
      </w:r>
      <w:r>
        <w:rPr>
          <w:noProof/>
        </w:rPr>
        <w:tab/>
        <w:t>53</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Introduction</w:t>
      </w:r>
      <w:r>
        <w:rPr>
          <w:noProof/>
        </w:rPr>
        <w:tab/>
        <w:t>53</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Starting gaps and progress to date</w:t>
      </w:r>
      <w:r>
        <w:rPr>
          <w:noProof/>
        </w:rPr>
        <w:tab/>
        <w:t>54</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Where to from here?</w:t>
      </w:r>
      <w:r>
        <w:rPr>
          <w:noProof/>
        </w:rPr>
        <w:tab/>
        <w:t>60</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61</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Early childhood education</w:t>
      </w:r>
      <w:r>
        <w:rPr>
          <w:noProof/>
        </w:rPr>
        <w:tab/>
        <w:t>67</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w:t>
      </w:r>
      <w:r>
        <w:rPr>
          <w:noProof/>
        </w:rPr>
        <w:tab/>
        <w:t>68</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2013 target and progress to date</w:t>
      </w:r>
      <w:r>
        <w:rPr>
          <w:noProof/>
        </w:rPr>
        <w:tab/>
        <w:t>69</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lastRenderedPageBreak/>
        <w:t>4.3</w:t>
      </w:r>
      <w:r>
        <w:rPr>
          <w:rFonts w:asciiTheme="minorHAnsi" w:eastAsiaTheme="minorEastAsia" w:hAnsiTheme="minorHAnsi" w:cstheme="minorBidi"/>
          <w:noProof/>
          <w:sz w:val="22"/>
          <w:szCs w:val="22"/>
          <w:lang w:eastAsia="en-AU"/>
        </w:rPr>
        <w:tab/>
      </w:r>
      <w:r>
        <w:rPr>
          <w:noProof/>
        </w:rPr>
        <w:t>What is missing from the picture?</w:t>
      </w:r>
      <w:r>
        <w:rPr>
          <w:noProof/>
        </w:rPr>
        <w:tab/>
        <w:t>75</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Where to from here?</w:t>
      </w:r>
      <w:r>
        <w:rPr>
          <w:noProof/>
        </w:rPr>
        <w:tab/>
        <w:t>79</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81</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Literacy and numeracy</w:t>
      </w:r>
      <w:r>
        <w:rPr>
          <w:noProof/>
        </w:rPr>
        <w:tab/>
        <w:t>85</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w:t>
      </w:r>
      <w:r>
        <w:rPr>
          <w:noProof/>
        </w:rPr>
        <w:tab/>
        <w:t>86</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Starting gaps and progress to date</w:t>
      </w:r>
      <w:r>
        <w:rPr>
          <w:noProof/>
        </w:rPr>
        <w:tab/>
        <w:t>88</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Working towards a more complete picture</w:t>
      </w:r>
      <w:r>
        <w:rPr>
          <w:noProof/>
        </w:rPr>
        <w:tab/>
        <w:t>106</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Where to from here?</w:t>
      </w:r>
      <w:r>
        <w:rPr>
          <w:noProof/>
        </w:rPr>
        <w:tab/>
        <w:t>116</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118</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Year 12 attainment</w:t>
      </w:r>
      <w:r>
        <w:rPr>
          <w:noProof/>
        </w:rPr>
        <w:tab/>
        <w:t>125</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Starting gap and progress to date</w:t>
      </w:r>
      <w:r>
        <w:rPr>
          <w:noProof/>
        </w:rPr>
        <w:tab/>
        <w:t>126</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Some cautions about these outcomes</w:t>
      </w:r>
      <w:r>
        <w:rPr>
          <w:noProof/>
        </w:rPr>
        <w:tab/>
        <w:t>128</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sidRPr="00476139">
        <w:rPr>
          <w:noProof/>
          <w:spacing w:val="-2"/>
        </w:rPr>
        <w:t>6.3</w:t>
      </w:r>
      <w:r>
        <w:rPr>
          <w:rFonts w:asciiTheme="minorHAnsi" w:eastAsiaTheme="minorEastAsia" w:hAnsiTheme="minorHAnsi" w:cstheme="minorBidi"/>
          <w:noProof/>
          <w:sz w:val="22"/>
          <w:szCs w:val="22"/>
          <w:lang w:eastAsia="en-AU"/>
        </w:rPr>
        <w:tab/>
      </w:r>
      <w:r w:rsidRPr="00476139">
        <w:rPr>
          <w:noProof/>
          <w:spacing w:val="-2"/>
        </w:rPr>
        <w:t>Should future reporting on this target be enhanced?</w:t>
      </w:r>
      <w:r>
        <w:rPr>
          <w:noProof/>
        </w:rPr>
        <w:tab/>
        <w:t>132</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133</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Employment outcomes</w:t>
      </w:r>
      <w:r>
        <w:rPr>
          <w:noProof/>
        </w:rPr>
        <w:tab/>
        <w:t>137</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Starting gaps and progress to date</w:t>
      </w:r>
      <w:r>
        <w:rPr>
          <w:noProof/>
        </w:rPr>
        <w:tab/>
        <w:t>138</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sidRPr="00476139">
        <w:rPr>
          <w:noProof/>
          <w:spacing w:val="-2"/>
        </w:rPr>
        <w:t>7.2</w:t>
      </w:r>
      <w:r>
        <w:rPr>
          <w:rFonts w:asciiTheme="minorHAnsi" w:eastAsiaTheme="minorEastAsia" w:hAnsiTheme="minorHAnsi" w:cstheme="minorBidi"/>
          <w:noProof/>
          <w:sz w:val="22"/>
          <w:szCs w:val="22"/>
          <w:lang w:eastAsia="en-AU"/>
        </w:rPr>
        <w:tab/>
      </w:r>
      <w:r w:rsidRPr="00476139">
        <w:rPr>
          <w:noProof/>
          <w:spacing w:val="-2"/>
        </w:rPr>
        <w:t>Do the measured gaps accurately reflect employment disparities?</w:t>
      </w:r>
      <w:r>
        <w:rPr>
          <w:noProof/>
        </w:rPr>
        <w:tab/>
        <w:t>142</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Missing elements from the employment picture</w:t>
      </w:r>
      <w:r>
        <w:rPr>
          <w:noProof/>
        </w:rPr>
        <w:tab/>
        <w:t>146</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Some demand-side context</w:t>
      </w:r>
      <w:r>
        <w:rPr>
          <w:noProof/>
        </w:rPr>
        <w:tab/>
        <w:t>148</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Recent changes in a longer term context</w:t>
      </w:r>
      <w:r>
        <w:rPr>
          <w:noProof/>
        </w:rPr>
        <w:tab/>
        <w:t>153</w:t>
      </w:r>
    </w:p>
    <w:p w:rsidR="006B51E0" w:rsidRDefault="006B51E0" w:rsidP="006B51E0">
      <w:pPr>
        <w:pStyle w:val="TOC2"/>
        <w:rPr>
          <w:rFonts w:asciiTheme="minorHAnsi" w:eastAsiaTheme="minorEastAsia" w:hAnsiTheme="minorHAnsi" w:cstheme="minorBidi"/>
          <w:noProof/>
          <w:sz w:val="22"/>
          <w:szCs w:val="22"/>
          <w:lang w:eastAsia="en-AU"/>
        </w:rPr>
      </w:pPr>
      <w:r>
        <w:rPr>
          <w:noProof/>
        </w:rPr>
        <w:t>Statistical attachment</w:t>
      </w:r>
      <w:r>
        <w:rPr>
          <w:noProof/>
        </w:rPr>
        <w:tab/>
        <w:t>156</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Improving performance reporting: where to from here?</w:t>
      </w:r>
      <w:r>
        <w:rPr>
          <w:noProof/>
        </w:rPr>
        <w:tab/>
        <w:t>161</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Reporting, reporting and more reporting</w:t>
      </w:r>
      <w:r>
        <w:rPr>
          <w:noProof/>
        </w:rPr>
        <w:tab/>
        <w:t>162</w:t>
      </w:r>
    </w:p>
    <w:p w:rsidR="006B51E0" w:rsidRDefault="006B51E0" w:rsidP="006B51E0">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A lack of evidence about what works</w:t>
      </w:r>
      <w:r>
        <w:rPr>
          <w:noProof/>
        </w:rPr>
        <w:tab/>
        <w:t>166</w:t>
      </w:r>
    </w:p>
    <w:p w:rsidR="006B51E0" w:rsidRDefault="006B51E0" w:rsidP="006B51E0">
      <w:pPr>
        <w:pStyle w:val="TOC1"/>
        <w:rPr>
          <w:rFonts w:asciiTheme="minorHAnsi" w:eastAsiaTheme="minorEastAsia" w:hAnsiTheme="minorHAnsi" w:cstheme="minorBidi"/>
          <w:b w:val="0"/>
          <w:noProof/>
          <w:sz w:val="22"/>
          <w:szCs w:val="22"/>
          <w:lang w:eastAsia="en-AU"/>
        </w:rPr>
      </w:pPr>
      <w:r>
        <w:rPr>
          <w:noProof/>
        </w:rPr>
        <w:t>Appendix A — Comparing performance across jurisdictions</w:t>
      </w:r>
      <w:r>
        <w:rPr>
          <w:noProof/>
        </w:rPr>
        <w:tab/>
        <w:t>173</w:t>
      </w:r>
    </w:p>
    <w:p w:rsidR="00C058AB" w:rsidRDefault="006B51E0" w:rsidP="00486406">
      <w:pPr>
        <w:pStyle w:val="TOC1"/>
      </w:pPr>
      <w:r>
        <w:rPr>
          <w:noProof/>
        </w:rPr>
        <w:t>References</w:t>
      </w:r>
      <w:r>
        <w:rPr>
          <w:noProof/>
        </w:rPr>
        <w:tab/>
        <w:t>183</w:t>
      </w:r>
    </w:p>
    <w:p w:rsidR="004D3F58" w:rsidRDefault="004D3F58">
      <w:pPr>
        <w:pStyle w:val="BodyText"/>
        <w:sectPr w:rsidR="004D3F58" w:rsidSect="007448F7">
          <w:headerReference w:type="even" r:id="rId21"/>
          <w:headerReference w:type="default" r:id="rId22"/>
          <w:footerReference w:type="even" r:id="rId23"/>
          <w:footerReference w:type="default" r:id="rId24"/>
          <w:type w:val="oddPage"/>
          <w:pgSz w:w="11907" w:h="16840" w:code="9"/>
          <w:pgMar w:top="1985" w:right="1304" w:bottom="1247" w:left="1814" w:header="1701" w:footer="397" w:gutter="0"/>
          <w:pgNumType w:fmt="lowerRoman"/>
          <w:cols w:space="720"/>
        </w:sectPr>
      </w:pPr>
    </w:p>
    <w:p w:rsidR="0010154C" w:rsidRDefault="0010154C">
      <w:pPr>
        <w:pStyle w:val="Heading1"/>
      </w:pPr>
      <w:bookmarkStart w:id="7" w:name="Abbreviations"/>
      <w:bookmarkStart w:id="8" w:name="RDnote"/>
      <w:bookmarkStart w:id="9" w:name="_Toc434316178"/>
      <w:bookmarkEnd w:id="7"/>
      <w:bookmarkEnd w:id="8"/>
      <w:r>
        <w:lastRenderedPageBreak/>
        <w:t>Acknowledgments</w:t>
      </w:r>
      <w:bookmarkEnd w:id="9"/>
    </w:p>
    <w:p w:rsidR="0010154C" w:rsidRDefault="00373F18" w:rsidP="00883E8C">
      <w:pPr>
        <w:pStyle w:val="BodyText"/>
      </w:pPr>
      <w:r>
        <w:t xml:space="preserve">The Commission would like to thank the Steering Committee for the Review of Government Service Provision for their valuable comments on this report. The Steering Committee includes representatives from the Australian, State and Territory governments, the Australian Bureau of Statistics and the Australian Institute of Health and Welfare. Their contributions added to the quality of this publication and their assistance is gratefully acknowledged. </w:t>
      </w:r>
    </w:p>
    <w:p w:rsidR="0010154C" w:rsidRPr="00883E8C" w:rsidRDefault="0010154C" w:rsidP="00883E8C">
      <w:pPr>
        <w:pStyle w:val="BodyText"/>
        <w:rPr>
          <w:lang w:eastAsia="en-US"/>
        </w:rPr>
      </w:pPr>
    </w:p>
    <w:p w:rsidR="0010154C" w:rsidRDefault="0010154C">
      <w:pPr>
        <w:pStyle w:val="BodyText"/>
        <w:sectPr w:rsidR="0010154C" w:rsidSect="00883E8C">
          <w:headerReference w:type="even" r:id="rId25"/>
          <w:headerReference w:type="default" r:id="rId26"/>
          <w:footerReference w:type="even" r:id="rId27"/>
          <w:footerReference w:type="default" r:id="rId28"/>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0" w:name="EndContents"/>
      <w:bookmarkStart w:id="11" w:name="_Toc434316179"/>
      <w:bookmarkStart w:id="12" w:name="_GoBack"/>
      <w:bookmarkEnd w:id="10"/>
      <w:bookmarkEnd w:id="12"/>
      <w:r>
        <w:lastRenderedPageBreak/>
        <w:t>Abbreviations</w:t>
      </w:r>
      <w:bookmarkEnd w:id="11"/>
      <w:r>
        <w:t xml:space="preserve"> </w:t>
      </w:r>
    </w:p>
    <w:p w:rsidR="006C0132" w:rsidRDefault="006C0132" w:rsidP="006C0132">
      <w:pPr>
        <w:pStyle w:val="Abbreviation"/>
      </w:pPr>
      <w:bookmarkStart w:id="13" w:name="Glossary"/>
      <w:bookmarkEnd w:id="13"/>
      <w:proofErr w:type="spellStart"/>
      <w:r>
        <w:t>AATSIHS</w:t>
      </w:r>
      <w:proofErr w:type="spellEnd"/>
      <w:r>
        <w:tab/>
        <w:t>Australian Aboriginal and Torres Strait Islander Health Survey</w:t>
      </w:r>
    </w:p>
    <w:p w:rsidR="006C0132" w:rsidRPr="006B4744" w:rsidRDefault="006C0132" w:rsidP="006C0132">
      <w:pPr>
        <w:pStyle w:val="Abbreviation"/>
      </w:pPr>
      <w:r w:rsidRPr="006B4744">
        <w:t>ABS</w:t>
      </w:r>
      <w:r w:rsidRPr="006B4744">
        <w:tab/>
        <w:t>Australian Bureau of Statistics</w:t>
      </w:r>
    </w:p>
    <w:p w:rsidR="006C0132" w:rsidRPr="006B4744" w:rsidRDefault="006C0132" w:rsidP="006C0132">
      <w:pPr>
        <w:pStyle w:val="Abbreviation"/>
      </w:pPr>
      <w:r>
        <w:t xml:space="preserve">ACARA </w:t>
      </w:r>
      <w:r>
        <w:tab/>
        <w:t>Australian Curriculum, Assessment and Reporting Authority</w:t>
      </w:r>
    </w:p>
    <w:p w:rsidR="006C0132" w:rsidRPr="008D11AF" w:rsidRDefault="006C0132" w:rsidP="006C0132">
      <w:pPr>
        <w:pStyle w:val="Abbreviation"/>
      </w:pPr>
      <w:r w:rsidRPr="008D11AF">
        <w:t>ACER</w:t>
      </w:r>
      <w:r w:rsidRPr="008D11AF">
        <w:tab/>
        <w:t>Australian Council for Educational Research</w:t>
      </w:r>
    </w:p>
    <w:p w:rsidR="006C0132" w:rsidRPr="006B4744" w:rsidRDefault="006C0132" w:rsidP="006C0132">
      <w:pPr>
        <w:pStyle w:val="Abbreviation"/>
      </w:pPr>
      <w:r w:rsidRPr="006B4744">
        <w:t>ACT</w:t>
      </w:r>
      <w:r w:rsidRPr="006B4744">
        <w:tab/>
        <w:t>Australian Capital Territory</w:t>
      </w:r>
    </w:p>
    <w:p w:rsidR="006C0132" w:rsidRPr="006B4744" w:rsidRDefault="006C0132" w:rsidP="006C0132">
      <w:pPr>
        <w:pStyle w:val="Abbreviation"/>
      </w:pPr>
      <w:proofErr w:type="spellStart"/>
      <w:r w:rsidRPr="006B4744">
        <w:t>AED</w:t>
      </w:r>
      <w:r>
        <w:t>C</w:t>
      </w:r>
      <w:proofErr w:type="spellEnd"/>
      <w:r w:rsidRPr="006B4744">
        <w:tab/>
        <w:t xml:space="preserve">Australian Early Development </w:t>
      </w:r>
      <w:r>
        <w:t>Census</w:t>
      </w:r>
    </w:p>
    <w:p w:rsidR="006C0132" w:rsidRDefault="006C0132" w:rsidP="006C0132">
      <w:pPr>
        <w:pStyle w:val="Abbreviation"/>
      </w:pPr>
      <w:proofErr w:type="spellStart"/>
      <w:r>
        <w:t>AHMAC</w:t>
      </w:r>
      <w:proofErr w:type="spellEnd"/>
      <w:r>
        <w:tab/>
        <w:t>Australian Health Ministers Advisory Council</w:t>
      </w:r>
    </w:p>
    <w:p w:rsidR="006C0132" w:rsidRDefault="006C0132" w:rsidP="006C0132">
      <w:pPr>
        <w:pStyle w:val="Abbreviation"/>
      </w:pPr>
      <w:proofErr w:type="spellStart"/>
      <w:r>
        <w:t>AIFS</w:t>
      </w:r>
      <w:proofErr w:type="spellEnd"/>
      <w:r>
        <w:tab/>
        <w:t>Australian Institute of Family Studies</w:t>
      </w:r>
    </w:p>
    <w:p w:rsidR="006C0132" w:rsidRDefault="006C0132" w:rsidP="006C0132">
      <w:pPr>
        <w:pStyle w:val="Abbreviation"/>
      </w:pPr>
      <w:proofErr w:type="spellStart"/>
      <w:r w:rsidRPr="006B4744">
        <w:t>AIHW</w:t>
      </w:r>
      <w:proofErr w:type="spellEnd"/>
      <w:r w:rsidRPr="006B4744">
        <w:tab/>
        <w:t>Australian Institute of Health and Welfare</w:t>
      </w:r>
    </w:p>
    <w:p w:rsidR="006C0132" w:rsidRDefault="006C0132" w:rsidP="006C0132">
      <w:pPr>
        <w:pStyle w:val="Abbreviation"/>
      </w:pPr>
      <w:proofErr w:type="spellStart"/>
      <w:r>
        <w:t>AQF</w:t>
      </w:r>
      <w:proofErr w:type="spellEnd"/>
      <w:r>
        <w:tab/>
        <w:t>Australian Qualifications Framework</w:t>
      </w:r>
    </w:p>
    <w:p w:rsidR="006C0132" w:rsidRPr="00AC0FA7" w:rsidRDefault="006C0132" w:rsidP="006C0132">
      <w:pPr>
        <w:pStyle w:val="Abbreviation"/>
      </w:pPr>
      <w:proofErr w:type="spellStart"/>
      <w:r w:rsidRPr="00AC0FA7">
        <w:t>ATAR</w:t>
      </w:r>
      <w:proofErr w:type="spellEnd"/>
      <w:r w:rsidRPr="00AC0FA7">
        <w:tab/>
        <w:t>Austra</w:t>
      </w:r>
      <w:r>
        <w:t>lian Tertiary Admissions Rank</w:t>
      </w:r>
    </w:p>
    <w:p w:rsidR="006C0132" w:rsidRDefault="006C0132" w:rsidP="006C0132">
      <w:pPr>
        <w:pStyle w:val="Abbreviation"/>
      </w:pPr>
      <w:r>
        <w:t>BMI</w:t>
      </w:r>
      <w:r>
        <w:tab/>
        <w:t>Body Mass Index</w:t>
      </w:r>
    </w:p>
    <w:p w:rsidR="006C0132" w:rsidRDefault="006C0132" w:rsidP="006C0132">
      <w:pPr>
        <w:pStyle w:val="Abbreviation"/>
      </w:pPr>
      <w:proofErr w:type="spellStart"/>
      <w:r w:rsidRPr="0041080E">
        <w:t>CAEPR</w:t>
      </w:r>
      <w:proofErr w:type="spellEnd"/>
      <w:r w:rsidRPr="0041080E">
        <w:tab/>
        <w:t>Centre for Aboriginal Economic Policy Research</w:t>
      </w:r>
    </w:p>
    <w:p w:rsidR="006C0132" w:rsidRDefault="006C0132" w:rsidP="006C0132">
      <w:pPr>
        <w:pStyle w:val="Abbreviation"/>
      </w:pPr>
      <w:proofErr w:type="spellStart"/>
      <w:r>
        <w:t>CCMS</w:t>
      </w:r>
      <w:proofErr w:type="spellEnd"/>
      <w:r>
        <w:tab/>
        <w:t>Child Care Management System</w:t>
      </w:r>
    </w:p>
    <w:p w:rsidR="006C0132" w:rsidRDefault="006C0132" w:rsidP="006C0132">
      <w:pPr>
        <w:pStyle w:val="Abbreviation"/>
      </w:pPr>
      <w:proofErr w:type="spellStart"/>
      <w:r w:rsidRPr="0041080E">
        <w:t>CDEP</w:t>
      </w:r>
      <w:proofErr w:type="spellEnd"/>
      <w:r w:rsidRPr="0041080E">
        <w:tab/>
        <w:t xml:space="preserve">Community Development Employment Projects </w:t>
      </w:r>
    </w:p>
    <w:p w:rsidR="006C0132" w:rsidRDefault="006C0132" w:rsidP="006C0132">
      <w:pPr>
        <w:pStyle w:val="Abbreviation"/>
      </w:pPr>
      <w:proofErr w:type="spellStart"/>
      <w:r>
        <w:t>CHC</w:t>
      </w:r>
      <w:proofErr w:type="spellEnd"/>
      <w:r>
        <w:tab/>
      </w:r>
      <w:proofErr w:type="spellStart"/>
      <w:r>
        <w:t>COAG</w:t>
      </w:r>
      <w:proofErr w:type="spellEnd"/>
      <w:r>
        <w:t xml:space="preserve"> Health Council</w:t>
      </w:r>
    </w:p>
    <w:p w:rsidR="006C0132" w:rsidRDefault="006C0132" w:rsidP="006C0132">
      <w:pPr>
        <w:pStyle w:val="Abbreviation"/>
      </w:pPr>
      <w:proofErr w:type="spellStart"/>
      <w:r w:rsidRPr="0041080E">
        <w:t>COAG</w:t>
      </w:r>
      <w:proofErr w:type="spellEnd"/>
      <w:r w:rsidRPr="0041080E">
        <w:tab/>
        <w:t>Council of Australian Governments</w:t>
      </w:r>
    </w:p>
    <w:p w:rsidR="006C0132" w:rsidRDefault="006C0132" w:rsidP="006C0132">
      <w:pPr>
        <w:pStyle w:val="Abbreviation"/>
      </w:pPr>
      <w:r>
        <w:t>CRC</w:t>
      </w:r>
      <w:r>
        <w:tab/>
      </w:r>
      <w:proofErr w:type="spellStart"/>
      <w:r>
        <w:t>COAG</w:t>
      </w:r>
      <w:proofErr w:type="spellEnd"/>
      <w:r>
        <w:t xml:space="preserve"> Reform Council </w:t>
      </w:r>
    </w:p>
    <w:p w:rsidR="006C0132" w:rsidRDefault="006C0132" w:rsidP="006C0132">
      <w:pPr>
        <w:pStyle w:val="Abbreviation"/>
      </w:pPr>
      <w:proofErr w:type="spellStart"/>
      <w:r w:rsidRPr="00CE271E">
        <w:t>DEEWR</w:t>
      </w:r>
      <w:proofErr w:type="spellEnd"/>
      <w:r w:rsidRPr="00CE271E">
        <w:tab/>
        <w:t>Department of Education, Employment and Workplace Relations</w:t>
      </w:r>
    </w:p>
    <w:p w:rsidR="006C0132" w:rsidRDefault="006C0132" w:rsidP="006C0132">
      <w:pPr>
        <w:pStyle w:val="Abbreviation"/>
      </w:pPr>
      <w:proofErr w:type="spellStart"/>
      <w:r>
        <w:t>ERP</w:t>
      </w:r>
      <w:proofErr w:type="spellEnd"/>
      <w:r>
        <w:tab/>
        <w:t xml:space="preserve">Estimated Resident Population </w:t>
      </w:r>
    </w:p>
    <w:p w:rsidR="006C0132" w:rsidRDefault="006C0132" w:rsidP="006C0132">
      <w:pPr>
        <w:pStyle w:val="Abbreviation"/>
      </w:pPr>
      <w:proofErr w:type="spellStart"/>
      <w:r>
        <w:t>FaHCSIA</w:t>
      </w:r>
      <w:proofErr w:type="spellEnd"/>
      <w:r>
        <w:tab/>
        <w:t>Department of Families and Housing, Community Services and Indigenous Affairs</w:t>
      </w:r>
    </w:p>
    <w:p w:rsidR="006C0132" w:rsidRDefault="006C0132" w:rsidP="006C0132">
      <w:pPr>
        <w:pStyle w:val="Abbreviation"/>
      </w:pPr>
      <w:proofErr w:type="spellStart"/>
      <w:r>
        <w:t>FaFT</w:t>
      </w:r>
      <w:proofErr w:type="spellEnd"/>
      <w:r>
        <w:tab/>
        <w:t>Families as First Teachers</w:t>
      </w:r>
    </w:p>
    <w:p w:rsidR="006C0132" w:rsidRDefault="006C0132" w:rsidP="006C0132">
      <w:pPr>
        <w:pStyle w:val="Abbreviation"/>
      </w:pPr>
      <w:proofErr w:type="spellStart"/>
      <w:r>
        <w:t>GFC</w:t>
      </w:r>
      <w:proofErr w:type="spellEnd"/>
      <w:r>
        <w:tab/>
        <w:t xml:space="preserve">Global Financial Crisis </w:t>
      </w:r>
    </w:p>
    <w:p w:rsidR="006C0132" w:rsidRDefault="006C0132" w:rsidP="006C0132">
      <w:pPr>
        <w:pStyle w:val="Abbreviation"/>
      </w:pPr>
      <w:proofErr w:type="spellStart"/>
      <w:r>
        <w:t>HPF</w:t>
      </w:r>
      <w:proofErr w:type="spellEnd"/>
      <w:r>
        <w:tab/>
        <w:t>Aboriginal and Torres Strait Islander Health Performance Framework</w:t>
      </w:r>
    </w:p>
    <w:p w:rsidR="006C0132" w:rsidRDefault="006C0132" w:rsidP="006C0132">
      <w:pPr>
        <w:pStyle w:val="Abbreviation"/>
      </w:pPr>
      <w:proofErr w:type="spellStart"/>
      <w:r>
        <w:t>IER</w:t>
      </w:r>
      <w:proofErr w:type="spellEnd"/>
      <w:r>
        <w:tab/>
        <w:t>Indigenous Expenditure Report</w:t>
      </w:r>
    </w:p>
    <w:p w:rsidR="006C0132" w:rsidRPr="00626277" w:rsidRDefault="006C0132" w:rsidP="006C0132">
      <w:pPr>
        <w:pStyle w:val="Abbreviation"/>
      </w:pPr>
      <w:proofErr w:type="spellStart"/>
      <w:r w:rsidRPr="00626277">
        <w:t>LSAC</w:t>
      </w:r>
      <w:proofErr w:type="spellEnd"/>
      <w:r w:rsidRPr="00626277">
        <w:tab/>
        <w:t>Longitudinal Study of Australian Children</w:t>
      </w:r>
    </w:p>
    <w:p w:rsidR="006C0132" w:rsidRPr="0075460A" w:rsidRDefault="006C0132" w:rsidP="006C0132">
      <w:pPr>
        <w:pStyle w:val="Abbreviation"/>
      </w:pPr>
      <w:proofErr w:type="spellStart"/>
      <w:r w:rsidRPr="0075460A">
        <w:lastRenderedPageBreak/>
        <w:t>NAPLAN</w:t>
      </w:r>
      <w:proofErr w:type="spellEnd"/>
      <w:r w:rsidRPr="0075460A">
        <w:tab/>
        <w:t>National Assessment Program — Literacy and Numeracy</w:t>
      </w:r>
    </w:p>
    <w:p w:rsidR="006C0132" w:rsidRDefault="006C0132" w:rsidP="006C0132">
      <w:pPr>
        <w:pStyle w:val="Abbreviation"/>
      </w:pPr>
      <w:proofErr w:type="spellStart"/>
      <w:r>
        <w:t>NATSIHS</w:t>
      </w:r>
      <w:proofErr w:type="spellEnd"/>
      <w:r>
        <w:tab/>
        <w:t>National Aboriginal and Torres Strait Islander Health Survey</w:t>
      </w:r>
    </w:p>
    <w:p w:rsidR="006C0132" w:rsidRDefault="006C0132" w:rsidP="006C0132">
      <w:pPr>
        <w:pStyle w:val="Abbreviation"/>
      </w:pPr>
      <w:proofErr w:type="spellStart"/>
      <w:r>
        <w:t>NATSISS</w:t>
      </w:r>
      <w:proofErr w:type="spellEnd"/>
      <w:r>
        <w:tab/>
        <w:t>National Aboriginal and Torres Strait Islander Social Survey</w:t>
      </w:r>
    </w:p>
    <w:p w:rsidR="006C0132" w:rsidRDefault="006C0132" w:rsidP="006C0132">
      <w:pPr>
        <w:pStyle w:val="Abbreviation"/>
      </w:pPr>
      <w:proofErr w:type="spellStart"/>
      <w:r>
        <w:t>NECECC</w:t>
      </w:r>
      <w:proofErr w:type="spellEnd"/>
      <w:r>
        <w:tab/>
        <w:t>National Early Childhood Education and Care Collection</w:t>
      </w:r>
    </w:p>
    <w:p w:rsidR="006C0132" w:rsidRDefault="006C0132" w:rsidP="006C0132">
      <w:pPr>
        <w:pStyle w:val="Abbreviation"/>
      </w:pPr>
      <w:proofErr w:type="spellStart"/>
      <w:r>
        <w:t>NHMRC</w:t>
      </w:r>
      <w:proofErr w:type="spellEnd"/>
      <w:r>
        <w:tab/>
        <w:t xml:space="preserve">National Health and Medical Research Council </w:t>
      </w:r>
    </w:p>
    <w:p w:rsidR="006C0132" w:rsidRDefault="006C0132" w:rsidP="006C0132">
      <w:pPr>
        <w:pStyle w:val="Abbreviation"/>
      </w:pPr>
      <w:proofErr w:type="spellStart"/>
      <w:r>
        <w:t>NIRA</w:t>
      </w:r>
      <w:proofErr w:type="spellEnd"/>
      <w:r>
        <w:tab/>
        <w:t>National Indigenous Reform Agreement</w:t>
      </w:r>
    </w:p>
    <w:p w:rsidR="006C0132" w:rsidRDefault="006C0132" w:rsidP="006C0132">
      <w:pPr>
        <w:pStyle w:val="Abbreviation"/>
      </w:pPr>
      <w:r>
        <w:t>NMS</w:t>
      </w:r>
      <w:r>
        <w:tab/>
        <w:t>National Minimum Standard</w:t>
      </w:r>
    </w:p>
    <w:p w:rsidR="006C0132" w:rsidRPr="00427F09" w:rsidRDefault="006C0132" w:rsidP="006C0132">
      <w:pPr>
        <w:pStyle w:val="Abbreviation"/>
      </w:pPr>
      <w:r w:rsidRPr="00427F09">
        <w:t>NSW</w:t>
      </w:r>
      <w:r w:rsidRPr="00427F09">
        <w:tab/>
        <w:t>New South Wales</w:t>
      </w:r>
    </w:p>
    <w:p w:rsidR="006C0132" w:rsidRPr="00427F09" w:rsidRDefault="006C0132" w:rsidP="006C0132">
      <w:pPr>
        <w:pStyle w:val="Abbreviation"/>
      </w:pPr>
      <w:r w:rsidRPr="00427F09">
        <w:t>NT</w:t>
      </w:r>
      <w:r w:rsidRPr="00427F09">
        <w:tab/>
        <w:t>Northern Territory</w:t>
      </w:r>
    </w:p>
    <w:p w:rsidR="006C0132" w:rsidRPr="00AC0FA7" w:rsidRDefault="006C0132" w:rsidP="006C0132">
      <w:pPr>
        <w:pStyle w:val="Abbreviation"/>
      </w:pPr>
      <w:r w:rsidRPr="00AC0FA7">
        <w:t>OECD</w:t>
      </w:r>
      <w:r w:rsidRPr="00AC0FA7">
        <w:tab/>
        <w:t>Organisation for Economic Co-operation and Development</w:t>
      </w:r>
    </w:p>
    <w:p w:rsidR="006C0132" w:rsidRPr="00CB13D8" w:rsidRDefault="006C0132" w:rsidP="006C0132">
      <w:pPr>
        <w:pStyle w:val="Abbreviation"/>
      </w:pPr>
      <w:proofErr w:type="spellStart"/>
      <w:r w:rsidRPr="00CB13D8">
        <w:t>OID</w:t>
      </w:r>
      <w:proofErr w:type="spellEnd"/>
      <w:r w:rsidRPr="00CB13D8">
        <w:tab/>
        <w:t>Overcoming Indigenous Disadvantage</w:t>
      </w:r>
    </w:p>
    <w:p w:rsidR="006C0132" w:rsidRPr="00834C2E" w:rsidRDefault="006C0132" w:rsidP="006C0132">
      <w:pPr>
        <w:pStyle w:val="Abbreviation"/>
      </w:pPr>
      <w:r>
        <w:t>PC</w:t>
      </w:r>
      <w:r>
        <w:tab/>
        <w:t xml:space="preserve">Productivity Commission </w:t>
      </w:r>
    </w:p>
    <w:p w:rsidR="006C0132" w:rsidRPr="00626277" w:rsidRDefault="006C0132" w:rsidP="006C0132">
      <w:pPr>
        <w:pStyle w:val="Abbreviation"/>
      </w:pPr>
      <w:r w:rsidRPr="00626277">
        <w:t>PISA</w:t>
      </w:r>
      <w:r w:rsidRPr="00626277">
        <w:tab/>
      </w:r>
      <w:proofErr w:type="spellStart"/>
      <w:r w:rsidRPr="00626277">
        <w:t>Program</w:t>
      </w:r>
      <w:r>
        <w:t>me</w:t>
      </w:r>
      <w:proofErr w:type="spellEnd"/>
      <w:r w:rsidRPr="00626277">
        <w:t xml:space="preserve"> for International Student Assessment</w:t>
      </w:r>
    </w:p>
    <w:p w:rsidR="006C0132" w:rsidRDefault="006C0132" w:rsidP="006C0132">
      <w:pPr>
        <w:pStyle w:val="Abbreviation"/>
      </w:pPr>
      <w:proofErr w:type="spellStart"/>
      <w:r>
        <w:t>PM&amp;C</w:t>
      </w:r>
      <w:proofErr w:type="spellEnd"/>
      <w:r>
        <w:tab/>
        <w:t>Department of the Prime Minister and Cabinet</w:t>
      </w:r>
    </w:p>
    <w:p w:rsidR="006C0132" w:rsidRPr="00427F09" w:rsidRDefault="006C0132" w:rsidP="006C0132">
      <w:pPr>
        <w:pStyle w:val="Abbreviation"/>
      </w:pPr>
      <w:r w:rsidRPr="00427F09">
        <w:t>Qld</w:t>
      </w:r>
      <w:r w:rsidRPr="00427F09">
        <w:tab/>
        <w:t>Queensland</w:t>
      </w:r>
    </w:p>
    <w:p w:rsidR="006C0132" w:rsidRDefault="006C0132" w:rsidP="006C0132">
      <w:pPr>
        <w:pStyle w:val="Abbreviation"/>
      </w:pPr>
      <w:proofErr w:type="spellStart"/>
      <w:r>
        <w:t>RSAS</w:t>
      </w:r>
      <w:proofErr w:type="spellEnd"/>
      <w:r>
        <w:tab/>
        <w:t>Remote School Attendance Strategy</w:t>
      </w:r>
    </w:p>
    <w:p w:rsidR="006C0132" w:rsidRDefault="006C0132" w:rsidP="006C0132">
      <w:pPr>
        <w:pStyle w:val="Abbreviation"/>
      </w:pPr>
      <w:r w:rsidRPr="00427F09">
        <w:t>SA</w:t>
      </w:r>
      <w:r w:rsidRPr="00427F09">
        <w:tab/>
        <w:t>South Australia</w:t>
      </w:r>
    </w:p>
    <w:p w:rsidR="006C0132" w:rsidRDefault="006C0132" w:rsidP="006C0132">
      <w:pPr>
        <w:pStyle w:val="Abbreviation"/>
      </w:pPr>
      <w:proofErr w:type="spellStart"/>
      <w:r w:rsidRPr="00427F09">
        <w:t>SCRGSP</w:t>
      </w:r>
      <w:proofErr w:type="spellEnd"/>
      <w:r w:rsidRPr="00427F09">
        <w:tab/>
        <w:t>Steering Committee for the Review of Government Service Provision</w:t>
      </w:r>
    </w:p>
    <w:p w:rsidR="006C0132" w:rsidRDefault="006C0132" w:rsidP="006C0132">
      <w:pPr>
        <w:pStyle w:val="Abbreviation"/>
      </w:pPr>
      <w:r>
        <w:t>SEAM</w:t>
      </w:r>
      <w:r>
        <w:tab/>
        <w:t xml:space="preserve">Improving School Enrolment and Attendance through Welfare Reform Measure </w:t>
      </w:r>
    </w:p>
    <w:p w:rsidR="006C0132" w:rsidRDefault="006C0132" w:rsidP="006C0132">
      <w:pPr>
        <w:pStyle w:val="Abbreviation"/>
        <w:tabs>
          <w:tab w:val="left" w:pos="720"/>
          <w:tab w:val="left" w:pos="1440"/>
          <w:tab w:val="left" w:pos="2160"/>
          <w:tab w:val="left" w:pos="2880"/>
          <w:tab w:val="left" w:pos="3600"/>
          <w:tab w:val="left" w:pos="4320"/>
        </w:tabs>
      </w:pPr>
      <w:proofErr w:type="spellStart"/>
      <w:r w:rsidRPr="00427F09">
        <w:t>Tas</w:t>
      </w:r>
      <w:proofErr w:type="spellEnd"/>
      <w:r w:rsidRPr="00427F09">
        <w:tab/>
      </w:r>
      <w:r>
        <w:tab/>
      </w:r>
      <w:r>
        <w:tab/>
      </w:r>
      <w:r>
        <w:tab/>
      </w:r>
      <w:r w:rsidRPr="00427F09">
        <w:t>Tasmania</w:t>
      </w:r>
    </w:p>
    <w:p w:rsidR="006C0132" w:rsidRDefault="006C0132" w:rsidP="006C0132">
      <w:pPr>
        <w:pStyle w:val="Abbreviation"/>
      </w:pPr>
      <w:r>
        <w:t>The Commission</w:t>
      </w:r>
      <w:r>
        <w:tab/>
        <w:t>Productivity Commission</w:t>
      </w:r>
    </w:p>
    <w:p w:rsidR="006C0132" w:rsidRPr="00427F09" w:rsidRDefault="006C0132" w:rsidP="006C0132">
      <w:pPr>
        <w:pStyle w:val="Abbreviation"/>
      </w:pPr>
      <w:r>
        <w:t>WA</w:t>
      </w:r>
      <w:r>
        <w:tab/>
        <w:t>Western Australia</w:t>
      </w:r>
    </w:p>
    <w:p w:rsidR="00474412" w:rsidRPr="00474412" w:rsidRDefault="00474412" w:rsidP="006C0132">
      <w:pPr>
        <w:pStyle w:val="Abbreviation"/>
        <w:rPr>
          <w:rStyle w:val="CommentReference"/>
        </w:rPr>
      </w:pPr>
    </w:p>
    <w:sectPr w:rsidR="00474412" w:rsidRPr="00474412" w:rsidSect="00585B3F">
      <w:headerReference w:type="even" r:id="rId29"/>
      <w:headerReference w:type="default" r:id="rId30"/>
      <w:footerReference w:type="even" r:id="rId31"/>
      <w:footerReference w:type="default" r:id="rId3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54C" w:rsidRDefault="0010154C">
      <w:r>
        <w:separator/>
      </w:r>
    </w:p>
    <w:p w:rsidR="0010154C" w:rsidRDefault="0010154C"/>
    <w:p w:rsidR="0010154C" w:rsidRDefault="0010154C"/>
  </w:endnote>
  <w:endnote w:type="continuationSeparator" w:id="0">
    <w:p w:rsidR="0010154C" w:rsidRDefault="0010154C">
      <w:r>
        <w:continuationSeparator/>
      </w:r>
    </w:p>
    <w:p w:rsidR="0010154C" w:rsidRDefault="0010154C"/>
    <w:p w:rsidR="0010154C" w:rsidRDefault="00101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47E" w:rsidRDefault="004F147E" w:rsidP="004F147E">
    <w:pPr>
      <w:pStyle w:val="FooterEnd"/>
    </w:pPr>
  </w:p>
  <w:p w:rsidR="004F147E" w:rsidRPr="004F147E" w:rsidRDefault="004F147E" w:rsidP="004F14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68"/>
      <w:gridCol w:w="8639"/>
      <w:gridCol w:w="568"/>
    </w:tblGrid>
    <w:tr w:rsidR="00D400D0" w:rsidTr="00D400D0">
      <w:trPr>
        <w:trHeight w:hRule="exact" w:val="306"/>
      </w:trPr>
      <w:tc>
        <w:tcPr>
          <w:tcW w:w="568" w:type="dxa"/>
        </w:tcPr>
        <w:p w:rsidR="00D400D0" w:rsidRPr="00A24443" w:rsidRDefault="00D400D0" w:rsidP="002555F1">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6406">
            <w:rPr>
              <w:rStyle w:val="PageNumber"/>
              <w:caps w:val="0"/>
              <w:noProof/>
            </w:rPr>
            <w:t>ii</w:t>
          </w:r>
          <w:r w:rsidRPr="00A24443">
            <w:rPr>
              <w:rStyle w:val="PageNumber"/>
              <w:caps w:val="0"/>
            </w:rPr>
            <w:fldChar w:fldCharType="end"/>
          </w:r>
        </w:p>
      </w:tc>
      <w:tc>
        <w:tcPr>
          <w:tcW w:w="8639" w:type="dxa"/>
        </w:tcPr>
        <w:p w:rsidR="00D400D0" w:rsidRPr="0013739A" w:rsidRDefault="00D400D0" w:rsidP="002555F1">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76A90">
            <w:rPr>
              <w:rFonts w:cs="Arial"/>
            </w:rPr>
            <w:t>National Indigenous Reform Agreement Performance Assessment 2013-14</w:t>
          </w:r>
          <w:r w:rsidRPr="00BA5B14">
            <w:rPr>
              <w:rFonts w:cs="Arial"/>
            </w:rPr>
            <w:fldChar w:fldCharType="end"/>
          </w:r>
        </w:p>
      </w:tc>
      <w:tc>
        <w:tcPr>
          <w:tcW w:w="568" w:type="dxa"/>
        </w:tcPr>
        <w:p w:rsidR="00D400D0" w:rsidRDefault="00D400D0" w:rsidP="002555F1">
          <w:pPr>
            <w:pStyle w:val="Footer"/>
          </w:pPr>
        </w:p>
      </w:tc>
    </w:tr>
  </w:tbl>
  <w:p w:rsidR="00D400D0" w:rsidRDefault="00D400D0" w:rsidP="00D400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6406">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76A90">
            <w:rPr>
              <w:rFonts w:cs="Arial"/>
            </w:rPr>
            <w:t>National Indigenous Reform Agreement Performance Assessment 2013-14</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006B51E0">
            <w:rPr>
              <w:noProof/>
            </w:rPr>
            <w:fldChar w:fldCharType="separate"/>
          </w:r>
          <w:r w:rsidR="00486406">
            <w:rPr>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86406">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154C" w:rsidTr="005F48ED">
      <w:trPr>
        <w:trHeight w:hRule="exact" w:val="567"/>
      </w:trPr>
      <w:tc>
        <w:tcPr>
          <w:tcW w:w="510" w:type="dxa"/>
        </w:tcPr>
        <w:p w:rsidR="0010154C" w:rsidRPr="00A24443" w:rsidRDefault="0010154C"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51E0">
            <w:rPr>
              <w:rStyle w:val="PageNumber"/>
              <w:caps w:val="0"/>
              <w:noProof/>
            </w:rPr>
            <w:t>vi</w:t>
          </w:r>
          <w:r w:rsidRPr="00A24443">
            <w:rPr>
              <w:rStyle w:val="PageNumber"/>
              <w:caps w:val="0"/>
            </w:rPr>
            <w:fldChar w:fldCharType="end"/>
          </w:r>
        </w:p>
      </w:tc>
      <w:tc>
        <w:tcPr>
          <w:tcW w:w="7767" w:type="dxa"/>
        </w:tcPr>
        <w:p w:rsidR="0010154C" w:rsidRPr="0013739A" w:rsidRDefault="0010154C"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76A90">
            <w:rPr>
              <w:rFonts w:cs="Arial"/>
            </w:rPr>
            <w:t>National Indigenous Reform Agreement Performance Assessment 2013-14</w:t>
          </w:r>
          <w:r w:rsidRPr="00BA5B14">
            <w:rPr>
              <w:rFonts w:cs="Arial"/>
            </w:rPr>
            <w:fldChar w:fldCharType="end"/>
          </w:r>
        </w:p>
      </w:tc>
      <w:tc>
        <w:tcPr>
          <w:tcW w:w="510" w:type="dxa"/>
        </w:tcPr>
        <w:p w:rsidR="0010154C" w:rsidRDefault="0010154C" w:rsidP="0019293B">
          <w:pPr>
            <w:pStyle w:val="Footer"/>
          </w:pPr>
        </w:p>
      </w:tc>
    </w:tr>
  </w:tbl>
  <w:p w:rsidR="0010154C" w:rsidRDefault="0010154C" w:rsidP="0019293B">
    <w:pPr>
      <w:pStyle w:val="FooterEnd"/>
    </w:pPr>
  </w:p>
  <w:p w:rsidR="0010154C" w:rsidRDefault="0010154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0154C" w:rsidTr="005F48ED">
      <w:trPr>
        <w:trHeight w:hRule="exact" w:val="567"/>
      </w:trPr>
      <w:tc>
        <w:tcPr>
          <w:tcW w:w="510" w:type="dxa"/>
        </w:tcPr>
        <w:p w:rsidR="0010154C" w:rsidRDefault="0010154C">
          <w:pPr>
            <w:pStyle w:val="Footer"/>
            <w:ind w:right="360" w:firstLine="360"/>
          </w:pPr>
        </w:p>
      </w:tc>
      <w:tc>
        <w:tcPr>
          <w:tcW w:w="7767" w:type="dxa"/>
        </w:tcPr>
        <w:p w:rsidR="0010154C" w:rsidRPr="00A90DAF" w:rsidRDefault="0010154C"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486406" w:rsidRPr="00486406">
            <w:rPr>
              <w:bCs/>
              <w:noProof/>
              <w:lang w:val="en-US"/>
            </w:rPr>
            <w:t>Acknowledgments</w:t>
          </w:r>
          <w:r w:rsidRPr="00A90DAF">
            <w:rPr>
              <w:noProof/>
            </w:rPr>
            <w:fldChar w:fldCharType="end"/>
          </w:r>
        </w:p>
      </w:tc>
      <w:tc>
        <w:tcPr>
          <w:tcW w:w="510" w:type="dxa"/>
        </w:tcPr>
        <w:p w:rsidR="0010154C" w:rsidRPr="00A24443" w:rsidRDefault="0010154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6406">
            <w:rPr>
              <w:rStyle w:val="PageNumber"/>
              <w:caps w:val="0"/>
              <w:noProof/>
            </w:rPr>
            <w:t>v</w:t>
          </w:r>
          <w:r w:rsidRPr="00A24443">
            <w:rPr>
              <w:rStyle w:val="PageNumber"/>
              <w:caps w:val="0"/>
            </w:rPr>
            <w:fldChar w:fldCharType="end"/>
          </w:r>
        </w:p>
      </w:tc>
    </w:tr>
  </w:tbl>
  <w:p w:rsidR="0010154C" w:rsidRDefault="0010154C">
    <w:pPr>
      <w:pStyle w:val="FooterEnd"/>
    </w:pPr>
  </w:p>
  <w:p w:rsidR="0010154C" w:rsidRDefault="0010154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86406">
            <w:rPr>
              <w:rStyle w:val="PageNumber"/>
              <w:caps w:val="0"/>
              <w:noProof/>
            </w:rPr>
            <w:t>vi</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76A90">
            <w:rPr>
              <w:rFonts w:cs="Arial"/>
            </w:rPr>
            <w:t>National Indigenous Reform Agreement Performance Assessment 2013-14</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486406" w:rsidRPr="00486406">
            <w:rPr>
              <w:bCs/>
              <w:noProof/>
              <w:lang w:val="en-US"/>
            </w:rPr>
            <w:t>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86406">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54C" w:rsidRDefault="0010154C">
      <w:r>
        <w:separator/>
      </w:r>
    </w:p>
    <w:p w:rsidR="0010154C" w:rsidRDefault="0010154C"/>
    <w:p w:rsidR="0010154C" w:rsidRDefault="0010154C"/>
  </w:footnote>
  <w:footnote w:type="continuationSeparator" w:id="0">
    <w:p w:rsidR="0010154C" w:rsidRDefault="0010154C">
      <w:r>
        <w:continuationSeparator/>
      </w:r>
    </w:p>
    <w:p w:rsidR="0010154C" w:rsidRDefault="0010154C"/>
    <w:p w:rsidR="0010154C" w:rsidRDefault="001015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27CCE" w:rsidTr="009E4787">
      <w:tc>
        <w:tcPr>
          <w:tcW w:w="6634" w:type="dxa"/>
          <w:tcBorders>
            <w:top w:val="single" w:sz="6" w:space="0" w:color="auto"/>
          </w:tcBorders>
        </w:tcPr>
        <w:p w:rsidR="00627CCE" w:rsidRDefault="00627CCE" w:rsidP="009E4787">
          <w:pPr>
            <w:pStyle w:val="HeaderOdd"/>
          </w:pPr>
        </w:p>
      </w:tc>
      <w:tc>
        <w:tcPr>
          <w:tcW w:w="2155" w:type="dxa"/>
          <w:tcBorders>
            <w:top w:val="single" w:sz="24" w:space="0" w:color="auto"/>
          </w:tcBorders>
        </w:tcPr>
        <w:p w:rsidR="00627CCE" w:rsidRDefault="00627CCE" w:rsidP="009E4787">
          <w:pPr>
            <w:pStyle w:val="HeaderOdd"/>
          </w:pPr>
        </w:p>
      </w:tc>
    </w:tr>
  </w:tbl>
  <w:p w:rsidR="00627CCE" w:rsidRDefault="00627C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400D0" w:rsidTr="002555F1">
      <w:tc>
        <w:tcPr>
          <w:tcW w:w="2155" w:type="dxa"/>
          <w:tcBorders>
            <w:top w:val="single" w:sz="24" w:space="0" w:color="auto"/>
          </w:tcBorders>
        </w:tcPr>
        <w:p w:rsidR="00D400D0" w:rsidRDefault="00D400D0" w:rsidP="002555F1">
          <w:pPr>
            <w:pStyle w:val="Header"/>
          </w:pPr>
        </w:p>
      </w:tc>
      <w:tc>
        <w:tcPr>
          <w:tcW w:w="6634" w:type="dxa"/>
          <w:tcBorders>
            <w:top w:val="single" w:sz="6" w:space="0" w:color="auto"/>
          </w:tcBorders>
        </w:tcPr>
        <w:p w:rsidR="00D400D0" w:rsidRDefault="00D400D0" w:rsidP="002555F1">
          <w:pPr>
            <w:pStyle w:val="Header"/>
          </w:pPr>
        </w:p>
      </w:tc>
    </w:tr>
  </w:tbl>
  <w:p w:rsidR="00D400D0" w:rsidRPr="00D400D0" w:rsidRDefault="00D400D0" w:rsidP="00D400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0154C">
      <w:tc>
        <w:tcPr>
          <w:tcW w:w="2155" w:type="dxa"/>
          <w:tcBorders>
            <w:top w:val="single" w:sz="24" w:space="0" w:color="auto"/>
          </w:tcBorders>
        </w:tcPr>
        <w:p w:rsidR="0010154C" w:rsidRDefault="0010154C">
          <w:pPr>
            <w:pStyle w:val="HeaderEven"/>
          </w:pPr>
        </w:p>
      </w:tc>
      <w:tc>
        <w:tcPr>
          <w:tcW w:w="6634" w:type="dxa"/>
          <w:tcBorders>
            <w:top w:val="single" w:sz="6" w:space="0" w:color="auto"/>
          </w:tcBorders>
        </w:tcPr>
        <w:p w:rsidR="0010154C" w:rsidRDefault="0010154C">
          <w:pPr>
            <w:pStyle w:val="HeaderEven"/>
          </w:pPr>
        </w:p>
      </w:tc>
    </w:tr>
  </w:tbl>
  <w:p w:rsidR="0010154C" w:rsidRDefault="0010154C">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0154C">
      <w:tc>
        <w:tcPr>
          <w:tcW w:w="6634" w:type="dxa"/>
          <w:tcBorders>
            <w:top w:val="single" w:sz="6" w:space="0" w:color="auto"/>
          </w:tcBorders>
        </w:tcPr>
        <w:p w:rsidR="0010154C" w:rsidRDefault="0010154C">
          <w:pPr>
            <w:pStyle w:val="HeaderOdd"/>
          </w:pPr>
        </w:p>
      </w:tc>
      <w:tc>
        <w:tcPr>
          <w:tcW w:w="2155" w:type="dxa"/>
          <w:tcBorders>
            <w:top w:val="single" w:sz="24" w:space="0" w:color="auto"/>
            <w:bottom w:val="nil"/>
          </w:tcBorders>
        </w:tcPr>
        <w:p w:rsidR="0010154C" w:rsidRDefault="0010154C">
          <w:pPr>
            <w:pStyle w:val="HeaderOdd"/>
          </w:pPr>
        </w:p>
      </w:tc>
    </w:tr>
  </w:tbl>
  <w:p w:rsidR="0010154C" w:rsidRDefault="0010154C">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4C"/>
    <w:rsid w:val="00016A39"/>
    <w:rsid w:val="00017AFC"/>
    <w:rsid w:val="00025878"/>
    <w:rsid w:val="00026B38"/>
    <w:rsid w:val="000502D3"/>
    <w:rsid w:val="00052CB2"/>
    <w:rsid w:val="000623BF"/>
    <w:rsid w:val="000779EB"/>
    <w:rsid w:val="00095EEA"/>
    <w:rsid w:val="00097C15"/>
    <w:rsid w:val="000A0A0E"/>
    <w:rsid w:val="000A1612"/>
    <w:rsid w:val="000A5E12"/>
    <w:rsid w:val="000B416E"/>
    <w:rsid w:val="000F185F"/>
    <w:rsid w:val="000F2F5F"/>
    <w:rsid w:val="0010154C"/>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47859"/>
    <w:rsid w:val="00261607"/>
    <w:rsid w:val="00263DD1"/>
    <w:rsid w:val="00264D3B"/>
    <w:rsid w:val="00265685"/>
    <w:rsid w:val="00271B0C"/>
    <w:rsid w:val="00276A90"/>
    <w:rsid w:val="00281D5F"/>
    <w:rsid w:val="002923AD"/>
    <w:rsid w:val="00296592"/>
    <w:rsid w:val="002A0A4B"/>
    <w:rsid w:val="002A499E"/>
    <w:rsid w:val="002B636E"/>
    <w:rsid w:val="002B64D6"/>
    <w:rsid w:val="002C12F5"/>
    <w:rsid w:val="002D6FCE"/>
    <w:rsid w:val="00340511"/>
    <w:rsid w:val="00373F18"/>
    <w:rsid w:val="0038647D"/>
    <w:rsid w:val="00393A49"/>
    <w:rsid w:val="003B41E0"/>
    <w:rsid w:val="003C3D73"/>
    <w:rsid w:val="003D624D"/>
    <w:rsid w:val="003E7802"/>
    <w:rsid w:val="0042007A"/>
    <w:rsid w:val="00433C81"/>
    <w:rsid w:val="00446D6B"/>
    <w:rsid w:val="00457B3F"/>
    <w:rsid w:val="00463022"/>
    <w:rsid w:val="00474412"/>
    <w:rsid w:val="00481CF0"/>
    <w:rsid w:val="00486406"/>
    <w:rsid w:val="004B492A"/>
    <w:rsid w:val="004C0B0C"/>
    <w:rsid w:val="004D3F58"/>
    <w:rsid w:val="004E52E2"/>
    <w:rsid w:val="004E6BB4"/>
    <w:rsid w:val="004E7D3C"/>
    <w:rsid w:val="004F147E"/>
    <w:rsid w:val="00515D43"/>
    <w:rsid w:val="0052544D"/>
    <w:rsid w:val="00526B19"/>
    <w:rsid w:val="00551FB8"/>
    <w:rsid w:val="005537F6"/>
    <w:rsid w:val="00560F43"/>
    <w:rsid w:val="00561AED"/>
    <w:rsid w:val="005654D0"/>
    <w:rsid w:val="00571DE0"/>
    <w:rsid w:val="00585B3F"/>
    <w:rsid w:val="005B17AB"/>
    <w:rsid w:val="005C68FE"/>
    <w:rsid w:val="005F7D30"/>
    <w:rsid w:val="00602523"/>
    <w:rsid w:val="006040CB"/>
    <w:rsid w:val="00604351"/>
    <w:rsid w:val="00607D8A"/>
    <w:rsid w:val="0061590F"/>
    <w:rsid w:val="00627CCE"/>
    <w:rsid w:val="00636497"/>
    <w:rsid w:val="00641AE2"/>
    <w:rsid w:val="0064456A"/>
    <w:rsid w:val="00650DDA"/>
    <w:rsid w:val="0065126A"/>
    <w:rsid w:val="00653FA6"/>
    <w:rsid w:val="0065683A"/>
    <w:rsid w:val="006573B6"/>
    <w:rsid w:val="0067557D"/>
    <w:rsid w:val="006802D4"/>
    <w:rsid w:val="00683849"/>
    <w:rsid w:val="006876DD"/>
    <w:rsid w:val="00691AB5"/>
    <w:rsid w:val="006922B6"/>
    <w:rsid w:val="006B51E0"/>
    <w:rsid w:val="006C0132"/>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E82"/>
    <w:rsid w:val="00805FD7"/>
    <w:rsid w:val="00806E54"/>
    <w:rsid w:val="008206EE"/>
    <w:rsid w:val="008214B1"/>
    <w:rsid w:val="008253AD"/>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2C5"/>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0357"/>
    <w:rsid w:val="009B12EF"/>
    <w:rsid w:val="009B48F7"/>
    <w:rsid w:val="009B6185"/>
    <w:rsid w:val="009C6C6D"/>
    <w:rsid w:val="009D2214"/>
    <w:rsid w:val="009E1E78"/>
    <w:rsid w:val="00A1597D"/>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3C66"/>
    <w:rsid w:val="00C94C06"/>
    <w:rsid w:val="00CA48BF"/>
    <w:rsid w:val="00CB3ACC"/>
    <w:rsid w:val="00CB4745"/>
    <w:rsid w:val="00CD2163"/>
    <w:rsid w:val="00CD4FE7"/>
    <w:rsid w:val="00CD5E6B"/>
    <w:rsid w:val="00CE4FBC"/>
    <w:rsid w:val="00CE5D96"/>
    <w:rsid w:val="00CE7344"/>
    <w:rsid w:val="00CF26EE"/>
    <w:rsid w:val="00D310F0"/>
    <w:rsid w:val="00D37AC2"/>
    <w:rsid w:val="00D400D0"/>
    <w:rsid w:val="00D500A9"/>
    <w:rsid w:val="00D54432"/>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4234E"/>
    <w:rsid w:val="00F61429"/>
    <w:rsid w:val="00F7477E"/>
    <w:rsid w:val="00F85393"/>
    <w:rsid w:val="00FA4A24"/>
    <w:rsid w:val="00FB5613"/>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01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0154C"/>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01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0154C"/>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image" Target="media/image4.emf"/><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image" Target="media/image3.jpeg"/><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140C377-ECAF-4FDD-B5B8-0A11541C9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8</TotalTime>
  <Pages>9</Pages>
  <Words>969</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National Indigenous Reform Agreement Performance Assessment 2013-14</vt:lpstr>
    </vt:vector>
  </TitlesOfParts>
  <Company>Productivity Commission</Company>
  <LinksUpToDate>false</LinksUpToDate>
  <CharactersWithSpaces>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Indigenous Reform Agreement Performance Assessment 2013-14</dc:title>
  <dc:creator>Productivity Commission</dc:creator>
  <cp:lastModifiedBy>Michelle Cross</cp:lastModifiedBy>
  <cp:revision>6</cp:revision>
  <cp:lastPrinted>2015-11-04T00:10:00Z</cp:lastPrinted>
  <dcterms:created xsi:type="dcterms:W3CDTF">2015-11-26T12:19:00Z</dcterms:created>
  <dcterms:modified xsi:type="dcterms:W3CDTF">2015-11-27T03:56:00Z</dcterms:modified>
</cp:coreProperties>
</file>