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3E862" w14:textId="208C8FFB" w:rsidR="007578EE" w:rsidRPr="00046187" w:rsidRDefault="006A1898" w:rsidP="007578EE">
      <w:pPr>
        <w:pStyle w:val="Heading1"/>
        <w:spacing w:before="0" w:after="480" w:line="480" w:lineRule="exact"/>
        <w:ind w:left="0" w:firstLine="0"/>
        <w:rPr>
          <w:b/>
          <w:bCs/>
          <w:color w:val="FFFFFF" w:themeColor="background1"/>
        </w:rPr>
      </w:pPr>
      <w:r w:rsidRPr="00046187">
        <w:rPr>
          <w:noProof/>
        </w:rPr>
        <w:drawing>
          <wp:anchor distT="0" distB="0" distL="114300" distR="114300" simplePos="0" relativeHeight="251658240" behindDoc="0" locked="0" layoutInCell="1" allowOverlap="1" wp14:anchorId="2624B444" wp14:editId="4E9C2A0D">
            <wp:simplePos x="0" y="0"/>
            <wp:positionH relativeFrom="page">
              <wp:align>right</wp:align>
            </wp:positionH>
            <wp:positionV relativeFrom="paragraph">
              <wp:posOffset>-1260476</wp:posOffset>
            </wp:positionV>
            <wp:extent cx="7549476" cy="10675917"/>
            <wp:effectExtent l="0" t="0" r="0" b="0"/>
            <wp:wrapNone/>
            <wp:docPr id="1646994604" name="Picture 1" descr="Cover of the Submission to the Indigenous Voice Co-design Process. April 2021. 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94604" name="Picture 1" descr="Cover of the Submission to the Indigenous Voice Co-design Process. April 2021. Australian Government Productivity Commis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9476" cy="10675917"/>
                    </a:xfrm>
                    <a:prstGeom prst="rect">
                      <a:avLst/>
                    </a:prstGeom>
                  </pic:spPr>
                </pic:pic>
              </a:graphicData>
            </a:graphic>
            <wp14:sizeRelH relativeFrom="margin">
              <wp14:pctWidth>0</wp14:pctWidth>
            </wp14:sizeRelH>
            <wp14:sizeRelV relativeFrom="margin">
              <wp14:pctHeight>0</wp14:pctHeight>
            </wp14:sizeRelV>
          </wp:anchor>
        </w:drawing>
      </w:r>
      <w:r w:rsidR="007578EE" w:rsidRPr="00046187">
        <w:rPr>
          <w:color w:val="FFFFFF" w:themeColor="background1"/>
          <w:sz w:val="48"/>
          <w:szCs w:val="48"/>
        </w:rPr>
        <w:t>Productivity Commission Submission to the Indigenous Voice Co-design Process</w:t>
      </w:r>
      <w:bookmarkStart w:id="0" w:name="begin"/>
      <w:bookmarkEnd w:id="0"/>
      <w:r w:rsidR="007578EE" w:rsidRPr="00046187">
        <w:rPr>
          <w:color w:val="FFFFFF" w:themeColor="background1"/>
          <w:sz w:val="48"/>
          <w:szCs w:val="48"/>
        </w:rPr>
        <w:br/>
      </w:r>
      <w:r w:rsidR="007578EE" w:rsidRPr="00046187">
        <w:rPr>
          <w:b/>
          <w:bCs/>
          <w:color w:val="FFFFFF" w:themeColor="background1"/>
          <w:sz w:val="24"/>
          <w:szCs w:val="24"/>
        </w:rPr>
        <w:t>April 2021</w:t>
      </w:r>
    </w:p>
    <w:p w14:paraId="0A00F100" w14:textId="50CB45C3" w:rsidR="00E53F75" w:rsidRPr="00046187" w:rsidRDefault="00E53F75">
      <w:pPr>
        <w:rPr>
          <w:sz w:val="48"/>
          <w:szCs w:val="48"/>
        </w:rPr>
      </w:pPr>
      <w:r w:rsidRPr="00046187">
        <w:rPr>
          <w:sz w:val="48"/>
          <w:szCs w:val="48"/>
        </w:rPr>
        <w:br w:type="page"/>
      </w:r>
    </w:p>
    <w:p w14:paraId="306E07F7" w14:textId="59A61F12" w:rsidR="004F57FD" w:rsidRPr="00046187" w:rsidRDefault="00CD1066" w:rsidP="000425BA">
      <w:pPr>
        <w:pStyle w:val="BodyText"/>
      </w:pPr>
      <w:r w:rsidRPr="00046187">
        <w:lastRenderedPageBreak/>
        <w:t xml:space="preserve">The Productivity Commission is pleased to offer this submission to the Indigenous Voice Co-design </w:t>
      </w:r>
      <w:r w:rsidR="00320D2D" w:rsidRPr="00046187">
        <w:t>P</w:t>
      </w:r>
      <w:r w:rsidRPr="00046187">
        <w:t xml:space="preserve">rocess as part of the </w:t>
      </w:r>
      <w:r w:rsidR="00511315" w:rsidRPr="00046187">
        <w:t xml:space="preserve">consultation </w:t>
      </w:r>
      <w:r w:rsidR="00471C89" w:rsidRPr="00046187">
        <w:t xml:space="preserve">on proposals </w:t>
      </w:r>
      <w:r w:rsidR="00C14DA2" w:rsidRPr="00046187">
        <w:t>presented</w:t>
      </w:r>
      <w:r w:rsidR="00471C89" w:rsidRPr="00046187">
        <w:t xml:space="preserve"> in the Interim </w:t>
      </w:r>
      <w:r w:rsidR="00595671" w:rsidRPr="00046187">
        <w:t>R</w:t>
      </w:r>
      <w:r w:rsidR="00471C89" w:rsidRPr="00046187">
        <w:t>eport</w:t>
      </w:r>
      <w:r w:rsidR="00C14DA2" w:rsidRPr="00046187">
        <w:t>.</w:t>
      </w:r>
      <w:r w:rsidR="000425BA" w:rsidRPr="00046187">
        <w:t xml:space="preserve"> </w:t>
      </w:r>
      <w:r w:rsidR="0078769B" w:rsidRPr="00046187">
        <w:t xml:space="preserve">The submission </w:t>
      </w:r>
      <w:r w:rsidR="00785B14" w:rsidRPr="00046187">
        <w:t xml:space="preserve">outlines aspects of the Commission’s </w:t>
      </w:r>
      <w:r w:rsidR="00B10379" w:rsidRPr="00046187">
        <w:t xml:space="preserve">work </w:t>
      </w:r>
      <w:r w:rsidR="00785B14" w:rsidRPr="00046187">
        <w:t xml:space="preserve">that may be relevant in </w:t>
      </w:r>
      <w:r w:rsidR="00D63554" w:rsidRPr="00046187">
        <w:t xml:space="preserve">supporting the </w:t>
      </w:r>
      <w:r w:rsidR="00C4097E" w:rsidRPr="00046187">
        <w:t>Indigenous Voice</w:t>
      </w:r>
      <w:r w:rsidR="0041585F" w:rsidRPr="00046187">
        <w:t xml:space="preserve">, noting that the </w:t>
      </w:r>
      <w:r w:rsidR="005C2F74" w:rsidRPr="00046187">
        <w:t xml:space="preserve">proposal for the National Voice envisages drawing on </w:t>
      </w:r>
      <w:r w:rsidR="00695523" w:rsidRPr="00046187">
        <w:t>policy and expert input</w:t>
      </w:r>
      <w:r w:rsidR="0037772E" w:rsidRPr="00046187">
        <w:t>.</w:t>
      </w:r>
      <w:r w:rsidR="000425BA" w:rsidRPr="00046187">
        <w:t xml:space="preserve"> </w:t>
      </w:r>
    </w:p>
    <w:p w14:paraId="371A3353" w14:textId="67B52F97" w:rsidR="002323A6" w:rsidRPr="00046187" w:rsidRDefault="002323A6" w:rsidP="000425BA">
      <w:pPr>
        <w:pStyle w:val="BodyText"/>
      </w:pPr>
      <w:r w:rsidRPr="00046187">
        <w:t>The Commission is the Australian Government’s independent research and advisory body on a range of economic, social and environmental issues affecting the welfare of Australians.</w:t>
      </w:r>
      <w:r w:rsidR="000425BA" w:rsidRPr="00046187">
        <w:t xml:space="preserve"> </w:t>
      </w:r>
      <w:r w:rsidR="0018776D" w:rsidRPr="00046187">
        <w:t>It</w:t>
      </w:r>
      <w:r w:rsidRPr="00046187">
        <w:t xml:space="preserve"> contribute</w:t>
      </w:r>
      <w:r w:rsidR="0018776D" w:rsidRPr="00046187">
        <w:t>s</w:t>
      </w:r>
      <w:r w:rsidRPr="00046187">
        <w:t xml:space="preserve"> by providing quality advice and information to </w:t>
      </w:r>
      <w:r w:rsidR="00E86E32" w:rsidRPr="00046187">
        <w:t xml:space="preserve">inform </w:t>
      </w:r>
      <w:r w:rsidRPr="00046187">
        <w:t>government</w:t>
      </w:r>
      <w:r w:rsidR="002A4FD8" w:rsidRPr="00046187">
        <w:t xml:space="preserve"> decision making</w:t>
      </w:r>
      <w:r w:rsidRPr="00046187">
        <w:t xml:space="preserve">, and on the communication of ideas and analysis. </w:t>
      </w:r>
    </w:p>
    <w:p w14:paraId="334724D9" w14:textId="37E7219C" w:rsidR="008C403F" w:rsidRPr="00046187" w:rsidRDefault="00273E9C" w:rsidP="000425BA">
      <w:pPr>
        <w:pStyle w:val="BodyText"/>
      </w:pPr>
      <w:r w:rsidRPr="00046187">
        <w:t xml:space="preserve">Key features of </w:t>
      </w:r>
      <w:r w:rsidR="00483191" w:rsidRPr="00046187">
        <w:t>the Commission</w:t>
      </w:r>
      <w:r w:rsidR="008C403F" w:rsidRPr="00046187">
        <w:t xml:space="preserve"> include its independence</w:t>
      </w:r>
      <w:r w:rsidR="00007E5B" w:rsidRPr="00046187">
        <w:t xml:space="preserve"> </w:t>
      </w:r>
      <w:r w:rsidR="000425BA" w:rsidRPr="00046187">
        <w:t>—</w:t>
      </w:r>
      <w:r w:rsidR="00007E5B" w:rsidRPr="00046187">
        <w:t xml:space="preserve"> </w:t>
      </w:r>
      <w:r w:rsidR="008C403F" w:rsidRPr="00046187">
        <w:t xml:space="preserve">while the </w:t>
      </w:r>
      <w:r w:rsidR="00FE4721" w:rsidRPr="00046187">
        <w:t xml:space="preserve">Australian </w:t>
      </w:r>
      <w:r w:rsidR="008C403F" w:rsidRPr="00046187">
        <w:t xml:space="preserve">Government largely determines the work program, the Commission’s findings and recommendations are based on its own analyses and judgments </w:t>
      </w:r>
      <w:r w:rsidR="000425BA" w:rsidRPr="00046187">
        <w:t>—</w:t>
      </w:r>
      <w:r w:rsidR="008C403F" w:rsidRPr="00046187">
        <w:t xml:space="preserve"> and its open and transparent processes</w:t>
      </w:r>
      <w:r w:rsidR="00AF30A1" w:rsidRPr="00046187">
        <w:t>, which allow for extensive public engagement and input</w:t>
      </w:r>
      <w:r w:rsidR="008C403F" w:rsidRPr="00046187">
        <w:t>.</w:t>
      </w:r>
    </w:p>
    <w:p w14:paraId="0E44C456" w14:textId="7F51FDDB" w:rsidR="008A04B6" w:rsidRPr="00046187" w:rsidRDefault="008A04B6" w:rsidP="000425BA">
      <w:pPr>
        <w:pStyle w:val="BodyText"/>
      </w:pPr>
      <w:r w:rsidRPr="00046187">
        <w:t>The Commission’s activities cover all levels of government, and encompass all sectors of the Australian economy, as well as social and environmental issues.</w:t>
      </w:r>
      <w:r w:rsidR="000425BA" w:rsidRPr="00046187">
        <w:t xml:space="preserve"> </w:t>
      </w:r>
    </w:p>
    <w:p w14:paraId="02740D14" w14:textId="67AC0E8D" w:rsidR="007C111F" w:rsidRPr="00046187" w:rsidRDefault="0063527D" w:rsidP="000425BA">
      <w:pPr>
        <w:pStyle w:val="BodyText"/>
      </w:pPr>
      <w:r w:rsidRPr="00046187">
        <w:t>The Commission has several work streams.</w:t>
      </w:r>
      <w:r w:rsidR="000425BA" w:rsidRPr="00046187">
        <w:t xml:space="preserve"> </w:t>
      </w:r>
      <w:r w:rsidRPr="00046187">
        <w:t>It</w:t>
      </w:r>
      <w:r w:rsidR="002323A6" w:rsidRPr="00046187">
        <w:t xml:space="preserve"> conducts public inquiries at the request of the Australian Government on key policy or regulatory issues bearing on Australia’s economic performance and community wellbeing.</w:t>
      </w:r>
      <w:r w:rsidR="000425BA" w:rsidRPr="00046187">
        <w:t xml:space="preserve"> </w:t>
      </w:r>
      <w:r w:rsidR="002323A6" w:rsidRPr="00046187">
        <w:t>In addition, we undertake research at the request of the Government</w:t>
      </w:r>
      <w:r w:rsidR="006533EB" w:rsidRPr="00046187">
        <w:t xml:space="preserve">, as well as </w:t>
      </w:r>
      <w:r w:rsidR="0091073A" w:rsidRPr="00046187">
        <w:t xml:space="preserve">ongoing reporting in </w:t>
      </w:r>
      <w:r w:rsidR="003517FF" w:rsidRPr="00046187">
        <w:t>several</w:t>
      </w:r>
      <w:r w:rsidR="0091073A" w:rsidRPr="00046187">
        <w:t xml:space="preserve"> areas and </w:t>
      </w:r>
      <w:r w:rsidR="00A7331F" w:rsidRPr="00046187">
        <w:t>self-initiated research</w:t>
      </w:r>
      <w:r w:rsidR="00FF170C" w:rsidRPr="00046187">
        <w:t xml:space="preserve">. </w:t>
      </w:r>
      <w:r w:rsidR="00963B57" w:rsidRPr="00046187">
        <w:t xml:space="preserve">The Commission acts as secretariat to the inter-governmental </w:t>
      </w:r>
      <w:r w:rsidR="00F70717" w:rsidRPr="00046187">
        <w:t>Review of Government Service Provision.</w:t>
      </w:r>
      <w:r w:rsidR="000425BA" w:rsidRPr="00046187">
        <w:t xml:space="preserve"> </w:t>
      </w:r>
      <w:r w:rsidR="00783F8F" w:rsidRPr="00046187">
        <w:t>We also have reporting and review functions under the National Agreement on Closing the Gap.</w:t>
      </w:r>
      <w:r w:rsidR="000425BA" w:rsidRPr="00046187">
        <w:t xml:space="preserve"> </w:t>
      </w:r>
      <w:r w:rsidR="00783F8F" w:rsidRPr="00046187">
        <w:t xml:space="preserve">These </w:t>
      </w:r>
      <w:r w:rsidR="00E8730E" w:rsidRPr="00046187">
        <w:t>are outlined in more detail below.</w:t>
      </w:r>
    </w:p>
    <w:p w14:paraId="67AF6B27" w14:textId="3A1B9783" w:rsidR="00E07CC0" w:rsidRPr="00046187" w:rsidRDefault="00AE5AF1" w:rsidP="000425BA">
      <w:pPr>
        <w:pStyle w:val="BodyText"/>
      </w:pPr>
      <w:r w:rsidRPr="00046187">
        <w:t>Across these work</w:t>
      </w:r>
      <w:r w:rsidR="006343F1" w:rsidRPr="00046187">
        <w:t xml:space="preserve"> </w:t>
      </w:r>
      <w:r w:rsidRPr="00046187">
        <w:t xml:space="preserve">streams, </w:t>
      </w:r>
      <w:r w:rsidR="006343F1" w:rsidRPr="00046187">
        <w:t xml:space="preserve">the Commission examines </w:t>
      </w:r>
      <w:r w:rsidR="00A55620" w:rsidRPr="00046187">
        <w:t xml:space="preserve">issues that affect the </w:t>
      </w:r>
      <w:r w:rsidR="00D11EA0" w:rsidRPr="00046187">
        <w:t xml:space="preserve">Australian </w:t>
      </w:r>
      <w:r w:rsidR="00A55620" w:rsidRPr="00046187">
        <w:t>c</w:t>
      </w:r>
      <w:r w:rsidR="00D11EA0" w:rsidRPr="00046187">
        <w:t>ommunity</w:t>
      </w:r>
      <w:r w:rsidR="00FE31BA" w:rsidRPr="00046187">
        <w:t xml:space="preserve"> broadly</w:t>
      </w:r>
      <w:r w:rsidR="00E12278" w:rsidRPr="00046187">
        <w:t xml:space="preserve"> (‘mainstream’ policy)</w:t>
      </w:r>
      <w:r w:rsidR="00FE31BA" w:rsidRPr="00046187">
        <w:t>, as well as some that are specific to Aboriginal and Torres Strait Islander people.</w:t>
      </w:r>
      <w:r w:rsidR="000425BA" w:rsidRPr="00046187">
        <w:t xml:space="preserve"> </w:t>
      </w:r>
      <w:r w:rsidR="006625A9" w:rsidRPr="00046187">
        <w:t>Examples are provided below.</w:t>
      </w:r>
      <w:r w:rsidR="000425BA" w:rsidRPr="00046187">
        <w:t xml:space="preserve"> </w:t>
      </w:r>
    </w:p>
    <w:p w14:paraId="449AD367" w14:textId="42344EE2" w:rsidR="00A404E2" w:rsidRPr="00046187" w:rsidRDefault="00CF6966" w:rsidP="000425BA">
      <w:pPr>
        <w:pStyle w:val="BodyText"/>
      </w:pPr>
      <w:r w:rsidRPr="00046187">
        <w:t xml:space="preserve">The Commission comprises its Chair and between four and </w:t>
      </w:r>
      <w:r w:rsidR="00CD45E0" w:rsidRPr="00046187">
        <w:t>twelve other Commissioners.</w:t>
      </w:r>
      <w:r w:rsidR="000425BA" w:rsidRPr="00046187">
        <w:t xml:space="preserve"> </w:t>
      </w:r>
      <w:r w:rsidR="008D2487" w:rsidRPr="00046187">
        <w:t>T</w:t>
      </w:r>
      <w:r w:rsidR="00D277D0" w:rsidRPr="00046187">
        <w:t xml:space="preserve">he </w:t>
      </w:r>
      <w:r w:rsidR="00D277D0" w:rsidRPr="00046187">
        <w:rPr>
          <w:i/>
          <w:iCs/>
        </w:rPr>
        <w:t>Productivity Commission Act 1998</w:t>
      </w:r>
      <w:r w:rsidR="008D2487" w:rsidRPr="00046187">
        <w:t xml:space="preserve"> requires that some </w:t>
      </w:r>
      <w:r w:rsidR="00C37F74" w:rsidRPr="00046187">
        <w:t>Commissioners have part</w:t>
      </w:r>
      <w:r w:rsidR="00C82DE7" w:rsidRPr="00046187">
        <w:t xml:space="preserve">icular </w:t>
      </w:r>
      <w:r w:rsidR="00934808" w:rsidRPr="00046187">
        <w:t xml:space="preserve">skills and experience </w:t>
      </w:r>
      <w:r w:rsidR="008D2487" w:rsidRPr="00046187">
        <w:t xml:space="preserve">in: environmental </w:t>
      </w:r>
      <w:r w:rsidR="00F95175" w:rsidRPr="00046187">
        <w:t xml:space="preserve">issues; social policy; </w:t>
      </w:r>
      <w:r w:rsidR="00B141D5" w:rsidRPr="00046187">
        <w:t xml:space="preserve">Australian industry; and </w:t>
      </w:r>
      <w:r w:rsidR="00094BC6" w:rsidRPr="00046187">
        <w:t xml:space="preserve">policies and programs affecting Aboriginal and Torres Strait Islander people and </w:t>
      </w:r>
      <w:r w:rsidR="00373063" w:rsidRPr="00046187">
        <w:t xml:space="preserve">in Indigenous communities. </w:t>
      </w:r>
      <w:r w:rsidR="00275D6F" w:rsidRPr="00046187">
        <w:t>The work of the Commission is assisted by a professional staff of Australian Public Service employees.</w:t>
      </w:r>
      <w:r w:rsidR="000425BA" w:rsidRPr="00046187">
        <w:t xml:space="preserve"> </w:t>
      </w:r>
    </w:p>
    <w:p w14:paraId="55F0521F" w14:textId="36C86155" w:rsidR="009002B2" w:rsidRPr="00046187" w:rsidRDefault="006A4424" w:rsidP="000425BA">
      <w:pPr>
        <w:pStyle w:val="BodyText"/>
      </w:pPr>
      <w:r w:rsidRPr="00046187">
        <w:t xml:space="preserve">In undertaking its work, </w:t>
      </w:r>
      <w:r w:rsidR="005448AE" w:rsidRPr="00046187">
        <w:t xml:space="preserve">and as reflected in the </w:t>
      </w:r>
      <w:r w:rsidR="000B1198" w:rsidRPr="00046187">
        <w:rPr>
          <w:i/>
          <w:iCs/>
        </w:rPr>
        <w:t>Corporate Plan 202</w:t>
      </w:r>
      <w:r w:rsidR="00C57FD6">
        <w:rPr>
          <w:i/>
          <w:iCs/>
        </w:rPr>
        <w:t>0</w:t>
      </w:r>
      <w:r w:rsidR="000B1198" w:rsidRPr="00046187">
        <w:rPr>
          <w:i/>
          <w:iCs/>
        </w:rPr>
        <w:t>-2021</w:t>
      </w:r>
      <w:r w:rsidR="000B1198" w:rsidRPr="00046187">
        <w:t xml:space="preserve">, </w:t>
      </w:r>
      <w:r w:rsidRPr="00046187">
        <w:t xml:space="preserve">the </w:t>
      </w:r>
      <w:r w:rsidR="005F3C6F" w:rsidRPr="00046187">
        <w:t xml:space="preserve">Productivity </w:t>
      </w:r>
      <w:r w:rsidRPr="00046187">
        <w:t>Commission is committed to</w:t>
      </w:r>
      <w:r w:rsidR="0092439E" w:rsidRPr="00046187">
        <w:t xml:space="preserve"> continu</w:t>
      </w:r>
      <w:r w:rsidRPr="00046187">
        <w:t>ing</w:t>
      </w:r>
      <w:r w:rsidR="0092439E" w:rsidRPr="00046187">
        <w:t xml:space="preserve"> to develop </w:t>
      </w:r>
      <w:r w:rsidR="003E475D" w:rsidRPr="00046187">
        <w:t>its</w:t>
      </w:r>
      <w:r w:rsidR="0092439E" w:rsidRPr="00046187">
        <w:t xml:space="preserve"> cultural capability — including our understanding of and responsiveness to Aboriginal and Torres Strait Islander people, their cultures, histories, knowledges, and perspectives —</w:t>
      </w:r>
      <w:r w:rsidR="005448AE" w:rsidRPr="00046187">
        <w:t xml:space="preserve"> </w:t>
      </w:r>
      <w:r w:rsidR="00300FF5" w:rsidRPr="00046187">
        <w:t xml:space="preserve">and adapt its processes </w:t>
      </w:r>
      <w:r w:rsidR="0092439E" w:rsidRPr="00046187">
        <w:t>to engage and work more effectively with Aboriginal and Torres Strait Islander people.</w:t>
      </w:r>
    </w:p>
    <w:p w14:paraId="0A7610F2" w14:textId="571B5265" w:rsidR="00501A17" w:rsidRPr="00046187" w:rsidRDefault="00EB5C87" w:rsidP="00095600">
      <w:pPr>
        <w:pStyle w:val="BodyText"/>
        <w:keepNext/>
        <w:jc w:val="left"/>
        <w:rPr>
          <w:b/>
          <w:bCs/>
        </w:rPr>
      </w:pPr>
      <w:r w:rsidRPr="00046187">
        <w:rPr>
          <w:b/>
          <w:bCs/>
        </w:rPr>
        <w:lastRenderedPageBreak/>
        <w:t>Public inquiries and research requested by Government</w:t>
      </w:r>
    </w:p>
    <w:p w14:paraId="173844BD" w14:textId="7B97B18F" w:rsidR="00C62614" w:rsidRPr="00046187" w:rsidRDefault="00C62614" w:rsidP="000425BA">
      <w:pPr>
        <w:pStyle w:val="BodyText"/>
      </w:pPr>
      <w:r w:rsidRPr="00046187">
        <w:t xml:space="preserve">Work commissioned by the Australian Government generally takes two forms </w:t>
      </w:r>
      <w:r w:rsidR="000425BA" w:rsidRPr="00046187">
        <w:t>—</w:t>
      </w:r>
      <w:r w:rsidRPr="00046187">
        <w:t xml:space="preserve"> public inquiries and research studies </w:t>
      </w:r>
      <w:r w:rsidR="000425BA" w:rsidRPr="00046187">
        <w:t>—</w:t>
      </w:r>
      <w:r w:rsidR="00445DE8" w:rsidRPr="00046187">
        <w:t xml:space="preserve"> with similar processes applying in respect of both.</w:t>
      </w:r>
    </w:p>
    <w:p w14:paraId="524D63EC" w14:textId="7D509385" w:rsidR="00095600" w:rsidRPr="00046187" w:rsidRDefault="00095600" w:rsidP="000425BA">
      <w:pPr>
        <w:pStyle w:val="BodyText"/>
      </w:pPr>
      <w:r w:rsidRPr="00046187">
        <w:t>Where policy issues to be addressed by the Commission require extensive public consultation and exposure — either because they may have a significant impact on different groups within society, or are otherwise contentious or complex to assess — they are typically handled through formal public inquiries.</w:t>
      </w:r>
    </w:p>
    <w:p w14:paraId="7DFF238E" w14:textId="36EC908B" w:rsidR="00095600" w:rsidRPr="00046187" w:rsidRDefault="00C86990" w:rsidP="000425BA">
      <w:pPr>
        <w:pStyle w:val="BodyText"/>
      </w:pPr>
      <w:r w:rsidRPr="00046187">
        <w:t xml:space="preserve">The Commission’s focus in </w:t>
      </w:r>
      <w:r w:rsidR="00E70EAF" w:rsidRPr="00046187">
        <w:t>inquiries is guided by a terms of reference sent by the Treasurer.</w:t>
      </w:r>
      <w:r w:rsidR="000425BA" w:rsidRPr="00046187">
        <w:t xml:space="preserve"> </w:t>
      </w:r>
      <w:r w:rsidR="003B70C4" w:rsidRPr="00046187">
        <w:t>The terms of reference reflects the focus and scope</w:t>
      </w:r>
      <w:r w:rsidR="00E70EAF" w:rsidRPr="00046187">
        <w:t xml:space="preserve"> </w:t>
      </w:r>
      <w:r w:rsidR="003B70C4" w:rsidRPr="00046187">
        <w:t xml:space="preserve">agreed by the </w:t>
      </w:r>
      <w:r w:rsidR="00095600" w:rsidRPr="00046187">
        <w:t>Australian Government</w:t>
      </w:r>
      <w:r w:rsidR="003B70C4" w:rsidRPr="00046187">
        <w:t xml:space="preserve">, </w:t>
      </w:r>
      <w:r w:rsidR="00095600" w:rsidRPr="00046187">
        <w:t>often in consultation with other governments and community groups</w:t>
      </w:r>
      <w:r w:rsidR="005B6EF2" w:rsidRPr="00046187">
        <w:t xml:space="preserve"> given the </w:t>
      </w:r>
      <w:r w:rsidR="00966D61" w:rsidRPr="00046187">
        <w:t xml:space="preserve">Commission’s </w:t>
      </w:r>
      <w:r w:rsidR="005B6EF2" w:rsidRPr="00046187">
        <w:t>community-wide focus</w:t>
      </w:r>
      <w:r w:rsidR="003B70C4" w:rsidRPr="00046187">
        <w:t>.</w:t>
      </w:r>
      <w:r w:rsidR="000425BA" w:rsidRPr="00046187">
        <w:t xml:space="preserve"> </w:t>
      </w:r>
      <w:r w:rsidR="00DF084C" w:rsidRPr="00046187">
        <w:t xml:space="preserve">Some references arise from </w:t>
      </w:r>
      <w:r w:rsidR="00BC747B" w:rsidRPr="00046187">
        <w:t>other processes, such as parliamentary inquiries</w:t>
      </w:r>
      <w:r w:rsidR="007A239B" w:rsidRPr="00046187">
        <w:t xml:space="preserve">, or </w:t>
      </w:r>
      <w:r w:rsidR="00BF49AC" w:rsidRPr="00046187">
        <w:t>from</w:t>
      </w:r>
      <w:r w:rsidR="007A239B" w:rsidRPr="00046187">
        <w:t xml:space="preserve"> legislation</w:t>
      </w:r>
      <w:r w:rsidR="00BC747B" w:rsidRPr="00046187">
        <w:t>.</w:t>
      </w:r>
      <w:r w:rsidR="000425BA" w:rsidRPr="00046187">
        <w:t xml:space="preserve"> </w:t>
      </w:r>
    </w:p>
    <w:p w14:paraId="40040216" w14:textId="2A6B0F9C" w:rsidR="00095600" w:rsidRPr="00046187" w:rsidRDefault="00095600" w:rsidP="000425BA">
      <w:pPr>
        <w:pStyle w:val="BodyText"/>
      </w:pPr>
      <w:r w:rsidRPr="00046187">
        <w:t>In order to allow participants time to prepare submissions and respond to a draft report, including through public hearings, most inquiries specify a duration of 12 months.</w:t>
      </w:r>
      <w:r w:rsidR="000425BA" w:rsidRPr="00046187">
        <w:t xml:space="preserve"> </w:t>
      </w:r>
      <w:r w:rsidR="00C42117" w:rsidRPr="00046187">
        <w:t>More</w:t>
      </w:r>
      <w:r w:rsidRPr="00046187">
        <w:t xml:space="preserve"> pressing matters can be dealt with in </w:t>
      </w:r>
      <w:r w:rsidR="00583925" w:rsidRPr="00046187">
        <w:t>six</w:t>
      </w:r>
      <w:r w:rsidRPr="00046187">
        <w:t xml:space="preserve"> months or less</w:t>
      </w:r>
      <w:r w:rsidR="00C42117" w:rsidRPr="00046187">
        <w:t xml:space="preserve">, and some take longer </w:t>
      </w:r>
      <w:r w:rsidR="00BE2B65" w:rsidRPr="00046187">
        <w:t>because of their complexity and/or to ensure adequate time for engagement</w:t>
      </w:r>
      <w:r w:rsidR="00583925" w:rsidRPr="00046187">
        <w:t>.</w:t>
      </w:r>
    </w:p>
    <w:p w14:paraId="4CAC511E" w14:textId="5C4A42D6" w:rsidR="00915E0E" w:rsidRPr="00046187" w:rsidRDefault="00915E0E" w:rsidP="000425BA">
      <w:pPr>
        <w:pStyle w:val="BodyText"/>
      </w:pPr>
      <w:r w:rsidRPr="00046187">
        <w:t xml:space="preserve">The Commission </w:t>
      </w:r>
      <w:r w:rsidR="0039443D" w:rsidRPr="00046187">
        <w:t>may be</w:t>
      </w:r>
      <w:r w:rsidRPr="00046187">
        <w:t xml:space="preserve"> required to provide the Government with policy options representing alternative means of addressing the issues, as well as a preferred option.</w:t>
      </w:r>
      <w:r w:rsidR="000425BA" w:rsidRPr="00046187">
        <w:t xml:space="preserve"> </w:t>
      </w:r>
      <w:r w:rsidR="00062A03" w:rsidRPr="00046187">
        <w:t>The Commission</w:t>
      </w:r>
      <w:r w:rsidRPr="00046187">
        <w:t xml:space="preserve"> may also make recommendations on any matters it considers relevant to the inquiry, consistent with its statutory policy guidelines.</w:t>
      </w:r>
    </w:p>
    <w:p w14:paraId="7BE51878" w14:textId="2E35C198" w:rsidR="00157651" w:rsidRPr="00046187" w:rsidRDefault="00A24A0B" w:rsidP="000425BA">
      <w:pPr>
        <w:pStyle w:val="BodyText"/>
      </w:pPr>
      <w:r w:rsidRPr="00046187">
        <w:t>S</w:t>
      </w:r>
      <w:r w:rsidR="00095600" w:rsidRPr="00046187">
        <w:t xml:space="preserve">ubmissions </w:t>
      </w:r>
      <w:r w:rsidRPr="00046187">
        <w:t>and t</w:t>
      </w:r>
      <w:r w:rsidR="00095600" w:rsidRPr="00046187">
        <w:t xml:space="preserve">ranscripts of public hearings are </w:t>
      </w:r>
      <w:r w:rsidR="00A87B34" w:rsidRPr="00046187">
        <w:t>posted on the Commission’s website as the inquiry progresses.</w:t>
      </w:r>
      <w:r w:rsidR="000425BA" w:rsidRPr="00046187">
        <w:t xml:space="preserve"> </w:t>
      </w:r>
      <w:r w:rsidR="00157651" w:rsidRPr="00046187">
        <w:t>Final inquiry reports must be tabled in Parliament within 25 sitting days of the Government receiving the report.</w:t>
      </w:r>
    </w:p>
    <w:p w14:paraId="50ED332A" w14:textId="71EE6D22" w:rsidR="00534E06" w:rsidRPr="00046187" w:rsidRDefault="00534E06" w:rsidP="000425BA">
      <w:pPr>
        <w:pStyle w:val="BodyText"/>
      </w:pPr>
      <w:r w:rsidRPr="00046187">
        <w:t>Some recent inquiries include:</w:t>
      </w:r>
    </w:p>
    <w:p w14:paraId="36D0B517" w14:textId="33FA80C4" w:rsidR="00534E06" w:rsidRPr="00046187" w:rsidRDefault="00534E06" w:rsidP="000425BA">
      <w:pPr>
        <w:pStyle w:val="ListBullet"/>
      </w:pPr>
      <w:r w:rsidRPr="00046187">
        <w:rPr>
          <w:i/>
          <w:iCs/>
        </w:rPr>
        <w:t>Mental Health</w:t>
      </w:r>
      <w:r w:rsidRPr="00046187">
        <w:t xml:space="preserve"> (2020), </w:t>
      </w:r>
      <w:r w:rsidR="0083795E" w:rsidRPr="00046187">
        <w:t xml:space="preserve">which </w:t>
      </w:r>
      <w:r w:rsidR="004B2CD3" w:rsidRPr="00046187">
        <w:t xml:space="preserve">looked at </w:t>
      </w:r>
      <w:r w:rsidR="001055DF" w:rsidRPr="00046187">
        <w:t xml:space="preserve">key influences on mental health and its </w:t>
      </w:r>
      <w:r w:rsidR="007713C4" w:rsidRPr="00046187">
        <w:t xml:space="preserve">implications, and </w:t>
      </w:r>
      <w:r w:rsidR="0083795E" w:rsidRPr="00046187">
        <w:t xml:space="preserve">made recommendations </w:t>
      </w:r>
      <w:r w:rsidR="00B27B01" w:rsidRPr="00046187">
        <w:t>for</w:t>
      </w:r>
      <w:r w:rsidR="007623BB" w:rsidRPr="00046187">
        <w:t xml:space="preserve"> an</w:t>
      </w:r>
      <w:r w:rsidR="0083795E" w:rsidRPr="00046187">
        <w:t xml:space="preserve"> improve</w:t>
      </w:r>
      <w:r w:rsidR="007623BB" w:rsidRPr="00046187">
        <w:t>d</w:t>
      </w:r>
      <w:r w:rsidR="0083795E" w:rsidRPr="00046187">
        <w:t xml:space="preserve"> mental health </w:t>
      </w:r>
      <w:r w:rsidR="007623BB" w:rsidRPr="00046187">
        <w:t>system that is person centred.</w:t>
      </w:r>
      <w:r w:rsidR="000425BA" w:rsidRPr="00046187">
        <w:t xml:space="preserve"> </w:t>
      </w:r>
      <w:r w:rsidR="006E53B7" w:rsidRPr="00046187">
        <w:t xml:space="preserve">Several of the recommended actions </w:t>
      </w:r>
      <w:r w:rsidR="00A76646" w:rsidRPr="00046187">
        <w:t xml:space="preserve">relate specifically to empowering </w:t>
      </w:r>
      <w:r w:rsidR="000F309C" w:rsidRPr="00046187">
        <w:t>Aboriginal</w:t>
      </w:r>
      <w:r w:rsidR="00A76646" w:rsidRPr="00046187">
        <w:t xml:space="preserve"> and Torres Strait </w:t>
      </w:r>
      <w:r w:rsidR="000F309C" w:rsidRPr="00046187">
        <w:t>Islander</w:t>
      </w:r>
      <w:r w:rsidR="00A76646" w:rsidRPr="00046187">
        <w:t xml:space="preserve"> people to make decisions </w:t>
      </w:r>
      <w:r w:rsidR="000F309C" w:rsidRPr="00046187">
        <w:t>about their social and emotional wellbeing</w:t>
      </w:r>
      <w:r w:rsidR="001903CC" w:rsidRPr="00046187">
        <w:t xml:space="preserve">, </w:t>
      </w:r>
      <w:r w:rsidR="002D7191" w:rsidRPr="00046187">
        <w:t>while some</w:t>
      </w:r>
      <w:r w:rsidR="001903CC" w:rsidRPr="00046187">
        <w:t xml:space="preserve"> o</w:t>
      </w:r>
      <w:r w:rsidR="00B32095" w:rsidRPr="00046187">
        <w:t>thers go to mainstream services being culturally capable</w:t>
      </w:r>
      <w:r w:rsidR="002D7191" w:rsidRPr="00046187">
        <w:t>.</w:t>
      </w:r>
    </w:p>
    <w:p w14:paraId="08F74775" w14:textId="3FEB98C5" w:rsidR="00A177FD" w:rsidRPr="00046187" w:rsidRDefault="00A177FD" w:rsidP="000425BA">
      <w:pPr>
        <w:pStyle w:val="ListBullet"/>
      </w:pPr>
      <w:r w:rsidRPr="00046187">
        <w:rPr>
          <w:i/>
          <w:iCs/>
        </w:rPr>
        <w:t>Murray Darling Basin Plan</w:t>
      </w:r>
      <w:r w:rsidRPr="00046187">
        <w:t xml:space="preserve">: </w:t>
      </w:r>
      <w:r w:rsidRPr="00046187">
        <w:rPr>
          <w:i/>
          <w:iCs/>
        </w:rPr>
        <w:t>Five Year assessment</w:t>
      </w:r>
      <w:r w:rsidRPr="00046187">
        <w:t xml:space="preserve"> (2109) and </w:t>
      </w:r>
      <w:r w:rsidR="00064137" w:rsidRPr="00046187">
        <w:rPr>
          <w:i/>
          <w:iCs/>
        </w:rPr>
        <w:t>National Water Reform</w:t>
      </w:r>
      <w:r w:rsidR="00064137" w:rsidRPr="00046187">
        <w:t xml:space="preserve"> (2018)</w:t>
      </w:r>
      <w:r w:rsidR="00EF0E04" w:rsidRPr="00046187">
        <w:t xml:space="preserve">, which are </w:t>
      </w:r>
      <w:r w:rsidR="00400BB1" w:rsidRPr="00046187">
        <w:t>regular review functions</w:t>
      </w:r>
      <w:r w:rsidR="00F306D7" w:rsidRPr="00046187">
        <w:t xml:space="preserve"> of </w:t>
      </w:r>
      <w:r w:rsidR="00400BB1" w:rsidRPr="00046187">
        <w:t xml:space="preserve">the Commission </w:t>
      </w:r>
      <w:r w:rsidR="00EF0E04" w:rsidRPr="00046187">
        <w:t xml:space="preserve">under the </w:t>
      </w:r>
      <w:r w:rsidR="00EF0E04" w:rsidRPr="00046187">
        <w:rPr>
          <w:i/>
          <w:iCs/>
        </w:rPr>
        <w:t>Water Act 2007 (</w:t>
      </w:r>
      <w:r w:rsidR="00B92E43" w:rsidRPr="00046187">
        <w:rPr>
          <w:i/>
          <w:iCs/>
        </w:rPr>
        <w:t>C</w:t>
      </w:r>
      <w:r w:rsidR="00EF0E04" w:rsidRPr="00046187">
        <w:rPr>
          <w:i/>
          <w:iCs/>
        </w:rPr>
        <w:t>th)</w:t>
      </w:r>
      <w:r w:rsidR="00A40842" w:rsidRPr="00046187">
        <w:rPr>
          <w:i/>
          <w:iCs/>
        </w:rPr>
        <w:t xml:space="preserve">, </w:t>
      </w:r>
      <w:r w:rsidR="00F306D7" w:rsidRPr="00046187">
        <w:t>and</w:t>
      </w:r>
      <w:r w:rsidR="00A40842" w:rsidRPr="00046187">
        <w:t xml:space="preserve"> include consideration of Indigenous values and uses of w</w:t>
      </w:r>
      <w:r w:rsidR="008C2D2C" w:rsidRPr="00046187">
        <w:t>ater.</w:t>
      </w:r>
    </w:p>
    <w:p w14:paraId="0BD5C6FC" w14:textId="5340C517" w:rsidR="002020E2" w:rsidRPr="00046187" w:rsidRDefault="002020E2" w:rsidP="000425BA">
      <w:pPr>
        <w:pStyle w:val="ListBullet"/>
      </w:pPr>
      <w:r w:rsidRPr="00046187">
        <w:rPr>
          <w:i/>
          <w:iCs/>
        </w:rPr>
        <w:t xml:space="preserve">Human Services </w:t>
      </w:r>
      <w:r w:rsidRPr="00046187">
        <w:t>(2018)</w:t>
      </w:r>
      <w:r w:rsidR="00BD18FB" w:rsidRPr="00046187">
        <w:rPr>
          <w:i/>
          <w:iCs/>
        </w:rPr>
        <w:t xml:space="preserve">, </w:t>
      </w:r>
      <w:r w:rsidR="00BD18FB" w:rsidRPr="00046187">
        <w:t xml:space="preserve">which made recommendations </w:t>
      </w:r>
      <w:r w:rsidR="00594FEF" w:rsidRPr="00046187">
        <w:t>on how to apply increased competition, contestability and informed user choic</w:t>
      </w:r>
      <w:r w:rsidR="009707E3" w:rsidRPr="00046187">
        <w:t>e to improve outcomes for users and the community as a whole.</w:t>
      </w:r>
      <w:r w:rsidR="000425BA" w:rsidRPr="00046187">
        <w:t xml:space="preserve"> </w:t>
      </w:r>
      <w:r w:rsidR="001F6CD9" w:rsidRPr="00046187">
        <w:t xml:space="preserve">This included </w:t>
      </w:r>
      <w:r w:rsidR="00A159AC" w:rsidRPr="00046187">
        <w:t>in respect of social housing, public dental services, and services in remote Indigenous communities.</w:t>
      </w:r>
      <w:r w:rsidR="000425BA" w:rsidRPr="00046187">
        <w:t xml:space="preserve"> </w:t>
      </w:r>
    </w:p>
    <w:p w14:paraId="6242E770" w14:textId="22759029" w:rsidR="00537718" w:rsidRPr="00046187" w:rsidRDefault="00537718" w:rsidP="000425BA">
      <w:pPr>
        <w:pStyle w:val="BodyText"/>
      </w:pPr>
      <w:r w:rsidRPr="00046187">
        <w:lastRenderedPageBreak/>
        <w:t>In some cases, the Government may ask the Commission to conduct research on a topic which, while important, is seen as requiring less formal public consultation than a public inquiry.</w:t>
      </w:r>
      <w:r w:rsidR="000425BA" w:rsidRPr="00046187">
        <w:t xml:space="preserve"> </w:t>
      </w:r>
      <w:r w:rsidR="00F82F98" w:rsidRPr="00046187">
        <w:t xml:space="preserve">The processes for a research study </w:t>
      </w:r>
      <w:r w:rsidR="00B22658" w:rsidRPr="00046187">
        <w:t xml:space="preserve">are similar to that for an inquiry, including with respect to the </w:t>
      </w:r>
      <w:r w:rsidR="00120229" w:rsidRPr="00046187">
        <w:t xml:space="preserve">development and issuance of a </w:t>
      </w:r>
      <w:r w:rsidR="00B22658" w:rsidRPr="00046187">
        <w:t>terms of reference</w:t>
      </w:r>
      <w:r w:rsidR="00ED55CC" w:rsidRPr="00046187">
        <w:t>.</w:t>
      </w:r>
      <w:r w:rsidR="000425BA" w:rsidRPr="00046187">
        <w:t xml:space="preserve"> </w:t>
      </w:r>
      <w:r w:rsidR="00ED55CC" w:rsidRPr="00046187">
        <w:t>T</w:t>
      </w:r>
      <w:r w:rsidR="00120229" w:rsidRPr="00046187">
        <w:t xml:space="preserve">he key differences </w:t>
      </w:r>
      <w:r w:rsidR="00ED55CC" w:rsidRPr="00046187">
        <w:t>are</w:t>
      </w:r>
      <w:r w:rsidR="00120229" w:rsidRPr="00046187">
        <w:t xml:space="preserve"> that there are no public hearings </w:t>
      </w:r>
      <w:r w:rsidR="00ED55CC" w:rsidRPr="00046187">
        <w:t>(</w:t>
      </w:r>
      <w:r w:rsidR="00D97E29" w:rsidRPr="00046187">
        <w:t>but there are roundtables, workshops and other consultative forums, as well as</w:t>
      </w:r>
      <w:r w:rsidR="00360574" w:rsidRPr="00046187">
        <w:t xml:space="preserve"> generally</w:t>
      </w:r>
      <w:r w:rsidR="00B24C66" w:rsidRPr="00046187">
        <w:t xml:space="preserve"> </w:t>
      </w:r>
      <w:r w:rsidR="00D97E29" w:rsidRPr="00046187">
        <w:t xml:space="preserve">submissions </w:t>
      </w:r>
      <w:r w:rsidR="00B53E73" w:rsidRPr="00046187">
        <w:t xml:space="preserve">and </w:t>
      </w:r>
      <w:r w:rsidR="00D97E29" w:rsidRPr="00046187">
        <w:t xml:space="preserve">the release of </w:t>
      </w:r>
      <w:r w:rsidR="000A2737" w:rsidRPr="00046187">
        <w:t xml:space="preserve">a </w:t>
      </w:r>
      <w:r w:rsidR="00D97E29" w:rsidRPr="00046187">
        <w:t xml:space="preserve">draft report) and </w:t>
      </w:r>
      <w:r w:rsidR="00B53E73" w:rsidRPr="00046187">
        <w:t>the final report is not tabled in the Parliament</w:t>
      </w:r>
      <w:r w:rsidR="000A2737" w:rsidRPr="00046187">
        <w:t xml:space="preserve"> (it is released by the Commission)</w:t>
      </w:r>
      <w:r w:rsidR="00B53E73" w:rsidRPr="00046187">
        <w:t xml:space="preserve">. </w:t>
      </w:r>
    </w:p>
    <w:p w14:paraId="12E3C40D" w14:textId="575E786B" w:rsidR="00501A17" w:rsidRPr="00046187" w:rsidRDefault="00F82F98" w:rsidP="000425BA">
      <w:pPr>
        <w:pStyle w:val="BodyText"/>
      </w:pPr>
      <w:r w:rsidRPr="00046187">
        <w:t>Some recent examples</w:t>
      </w:r>
      <w:r w:rsidR="00B53E73" w:rsidRPr="00046187">
        <w:t xml:space="preserve"> of research studies are:</w:t>
      </w:r>
    </w:p>
    <w:p w14:paraId="5E3E7A42" w14:textId="73493F1D" w:rsidR="00E314B8" w:rsidRPr="00046187" w:rsidRDefault="00E314B8" w:rsidP="000425BA">
      <w:pPr>
        <w:pStyle w:val="ListBullet"/>
      </w:pPr>
      <w:r w:rsidRPr="00046187">
        <w:rPr>
          <w:i/>
          <w:iCs/>
        </w:rPr>
        <w:t>Expenditure on Children in the Northern Territory</w:t>
      </w:r>
      <w:r w:rsidRPr="00046187">
        <w:t xml:space="preserve"> (2020)</w:t>
      </w:r>
      <w:r w:rsidR="00834634" w:rsidRPr="00046187">
        <w:t xml:space="preserve">, which </w:t>
      </w:r>
      <w:r w:rsidR="00EF00D9" w:rsidRPr="00046187">
        <w:t xml:space="preserve">arose from the Royal Commission into the </w:t>
      </w:r>
      <w:r w:rsidR="009C517D" w:rsidRPr="00046187">
        <w:t>Protection and Detention of Children in the Northern Territory</w:t>
      </w:r>
      <w:r w:rsidR="00820795" w:rsidRPr="00046187">
        <w:t>.</w:t>
      </w:r>
      <w:r w:rsidR="000425BA" w:rsidRPr="00046187">
        <w:t xml:space="preserve"> </w:t>
      </w:r>
      <w:r w:rsidR="00820795" w:rsidRPr="00046187">
        <w:t xml:space="preserve">The study </w:t>
      </w:r>
      <w:r w:rsidR="00834634" w:rsidRPr="00046187">
        <w:t xml:space="preserve">was about </w:t>
      </w:r>
      <w:r w:rsidR="00663E4E" w:rsidRPr="00046187">
        <w:t xml:space="preserve">how </w:t>
      </w:r>
      <w:r w:rsidR="00834634" w:rsidRPr="00046187">
        <w:t xml:space="preserve">the Commonwealth </w:t>
      </w:r>
      <w:r w:rsidR="000E2290" w:rsidRPr="00046187">
        <w:t xml:space="preserve">and the Northern Territory governments can work more collaboratively to </w:t>
      </w:r>
      <w:r w:rsidR="00527F98" w:rsidRPr="00046187">
        <w:t xml:space="preserve">improve outcomes for children and </w:t>
      </w:r>
      <w:r w:rsidR="00EF00D9" w:rsidRPr="00046187">
        <w:t>families</w:t>
      </w:r>
      <w:r w:rsidR="00527F98" w:rsidRPr="00046187">
        <w:t>.</w:t>
      </w:r>
      <w:r w:rsidR="000425BA" w:rsidRPr="00046187">
        <w:t xml:space="preserve"> </w:t>
      </w:r>
    </w:p>
    <w:p w14:paraId="3C3C8D22" w14:textId="1910926E" w:rsidR="000740C3" w:rsidRPr="00046187" w:rsidRDefault="000740C3" w:rsidP="000425BA">
      <w:pPr>
        <w:pStyle w:val="ListBullet"/>
      </w:pPr>
      <w:r w:rsidRPr="00046187">
        <w:rPr>
          <w:i/>
          <w:iCs/>
        </w:rPr>
        <w:t>Resources Sector Regulation</w:t>
      </w:r>
      <w:r w:rsidRPr="00046187">
        <w:t xml:space="preserve"> (2020)</w:t>
      </w:r>
      <w:r w:rsidR="00CB47AF" w:rsidRPr="00046187">
        <w:t xml:space="preserve">, </w:t>
      </w:r>
      <w:r w:rsidR="000071D3" w:rsidRPr="00046187">
        <w:t>which examines regulation of the resources sector, identifying issues and leading practice approaches to addressing them.</w:t>
      </w:r>
      <w:r w:rsidR="000425BA" w:rsidRPr="00046187">
        <w:t xml:space="preserve"> </w:t>
      </w:r>
      <w:r w:rsidR="00E76CC5" w:rsidRPr="00046187">
        <w:t xml:space="preserve">This included </w:t>
      </w:r>
      <w:r w:rsidR="002C519F" w:rsidRPr="00046187">
        <w:t xml:space="preserve">consideration of Indigenous </w:t>
      </w:r>
      <w:r w:rsidR="00D90E1B" w:rsidRPr="00046187">
        <w:t xml:space="preserve">heritage protection regimes, and </w:t>
      </w:r>
      <w:r w:rsidR="00AC33B4" w:rsidRPr="00046187">
        <w:t>community engagement and benefit sharing</w:t>
      </w:r>
      <w:r w:rsidR="002C519F" w:rsidRPr="00046187">
        <w:t xml:space="preserve">. </w:t>
      </w:r>
    </w:p>
    <w:p w14:paraId="41F31590" w14:textId="3E705043" w:rsidR="008C4ED3" w:rsidRPr="00046187" w:rsidRDefault="009C186D" w:rsidP="000425BA">
      <w:pPr>
        <w:pStyle w:val="BodyText"/>
      </w:pPr>
      <w:r w:rsidRPr="00046187">
        <w:t xml:space="preserve">The Commission has </w:t>
      </w:r>
      <w:r w:rsidR="0042280C" w:rsidRPr="00046187">
        <w:t>review functions in respect of nationally significant sector-wide inter-governmental agreements</w:t>
      </w:r>
      <w:r w:rsidR="00EE38CB" w:rsidRPr="00046187">
        <w:t xml:space="preserve"> which are undertaken as research studies</w:t>
      </w:r>
      <w:r w:rsidRPr="00046187">
        <w:t>.</w:t>
      </w:r>
      <w:r w:rsidR="000425BA" w:rsidRPr="00046187">
        <w:t xml:space="preserve"> </w:t>
      </w:r>
      <w:r w:rsidR="000D31D3" w:rsidRPr="00046187">
        <w:t>T</w:t>
      </w:r>
      <w:r w:rsidR="0004703F" w:rsidRPr="00046187">
        <w:t xml:space="preserve">he Commission </w:t>
      </w:r>
      <w:r w:rsidR="00436552" w:rsidRPr="00046187">
        <w:t xml:space="preserve">has reviewed the </w:t>
      </w:r>
      <w:r w:rsidR="0004703F" w:rsidRPr="00046187">
        <w:t xml:space="preserve">National Disability Agreement (2018) and the National Agreement </w:t>
      </w:r>
      <w:r w:rsidR="003517FF" w:rsidRPr="00046187">
        <w:t>for</w:t>
      </w:r>
      <w:r w:rsidR="0004703F" w:rsidRPr="00046187">
        <w:t xml:space="preserve"> Skills and Workforce Development (2020)</w:t>
      </w:r>
      <w:r w:rsidR="00436552" w:rsidRPr="00046187">
        <w:t>.</w:t>
      </w:r>
      <w:r w:rsidR="000425BA" w:rsidRPr="00046187">
        <w:t xml:space="preserve"> </w:t>
      </w:r>
    </w:p>
    <w:p w14:paraId="0506758D" w14:textId="283E9077" w:rsidR="0042280C" w:rsidRPr="00046187" w:rsidRDefault="00971DA4" w:rsidP="000425BA">
      <w:pPr>
        <w:pStyle w:val="BodyText"/>
      </w:pPr>
      <w:r w:rsidRPr="00046187">
        <w:t>In addition</w:t>
      </w:r>
      <w:r w:rsidR="00315A23" w:rsidRPr="00046187">
        <w:t>,</w:t>
      </w:r>
      <w:r w:rsidRPr="00046187">
        <w:t xml:space="preserve"> the Commission has</w:t>
      </w:r>
      <w:r w:rsidR="008C4ED3" w:rsidRPr="00046187">
        <w:t xml:space="preserve"> </w:t>
      </w:r>
      <w:r w:rsidR="00577851" w:rsidRPr="00046187">
        <w:t>a role in</w:t>
      </w:r>
      <w:r w:rsidR="008C4ED3" w:rsidRPr="00046187">
        <w:t xml:space="preserve"> contribut</w:t>
      </w:r>
      <w:r w:rsidR="00577851" w:rsidRPr="00046187">
        <w:t>ing</w:t>
      </w:r>
      <w:r w:rsidR="008C4ED3" w:rsidRPr="00046187">
        <w:t xml:space="preserve"> to better evaluation of policies and programs affecting Aboriginal and Torres Strait Islander people</w:t>
      </w:r>
      <w:r w:rsidRPr="00046187">
        <w:t>.</w:t>
      </w:r>
      <w:r w:rsidR="000425BA" w:rsidRPr="00046187">
        <w:t xml:space="preserve"> </w:t>
      </w:r>
      <w:r w:rsidR="002D068D" w:rsidRPr="00046187">
        <w:t>This includes the development of a</w:t>
      </w:r>
      <w:r w:rsidR="0004703F" w:rsidRPr="00046187">
        <w:t xml:space="preserve"> proposed</w:t>
      </w:r>
      <w:r w:rsidR="002D068D" w:rsidRPr="00046187">
        <w:t xml:space="preserve"> </w:t>
      </w:r>
      <w:r w:rsidR="002D068D" w:rsidRPr="00046187">
        <w:rPr>
          <w:i/>
          <w:iCs/>
        </w:rPr>
        <w:t>Indigenous Evaluation Strategy</w:t>
      </w:r>
      <w:r w:rsidR="00500663" w:rsidRPr="00046187">
        <w:rPr>
          <w:i/>
          <w:iCs/>
        </w:rPr>
        <w:t xml:space="preserve">, </w:t>
      </w:r>
      <w:r w:rsidR="00500663" w:rsidRPr="00046187">
        <w:t>which</w:t>
      </w:r>
      <w:r w:rsidR="00500663" w:rsidRPr="00046187">
        <w:rPr>
          <w:i/>
          <w:iCs/>
        </w:rPr>
        <w:t xml:space="preserve"> </w:t>
      </w:r>
      <w:r w:rsidR="00BC69BE" w:rsidRPr="00046187">
        <w:t xml:space="preserve">puts Aboriginal and Torres Strait Islander people at its centre and </w:t>
      </w:r>
      <w:r w:rsidR="007F069D" w:rsidRPr="00046187">
        <w:t xml:space="preserve">provides a framework </w:t>
      </w:r>
      <w:r w:rsidR="00FA460C" w:rsidRPr="00046187">
        <w:t xml:space="preserve">for Australian Government agencies </w:t>
      </w:r>
      <w:r w:rsidR="0095099F" w:rsidRPr="00046187">
        <w:t xml:space="preserve">for </w:t>
      </w:r>
      <w:r w:rsidR="0046770B" w:rsidRPr="00046187">
        <w:t>evaluating</w:t>
      </w:r>
      <w:r w:rsidR="0095099F" w:rsidRPr="00046187">
        <w:t xml:space="preserve"> </w:t>
      </w:r>
      <w:r w:rsidR="00563854" w:rsidRPr="00046187">
        <w:t>policies and programs</w:t>
      </w:r>
      <w:r w:rsidR="0046770B" w:rsidRPr="00046187">
        <w:t xml:space="preserve"> affecting Aboriginal and Torres Strait Islander people</w:t>
      </w:r>
      <w:r w:rsidR="004C3BD4" w:rsidRPr="00046187">
        <w:t>.</w:t>
      </w:r>
      <w:r w:rsidR="000425BA" w:rsidRPr="00046187">
        <w:t xml:space="preserve"> </w:t>
      </w:r>
    </w:p>
    <w:p w14:paraId="3028644F" w14:textId="397C2B4B" w:rsidR="00333E0F" w:rsidRPr="00046187" w:rsidRDefault="008974F3" w:rsidP="000425BA">
      <w:pPr>
        <w:pStyle w:val="BodyText"/>
      </w:pPr>
      <w:r w:rsidRPr="00046187">
        <w:t>The Commission also produces productivity reform case studies for the Council o</w:t>
      </w:r>
      <w:r w:rsidR="008C4ED3" w:rsidRPr="00046187">
        <w:t>n</w:t>
      </w:r>
      <w:r w:rsidRPr="00046187">
        <w:t xml:space="preserve"> Federal Financial Relations.</w:t>
      </w:r>
      <w:r w:rsidR="000425BA" w:rsidRPr="00046187">
        <w:t xml:space="preserve"> </w:t>
      </w:r>
      <w:r w:rsidRPr="00046187">
        <w:t xml:space="preserve">The most recent was </w:t>
      </w:r>
      <w:r w:rsidR="002D0BD2" w:rsidRPr="00046187">
        <w:t>on</w:t>
      </w:r>
      <w:r w:rsidRPr="00046187">
        <w:t xml:space="preserve"> </w:t>
      </w:r>
      <w:r w:rsidRPr="00046187">
        <w:rPr>
          <w:i/>
          <w:iCs/>
        </w:rPr>
        <w:t>Innovations in Care in Chronic Health Conditions</w:t>
      </w:r>
      <w:r w:rsidR="002D0BD2" w:rsidRPr="00046187">
        <w:rPr>
          <w:i/>
          <w:iCs/>
        </w:rPr>
        <w:t xml:space="preserve">, </w:t>
      </w:r>
      <w:r w:rsidR="00E0504A" w:rsidRPr="00046187">
        <w:t>which included</w:t>
      </w:r>
      <w:r w:rsidR="002D0BD2" w:rsidRPr="00046187">
        <w:t xml:space="preserve"> innovations </w:t>
      </w:r>
      <w:r w:rsidR="00716DCB" w:rsidRPr="00046187">
        <w:t xml:space="preserve">in </w:t>
      </w:r>
      <w:r w:rsidR="00E0504A" w:rsidRPr="00046187">
        <w:t>Indigenous health.</w:t>
      </w:r>
      <w:r w:rsidR="00716DCB" w:rsidRPr="00046187">
        <w:t xml:space="preserve"> </w:t>
      </w:r>
    </w:p>
    <w:p w14:paraId="57DE552B" w14:textId="6BEA3E28" w:rsidR="00333E0F" w:rsidRPr="00046187" w:rsidRDefault="00333E0F" w:rsidP="00AA5E2C">
      <w:pPr>
        <w:pStyle w:val="BodyText"/>
        <w:keepNext/>
        <w:jc w:val="left"/>
      </w:pPr>
      <w:r w:rsidRPr="00046187">
        <w:rPr>
          <w:b/>
          <w:bCs/>
        </w:rPr>
        <w:t>Self-initiated research</w:t>
      </w:r>
      <w:r w:rsidR="00381C33" w:rsidRPr="00046187">
        <w:t xml:space="preserve"> </w:t>
      </w:r>
    </w:p>
    <w:p w14:paraId="09E5438A" w14:textId="74396F40" w:rsidR="00637C29" w:rsidRPr="00046187" w:rsidRDefault="00637C29" w:rsidP="000425BA">
      <w:pPr>
        <w:pStyle w:val="BodyText"/>
      </w:pPr>
      <w:r w:rsidRPr="00046187">
        <w:t>The Commission has a statutory mandate to conduct a program of research to support its inquiries, annual reporting</w:t>
      </w:r>
      <w:r w:rsidR="00AB61B3" w:rsidRPr="00046187">
        <w:footnoteReference w:id="2"/>
      </w:r>
      <w:r w:rsidRPr="00046187">
        <w:t xml:space="preserve"> and other responsibilities, including promoting community awareness and understanding of various productivity and regulatory issues.</w:t>
      </w:r>
    </w:p>
    <w:p w14:paraId="6CD2E4FC" w14:textId="693AF561" w:rsidR="00637C29" w:rsidRPr="00046187" w:rsidRDefault="00637C29" w:rsidP="000425BA">
      <w:pPr>
        <w:pStyle w:val="BodyText"/>
      </w:pPr>
      <w:r w:rsidRPr="00046187">
        <w:lastRenderedPageBreak/>
        <w:t>A key part of the Commission’s research program are reports which provide evidence on topical policy issues and help to outline future directions for reform.</w:t>
      </w:r>
      <w:r w:rsidR="000425BA" w:rsidRPr="00046187">
        <w:t xml:space="preserve"> </w:t>
      </w:r>
      <w:r w:rsidR="00DA2B5E" w:rsidRPr="00046187">
        <w:t xml:space="preserve">The Commission </w:t>
      </w:r>
      <w:r w:rsidR="002A2E7F" w:rsidRPr="00046187">
        <w:t>identifies</w:t>
      </w:r>
      <w:r w:rsidR="00DA2B5E" w:rsidRPr="00046187">
        <w:t xml:space="preserve"> </w:t>
      </w:r>
      <w:r w:rsidR="001262BB" w:rsidRPr="00046187">
        <w:t xml:space="preserve">research </w:t>
      </w:r>
      <w:r w:rsidR="00DA2B5E" w:rsidRPr="00046187">
        <w:t xml:space="preserve">topics </w:t>
      </w:r>
      <w:r w:rsidR="001262BB" w:rsidRPr="00046187">
        <w:t>based on issues</w:t>
      </w:r>
      <w:r w:rsidR="006353E7" w:rsidRPr="00046187">
        <w:t xml:space="preserve"> emerging in its other work </w:t>
      </w:r>
      <w:r w:rsidR="001262BB" w:rsidRPr="00046187">
        <w:t xml:space="preserve">and </w:t>
      </w:r>
      <w:r w:rsidR="006353E7" w:rsidRPr="00046187">
        <w:t>in public debate.</w:t>
      </w:r>
    </w:p>
    <w:p w14:paraId="3FA2CF3E" w14:textId="7BAB6234" w:rsidR="00197213" w:rsidRPr="00046187" w:rsidRDefault="00CC73A1" w:rsidP="000425BA">
      <w:pPr>
        <w:pStyle w:val="BodyText"/>
      </w:pPr>
      <w:r w:rsidRPr="00046187">
        <w:t>R</w:t>
      </w:r>
      <w:r w:rsidR="009E0769" w:rsidRPr="00046187">
        <w:t xml:space="preserve">esearch papers </w:t>
      </w:r>
      <w:r w:rsidRPr="00046187">
        <w:t>over recent years have included</w:t>
      </w:r>
      <w:r w:rsidR="00F54EDC" w:rsidRPr="00046187">
        <w:t>:</w:t>
      </w:r>
      <w:r w:rsidR="000425BA" w:rsidRPr="00046187">
        <w:t xml:space="preserve"> </w:t>
      </w:r>
      <w:r w:rsidR="00271E30" w:rsidRPr="00046187">
        <w:t>y</w:t>
      </w:r>
      <w:r w:rsidR="00F54EDC" w:rsidRPr="00046187">
        <w:t>oung people’s</w:t>
      </w:r>
      <w:r w:rsidR="00271E30" w:rsidRPr="00046187">
        <w:t xml:space="preserve"> incomes (2020)</w:t>
      </w:r>
      <w:r w:rsidR="00F54EDC" w:rsidRPr="00046187">
        <w:t xml:space="preserve">, </w:t>
      </w:r>
      <w:r w:rsidR="00A71493" w:rsidRPr="00046187">
        <w:t xml:space="preserve">inequality (2018), and </w:t>
      </w:r>
      <w:r w:rsidR="00DC08D6" w:rsidRPr="00046187">
        <w:t>Indigenous primary school achievement (2016)</w:t>
      </w:r>
      <w:r w:rsidR="00A71493" w:rsidRPr="00046187">
        <w:t>.</w:t>
      </w:r>
    </w:p>
    <w:p w14:paraId="7A30B7A0" w14:textId="11642D47" w:rsidR="00371E4C" w:rsidRPr="00046187" w:rsidRDefault="00ED6BBD" w:rsidP="00637C29">
      <w:pPr>
        <w:pStyle w:val="BodyText"/>
        <w:jc w:val="left"/>
        <w:rPr>
          <w:b/>
          <w:bCs/>
        </w:rPr>
      </w:pPr>
      <w:r w:rsidRPr="00046187">
        <w:rPr>
          <w:b/>
          <w:bCs/>
        </w:rPr>
        <w:t xml:space="preserve">Performance monitoring and reporting </w:t>
      </w:r>
    </w:p>
    <w:p w14:paraId="4784E867" w14:textId="442078B1" w:rsidR="00ED6BBD" w:rsidRPr="00046187" w:rsidRDefault="00BF6534" w:rsidP="000425BA">
      <w:pPr>
        <w:pStyle w:val="BodyText"/>
      </w:pPr>
      <w:r w:rsidRPr="00046187">
        <w:t>The Commission provides secretariat and research support to the inter-governmental Steering Committee for Review of Government Service Provision</w:t>
      </w:r>
      <w:r w:rsidR="00AA70CD" w:rsidRPr="00046187">
        <w:t>, which was established under the Council of Australian Governments</w:t>
      </w:r>
      <w:r w:rsidRPr="00046187">
        <w:t>.</w:t>
      </w:r>
      <w:r w:rsidR="000425BA" w:rsidRPr="00046187">
        <w:t xml:space="preserve"> </w:t>
      </w:r>
      <w:r w:rsidRPr="00046187">
        <w:t>With the Commission’s support, the Steering Committee undertakes three streams of reporting for the Commonwealth, State and Territory Governments.</w:t>
      </w:r>
    </w:p>
    <w:p w14:paraId="1A4419F7" w14:textId="4D13F2CF" w:rsidR="007E08A0" w:rsidRPr="00046187" w:rsidRDefault="007E08A0" w:rsidP="007E08A0">
      <w:pPr>
        <w:pStyle w:val="ListBullet"/>
      </w:pPr>
      <w:r w:rsidRPr="00046187">
        <w:t xml:space="preserve">The </w:t>
      </w:r>
      <w:r w:rsidRPr="00046187">
        <w:rPr>
          <w:i/>
          <w:iCs/>
        </w:rPr>
        <w:t>Report on Government Services</w:t>
      </w:r>
      <w:r w:rsidR="00AA52AC" w:rsidRPr="00046187">
        <w:t xml:space="preserve"> (RoGS) </w:t>
      </w:r>
    </w:p>
    <w:p w14:paraId="1156CE70" w14:textId="514B7101" w:rsidR="007B37F7" w:rsidRPr="00046187" w:rsidRDefault="007B37F7" w:rsidP="000425BA">
      <w:pPr>
        <w:pStyle w:val="ListBullet2"/>
      </w:pPr>
      <w:r w:rsidRPr="00046187">
        <w:t>The annual RoGS provides information on the equity, effectiveness and efficiency of a range of government services, including health, education, justice, housing and community services</w:t>
      </w:r>
      <w:r w:rsidR="007E6276" w:rsidRPr="00046187">
        <w:t xml:space="preserve">, and </w:t>
      </w:r>
      <w:r w:rsidR="00F2555E" w:rsidRPr="00046187">
        <w:t xml:space="preserve">has a reference list for performance </w:t>
      </w:r>
      <w:r w:rsidR="00AC5C63" w:rsidRPr="00046187">
        <w:t xml:space="preserve">indicator </w:t>
      </w:r>
      <w:r w:rsidR="00F2555E" w:rsidRPr="00046187">
        <w:t xml:space="preserve">data </w:t>
      </w:r>
      <w:r w:rsidR="00E336FE" w:rsidRPr="00046187">
        <w:t>disaggregated for Aboriginal and Torres Strait Islander people</w:t>
      </w:r>
      <w:r w:rsidRPr="00046187">
        <w:t>.</w:t>
      </w:r>
      <w:r w:rsidR="000425BA" w:rsidRPr="00046187">
        <w:t xml:space="preserve"> </w:t>
      </w:r>
      <w:r w:rsidR="00E26492" w:rsidRPr="00046187">
        <w:t xml:space="preserve">The RoGS </w:t>
      </w:r>
      <w:r w:rsidRPr="00046187">
        <w:t>encourages improved service delivery</w:t>
      </w:r>
      <w:r w:rsidR="00BF79C0" w:rsidRPr="00046187">
        <w:t xml:space="preserve"> </w:t>
      </w:r>
      <w:r w:rsidRPr="00046187">
        <w:t>by providing governments, taxpayers and users of services with meaningful, balanced, credible, comparative information</w:t>
      </w:r>
      <w:r w:rsidR="0027761F" w:rsidRPr="00046187">
        <w:t>.</w:t>
      </w:r>
    </w:p>
    <w:p w14:paraId="45418E33" w14:textId="341442F1" w:rsidR="007E08A0" w:rsidRPr="00046187" w:rsidRDefault="007E08A0" w:rsidP="007E08A0">
      <w:pPr>
        <w:pStyle w:val="ListBullet"/>
      </w:pPr>
      <w:r w:rsidRPr="00046187">
        <w:t xml:space="preserve">The </w:t>
      </w:r>
      <w:r w:rsidRPr="00046187">
        <w:rPr>
          <w:i/>
          <w:iCs/>
        </w:rPr>
        <w:t>Overcoming Indigenous Disadvantage:</w:t>
      </w:r>
      <w:r w:rsidR="000425BA" w:rsidRPr="00046187">
        <w:rPr>
          <w:i/>
          <w:iCs/>
        </w:rPr>
        <w:t xml:space="preserve"> </w:t>
      </w:r>
      <w:r w:rsidRPr="00046187">
        <w:rPr>
          <w:i/>
          <w:iCs/>
        </w:rPr>
        <w:t>Key indicators</w:t>
      </w:r>
      <w:r w:rsidRPr="00046187">
        <w:t xml:space="preserve"> report </w:t>
      </w:r>
      <w:r w:rsidR="00AA52AC" w:rsidRPr="00046187">
        <w:t>(OID)</w:t>
      </w:r>
    </w:p>
    <w:p w14:paraId="38C4C42B" w14:textId="546E3AD0" w:rsidR="00CA4B2F" w:rsidRPr="00046187" w:rsidRDefault="00CA4B2F" w:rsidP="000425BA">
      <w:pPr>
        <w:pStyle w:val="ListBullet2"/>
      </w:pPr>
      <w:r w:rsidRPr="00046187">
        <w:t>The OID</w:t>
      </w:r>
      <w:r w:rsidR="00BF61BE" w:rsidRPr="00046187">
        <w:t>, last published in December 2020,</w:t>
      </w:r>
      <w:r w:rsidRPr="00046187">
        <w:t xml:space="preserve"> is a regular report on outcomes for </w:t>
      </w:r>
      <w:r w:rsidR="00B52D7F" w:rsidRPr="00046187">
        <w:t>Aboriginal and Torres Strait Islander people</w:t>
      </w:r>
      <w:r w:rsidRPr="00046187">
        <w:t>, across a strategic framework of indicators.</w:t>
      </w:r>
      <w:r w:rsidR="000425BA" w:rsidRPr="00046187">
        <w:t xml:space="preserve"> </w:t>
      </w:r>
      <w:r w:rsidRPr="00046187">
        <w:t xml:space="preserve">This report’s long-term objective is to inform Australian governments and </w:t>
      </w:r>
      <w:r w:rsidR="003517FF" w:rsidRPr="00046187">
        <w:t>Aboriginal and Torres Strait Islander</w:t>
      </w:r>
      <w:r w:rsidRPr="00046187">
        <w:t xml:space="preserve"> people about whether policies and programs are achieving positive outcomes for </w:t>
      </w:r>
      <w:r w:rsidR="003517FF" w:rsidRPr="00046187">
        <w:t>Aboriginal and Torres Strait Islander</w:t>
      </w:r>
      <w:r w:rsidRPr="00046187">
        <w:t xml:space="preserve"> people.</w:t>
      </w:r>
    </w:p>
    <w:p w14:paraId="5B9A1B50" w14:textId="18846B82" w:rsidR="007E08A0" w:rsidRPr="00046187" w:rsidRDefault="00AA52AC" w:rsidP="007E08A0">
      <w:pPr>
        <w:pStyle w:val="ListBullet"/>
      </w:pPr>
      <w:r w:rsidRPr="00046187">
        <w:t xml:space="preserve">The </w:t>
      </w:r>
      <w:r w:rsidRPr="00046187">
        <w:rPr>
          <w:i/>
          <w:iCs/>
        </w:rPr>
        <w:t>Indigenous Expenditure Report</w:t>
      </w:r>
      <w:r w:rsidRPr="00046187">
        <w:t xml:space="preserve"> </w:t>
      </w:r>
    </w:p>
    <w:p w14:paraId="2B1D0F81" w14:textId="769700AB" w:rsidR="007B468A" w:rsidRPr="00046187" w:rsidRDefault="000C4DE4" w:rsidP="000425BA">
      <w:pPr>
        <w:pStyle w:val="ListBullet2"/>
      </w:pPr>
      <w:r w:rsidRPr="00046187">
        <w:t>The Indigenous Expenditure Report</w:t>
      </w:r>
      <w:r w:rsidR="00BF61BE" w:rsidRPr="00046187">
        <w:t xml:space="preserve">, last published in </w:t>
      </w:r>
      <w:r w:rsidR="00C54507" w:rsidRPr="00046187">
        <w:t xml:space="preserve">October 2017, </w:t>
      </w:r>
      <w:r w:rsidRPr="00046187">
        <w:t xml:space="preserve">provides estimates of expenditure on services to </w:t>
      </w:r>
      <w:r w:rsidR="00B52D7F" w:rsidRPr="00046187">
        <w:t>Aboriginal and Torres Strait Islander people</w:t>
      </w:r>
      <w:r w:rsidRPr="00046187">
        <w:t>.</w:t>
      </w:r>
      <w:r w:rsidR="000425BA" w:rsidRPr="00046187">
        <w:t xml:space="preserve"> </w:t>
      </w:r>
      <w:r w:rsidRPr="00046187">
        <w:t xml:space="preserve">These estimates, when combined with other information (such as </w:t>
      </w:r>
      <w:r w:rsidR="00B52D7F" w:rsidRPr="00046187">
        <w:t xml:space="preserve">outcomes for </w:t>
      </w:r>
      <w:r w:rsidR="00796E35" w:rsidRPr="00046187">
        <w:t>Aboriginal and Torres Strait Islander people</w:t>
      </w:r>
      <w:r w:rsidRPr="00046187">
        <w:t xml:space="preserve">) are intended to contribute to a better understanding of the adequacy, effectiveness and efficiency of government services provided to </w:t>
      </w:r>
      <w:r w:rsidR="006D6970" w:rsidRPr="00046187">
        <w:t>Aboriginal and Torres Strait Islander people</w:t>
      </w:r>
      <w:r w:rsidRPr="00046187">
        <w:t>.</w:t>
      </w:r>
    </w:p>
    <w:p w14:paraId="1BD0BB57" w14:textId="7E6AF1E1" w:rsidR="002F3F65" w:rsidRPr="00046187" w:rsidRDefault="00673C90" w:rsidP="000425BA">
      <w:pPr>
        <w:pStyle w:val="BodyText"/>
      </w:pPr>
      <w:r w:rsidRPr="00046187">
        <w:t>In addition, t</w:t>
      </w:r>
      <w:r w:rsidR="002F3F65" w:rsidRPr="00046187">
        <w:t xml:space="preserve">he Commission </w:t>
      </w:r>
      <w:r w:rsidR="00D1472D" w:rsidRPr="00046187">
        <w:t xml:space="preserve">maintains </w:t>
      </w:r>
      <w:r w:rsidR="007D7799" w:rsidRPr="00046187">
        <w:t>the Performance Reporting Dashboard</w:t>
      </w:r>
      <w:r w:rsidR="00665D88" w:rsidRPr="00046187">
        <w:t>, which provides a single, stream</w:t>
      </w:r>
      <w:r w:rsidR="00CE6540" w:rsidRPr="00046187">
        <w:t>lined source of information on progress towards key commitments made by the Council of Australian Governments.</w:t>
      </w:r>
    </w:p>
    <w:p w14:paraId="762388C0" w14:textId="213428F9" w:rsidR="005F76F0" w:rsidRPr="00046187" w:rsidRDefault="005F76F0" w:rsidP="009D632D">
      <w:pPr>
        <w:pStyle w:val="ListBullet2"/>
        <w:numPr>
          <w:ilvl w:val="0"/>
          <w:numId w:val="0"/>
        </w:numPr>
        <w:jc w:val="left"/>
        <w:rPr>
          <w:b/>
          <w:bCs/>
        </w:rPr>
      </w:pPr>
      <w:r w:rsidRPr="00046187">
        <w:rPr>
          <w:b/>
          <w:bCs/>
        </w:rPr>
        <w:t>Closing the Gap functions</w:t>
      </w:r>
    </w:p>
    <w:p w14:paraId="69148D21" w14:textId="0969D2B2" w:rsidR="005F76F0" w:rsidRPr="00046187" w:rsidRDefault="00E07AC7" w:rsidP="000425BA">
      <w:pPr>
        <w:pStyle w:val="BodyText"/>
      </w:pPr>
      <w:r w:rsidRPr="00046187">
        <w:t xml:space="preserve">The Commission </w:t>
      </w:r>
      <w:r w:rsidR="00AD4EE9" w:rsidRPr="00046187">
        <w:t>has a</w:t>
      </w:r>
      <w:r w:rsidRPr="00046187">
        <w:t xml:space="preserve"> significant role under the National Agreement on Closing the Gap.</w:t>
      </w:r>
      <w:r w:rsidR="000425BA" w:rsidRPr="00046187">
        <w:t xml:space="preserve"> </w:t>
      </w:r>
      <w:r w:rsidR="00FA347E" w:rsidRPr="00046187">
        <w:t>The Commission is</w:t>
      </w:r>
      <w:r w:rsidRPr="00046187">
        <w:t xml:space="preserve"> developing and maintaining a publicly accessible dashboard </w:t>
      </w:r>
      <w:r w:rsidR="003517FF" w:rsidRPr="00046187">
        <w:t>and annual data compilation report, underpinned by an</w:t>
      </w:r>
      <w:r w:rsidRPr="00046187">
        <w:t xml:space="preserve"> information repository</w:t>
      </w:r>
      <w:r w:rsidR="003517FF" w:rsidRPr="00046187">
        <w:t>,</w:t>
      </w:r>
      <w:r w:rsidRPr="00046187">
        <w:t xml:space="preserve"> to inform reporting on </w:t>
      </w:r>
      <w:r w:rsidRPr="00046187">
        <w:lastRenderedPageBreak/>
        <w:t>progress.</w:t>
      </w:r>
      <w:r w:rsidR="000425BA" w:rsidRPr="00046187">
        <w:t xml:space="preserve"> </w:t>
      </w:r>
      <w:r w:rsidR="001164DA" w:rsidRPr="00046187">
        <w:t xml:space="preserve">The first </w:t>
      </w:r>
      <w:r w:rsidR="0098492C" w:rsidRPr="00046187">
        <w:t xml:space="preserve">editions of the dashboard and report are </w:t>
      </w:r>
      <w:r w:rsidR="00DB25EF" w:rsidRPr="00046187">
        <w:t>scheduled for late June and late July 2021</w:t>
      </w:r>
      <w:r w:rsidR="00771EAF" w:rsidRPr="00046187">
        <w:t xml:space="preserve"> respectively.</w:t>
      </w:r>
      <w:r w:rsidR="00DB25EF" w:rsidRPr="00046187">
        <w:t xml:space="preserve"> </w:t>
      </w:r>
      <w:r w:rsidR="00FA347E" w:rsidRPr="00046187">
        <w:t xml:space="preserve">The </w:t>
      </w:r>
      <w:r w:rsidR="000A08F8" w:rsidRPr="00046187">
        <w:t>Commission</w:t>
      </w:r>
      <w:r w:rsidRPr="00046187">
        <w:t xml:space="preserve"> will also undertake an independent review of progress every three years, which will be complementary to a three-yearly Aboriginal and Torres Strait Islander-led review.</w:t>
      </w:r>
      <w:r w:rsidR="000425BA" w:rsidRPr="00046187">
        <w:t xml:space="preserve"> </w:t>
      </w:r>
    </w:p>
    <w:p w14:paraId="2BAE0841" w14:textId="03F9B0BC" w:rsidR="001002ED" w:rsidRPr="00046187" w:rsidRDefault="00CB0484" w:rsidP="0081575C">
      <w:pPr>
        <w:pStyle w:val="BodyText"/>
        <w:jc w:val="left"/>
      </w:pPr>
      <w:r w:rsidRPr="00046187">
        <w:t>______</w:t>
      </w:r>
    </w:p>
    <w:p w14:paraId="1CFDD4A5" w14:textId="0961A5CC" w:rsidR="00CB0484" w:rsidRPr="00046187" w:rsidRDefault="003F4B72" w:rsidP="000425BA">
      <w:pPr>
        <w:pStyle w:val="BodyText"/>
      </w:pPr>
      <w:r w:rsidRPr="00046187">
        <w:t xml:space="preserve">In summary, </w:t>
      </w:r>
      <w:r w:rsidR="00275E95" w:rsidRPr="00046187">
        <w:t xml:space="preserve">across its various streams of </w:t>
      </w:r>
      <w:r w:rsidR="007826D2" w:rsidRPr="00046187">
        <w:t xml:space="preserve">work, the Commission </w:t>
      </w:r>
      <w:r w:rsidR="00FB7768" w:rsidRPr="00046187">
        <w:t xml:space="preserve">examines a range of issues and </w:t>
      </w:r>
      <w:r w:rsidR="00BB00B4" w:rsidRPr="00046187">
        <w:t xml:space="preserve">produces </w:t>
      </w:r>
      <w:r w:rsidR="00C622E7" w:rsidRPr="00046187">
        <w:t>information sets that may be relevant in supporting the Indigenous Voice.</w:t>
      </w:r>
      <w:r w:rsidR="000425BA" w:rsidRPr="00046187">
        <w:t xml:space="preserve"> </w:t>
      </w:r>
      <w:r w:rsidR="002B046D" w:rsidRPr="00046187">
        <w:t>T</w:t>
      </w:r>
      <w:r w:rsidR="00C90B9A" w:rsidRPr="00046187">
        <w:t>he</w:t>
      </w:r>
      <w:r w:rsidR="00674C9F" w:rsidRPr="00046187">
        <w:t>re</w:t>
      </w:r>
      <w:r w:rsidR="000425BA" w:rsidRPr="00046187">
        <w:t xml:space="preserve"> are</w:t>
      </w:r>
      <w:r w:rsidR="00674C9F" w:rsidRPr="00046187">
        <w:t xml:space="preserve"> a variety of means by which the</w:t>
      </w:r>
      <w:r w:rsidR="00BF5CCB" w:rsidRPr="00046187">
        <w:t xml:space="preserve"> </w:t>
      </w:r>
      <w:r w:rsidR="00674C9F" w:rsidRPr="00046187">
        <w:t xml:space="preserve">work </w:t>
      </w:r>
      <w:r w:rsidR="005B7C26" w:rsidRPr="00046187">
        <w:t xml:space="preserve">is initiated </w:t>
      </w:r>
      <w:r w:rsidR="000425BA" w:rsidRPr="00046187">
        <w:t>—</w:t>
      </w:r>
      <w:r w:rsidR="00BD5C80" w:rsidRPr="00046187">
        <w:t xml:space="preserve"> </w:t>
      </w:r>
      <w:r w:rsidR="007C4ED5" w:rsidRPr="00046187">
        <w:t xml:space="preserve">terms of </w:t>
      </w:r>
      <w:r w:rsidR="00E35026" w:rsidRPr="00046187">
        <w:t>reference</w:t>
      </w:r>
      <w:r w:rsidR="007C4ED5" w:rsidRPr="00046187">
        <w:t xml:space="preserve"> from </w:t>
      </w:r>
      <w:r w:rsidR="00E35026" w:rsidRPr="00046187">
        <w:t xml:space="preserve">the Treasurer, </w:t>
      </w:r>
      <w:r w:rsidR="00B00B0D" w:rsidRPr="00046187">
        <w:t xml:space="preserve">specific legislation, work on behalf of </w:t>
      </w:r>
      <w:r w:rsidR="00B57E4D" w:rsidRPr="00046187">
        <w:t>inter</w:t>
      </w:r>
      <w:r w:rsidR="00355E51" w:rsidRPr="00046187">
        <w:t>-</w:t>
      </w:r>
      <w:r w:rsidR="00B57E4D" w:rsidRPr="00046187">
        <w:t>governmental groups</w:t>
      </w:r>
      <w:r w:rsidR="00355E51" w:rsidRPr="00046187">
        <w:t xml:space="preserve">, </w:t>
      </w:r>
      <w:r w:rsidR="00701C9F" w:rsidRPr="00046187">
        <w:t xml:space="preserve">the National Agreement on Closing the Gap, </w:t>
      </w:r>
      <w:r w:rsidR="00ED3FF8" w:rsidRPr="00046187">
        <w:t xml:space="preserve">and some self-initiated </w:t>
      </w:r>
      <w:r w:rsidR="000425BA" w:rsidRPr="00046187">
        <w:t>—</w:t>
      </w:r>
      <w:r w:rsidR="00DC264F" w:rsidRPr="00046187">
        <w:t xml:space="preserve"> common features across the Commission’s work are independence and transparency.</w:t>
      </w:r>
      <w:r w:rsidR="000425BA" w:rsidRPr="00046187">
        <w:t xml:space="preserve"> </w:t>
      </w:r>
    </w:p>
    <w:p w14:paraId="0B29E3C0" w14:textId="77777777" w:rsidR="001002ED" w:rsidRPr="00046187" w:rsidRDefault="001002ED" w:rsidP="00E07AC7">
      <w:pPr>
        <w:pStyle w:val="BodyText"/>
        <w:jc w:val="left"/>
      </w:pPr>
    </w:p>
    <w:sectPr w:rsidR="001002ED" w:rsidRPr="00046187" w:rsidSect="007B4BB9">
      <w:headerReference w:type="even" r:id="rId12"/>
      <w:footerReference w:type="even" r:id="rId13"/>
      <w:footerReference w:type="default" r:id="rId14"/>
      <w:pgSz w:w="11907" w:h="16840" w:code="9"/>
      <w:pgMar w:top="1985" w:right="1304" w:bottom="1247" w:left="1814" w:header="1701" w:footer="397" w:gutter="0"/>
      <w:pgNumType w:start="0" w:chapSep="period"/>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C9EBE" w14:textId="77777777" w:rsidR="00C335D9" w:rsidRDefault="00C335D9">
      <w:r>
        <w:separator/>
      </w:r>
    </w:p>
  </w:endnote>
  <w:endnote w:type="continuationSeparator" w:id="0">
    <w:p w14:paraId="7D08D670" w14:textId="77777777" w:rsidR="00C335D9" w:rsidRDefault="00C335D9">
      <w:r>
        <w:continuationSeparator/>
      </w:r>
    </w:p>
  </w:endnote>
  <w:endnote w:type="continuationNotice" w:id="1">
    <w:p w14:paraId="3CBB6948" w14:textId="77777777" w:rsidR="00C335D9" w:rsidRDefault="00C3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7D64512A" w14:textId="77777777" w:rsidTr="005F48ED">
      <w:trPr>
        <w:trHeight w:hRule="exact" w:val="567"/>
      </w:trPr>
      <w:tc>
        <w:tcPr>
          <w:tcW w:w="510" w:type="dxa"/>
        </w:tcPr>
        <w:p w14:paraId="17E534AF" w14:textId="200D8A1A" w:rsidR="00772909" w:rsidRPr="00A24443" w:rsidRDefault="00771DD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rPr>
            <w:t>4</w:t>
          </w:r>
          <w:r w:rsidRPr="00A24443">
            <w:rPr>
              <w:rStyle w:val="PageNumber"/>
              <w:caps w:val="0"/>
            </w:rPr>
            <w:fldChar w:fldCharType="end"/>
          </w:r>
        </w:p>
      </w:tc>
      <w:tc>
        <w:tcPr>
          <w:tcW w:w="7767" w:type="dxa"/>
        </w:tcPr>
        <w:p w14:paraId="4F22E2CF" w14:textId="742C7F4D" w:rsidR="00772909" w:rsidRPr="0013739A" w:rsidRDefault="00112433" w:rsidP="0013739A">
          <w:pPr>
            <w:pStyle w:val="Footer"/>
            <w:rPr>
              <w:rFonts w:cs="Arial"/>
            </w:rPr>
          </w:pPr>
          <w:bookmarkStart w:id="1" w:name="DraftReportEven"/>
          <w:bookmarkEnd w:id="1"/>
          <w:r>
            <w:rPr>
              <w:rFonts w:cs="Arial"/>
            </w:rPr>
            <w:t xml:space="preserve">productivity commission </w:t>
          </w:r>
          <w:r w:rsidR="00193105">
            <w:rPr>
              <w:rFonts w:cs="Arial"/>
            </w:rPr>
            <w:t>submission</w:t>
          </w:r>
        </w:p>
      </w:tc>
      <w:tc>
        <w:tcPr>
          <w:tcW w:w="510" w:type="dxa"/>
        </w:tcPr>
        <w:p w14:paraId="0863F2BF" w14:textId="7AAED425" w:rsidR="00772909" w:rsidRDefault="00772909" w:rsidP="008E519D">
          <w:pPr>
            <w:pStyle w:val="Footer"/>
            <w:jc w:val="right"/>
          </w:pPr>
        </w:p>
      </w:tc>
    </w:tr>
  </w:tbl>
  <w:p w14:paraId="0C8AB8EA" w14:textId="77777777" w:rsidR="00772909" w:rsidRDefault="00772909"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8222"/>
      <w:gridCol w:w="567"/>
    </w:tblGrid>
    <w:tr w:rsidR="00A51D8B" w14:paraId="6879CB0D" w14:textId="4FBF3804" w:rsidTr="00A51D8B">
      <w:trPr>
        <w:trHeight w:hRule="exact" w:val="567"/>
      </w:trPr>
      <w:tc>
        <w:tcPr>
          <w:tcW w:w="8222" w:type="dxa"/>
        </w:tcPr>
        <w:p w14:paraId="1CA1DABD" w14:textId="5506B268" w:rsidR="00A51D8B" w:rsidRDefault="00FB4136" w:rsidP="00FD2591">
          <w:pPr>
            <w:pStyle w:val="Footer"/>
            <w:ind w:right="360" w:firstLine="360"/>
            <w:jc w:val="right"/>
          </w:pPr>
          <w:r>
            <w:t>Submission to the Indigenous Voice Co-design Process</w:t>
          </w:r>
        </w:p>
      </w:tc>
      <w:tc>
        <w:tcPr>
          <w:tcW w:w="567" w:type="dxa"/>
        </w:tcPr>
        <w:p w14:paraId="75D4C3B9" w14:textId="35B6102F" w:rsidR="00A51D8B" w:rsidRPr="00F57431" w:rsidRDefault="00F57431">
          <w:pPr>
            <w:pStyle w:val="Footer"/>
            <w:ind w:right="360" w:firstLine="360"/>
            <w:rPr>
              <w:b/>
              <w:bCs/>
            </w:rPr>
          </w:pPr>
          <w:r w:rsidRPr="00F57431">
            <w:rPr>
              <w:b/>
              <w:bCs/>
            </w:rPr>
            <w:fldChar w:fldCharType="begin"/>
          </w:r>
          <w:r w:rsidRPr="00F57431">
            <w:rPr>
              <w:b/>
              <w:bCs/>
            </w:rPr>
            <w:instrText xml:space="preserve"> PAGE   \* MERGEFORMAT </w:instrText>
          </w:r>
          <w:r w:rsidRPr="00F57431">
            <w:rPr>
              <w:b/>
              <w:bCs/>
            </w:rPr>
            <w:fldChar w:fldCharType="separate"/>
          </w:r>
          <w:r w:rsidRPr="00F57431">
            <w:rPr>
              <w:b/>
              <w:bCs/>
              <w:noProof/>
            </w:rPr>
            <w:t>1</w:t>
          </w:r>
          <w:r w:rsidRPr="00F57431">
            <w:rPr>
              <w:b/>
              <w:bCs/>
              <w:noProof/>
            </w:rPr>
            <w:fldChar w:fldCharType="end"/>
          </w:r>
        </w:p>
      </w:tc>
    </w:tr>
  </w:tbl>
  <w:p w14:paraId="236FAF9B" w14:textId="77777777" w:rsidR="00772909" w:rsidRDefault="0077290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F9C92" w14:textId="77777777" w:rsidR="00C335D9" w:rsidRDefault="00C335D9">
      <w:r>
        <w:separator/>
      </w:r>
    </w:p>
  </w:footnote>
  <w:footnote w:type="continuationSeparator" w:id="0">
    <w:p w14:paraId="5BBFC2DD" w14:textId="77777777" w:rsidR="00C335D9" w:rsidRDefault="00C335D9">
      <w:r>
        <w:continuationSeparator/>
      </w:r>
    </w:p>
  </w:footnote>
  <w:footnote w:type="continuationNotice" w:id="1">
    <w:p w14:paraId="27D6C1DE" w14:textId="77777777" w:rsidR="00C335D9" w:rsidRDefault="00C335D9"/>
  </w:footnote>
  <w:footnote w:id="2">
    <w:p w14:paraId="7A38D2FB" w14:textId="64609BFE" w:rsidR="00AB61B3" w:rsidRDefault="00AB61B3" w:rsidP="00D57725">
      <w:pPr>
        <w:pStyle w:val="FootnoteText"/>
        <w:jc w:val="left"/>
      </w:pPr>
      <w:r>
        <w:rPr>
          <w:rStyle w:val="FootnoteReference"/>
        </w:rPr>
        <w:footnoteRef/>
      </w:r>
      <w:r>
        <w:tab/>
      </w:r>
      <w:r w:rsidRPr="00AB61B3">
        <w:t>The Commission is required under its Act to report annually not only on its activities, but also on industry and productivity performance generally, as well as on the effects of industry assistance and regulation.</w:t>
      </w:r>
      <w:r w:rsidR="000425BA">
        <w:t xml:space="preserve"> </w:t>
      </w:r>
      <w:r w:rsidR="00D57725">
        <w:t>T</w:t>
      </w:r>
      <w:r w:rsidR="0086690D">
        <w:t>he</w:t>
      </w:r>
      <w:r w:rsidR="00D57725">
        <w:t xml:space="preserve"> </w:t>
      </w:r>
      <w:r w:rsidR="00412DCA">
        <w:t xml:space="preserve">annual </w:t>
      </w:r>
      <w:r w:rsidR="00412DCA" w:rsidRPr="00B67E0F">
        <w:rPr>
          <w:i/>
          <w:iCs/>
        </w:rPr>
        <w:t>Trade and Assistance Review</w:t>
      </w:r>
      <w:r w:rsidR="00412DCA">
        <w:t xml:space="preserve"> </w:t>
      </w:r>
      <w:r w:rsidR="00B67E0F">
        <w:t xml:space="preserve">and </w:t>
      </w:r>
      <w:r w:rsidR="00B67E0F" w:rsidRPr="00B67E0F">
        <w:rPr>
          <w:i/>
          <w:iCs/>
        </w:rPr>
        <w:t>Productivity Insights series</w:t>
      </w:r>
      <w:r w:rsidR="0086690D">
        <w:rPr>
          <w:i/>
          <w:iCs/>
        </w:rPr>
        <w:t xml:space="preserve"> </w:t>
      </w:r>
      <w:r w:rsidR="0086690D">
        <w:t>are the relevant publications</w:t>
      </w:r>
      <w:r w:rsidR="00B67E0F">
        <w:t>.</w:t>
      </w:r>
      <w:r w:rsidR="000425B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1B48B203" w14:textId="77777777">
      <w:tc>
        <w:tcPr>
          <w:tcW w:w="2155" w:type="dxa"/>
          <w:tcBorders>
            <w:top w:val="single" w:sz="24" w:space="0" w:color="auto"/>
          </w:tcBorders>
        </w:tcPr>
        <w:p w14:paraId="6FB10C54" w14:textId="77777777" w:rsidR="00772909" w:rsidRDefault="00772909" w:rsidP="0019293B">
          <w:pPr>
            <w:pStyle w:val="HeaderEven"/>
          </w:pPr>
        </w:p>
      </w:tc>
      <w:tc>
        <w:tcPr>
          <w:tcW w:w="6634" w:type="dxa"/>
          <w:tcBorders>
            <w:top w:val="single" w:sz="6" w:space="0" w:color="auto"/>
          </w:tcBorders>
        </w:tcPr>
        <w:p w14:paraId="7632F0B1" w14:textId="77777777" w:rsidR="00772909" w:rsidRDefault="00772909" w:rsidP="0019293B">
          <w:pPr>
            <w:pStyle w:val="HeaderEven"/>
          </w:pPr>
        </w:p>
      </w:tc>
    </w:tr>
  </w:tbl>
  <w:p w14:paraId="4EE1CC5E" w14:textId="77777777" w:rsidR="00772909" w:rsidRDefault="00772909" w:rsidP="0019293B">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13"/>
  </w:num>
  <w:num w:numId="23">
    <w:abstractNumId w:val="13"/>
  </w:num>
  <w:num w:numId="24">
    <w:abstractNumId w:val="13"/>
  </w:num>
  <w:num w:numId="25">
    <w:abstractNumId w:val="13"/>
  </w:num>
  <w:num w:numId="26">
    <w:abstractNumId w:val="3"/>
  </w:num>
  <w:num w:numId="2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Chapter"/>
    <w:docVar w:name="ShortReportTitle" w:val="Report"/>
  </w:docVars>
  <w:rsids>
    <w:rsidRoot w:val="00A004B2"/>
    <w:rsid w:val="000071D3"/>
    <w:rsid w:val="00007E5B"/>
    <w:rsid w:val="0001283F"/>
    <w:rsid w:val="000227D5"/>
    <w:rsid w:val="000245AA"/>
    <w:rsid w:val="00032C45"/>
    <w:rsid w:val="00035C63"/>
    <w:rsid w:val="0003664B"/>
    <w:rsid w:val="0004111F"/>
    <w:rsid w:val="000425BA"/>
    <w:rsid w:val="00046187"/>
    <w:rsid w:val="0004703F"/>
    <w:rsid w:val="00053F70"/>
    <w:rsid w:val="00055077"/>
    <w:rsid w:val="000565B3"/>
    <w:rsid w:val="00062A03"/>
    <w:rsid w:val="00063F75"/>
    <w:rsid w:val="00064137"/>
    <w:rsid w:val="0007150B"/>
    <w:rsid w:val="000740C3"/>
    <w:rsid w:val="0007569D"/>
    <w:rsid w:val="00085038"/>
    <w:rsid w:val="000938F5"/>
    <w:rsid w:val="00094BC6"/>
    <w:rsid w:val="00095600"/>
    <w:rsid w:val="00095663"/>
    <w:rsid w:val="00096E55"/>
    <w:rsid w:val="0009783E"/>
    <w:rsid w:val="000A08F8"/>
    <w:rsid w:val="000A2737"/>
    <w:rsid w:val="000B1022"/>
    <w:rsid w:val="000B1198"/>
    <w:rsid w:val="000B52F5"/>
    <w:rsid w:val="000B601B"/>
    <w:rsid w:val="000C207E"/>
    <w:rsid w:val="000C4DE4"/>
    <w:rsid w:val="000D2882"/>
    <w:rsid w:val="000D31D3"/>
    <w:rsid w:val="000D41E9"/>
    <w:rsid w:val="000D5A3D"/>
    <w:rsid w:val="000D7E59"/>
    <w:rsid w:val="000E2290"/>
    <w:rsid w:val="000F0035"/>
    <w:rsid w:val="000F013A"/>
    <w:rsid w:val="000F04E7"/>
    <w:rsid w:val="000F060A"/>
    <w:rsid w:val="000F0F5A"/>
    <w:rsid w:val="000F309C"/>
    <w:rsid w:val="000F420B"/>
    <w:rsid w:val="000F539C"/>
    <w:rsid w:val="000F6B1C"/>
    <w:rsid w:val="000F7894"/>
    <w:rsid w:val="001002ED"/>
    <w:rsid w:val="00103DE9"/>
    <w:rsid w:val="001055DF"/>
    <w:rsid w:val="001058E0"/>
    <w:rsid w:val="00110116"/>
    <w:rsid w:val="00112433"/>
    <w:rsid w:val="001164DA"/>
    <w:rsid w:val="00120072"/>
    <w:rsid w:val="00120229"/>
    <w:rsid w:val="001262BB"/>
    <w:rsid w:val="00126EB8"/>
    <w:rsid w:val="001274D4"/>
    <w:rsid w:val="001363AA"/>
    <w:rsid w:val="0013739A"/>
    <w:rsid w:val="00141AFF"/>
    <w:rsid w:val="00142165"/>
    <w:rsid w:val="00146F8A"/>
    <w:rsid w:val="00151782"/>
    <w:rsid w:val="0015352C"/>
    <w:rsid w:val="001572CF"/>
    <w:rsid w:val="00157651"/>
    <w:rsid w:val="00157E35"/>
    <w:rsid w:val="00162434"/>
    <w:rsid w:val="00162CD8"/>
    <w:rsid w:val="00167EE7"/>
    <w:rsid w:val="00170CBD"/>
    <w:rsid w:val="00175218"/>
    <w:rsid w:val="00183E82"/>
    <w:rsid w:val="0018776D"/>
    <w:rsid w:val="001878BB"/>
    <w:rsid w:val="001903CC"/>
    <w:rsid w:val="00191AE0"/>
    <w:rsid w:val="0019293B"/>
    <w:rsid w:val="00193105"/>
    <w:rsid w:val="0019426B"/>
    <w:rsid w:val="0019518F"/>
    <w:rsid w:val="00197213"/>
    <w:rsid w:val="001A285A"/>
    <w:rsid w:val="001A6A4B"/>
    <w:rsid w:val="001C0865"/>
    <w:rsid w:val="001C0AED"/>
    <w:rsid w:val="001C3ABA"/>
    <w:rsid w:val="001C5111"/>
    <w:rsid w:val="001D3317"/>
    <w:rsid w:val="001D7013"/>
    <w:rsid w:val="001E5FF2"/>
    <w:rsid w:val="001E7BE8"/>
    <w:rsid w:val="001F0248"/>
    <w:rsid w:val="001F3EB3"/>
    <w:rsid w:val="001F4F86"/>
    <w:rsid w:val="001F6CD9"/>
    <w:rsid w:val="002013B0"/>
    <w:rsid w:val="002020E2"/>
    <w:rsid w:val="00202C2C"/>
    <w:rsid w:val="00203050"/>
    <w:rsid w:val="00203159"/>
    <w:rsid w:val="002135AB"/>
    <w:rsid w:val="002144BE"/>
    <w:rsid w:val="002225FB"/>
    <w:rsid w:val="002320B8"/>
    <w:rsid w:val="002323A6"/>
    <w:rsid w:val="00234E03"/>
    <w:rsid w:val="002410E2"/>
    <w:rsid w:val="00242279"/>
    <w:rsid w:val="00243997"/>
    <w:rsid w:val="0024516C"/>
    <w:rsid w:val="00245C82"/>
    <w:rsid w:val="002533CB"/>
    <w:rsid w:val="00253523"/>
    <w:rsid w:val="00257174"/>
    <w:rsid w:val="002635AE"/>
    <w:rsid w:val="0026446B"/>
    <w:rsid w:val="00271E30"/>
    <w:rsid w:val="002724BA"/>
    <w:rsid w:val="00273E9C"/>
    <w:rsid w:val="00275D6F"/>
    <w:rsid w:val="00275E95"/>
    <w:rsid w:val="0027761F"/>
    <w:rsid w:val="0028087A"/>
    <w:rsid w:val="0029091A"/>
    <w:rsid w:val="00291B40"/>
    <w:rsid w:val="00297D86"/>
    <w:rsid w:val="002A2E7F"/>
    <w:rsid w:val="002A4FD8"/>
    <w:rsid w:val="002B046D"/>
    <w:rsid w:val="002B4008"/>
    <w:rsid w:val="002C439F"/>
    <w:rsid w:val="002C519F"/>
    <w:rsid w:val="002C5A8C"/>
    <w:rsid w:val="002C6BBC"/>
    <w:rsid w:val="002D068D"/>
    <w:rsid w:val="002D0BD2"/>
    <w:rsid w:val="002D0C42"/>
    <w:rsid w:val="002D0E8E"/>
    <w:rsid w:val="002D7191"/>
    <w:rsid w:val="002E0A97"/>
    <w:rsid w:val="002E655A"/>
    <w:rsid w:val="002E65E5"/>
    <w:rsid w:val="002F3F65"/>
    <w:rsid w:val="002F4DB9"/>
    <w:rsid w:val="002F6C0B"/>
    <w:rsid w:val="00300FF5"/>
    <w:rsid w:val="00301189"/>
    <w:rsid w:val="00301E4A"/>
    <w:rsid w:val="00315A23"/>
    <w:rsid w:val="003168B8"/>
    <w:rsid w:val="00320D2D"/>
    <w:rsid w:val="00322D64"/>
    <w:rsid w:val="00323E09"/>
    <w:rsid w:val="0033045F"/>
    <w:rsid w:val="00333932"/>
    <w:rsid w:val="00333E0F"/>
    <w:rsid w:val="003517FF"/>
    <w:rsid w:val="003518AA"/>
    <w:rsid w:val="00352165"/>
    <w:rsid w:val="00353182"/>
    <w:rsid w:val="00355E51"/>
    <w:rsid w:val="003565D9"/>
    <w:rsid w:val="003602E1"/>
    <w:rsid w:val="00360574"/>
    <w:rsid w:val="00364D9F"/>
    <w:rsid w:val="0037026F"/>
    <w:rsid w:val="00371240"/>
    <w:rsid w:val="00371E4C"/>
    <w:rsid w:val="00373063"/>
    <w:rsid w:val="00374731"/>
    <w:rsid w:val="00375CF0"/>
    <w:rsid w:val="00376E59"/>
    <w:rsid w:val="0037772E"/>
    <w:rsid w:val="00377EC1"/>
    <w:rsid w:val="00380340"/>
    <w:rsid w:val="00381C33"/>
    <w:rsid w:val="003860D8"/>
    <w:rsid w:val="003919F9"/>
    <w:rsid w:val="003920CF"/>
    <w:rsid w:val="00393613"/>
    <w:rsid w:val="0039443D"/>
    <w:rsid w:val="00397AE8"/>
    <w:rsid w:val="003A1FBC"/>
    <w:rsid w:val="003A3B23"/>
    <w:rsid w:val="003A7D7C"/>
    <w:rsid w:val="003B17E2"/>
    <w:rsid w:val="003B23C2"/>
    <w:rsid w:val="003B2D21"/>
    <w:rsid w:val="003B70C4"/>
    <w:rsid w:val="003C38B5"/>
    <w:rsid w:val="003C5D99"/>
    <w:rsid w:val="003D1087"/>
    <w:rsid w:val="003D60B0"/>
    <w:rsid w:val="003E2F59"/>
    <w:rsid w:val="003E475D"/>
    <w:rsid w:val="003E746B"/>
    <w:rsid w:val="003F0789"/>
    <w:rsid w:val="003F4B72"/>
    <w:rsid w:val="003F781F"/>
    <w:rsid w:val="00400BB1"/>
    <w:rsid w:val="00401882"/>
    <w:rsid w:val="004100C8"/>
    <w:rsid w:val="00411DBD"/>
    <w:rsid w:val="00412ACE"/>
    <w:rsid w:val="00412DCA"/>
    <w:rsid w:val="004145D2"/>
    <w:rsid w:val="0041585F"/>
    <w:rsid w:val="0042280C"/>
    <w:rsid w:val="00425128"/>
    <w:rsid w:val="00426CB4"/>
    <w:rsid w:val="00431249"/>
    <w:rsid w:val="00434C19"/>
    <w:rsid w:val="00436552"/>
    <w:rsid w:val="00445DE8"/>
    <w:rsid w:val="00450810"/>
    <w:rsid w:val="0045618D"/>
    <w:rsid w:val="00460F20"/>
    <w:rsid w:val="00462C59"/>
    <w:rsid w:val="0046770B"/>
    <w:rsid w:val="00470737"/>
    <w:rsid w:val="004709C3"/>
    <w:rsid w:val="00471C89"/>
    <w:rsid w:val="00477144"/>
    <w:rsid w:val="00483191"/>
    <w:rsid w:val="00491380"/>
    <w:rsid w:val="00492A0A"/>
    <w:rsid w:val="00492A95"/>
    <w:rsid w:val="0049459F"/>
    <w:rsid w:val="0049557F"/>
    <w:rsid w:val="004A1285"/>
    <w:rsid w:val="004A38DD"/>
    <w:rsid w:val="004B04F0"/>
    <w:rsid w:val="004B2CD3"/>
    <w:rsid w:val="004B42B4"/>
    <w:rsid w:val="004B43AE"/>
    <w:rsid w:val="004C30ED"/>
    <w:rsid w:val="004C3BD4"/>
    <w:rsid w:val="004C4D30"/>
    <w:rsid w:val="004D1A25"/>
    <w:rsid w:val="004D3323"/>
    <w:rsid w:val="004D5675"/>
    <w:rsid w:val="004E29A7"/>
    <w:rsid w:val="004F57FD"/>
    <w:rsid w:val="00500663"/>
    <w:rsid w:val="00501A17"/>
    <w:rsid w:val="00511315"/>
    <w:rsid w:val="00511704"/>
    <w:rsid w:val="005119C8"/>
    <w:rsid w:val="0051306E"/>
    <w:rsid w:val="00517795"/>
    <w:rsid w:val="00517D3A"/>
    <w:rsid w:val="00523639"/>
    <w:rsid w:val="00524EFD"/>
    <w:rsid w:val="00527F98"/>
    <w:rsid w:val="00531FE5"/>
    <w:rsid w:val="00534E06"/>
    <w:rsid w:val="00537718"/>
    <w:rsid w:val="005402FA"/>
    <w:rsid w:val="00541E1A"/>
    <w:rsid w:val="005448AE"/>
    <w:rsid w:val="00563854"/>
    <w:rsid w:val="005729BD"/>
    <w:rsid w:val="00573437"/>
    <w:rsid w:val="00573BE3"/>
    <w:rsid w:val="00577851"/>
    <w:rsid w:val="00580154"/>
    <w:rsid w:val="00583925"/>
    <w:rsid w:val="00583C39"/>
    <w:rsid w:val="00586A90"/>
    <w:rsid w:val="00587F28"/>
    <w:rsid w:val="005909CF"/>
    <w:rsid w:val="00591E71"/>
    <w:rsid w:val="00594FEF"/>
    <w:rsid w:val="00595671"/>
    <w:rsid w:val="005A0329"/>
    <w:rsid w:val="005A0D41"/>
    <w:rsid w:val="005B6EF2"/>
    <w:rsid w:val="005B7C26"/>
    <w:rsid w:val="005C2F74"/>
    <w:rsid w:val="005D329F"/>
    <w:rsid w:val="005E5717"/>
    <w:rsid w:val="005F1184"/>
    <w:rsid w:val="005F3C6F"/>
    <w:rsid w:val="005F48ED"/>
    <w:rsid w:val="005F76F0"/>
    <w:rsid w:val="00606E78"/>
    <w:rsid w:val="00607BF1"/>
    <w:rsid w:val="0061401B"/>
    <w:rsid w:val="00616158"/>
    <w:rsid w:val="00624D27"/>
    <w:rsid w:val="00630D4D"/>
    <w:rsid w:val="00632A74"/>
    <w:rsid w:val="006343F1"/>
    <w:rsid w:val="0063527D"/>
    <w:rsid w:val="006353E7"/>
    <w:rsid w:val="00637C29"/>
    <w:rsid w:val="00637C5E"/>
    <w:rsid w:val="0064435E"/>
    <w:rsid w:val="006533EB"/>
    <w:rsid w:val="00654D42"/>
    <w:rsid w:val="0065669A"/>
    <w:rsid w:val="006607DA"/>
    <w:rsid w:val="00661A85"/>
    <w:rsid w:val="006625A9"/>
    <w:rsid w:val="00663E4E"/>
    <w:rsid w:val="00664621"/>
    <w:rsid w:val="00665D88"/>
    <w:rsid w:val="00666E02"/>
    <w:rsid w:val="00673C90"/>
    <w:rsid w:val="00674C9F"/>
    <w:rsid w:val="00695523"/>
    <w:rsid w:val="006A1898"/>
    <w:rsid w:val="006A4424"/>
    <w:rsid w:val="006A4655"/>
    <w:rsid w:val="006A7758"/>
    <w:rsid w:val="006B2B3C"/>
    <w:rsid w:val="006B3826"/>
    <w:rsid w:val="006B75F9"/>
    <w:rsid w:val="006C1D81"/>
    <w:rsid w:val="006C1FD2"/>
    <w:rsid w:val="006C7038"/>
    <w:rsid w:val="006D6970"/>
    <w:rsid w:val="006E53B7"/>
    <w:rsid w:val="006E73EF"/>
    <w:rsid w:val="006F2C11"/>
    <w:rsid w:val="00701C9F"/>
    <w:rsid w:val="007079C9"/>
    <w:rsid w:val="00712AFF"/>
    <w:rsid w:val="00714D4D"/>
    <w:rsid w:val="00716DCB"/>
    <w:rsid w:val="00725B93"/>
    <w:rsid w:val="00725F8C"/>
    <w:rsid w:val="00726291"/>
    <w:rsid w:val="007266D3"/>
    <w:rsid w:val="0073057B"/>
    <w:rsid w:val="00732029"/>
    <w:rsid w:val="00735946"/>
    <w:rsid w:val="007423B3"/>
    <w:rsid w:val="00743A1A"/>
    <w:rsid w:val="00747A79"/>
    <w:rsid w:val="007578EE"/>
    <w:rsid w:val="00760348"/>
    <w:rsid w:val="007604BB"/>
    <w:rsid w:val="00760EFF"/>
    <w:rsid w:val="007623BB"/>
    <w:rsid w:val="007713C4"/>
    <w:rsid w:val="00771612"/>
    <w:rsid w:val="00771DD0"/>
    <w:rsid w:val="00771EAF"/>
    <w:rsid w:val="00772137"/>
    <w:rsid w:val="00772909"/>
    <w:rsid w:val="0078000E"/>
    <w:rsid w:val="007801F8"/>
    <w:rsid w:val="00780F3C"/>
    <w:rsid w:val="007826D2"/>
    <w:rsid w:val="00783F8F"/>
    <w:rsid w:val="00785232"/>
    <w:rsid w:val="00785B14"/>
    <w:rsid w:val="0078769B"/>
    <w:rsid w:val="0079114E"/>
    <w:rsid w:val="00796E35"/>
    <w:rsid w:val="0079701E"/>
    <w:rsid w:val="007A21EB"/>
    <w:rsid w:val="007A239B"/>
    <w:rsid w:val="007A4C32"/>
    <w:rsid w:val="007B1A93"/>
    <w:rsid w:val="007B37F7"/>
    <w:rsid w:val="007B468A"/>
    <w:rsid w:val="007B4BB9"/>
    <w:rsid w:val="007C0F8E"/>
    <w:rsid w:val="007C111F"/>
    <w:rsid w:val="007C36C9"/>
    <w:rsid w:val="007C4ED5"/>
    <w:rsid w:val="007D6401"/>
    <w:rsid w:val="007D7799"/>
    <w:rsid w:val="007E01E4"/>
    <w:rsid w:val="007E08A0"/>
    <w:rsid w:val="007E6276"/>
    <w:rsid w:val="007E7A12"/>
    <w:rsid w:val="007F069D"/>
    <w:rsid w:val="007F0EA6"/>
    <w:rsid w:val="007F7107"/>
    <w:rsid w:val="00800D4C"/>
    <w:rsid w:val="00807B4A"/>
    <w:rsid w:val="00807E42"/>
    <w:rsid w:val="0081030F"/>
    <w:rsid w:val="00812F4A"/>
    <w:rsid w:val="0081575C"/>
    <w:rsid w:val="00820795"/>
    <w:rsid w:val="0082087D"/>
    <w:rsid w:val="00830B66"/>
    <w:rsid w:val="00834634"/>
    <w:rsid w:val="00835771"/>
    <w:rsid w:val="0083795E"/>
    <w:rsid w:val="00842933"/>
    <w:rsid w:val="0086082C"/>
    <w:rsid w:val="00864ADC"/>
    <w:rsid w:val="0086690D"/>
    <w:rsid w:val="00871630"/>
    <w:rsid w:val="00875B4A"/>
    <w:rsid w:val="00880153"/>
    <w:rsid w:val="00880F97"/>
    <w:rsid w:val="0088133A"/>
    <w:rsid w:val="00883430"/>
    <w:rsid w:val="008835FD"/>
    <w:rsid w:val="008920E8"/>
    <w:rsid w:val="0089285E"/>
    <w:rsid w:val="0089436C"/>
    <w:rsid w:val="008974F3"/>
    <w:rsid w:val="008A04B6"/>
    <w:rsid w:val="008A57F3"/>
    <w:rsid w:val="008A5943"/>
    <w:rsid w:val="008A71D3"/>
    <w:rsid w:val="008C2D2C"/>
    <w:rsid w:val="008C403F"/>
    <w:rsid w:val="008C4ED3"/>
    <w:rsid w:val="008C6233"/>
    <w:rsid w:val="008D2487"/>
    <w:rsid w:val="008D365C"/>
    <w:rsid w:val="008D7622"/>
    <w:rsid w:val="008E45E1"/>
    <w:rsid w:val="008E519D"/>
    <w:rsid w:val="008F2277"/>
    <w:rsid w:val="009002B2"/>
    <w:rsid w:val="00900E5E"/>
    <w:rsid w:val="009019CE"/>
    <w:rsid w:val="009021A6"/>
    <w:rsid w:val="009030BF"/>
    <w:rsid w:val="00903B52"/>
    <w:rsid w:val="00907CC5"/>
    <w:rsid w:val="0091032F"/>
    <w:rsid w:val="0091073A"/>
    <w:rsid w:val="00914368"/>
    <w:rsid w:val="00915E0E"/>
    <w:rsid w:val="0092439E"/>
    <w:rsid w:val="00931076"/>
    <w:rsid w:val="009343CC"/>
    <w:rsid w:val="009345D9"/>
    <w:rsid w:val="00934808"/>
    <w:rsid w:val="00934B15"/>
    <w:rsid w:val="00940476"/>
    <w:rsid w:val="00940C87"/>
    <w:rsid w:val="00942B62"/>
    <w:rsid w:val="0095099F"/>
    <w:rsid w:val="0095323B"/>
    <w:rsid w:val="00956A0C"/>
    <w:rsid w:val="00956BD9"/>
    <w:rsid w:val="00957483"/>
    <w:rsid w:val="00960D47"/>
    <w:rsid w:val="00962489"/>
    <w:rsid w:val="00963B57"/>
    <w:rsid w:val="00964CD8"/>
    <w:rsid w:val="00966D61"/>
    <w:rsid w:val="00967CD3"/>
    <w:rsid w:val="009707E3"/>
    <w:rsid w:val="00971DA4"/>
    <w:rsid w:val="00971F5D"/>
    <w:rsid w:val="00977BF7"/>
    <w:rsid w:val="0098492C"/>
    <w:rsid w:val="00990C2C"/>
    <w:rsid w:val="0099316D"/>
    <w:rsid w:val="009A5171"/>
    <w:rsid w:val="009B0B1A"/>
    <w:rsid w:val="009B1823"/>
    <w:rsid w:val="009C186D"/>
    <w:rsid w:val="009C517D"/>
    <w:rsid w:val="009C6816"/>
    <w:rsid w:val="009D632D"/>
    <w:rsid w:val="009D7184"/>
    <w:rsid w:val="009E0769"/>
    <w:rsid w:val="009E0D8E"/>
    <w:rsid w:val="009E1844"/>
    <w:rsid w:val="009F0D1B"/>
    <w:rsid w:val="009F1C6E"/>
    <w:rsid w:val="009F53DD"/>
    <w:rsid w:val="009F5BBD"/>
    <w:rsid w:val="009F696D"/>
    <w:rsid w:val="009F6BC6"/>
    <w:rsid w:val="009F74EF"/>
    <w:rsid w:val="00A004B2"/>
    <w:rsid w:val="00A00DBD"/>
    <w:rsid w:val="00A02826"/>
    <w:rsid w:val="00A159AC"/>
    <w:rsid w:val="00A15D5A"/>
    <w:rsid w:val="00A17328"/>
    <w:rsid w:val="00A177FD"/>
    <w:rsid w:val="00A23A20"/>
    <w:rsid w:val="00A24443"/>
    <w:rsid w:val="00A24A0B"/>
    <w:rsid w:val="00A268B9"/>
    <w:rsid w:val="00A2703A"/>
    <w:rsid w:val="00A31256"/>
    <w:rsid w:val="00A33DFF"/>
    <w:rsid w:val="00A35115"/>
    <w:rsid w:val="00A36D9A"/>
    <w:rsid w:val="00A404E2"/>
    <w:rsid w:val="00A40842"/>
    <w:rsid w:val="00A451DC"/>
    <w:rsid w:val="00A51D8B"/>
    <w:rsid w:val="00A554AB"/>
    <w:rsid w:val="00A55620"/>
    <w:rsid w:val="00A57062"/>
    <w:rsid w:val="00A61954"/>
    <w:rsid w:val="00A66A9C"/>
    <w:rsid w:val="00A67781"/>
    <w:rsid w:val="00A71493"/>
    <w:rsid w:val="00A7331F"/>
    <w:rsid w:val="00A761F9"/>
    <w:rsid w:val="00A76646"/>
    <w:rsid w:val="00A80ABB"/>
    <w:rsid w:val="00A87B34"/>
    <w:rsid w:val="00A92B53"/>
    <w:rsid w:val="00A94FA6"/>
    <w:rsid w:val="00A95BD3"/>
    <w:rsid w:val="00AA49A0"/>
    <w:rsid w:val="00AA52AC"/>
    <w:rsid w:val="00AA5E2C"/>
    <w:rsid w:val="00AA6710"/>
    <w:rsid w:val="00AA70CD"/>
    <w:rsid w:val="00AB0681"/>
    <w:rsid w:val="00AB61B3"/>
    <w:rsid w:val="00AC33B4"/>
    <w:rsid w:val="00AC3A15"/>
    <w:rsid w:val="00AC5C63"/>
    <w:rsid w:val="00AD4EE9"/>
    <w:rsid w:val="00AD520B"/>
    <w:rsid w:val="00AD53EC"/>
    <w:rsid w:val="00AE3BCC"/>
    <w:rsid w:val="00AE5AF1"/>
    <w:rsid w:val="00AF3088"/>
    <w:rsid w:val="00AF30A1"/>
    <w:rsid w:val="00B00B0D"/>
    <w:rsid w:val="00B10379"/>
    <w:rsid w:val="00B141D5"/>
    <w:rsid w:val="00B22658"/>
    <w:rsid w:val="00B24C66"/>
    <w:rsid w:val="00B26C8F"/>
    <w:rsid w:val="00B27B01"/>
    <w:rsid w:val="00B32095"/>
    <w:rsid w:val="00B425C3"/>
    <w:rsid w:val="00B4373D"/>
    <w:rsid w:val="00B440AD"/>
    <w:rsid w:val="00B479BB"/>
    <w:rsid w:val="00B52D7F"/>
    <w:rsid w:val="00B53E73"/>
    <w:rsid w:val="00B53E7E"/>
    <w:rsid w:val="00B57E4D"/>
    <w:rsid w:val="00B6342E"/>
    <w:rsid w:val="00B67E0F"/>
    <w:rsid w:val="00B7113F"/>
    <w:rsid w:val="00B75D92"/>
    <w:rsid w:val="00B90BAA"/>
    <w:rsid w:val="00B92E43"/>
    <w:rsid w:val="00BA2BCF"/>
    <w:rsid w:val="00BA5B14"/>
    <w:rsid w:val="00BA73B6"/>
    <w:rsid w:val="00BA7E27"/>
    <w:rsid w:val="00BB00B4"/>
    <w:rsid w:val="00BB2603"/>
    <w:rsid w:val="00BB4FCD"/>
    <w:rsid w:val="00BC04E9"/>
    <w:rsid w:val="00BC69BE"/>
    <w:rsid w:val="00BC747B"/>
    <w:rsid w:val="00BD13EA"/>
    <w:rsid w:val="00BD18FB"/>
    <w:rsid w:val="00BD1B4D"/>
    <w:rsid w:val="00BD2E81"/>
    <w:rsid w:val="00BD5C80"/>
    <w:rsid w:val="00BE2B65"/>
    <w:rsid w:val="00BE3808"/>
    <w:rsid w:val="00BF49AC"/>
    <w:rsid w:val="00BF5CCB"/>
    <w:rsid w:val="00BF61BE"/>
    <w:rsid w:val="00BF6534"/>
    <w:rsid w:val="00BF79C0"/>
    <w:rsid w:val="00C01E71"/>
    <w:rsid w:val="00C03B88"/>
    <w:rsid w:val="00C062E9"/>
    <w:rsid w:val="00C069AA"/>
    <w:rsid w:val="00C07B64"/>
    <w:rsid w:val="00C13721"/>
    <w:rsid w:val="00C14DA2"/>
    <w:rsid w:val="00C14FE4"/>
    <w:rsid w:val="00C3066D"/>
    <w:rsid w:val="00C335D9"/>
    <w:rsid w:val="00C37138"/>
    <w:rsid w:val="00C37F74"/>
    <w:rsid w:val="00C4097E"/>
    <w:rsid w:val="00C42117"/>
    <w:rsid w:val="00C44438"/>
    <w:rsid w:val="00C44CF1"/>
    <w:rsid w:val="00C459A4"/>
    <w:rsid w:val="00C51806"/>
    <w:rsid w:val="00C52416"/>
    <w:rsid w:val="00C543F4"/>
    <w:rsid w:val="00C54507"/>
    <w:rsid w:val="00C57FD6"/>
    <w:rsid w:val="00C622E7"/>
    <w:rsid w:val="00C62614"/>
    <w:rsid w:val="00C6291C"/>
    <w:rsid w:val="00C633CB"/>
    <w:rsid w:val="00C664CD"/>
    <w:rsid w:val="00C736B7"/>
    <w:rsid w:val="00C755A9"/>
    <w:rsid w:val="00C77D1C"/>
    <w:rsid w:val="00C77F2F"/>
    <w:rsid w:val="00C81D4A"/>
    <w:rsid w:val="00C82DE7"/>
    <w:rsid w:val="00C86990"/>
    <w:rsid w:val="00C8762C"/>
    <w:rsid w:val="00C90B9A"/>
    <w:rsid w:val="00C9358E"/>
    <w:rsid w:val="00C964C2"/>
    <w:rsid w:val="00CA00F9"/>
    <w:rsid w:val="00CA2961"/>
    <w:rsid w:val="00CA4B2F"/>
    <w:rsid w:val="00CA7969"/>
    <w:rsid w:val="00CB0484"/>
    <w:rsid w:val="00CB47AF"/>
    <w:rsid w:val="00CB50D7"/>
    <w:rsid w:val="00CB7177"/>
    <w:rsid w:val="00CB72B1"/>
    <w:rsid w:val="00CB7CED"/>
    <w:rsid w:val="00CC070F"/>
    <w:rsid w:val="00CC1998"/>
    <w:rsid w:val="00CC4946"/>
    <w:rsid w:val="00CC64A1"/>
    <w:rsid w:val="00CC73A1"/>
    <w:rsid w:val="00CD1066"/>
    <w:rsid w:val="00CD45E0"/>
    <w:rsid w:val="00CE6540"/>
    <w:rsid w:val="00CF3B11"/>
    <w:rsid w:val="00CF47F6"/>
    <w:rsid w:val="00CF6966"/>
    <w:rsid w:val="00D11EA0"/>
    <w:rsid w:val="00D1472D"/>
    <w:rsid w:val="00D17B9B"/>
    <w:rsid w:val="00D20CD4"/>
    <w:rsid w:val="00D20E56"/>
    <w:rsid w:val="00D26EA0"/>
    <w:rsid w:val="00D270A4"/>
    <w:rsid w:val="00D277D0"/>
    <w:rsid w:val="00D3031C"/>
    <w:rsid w:val="00D31FE9"/>
    <w:rsid w:val="00D34791"/>
    <w:rsid w:val="00D34E1B"/>
    <w:rsid w:val="00D376BA"/>
    <w:rsid w:val="00D434A0"/>
    <w:rsid w:val="00D45634"/>
    <w:rsid w:val="00D4578C"/>
    <w:rsid w:val="00D51726"/>
    <w:rsid w:val="00D5568A"/>
    <w:rsid w:val="00D57725"/>
    <w:rsid w:val="00D63554"/>
    <w:rsid w:val="00D6365A"/>
    <w:rsid w:val="00D63D73"/>
    <w:rsid w:val="00D64452"/>
    <w:rsid w:val="00D66E1E"/>
    <w:rsid w:val="00D70696"/>
    <w:rsid w:val="00D75722"/>
    <w:rsid w:val="00D80CF5"/>
    <w:rsid w:val="00D86231"/>
    <w:rsid w:val="00D8797A"/>
    <w:rsid w:val="00D90E1B"/>
    <w:rsid w:val="00D97458"/>
    <w:rsid w:val="00D97E29"/>
    <w:rsid w:val="00DA2B5E"/>
    <w:rsid w:val="00DA5BBA"/>
    <w:rsid w:val="00DA6ABF"/>
    <w:rsid w:val="00DB0E13"/>
    <w:rsid w:val="00DB25EF"/>
    <w:rsid w:val="00DB26D2"/>
    <w:rsid w:val="00DB2C49"/>
    <w:rsid w:val="00DB67C9"/>
    <w:rsid w:val="00DC08D6"/>
    <w:rsid w:val="00DC0C95"/>
    <w:rsid w:val="00DC213F"/>
    <w:rsid w:val="00DC264F"/>
    <w:rsid w:val="00DC4F0B"/>
    <w:rsid w:val="00DD6580"/>
    <w:rsid w:val="00DF084C"/>
    <w:rsid w:val="00E01D7F"/>
    <w:rsid w:val="00E03588"/>
    <w:rsid w:val="00E0504A"/>
    <w:rsid w:val="00E05C03"/>
    <w:rsid w:val="00E07AC7"/>
    <w:rsid w:val="00E07CC0"/>
    <w:rsid w:val="00E10031"/>
    <w:rsid w:val="00E12278"/>
    <w:rsid w:val="00E136F2"/>
    <w:rsid w:val="00E17C72"/>
    <w:rsid w:val="00E20665"/>
    <w:rsid w:val="00E21FC6"/>
    <w:rsid w:val="00E26492"/>
    <w:rsid w:val="00E30828"/>
    <w:rsid w:val="00E314B8"/>
    <w:rsid w:val="00E336FE"/>
    <w:rsid w:val="00E35026"/>
    <w:rsid w:val="00E431A9"/>
    <w:rsid w:val="00E4440F"/>
    <w:rsid w:val="00E47E1E"/>
    <w:rsid w:val="00E51C96"/>
    <w:rsid w:val="00E53F14"/>
    <w:rsid w:val="00E53F75"/>
    <w:rsid w:val="00E61490"/>
    <w:rsid w:val="00E61AB3"/>
    <w:rsid w:val="00E61E57"/>
    <w:rsid w:val="00E669E2"/>
    <w:rsid w:val="00E70EAF"/>
    <w:rsid w:val="00E76135"/>
    <w:rsid w:val="00E76CC5"/>
    <w:rsid w:val="00E825CF"/>
    <w:rsid w:val="00E82F4F"/>
    <w:rsid w:val="00E83E58"/>
    <w:rsid w:val="00E864DF"/>
    <w:rsid w:val="00E86E12"/>
    <w:rsid w:val="00E86E32"/>
    <w:rsid w:val="00E8730E"/>
    <w:rsid w:val="00E9373D"/>
    <w:rsid w:val="00EB1363"/>
    <w:rsid w:val="00EB2CC3"/>
    <w:rsid w:val="00EB53C2"/>
    <w:rsid w:val="00EB5C87"/>
    <w:rsid w:val="00EB631A"/>
    <w:rsid w:val="00EC2844"/>
    <w:rsid w:val="00EC5500"/>
    <w:rsid w:val="00ED18F8"/>
    <w:rsid w:val="00ED3FF8"/>
    <w:rsid w:val="00ED55CC"/>
    <w:rsid w:val="00ED6BBD"/>
    <w:rsid w:val="00EE38CB"/>
    <w:rsid w:val="00EE6EDA"/>
    <w:rsid w:val="00EE778E"/>
    <w:rsid w:val="00EF0095"/>
    <w:rsid w:val="00EF00D9"/>
    <w:rsid w:val="00EF0E04"/>
    <w:rsid w:val="00EF18C0"/>
    <w:rsid w:val="00EF6719"/>
    <w:rsid w:val="00EF6C6C"/>
    <w:rsid w:val="00F056FC"/>
    <w:rsid w:val="00F0632F"/>
    <w:rsid w:val="00F069AE"/>
    <w:rsid w:val="00F10476"/>
    <w:rsid w:val="00F135D8"/>
    <w:rsid w:val="00F24F17"/>
    <w:rsid w:val="00F2555E"/>
    <w:rsid w:val="00F26E98"/>
    <w:rsid w:val="00F306D7"/>
    <w:rsid w:val="00F31299"/>
    <w:rsid w:val="00F3534A"/>
    <w:rsid w:val="00F35BFB"/>
    <w:rsid w:val="00F3666F"/>
    <w:rsid w:val="00F36ACC"/>
    <w:rsid w:val="00F51609"/>
    <w:rsid w:val="00F52910"/>
    <w:rsid w:val="00F5341D"/>
    <w:rsid w:val="00F54EDC"/>
    <w:rsid w:val="00F55C25"/>
    <w:rsid w:val="00F57431"/>
    <w:rsid w:val="00F606B1"/>
    <w:rsid w:val="00F70717"/>
    <w:rsid w:val="00F73727"/>
    <w:rsid w:val="00F766A7"/>
    <w:rsid w:val="00F81006"/>
    <w:rsid w:val="00F82F98"/>
    <w:rsid w:val="00F85325"/>
    <w:rsid w:val="00F95175"/>
    <w:rsid w:val="00FA1C95"/>
    <w:rsid w:val="00FA347E"/>
    <w:rsid w:val="00FA460C"/>
    <w:rsid w:val="00FB4136"/>
    <w:rsid w:val="00FB4C9A"/>
    <w:rsid w:val="00FB7768"/>
    <w:rsid w:val="00FC022D"/>
    <w:rsid w:val="00FC51EF"/>
    <w:rsid w:val="00FC57B9"/>
    <w:rsid w:val="00FD1DD1"/>
    <w:rsid w:val="00FD22B1"/>
    <w:rsid w:val="00FD2591"/>
    <w:rsid w:val="00FD33F1"/>
    <w:rsid w:val="00FD3566"/>
    <w:rsid w:val="00FD7FEB"/>
    <w:rsid w:val="00FE31BA"/>
    <w:rsid w:val="00FE3C71"/>
    <w:rsid w:val="00FE4721"/>
    <w:rsid w:val="00FE5397"/>
    <w:rsid w:val="00FF170C"/>
    <w:rsid w:val="1B60F869"/>
    <w:rsid w:val="265BA12D"/>
    <w:rsid w:val="557C7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C0D7C0"/>
  <w15:docId w15:val="{69203A33-4E03-4EDD-8957-AF68A682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712AF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12AFF"/>
    <w:rPr>
      <w:szCs w:val="24"/>
    </w:rPr>
  </w:style>
  <w:style w:type="character" w:customStyle="1" w:styleId="CommentSubjectChar">
    <w:name w:val="Comment Subject Char"/>
    <w:basedOn w:val="CommentTextChar"/>
    <w:link w:val="CommentSubject"/>
    <w:semiHidden/>
    <w:rsid w:val="00712AFF"/>
    <w:rPr>
      <w:b/>
      <w:bCs/>
      <w:szCs w:val="24"/>
    </w:rPr>
  </w:style>
  <w:style w:type="paragraph" w:customStyle="1" w:styleId="MainHeading">
    <w:name w:val="Main Heading"/>
    <w:basedOn w:val="Normal"/>
    <w:uiPriority w:val="99"/>
    <w:rsid w:val="007C0F8E"/>
    <w:pPr>
      <w:autoSpaceDE w:val="0"/>
      <w:autoSpaceDN w:val="0"/>
      <w:adjustRightInd w:val="0"/>
      <w:spacing w:line="680" w:lineRule="atLeast"/>
      <w:ind w:right="283"/>
      <w:jc w:val="right"/>
      <w:textAlignment w:val="center"/>
    </w:pPr>
    <w:rPr>
      <w:rFonts w:ascii="Goudy" w:hAnsi="Goudy" w:cs="Goudy"/>
      <w:color w:val="000000"/>
      <w:sz w:val="68"/>
      <w:szCs w:val="6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986726">
      <w:bodyDiv w:val="1"/>
      <w:marLeft w:val="0"/>
      <w:marRight w:val="0"/>
      <w:marTop w:val="0"/>
      <w:marBottom w:val="0"/>
      <w:divBdr>
        <w:top w:val="none" w:sz="0" w:space="0" w:color="auto"/>
        <w:left w:val="none" w:sz="0" w:space="0" w:color="auto"/>
        <w:bottom w:val="none" w:sz="0" w:space="0" w:color="auto"/>
        <w:right w:val="none" w:sz="0" w:space="0" w:color="auto"/>
      </w:divBdr>
    </w:div>
    <w:div w:id="605189328">
      <w:bodyDiv w:val="1"/>
      <w:marLeft w:val="0"/>
      <w:marRight w:val="0"/>
      <w:marTop w:val="0"/>
      <w:marBottom w:val="0"/>
      <w:divBdr>
        <w:top w:val="none" w:sz="0" w:space="0" w:color="auto"/>
        <w:left w:val="none" w:sz="0" w:space="0" w:color="auto"/>
        <w:bottom w:val="none" w:sz="0" w:space="0" w:color="auto"/>
        <w:right w:val="none" w:sz="0" w:space="0" w:color="auto"/>
      </w:divBdr>
    </w:div>
    <w:div w:id="1572346585">
      <w:bodyDiv w:val="1"/>
      <w:marLeft w:val="0"/>
      <w:marRight w:val="0"/>
      <w:marTop w:val="0"/>
      <w:marBottom w:val="0"/>
      <w:divBdr>
        <w:top w:val="none" w:sz="0" w:space="0" w:color="auto"/>
        <w:left w:val="none" w:sz="0" w:space="0" w:color="auto"/>
        <w:bottom w:val="none" w:sz="0" w:space="0" w:color="auto"/>
        <w:right w:val="none" w:sz="0" w:space="0" w:color="auto"/>
      </w:divBdr>
    </w:div>
    <w:div w:id="1768884977">
      <w:bodyDiv w:val="1"/>
      <w:marLeft w:val="0"/>
      <w:marRight w:val="0"/>
      <w:marTop w:val="0"/>
      <w:marBottom w:val="0"/>
      <w:divBdr>
        <w:top w:val="none" w:sz="0" w:space="0" w:color="auto"/>
        <w:left w:val="none" w:sz="0" w:space="0" w:color="auto"/>
        <w:bottom w:val="none" w:sz="0" w:space="0" w:color="auto"/>
        <w:right w:val="none" w:sz="0" w:space="0" w:color="auto"/>
      </w:divBdr>
    </w:div>
    <w:div w:id="186594430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239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315977-6556-46c4-b7a1-0de70f1cebfc">
      <Value>1</Value>
    </TaxCatchAll>
    <i0f84bba906045b4af568ee102a52dcb xmlns="f5315977-6556-46c4-b7a1-0de70f1cebf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f5315977-6556-46c4-b7a1-0de70f1cebfc">
      <UserInfo>
        <DisplayName>MPW (Media, Publications &amp; Web – Productivity Commission)</DisplayName>
        <AccountId>27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B11FEFDC78B24280094AF46E13EF11" ma:contentTypeVersion="9" ma:contentTypeDescription="Create a new document." ma:contentTypeScope="" ma:versionID="175024f0b0db684e87f423b6d469e3a5">
  <xsd:schema xmlns:xsd="http://www.w3.org/2001/XMLSchema" xmlns:xs="http://www.w3.org/2001/XMLSchema" xmlns:p="http://schemas.microsoft.com/office/2006/metadata/properties" xmlns:ns2="f5315977-6556-46c4-b7a1-0de70f1cebfc" xmlns:ns3="abbe08f8-d071-467d-a643-ba18176d35d9" targetNamespace="http://schemas.microsoft.com/office/2006/metadata/properties" ma:root="true" ma:fieldsID="f39beec635553947ed87e8516f51e5ad" ns2:_="" ns3:_="">
    <xsd:import namespace="f5315977-6556-46c4-b7a1-0de70f1cebfc"/>
    <xsd:import namespace="abbe08f8-d071-467d-a643-ba18176d35d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15977-6556-46c4-b7a1-0de70f1cebfc"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b8e8072-5b80-4c13-8035-07b35a10a4d2}" ma:internalName="TaxCatchAll" ma:showField="CatchAllData" ma:web="f5315977-6556-46c4-b7a1-0de70f1cebf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e08f8-d071-467d-a643-ba18176d35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6816C-4388-4A85-9B2F-E3BC4BFB7BC6}">
  <ds:schemaRefs>
    <ds:schemaRef ds:uri="http://purl.org/dc/terms/"/>
    <ds:schemaRef ds:uri="http://schemas.microsoft.com/office/2006/documentManagement/types"/>
    <ds:schemaRef ds:uri="http://purl.org/dc/elements/1.1/"/>
    <ds:schemaRef ds:uri="http://purl.org/dc/dcmitype/"/>
    <ds:schemaRef ds:uri="http://www.w3.org/XML/1998/namespace"/>
    <ds:schemaRef ds:uri="f5315977-6556-46c4-b7a1-0de70f1cebfc"/>
    <ds:schemaRef ds:uri="http://schemas.openxmlformats.org/package/2006/metadata/core-properties"/>
    <ds:schemaRef ds:uri="http://schemas.microsoft.com/office/infopath/2007/PartnerControls"/>
    <ds:schemaRef ds:uri="abbe08f8-d071-467d-a643-ba18176d35d9"/>
    <ds:schemaRef ds:uri="http://schemas.microsoft.com/office/2006/metadata/properties"/>
  </ds:schemaRefs>
</ds:datastoreItem>
</file>

<file path=customXml/itemProps2.xml><?xml version="1.0" encoding="utf-8"?>
<ds:datastoreItem xmlns:ds="http://schemas.openxmlformats.org/officeDocument/2006/customXml" ds:itemID="{03E9CA44-D54C-4AA3-BC96-67E878377379}">
  <ds:schemaRefs>
    <ds:schemaRef ds:uri="http://schemas.openxmlformats.org/officeDocument/2006/bibliography"/>
  </ds:schemaRefs>
</ds:datastoreItem>
</file>

<file path=customXml/itemProps3.xml><?xml version="1.0" encoding="utf-8"?>
<ds:datastoreItem xmlns:ds="http://schemas.openxmlformats.org/officeDocument/2006/customXml" ds:itemID="{5BF57FBE-AE6B-4BB9-B18F-150756E1B307}">
  <ds:schemaRefs>
    <ds:schemaRef ds:uri="http://schemas.microsoft.com/sharepoint/v3/contenttype/forms"/>
  </ds:schemaRefs>
</ds:datastoreItem>
</file>

<file path=customXml/itemProps4.xml><?xml version="1.0" encoding="utf-8"?>
<ds:datastoreItem xmlns:ds="http://schemas.openxmlformats.org/officeDocument/2006/customXml" ds:itemID="{0F85C125-725E-45E9-B725-1B93AE6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15977-6556-46c4-b7a1-0de70f1cebfc"/>
    <ds:schemaRef ds:uri="abbe08f8-d071-467d-a643-ba18176d3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chapter.dotm</Template>
  <TotalTime>22</TotalTime>
  <Pages>6</Pages>
  <Words>1706</Words>
  <Characters>10245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Indigenous Voice Co-design Process - PC submission</vt:lpstr>
    </vt:vector>
  </TitlesOfParts>
  <Company>Productivity Commission</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Voice Co-design Process - PC submission</dc:title>
  <dc:subject>Report</dc:subject>
  <dc:creator>Productivity Commission</dc:creator>
  <cp:keywords/>
  <dc:description>1.</dc:description>
  <cp:lastModifiedBy>Alston, Chris</cp:lastModifiedBy>
  <cp:revision>40</cp:revision>
  <cp:lastPrinted>2021-04-29T00:59:00Z</cp:lastPrinted>
  <dcterms:created xsi:type="dcterms:W3CDTF">2021-04-12T22:39:00Z</dcterms:created>
  <dcterms:modified xsi:type="dcterms:W3CDTF">2021-04-29T02:06:00Z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0x010100B7B11FEFDC78B24280094AF46E13EF11</vt:lpwstr>
  </property>
  <property fmtid="{D5CDD505-2E9C-101B-9397-08002B2CF9AE}" pid="3" name="RevIMBCS">
    <vt:lpwstr>1;#Unclassified|3955eeb1-2d18-4582-aeb2-00144ec3aaf5</vt:lpwstr>
  </property>
</Properties>
</file>