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4FDC" w:rsidRDefault="009F4FDC" w:rsidP="009F4FDC">
      <w:pPr>
        <w:tabs>
          <w:tab w:val="left" w:pos="3173"/>
        </w:tabs>
        <w:ind w:left="-1800"/>
      </w:pPr>
      <w:r>
        <w:rPr>
          <w:noProof/>
        </w:rPr>
        <w:drawing>
          <wp:anchor distT="0" distB="0" distL="114300" distR="114300" simplePos="0" relativeHeight="251659264" behindDoc="1" locked="0" layoutInCell="1" allowOverlap="1" wp14:anchorId="7F5D7CA9" wp14:editId="408462AB">
            <wp:simplePos x="0" y="0"/>
            <wp:positionH relativeFrom="page">
              <wp:align>center</wp:align>
            </wp:positionH>
            <wp:positionV relativeFrom="page">
              <wp:posOffset>120650</wp:posOffset>
            </wp:positionV>
            <wp:extent cx="7564582" cy="10675400"/>
            <wp:effectExtent l="0" t="0" r="0" b="0"/>
            <wp:wrapNone/>
            <wp:docPr id="195" name="Picture 195" descr="swp-web-cove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swp-web-cover-imag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560310" cy="10669371"/>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Style w:val="TableGrid"/>
        <w:tblW w:w="11970" w:type="dxa"/>
        <w:tblInd w:w="-1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6236"/>
        <w:gridCol w:w="5734"/>
      </w:tblGrid>
      <w:tr w:rsidR="009F4FDC" w:rsidTr="009F4FDC">
        <w:trPr>
          <w:trHeight w:val="3529"/>
        </w:trPr>
        <w:tc>
          <w:tcPr>
            <w:tcW w:w="2605" w:type="pct"/>
            <w:shd w:val="clear" w:color="auto" w:fill="auto"/>
            <w:vAlign w:val="bottom"/>
          </w:tcPr>
          <w:p w:rsidR="009F4FDC" w:rsidRPr="00FF7215" w:rsidRDefault="009F4FDC" w:rsidP="00C10AA7">
            <w:pPr>
              <w:spacing w:after="340"/>
              <w:ind w:right="567"/>
              <w:jc w:val="right"/>
              <w:rPr>
                <w:rFonts w:ascii="Goudy Old Style" w:hAnsi="Goudy Old Style"/>
                <w:sz w:val="42"/>
                <w:szCs w:val="42"/>
              </w:rPr>
            </w:pPr>
            <w:r>
              <w:rPr>
                <w:rFonts w:ascii="Goudy Old Style" w:hAnsi="Goudy Old Style"/>
                <w:sz w:val="42"/>
                <w:szCs w:val="42"/>
              </w:rPr>
              <w:t>Influences on Indigenous</w:t>
            </w:r>
            <w:r>
              <w:rPr>
                <w:rFonts w:ascii="Goudy Old Style" w:hAnsi="Goudy Old Style"/>
                <w:sz w:val="42"/>
                <w:szCs w:val="42"/>
              </w:rPr>
              <w:br/>
              <w:t>Labour Market Outcomes</w:t>
            </w:r>
          </w:p>
        </w:tc>
        <w:tc>
          <w:tcPr>
            <w:tcW w:w="2395" w:type="pct"/>
            <w:shd w:val="clear" w:color="auto" w:fill="auto"/>
            <w:vAlign w:val="bottom"/>
          </w:tcPr>
          <w:p w:rsidR="009F4FDC" w:rsidRPr="00324530" w:rsidRDefault="009F4FDC" w:rsidP="00C10AA7">
            <w:pPr>
              <w:spacing w:after="340"/>
              <w:ind w:left="567"/>
              <w:rPr>
                <w:rFonts w:ascii="GoudyOlSt BT" w:hAnsi="GoudyOlSt BT"/>
                <w:sz w:val="36"/>
                <w:szCs w:val="36"/>
              </w:rPr>
            </w:pPr>
            <w:r>
              <w:rPr>
                <w:rFonts w:ascii="GoudyOlSt BT" w:hAnsi="GoudyOlSt BT"/>
                <w:sz w:val="36"/>
                <w:szCs w:val="36"/>
              </w:rPr>
              <w:t>Productivity Commission</w:t>
            </w:r>
            <w:r>
              <w:rPr>
                <w:rFonts w:ascii="GoudyOlSt BT" w:hAnsi="GoudyOlSt BT"/>
                <w:sz w:val="36"/>
                <w:szCs w:val="36"/>
              </w:rPr>
              <w:br/>
              <w:t>Staff Working Paper</w:t>
            </w:r>
          </w:p>
        </w:tc>
      </w:tr>
      <w:tr w:rsidR="009F4FDC" w:rsidTr="009F4FDC">
        <w:trPr>
          <w:trHeight w:val="2125"/>
        </w:trPr>
        <w:tc>
          <w:tcPr>
            <w:tcW w:w="2605" w:type="pct"/>
            <w:vMerge w:val="restart"/>
            <w:shd w:val="clear" w:color="auto" w:fill="auto"/>
          </w:tcPr>
          <w:p w:rsidR="009F4FDC" w:rsidRDefault="009F4FDC" w:rsidP="00C10AA7">
            <w:pPr>
              <w:ind w:left="-108" w:right="-108"/>
            </w:pPr>
          </w:p>
        </w:tc>
        <w:tc>
          <w:tcPr>
            <w:tcW w:w="2395" w:type="pct"/>
            <w:shd w:val="clear" w:color="auto" w:fill="auto"/>
          </w:tcPr>
          <w:p w:rsidR="009F4FDC" w:rsidRPr="009A5C6A" w:rsidRDefault="009F4FDC" w:rsidP="00C10AA7">
            <w:pPr>
              <w:spacing w:before="340"/>
              <w:ind w:left="567"/>
              <w:rPr>
                <w:sz w:val="28"/>
                <w:szCs w:val="28"/>
              </w:rPr>
            </w:pPr>
            <w:r>
              <w:rPr>
                <w:sz w:val="28"/>
                <w:szCs w:val="28"/>
              </w:rPr>
              <w:t>December</w:t>
            </w:r>
            <w:r w:rsidRPr="009A5C6A">
              <w:rPr>
                <w:sz w:val="28"/>
                <w:szCs w:val="28"/>
              </w:rPr>
              <w:t xml:space="preserve"> 2011</w:t>
            </w:r>
          </w:p>
        </w:tc>
      </w:tr>
      <w:tr w:rsidR="009F4FDC" w:rsidTr="009F4FDC">
        <w:trPr>
          <w:trHeight w:val="1320"/>
        </w:trPr>
        <w:tc>
          <w:tcPr>
            <w:tcW w:w="2605" w:type="pct"/>
            <w:vMerge/>
            <w:shd w:val="clear" w:color="auto" w:fill="auto"/>
          </w:tcPr>
          <w:p w:rsidR="009F4FDC" w:rsidRDefault="009F4FDC" w:rsidP="00C10AA7"/>
        </w:tc>
        <w:tc>
          <w:tcPr>
            <w:tcW w:w="2395" w:type="pct"/>
            <w:shd w:val="clear" w:color="auto" w:fill="auto"/>
          </w:tcPr>
          <w:p w:rsidR="009F4FDC" w:rsidRPr="004F1FD0" w:rsidRDefault="009F4FDC" w:rsidP="00C10AA7">
            <w:pPr>
              <w:spacing w:before="340"/>
              <w:ind w:left="567"/>
              <w:rPr>
                <w:rFonts w:ascii="Goudy Old Style" w:hAnsi="Goudy Old Style"/>
                <w:i/>
                <w:sz w:val="36"/>
                <w:szCs w:val="36"/>
              </w:rPr>
            </w:pPr>
            <w:r>
              <w:rPr>
                <w:rFonts w:ascii="Goudy Old Style" w:hAnsi="Goudy Old Style"/>
                <w:i/>
                <w:sz w:val="36"/>
                <w:szCs w:val="36"/>
              </w:rPr>
              <w:t>Annie Savvas</w:t>
            </w:r>
            <w:r>
              <w:rPr>
                <w:rFonts w:ascii="Goudy Old Style" w:hAnsi="Goudy Old Style"/>
                <w:i/>
                <w:sz w:val="36"/>
                <w:szCs w:val="36"/>
              </w:rPr>
              <w:br/>
              <w:t xml:space="preserve">Clare </w:t>
            </w:r>
            <w:proofErr w:type="spellStart"/>
            <w:r>
              <w:rPr>
                <w:rFonts w:ascii="Goudy Old Style" w:hAnsi="Goudy Old Style"/>
                <w:i/>
                <w:sz w:val="36"/>
                <w:szCs w:val="36"/>
              </w:rPr>
              <w:t>Boulton</w:t>
            </w:r>
            <w:proofErr w:type="spellEnd"/>
            <w:r>
              <w:rPr>
                <w:rFonts w:ascii="Goudy Old Style" w:hAnsi="Goudy Old Style"/>
                <w:i/>
                <w:sz w:val="36"/>
                <w:szCs w:val="36"/>
              </w:rPr>
              <w:br/>
              <w:t xml:space="preserve">Ellie </w:t>
            </w:r>
            <w:proofErr w:type="spellStart"/>
            <w:r>
              <w:rPr>
                <w:rFonts w:ascii="Goudy Old Style" w:hAnsi="Goudy Old Style"/>
                <w:i/>
                <w:sz w:val="36"/>
                <w:szCs w:val="36"/>
              </w:rPr>
              <w:t>Jepsen</w:t>
            </w:r>
            <w:proofErr w:type="spellEnd"/>
          </w:p>
        </w:tc>
      </w:tr>
      <w:tr w:rsidR="009F4FDC" w:rsidTr="009F4FDC">
        <w:trPr>
          <w:trHeight w:val="7146"/>
        </w:trPr>
        <w:tc>
          <w:tcPr>
            <w:tcW w:w="2605" w:type="pct"/>
            <w:shd w:val="clear" w:color="auto" w:fill="auto"/>
          </w:tcPr>
          <w:p w:rsidR="009F4FDC" w:rsidRDefault="009F4FDC" w:rsidP="00C10AA7">
            <w:pPr>
              <w:pStyle w:val="Clause"/>
              <w:ind w:right="170"/>
            </w:pPr>
          </w:p>
        </w:tc>
        <w:tc>
          <w:tcPr>
            <w:tcW w:w="2395" w:type="pct"/>
            <w:shd w:val="clear" w:color="auto" w:fill="auto"/>
            <w:vAlign w:val="bottom"/>
          </w:tcPr>
          <w:p w:rsidR="009F4FDC" w:rsidRPr="00196A9A" w:rsidRDefault="009F4FDC" w:rsidP="009F4FDC">
            <w:pPr>
              <w:pStyle w:val="Clause"/>
              <w:ind w:right="0"/>
              <w:rPr>
                <w:position w:val="24"/>
              </w:rPr>
            </w:pPr>
            <w:r w:rsidRPr="00196A9A">
              <w:rPr>
                <w:position w:val="24"/>
              </w:rPr>
              <w:t xml:space="preserve">The views expressed in </w:t>
            </w:r>
            <w:r w:rsidRPr="00196A9A">
              <w:rPr>
                <w:position w:val="24"/>
              </w:rPr>
              <w:br/>
              <w:t xml:space="preserve">this paper are those of the </w:t>
            </w:r>
            <w:r w:rsidRPr="00196A9A">
              <w:rPr>
                <w:position w:val="24"/>
              </w:rPr>
              <w:br/>
              <w:t>staff involved and do not</w:t>
            </w:r>
            <w:r w:rsidRPr="00196A9A">
              <w:rPr>
                <w:position w:val="24"/>
              </w:rPr>
              <w:br/>
              <w:t>necessarily reflect the vie</w:t>
            </w:r>
            <w:bookmarkStart w:id="0" w:name="_GoBack"/>
            <w:bookmarkEnd w:id="0"/>
            <w:r w:rsidRPr="00196A9A">
              <w:rPr>
                <w:position w:val="24"/>
              </w:rPr>
              <w:t xml:space="preserve">ws of the </w:t>
            </w:r>
            <w:r w:rsidRPr="00196A9A">
              <w:rPr>
                <w:position w:val="24"/>
              </w:rPr>
              <w:br/>
              <w:t>Productivity Commission.</w:t>
            </w:r>
          </w:p>
        </w:tc>
      </w:tr>
    </w:tbl>
    <w:p w:rsidR="009F4FDC" w:rsidRPr="00354CC8" w:rsidRDefault="009F4FDC" w:rsidP="009F4FDC">
      <w:pPr>
        <w:rPr>
          <w:sz w:val="6"/>
          <w:szCs w:val="6"/>
        </w:rPr>
      </w:pPr>
    </w:p>
    <w:p w:rsidR="003E7802" w:rsidRDefault="003E7802" w:rsidP="001D4B1F">
      <w:pPr>
        <w:pStyle w:val="TOC1"/>
      </w:pPr>
      <w:r w:rsidRPr="008C305F">
        <w:fldChar w:fldCharType="begin"/>
      </w:r>
      <w:r w:rsidRPr="008C305F">
        <w:instrText>SYMBOL 227 \f "Symbol"</w:instrText>
      </w:r>
      <w:r w:rsidRPr="008C305F">
        <w:fldChar w:fldCharType="end"/>
      </w:r>
      <w:r w:rsidRPr="008C305F">
        <w:t xml:space="preserve"> Commonwealth of Australia </w:t>
      </w:r>
      <w:r w:rsidR="00650DDA">
        <w:t>2011</w:t>
      </w:r>
    </w:p>
    <w:p w:rsidR="00667561" w:rsidRPr="007809B8" w:rsidRDefault="007B6055">
      <w:pPr>
        <w:pStyle w:val="BodyText"/>
        <w:tabs>
          <w:tab w:val="left" w:pos="851"/>
        </w:tabs>
        <w:spacing w:before="200" w:after="120"/>
        <w:jc w:val="left"/>
        <w:rPr>
          <w:b/>
          <w:sz w:val="24"/>
        </w:rPr>
      </w:pPr>
      <w:bookmarkStart w:id="1" w:name="ISSN"/>
      <w:bookmarkEnd w:id="1"/>
      <w:r>
        <w:rPr>
          <w:b/>
          <w:sz w:val="24"/>
        </w:rPr>
        <w:t>ISBN</w:t>
      </w:r>
      <w:r>
        <w:rPr>
          <w:b/>
          <w:sz w:val="24"/>
        </w:rPr>
        <w:tab/>
      </w:r>
      <w:r w:rsidRPr="007B6055">
        <w:rPr>
          <w:b/>
          <w:sz w:val="24"/>
        </w:rPr>
        <w:t>978-1-74037-375-3</w:t>
      </w:r>
    </w:p>
    <w:p w:rsidR="003E7802" w:rsidRPr="00691AB5" w:rsidRDefault="003E7802" w:rsidP="003E7802">
      <w:pPr>
        <w:pStyle w:val="BodyText"/>
        <w:spacing w:before="160" w:line="240" w:lineRule="auto"/>
        <w:rPr>
          <w:snapToGrid w:val="0"/>
          <w:sz w:val="24"/>
        </w:rPr>
      </w:pPr>
      <w:r w:rsidRPr="00691AB5">
        <w:rPr>
          <w:snapToGrid w:val="0"/>
          <w:sz w:val="24"/>
        </w:rPr>
        <w:t xml:space="preserve">This work is copyright. Apart from any use as permitted under the </w:t>
      </w:r>
      <w:r w:rsidRPr="00097C15">
        <w:rPr>
          <w:i/>
          <w:snapToGrid w:val="0"/>
          <w:sz w:val="24"/>
        </w:rPr>
        <w:t>Copyright Act 1968</w:t>
      </w:r>
      <w:r w:rsidRPr="00691AB5">
        <w:rPr>
          <w:snapToGrid w:val="0"/>
          <w:sz w:val="24"/>
        </w:rPr>
        <w:t xml:space="preserve">, the work may be reproduced in whole or in part for study or training purposes, subject to the inclusion of an acknowledgment of the source. Reproduction for commercial use or sale requires prior written permission from the </w:t>
      </w:r>
      <w:r w:rsidR="009B12EF">
        <w:rPr>
          <w:snapToGrid w:val="0"/>
          <w:sz w:val="24"/>
        </w:rPr>
        <w:t>Productivity Commission</w:t>
      </w:r>
      <w:r w:rsidRPr="00691AB5">
        <w:rPr>
          <w:snapToGrid w:val="0"/>
          <w:sz w:val="24"/>
        </w:rPr>
        <w:t xml:space="preserve">. Requests and inquiries concerning reproduction and rights should be addressed to </w:t>
      </w:r>
      <w:r w:rsidR="009B12EF">
        <w:rPr>
          <w:snapToGrid w:val="0"/>
          <w:sz w:val="24"/>
        </w:rPr>
        <w:t>Media and Publications (see below)</w:t>
      </w:r>
      <w:r w:rsidR="00734127">
        <w:rPr>
          <w:snapToGrid w:val="0"/>
          <w:sz w:val="24"/>
        </w:rPr>
        <w:t>.</w:t>
      </w:r>
    </w:p>
    <w:p w:rsidR="003E7802" w:rsidRDefault="003E7802" w:rsidP="003E7802">
      <w:pPr>
        <w:pStyle w:val="BodyText"/>
        <w:spacing w:before="160" w:line="240" w:lineRule="auto"/>
        <w:rPr>
          <w:i/>
          <w:sz w:val="24"/>
        </w:rPr>
      </w:pPr>
      <w:r>
        <w:rPr>
          <w:i/>
          <w:snapToGrid w:val="0"/>
          <w:color w:val="000000"/>
          <w:sz w:val="24"/>
        </w:rPr>
        <w:t>This publication is available from the Productivity Commission website at www.pc.gov.au. If</w:t>
      </w:r>
      <w:r>
        <w:rPr>
          <w:i/>
          <w:snapToGrid w:val="0"/>
          <w:sz w:val="24"/>
        </w:rPr>
        <w:t xml:space="preserve"> you require part or all of this publication in a different format, please contact Me</w:t>
      </w:r>
      <w:r w:rsidR="00734127">
        <w:rPr>
          <w:i/>
          <w:snapToGrid w:val="0"/>
          <w:sz w:val="24"/>
        </w:rPr>
        <w:t>dia and Publications.</w:t>
      </w:r>
    </w:p>
    <w:p w:rsidR="003E7802" w:rsidRDefault="003E7802" w:rsidP="003E7802">
      <w:pPr>
        <w:pStyle w:val="BodyText"/>
        <w:spacing w:before="320"/>
        <w:rPr>
          <w:b/>
          <w:sz w:val="24"/>
        </w:rPr>
      </w:pPr>
      <w:r>
        <w:rPr>
          <w:b/>
          <w:sz w:val="24"/>
        </w:rPr>
        <w:t>Publications Inquiries:</w:t>
      </w:r>
    </w:p>
    <w:p w:rsidR="003E7802" w:rsidRDefault="003E7802" w:rsidP="003E7802">
      <w:pPr>
        <w:pStyle w:val="BodyText"/>
        <w:spacing w:before="0" w:line="240" w:lineRule="auto"/>
        <w:rPr>
          <w:sz w:val="24"/>
        </w:rPr>
      </w:pPr>
      <w:r>
        <w:rPr>
          <w:sz w:val="24"/>
        </w:rPr>
        <w:t xml:space="preserve">Media and </w:t>
      </w:r>
      <w:r w:rsidRPr="00FD4728">
        <w:rPr>
          <w:snapToGrid w:val="0"/>
          <w:sz w:val="24"/>
        </w:rPr>
        <w:t>Publications</w:t>
      </w:r>
    </w:p>
    <w:p w:rsidR="003E7802" w:rsidRDefault="003E7802" w:rsidP="003E7802">
      <w:pPr>
        <w:pStyle w:val="BodyText"/>
        <w:spacing w:before="0" w:line="240" w:lineRule="auto"/>
        <w:rPr>
          <w:sz w:val="24"/>
        </w:rPr>
      </w:pPr>
      <w:r>
        <w:rPr>
          <w:sz w:val="24"/>
        </w:rPr>
        <w:t xml:space="preserve">Productivity </w:t>
      </w:r>
      <w:r w:rsidRPr="00FD4728">
        <w:rPr>
          <w:snapToGrid w:val="0"/>
          <w:sz w:val="24"/>
        </w:rPr>
        <w:t>Commission</w:t>
      </w:r>
    </w:p>
    <w:p w:rsidR="003E7802" w:rsidRDefault="003E7802" w:rsidP="003E7802">
      <w:pPr>
        <w:pStyle w:val="BodyText"/>
        <w:spacing w:before="0" w:line="240" w:lineRule="auto"/>
        <w:rPr>
          <w:sz w:val="24"/>
        </w:rPr>
      </w:pPr>
      <w:r>
        <w:rPr>
          <w:sz w:val="24"/>
        </w:rPr>
        <w:t xml:space="preserve">Locked Bag </w:t>
      </w:r>
      <w:smartTag w:uri="urn:schemas-microsoft-com:office:smarttags" w:element="Street">
        <w:smartTag w:uri="urn:schemas-microsoft-com:office:smarttags" w:element="address">
          <w:r>
            <w:rPr>
              <w:sz w:val="24"/>
            </w:rPr>
            <w:t xml:space="preserve">2 Collins </w:t>
          </w:r>
          <w:r w:rsidRPr="00FD4728">
            <w:rPr>
              <w:snapToGrid w:val="0"/>
              <w:sz w:val="24"/>
            </w:rPr>
            <w:t>Street</w:t>
          </w:r>
          <w:r>
            <w:rPr>
              <w:sz w:val="24"/>
            </w:rPr>
            <w:t xml:space="preserve"> East</w:t>
          </w:r>
        </w:smartTag>
      </w:smartTag>
    </w:p>
    <w:p w:rsidR="003E7802" w:rsidRDefault="003E7802" w:rsidP="003E7802">
      <w:pPr>
        <w:pStyle w:val="BodyText"/>
        <w:spacing w:before="0" w:after="120" w:line="240" w:lineRule="auto"/>
        <w:rPr>
          <w:sz w:val="24"/>
        </w:rPr>
      </w:pPr>
      <w:smartTag w:uri="urn:schemas-microsoft-com:office:smarttags" w:element="City">
        <w:smartTag w:uri="urn:schemas-microsoft-com:office:smarttags" w:element="place">
          <w:r>
            <w:rPr>
              <w:sz w:val="24"/>
            </w:rPr>
            <w:t>Melbourne</w:t>
          </w:r>
        </w:smartTag>
      </w:smartTag>
      <w:r>
        <w:rPr>
          <w:sz w:val="24"/>
        </w:rPr>
        <w:t xml:space="preserve">    VIC    </w:t>
      </w:r>
      <w:r w:rsidRPr="00FD4728">
        <w:rPr>
          <w:snapToGrid w:val="0"/>
          <w:sz w:val="24"/>
        </w:rPr>
        <w:t>8003</w:t>
      </w:r>
    </w:p>
    <w:p w:rsidR="003E7802" w:rsidRPr="00FD4728" w:rsidRDefault="003E7802" w:rsidP="003E7802">
      <w:pPr>
        <w:pStyle w:val="BodyText"/>
        <w:tabs>
          <w:tab w:val="left" w:pos="1134"/>
        </w:tabs>
        <w:spacing w:before="0" w:line="240" w:lineRule="auto"/>
        <w:rPr>
          <w:sz w:val="24"/>
          <w:szCs w:val="24"/>
        </w:rPr>
      </w:pPr>
      <w:r w:rsidRPr="00FD4728">
        <w:rPr>
          <w:sz w:val="24"/>
          <w:szCs w:val="24"/>
        </w:rPr>
        <w:t>Tel:</w:t>
      </w:r>
      <w:r w:rsidRPr="00FD4728">
        <w:rPr>
          <w:sz w:val="24"/>
          <w:szCs w:val="24"/>
        </w:rPr>
        <w:tab/>
        <w:t>(03) 9653 2244</w:t>
      </w:r>
    </w:p>
    <w:p w:rsidR="003E7802" w:rsidRDefault="003E7802" w:rsidP="003E7802">
      <w:pPr>
        <w:pStyle w:val="BodyText"/>
        <w:tabs>
          <w:tab w:val="left" w:pos="1134"/>
        </w:tabs>
        <w:spacing w:before="0" w:line="240" w:lineRule="auto"/>
        <w:jc w:val="left"/>
      </w:pPr>
      <w:r w:rsidRPr="00FD4728">
        <w:rPr>
          <w:sz w:val="24"/>
          <w:szCs w:val="24"/>
        </w:rPr>
        <w:t>Fax:</w:t>
      </w:r>
      <w:r w:rsidRPr="00FD4728">
        <w:rPr>
          <w:sz w:val="24"/>
          <w:szCs w:val="24"/>
        </w:rPr>
        <w:tab/>
        <w:t>(03) 9653 2303</w:t>
      </w:r>
      <w:r w:rsidRPr="00FD4728">
        <w:rPr>
          <w:sz w:val="24"/>
          <w:szCs w:val="24"/>
        </w:rPr>
        <w:br/>
      </w:r>
      <w:r w:rsidRPr="008F04C9">
        <w:rPr>
          <w:sz w:val="24"/>
          <w:szCs w:val="24"/>
        </w:rPr>
        <w:t>Email:</w:t>
      </w:r>
      <w:r w:rsidRPr="008F04C9">
        <w:rPr>
          <w:sz w:val="24"/>
          <w:szCs w:val="24"/>
        </w:rPr>
        <w:tab/>
        <w:t>maps@pc.gov.au</w:t>
      </w:r>
    </w:p>
    <w:p w:rsidR="003E7802" w:rsidRDefault="003E7802" w:rsidP="003E7802">
      <w:pPr>
        <w:pStyle w:val="BodyText"/>
        <w:spacing w:before="320"/>
        <w:rPr>
          <w:b/>
          <w:sz w:val="24"/>
        </w:rPr>
      </w:pPr>
      <w:r>
        <w:rPr>
          <w:b/>
          <w:sz w:val="24"/>
        </w:rPr>
        <w:t>General Inquiries:</w:t>
      </w:r>
    </w:p>
    <w:p w:rsidR="003E7802" w:rsidRPr="008F04C9" w:rsidRDefault="003E7802" w:rsidP="003E7802">
      <w:pPr>
        <w:pStyle w:val="BodyText"/>
        <w:tabs>
          <w:tab w:val="left" w:pos="1134"/>
        </w:tabs>
        <w:spacing w:before="0" w:line="240" w:lineRule="auto"/>
        <w:rPr>
          <w:sz w:val="24"/>
          <w:szCs w:val="24"/>
        </w:rPr>
      </w:pPr>
      <w:r w:rsidRPr="008F04C9">
        <w:rPr>
          <w:sz w:val="24"/>
          <w:szCs w:val="24"/>
        </w:rPr>
        <w:t>Tel:</w:t>
      </w:r>
      <w:r w:rsidRPr="008F04C9">
        <w:rPr>
          <w:sz w:val="24"/>
          <w:szCs w:val="24"/>
        </w:rPr>
        <w:tab/>
        <w:t>(03) 9653 2100 or (02) 6240 3200</w:t>
      </w:r>
    </w:p>
    <w:p w:rsidR="003E7802" w:rsidRPr="008F04C9" w:rsidRDefault="003E7802" w:rsidP="003E7802">
      <w:pPr>
        <w:pStyle w:val="BodyText"/>
        <w:spacing w:before="360" w:line="240" w:lineRule="auto"/>
        <w:rPr>
          <w:b/>
          <w:sz w:val="24"/>
          <w:szCs w:val="24"/>
        </w:rPr>
      </w:pPr>
      <w:r w:rsidRPr="008F04C9">
        <w:rPr>
          <w:b/>
          <w:sz w:val="24"/>
          <w:szCs w:val="24"/>
        </w:rPr>
        <w:t>An appropriate citation for this paper is:</w:t>
      </w:r>
    </w:p>
    <w:p w:rsidR="003E7802" w:rsidRPr="00653BC4" w:rsidRDefault="00653BC4" w:rsidP="003E7802">
      <w:pPr>
        <w:pStyle w:val="BodyText"/>
        <w:spacing w:before="160" w:after="120" w:line="240" w:lineRule="auto"/>
        <w:rPr>
          <w:sz w:val="24"/>
          <w:szCs w:val="24"/>
        </w:rPr>
      </w:pPr>
      <w:r>
        <w:rPr>
          <w:sz w:val="24"/>
          <w:szCs w:val="24"/>
        </w:rPr>
        <w:lastRenderedPageBreak/>
        <w:t xml:space="preserve">Savvas, A., Boulton, C. and Jepsen, E. 2011, </w:t>
      </w:r>
      <w:r>
        <w:rPr>
          <w:i/>
          <w:sz w:val="24"/>
          <w:szCs w:val="24"/>
        </w:rPr>
        <w:t>Influences on Indigenous Labour Market Outcomes</w:t>
      </w:r>
      <w:r>
        <w:rPr>
          <w:sz w:val="24"/>
          <w:szCs w:val="24"/>
        </w:rPr>
        <w:t xml:space="preserve">, </w:t>
      </w:r>
      <w:r w:rsidR="00F52C66">
        <w:rPr>
          <w:sz w:val="24"/>
          <w:szCs w:val="24"/>
        </w:rPr>
        <w:t xml:space="preserve">Productivity Commission </w:t>
      </w:r>
      <w:r>
        <w:rPr>
          <w:sz w:val="24"/>
          <w:szCs w:val="24"/>
        </w:rPr>
        <w:t>Staff Working Paper, Melbourne.</w:t>
      </w:r>
    </w:p>
    <w:p w:rsidR="00667561" w:rsidRPr="00507F3C" w:rsidRDefault="004A0D95">
      <w:pPr>
        <w:pStyle w:val="BodyText"/>
        <w:spacing w:before="160" w:after="120" w:line="240" w:lineRule="auto"/>
        <w:rPr>
          <w:sz w:val="20"/>
        </w:rPr>
      </w:pPr>
      <w:bookmarkStart w:id="2" w:name="JEL"/>
      <w:bookmarkEnd w:id="2"/>
      <w:r>
        <w:rPr>
          <w:sz w:val="20"/>
        </w:rPr>
        <w:t xml:space="preserve">JEL code: J490 </w:t>
      </w:r>
    </w:p>
    <w:p w:rsidR="003E7802" w:rsidRPr="00DC75C7" w:rsidRDefault="003E7802" w:rsidP="003E7802">
      <w:pPr>
        <w:pStyle w:val="BodyText"/>
        <w:pBdr>
          <w:top w:val="single" w:sz="4" w:space="5" w:color="auto"/>
          <w:left w:val="single" w:sz="4" w:space="8" w:color="auto"/>
          <w:bottom w:val="single" w:sz="4" w:space="14" w:color="auto"/>
          <w:right w:val="single" w:sz="4" w:space="8" w:color="auto"/>
        </w:pBdr>
        <w:spacing w:before="120" w:line="240" w:lineRule="auto"/>
        <w:ind w:left="284" w:right="284"/>
        <w:rPr>
          <w:b/>
          <w:i/>
          <w:sz w:val="24"/>
          <w:szCs w:val="24"/>
        </w:rPr>
      </w:pPr>
      <w:r w:rsidRPr="00DC75C7">
        <w:rPr>
          <w:b/>
          <w:i/>
          <w:sz w:val="24"/>
          <w:szCs w:val="24"/>
        </w:rPr>
        <w:t>The Productivity Commission</w:t>
      </w:r>
    </w:p>
    <w:p w:rsidR="003E7802" w:rsidRPr="00BB5DCF" w:rsidRDefault="003E7802" w:rsidP="003E7802">
      <w:pPr>
        <w:pStyle w:val="BodyText"/>
        <w:pBdr>
          <w:top w:val="single" w:sz="4" w:space="5" w:color="auto"/>
          <w:left w:val="single" w:sz="4" w:space="8" w:color="auto"/>
          <w:bottom w:val="single" w:sz="4" w:space="14" w:color="auto"/>
          <w:right w:val="single" w:sz="4" w:space="8" w:color="auto"/>
        </w:pBdr>
        <w:spacing w:before="160" w:line="240" w:lineRule="auto"/>
        <w:ind w:left="284" w:right="284"/>
        <w:rPr>
          <w:sz w:val="24"/>
          <w:szCs w:val="24"/>
        </w:rPr>
      </w:pPr>
      <w:r w:rsidRPr="00BB5DCF">
        <w:rPr>
          <w:sz w:val="24"/>
          <w:szCs w:val="24"/>
        </w:rPr>
        <w:t xml:space="preserve">The Productivity Commission is the Australian Government’s independent research and advisory body on a range of economic, social and environmental issues affecting the welfare of Australians. Its role, expressed most simply, is to help governments </w:t>
      </w:r>
      <w:proofErr w:type="gramStart"/>
      <w:r w:rsidRPr="00BB5DCF">
        <w:rPr>
          <w:sz w:val="24"/>
          <w:szCs w:val="24"/>
        </w:rPr>
        <w:t>make</w:t>
      </w:r>
      <w:proofErr w:type="gramEnd"/>
      <w:r w:rsidRPr="00BB5DCF">
        <w:rPr>
          <w:sz w:val="24"/>
          <w:szCs w:val="24"/>
        </w:rPr>
        <w:t xml:space="preserve"> better policies, in the long term interest of the Australian community.</w:t>
      </w:r>
    </w:p>
    <w:p w:rsidR="003E7802" w:rsidRPr="00BB5DCF" w:rsidRDefault="003E7802" w:rsidP="003E7802">
      <w:pPr>
        <w:pStyle w:val="BodyText"/>
        <w:pBdr>
          <w:top w:val="single" w:sz="4" w:space="5" w:color="auto"/>
          <w:left w:val="single" w:sz="4" w:space="8" w:color="auto"/>
          <w:bottom w:val="single" w:sz="4" w:space="14" w:color="auto"/>
          <w:right w:val="single" w:sz="4" w:space="8" w:color="auto"/>
        </w:pBdr>
        <w:spacing w:before="160" w:line="240" w:lineRule="auto"/>
        <w:ind w:left="284" w:right="284"/>
        <w:rPr>
          <w:sz w:val="24"/>
          <w:szCs w:val="24"/>
        </w:rPr>
      </w:pPr>
      <w:r w:rsidRPr="00BB5DCF">
        <w:rPr>
          <w:sz w:val="24"/>
          <w:szCs w:val="24"/>
        </w:rPr>
        <w:t>The Commission’s independence is underpinned by an Act of Parliament. Its processes and outputs are open to public scrutiny and are driven by concern for the wellbeing of the community as a whole.</w:t>
      </w:r>
    </w:p>
    <w:p w:rsidR="00735FEA" w:rsidRPr="00BB5DCF" w:rsidRDefault="003E7802" w:rsidP="003E7802">
      <w:pPr>
        <w:pStyle w:val="BodyText"/>
        <w:pBdr>
          <w:top w:val="single" w:sz="4" w:space="5" w:color="auto"/>
          <w:left w:val="single" w:sz="4" w:space="8" w:color="auto"/>
          <w:bottom w:val="single" w:sz="4" w:space="14" w:color="auto"/>
          <w:right w:val="single" w:sz="4" w:space="8" w:color="auto"/>
        </w:pBdr>
        <w:spacing w:before="160" w:line="240" w:lineRule="auto"/>
        <w:ind w:left="284" w:right="284"/>
        <w:rPr>
          <w:sz w:val="24"/>
          <w:szCs w:val="24"/>
        </w:rPr>
      </w:pPr>
      <w:r w:rsidRPr="00BB5DCF">
        <w:rPr>
          <w:sz w:val="24"/>
          <w:szCs w:val="24"/>
        </w:rPr>
        <w:t>Further information on the Productivity Commission can be obtained from the Commission’s website (www.pc.gov.au) or by contacting Media and Publications on (03) 9653 2244 or email: maps@pc.gov.au</w:t>
      </w:r>
    </w:p>
    <w:p w:rsidR="00735FEA" w:rsidRDefault="00735FEA">
      <w:pPr>
        <w:pStyle w:val="BodyText"/>
        <w:sectPr w:rsidR="00735FEA" w:rsidSect="009F4FDC">
          <w:type w:val="evenPage"/>
          <w:pgSz w:w="11907" w:h="16840" w:code="9"/>
          <w:pgMar w:top="1418" w:right="1304" w:bottom="284" w:left="1814" w:header="1701" w:footer="567" w:gutter="0"/>
          <w:pgNumType w:start="2"/>
          <w:cols w:space="720"/>
          <w:titlePg/>
        </w:sectPr>
      </w:pPr>
      <w:bookmarkStart w:id="3" w:name="cov"/>
      <w:bookmarkEnd w:id="3"/>
    </w:p>
    <w:p w:rsidR="00CF4891" w:rsidRDefault="00735FEA" w:rsidP="003D260D">
      <w:pPr>
        <w:pStyle w:val="Heading1NotTOC"/>
        <w:rPr>
          <w:noProof/>
        </w:rPr>
      </w:pPr>
      <w:bookmarkStart w:id="4" w:name="Contents"/>
      <w:bookmarkEnd w:id="4"/>
      <w:r w:rsidRPr="00B153C3">
        <w:lastRenderedPageBreak/>
        <w:t>Content</w:t>
      </w:r>
      <w:bookmarkStart w:id="5" w:name="InsertContents"/>
      <w:bookmarkEnd w:id="5"/>
      <w:r w:rsidR="001F2898">
        <w:t>s</w:t>
      </w:r>
    </w:p>
    <w:p w:rsidR="00CF4891" w:rsidRDefault="00CF4891">
      <w:pPr>
        <w:pStyle w:val="TOC1"/>
        <w:rPr>
          <w:rFonts w:asciiTheme="minorHAnsi" w:eastAsiaTheme="minorEastAsia" w:hAnsiTheme="minorHAnsi" w:cstheme="minorBidi"/>
          <w:b w:val="0"/>
          <w:noProof/>
          <w:sz w:val="22"/>
          <w:szCs w:val="22"/>
          <w:lang w:eastAsia="en-AU"/>
        </w:rPr>
      </w:pPr>
      <w:r>
        <w:rPr>
          <w:noProof/>
        </w:rPr>
        <w:t>Acknowledgements</w:t>
      </w:r>
      <w:r>
        <w:rPr>
          <w:noProof/>
        </w:rPr>
        <w:tab/>
      </w:r>
      <w:r w:rsidR="004646A7">
        <w:rPr>
          <w:noProof/>
        </w:rPr>
        <w:t>V</w:t>
      </w:r>
    </w:p>
    <w:p w:rsidR="00CF4891" w:rsidRDefault="00CF4891">
      <w:pPr>
        <w:pStyle w:val="TOC1"/>
        <w:rPr>
          <w:rFonts w:asciiTheme="minorHAnsi" w:eastAsiaTheme="minorEastAsia" w:hAnsiTheme="minorHAnsi" w:cstheme="minorBidi"/>
          <w:b w:val="0"/>
          <w:noProof/>
          <w:sz w:val="22"/>
          <w:szCs w:val="22"/>
          <w:lang w:eastAsia="en-AU"/>
        </w:rPr>
      </w:pPr>
      <w:r>
        <w:rPr>
          <w:noProof/>
        </w:rPr>
        <w:t>Abbreviations</w:t>
      </w:r>
      <w:r>
        <w:rPr>
          <w:noProof/>
        </w:rPr>
        <w:tab/>
      </w:r>
      <w:r w:rsidR="004646A7">
        <w:rPr>
          <w:noProof/>
        </w:rPr>
        <w:t>VI</w:t>
      </w:r>
    </w:p>
    <w:p w:rsidR="00CF4891" w:rsidRDefault="00CF4891">
      <w:pPr>
        <w:pStyle w:val="TOC1"/>
        <w:rPr>
          <w:rFonts w:asciiTheme="minorHAnsi" w:eastAsiaTheme="minorEastAsia" w:hAnsiTheme="minorHAnsi" w:cstheme="minorBidi"/>
          <w:b w:val="0"/>
          <w:noProof/>
          <w:sz w:val="22"/>
          <w:szCs w:val="22"/>
          <w:lang w:eastAsia="en-AU"/>
        </w:rPr>
      </w:pPr>
      <w:r>
        <w:rPr>
          <w:noProof/>
        </w:rPr>
        <w:t>Glossary</w:t>
      </w:r>
      <w:r>
        <w:rPr>
          <w:noProof/>
        </w:rPr>
        <w:tab/>
      </w:r>
      <w:r w:rsidR="004646A7">
        <w:rPr>
          <w:noProof/>
        </w:rPr>
        <w:t>VII</w:t>
      </w:r>
    </w:p>
    <w:p w:rsidR="003775C7" w:rsidRDefault="003775C7">
      <w:pPr>
        <w:pStyle w:val="TOC1"/>
        <w:rPr>
          <w:noProof/>
        </w:rPr>
      </w:pPr>
      <w:r>
        <w:rPr>
          <w:noProof/>
        </w:rPr>
        <w:t>Key points</w:t>
      </w:r>
      <w:r>
        <w:rPr>
          <w:noProof/>
        </w:rPr>
        <w:tab/>
        <w:t>X</w:t>
      </w:r>
    </w:p>
    <w:p w:rsidR="00CF4891" w:rsidRDefault="00CF4891">
      <w:pPr>
        <w:pStyle w:val="TOC1"/>
        <w:rPr>
          <w:rFonts w:asciiTheme="minorHAnsi" w:eastAsiaTheme="minorEastAsia" w:hAnsiTheme="minorHAnsi" w:cstheme="minorBidi"/>
          <w:b w:val="0"/>
          <w:noProof/>
          <w:sz w:val="22"/>
          <w:szCs w:val="22"/>
          <w:lang w:eastAsia="en-AU"/>
        </w:rPr>
      </w:pPr>
      <w:r>
        <w:rPr>
          <w:noProof/>
        </w:rPr>
        <w:t>1</w:t>
      </w:r>
      <w:r>
        <w:rPr>
          <w:rFonts w:asciiTheme="minorHAnsi" w:eastAsiaTheme="minorEastAsia" w:hAnsiTheme="minorHAnsi" w:cstheme="minorBidi"/>
          <w:b w:val="0"/>
          <w:noProof/>
          <w:sz w:val="22"/>
          <w:szCs w:val="22"/>
          <w:lang w:eastAsia="en-AU"/>
        </w:rPr>
        <w:tab/>
      </w:r>
      <w:r>
        <w:rPr>
          <w:noProof/>
        </w:rPr>
        <w:t>Introduction</w:t>
      </w:r>
      <w:r>
        <w:rPr>
          <w:noProof/>
        </w:rPr>
        <w:tab/>
        <w:t>1</w:t>
      </w:r>
    </w:p>
    <w:p w:rsidR="00CF4891" w:rsidRDefault="00CF4891">
      <w:pPr>
        <w:pStyle w:val="TOC2"/>
        <w:tabs>
          <w:tab w:val="left" w:pos="1190"/>
        </w:tabs>
        <w:rPr>
          <w:rFonts w:asciiTheme="minorHAnsi" w:eastAsiaTheme="minorEastAsia" w:hAnsiTheme="minorHAnsi" w:cstheme="minorBidi"/>
          <w:noProof/>
          <w:sz w:val="22"/>
          <w:szCs w:val="22"/>
          <w:lang w:eastAsia="en-AU"/>
        </w:rPr>
      </w:pPr>
      <w:r>
        <w:rPr>
          <w:noProof/>
        </w:rPr>
        <w:t>1.1</w:t>
      </w:r>
      <w:r>
        <w:rPr>
          <w:rFonts w:asciiTheme="minorHAnsi" w:eastAsiaTheme="minorEastAsia" w:hAnsiTheme="minorHAnsi" w:cstheme="minorBidi"/>
          <w:noProof/>
          <w:sz w:val="22"/>
          <w:szCs w:val="22"/>
          <w:lang w:eastAsia="en-AU"/>
        </w:rPr>
        <w:tab/>
      </w:r>
      <w:r>
        <w:rPr>
          <w:noProof/>
        </w:rPr>
        <w:t>Policy context — an integrated, multidimensional approach to targeting Indigenous disadvantage</w:t>
      </w:r>
      <w:r>
        <w:rPr>
          <w:noProof/>
        </w:rPr>
        <w:tab/>
        <w:t>2</w:t>
      </w:r>
    </w:p>
    <w:p w:rsidR="00CF4891" w:rsidRDefault="00CF4891">
      <w:pPr>
        <w:pStyle w:val="TOC2"/>
        <w:tabs>
          <w:tab w:val="left" w:pos="1190"/>
        </w:tabs>
        <w:rPr>
          <w:rFonts w:asciiTheme="minorHAnsi" w:eastAsiaTheme="minorEastAsia" w:hAnsiTheme="minorHAnsi" w:cstheme="minorBidi"/>
          <w:noProof/>
          <w:sz w:val="22"/>
          <w:szCs w:val="22"/>
          <w:lang w:eastAsia="en-AU"/>
        </w:rPr>
      </w:pPr>
      <w:r>
        <w:rPr>
          <w:noProof/>
        </w:rPr>
        <w:t>1.2</w:t>
      </w:r>
      <w:r>
        <w:rPr>
          <w:rFonts w:asciiTheme="minorHAnsi" w:eastAsiaTheme="minorEastAsia" w:hAnsiTheme="minorHAnsi" w:cstheme="minorBidi"/>
          <w:noProof/>
          <w:sz w:val="22"/>
          <w:szCs w:val="22"/>
          <w:lang w:eastAsia="en-AU"/>
        </w:rPr>
        <w:tab/>
      </w:r>
      <w:r>
        <w:rPr>
          <w:noProof/>
        </w:rPr>
        <w:t>What labour market outcomes are examined?</w:t>
      </w:r>
      <w:r>
        <w:rPr>
          <w:noProof/>
        </w:rPr>
        <w:tab/>
        <w:t>4</w:t>
      </w:r>
    </w:p>
    <w:p w:rsidR="00CF4891" w:rsidRDefault="00CF4891">
      <w:pPr>
        <w:pStyle w:val="TOC2"/>
        <w:tabs>
          <w:tab w:val="left" w:pos="1190"/>
        </w:tabs>
        <w:rPr>
          <w:rFonts w:asciiTheme="minorHAnsi" w:eastAsiaTheme="minorEastAsia" w:hAnsiTheme="minorHAnsi" w:cstheme="minorBidi"/>
          <w:noProof/>
          <w:sz w:val="22"/>
          <w:szCs w:val="22"/>
          <w:lang w:eastAsia="en-AU"/>
        </w:rPr>
      </w:pPr>
      <w:r>
        <w:rPr>
          <w:noProof/>
        </w:rPr>
        <w:t>1.3</w:t>
      </w:r>
      <w:r>
        <w:rPr>
          <w:rFonts w:asciiTheme="minorHAnsi" w:eastAsiaTheme="minorEastAsia" w:hAnsiTheme="minorHAnsi" w:cstheme="minorBidi"/>
          <w:noProof/>
          <w:sz w:val="22"/>
          <w:szCs w:val="22"/>
          <w:lang w:eastAsia="en-AU"/>
        </w:rPr>
        <w:tab/>
      </w:r>
      <w:r>
        <w:rPr>
          <w:noProof/>
        </w:rPr>
        <w:t>Recent history of Indigenous labour market outcomes</w:t>
      </w:r>
      <w:r>
        <w:rPr>
          <w:noProof/>
        </w:rPr>
        <w:tab/>
        <w:t>6</w:t>
      </w:r>
    </w:p>
    <w:p w:rsidR="00CF4891" w:rsidRDefault="00CF4891">
      <w:pPr>
        <w:pStyle w:val="TOC2"/>
        <w:tabs>
          <w:tab w:val="left" w:pos="1190"/>
        </w:tabs>
        <w:rPr>
          <w:rFonts w:asciiTheme="minorHAnsi" w:eastAsiaTheme="minorEastAsia" w:hAnsiTheme="minorHAnsi" w:cstheme="minorBidi"/>
          <w:noProof/>
          <w:sz w:val="22"/>
          <w:szCs w:val="22"/>
          <w:lang w:eastAsia="en-AU"/>
        </w:rPr>
      </w:pPr>
      <w:r>
        <w:rPr>
          <w:noProof/>
        </w:rPr>
        <w:t>1.4</w:t>
      </w:r>
      <w:r>
        <w:rPr>
          <w:rFonts w:asciiTheme="minorHAnsi" w:eastAsiaTheme="minorEastAsia" w:hAnsiTheme="minorHAnsi" w:cstheme="minorBidi"/>
          <w:noProof/>
          <w:sz w:val="22"/>
          <w:szCs w:val="22"/>
          <w:lang w:eastAsia="en-AU"/>
        </w:rPr>
        <w:tab/>
      </w:r>
      <w:r>
        <w:rPr>
          <w:noProof/>
        </w:rPr>
        <w:t>Why do empirical analysis?</w:t>
      </w:r>
      <w:r>
        <w:rPr>
          <w:noProof/>
        </w:rPr>
        <w:tab/>
      </w:r>
      <w:r w:rsidR="002B7740">
        <w:rPr>
          <w:noProof/>
        </w:rPr>
        <w:t>7</w:t>
      </w:r>
    </w:p>
    <w:p w:rsidR="00CF4891" w:rsidRDefault="00CF4891">
      <w:pPr>
        <w:pStyle w:val="TOC2"/>
        <w:tabs>
          <w:tab w:val="left" w:pos="1190"/>
        </w:tabs>
        <w:rPr>
          <w:rFonts w:asciiTheme="minorHAnsi" w:eastAsiaTheme="minorEastAsia" w:hAnsiTheme="minorHAnsi" w:cstheme="minorBidi"/>
          <w:noProof/>
          <w:sz w:val="22"/>
          <w:szCs w:val="22"/>
          <w:lang w:eastAsia="en-AU"/>
        </w:rPr>
      </w:pPr>
      <w:r>
        <w:rPr>
          <w:noProof/>
        </w:rPr>
        <w:t>1.5</w:t>
      </w:r>
      <w:r>
        <w:rPr>
          <w:rFonts w:asciiTheme="minorHAnsi" w:eastAsiaTheme="minorEastAsia" w:hAnsiTheme="minorHAnsi" w:cstheme="minorBidi"/>
          <w:noProof/>
          <w:sz w:val="22"/>
          <w:szCs w:val="22"/>
          <w:lang w:eastAsia="en-AU"/>
        </w:rPr>
        <w:tab/>
      </w:r>
      <w:r>
        <w:rPr>
          <w:noProof/>
        </w:rPr>
        <w:t>Outline of the study</w:t>
      </w:r>
      <w:r>
        <w:rPr>
          <w:noProof/>
        </w:rPr>
        <w:tab/>
      </w:r>
      <w:r w:rsidR="002B7740">
        <w:rPr>
          <w:noProof/>
        </w:rPr>
        <w:t>9</w:t>
      </w:r>
    </w:p>
    <w:p w:rsidR="00CF4891" w:rsidRDefault="00CF4891">
      <w:pPr>
        <w:pStyle w:val="TOC1"/>
        <w:rPr>
          <w:rFonts w:asciiTheme="minorHAnsi" w:eastAsiaTheme="minorEastAsia" w:hAnsiTheme="minorHAnsi" w:cstheme="minorBidi"/>
          <w:b w:val="0"/>
          <w:noProof/>
          <w:sz w:val="22"/>
          <w:szCs w:val="22"/>
          <w:lang w:eastAsia="en-AU"/>
        </w:rPr>
      </w:pPr>
      <w:r>
        <w:rPr>
          <w:noProof/>
        </w:rPr>
        <w:t>2</w:t>
      </w:r>
      <w:r>
        <w:rPr>
          <w:rFonts w:asciiTheme="minorHAnsi" w:eastAsiaTheme="minorEastAsia" w:hAnsiTheme="minorHAnsi" w:cstheme="minorBidi"/>
          <w:b w:val="0"/>
          <w:noProof/>
          <w:sz w:val="22"/>
          <w:szCs w:val="22"/>
          <w:lang w:eastAsia="en-AU"/>
        </w:rPr>
        <w:tab/>
      </w:r>
      <w:r w:rsidR="004646A7">
        <w:rPr>
          <w:noProof/>
        </w:rPr>
        <w:t>Analytical</w:t>
      </w:r>
      <w:r>
        <w:rPr>
          <w:noProof/>
        </w:rPr>
        <w:t xml:space="preserve"> framework and literature</w:t>
      </w:r>
      <w:r>
        <w:rPr>
          <w:noProof/>
        </w:rPr>
        <w:tab/>
      </w:r>
      <w:r w:rsidR="00BD2C30">
        <w:rPr>
          <w:noProof/>
        </w:rPr>
        <w:t>11</w:t>
      </w:r>
    </w:p>
    <w:p w:rsidR="00CF4891" w:rsidRDefault="00CF4891">
      <w:pPr>
        <w:pStyle w:val="TOC2"/>
        <w:tabs>
          <w:tab w:val="left" w:pos="1190"/>
        </w:tabs>
        <w:rPr>
          <w:rFonts w:asciiTheme="minorHAnsi" w:eastAsiaTheme="minorEastAsia" w:hAnsiTheme="minorHAnsi" w:cstheme="minorBidi"/>
          <w:noProof/>
          <w:sz w:val="22"/>
          <w:szCs w:val="22"/>
          <w:lang w:eastAsia="en-AU"/>
        </w:rPr>
      </w:pPr>
      <w:r>
        <w:rPr>
          <w:noProof/>
        </w:rPr>
        <w:t>2.1</w:t>
      </w:r>
      <w:r>
        <w:rPr>
          <w:rFonts w:asciiTheme="minorHAnsi" w:eastAsiaTheme="minorEastAsia" w:hAnsiTheme="minorHAnsi" w:cstheme="minorBidi"/>
          <w:noProof/>
          <w:sz w:val="22"/>
          <w:szCs w:val="22"/>
          <w:lang w:eastAsia="en-AU"/>
        </w:rPr>
        <w:tab/>
      </w:r>
      <w:r>
        <w:rPr>
          <w:noProof/>
        </w:rPr>
        <w:t>What influences labour market outcomes?</w:t>
      </w:r>
      <w:r>
        <w:rPr>
          <w:noProof/>
        </w:rPr>
        <w:tab/>
        <w:t>1</w:t>
      </w:r>
      <w:r w:rsidR="00BD2C30">
        <w:rPr>
          <w:noProof/>
        </w:rPr>
        <w:t>1</w:t>
      </w:r>
    </w:p>
    <w:p w:rsidR="00CF4891" w:rsidRDefault="00CF4891">
      <w:pPr>
        <w:pStyle w:val="TOC2"/>
        <w:tabs>
          <w:tab w:val="left" w:pos="1190"/>
        </w:tabs>
        <w:rPr>
          <w:rFonts w:asciiTheme="minorHAnsi" w:eastAsiaTheme="minorEastAsia" w:hAnsiTheme="minorHAnsi" w:cstheme="minorBidi"/>
          <w:noProof/>
          <w:sz w:val="22"/>
          <w:szCs w:val="22"/>
          <w:lang w:eastAsia="en-AU"/>
        </w:rPr>
      </w:pPr>
      <w:r>
        <w:rPr>
          <w:noProof/>
        </w:rPr>
        <w:t>2.2</w:t>
      </w:r>
      <w:r>
        <w:rPr>
          <w:rFonts w:asciiTheme="minorHAnsi" w:eastAsiaTheme="minorEastAsia" w:hAnsiTheme="minorHAnsi" w:cstheme="minorBidi"/>
          <w:noProof/>
          <w:sz w:val="22"/>
          <w:szCs w:val="22"/>
          <w:lang w:eastAsia="en-AU"/>
        </w:rPr>
        <w:tab/>
      </w:r>
      <w:r>
        <w:rPr>
          <w:noProof/>
        </w:rPr>
        <w:t>Literature review</w:t>
      </w:r>
      <w:r>
        <w:rPr>
          <w:noProof/>
        </w:rPr>
        <w:tab/>
        <w:t>1</w:t>
      </w:r>
      <w:r w:rsidR="00BD2C30">
        <w:rPr>
          <w:noProof/>
        </w:rPr>
        <w:t>5</w:t>
      </w:r>
    </w:p>
    <w:p w:rsidR="00CF4891" w:rsidRDefault="00CF4891">
      <w:pPr>
        <w:pStyle w:val="TOC1"/>
        <w:rPr>
          <w:rFonts w:asciiTheme="minorHAnsi" w:eastAsiaTheme="minorEastAsia" w:hAnsiTheme="minorHAnsi" w:cstheme="minorBidi"/>
          <w:b w:val="0"/>
          <w:noProof/>
          <w:sz w:val="22"/>
          <w:szCs w:val="22"/>
          <w:lang w:eastAsia="en-AU"/>
        </w:rPr>
      </w:pPr>
      <w:r>
        <w:rPr>
          <w:noProof/>
        </w:rPr>
        <w:t>3</w:t>
      </w:r>
      <w:r>
        <w:rPr>
          <w:rFonts w:asciiTheme="minorHAnsi" w:eastAsiaTheme="minorEastAsia" w:hAnsiTheme="minorHAnsi" w:cstheme="minorBidi"/>
          <w:b w:val="0"/>
          <w:noProof/>
          <w:sz w:val="22"/>
          <w:szCs w:val="22"/>
          <w:lang w:eastAsia="en-AU"/>
        </w:rPr>
        <w:tab/>
      </w:r>
      <w:r>
        <w:rPr>
          <w:noProof/>
        </w:rPr>
        <w:t>Econometric model</w:t>
      </w:r>
      <w:r>
        <w:rPr>
          <w:noProof/>
        </w:rPr>
        <w:tab/>
      </w:r>
      <w:r w:rsidR="00BD2C30">
        <w:rPr>
          <w:noProof/>
        </w:rPr>
        <w:t>19</w:t>
      </w:r>
    </w:p>
    <w:p w:rsidR="00CF4891" w:rsidRDefault="00CF4891">
      <w:pPr>
        <w:pStyle w:val="TOC2"/>
        <w:tabs>
          <w:tab w:val="left" w:pos="1190"/>
        </w:tabs>
        <w:rPr>
          <w:rFonts w:asciiTheme="minorHAnsi" w:eastAsiaTheme="minorEastAsia" w:hAnsiTheme="minorHAnsi" w:cstheme="minorBidi"/>
          <w:noProof/>
          <w:sz w:val="22"/>
          <w:szCs w:val="22"/>
          <w:lang w:eastAsia="en-AU"/>
        </w:rPr>
      </w:pPr>
      <w:r>
        <w:rPr>
          <w:noProof/>
        </w:rPr>
        <w:t>3.1</w:t>
      </w:r>
      <w:r>
        <w:rPr>
          <w:rFonts w:asciiTheme="minorHAnsi" w:eastAsiaTheme="minorEastAsia" w:hAnsiTheme="minorHAnsi" w:cstheme="minorBidi"/>
          <w:noProof/>
          <w:sz w:val="22"/>
          <w:szCs w:val="22"/>
          <w:lang w:eastAsia="en-AU"/>
        </w:rPr>
        <w:tab/>
      </w:r>
      <w:r>
        <w:rPr>
          <w:noProof/>
        </w:rPr>
        <w:t>Benefits of regression analysis</w:t>
      </w:r>
      <w:r>
        <w:rPr>
          <w:noProof/>
        </w:rPr>
        <w:tab/>
      </w:r>
      <w:r w:rsidR="00BD2C30">
        <w:rPr>
          <w:noProof/>
        </w:rPr>
        <w:t>19</w:t>
      </w:r>
    </w:p>
    <w:p w:rsidR="00CF4891" w:rsidRDefault="00CF4891">
      <w:pPr>
        <w:pStyle w:val="TOC2"/>
        <w:tabs>
          <w:tab w:val="left" w:pos="1190"/>
        </w:tabs>
        <w:rPr>
          <w:rFonts w:asciiTheme="minorHAnsi" w:eastAsiaTheme="minorEastAsia" w:hAnsiTheme="minorHAnsi" w:cstheme="minorBidi"/>
          <w:noProof/>
          <w:sz w:val="22"/>
          <w:szCs w:val="22"/>
          <w:lang w:eastAsia="en-AU"/>
        </w:rPr>
      </w:pPr>
      <w:r>
        <w:rPr>
          <w:noProof/>
        </w:rPr>
        <w:t>3.2</w:t>
      </w:r>
      <w:r>
        <w:rPr>
          <w:rFonts w:asciiTheme="minorHAnsi" w:eastAsiaTheme="minorEastAsia" w:hAnsiTheme="minorHAnsi" w:cstheme="minorBidi"/>
          <w:noProof/>
          <w:sz w:val="22"/>
          <w:szCs w:val="22"/>
          <w:lang w:eastAsia="en-AU"/>
        </w:rPr>
        <w:tab/>
      </w:r>
      <w:r>
        <w:rPr>
          <w:noProof/>
        </w:rPr>
        <w:t>Model selection</w:t>
      </w:r>
      <w:r>
        <w:rPr>
          <w:noProof/>
        </w:rPr>
        <w:tab/>
      </w:r>
      <w:r w:rsidR="00BD2C30">
        <w:rPr>
          <w:noProof/>
        </w:rPr>
        <w:t>21</w:t>
      </w:r>
    </w:p>
    <w:p w:rsidR="00CF4891" w:rsidRDefault="00CF4891">
      <w:pPr>
        <w:pStyle w:val="TOC2"/>
        <w:tabs>
          <w:tab w:val="left" w:pos="1190"/>
        </w:tabs>
        <w:rPr>
          <w:rFonts w:asciiTheme="minorHAnsi" w:eastAsiaTheme="minorEastAsia" w:hAnsiTheme="minorHAnsi" w:cstheme="minorBidi"/>
          <w:noProof/>
          <w:sz w:val="22"/>
          <w:szCs w:val="22"/>
          <w:lang w:eastAsia="en-AU"/>
        </w:rPr>
      </w:pPr>
      <w:r>
        <w:rPr>
          <w:noProof/>
        </w:rPr>
        <w:t>3.3</w:t>
      </w:r>
      <w:r>
        <w:rPr>
          <w:rFonts w:asciiTheme="minorHAnsi" w:eastAsiaTheme="minorEastAsia" w:hAnsiTheme="minorHAnsi" w:cstheme="minorBidi"/>
          <w:noProof/>
          <w:sz w:val="22"/>
          <w:szCs w:val="22"/>
          <w:lang w:eastAsia="en-AU"/>
        </w:rPr>
        <w:tab/>
      </w:r>
      <w:r>
        <w:rPr>
          <w:noProof/>
        </w:rPr>
        <w:t>Interpretation of results</w:t>
      </w:r>
      <w:r>
        <w:rPr>
          <w:noProof/>
        </w:rPr>
        <w:tab/>
        <w:t>2</w:t>
      </w:r>
      <w:r w:rsidR="00BD2C30">
        <w:rPr>
          <w:noProof/>
        </w:rPr>
        <w:t>3</w:t>
      </w:r>
    </w:p>
    <w:p w:rsidR="00CF4891" w:rsidRDefault="00CF4891">
      <w:pPr>
        <w:pStyle w:val="TOC2"/>
        <w:tabs>
          <w:tab w:val="left" w:pos="1190"/>
        </w:tabs>
        <w:rPr>
          <w:rFonts w:asciiTheme="minorHAnsi" w:eastAsiaTheme="minorEastAsia" w:hAnsiTheme="minorHAnsi" w:cstheme="minorBidi"/>
          <w:noProof/>
          <w:sz w:val="22"/>
          <w:szCs w:val="22"/>
          <w:lang w:eastAsia="en-AU"/>
        </w:rPr>
      </w:pPr>
      <w:r>
        <w:rPr>
          <w:noProof/>
        </w:rPr>
        <w:t>3.4</w:t>
      </w:r>
      <w:r>
        <w:rPr>
          <w:rFonts w:asciiTheme="minorHAnsi" w:eastAsiaTheme="minorEastAsia" w:hAnsiTheme="minorHAnsi" w:cstheme="minorBidi"/>
          <w:noProof/>
          <w:sz w:val="22"/>
          <w:szCs w:val="22"/>
          <w:lang w:eastAsia="en-AU"/>
        </w:rPr>
        <w:tab/>
      </w:r>
      <w:r>
        <w:rPr>
          <w:noProof/>
        </w:rPr>
        <w:t>Econometric issues</w:t>
      </w:r>
      <w:r>
        <w:rPr>
          <w:noProof/>
        </w:rPr>
        <w:tab/>
        <w:t>2</w:t>
      </w:r>
      <w:r w:rsidR="00C56E47">
        <w:rPr>
          <w:noProof/>
        </w:rPr>
        <w:t>5</w:t>
      </w:r>
    </w:p>
    <w:p w:rsidR="00CF4891" w:rsidRDefault="00CF4891">
      <w:pPr>
        <w:pStyle w:val="TOC1"/>
        <w:rPr>
          <w:rFonts w:asciiTheme="minorHAnsi" w:eastAsiaTheme="minorEastAsia" w:hAnsiTheme="minorHAnsi" w:cstheme="minorBidi"/>
          <w:b w:val="0"/>
          <w:noProof/>
          <w:sz w:val="22"/>
          <w:szCs w:val="22"/>
          <w:lang w:eastAsia="en-AU"/>
        </w:rPr>
      </w:pPr>
      <w:r>
        <w:rPr>
          <w:noProof/>
        </w:rPr>
        <w:t>4</w:t>
      </w:r>
      <w:r>
        <w:rPr>
          <w:rFonts w:asciiTheme="minorHAnsi" w:eastAsiaTheme="minorEastAsia" w:hAnsiTheme="minorHAnsi" w:cstheme="minorBidi"/>
          <w:b w:val="0"/>
          <w:noProof/>
          <w:sz w:val="22"/>
          <w:szCs w:val="22"/>
          <w:lang w:eastAsia="en-AU"/>
        </w:rPr>
        <w:tab/>
      </w:r>
      <w:r>
        <w:rPr>
          <w:noProof/>
        </w:rPr>
        <w:t>Data and variables</w:t>
      </w:r>
      <w:r>
        <w:rPr>
          <w:noProof/>
        </w:rPr>
        <w:tab/>
        <w:t>3</w:t>
      </w:r>
      <w:r w:rsidR="00C56E47">
        <w:rPr>
          <w:noProof/>
        </w:rPr>
        <w:t>1</w:t>
      </w:r>
    </w:p>
    <w:p w:rsidR="00CF4891" w:rsidRDefault="00CF4891">
      <w:pPr>
        <w:pStyle w:val="TOC2"/>
        <w:tabs>
          <w:tab w:val="left" w:pos="1190"/>
        </w:tabs>
        <w:rPr>
          <w:rFonts w:asciiTheme="minorHAnsi" w:eastAsiaTheme="minorEastAsia" w:hAnsiTheme="minorHAnsi" w:cstheme="minorBidi"/>
          <w:noProof/>
          <w:sz w:val="22"/>
          <w:szCs w:val="22"/>
          <w:lang w:eastAsia="en-AU"/>
        </w:rPr>
      </w:pPr>
      <w:r>
        <w:rPr>
          <w:noProof/>
        </w:rPr>
        <w:t>4.1</w:t>
      </w:r>
      <w:r>
        <w:rPr>
          <w:rFonts w:asciiTheme="minorHAnsi" w:eastAsiaTheme="minorEastAsia" w:hAnsiTheme="minorHAnsi" w:cstheme="minorBidi"/>
          <w:noProof/>
          <w:sz w:val="22"/>
          <w:szCs w:val="22"/>
          <w:lang w:eastAsia="en-AU"/>
        </w:rPr>
        <w:tab/>
      </w:r>
      <w:r>
        <w:rPr>
          <w:noProof/>
        </w:rPr>
        <w:t>ABS 2008 NATSISS</w:t>
      </w:r>
      <w:r>
        <w:rPr>
          <w:noProof/>
        </w:rPr>
        <w:tab/>
        <w:t>3</w:t>
      </w:r>
      <w:r w:rsidR="00C56E47">
        <w:rPr>
          <w:noProof/>
        </w:rPr>
        <w:t>1</w:t>
      </w:r>
    </w:p>
    <w:p w:rsidR="00CF4891" w:rsidRDefault="00CF4891">
      <w:pPr>
        <w:pStyle w:val="TOC2"/>
        <w:tabs>
          <w:tab w:val="left" w:pos="1190"/>
        </w:tabs>
        <w:rPr>
          <w:rFonts w:asciiTheme="minorHAnsi" w:eastAsiaTheme="minorEastAsia" w:hAnsiTheme="minorHAnsi" w:cstheme="minorBidi"/>
          <w:noProof/>
          <w:sz w:val="22"/>
          <w:szCs w:val="22"/>
          <w:lang w:eastAsia="en-AU"/>
        </w:rPr>
      </w:pPr>
      <w:r>
        <w:rPr>
          <w:noProof/>
        </w:rPr>
        <w:t>4.2</w:t>
      </w:r>
      <w:r>
        <w:rPr>
          <w:rFonts w:asciiTheme="minorHAnsi" w:eastAsiaTheme="minorEastAsia" w:hAnsiTheme="minorHAnsi" w:cstheme="minorBidi"/>
          <w:noProof/>
          <w:sz w:val="22"/>
          <w:szCs w:val="22"/>
          <w:lang w:eastAsia="en-AU"/>
        </w:rPr>
        <w:tab/>
      </w:r>
      <w:r>
        <w:rPr>
          <w:noProof/>
        </w:rPr>
        <w:t>Explanatory variables</w:t>
      </w:r>
      <w:r>
        <w:rPr>
          <w:noProof/>
        </w:rPr>
        <w:tab/>
        <w:t>3</w:t>
      </w:r>
      <w:r w:rsidR="00C56E47">
        <w:rPr>
          <w:noProof/>
        </w:rPr>
        <w:t>2</w:t>
      </w:r>
    </w:p>
    <w:p w:rsidR="00CF4891" w:rsidRDefault="00CF4891">
      <w:pPr>
        <w:pStyle w:val="TOC2"/>
        <w:tabs>
          <w:tab w:val="left" w:pos="1190"/>
        </w:tabs>
        <w:rPr>
          <w:rFonts w:asciiTheme="minorHAnsi" w:eastAsiaTheme="minorEastAsia" w:hAnsiTheme="minorHAnsi" w:cstheme="minorBidi"/>
          <w:noProof/>
          <w:sz w:val="22"/>
          <w:szCs w:val="22"/>
          <w:lang w:eastAsia="en-AU"/>
        </w:rPr>
      </w:pPr>
      <w:r>
        <w:rPr>
          <w:noProof/>
        </w:rPr>
        <w:t>4.3</w:t>
      </w:r>
      <w:r>
        <w:rPr>
          <w:rFonts w:asciiTheme="minorHAnsi" w:eastAsiaTheme="minorEastAsia" w:hAnsiTheme="minorHAnsi" w:cstheme="minorBidi"/>
          <w:noProof/>
          <w:sz w:val="22"/>
          <w:szCs w:val="22"/>
          <w:lang w:eastAsia="en-AU"/>
        </w:rPr>
        <w:tab/>
      </w:r>
      <w:r>
        <w:rPr>
          <w:noProof/>
        </w:rPr>
        <w:t>Some data limitations</w:t>
      </w:r>
      <w:r>
        <w:rPr>
          <w:noProof/>
        </w:rPr>
        <w:tab/>
        <w:t>4</w:t>
      </w:r>
      <w:r w:rsidR="00C56E47">
        <w:rPr>
          <w:noProof/>
        </w:rPr>
        <w:t>3</w:t>
      </w:r>
    </w:p>
    <w:p w:rsidR="00CF4891" w:rsidRDefault="00CF4891">
      <w:pPr>
        <w:pStyle w:val="TOC1"/>
        <w:rPr>
          <w:rFonts w:asciiTheme="minorHAnsi" w:eastAsiaTheme="minorEastAsia" w:hAnsiTheme="minorHAnsi" w:cstheme="minorBidi"/>
          <w:b w:val="0"/>
          <w:noProof/>
          <w:sz w:val="22"/>
          <w:szCs w:val="22"/>
          <w:lang w:eastAsia="en-AU"/>
        </w:rPr>
      </w:pPr>
      <w:r>
        <w:rPr>
          <w:noProof/>
        </w:rPr>
        <w:t>5</w:t>
      </w:r>
      <w:r>
        <w:rPr>
          <w:rFonts w:asciiTheme="minorHAnsi" w:eastAsiaTheme="minorEastAsia" w:hAnsiTheme="minorHAnsi" w:cstheme="minorBidi"/>
          <w:b w:val="0"/>
          <w:noProof/>
          <w:sz w:val="22"/>
          <w:szCs w:val="22"/>
          <w:lang w:eastAsia="en-AU"/>
        </w:rPr>
        <w:tab/>
      </w:r>
      <w:r>
        <w:rPr>
          <w:noProof/>
        </w:rPr>
        <w:t>Results and discussion</w:t>
      </w:r>
      <w:r>
        <w:rPr>
          <w:noProof/>
        </w:rPr>
        <w:tab/>
        <w:t>4</w:t>
      </w:r>
      <w:r w:rsidR="00C56E47">
        <w:rPr>
          <w:noProof/>
        </w:rPr>
        <w:t>5</w:t>
      </w:r>
    </w:p>
    <w:p w:rsidR="00CF4891" w:rsidRDefault="00CF4891">
      <w:pPr>
        <w:pStyle w:val="TOC2"/>
        <w:tabs>
          <w:tab w:val="left" w:pos="1190"/>
        </w:tabs>
        <w:rPr>
          <w:rFonts w:asciiTheme="minorHAnsi" w:eastAsiaTheme="minorEastAsia" w:hAnsiTheme="minorHAnsi" w:cstheme="minorBidi"/>
          <w:noProof/>
          <w:sz w:val="22"/>
          <w:szCs w:val="22"/>
          <w:lang w:eastAsia="en-AU"/>
        </w:rPr>
      </w:pPr>
      <w:r w:rsidRPr="00987415">
        <w:rPr>
          <w:noProof/>
          <w:kern w:val="28"/>
        </w:rPr>
        <w:t>5.1</w:t>
      </w:r>
      <w:r>
        <w:rPr>
          <w:rFonts w:asciiTheme="minorHAnsi" w:eastAsiaTheme="minorEastAsia" w:hAnsiTheme="minorHAnsi" w:cstheme="minorBidi"/>
          <w:noProof/>
          <w:sz w:val="22"/>
          <w:szCs w:val="22"/>
          <w:lang w:eastAsia="en-AU"/>
        </w:rPr>
        <w:tab/>
      </w:r>
      <w:r w:rsidRPr="00987415">
        <w:rPr>
          <w:noProof/>
          <w:kern w:val="28"/>
        </w:rPr>
        <w:t>Associations with health and disability</w:t>
      </w:r>
      <w:r>
        <w:rPr>
          <w:noProof/>
        </w:rPr>
        <w:tab/>
        <w:t>4</w:t>
      </w:r>
      <w:r w:rsidR="00C56E47">
        <w:rPr>
          <w:noProof/>
        </w:rPr>
        <w:t>6</w:t>
      </w:r>
    </w:p>
    <w:p w:rsidR="00CF4891" w:rsidRDefault="00CF4891">
      <w:pPr>
        <w:pStyle w:val="TOC2"/>
        <w:tabs>
          <w:tab w:val="left" w:pos="1190"/>
        </w:tabs>
        <w:rPr>
          <w:rFonts w:asciiTheme="minorHAnsi" w:eastAsiaTheme="minorEastAsia" w:hAnsiTheme="minorHAnsi" w:cstheme="minorBidi"/>
          <w:noProof/>
          <w:sz w:val="22"/>
          <w:szCs w:val="22"/>
          <w:lang w:eastAsia="en-AU"/>
        </w:rPr>
      </w:pPr>
      <w:r>
        <w:rPr>
          <w:noProof/>
        </w:rPr>
        <w:t>5.2</w:t>
      </w:r>
      <w:r>
        <w:rPr>
          <w:rFonts w:asciiTheme="minorHAnsi" w:eastAsiaTheme="minorEastAsia" w:hAnsiTheme="minorHAnsi" w:cstheme="minorBidi"/>
          <w:noProof/>
          <w:sz w:val="22"/>
          <w:szCs w:val="22"/>
          <w:lang w:eastAsia="en-AU"/>
        </w:rPr>
        <w:tab/>
      </w:r>
      <w:r>
        <w:rPr>
          <w:noProof/>
        </w:rPr>
        <w:t>Associations with educational attainment</w:t>
      </w:r>
      <w:r>
        <w:rPr>
          <w:noProof/>
        </w:rPr>
        <w:tab/>
      </w:r>
      <w:r w:rsidR="00C56E47">
        <w:rPr>
          <w:noProof/>
        </w:rPr>
        <w:t>48</w:t>
      </w:r>
    </w:p>
    <w:p w:rsidR="00CF4891" w:rsidRDefault="00CF4891">
      <w:pPr>
        <w:pStyle w:val="TOC2"/>
        <w:tabs>
          <w:tab w:val="left" w:pos="1190"/>
        </w:tabs>
        <w:rPr>
          <w:rFonts w:asciiTheme="minorHAnsi" w:eastAsiaTheme="minorEastAsia" w:hAnsiTheme="minorHAnsi" w:cstheme="minorBidi"/>
          <w:noProof/>
          <w:sz w:val="22"/>
          <w:szCs w:val="22"/>
          <w:lang w:eastAsia="en-AU"/>
        </w:rPr>
      </w:pPr>
      <w:r>
        <w:rPr>
          <w:noProof/>
        </w:rPr>
        <w:lastRenderedPageBreak/>
        <w:t>5.3</w:t>
      </w:r>
      <w:r>
        <w:rPr>
          <w:rFonts w:asciiTheme="minorHAnsi" w:eastAsiaTheme="minorEastAsia" w:hAnsiTheme="minorHAnsi" w:cstheme="minorBidi"/>
          <w:noProof/>
          <w:sz w:val="22"/>
          <w:szCs w:val="22"/>
          <w:lang w:eastAsia="en-AU"/>
        </w:rPr>
        <w:tab/>
      </w:r>
      <w:r>
        <w:rPr>
          <w:noProof/>
        </w:rPr>
        <w:t>Associations with personal and demographic characteristics</w:t>
      </w:r>
      <w:r>
        <w:rPr>
          <w:noProof/>
        </w:rPr>
        <w:tab/>
        <w:t>5</w:t>
      </w:r>
      <w:r w:rsidR="00C56E47">
        <w:rPr>
          <w:noProof/>
        </w:rPr>
        <w:t>1</w:t>
      </w:r>
    </w:p>
    <w:p w:rsidR="00CF4891" w:rsidRDefault="00CF4891">
      <w:pPr>
        <w:pStyle w:val="TOC2"/>
        <w:tabs>
          <w:tab w:val="left" w:pos="1190"/>
        </w:tabs>
        <w:rPr>
          <w:rFonts w:asciiTheme="minorHAnsi" w:eastAsiaTheme="minorEastAsia" w:hAnsiTheme="minorHAnsi" w:cstheme="minorBidi"/>
          <w:noProof/>
          <w:sz w:val="22"/>
          <w:szCs w:val="22"/>
          <w:lang w:eastAsia="en-AU"/>
        </w:rPr>
      </w:pPr>
      <w:r>
        <w:rPr>
          <w:noProof/>
        </w:rPr>
        <w:t>5.4</w:t>
      </w:r>
      <w:r>
        <w:rPr>
          <w:rFonts w:asciiTheme="minorHAnsi" w:eastAsiaTheme="minorEastAsia" w:hAnsiTheme="minorHAnsi" w:cstheme="minorBidi"/>
          <w:noProof/>
          <w:sz w:val="22"/>
          <w:szCs w:val="22"/>
          <w:lang w:eastAsia="en-AU"/>
        </w:rPr>
        <w:tab/>
      </w:r>
      <w:r>
        <w:rPr>
          <w:noProof/>
        </w:rPr>
        <w:t>Associations with social and cultural factors</w:t>
      </w:r>
      <w:r>
        <w:rPr>
          <w:noProof/>
        </w:rPr>
        <w:tab/>
        <w:t>5</w:t>
      </w:r>
      <w:r w:rsidR="00C56E47">
        <w:rPr>
          <w:noProof/>
        </w:rPr>
        <w:t>4</w:t>
      </w:r>
    </w:p>
    <w:p w:rsidR="00CF4891" w:rsidRDefault="00CF4891">
      <w:pPr>
        <w:pStyle w:val="TOC1"/>
        <w:rPr>
          <w:rFonts w:asciiTheme="minorHAnsi" w:eastAsiaTheme="minorEastAsia" w:hAnsiTheme="minorHAnsi" w:cstheme="minorBidi"/>
          <w:b w:val="0"/>
          <w:noProof/>
          <w:sz w:val="22"/>
          <w:szCs w:val="22"/>
          <w:lang w:eastAsia="en-AU"/>
        </w:rPr>
      </w:pPr>
      <w:r>
        <w:rPr>
          <w:noProof/>
        </w:rPr>
        <w:t>6</w:t>
      </w:r>
      <w:r>
        <w:rPr>
          <w:rFonts w:asciiTheme="minorHAnsi" w:eastAsiaTheme="minorEastAsia" w:hAnsiTheme="minorHAnsi" w:cstheme="minorBidi"/>
          <w:b w:val="0"/>
          <w:noProof/>
          <w:sz w:val="22"/>
          <w:szCs w:val="22"/>
          <w:lang w:eastAsia="en-AU"/>
        </w:rPr>
        <w:tab/>
      </w:r>
      <w:r>
        <w:rPr>
          <w:noProof/>
        </w:rPr>
        <w:t>Conclusion</w:t>
      </w:r>
      <w:r>
        <w:rPr>
          <w:noProof/>
        </w:rPr>
        <w:tab/>
        <w:t>5</w:t>
      </w:r>
      <w:r w:rsidR="00C56E47">
        <w:rPr>
          <w:noProof/>
        </w:rPr>
        <w:t>7</w:t>
      </w:r>
    </w:p>
    <w:p w:rsidR="00CF4891" w:rsidRDefault="00CF4891">
      <w:pPr>
        <w:pStyle w:val="TOC1"/>
        <w:rPr>
          <w:rFonts w:asciiTheme="minorHAnsi" w:eastAsiaTheme="minorEastAsia" w:hAnsiTheme="minorHAnsi" w:cstheme="minorBidi"/>
          <w:b w:val="0"/>
          <w:noProof/>
          <w:sz w:val="22"/>
          <w:szCs w:val="22"/>
          <w:lang w:eastAsia="en-AU"/>
        </w:rPr>
      </w:pPr>
      <w:r>
        <w:rPr>
          <w:noProof/>
        </w:rPr>
        <w:t>A</w:t>
      </w:r>
      <w:r>
        <w:rPr>
          <w:rFonts w:asciiTheme="minorHAnsi" w:eastAsiaTheme="minorEastAsia" w:hAnsiTheme="minorHAnsi" w:cstheme="minorBidi"/>
          <w:b w:val="0"/>
          <w:noProof/>
          <w:sz w:val="22"/>
          <w:szCs w:val="22"/>
          <w:lang w:eastAsia="en-AU"/>
        </w:rPr>
        <w:tab/>
      </w:r>
      <w:r>
        <w:rPr>
          <w:noProof/>
        </w:rPr>
        <w:t>Appendix</w:t>
      </w:r>
      <w:r>
        <w:rPr>
          <w:noProof/>
        </w:rPr>
        <w:tab/>
        <w:t>6</w:t>
      </w:r>
      <w:r w:rsidR="00C56E47">
        <w:rPr>
          <w:noProof/>
        </w:rPr>
        <w:t>1</w:t>
      </w:r>
    </w:p>
    <w:p w:rsidR="00CF4891" w:rsidRDefault="00CF4891">
      <w:pPr>
        <w:pStyle w:val="TOC1"/>
        <w:rPr>
          <w:rFonts w:asciiTheme="minorHAnsi" w:eastAsiaTheme="minorEastAsia" w:hAnsiTheme="minorHAnsi" w:cstheme="minorBidi"/>
          <w:b w:val="0"/>
          <w:noProof/>
          <w:sz w:val="22"/>
          <w:szCs w:val="22"/>
          <w:lang w:eastAsia="en-AU"/>
        </w:rPr>
      </w:pPr>
      <w:r>
        <w:rPr>
          <w:noProof/>
        </w:rPr>
        <w:t>References</w:t>
      </w:r>
      <w:r>
        <w:rPr>
          <w:noProof/>
        </w:rPr>
        <w:tab/>
      </w:r>
      <w:r w:rsidR="00DB75B8">
        <w:rPr>
          <w:noProof/>
        </w:rPr>
        <w:t>79</w:t>
      </w:r>
    </w:p>
    <w:p w:rsidR="003D260D" w:rsidRPr="003D260D" w:rsidRDefault="003D260D" w:rsidP="0098302B">
      <w:pPr>
        <w:pStyle w:val="Heading1NotTOC"/>
        <w:sectPr w:rsidR="003D260D" w:rsidRPr="003D260D" w:rsidSect="00A72171">
          <w:headerReference w:type="even" r:id="rId10"/>
          <w:headerReference w:type="default" r:id="rId11"/>
          <w:footerReference w:type="even" r:id="rId12"/>
          <w:footerReference w:type="default" r:id="rId13"/>
          <w:pgSz w:w="11907" w:h="16840" w:code="9"/>
          <w:pgMar w:top="1985" w:right="1304" w:bottom="1418" w:left="1814" w:header="1701" w:footer="567" w:gutter="0"/>
          <w:pgNumType w:fmt="upperRoman"/>
          <w:cols w:space="720"/>
        </w:sectPr>
      </w:pPr>
    </w:p>
    <w:p w:rsidR="00667561" w:rsidRDefault="00AC13EE" w:rsidP="00AC13EE">
      <w:pPr>
        <w:pStyle w:val="Heading1"/>
      </w:pPr>
      <w:bookmarkStart w:id="6" w:name="Abbreviations"/>
      <w:bookmarkStart w:id="7" w:name="RDnote"/>
      <w:bookmarkStart w:id="8" w:name="_Toc305168952"/>
      <w:bookmarkEnd w:id="6"/>
      <w:bookmarkEnd w:id="7"/>
      <w:r>
        <w:lastRenderedPageBreak/>
        <w:t>Acknowledgements</w:t>
      </w:r>
      <w:bookmarkEnd w:id="8"/>
    </w:p>
    <w:p w:rsidR="009520FF" w:rsidRDefault="00AC13EE">
      <w:pPr>
        <w:pStyle w:val="BodyText"/>
      </w:pPr>
      <w:r>
        <w:t xml:space="preserve">The authors wish to thank the following people for their help and advice in the production of this paper. </w:t>
      </w:r>
      <w:r w:rsidR="009520FF">
        <w:t xml:space="preserve">The paper was refereed by Prof Anne Daly at the University of </w:t>
      </w:r>
      <w:smartTag w:uri="urn:schemas-microsoft-com:office:smarttags" w:element="City">
        <w:smartTag w:uri="urn:schemas-microsoft-com:office:smarttags" w:element="place">
          <w:r w:rsidR="009520FF">
            <w:t>Canberra</w:t>
          </w:r>
        </w:smartTag>
      </w:smartTag>
      <w:r w:rsidR="009520FF">
        <w:t>, and Dr Nicholas Biddle at the Centre for Aboriginal Economic Policy Research</w:t>
      </w:r>
      <w:r w:rsidR="007C7F56">
        <w:t xml:space="preserve"> at ANU</w:t>
      </w:r>
      <w:r w:rsidR="009520FF">
        <w:t xml:space="preserve">. At the Productivity Commission, Dr Jenny Gordon and Lawrence McDonald acted as referees. The paper has also benefited from comments made by </w:t>
      </w:r>
      <w:r w:rsidR="007C7F56">
        <w:t xml:space="preserve">Dr </w:t>
      </w:r>
      <w:r w:rsidR="009520FF">
        <w:t xml:space="preserve">Patrick Jomini, </w:t>
      </w:r>
      <w:r w:rsidR="00C43831">
        <w:t xml:space="preserve">Lisa Gropp, </w:t>
      </w:r>
      <w:r w:rsidR="007C7F56">
        <w:t xml:space="preserve">Dr </w:t>
      </w:r>
      <w:r w:rsidR="009520FF">
        <w:t xml:space="preserve">Patrick </w:t>
      </w:r>
      <w:proofErr w:type="spellStart"/>
      <w:r w:rsidR="009520FF">
        <w:t>Laplagne</w:t>
      </w:r>
      <w:proofErr w:type="spellEnd"/>
      <w:r w:rsidR="009520FF">
        <w:t>, Peter Daniel,</w:t>
      </w:r>
      <w:r w:rsidR="000E1DA7">
        <w:t xml:space="preserve"> Anthony </w:t>
      </w:r>
      <w:proofErr w:type="spellStart"/>
      <w:r w:rsidR="000E1DA7">
        <w:t>Shomos</w:t>
      </w:r>
      <w:proofErr w:type="spellEnd"/>
      <w:r w:rsidR="000E1DA7">
        <w:t>,</w:t>
      </w:r>
      <w:r w:rsidR="009520FF">
        <w:t xml:space="preserve"> Leo </w:t>
      </w:r>
      <w:proofErr w:type="spellStart"/>
      <w:r w:rsidR="009520FF">
        <w:t>Soames</w:t>
      </w:r>
      <w:proofErr w:type="spellEnd"/>
      <w:r w:rsidR="009520FF">
        <w:t>, Maurice Glover and Matthew Forbes.</w:t>
      </w:r>
    </w:p>
    <w:p w:rsidR="00AC13EE" w:rsidRDefault="009520FF">
      <w:pPr>
        <w:pStyle w:val="BodyText"/>
      </w:pPr>
      <w:r>
        <w:t xml:space="preserve">The paper use a </w:t>
      </w:r>
      <w:proofErr w:type="spellStart"/>
      <w:r>
        <w:t>confidentialised</w:t>
      </w:r>
      <w:proofErr w:type="spellEnd"/>
      <w:r>
        <w:t xml:space="preserve"> unit record file (CURF), accessed from the Australian Bureau of Statistics (ABS) via its Remote Access Data Laboratory (RADL). The findings and views reported in this paper, however, are those of the Productivity Commission staff involved and should </w:t>
      </w:r>
      <w:r w:rsidR="000E1DA7">
        <w:t>not be attributed to either the ABS or the Productivity Commission.</w:t>
      </w:r>
      <w:r>
        <w:t xml:space="preserve"> </w:t>
      </w:r>
    </w:p>
    <w:p w:rsidR="00AC13EE" w:rsidRDefault="00AC13EE">
      <w:pPr>
        <w:pStyle w:val="BodyText"/>
      </w:pPr>
    </w:p>
    <w:p w:rsidR="00AC13EE" w:rsidRDefault="00AC13EE">
      <w:pPr>
        <w:pStyle w:val="BodyText"/>
        <w:sectPr w:rsidR="00AC13EE">
          <w:headerReference w:type="even" r:id="rId14"/>
          <w:headerReference w:type="default" r:id="rId15"/>
          <w:footerReference w:type="even" r:id="rId16"/>
          <w:footerReference w:type="default" r:id="rId17"/>
          <w:pgSz w:w="11906" w:h="16838" w:code="9"/>
          <w:pgMar w:top="1985" w:right="1304" w:bottom="1418" w:left="1814" w:header="1701" w:footer="567" w:gutter="0"/>
          <w:pgNumType w:fmt="upperRoman"/>
          <w:cols w:space="708"/>
          <w:docGrid w:linePitch="360"/>
        </w:sectPr>
      </w:pPr>
    </w:p>
    <w:p w:rsidR="00735FEA" w:rsidRDefault="00735FEA" w:rsidP="00F7477E">
      <w:pPr>
        <w:pStyle w:val="Heading1"/>
      </w:pPr>
      <w:bookmarkStart w:id="9" w:name="EndContents"/>
      <w:bookmarkStart w:id="10" w:name="_Toc305168953"/>
      <w:bookmarkEnd w:id="9"/>
      <w:r>
        <w:lastRenderedPageBreak/>
        <w:t>Abbreviations</w:t>
      </w:r>
      <w:bookmarkEnd w:id="10"/>
    </w:p>
    <w:p w:rsidR="00735FEA" w:rsidRDefault="00735FEA" w:rsidP="00F7477E">
      <w:pPr>
        <w:pStyle w:val="Heading2NotTOC"/>
      </w:pPr>
      <w:r>
        <w:t>Abbrevia</w:t>
      </w:r>
      <w:r w:rsidRPr="00F85393">
        <w:t>t</w:t>
      </w:r>
      <w:r>
        <w:t>ions</w:t>
      </w:r>
    </w:p>
    <w:p w:rsidR="001C2078" w:rsidRDefault="001C2078">
      <w:pPr>
        <w:pStyle w:val="Abbreviation"/>
      </w:pPr>
    </w:p>
    <w:p w:rsidR="00AE66E8" w:rsidRDefault="00AE66E8" w:rsidP="00670797">
      <w:pPr>
        <w:pStyle w:val="Abbreviation"/>
        <w:rPr>
          <w:lang w:eastAsia="en-AU"/>
        </w:rPr>
      </w:pPr>
      <w:r>
        <w:rPr>
          <w:lang w:eastAsia="en-AU"/>
        </w:rPr>
        <w:t>ABS</w:t>
      </w:r>
      <w:r>
        <w:rPr>
          <w:lang w:eastAsia="en-AU"/>
        </w:rPr>
        <w:tab/>
        <w:t>Australian Bureau of Statistics</w:t>
      </w:r>
    </w:p>
    <w:p w:rsidR="001C2078" w:rsidRPr="00670797" w:rsidRDefault="001C2078" w:rsidP="00670797">
      <w:pPr>
        <w:pStyle w:val="Abbreviation"/>
        <w:rPr>
          <w:lang w:eastAsia="en-AU"/>
        </w:rPr>
      </w:pPr>
      <w:r>
        <w:rPr>
          <w:lang w:eastAsia="en-AU"/>
        </w:rPr>
        <w:t xml:space="preserve">CDEP </w:t>
      </w:r>
      <w:r w:rsidR="00670797">
        <w:rPr>
          <w:lang w:eastAsia="en-AU"/>
        </w:rPr>
        <w:tab/>
      </w:r>
      <w:r>
        <w:rPr>
          <w:lang w:eastAsia="en-AU"/>
        </w:rPr>
        <w:t>Community Development Employment Projects</w:t>
      </w:r>
    </w:p>
    <w:p w:rsidR="00670797" w:rsidRDefault="001C2078" w:rsidP="00670797">
      <w:pPr>
        <w:pStyle w:val="Abbreviation"/>
        <w:rPr>
          <w:szCs w:val="26"/>
          <w:lang w:eastAsia="en-AU"/>
        </w:rPr>
      </w:pPr>
      <w:r>
        <w:rPr>
          <w:szCs w:val="26"/>
          <w:lang w:eastAsia="en-AU"/>
        </w:rPr>
        <w:t xml:space="preserve">COAG </w:t>
      </w:r>
      <w:r w:rsidR="00670797">
        <w:rPr>
          <w:szCs w:val="26"/>
          <w:lang w:eastAsia="en-AU"/>
        </w:rPr>
        <w:tab/>
      </w:r>
      <w:r>
        <w:rPr>
          <w:szCs w:val="26"/>
          <w:lang w:eastAsia="en-AU"/>
        </w:rPr>
        <w:t>Council of Australian Governments</w:t>
      </w:r>
    </w:p>
    <w:p w:rsidR="00CB41DD" w:rsidRDefault="00CB41DD" w:rsidP="00670797">
      <w:pPr>
        <w:pStyle w:val="Abbreviation"/>
        <w:rPr>
          <w:szCs w:val="26"/>
          <w:lang w:eastAsia="en-AU"/>
        </w:rPr>
      </w:pPr>
      <w:r>
        <w:rPr>
          <w:szCs w:val="26"/>
          <w:lang w:eastAsia="en-AU"/>
        </w:rPr>
        <w:t>IIA</w:t>
      </w:r>
      <w:r>
        <w:rPr>
          <w:szCs w:val="26"/>
          <w:lang w:eastAsia="en-AU"/>
        </w:rPr>
        <w:tab/>
      </w:r>
      <w:smartTag w:uri="urn:schemas-microsoft-com:office:smarttags" w:element="City">
        <w:smartTag w:uri="urn:schemas-microsoft-com:office:smarttags" w:element="place">
          <w:r>
            <w:rPr>
              <w:szCs w:val="26"/>
              <w:lang w:eastAsia="en-AU"/>
            </w:rPr>
            <w:t>Independence</w:t>
          </w:r>
        </w:smartTag>
      </w:smartTag>
      <w:r>
        <w:rPr>
          <w:szCs w:val="26"/>
          <w:lang w:eastAsia="en-AU"/>
        </w:rPr>
        <w:t xml:space="preserve"> of Irrelevant Alternatives</w:t>
      </w:r>
    </w:p>
    <w:p w:rsidR="000D5742" w:rsidRPr="00670797" w:rsidRDefault="000D5742" w:rsidP="00670797">
      <w:pPr>
        <w:pStyle w:val="Abbreviation"/>
        <w:rPr>
          <w:szCs w:val="26"/>
          <w:lang w:eastAsia="en-AU"/>
        </w:rPr>
      </w:pPr>
      <w:r>
        <w:rPr>
          <w:szCs w:val="26"/>
          <w:lang w:eastAsia="en-AU"/>
        </w:rPr>
        <w:t>LMO</w:t>
      </w:r>
      <w:r>
        <w:rPr>
          <w:szCs w:val="26"/>
          <w:lang w:eastAsia="en-AU"/>
        </w:rPr>
        <w:tab/>
        <w:t>Labour Market Outcome</w:t>
      </w:r>
    </w:p>
    <w:p w:rsidR="00CB41DD" w:rsidRDefault="00CB41DD" w:rsidP="00670797">
      <w:pPr>
        <w:pStyle w:val="Abbreviation"/>
      </w:pPr>
      <w:r>
        <w:t>MNL</w:t>
      </w:r>
      <w:r>
        <w:tab/>
        <w:t xml:space="preserve">Multinomial </w:t>
      </w:r>
      <w:proofErr w:type="spellStart"/>
      <w:r>
        <w:t>Logit</w:t>
      </w:r>
      <w:proofErr w:type="spellEnd"/>
    </w:p>
    <w:p w:rsidR="00CB41DD" w:rsidRDefault="00CB41DD" w:rsidP="00670797">
      <w:pPr>
        <w:pStyle w:val="Abbreviation"/>
      </w:pPr>
      <w:r>
        <w:t>MNP</w:t>
      </w:r>
      <w:r>
        <w:tab/>
        <w:t xml:space="preserve">Multinomial </w:t>
      </w:r>
      <w:proofErr w:type="spellStart"/>
      <w:r>
        <w:t>Probit</w:t>
      </w:r>
      <w:proofErr w:type="spellEnd"/>
    </w:p>
    <w:p w:rsidR="001C2078" w:rsidRDefault="00670797" w:rsidP="00670797">
      <w:pPr>
        <w:pStyle w:val="Abbreviation"/>
      </w:pPr>
      <w:r>
        <w:t>NATSISS</w:t>
      </w:r>
      <w:r>
        <w:tab/>
        <w:t xml:space="preserve">National Aboriginal and </w:t>
      </w:r>
      <w:smartTag w:uri="urn:schemas-microsoft-com:office:smarttags" w:element="place">
        <w:r>
          <w:t>Torres Strait</w:t>
        </w:r>
      </w:smartTag>
      <w:r>
        <w:t xml:space="preserve"> Islander Social Survey</w:t>
      </w:r>
    </w:p>
    <w:p w:rsidR="00670797" w:rsidRDefault="00670797" w:rsidP="00670797">
      <w:pPr>
        <w:pStyle w:val="Abbreviation"/>
      </w:pPr>
      <w:r>
        <w:t xml:space="preserve">NIRA </w:t>
      </w:r>
      <w:r>
        <w:tab/>
        <w:t>National Indigenous Reform Agreement</w:t>
      </w:r>
    </w:p>
    <w:p w:rsidR="00AE66E8" w:rsidRPr="00C63564" w:rsidRDefault="00AE66E8" w:rsidP="00670797">
      <w:pPr>
        <w:pStyle w:val="Abbreviation"/>
        <w:rPr>
          <w:i/>
        </w:rPr>
      </w:pPr>
      <w:r>
        <w:t>OID</w:t>
      </w:r>
      <w:r>
        <w:tab/>
      </w:r>
      <w:r w:rsidR="00C63564">
        <w:t xml:space="preserve">Report on </w:t>
      </w:r>
      <w:r w:rsidRPr="00AE66E8">
        <w:rPr>
          <w:i/>
        </w:rPr>
        <w:t>Overcoming Indigenous Disadvantage</w:t>
      </w:r>
      <w:r w:rsidR="00C63564" w:rsidRPr="00C63564">
        <w:rPr>
          <w:i/>
        </w:rPr>
        <w:t>: Key Indicators</w:t>
      </w:r>
    </w:p>
    <w:p w:rsidR="00992477" w:rsidRDefault="00992477" w:rsidP="00992477">
      <w:pPr>
        <w:pStyle w:val="Abbreviation"/>
      </w:pPr>
      <w:r>
        <w:t>PC</w:t>
      </w:r>
      <w:r>
        <w:tab/>
        <w:t>Productivity Commission</w:t>
      </w:r>
    </w:p>
    <w:p w:rsidR="001C2078" w:rsidRDefault="001C2078" w:rsidP="00670797">
      <w:pPr>
        <w:pStyle w:val="Abbreviation"/>
        <w:rPr>
          <w:lang w:eastAsia="en-AU"/>
        </w:rPr>
      </w:pPr>
      <w:r>
        <w:rPr>
          <w:lang w:eastAsia="en-AU"/>
        </w:rPr>
        <w:t xml:space="preserve">SCRGSP </w:t>
      </w:r>
      <w:r w:rsidR="00670797">
        <w:rPr>
          <w:lang w:eastAsia="en-AU"/>
        </w:rPr>
        <w:tab/>
      </w:r>
      <w:r>
        <w:rPr>
          <w:lang w:eastAsia="en-AU"/>
        </w:rPr>
        <w:t>Steering Committee for t</w:t>
      </w:r>
      <w:r w:rsidR="00670797">
        <w:rPr>
          <w:lang w:eastAsia="en-AU"/>
        </w:rPr>
        <w:t xml:space="preserve">he Review of Government Service </w:t>
      </w:r>
      <w:r>
        <w:rPr>
          <w:lang w:eastAsia="en-AU"/>
        </w:rPr>
        <w:t>Provision</w:t>
      </w:r>
    </w:p>
    <w:p w:rsidR="00AE66E8" w:rsidRPr="001C2078" w:rsidRDefault="00AE66E8" w:rsidP="00670797">
      <w:pPr>
        <w:pStyle w:val="Abbreviation"/>
        <w:rPr>
          <w:szCs w:val="26"/>
          <w:lang w:eastAsia="en-AU"/>
        </w:rPr>
      </w:pPr>
      <w:r>
        <w:rPr>
          <w:lang w:eastAsia="en-AU"/>
        </w:rPr>
        <w:t>SEIFA</w:t>
      </w:r>
      <w:r>
        <w:rPr>
          <w:lang w:eastAsia="en-AU"/>
        </w:rPr>
        <w:tab/>
        <w:t>Socio-Economic Index for Areas</w:t>
      </w:r>
    </w:p>
    <w:p w:rsidR="00C63564" w:rsidRDefault="00C63564" w:rsidP="00670797">
      <w:pPr>
        <w:pStyle w:val="Abbreviation"/>
      </w:pPr>
      <w:r>
        <w:t>SEM</w:t>
      </w:r>
      <w:r>
        <w:tab/>
        <w:t>Simultaneous Equations Model</w:t>
      </w:r>
    </w:p>
    <w:p w:rsidR="001C2078" w:rsidRDefault="001C2078">
      <w:pPr>
        <w:pStyle w:val="Abbreviation"/>
      </w:pPr>
    </w:p>
    <w:p w:rsidR="008554B6" w:rsidRDefault="008554B6" w:rsidP="000444C2">
      <w:pPr>
        <w:pStyle w:val="Heading1"/>
        <w:spacing w:before="0"/>
        <w:sectPr w:rsidR="008554B6">
          <w:headerReference w:type="even" r:id="rId18"/>
          <w:headerReference w:type="default" r:id="rId19"/>
          <w:footerReference w:type="even" r:id="rId20"/>
          <w:footerReference w:type="default" r:id="rId21"/>
          <w:pgSz w:w="11907" w:h="16840" w:code="9"/>
          <w:pgMar w:top="1332" w:right="1304" w:bottom="1418" w:left="1814" w:header="1701" w:footer="567" w:gutter="0"/>
          <w:pgNumType w:fmt="upperRoman"/>
          <w:cols w:space="720"/>
        </w:sectPr>
      </w:pPr>
      <w:bookmarkStart w:id="11" w:name="ChapterTitle"/>
      <w:bookmarkStart w:id="12" w:name="_Toc305168954"/>
    </w:p>
    <w:p w:rsidR="000444C2" w:rsidRDefault="000444C2" w:rsidP="000444C2">
      <w:pPr>
        <w:pStyle w:val="Heading1"/>
        <w:spacing w:before="0"/>
      </w:pPr>
      <w:r>
        <w:lastRenderedPageBreak/>
        <w:t>Glossary</w:t>
      </w:r>
      <w:bookmarkEnd w:id="11"/>
      <w:bookmarkEnd w:id="12"/>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76"/>
        <w:gridCol w:w="6912"/>
      </w:tblGrid>
      <w:tr w:rsidR="000444C2" w:rsidRPr="00806293" w:rsidTr="000444C2">
        <w:tc>
          <w:tcPr>
            <w:tcW w:w="2376" w:type="dxa"/>
          </w:tcPr>
          <w:p w:rsidR="000444C2" w:rsidRDefault="000444C2" w:rsidP="000444C2">
            <w:pPr>
              <w:pStyle w:val="Abbreviation"/>
              <w:ind w:left="0" w:firstLine="0"/>
              <w:rPr>
                <w:b/>
              </w:rPr>
            </w:pPr>
            <w:bookmarkStart w:id="13" w:name="begin"/>
            <w:bookmarkStart w:id="14" w:name="_Glossary"/>
            <w:bookmarkEnd w:id="13"/>
            <w:bookmarkEnd w:id="14"/>
            <w:r>
              <w:rPr>
                <w:b/>
              </w:rPr>
              <w:t>Cultural activities</w:t>
            </w:r>
          </w:p>
        </w:tc>
        <w:tc>
          <w:tcPr>
            <w:tcW w:w="6912" w:type="dxa"/>
          </w:tcPr>
          <w:p w:rsidR="000444C2" w:rsidRPr="00B41E50" w:rsidRDefault="000444C2" w:rsidP="000444C2">
            <w:pPr>
              <w:pStyle w:val="Abbreviation"/>
              <w:ind w:left="0" w:firstLine="0"/>
              <w:rPr>
                <w:rStyle w:val="BodyTextChar"/>
              </w:rPr>
            </w:pPr>
            <w:r>
              <w:rPr>
                <w:rStyle w:val="BodyTextChar"/>
              </w:rPr>
              <w:t>C</w:t>
            </w:r>
            <w:r w:rsidRPr="00B41E50">
              <w:rPr>
                <w:rStyle w:val="BodyTextChar"/>
              </w:rPr>
              <w:t>ultural activities include</w:t>
            </w:r>
            <w:r>
              <w:rPr>
                <w:rStyle w:val="BodyTextChar"/>
              </w:rPr>
              <w:t xml:space="preserve">: </w:t>
            </w:r>
            <w:r w:rsidRPr="00B41E50">
              <w:rPr>
                <w:rStyle w:val="BodyTextChar"/>
              </w:rPr>
              <w:t>fish</w:t>
            </w:r>
            <w:r>
              <w:rPr>
                <w:rStyle w:val="BodyTextChar"/>
              </w:rPr>
              <w:t>ing;</w:t>
            </w:r>
            <w:r w:rsidRPr="00B41E50">
              <w:rPr>
                <w:rStyle w:val="BodyTextChar"/>
              </w:rPr>
              <w:t xml:space="preserve"> hunt</w:t>
            </w:r>
            <w:r>
              <w:rPr>
                <w:rStyle w:val="BodyTextChar"/>
              </w:rPr>
              <w:t>ing;</w:t>
            </w:r>
            <w:r w:rsidRPr="00B41E50">
              <w:rPr>
                <w:rStyle w:val="BodyTextChar"/>
              </w:rPr>
              <w:t xml:space="preserve"> gather</w:t>
            </w:r>
            <w:r>
              <w:rPr>
                <w:rStyle w:val="BodyTextChar"/>
              </w:rPr>
              <w:t>ing</w:t>
            </w:r>
            <w:r w:rsidRPr="00B41E50">
              <w:rPr>
                <w:rStyle w:val="BodyTextChar"/>
              </w:rPr>
              <w:t xml:space="preserve"> wild plants/berries</w:t>
            </w:r>
            <w:r>
              <w:rPr>
                <w:rStyle w:val="BodyTextChar"/>
              </w:rPr>
              <w:t>;</w:t>
            </w:r>
            <w:r w:rsidRPr="00B41E50">
              <w:rPr>
                <w:rStyle w:val="BodyTextChar"/>
              </w:rPr>
              <w:t xml:space="preserve"> m</w:t>
            </w:r>
            <w:r>
              <w:rPr>
                <w:rStyle w:val="BodyTextChar"/>
              </w:rPr>
              <w:t>aking</w:t>
            </w:r>
            <w:r w:rsidRPr="00B41E50">
              <w:rPr>
                <w:rStyle w:val="BodyTextChar"/>
              </w:rPr>
              <w:t xml:space="preserve"> Aboriginal and Torres Strait Islander arts or crafts</w:t>
            </w:r>
            <w:r>
              <w:rPr>
                <w:rStyle w:val="BodyTextChar"/>
              </w:rPr>
              <w:t>;</w:t>
            </w:r>
            <w:r w:rsidRPr="00B41E50">
              <w:rPr>
                <w:rStyle w:val="BodyTextChar"/>
              </w:rPr>
              <w:t xml:space="preserve"> perform</w:t>
            </w:r>
            <w:r>
              <w:rPr>
                <w:rStyle w:val="BodyTextChar"/>
              </w:rPr>
              <w:t>ing</w:t>
            </w:r>
            <w:r w:rsidRPr="00B41E50">
              <w:rPr>
                <w:rStyle w:val="BodyTextChar"/>
              </w:rPr>
              <w:t xml:space="preserve"> Aboriginal or Torres Strait Islander music, dance, theatre</w:t>
            </w:r>
            <w:r>
              <w:rPr>
                <w:rStyle w:val="BodyTextChar"/>
              </w:rPr>
              <w:t>;</w:t>
            </w:r>
            <w:r w:rsidRPr="00B41E50">
              <w:rPr>
                <w:rStyle w:val="BodyTextChar"/>
              </w:rPr>
              <w:t xml:space="preserve"> and writ</w:t>
            </w:r>
            <w:r>
              <w:rPr>
                <w:rStyle w:val="BodyTextChar"/>
              </w:rPr>
              <w:t>ing</w:t>
            </w:r>
            <w:r w:rsidRPr="00B41E50">
              <w:rPr>
                <w:rStyle w:val="BodyTextChar"/>
              </w:rPr>
              <w:t xml:space="preserve"> or </w:t>
            </w:r>
            <w:r>
              <w:rPr>
                <w:rStyle w:val="BodyTextChar"/>
              </w:rPr>
              <w:t>telling</w:t>
            </w:r>
            <w:r w:rsidRPr="00B41E50">
              <w:rPr>
                <w:rStyle w:val="BodyTextChar"/>
              </w:rPr>
              <w:t xml:space="preserve"> Aboriginal or Torres Strait Islander stories.</w:t>
            </w:r>
          </w:p>
        </w:tc>
      </w:tr>
      <w:tr w:rsidR="000444C2" w:rsidRPr="00806293" w:rsidTr="000444C2">
        <w:tc>
          <w:tcPr>
            <w:tcW w:w="2376" w:type="dxa"/>
          </w:tcPr>
          <w:p w:rsidR="000444C2" w:rsidRDefault="000444C2" w:rsidP="000444C2">
            <w:pPr>
              <w:pStyle w:val="Abbreviation"/>
              <w:ind w:left="0" w:firstLine="0"/>
              <w:rPr>
                <w:b/>
              </w:rPr>
            </w:pPr>
            <w:r>
              <w:rPr>
                <w:b/>
              </w:rPr>
              <w:t>Cultural events</w:t>
            </w:r>
          </w:p>
        </w:tc>
        <w:tc>
          <w:tcPr>
            <w:tcW w:w="6912" w:type="dxa"/>
          </w:tcPr>
          <w:p w:rsidR="000444C2" w:rsidRDefault="000444C2" w:rsidP="000444C2">
            <w:pPr>
              <w:pStyle w:val="Abbreviation"/>
              <w:ind w:left="0" w:firstLine="0"/>
              <w:rPr>
                <w:rStyle w:val="BodyTextChar"/>
              </w:rPr>
            </w:pPr>
            <w:r>
              <w:rPr>
                <w:rStyle w:val="BodyTextChar"/>
              </w:rPr>
              <w:t>C</w:t>
            </w:r>
            <w:r w:rsidRPr="00B41E50">
              <w:rPr>
                <w:rStyle w:val="BodyTextChar"/>
              </w:rPr>
              <w:t>ultural events, ceremonies or organisations include</w:t>
            </w:r>
            <w:r>
              <w:rPr>
                <w:rStyle w:val="BodyTextChar"/>
              </w:rPr>
              <w:t>:</w:t>
            </w:r>
            <w:r w:rsidRPr="00B41E50">
              <w:rPr>
                <w:rStyle w:val="BodyTextChar"/>
              </w:rPr>
              <w:t xml:space="preserve"> ceremonies</w:t>
            </w:r>
            <w:r>
              <w:rPr>
                <w:rStyle w:val="BodyTextChar"/>
              </w:rPr>
              <w:t>;</w:t>
            </w:r>
            <w:r w:rsidRPr="00B41E50">
              <w:rPr>
                <w:rStyle w:val="BodyTextChar"/>
              </w:rPr>
              <w:t xml:space="preserve"> NAIDOC week activities</w:t>
            </w:r>
            <w:r>
              <w:rPr>
                <w:rStyle w:val="BodyTextChar"/>
              </w:rPr>
              <w:t>;</w:t>
            </w:r>
            <w:r w:rsidRPr="00B41E50">
              <w:rPr>
                <w:rStyle w:val="BodyTextChar"/>
              </w:rPr>
              <w:t xml:space="preserve"> sports carnivals (</w:t>
            </w:r>
            <w:r>
              <w:rPr>
                <w:rStyle w:val="BodyTextChar"/>
              </w:rPr>
              <w:t>other than</w:t>
            </w:r>
            <w:r w:rsidRPr="00B41E50">
              <w:rPr>
                <w:rStyle w:val="BodyTextChar"/>
              </w:rPr>
              <w:t xml:space="preserve"> NAIDOC)</w:t>
            </w:r>
            <w:r>
              <w:rPr>
                <w:rStyle w:val="BodyTextChar"/>
              </w:rPr>
              <w:t>;</w:t>
            </w:r>
            <w:r w:rsidRPr="00B41E50">
              <w:rPr>
                <w:rStyle w:val="BodyTextChar"/>
              </w:rPr>
              <w:t xml:space="preserve"> festivals or carnivals involving arts, craft, </w:t>
            </w:r>
            <w:proofErr w:type="gramStart"/>
            <w:r w:rsidRPr="00B41E50">
              <w:rPr>
                <w:rStyle w:val="BodyTextChar"/>
              </w:rPr>
              <w:t>music of dance (</w:t>
            </w:r>
            <w:r>
              <w:rPr>
                <w:rStyle w:val="BodyTextChar"/>
              </w:rPr>
              <w:t>other than</w:t>
            </w:r>
            <w:r w:rsidRPr="00B41E50">
              <w:rPr>
                <w:rStyle w:val="BodyTextChar"/>
              </w:rPr>
              <w:t xml:space="preserve"> NAIDOC)</w:t>
            </w:r>
            <w:r>
              <w:rPr>
                <w:rStyle w:val="BodyTextChar"/>
              </w:rPr>
              <w:t>;</w:t>
            </w:r>
            <w:r w:rsidRPr="00B41E50">
              <w:rPr>
                <w:rStyle w:val="BodyTextChar"/>
              </w:rPr>
              <w:t xml:space="preserve"> Aboriginal/Torres Strait Islander organisations</w:t>
            </w:r>
            <w:r>
              <w:rPr>
                <w:rStyle w:val="BodyTextChar"/>
              </w:rPr>
              <w:t>;</w:t>
            </w:r>
            <w:r w:rsidRPr="00B41E50">
              <w:rPr>
                <w:rStyle w:val="BodyTextChar"/>
              </w:rPr>
              <w:t xml:space="preserve"> and funerals/sorry</w:t>
            </w:r>
            <w:proofErr w:type="gramEnd"/>
            <w:r w:rsidRPr="00B41E50">
              <w:rPr>
                <w:rStyle w:val="BodyTextChar"/>
              </w:rPr>
              <w:t xml:space="preserve"> business.</w:t>
            </w:r>
          </w:p>
        </w:tc>
      </w:tr>
      <w:tr w:rsidR="000444C2" w:rsidRPr="00806293" w:rsidTr="000444C2">
        <w:tc>
          <w:tcPr>
            <w:tcW w:w="2376" w:type="dxa"/>
          </w:tcPr>
          <w:p w:rsidR="000444C2" w:rsidRPr="00806293" w:rsidRDefault="000444C2" w:rsidP="000444C2">
            <w:pPr>
              <w:pStyle w:val="Abbreviation"/>
              <w:ind w:left="0" w:firstLine="0"/>
              <w:rPr>
                <w:b/>
              </w:rPr>
            </w:pPr>
            <w:proofErr w:type="spellStart"/>
            <w:r>
              <w:rPr>
                <w:b/>
              </w:rPr>
              <w:t>Endogeneity</w:t>
            </w:r>
            <w:proofErr w:type="spellEnd"/>
            <w:r>
              <w:rPr>
                <w:b/>
              </w:rPr>
              <w:t xml:space="preserve"> bias</w:t>
            </w:r>
          </w:p>
        </w:tc>
        <w:tc>
          <w:tcPr>
            <w:tcW w:w="6912" w:type="dxa"/>
          </w:tcPr>
          <w:p w:rsidR="000444C2" w:rsidRPr="00806293" w:rsidRDefault="000444C2" w:rsidP="000444C2">
            <w:pPr>
              <w:pStyle w:val="Abbreviation"/>
              <w:ind w:left="0" w:firstLine="0"/>
              <w:rPr>
                <w:rStyle w:val="BodyTextChar"/>
              </w:rPr>
            </w:pPr>
            <w:r>
              <w:rPr>
                <w:rStyle w:val="BodyTextChar"/>
              </w:rPr>
              <w:t>T</w:t>
            </w:r>
            <w:r>
              <w:t>he bias affecting the coefficients of an estimated equation in which one (or more) of the explanatory variables is correlated with the error term.</w:t>
            </w:r>
          </w:p>
        </w:tc>
      </w:tr>
      <w:tr w:rsidR="000444C2" w:rsidRPr="00806293" w:rsidTr="000444C2">
        <w:tc>
          <w:tcPr>
            <w:tcW w:w="2376" w:type="dxa"/>
          </w:tcPr>
          <w:p w:rsidR="000444C2" w:rsidRDefault="000444C2" w:rsidP="000444C2">
            <w:pPr>
              <w:pStyle w:val="Abbreviation"/>
              <w:ind w:left="0" w:firstLine="0"/>
              <w:rPr>
                <w:b/>
              </w:rPr>
            </w:pPr>
            <w:r>
              <w:rPr>
                <w:b/>
              </w:rPr>
              <w:t>Human capital</w:t>
            </w:r>
          </w:p>
        </w:tc>
        <w:tc>
          <w:tcPr>
            <w:tcW w:w="6912" w:type="dxa"/>
          </w:tcPr>
          <w:p w:rsidR="000444C2" w:rsidRPr="0095775B" w:rsidRDefault="000444C2" w:rsidP="000444C2">
            <w:pPr>
              <w:pStyle w:val="Abbreviation"/>
              <w:ind w:left="0" w:firstLine="0"/>
              <w:rPr>
                <w:szCs w:val="26"/>
              </w:rPr>
            </w:pPr>
            <w:r w:rsidRPr="0095775B">
              <w:t xml:space="preserve">The set of attributes, including skills and </w:t>
            </w:r>
            <w:proofErr w:type="gramStart"/>
            <w:r w:rsidRPr="0095775B">
              <w:t xml:space="preserve">knowledge, </w:t>
            </w:r>
            <w:r>
              <w:t>that</w:t>
            </w:r>
            <w:proofErr w:type="gramEnd"/>
            <w:r>
              <w:t xml:space="preserve"> influence a person’s ability to perform work and contribute to economic value.</w:t>
            </w:r>
          </w:p>
        </w:tc>
      </w:tr>
      <w:tr w:rsidR="000444C2" w:rsidRPr="00806293" w:rsidTr="000444C2">
        <w:trPr>
          <w:trHeight w:val="1287"/>
        </w:trPr>
        <w:tc>
          <w:tcPr>
            <w:tcW w:w="2376" w:type="dxa"/>
          </w:tcPr>
          <w:p w:rsidR="000444C2" w:rsidRDefault="000444C2" w:rsidP="000444C2">
            <w:pPr>
              <w:pStyle w:val="Abbreviation"/>
              <w:ind w:left="0" w:firstLine="0"/>
              <w:rPr>
                <w:b/>
              </w:rPr>
            </w:pPr>
            <w:r>
              <w:rPr>
                <w:b/>
              </w:rPr>
              <w:t>Kessler Psychological Distress Scale</w:t>
            </w:r>
          </w:p>
        </w:tc>
        <w:tc>
          <w:tcPr>
            <w:tcW w:w="6912" w:type="dxa"/>
          </w:tcPr>
          <w:p w:rsidR="000444C2" w:rsidRPr="0095775B" w:rsidRDefault="000444C2" w:rsidP="000444C2">
            <w:pPr>
              <w:pStyle w:val="Abbreviation"/>
              <w:ind w:left="0" w:firstLine="0"/>
              <w:rPr>
                <w:szCs w:val="26"/>
              </w:rPr>
            </w:pPr>
            <w:r>
              <w:rPr>
                <w:szCs w:val="26"/>
              </w:rPr>
              <w:t xml:space="preserve">A non-specific scale of psychological distress designed to reflect levels of negative emotional states. </w:t>
            </w:r>
          </w:p>
        </w:tc>
      </w:tr>
      <w:tr w:rsidR="000444C2" w:rsidRPr="00806293" w:rsidTr="000444C2">
        <w:trPr>
          <w:trHeight w:val="1134"/>
        </w:trPr>
        <w:tc>
          <w:tcPr>
            <w:tcW w:w="2376" w:type="dxa"/>
          </w:tcPr>
          <w:p w:rsidR="000444C2" w:rsidRDefault="000444C2" w:rsidP="000444C2">
            <w:pPr>
              <w:pStyle w:val="Abbreviation"/>
              <w:ind w:left="0" w:firstLine="0"/>
              <w:rPr>
                <w:b/>
              </w:rPr>
            </w:pPr>
            <w:r>
              <w:rPr>
                <w:b/>
              </w:rPr>
              <w:t>Labour force participation</w:t>
            </w:r>
          </w:p>
        </w:tc>
        <w:tc>
          <w:tcPr>
            <w:tcW w:w="6912" w:type="dxa"/>
          </w:tcPr>
          <w:p w:rsidR="000444C2" w:rsidRPr="007A077D" w:rsidRDefault="000444C2" w:rsidP="000444C2">
            <w:pPr>
              <w:pStyle w:val="Abbreviation"/>
              <w:ind w:left="0" w:firstLine="0"/>
              <w:rPr>
                <w:rFonts w:ascii="TimesNewRoman" w:hAnsi="TimesNewRoman" w:cs="TimesNewRoman"/>
                <w:szCs w:val="26"/>
              </w:rPr>
            </w:pPr>
            <w:r>
              <w:t>A participant in the labour force is an Indigenous person aged between 15 years and over, and who is either in employed (either in non-CDEP or CDEP employment) or unemployed. The alternative is not in the labour market.</w:t>
            </w:r>
          </w:p>
        </w:tc>
      </w:tr>
    </w:tbl>
    <w:p w:rsidR="003320B5" w:rsidRDefault="003320B5" w:rsidP="000444C2">
      <w:pPr>
        <w:pStyle w:val="Abbreviation"/>
        <w:ind w:left="0" w:firstLine="0"/>
        <w:rPr>
          <w:b/>
        </w:rPr>
        <w:sectPr w:rsidR="003320B5">
          <w:footerReference w:type="default" r:id="rId22"/>
          <w:pgSz w:w="11907" w:h="16840" w:code="9"/>
          <w:pgMar w:top="1332" w:right="1304" w:bottom="1418" w:left="1814" w:header="1701" w:footer="567" w:gutter="0"/>
          <w:pgNumType w:fmt="upperRoman"/>
          <w:cols w:space="720"/>
        </w:sect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76"/>
        <w:gridCol w:w="6912"/>
      </w:tblGrid>
      <w:tr w:rsidR="000444C2" w:rsidRPr="00806293" w:rsidTr="000444C2">
        <w:trPr>
          <w:trHeight w:val="1551"/>
        </w:trPr>
        <w:tc>
          <w:tcPr>
            <w:tcW w:w="2376" w:type="dxa"/>
          </w:tcPr>
          <w:p w:rsidR="000444C2" w:rsidRDefault="000444C2" w:rsidP="000444C2">
            <w:pPr>
              <w:pStyle w:val="Abbreviation"/>
              <w:ind w:left="0" w:firstLine="0"/>
              <w:rPr>
                <w:b/>
              </w:rPr>
            </w:pPr>
            <w:r>
              <w:rPr>
                <w:b/>
              </w:rPr>
              <w:lastRenderedPageBreak/>
              <w:t>Labour market outcomes</w:t>
            </w:r>
          </w:p>
        </w:tc>
        <w:tc>
          <w:tcPr>
            <w:tcW w:w="6912" w:type="dxa"/>
          </w:tcPr>
          <w:p w:rsidR="000444C2" w:rsidRPr="00C71A3B" w:rsidRDefault="000444C2" w:rsidP="000444C2">
            <w:pPr>
              <w:pStyle w:val="Abbreviation"/>
              <w:ind w:left="0" w:firstLine="0"/>
            </w:pPr>
            <w:r>
              <w:t>Refers to the four discrete labour market outcomes for Indigenous people used in multinomial regression analysis: mainstream (non-CDEP) employment, unemployment, CDEP participation and not in the labour force.</w:t>
            </w:r>
          </w:p>
        </w:tc>
      </w:tr>
      <w:tr w:rsidR="000444C2" w:rsidRPr="00806293" w:rsidTr="000444C2">
        <w:trPr>
          <w:trHeight w:val="2155"/>
        </w:trPr>
        <w:tc>
          <w:tcPr>
            <w:tcW w:w="2376" w:type="dxa"/>
          </w:tcPr>
          <w:p w:rsidR="000444C2" w:rsidRPr="00806293" w:rsidRDefault="000444C2" w:rsidP="000444C2">
            <w:pPr>
              <w:pStyle w:val="Abbreviation"/>
              <w:ind w:left="0" w:firstLine="0"/>
              <w:rPr>
                <w:b/>
              </w:rPr>
            </w:pPr>
            <w:r>
              <w:rPr>
                <w:b/>
              </w:rPr>
              <w:t>Marginal effect</w:t>
            </w:r>
          </w:p>
        </w:tc>
        <w:tc>
          <w:tcPr>
            <w:tcW w:w="6912" w:type="dxa"/>
          </w:tcPr>
          <w:p w:rsidR="000444C2" w:rsidRPr="00C71A3B" w:rsidRDefault="000444C2" w:rsidP="000444C2">
            <w:pPr>
              <w:pStyle w:val="Abbreviation"/>
              <w:ind w:left="0" w:firstLine="0"/>
              <w:rPr>
                <w:rFonts w:ascii="TimesNewRoman" w:hAnsi="TimesNewRoman" w:cs="TimesNewRoman"/>
                <w:szCs w:val="26"/>
              </w:rPr>
            </w:pPr>
            <w:r w:rsidRPr="00C71A3B">
              <w:t>For a binary variable: the effect on the dependent variable</w:t>
            </w:r>
            <w:r>
              <w:t xml:space="preserve"> (the predicted probability of an LMO)</w:t>
            </w:r>
            <w:r w:rsidRPr="00C71A3B">
              <w:t xml:space="preserve"> of the binary variable changing from 0 to 1</w:t>
            </w:r>
            <w:r>
              <w:t>, holding all other explanatory variables constant</w:t>
            </w:r>
            <w:r w:rsidRPr="00C71A3B">
              <w:t>. For a continuous variable: the effect on the dependent variable of a one-unit change in the continuous variable</w:t>
            </w:r>
            <w:r>
              <w:t xml:space="preserve">, holding all other explanatory variables constant. </w:t>
            </w:r>
          </w:p>
        </w:tc>
      </w:tr>
      <w:tr w:rsidR="000444C2" w:rsidRPr="00806293" w:rsidTr="000444C2">
        <w:trPr>
          <w:trHeight w:val="981"/>
        </w:trPr>
        <w:tc>
          <w:tcPr>
            <w:tcW w:w="2376" w:type="dxa"/>
          </w:tcPr>
          <w:p w:rsidR="000444C2" w:rsidRDefault="000444C2" w:rsidP="000444C2">
            <w:pPr>
              <w:pStyle w:val="Abbreviation"/>
              <w:ind w:left="0" w:firstLine="0"/>
              <w:rPr>
                <w:b/>
              </w:rPr>
            </w:pPr>
            <w:r>
              <w:rPr>
                <w:b/>
              </w:rPr>
              <w:t>Panel data</w:t>
            </w:r>
          </w:p>
        </w:tc>
        <w:tc>
          <w:tcPr>
            <w:tcW w:w="6912" w:type="dxa"/>
          </w:tcPr>
          <w:p w:rsidR="000444C2" w:rsidRDefault="000444C2" w:rsidP="000444C2">
            <w:pPr>
              <w:pStyle w:val="Abbreviation"/>
              <w:ind w:left="0" w:firstLine="0"/>
            </w:pPr>
            <w:r>
              <w:t>Repeated observations over time on the characteristics of the same individual</w:t>
            </w:r>
            <w:r w:rsidR="00AF05F8">
              <w:t>.</w:t>
            </w:r>
          </w:p>
        </w:tc>
      </w:tr>
      <w:tr w:rsidR="000444C2" w:rsidRPr="00806293" w:rsidTr="000444C2">
        <w:trPr>
          <w:trHeight w:val="509"/>
        </w:trPr>
        <w:tc>
          <w:tcPr>
            <w:tcW w:w="2376" w:type="dxa"/>
          </w:tcPr>
          <w:p w:rsidR="000444C2" w:rsidRDefault="000444C2" w:rsidP="000444C2">
            <w:pPr>
              <w:pStyle w:val="Abbreviation"/>
              <w:ind w:left="0" w:firstLine="0"/>
              <w:rPr>
                <w:b/>
              </w:rPr>
            </w:pPr>
            <w:r>
              <w:rPr>
                <w:b/>
              </w:rPr>
              <w:t>Self</w:t>
            </w:r>
            <w:r>
              <w:rPr>
                <w:b/>
              </w:rPr>
              <w:noBreakHyphen/>
              <w:t>assessed health status</w:t>
            </w:r>
          </w:p>
        </w:tc>
        <w:tc>
          <w:tcPr>
            <w:tcW w:w="6912" w:type="dxa"/>
            <w:shd w:val="clear" w:color="auto" w:fill="auto"/>
          </w:tcPr>
          <w:p w:rsidR="000444C2" w:rsidRDefault="000444C2" w:rsidP="000444C2">
            <w:pPr>
              <w:pStyle w:val="Abbreviation"/>
              <w:ind w:left="0" w:firstLine="0"/>
            </w:pPr>
            <w:r>
              <w:t>A summary measure of a person’s overall health status, as determined and reported by that person</w:t>
            </w:r>
            <w:r w:rsidR="00AF05F8">
              <w:t>.</w:t>
            </w:r>
          </w:p>
        </w:tc>
      </w:tr>
      <w:tr w:rsidR="000444C2" w:rsidRPr="00806293" w:rsidTr="000444C2">
        <w:trPr>
          <w:trHeight w:val="508"/>
        </w:trPr>
        <w:tc>
          <w:tcPr>
            <w:tcW w:w="2376" w:type="dxa"/>
          </w:tcPr>
          <w:p w:rsidR="000444C2" w:rsidRDefault="000444C2" w:rsidP="000444C2">
            <w:pPr>
              <w:pStyle w:val="Abbreviation"/>
              <w:ind w:left="0" w:firstLine="0"/>
              <w:rPr>
                <w:b/>
              </w:rPr>
            </w:pPr>
            <w:r>
              <w:rPr>
                <w:b/>
              </w:rPr>
              <w:t>Simultaneity</w:t>
            </w:r>
          </w:p>
        </w:tc>
        <w:tc>
          <w:tcPr>
            <w:tcW w:w="6912" w:type="dxa"/>
            <w:shd w:val="clear" w:color="auto" w:fill="auto"/>
          </w:tcPr>
          <w:p w:rsidR="000444C2" w:rsidRDefault="000444C2" w:rsidP="000444C2">
            <w:pPr>
              <w:pStyle w:val="Abbreviation"/>
              <w:ind w:left="0" w:firstLine="0"/>
            </w:pPr>
            <w:r>
              <w:t>A situation arising when two variables being modelled influence each other</w:t>
            </w:r>
            <w:r w:rsidR="00AF05F8">
              <w:t>.</w:t>
            </w:r>
          </w:p>
        </w:tc>
      </w:tr>
      <w:tr w:rsidR="000444C2" w:rsidRPr="00806293" w:rsidTr="000444C2">
        <w:trPr>
          <w:trHeight w:val="958"/>
        </w:trPr>
        <w:tc>
          <w:tcPr>
            <w:tcW w:w="2376" w:type="dxa"/>
          </w:tcPr>
          <w:p w:rsidR="000444C2" w:rsidRDefault="000444C2" w:rsidP="000444C2">
            <w:pPr>
              <w:pStyle w:val="Abbreviation"/>
              <w:ind w:left="0" w:firstLine="0"/>
              <w:rPr>
                <w:b/>
              </w:rPr>
            </w:pPr>
            <w:r>
              <w:rPr>
                <w:b/>
              </w:rPr>
              <w:t>Simultaneous equations model</w:t>
            </w:r>
          </w:p>
        </w:tc>
        <w:tc>
          <w:tcPr>
            <w:tcW w:w="6912" w:type="dxa"/>
          </w:tcPr>
          <w:p w:rsidR="000444C2" w:rsidRDefault="000444C2" w:rsidP="000444C2">
            <w:pPr>
              <w:pStyle w:val="Abbreviation"/>
              <w:ind w:left="0" w:firstLine="0"/>
            </w:pPr>
            <w:proofErr w:type="gramStart"/>
            <w:r>
              <w:t>A</w:t>
            </w:r>
            <w:proofErr w:type="gramEnd"/>
            <w:r>
              <w:t xml:space="preserve"> econometric model consisting of two (or more) equations, to be estimated jointly</w:t>
            </w:r>
            <w:r w:rsidR="00AF05F8">
              <w:t>.</w:t>
            </w:r>
          </w:p>
        </w:tc>
      </w:tr>
      <w:tr w:rsidR="000444C2" w:rsidRPr="00806293" w:rsidTr="000444C2">
        <w:trPr>
          <w:trHeight w:val="891"/>
        </w:trPr>
        <w:tc>
          <w:tcPr>
            <w:tcW w:w="2376" w:type="dxa"/>
          </w:tcPr>
          <w:p w:rsidR="000444C2" w:rsidRDefault="000444C2" w:rsidP="000444C2">
            <w:pPr>
              <w:pStyle w:val="Abbreviation"/>
              <w:ind w:left="0" w:firstLine="0"/>
              <w:rPr>
                <w:b/>
              </w:rPr>
            </w:pPr>
            <w:r>
              <w:rPr>
                <w:b/>
              </w:rPr>
              <w:t>Social capital</w:t>
            </w:r>
          </w:p>
        </w:tc>
        <w:tc>
          <w:tcPr>
            <w:tcW w:w="6912" w:type="dxa"/>
          </w:tcPr>
          <w:p w:rsidR="000444C2" w:rsidRDefault="000444C2" w:rsidP="000444C2">
            <w:pPr>
              <w:pStyle w:val="Abbreviation"/>
              <w:ind w:left="0" w:firstLine="0"/>
            </w:pPr>
            <w:r>
              <w:t>Includes the networks, norms, values and understandings that facilitate cooperation within or among groups.</w:t>
            </w:r>
          </w:p>
        </w:tc>
      </w:tr>
      <w:tr w:rsidR="000444C2" w:rsidRPr="00806293" w:rsidTr="000444C2">
        <w:trPr>
          <w:trHeight w:val="1401"/>
        </w:trPr>
        <w:tc>
          <w:tcPr>
            <w:tcW w:w="2376" w:type="dxa"/>
          </w:tcPr>
          <w:p w:rsidR="000444C2" w:rsidRPr="00806293" w:rsidRDefault="000444C2" w:rsidP="000444C2">
            <w:pPr>
              <w:pStyle w:val="Abbreviation"/>
              <w:ind w:left="0" w:firstLine="0"/>
              <w:rPr>
                <w:b/>
              </w:rPr>
            </w:pPr>
            <w:r>
              <w:rPr>
                <w:b/>
              </w:rPr>
              <w:t>Unobserved heterogeneity (omitted variable bias)</w:t>
            </w:r>
          </w:p>
        </w:tc>
        <w:tc>
          <w:tcPr>
            <w:tcW w:w="6912" w:type="dxa"/>
          </w:tcPr>
          <w:p w:rsidR="000444C2" w:rsidRPr="00C71A3B" w:rsidRDefault="000444C2" w:rsidP="000444C2">
            <w:pPr>
              <w:pStyle w:val="Abbreviation"/>
              <w:ind w:left="0" w:firstLine="0"/>
              <w:rPr>
                <w:rFonts w:ascii="TimesNewRoman" w:hAnsi="TimesNewRoman" w:cs="TimesNewRoman"/>
                <w:szCs w:val="26"/>
              </w:rPr>
            </w:pPr>
            <w:r>
              <w:t>Describes the case when unobserved characteristics of a person jointly influence two (or more) of the variables being modelled, including the dependent variable.</w:t>
            </w:r>
          </w:p>
        </w:tc>
      </w:tr>
    </w:tbl>
    <w:p w:rsidR="00AB30B0" w:rsidRDefault="00AB30B0" w:rsidP="000444C2">
      <w:pPr>
        <w:pStyle w:val="BodyText"/>
        <w:sectPr w:rsidR="00AB30B0">
          <w:footerReference w:type="even" r:id="rId23"/>
          <w:footerReference w:type="default" r:id="rId24"/>
          <w:pgSz w:w="11907" w:h="16840" w:code="9"/>
          <w:pgMar w:top="1332" w:right="1304" w:bottom="1418" w:left="1814" w:header="1701" w:footer="567" w:gutter="0"/>
          <w:pgNumType w:fmt="upperRoman"/>
          <w:cols w:space="720"/>
        </w:sectPr>
      </w:pPr>
    </w:p>
    <w:p w:rsidR="000444C2" w:rsidRDefault="000444C2" w:rsidP="000444C2">
      <w:pPr>
        <w:pStyle w:val="BoxSpac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F44A9C" w:rsidTr="00463323">
        <w:tc>
          <w:tcPr>
            <w:tcW w:w="8771" w:type="dxa"/>
            <w:tcBorders>
              <w:top w:val="single" w:sz="6" w:space="0" w:color="auto"/>
              <w:bottom w:val="nil"/>
            </w:tcBorders>
          </w:tcPr>
          <w:p w:rsidR="00F44A9C" w:rsidRPr="00DC5736" w:rsidRDefault="00F44A9C" w:rsidP="005E6EDF">
            <w:pPr>
              <w:pStyle w:val="BoxHeading1"/>
            </w:pPr>
            <w:r>
              <w:t>Key points</w:t>
            </w:r>
          </w:p>
        </w:tc>
      </w:tr>
      <w:tr w:rsidR="00F44A9C" w:rsidTr="00463323">
        <w:trPr>
          <w:cantSplit/>
        </w:trPr>
        <w:tc>
          <w:tcPr>
            <w:tcW w:w="8771" w:type="dxa"/>
            <w:tcBorders>
              <w:top w:val="nil"/>
              <w:left w:val="single" w:sz="6" w:space="0" w:color="auto"/>
              <w:bottom w:val="nil"/>
              <w:right w:val="single" w:sz="6" w:space="0" w:color="auto"/>
            </w:tcBorders>
          </w:tcPr>
          <w:p w:rsidR="00F44A9C" w:rsidRDefault="00F44A9C" w:rsidP="00F44A9C">
            <w:pPr>
              <w:pStyle w:val="BoxListBullet"/>
              <w:tabs>
                <w:tab w:val="clear" w:pos="360"/>
                <w:tab w:val="num" w:pos="284"/>
              </w:tabs>
            </w:pPr>
            <w:r>
              <w:t>This paper uses data from the 2008 National Aboriginal and Torres Strait Islander Social Survey (NATSISS) to model the links between various personal characteristics and activities, and four Indigenous labour market outcomes. As causality may run in either direction, results are interpreted as associations.</w:t>
            </w:r>
          </w:p>
          <w:p w:rsidR="00F44A9C" w:rsidRDefault="00F44A9C" w:rsidP="00F44A9C">
            <w:pPr>
              <w:pStyle w:val="BoxListBullet"/>
              <w:tabs>
                <w:tab w:val="clear" w:pos="360"/>
                <w:tab w:val="num" w:pos="284"/>
              </w:tabs>
            </w:pPr>
            <w:r>
              <w:t xml:space="preserve">Results typically differ between men and women, in part because of different responsibilities in relation to child rearing, broader family responsibilities and other specialisation in unpaid work. Of these differences, the most notable were those for educational attainment. Results suggest that for women, attainment of year 10 or above is associated with a higher probability of employment and labour force participation, whereas this is less evident for men. </w:t>
            </w:r>
          </w:p>
          <w:p w:rsidR="00F44A9C" w:rsidRDefault="00F44A9C" w:rsidP="00F44A9C">
            <w:pPr>
              <w:pStyle w:val="BoxListBullet"/>
              <w:tabs>
                <w:tab w:val="clear" w:pos="360"/>
                <w:tab w:val="num" w:pos="284"/>
              </w:tabs>
            </w:pPr>
            <w:r>
              <w:t xml:space="preserve">Results confirm findings from previous research that other human capital factors, such as good health, are positively associated with Indigenous employment and labour force participation. </w:t>
            </w:r>
          </w:p>
          <w:p w:rsidR="00F44A9C" w:rsidRPr="00C8132F" w:rsidRDefault="00F44A9C" w:rsidP="00F44A9C">
            <w:pPr>
              <w:pStyle w:val="BoxListBullet"/>
              <w:tabs>
                <w:tab w:val="clear" w:pos="360"/>
                <w:tab w:val="num" w:pos="284"/>
              </w:tabs>
              <w:rPr>
                <w:szCs w:val="24"/>
              </w:rPr>
            </w:pPr>
            <w:r>
              <w:t>Arrest and imprisonment were found to be negatively associated with Indigenous employment and labour force participation. A history of arrest was found to have a larger negative association with employment for women compared to men.</w:t>
            </w:r>
          </w:p>
          <w:p w:rsidR="00F44A9C" w:rsidRPr="008947F0" w:rsidRDefault="00F44A9C" w:rsidP="00F44A9C">
            <w:pPr>
              <w:pStyle w:val="BoxListBullet"/>
              <w:tabs>
                <w:tab w:val="clear" w:pos="360"/>
                <w:tab w:val="num" w:pos="284"/>
              </w:tabs>
              <w:rPr>
                <w:szCs w:val="24"/>
              </w:rPr>
            </w:pPr>
            <w:r>
              <w:t xml:space="preserve">Models that omit personal characteristics that might determine an individual’s labour supply (such as ability, motivation and preferences) are likely to produce biased estimates of the effect of the human capital factors that are included in the model (such as education, health and disability). </w:t>
            </w:r>
          </w:p>
          <w:p w:rsidR="00F44A9C" w:rsidRPr="00637B7F" w:rsidRDefault="00F44A9C" w:rsidP="00F44A9C">
            <w:pPr>
              <w:pStyle w:val="BoxListBullet2"/>
              <w:tabs>
                <w:tab w:val="clear" w:pos="360"/>
                <w:tab w:val="num" w:pos="567"/>
              </w:tabs>
              <w:ind w:left="567" w:hanging="283"/>
              <w:rPr>
                <w:szCs w:val="24"/>
              </w:rPr>
            </w:pPr>
            <w:r>
              <w:t xml:space="preserve">One benefit of including variables in the model that represent cultural and social engagement is that they may act as proxies for unobserved personal characteristics, reducing the impact of this source of bias. </w:t>
            </w:r>
          </w:p>
          <w:p w:rsidR="00F44A9C" w:rsidRPr="001E3517" w:rsidRDefault="00F44A9C" w:rsidP="00F44A9C">
            <w:pPr>
              <w:pStyle w:val="BoxListBullet"/>
              <w:tabs>
                <w:tab w:val="clear" w:pos="360"/>
                <w:tab w:val="num" w:pos="284"/>
              </w:tabs>
              <w:rPr>
                <w:szCs w:val="24"/>
              </w:rPr>
            </w:pPr>
            <w:r>
              <w:t xml:space="preserve">The cultural and social engagement factors were found to have statistically significant associations with Indigenous labour market outcomes for women, but not for men. </w:t>
            </w:r>
          </w:p>
          <w:p w:rsidR="00F44A9C" w:rsidRPr="001E3517" w:rsidRDefault="00F44A9C" w:rsidP="00F44A9C">
            <w:pPr>
              <w:pStyle w:val="BoxListBullet2"/>
              <w:tabs>
                <w:tab w:val="clear" w:pos="360"/>
                <w:tab w:val="num" w:pos="567"/>
              </w:tabs>
              <w:ind w:left="567" w:hanging="283"/>
              <w:rPr>
                <w:szCs w:val="24"/>
              </w:rPr>
            </w:pPr>
            <w:r>
              <w:t>For women there were positive associations between employment and labour force participation, and engagement in social cultural events and the provision of support outside the household.</w:t>
            </w:r>
          </w:p>
          <w:p w:rsidR="00F44A9C" w:rsidRDefault="00F44A9C" w:rsidP="00F44A9C">
            <w:pPr>
              <w:pStyle w:val="BoxListBullet"/>
              <w:tabs>
                <w:tab w:val="clear" w:pos="360"/>
                <w:tab w:val="num" w:pos="284"/>
              </w:tabs>
            </w:pPr>
            <w:r>
              <w:t xml:space="preserve">A greater understanding of the links between social capital and labour market outcomes could be explored using alternative econometric models. However, there are limits to the indicators that can be derived from the data. </w:t>
            </w:r>
          </w:p>
        </w:tc>
      </w:tr>
      <w:tr w:rsidR="00F44A9C" w:rsidTr="00463323">
        <w:trPr>
          <w:cantSplit/>
        </w:trPr>
        <w:tc>
          <w:tcPr>
            <w:tcW w:w="8771" w:type="dxa"/>
            <w:tcBorders>
              <w:top w:val="nil"/>
              <w:left w:val="single" w:sz="6" w:space="0" w:color="auto"/>
              <w:bottom w:val="single" w:sz="6" w:space="0" w:color="auto"/>
              <w:right w:val="single" w:sz="6" w:space="0" w:color="auto"/>
            </w:tcBorders>
          </w:tcPr>
          <w:p w:rsidR="00F44A9C" w:rsidRDefault="00F44A9C" w:rsidP="00463323">
            <w:pPr>
              <w:pStyle w:val="Box"/>
              <w:spacing w:before="0" w:line="120" w:lineRule="exact"/>
            </w:pPr>
          </w:p>
        </w:tc>
      </w:tr>
    </w:tbl>
    <w:p w:rsidR="000444C2" w:rsidRDefault="000444C2" w:rsidP="00AB30B0">
      <w:pPr>
        <w:pStyle w:val="BodyText"/>
      </w:pPr>
    </w:p>
    <w:sectPr w:rsidR="000444C2" w:rsidSect="00AB30B0">
      <w:type w:val="evenPage"/>
      <w:pgSz w:w="11907" w:h="16840" w:code="9"/>
      <w:pgMar w:top="1332" w:right="1304" w:bottom="1418" w:left="1814" w:header="1701" w:footer="567" w:gutter="0"/>
      <w:pgNumType w:fmt="upperRoman"/>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2C30" w:rsidRDefault="00BD2C30">
      <w:r>
        <w:separator/>
      </w:r>
    </w:p>
    <w:p w:rsidR="00BD2C30" w:rsidRDefault="00BD2C30"/>
    <w:p w:rsidR="00BD2C30" w:rsidRDefault="00BD2C30"/>
  </w:endnote>
  <w:endnote w:type="continuationSeparator" w:id="0">
    <w:p w:rsidR="00BD2C30" w:rsidRDefault="00BD2C30">
      <w:r>
        <w:continuationSeparator/>
      </w:r>
    </w:p>
    <w:p w:rsidR="00BD2C30" w:rsidRDefault="00BD2C30"/>
    <w:p w:rsidR="00BD2C30" w:rsidRDefault="00BD2C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GoudyOlSt BT">
    <w:altName w:val="Georgia"/>
    <w:charset w:val="00"/>
    <w:family w:val="roman"/>
    <w:pitch w:val="variable"/>
    <w:sig w:usb0="00000087" w:usb1="00000000" w:usb2="00000000" w:usb3="00000000" w:csb0="0000001B" w:csb1="00000000"/>
  </w:font>
  <w:font w:name="Calibri">
    <w:panose1 w:val="020F0502020204030204"/>
    <w:charset w:val="00"/>
    <w:family w:val="swiss"/>
    <w:pitch w:val="variable"/>
    <w:sig w:usb0="E10002FF" w:usb1="4000ACFF" w:usb2="00000009" w:usb3="00000000" w:csb0="0000019F" w:csb1="00000000"/>
  </w:font>
  <w:font w:name="TimesNew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BD2C30">
      <w:trPr>
        <w:trHeight w:hRule="exact" w:val="740"/>
      </w:trPr>
      <w:tc>
        <w:tcPr>
          <w:tcW w:w="510" w:type="dxa"/>
          <w:tcBorders>
            <w:top w:val="single" w:sz="6" w:space="0" w:color="auto"/>
          </w:tcBorders>
        </w:tcPr>
        <w:p w:rsidR="00BD2C30" w:rsidRDefault="00BD2C30">
          <w:pPr>
            <w:pStyle w:val="Footer"/>
            <w:rPr>
              <w:rStyle w:val="PageNumber"/>
            </w:rPr>
          </w:pPr>
          <w:r>
            <w:rPr>
              <w:rStyle w:val="PageNumber"/>
            </w:rPr>
            <w:fldChar w:fldCharType="begin"/>
          </w:r>
          <w:r>
            <w:rPr>
              <w:rStyle w:val="PageNumber"/>
            </w:rPr>
            <w:instrText xml:space="preserve"> PAGE \* ROMAN \* MERGEFORMAT </w:instrText>
          </w:r>
          <w:r>
            <w:rPr>
              <w:rStyle w:val="PageNumber"/>
            </w:rPr>
            <w:fldChar w:fldCharType="separate"/>
          </w:r>
          <w:r w:rsidR="009F4FDC">
            <w:rPr>
              <w:rStyle w:val="PageNumber"/>
              <w:noProof/>
            </w:rPr>
            <w:t>IV</w:t>
          </w:r>
          <w:r>
            <w:rPr>
              <w:rStyle w:val="PageNumber"/>
            </w:rPr>
            <w:fldChar w:fldCharType="end"/>
          </w:r>
        </w:p>
      </w:tc>
      <w:tc>
        <w:tcPr>
          <w:tcW w:w="1644" w:type="dxa"/>
          <w:tcBorders>
            <w:top w:val="single" w:sz="6" w:space="0" w:color="auto"/>
          </w:tcBorders>
        </w:tcPr>
        <w:p w:rsidR="00BD2C30" w:rsidRDefault="00BD2C30" w:rsidP="00E618E9">
          <w:pPr>
            <w:pStyle w:val="Footer"/>
          </w:pPr>
          <w:r>
            <w:t>CONTENTS</w:t>
          </w:r>
        </w:p>
      </w:tc>
      <w:tc>
        <w:tcPr>
          <w:tcW w:w="6634" w:type="dxa"/>
        </w:tcPr>
        <w:p w:rsidR="00BD2C30" w:rsidRDefault="00BD2C30">
          <w:pPr>
            <w:pStyle w:val="Footer"/>
            <w:rPr>
              <w:caps w:val="0"/>
            </w:rPr>
          </w:pPr>
        </w:p>
      </w:tc>
    </w:tr>
  </w:tbl>
  <w:p w:rsidR="00BD2C30" w:rsidRDefault="00BD2C30">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BD2C30" w:rsidTr="008F7DB7">
      <w:trPr>
        <w:trHeight w:hRule="exact" w:val="740"/>
      </w:trPr>
      <w:tc>
        <w:tcPr>
          <w:tcW w:w="6634" w:type="dxa"/>
        </w:tcPr>
        <w:p w:rsidR="00BD2C30" w:rsidRDefault="00BD2C30">
          <w:pPr>
            <w:pStyle w:val="Footer"/>
          </w:pPr>
        </w:p>
      </w:tc>
      <w:tc>
        <w:tcPr>
          <w:tcW w:w="1644" w:type="dxa"/>
          <w:tcBorders>
            <w:top w:val="single" w:sz="6" w:space="0" w:color="auto"/>
          </w:tcBorders>
        </w:tcPr>
        <w:p w:rsidR="00BD2C30" w:rsidRPr="008F7DB7" w:rsidRDefault="00BD2C30">
          <w:pPr>
            <w:pStyle w:val="Footer"/>
            <w:rPr>
              <w:rStyle w:val="PageNumber"/>
              <w:noProof/>
            </w:rPr>
          </w:pPr>
          <w:r w:rsidRPr="008F7DB7">
            <w:rPr>
              <w:noProof/>
            </w:rPr>
            <w:fldChar w:fldCharType="begin"/>
          </w:r>
          <w:r w:rsidRPr="008F7DB7">
            <w:rPr>
              <w:noProof/>
            </w:rPr>
            <w:instrText xml:space="preserve"> STYLEREF "Heading 1 Not TOC" \* MERGEFORMAT </w:instrText>
          </w:r>
          <w:r w:rsidRPr="008F7DB7">
            <w:rPr>
              <w:noProof/>
            </w:rPr>
            <w:fldChar w:fldCharType="separate"/>
          </w:r>
          <w:r w:rsidR="009F4FDC">
            <w:rPr>
              <w:noProof/>
            </w:rPr>
            <w:t>Contents</w:t>
          </w:r>
          <w:r w:rsidRPr="008F7DB7">
            <w:rPr>
              <w:noProof/>
            </w:rPr>
            <w:fldChar w:fldCharType="end"/>
          </w:r>
        </w:p>
      </w:tc>
      <w:tc>
        <w:tcPr>
          <w:tcW w:w="510" w:type="dxa"/>
          <w:tcBorders>
            <w:top w:val="single" w:sz="6" w:space="0" w:color="auto"/>
          </w:tcBorders>
        </w:tcPr>
        <w:p w:rsidR="00BD2C30" w:rsidRPr="000F185F" w:rsidRDefault="00BD2C30">
          <w:pPr>
            <w:pStyle w:val="Footer"/>
            <w:jc w:val="right"/>
            <w:rPr>
              <w:rStyle w:val="PageNumber"/>
              <w:noProof/>
            </w:rPr>
          </w:pPr>
          <w:r w:rsidRPr="000F185F">
            <w:rPr>
              <w:rStyle w:val="PageNumber"/>
              <w:noProof/>
            </w:rPr>
            <w:fldChar w:fldCharType="begin"/>
          </w:r>
          <w:r w:rsidRPr="000F185F">
            <w:rPr>
              <w:rStyle w:val="PageNumber"/>
              <w:noProof/>
            </w:rPr>
            <w:instrText xml:space="preserve"> PAGE \* ROMAN \* MERGEFORMAT </w:instrText>
          </w:r>
          <w:r w:rsidRPr="000F185F">
            <w:rPr>
              <w:rStyle w:val="PageNumber"/>
              <w:noProof/>
            </w:rPr>
            <w:fldChar w:fldCharType="separate"/>
          </w:r>
          <w:r w:rsidR="009F4FDC">
            <w:rPr>
              <w:rStyle w:val="PageNumber"/>
              <w:noProof/>
            </w:rPr>
            <w:t>V</w:t>
          </w:r>
          <w:r w:rsidRPr="000F185F">
            <w:rPr>
              <w:rStyle w:val="PageNumber"/>
              <w:noProof/>
            </w:rPr>
            <w:fldChar w:fldCharType="end"/>
          </w:r>
        </w:p>
      </w:tc>
    </w:tr>
  </w:tbl>
  <w:p w:rsidR="00BD2C30" w:rsidRDefault="00BD2C30">
    <w:pPr>
      <w:pStyle w:val="FooterEn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830"/>
      <w:gridCol w:w="6448"/>
    </w:tblGrid>
    <w:tr w:rsidR="00BD2C30">
      <w:trPr>
        <w:trHeight w:hRule="exact" w:val="740"/>
      </w:trPr>
      <w:tc>
        <w:tcPr>
          <w:tcW w:w="510" w:type="dxa"/>
          <w:tcBorders>
            <w:top w:val="single" w:sz="6" w:space="0" w:color="auto"/>
          </w:tcBorders>
        </w:tcPr>
        <w:p w:rsidR="00BD2C30" w:rsidRDefault="00BD2C30">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9F4FDC">
            <w:rPr>
              <w:rStyle w:val="PageNumber"/>
              <w:noProof/>
            </w:rPr>
            <w:t>VI</w:t>
          </w:r>
          <w:r>
            <w:rPr>
              <w:rStyle w:val="PageNumber"/>
            </w:rPr>
            <w:fldChar w:fldCharType="end"/>
          </w:r>
        </w:p>
      </w:tc>
      <w:tc>
        <w:tcPr>
          <w:tcW w:w="1830" w:type="dxa"/>
          <w:tcBorders>
            <w:top w:val="single" w:sz="6" w:space="0" w:color="auto"/>
          </w:tcBorders>
        </w:tcPr>
        <w:p w:rsidR="00BD2C30" w:rsidRDefault="009A1785">
          <w:pPr>
            <w:pStyle w:val="Footer"/>
          </w:pPr>
          <w:fldSimple w:instr=" STYLEREF &quot;Heading 1&quot; \* MERGEFORMAT ">
            <w:r w:rsidR="009F4FDC">
              <w:rPr>
                <w:noProof/>
              </w:rPr>
              <w:t>Acknowledgements</w:t>
            </w:r>
          </w:fldSimple>
        </w:p>
      </w:tc>
      <w:tc>
        <w:tcPr>
          <w:tcW w:w="6448" w:type="dxa"/>
        </w:tcPr>
        <w:p w:rsidR="00BD2C30" w:rsidRDefault="00BD2C30">
          <w:pPr>
            <w:pStyle w:val="Footer"/>
          </w:pPr>
        </w:p>
      </w:tc>
    </w:tr>
  </w:tbl>
  <w:p w:rsidR="00BD2C30" w:rsidRDefault="00BD2C30">
    <w:pPr>
      <w:pStyle w:val="FooterEn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480"/>
      <w:gridCol w:w="1798"/>
      <w:gridCol w:w="510"/>
    </w:tblGrid>
    <w:tr w:rsidR="00BD2C30">
      <w:trPr>
        <w:trHeight w:hRule="exact" w:val="740"/>
      </w:trPr>
      <w:tc>
        <w:tcPr>
          <w:tcW w:w="6480" w:type="dxa"/>
        </w:tcPr>
        <w:p w:rsidR="00BD2C30" w:rsidRDefault="00BD2C30">
          <w:pPr>
            <w:pStyle w:val="Footer"/>
          </w:pPr>
        </w:p>
      </w:tc>
      <w:tc>
        <w:tcPr>
          <w:tcW w:w="1798" w:type="dxa"/>
          <w:tcBorders>
            <w:top w:val="single" w:sz="6" w:space="0" w:color="auto"/>
          </w:tcBorders>
        </w:tcPr>
        <w:p w:rsidR="00BD2C30" w:rsidRDefault="009A1785">
          <w:pPr>
            <w:pStyle w:val="Footer"/>
            <w:rPr>
              <w:rStyle w:val="PageNumber"/>
              <w:b w:val="0"/>
            </w:rPr>
          </w:pPr>
          <w:fldSimple w:instr=" STYLEREF &quot;Heading 1&quot; \* MERGEFORMAT ">
            <w:r w:rsidR="009F4FDC">
              <w:rPr>
                <w:noProof/>
              </w:rPr>
              <w:t>Acknowledgements</w:t>
            </w:r>
          </w:fldSimple>
        </w:p>
      </w:tc>
      <w:tc>
        <w:tcPr>
          <w:tcW w:w="510" w:type="dxa"/>
          <w:tcBorders>
            <w:top w:val="single" w:sz="6" w:space="0" w:color="auto"/>
          </w:tcBorders>
        </w:tcPr>
        <w:p w:rsidR="00BD2C30" w:rsidRPr="00306109" w:rsidRDefault="00BD2C30">
          <w:pPr>
            <w:pStyle w:val="Footer"/>
            <w:jc w:val="right"/>
            <w:rPr>
              <w:rStyle w:val="PageNumber"/>
            </w:rPr>
          </w:pPr>
          <w:r>
            <w:rPr>
              <w:rStyle w:val="PageNumber"/>
            </w:rPr>
            <w:fldChar w:fldCharType="begin"/>
          </w:r>
          <w:r>
            <w:rPr>
              <w:rStyle w:val="PageNumber"/>
            </w:rPr>
            <w:instrText xml:space="preserve">PAGE  </w:instrText>
          </w:r>
          <w:r>
            <w:rPr>
              <w:rStyle w:val="PageNumber"/>
            </w:rPr>
            <w:fldChar w:fldCharType="separate"/>
          </w:r>
          <w:r w:rsidR="009F4FDC">
            <w:rPr>
              <w:rStyle w:val="PageNumber"/>
              <w:noProof/>
            </w:rPr>
            <w:t>VII</w:t>
          </w:r>
          <w:r>
            <w:rPr>
              <w:rStyle w:val="PageNumber"/>
            </w:rPr>
            <w:fldChar w:fldCharType="end"/>
          </w:r>
        </w:p>
      </w:tc>
    </w:tr>
  </w:tbl>
  <w:p w:rsidR="00BD2C30" w:rsidRDefault="00BD2C30">
    <w:pPr>
      <w:pStyle w:val="FooterEn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758"/>
      <w:gridCol w:w="6634"/>
    </w:tblGrid>
    <w:tr w:rsidR="00BD2C30" w:rsidTr="008F7DB7">
      <w:trPr>
        <w:trHeight w:hRule="exact" w:val="740"/>
      </w:trPr>
      <w:tc>
        <w:tcPr>
          <w:tcW w:w="510" w:type="dxa"/>
          <w:tcBorders>
            <w:top w:val="single" w:sz="6" w:space="0" w:color="auto"/>
          </w:tcBorders>
        </w:tcPr>
        <w:p w:rsidR="00BD2C30" w:rsidRDefault="00BD2C30">
          <w:pPr>
            <w:pStyle w:val="Footer"/>
            <w:rPr>
              <w:rStyle w:val="PageNumber"/>
              <w:noProof/>
            </w:rPr>
          </w:pPr>
          <w:r>
            <w:rPr>
              <w:rStyle w:val="PageNumber"/>
              <w:noProof/>
            </w:rPr>
            <w:fldChar w:fldCharType="begin"/>
          </w:r>
          <w:r>
            <w:rPr>
              <w:rStyle w:val="PageNumber"/>
              <w:noProof/>
            </w:rPr>
            <w:instrText xml:space="preserve"> PAGE \* ROMAN \* MERGEFORMAT </w:instrText>
          </w:r>
          <w:r>
            <w:rPr>
              <w:rStyle w:val="PageNumber"/>
              <w:noProof/>
            </w:rPr>
            <w:fldChar w:fldCharType="separate"/>
          </w:r>
          <w:r w:rsidR="009F4FDC">
            <w:rPr>
              <w:rStyle w:val="PageNumber"/>
              <w:noProof/>
            </w:rPr>
            <w:t>VIII</w:t>
          </w:r>
          <w:r>
            <w:rPr>
              <w:rStyle w:val="PageNumber"/>
              <w:noProof/>
            </w:rPr>
            <w:fldChar w:fldCharType="end"/>
          </w:r>
        </w:p>
      </w:tc>
      <w:tc>
        <w:tcPr>
          <w:tcW w:w="1758" w:type="dxa"/>
          <w:tcBorders>
            <w:top w:val="single" w:sz="6" w:space="0" w:color="auto"/>
          </w:tcBorders>
        </w:tcPr>
        <w:p w:rsidR="00BD2C30" w:rsidRDefault="00BD2C30">
          <w:pPr>
            <w:pStyle w:val="Footer"/>
            <w:rPr>
              <w:noProof/>
            </w:rPr>
          </w:pPr>
          <w:r>
            <w:rPr>
              <w:noProof/>
            </w:rPr>
            <w:t>ABBREVIATIONS</w:t>
          </w:r>
        </w:p>
      </w:tc>
      <w:tc>
        <w:tcPr>
          <w:tcW w:w="6634" w:type="dxa"/>
        </w:tcPr>
        <w:p w:rsidR="00BD2C30" w:rsidRDefault="00BD2C30">
          <w:pPr>
            <w:pStyle w:val="Footer"/>
            <w:rPr>
              <w:caps w:val="0"/>
            </w:rPr>
          </w:pPr>
        </w:p>
      </w:tc>
    </w:tr>
  </w:tbl>
  <w:p w:rsidR="00BD2C30" w:rsidRDefault="00BD2C30">
    <w:pPr>
      <w:pStyle w:val="FooterEnd"/>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63"/>
      <w:gridCol w:w="1615"/>
      <w:gridCol w:w="510"/>
    </w:tblGrid>
    <w:tr w:rsidR="00BD2C30">
      <w:trPr>
        <w:trHeight w:hRule="exact" w:val="740"/>
      </w:trPr>
      <w:tc>
        <w:tcPr>
          <w:tcW w:w="6663" w:type="dxa"/>
        </w:tcPr>
        <w:p w:rsidR="00BD2C30" w:rsidRDefault="00BD2C30">
          <w:pPr>
            <w:pStyle w:val="Footer"/>
          </w:pPr>
        </w:p>
      </w:tc>
      <w:tc>
        <w:tcPr>
          <w:tcW w:w="1615" w:type="dxa"/>
          <w:tcBorders>
            <w:top w:val="single" w:sz="6" w:space="0" w:color="auto"/>
          </w:tcBorders>
        </w:tcPr>
        <w:p w:rsidR="00BD2C30" w:rsidRPr="008554B6" w:rsidRDefault="00BD2C30" w:rsidP="003775C7">
          <w:pPr>
            <w:pStyle w:val="Footer"/>
            <w:rPr>
              <w:rStyle w:val="PageNumber"/>
              <w:rFonts w:ascii="Times New Roman" w:hAnsi="Times New Roman"/>
              <w:b w:val="0"/>
            </w:rPr>
          </w:pPr>
        </w:p>
      </w:tc>
      <w:tc>
        <w:tcPr>
          <w:tcW w:w="510" w:type="dxa"/>
          <w:tcBorders>
            <w:top w:val="single" w:sz="6" w:space="0" w:color="auto"/>
          </w:tcBorders>
        </w:tcPr>
        <w:p w:rsidR="00BD2C30" w:rsidRDefault="00BD2C30">
          <w:pPr>
            <w:pStyle w:val="Footer"/>
            <w:jc w:val="right"/>
            <w:rPr>
              <w:rStyle w:val="PageNumber"/>
            </w:rPr>
          </w:pPr>
          <w:r>
            <w:rPr>
              <w:rStyle w:val="PageNumber"/>
            </w:rPr>
            <w:fldChar w:fldCharType="begin"/>
          </w:r>
          <w:r>
            <w:rPr>
              <w:rStyle w:val="PageNumber"/>
            </w:rPr>
            <w:instrText xml:space="preserve"> PAGE \* ROMAN \* MERGEFORMAT </w:instrText>
          </w:r>
          <w:r>
            <w:rPr>
              <w:rStyle w:val="PageNumber"/>
            </w:rPr>
            <w:fldChar w:fldCharType="separate"/>
          </w:r>
          <w:r w:rsidR="009F4FDC">
            <w:rPr>
              <w:rStyle w:val="PageNumber"/>
              <w:noProof/>
            </w:rPr>
            <w:t>VII</w:t>
          </w:r>
          <w:r>
            <w:rPr>
              <w:rStyle w:val="PageNumber"/>
            </w:rPr>
            <w:fldChar w:fldCharType="end"/>
          </w:r>
        </w:p>
      </w:tc>
    </w:tr>
  </w:tbl>
  <w:p w:rsidR="00BD2C30" w:rsidRDefault="00BD2C30" w:rsidP="00B95339">
    <w:pPr>
      <w:pStyle w:val="FooterEnd"/>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63"/>
      <w:gridCol w:w="1615"/>
      <w:gridCol w:w="510"/>
    </w:tblGrid>
    <w:tr w:rsidR="00BD2C30">
      <w:trPr>
        <w:trHeight w:hRule="exact" w:val="740"/>
      </w:trPr>
      <w:tc>
        <w:tcPr>
          <w:tcW w:w="6663" w:type="dxa"/>
        </w:tcPr>
        <w:p w:rsidR="00BD2C30" w:rsidRDefault="00BD2C30">
          <w:pPr>
            <w:pStyle w:val="Footer"/>
          </w:pPr>
        </w:p>
      </w:tc>
      <w:tc>
        <w:tcPr>
          <w:tcW w:w="1615" w:type="dxa"/>
          <w:tcBorders>
            <w:top w:val="single" w:sz="6" w:space="0" w:color="auto"/>
          </w:tcBorders>
        </w:tcPr>
        <w:p w:rsidR="00BD2C30" w:rsidRPr="008554B6" w:rsidRDefault="00BD2C30" w:rsidP="003775C7">
          <w:pPr>
            <w:pStyle w:val="Footer"/>
            <w:rPr>
              <w:rStyle w:val="PageNumber"/>
              <w:rFonts w:ascii="Times New Roman" w:hAnsi="Times New Roman"/>
              <w:b w:val="0"/>
            </w:rPr>
          </w:pPr>
          <w:r>
            <w:rPr>
              <w:rStyle w:val="PageNumber"/>
              <w:rFonts w:ascii="Times New Roman" w:hAnsi="Times New Roman"/>
              <w:b w:val="0"/>
            </w:rPr>
            <w:t>glossary</w:t>
          </w:r>
        </w:p>
      </w:tc>
      <w:tc>
        <w:tcPr>
          <w:tcW w:w="510" w:type="dxa"/>
          <w:tcBorders>
            <w:top w:val="single" w:sz="6" w:space="0" w:color="auto"/>
          </w:tcBorders>
        </w:tcPr>
        <w:p w:rsidR="00BD2C30" w:rsidRDefault="00BD2C30">
          <w:pPr>
            <w:pStyle w:val="Footer"/>
            <w:jc w:val="right"/>
            <w:rPr>
              <w:rStyle w:val="PageNumber"/>
            </w:rPr>
          </w:pPr>
          <w:r>
            <w:rPr>
              <w:rStyle w:val="PageNumber"/>
            </w:rPr>
            <w:fldChar w:fldCharType="begin"/>
          </w:r>
          <w:r>
            <w:rPr>
              <w:rStyle w:val="PageNumber"/>
            </w:rPr>
            <w:instrText xml:space="preserve"> PAGE \* ROMAN \* MERGEFORMAT </w:instrText>
          </w:r>
          <w:r>
            <w:rPr>
              <w:rStyle w:val="PageNumber"/>
            </w:rPr>
            <w:fldChar w:fldCharType="separate"/>
          </w:r>
          <w:r w:rsidR="009F4FDC">
            <w:rPr>
              <w:rStyle w:val="PageNumber"/>
              <w:noProof/>
            </w:rPr>
            <w:t>IX</w:t>
          </w:r>
          <w:r>
            <w:rPr>
              <w:rStyle w:val="PageNumber"/>
            </w:rPr>
            <w:fldChar w:fldCharType="end"/>
          </w:r>
        </w:p>
      </w:tc>
    </w:tr>
  </w:tbl>
  <w:p w:rsidR="00BD2C30" w:rsidRDefault="00BD2C30" w:rsidP="00B95339">
    <w:pPr>
      <w:pStyle w:val="FooterEnd"/>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758"/>
      <w:gridCol w:w="6634"/>
    </w:tblGrid>
    <w:tr w:rsidR="00BD2C30" w:rsidTr="008F7DB7">
      <w:trPr>
        <w:trHeight w:hRule="exact" w:val="740"/>
      </w:trPr>
      <w:tc>
        <w:tcPr>
          <w:tcW w:w="510" w:type="dxa"/>
          <w:tcBorders>
            <w:top w:val="single" w:sz="6" w:space="0" w:color="auto"/>
          </w:tcBorders>
        </w:tcPr>
        <w:p w:rsidR="00BD2C30" w:rsidRDefault="00BD2C30">
          <w:pPr>
            <w:pStyle w:val="Footer"/>
            <w:rPr>
              <w:rStyle w:val="PageNumber"/>
              <w:noProof/>
            </w:rPr>
          </w:pPr>
          <w:r>
            <w:rPr>
              <w:rStyle w:val="PageNumber"/>
              <w:noProof/>
            </w:rPr>
            <w:fldChar w:fldCharType="begin"/>
          </w:r>
          <w:r>
            <w:rPr>
              <w:rStyle w:val="PageNumber"/>
              <w:noProof/>
            </w:rPr>
            <w:instrText xml:space="preserve"> PAGE \* ROMAN \* MERGEFORMAT </w:instrText>
          </w:r>
          <w:r>
            <w:rPr>
              <w:rStyle w:val="PageNumber"/>
              <w:noProof/>
            </w:rPr>
            <w:fldChar w:fldCharType="separate"/>
          </w:r>
          <w:r w:rsidR="009F4FDC">
            <w:rPr>
              <w:rStyle w:val="PageNumber"/>
              <w:noProof/>
            </w:rPr>
            <w:t>X</w:t>
          </w:r>
          <w:r>
            <w:rPr>
              <w:rStyle w:val="PageNumber"/>
              <w:noProof/>
            </w:rPr>
            <w:fldChar w:fldCharType="end"/>
          </w:r>
        </w:p>
      </w:tc>
      <w:tc>
        <w:tcPr>
          <w:tcW w:w="1758" w:type="dxa"/>
          <w:tcBorders>
            <w:top w:val="single" w:sz="6" w:space="0" w:color="auto"/>
          </w:tcBorders>
        </w:tcPr>
        <w:p w:rsidR="00BD2C30" w:rsidRDefault="00BD2C30" w:rsidP="003320B5">
          <w:pPr>
            <w:pStyle w:val="Footer"/>
            <w:rPr>
              <w:noProof/>
            </w:rPr>
          </w:pPr>
        </w:p>
      </w:tc>
      <w:tc>
        <w:tcPr>
          <w:tcW w:w="6634" w:type="dxa"/>
        </w:tcPr>
        <w:p w:rsidR="00BD2C30" w:rsidRDefault="00BD2C30">
          <w:pPr>
            <w:pStyle w:val="Footer"/>
            <w:rPr>
              <w:caps w:val="0"/>
            </w:rPr>
          </w:pPr>
        </w:p>
      </w:tc>
    </w:tr>
  </w:tbl>
  <w:p w:rsidR="00BD2C30" w:rsidRDefault="00BD2C30">
    <w:pPr>
      <w:pStyle w:val="FooterEnd"/>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63"/>
      <w:gridCol w:w="1615"/>
      <w:gridCol w:w="510"/>
    </w:tblGrid>
    <w:tr w:rsidR="00BD2C30">
      <w:trPr>
        <w:trHeight w:hRule="exact" w:val="740"/>
      </w:trPr>
      <w:tc>
        <w:tcPr>
          <w:tcW w:w="6663" w:type="dxa"/>
        </w:tcPr>
        <w:p w:rsidR="00BD2C30" w:rsidRDefault="00BD2C30">
          <w:pPr>
            <w:pStyle w:val="Footer"/>
          </w:pPr>
        </w:p>
      </w:tc>
      <w:tc>
        <w:tcPr>
          <w:tcW w:w="1615" w:type="dxa"/>
          <w:tcBorders>
            <w:top w:val="single" w:sz="6" w:space="0" w:color="auto"/>
          </w:tcBorders>
        </w:tcPr>
        <w:p w:rsidR="00BD2C30" w:rsidRPr="008554B6" w:rsidRDefault="00BD2C30" w:rsidP="003320B5">
          <w:pPr>
            <w:pStyle w:val="Footer"/>
            <w:rPr>
              <w:rStyle w:val="PageNumber"/>
              <w:rFonts w:ascii="Times New Roman" w:hAnsi="Times New Roman"/>
              <w:b w:val="0"/>
            </w:rPr>
          </w:pPr>
        </w:p>
      </w:tc>
      <w:tc>
        <w:tcPr>
          <w:tcW w:w="510" w:type="dxa"/>
          <w:tcBorders>
            <w:top w:val="single" w:sz="6" w:space="0" w:color="auto"/>
          </w:tcBorders>
        </w:tcPr>
        <w:p w:rsidR="00BD2C30" w:rsidRDefault="00BD2C30">
          <w:pPr>
            <w:pStyle w:val="Footer"/>
            <w:jc w:val="right"/>
            <w:rPr>
              <w:rStyle w:val="PageNumber"/>
            </w:rPr>
          </w:pPr>
          <w:r>
            <w:rPr>
              <w:rStyle w:val="PageNumber"/>
            </w:rPr>
            <w:fldChar w:fldCharType="begin"/>
          </w:r>
          <w:r>
            <w:rPr>
              <w:rStyle w:val="PageNumber"/>
            </w:rPr>
            <w:instrText xml:space="preserve"> PAGE \* ROMAN \* MERGEFORMAT </w:instrText>
          </w:r>
          <w:r>
            <w:rPr>
              <w:rStyle w:val="PageNumber"/>
            </w:rPr>
            <w:fldChar w:fldCharType="separate"/>
          </w:r>
          <w:r w:rsidR="009F4FDC">
            <w:rPr>
              <w:rStyle w:val="PageNumber"/>
              <w:noProof/>
            </w:rPr>
            <w:t>IX</w:t>
          </w:r>
          <w:r>
            <w:rPr>
              <w:rStyle w:val="PageNumber"/>
            </w:rPr>
            <w:fldChar w:fldCharType="end"/>
          </w:r>
        </w:p>
      </w:tc>
    </w:tr>
  </w:tbl>
  <w:p w:rsidR="00BD2C30" w:rsidRDefault="00BD2C30" w:rsidP="00B95339">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2C30" w:rsidRDefault="00BD2C30">
      <w:r>
        <w:separator/>
      </w:r>
    </w:p>
    <w:p w:rsidR="00BD2C30" w:rsidRDefault="00BD2C30"/>
    <w:p w:rsidR="00BD2C30" w:rsidRDefault="00BD2C30"/>
  </w:footnote>
  <w:footnote w:type="continuationSeparator" w:id="0">
    <w:p w:rsidR="00BD2C30" w:rsidRDefault="00BD2C30">
      <w:r>
        <w:continuationSeparator/>
      </w:r>
    </w:p>
    <w:p w:rsidR="00BD2C30" w:rsidRDefault="00BD2C30"/>
    <w:p w:rsidR="00BD2C30" w:rsidRDefault="00BD2C3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2" w:space="0" w:color="auto"/>
      </w:tblBorders>
      <w:tblLayout w:type="fixed"/>
      <w:tblCellMar>
        <w:left w:w="0" w:type="dxa"/>
        <w:right w:w="0" w:type="dxa"/>
      </w:tblCellMar>
      <w:tblLook w:val="0000" w:firstRow="0" w:lastRow="0" w:firstColumn="0" w:lastColumn="0" w:noHBand="0" w:noVBand="0"/>
    </w:tblPr>
    <w:tblGrid>
      <w:gridCol w:w="2155"/>
      <w:gridCol w:w="6634"/>
    </w:tblGrid>
    <w:tr w:rsidR="00BD2C30">
      <w:tc>
        <w:tcPr>
          <w:tcW w:w="2155" w:type="dxa"/>
          <w:tcBorders>
            <w:top w:val="single" w:sz="24" w:space="0" w:color="auto"/>
          </w:tcBorders>
        </w:tcPr>
        <w:p w:rsidR="00BD2C30" w:rsidRDefault="00BD2C30">
          <w:pPr>
            <w:pStyle w:val="Header"/>
          </w:pPr>
        </w:p>
      </w:tc>
      <w:tc>
        <w:tcPr>
          <w:tcW w:w="6634" w:type="dxa"/>
          <w:tcBorders>
            <w:top w:val="single" w:sz="6" w:space="0" w:color="auto"/>
          </w:tcBorders>
        </w:tcPr>
        <w:p w:rsidR="00BD2C30" w:rsidRDefault="00BD2C30">
          <w:pPr>
            <w:pStyle w:val="Header"/>
          </w:pPr>
        </w:p>
      </w:tc>
    </w:tr>
  </w:tbl>
  <w:p w:rsidR="00BD2C30" w:rsidRDefault="00BD2C30">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BD2C30" w:rsidTr="005C68FE">
      <w:tc>
        <w:tcPr>
          <w:tcW w:w="6634" w:type="dxa"/>
          <w:tcBorders>
            <w:top w:val="single" w:sz="6" w:space="0" w:color="auto"/>
          </w:tcBorders>
        </w:tcPr>
        <w:p w:rsidR="00BD2C30" w:rsidRDefault="00BD2C30" w:rsidP="005C68FE">
          <w:pPr>
            <w:pStyle w:val="HeaderOdd"/>
          </w:pPr>
        </w:p>
      </w:tc>
      <w:tc>
        <w:tcPr>
          <w:tcW w:w="2155" w:type="dxa"/>
          <w:tcBorders>
            <w:top w:val="single" w:sz="24" w:space="0" w:color="auto"/>
          </w:tcBorders>
        </w:tcPr>
        <w:p w:rsidR="00BD2C30" w:rsidRDefault="00BD2C30" w:rsidP="005C68FE">
          <w:pPr>
            <w:pStyle w:val="HeaderOdd"/>
          </w:pPr>
        </w:p>
      </w:tc>
    </w:tr>
  </w:tbl>
  <w:p w:rsidR="00BD2C30" w:rsidRPr="005C68FE" w:rsidRDefault="00BD2C30" w:rsidP="005C68FE">
    <w:pPr>
      <w:pStyle w:val="HeaderEn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BD2C30">
      <w:tc>
        <w:tcPr>
          <w:tcW w:w="2155" w:type="dxa"/>
          <w:tcBorders>
            <w:top w:val="single" w:sz="24" w:space="0" w:color="auto"/>
          </w:tcBorders>
        </w:tcPr>
        <w:p w:rsidR="00BD2C30" w:rsidRDefault="00BD2C30">
          <w:pPr>
            <w:pStyle w:val="HeaderEven"/>
          </w:pPr>
        </w:p>
      </w:tc>
      <w:tc>
        <w:tcPr>
          <w:tcW w:w="6634" w:type="dxa"/>
          <w:tcBorders>
            <w:top w:val="single" w:sz="6" w:space="0" w:color="auto"/>
          </w:tcBorders>
        </w:tcPr>
        <w:p w:rsidR="00BD2C30" w:rsidRDefault="00BD2C30">
          <w:pPr>
            <w:pStyle w:val="HeaderEven"/>
          </w:pPr>
        </w:p>
      </w:tc>
    </w:tr>
  </w:tbl>
  <w:p w:rsidR="00BD2C30" w:rsidRDefault="00BD2C30">
    <w:pPr>
      <w:pStyle w:val="HeaderEn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BD2C30">
      <w:tc>
        <w:tcPr>
          <w:tcW w:w="6634" w:type="dxa"/>
          <w:tcBorders>
            <w:top w:val="single" w:sz="6" w:space="0" w:color="auto"/>
          </w:tcBorders>
        </w:tcPr>
        <w:p w:rsidR="00BD2C30" w:rsidRDefault="00BD2C30">
          <w:pPr>
            <w:pStyle w:val="HeaderOdd"/>
          </w:pPr>
        </w:p>
      </w:tc>
      <w:tc>
        <w:tcPr>
          <w:tcW w:w="2155" w:type="dxa"/>
          <w:tcBorders>
            <w:top w:val="single" w:sz="24" w:space="0" w:color="auto"/>
          </w:tcBorders>
        </w:tcPr>
        <w:p w:rsidR="00BD2C30" w:rsidRDefault="00BD2C30">
          <w:pPr>
            <w:pStyle w:val="HeaderOdd"/>
          </w:pPr>
        </w:p>
      </w:tc>
    </w:tr>
  </w:tbl>
  <w:p w:rsidR="00BD2C30" w:rsidRDefault="00BD2C30">
    <w:pPr>
      <w:pStyle w:val="HeaderEn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BD2C30" w:rsidTr="005C68FE">
      <w:tc>
        <w:tcPr>
          <w:tcW w:w="2155" w:type="dxa"/>
          <w:tcBorders>
            <w:top w:val="single" w:sz="24" w:space="0" w:color="auto"/>
          </w:tcBorders>
        </w:tcPr>
        <w:p w:rsidR="00BD2C30" w:rsidRDefault="00BD2C30" w:rsidP="005C68FE">
          <w:pPr>
            <w:pStyle w:val="HeaderEven"/>
          </w:pPr>
        </w:p>
      </w:tc>
      <w:tc>
        <w:tcPr>
          <w:tcW w:w="6634" w:type="dxa"/>
          <w:tcBorders>
            <w:top w:val="single" w:sz="6" w:space="0" w:color="auto"/>
          </w:tcBorders>
        </w:tcPr>
        <w:p w:rsidR="00BD2C30" w:rsidRDefault="00BD2C30" w:rsidP="005C68FE">
          <w:pPr>
            <w:pStyle w:val="HeaderEven"/>
          </w:pPr>
        </w:p>
      </w:tc>
    </w:tr>
  </w:tbl>
  <w:p w:rsidR="00BD2C30" w:rsidRDefault="00BD2C30" w:rsidP="00D732FE">
    <w:pPr>
      <w:pStyle w:val="HeaderEnd"/>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BD2C30">
      <w:tc>
        <w:tcPr>
          <w:tcW w:w="6634" w:type="dxa"/>
          <w:tcBorders>
            <w:top w:val="single" w:sz="6" w:space="0" w:color="auto"/>
          </w:tcBorders>
        </w:tcPr>
        <w:p w:rsidR="00BD2C30" w:rsidRDefault="00BD2C30">
          <w:pPr>
            <w:pStyle w:val="HeaderOdd"/>
          </w:pPr>
        </w:p>
      </w:tc>
      <w:tc>
        <w:tcPr>
          <w:tcW w:w="2155" w:type="dxa"/>
          <w:tcBorders>
            <w:top w:val="single" w:sz="24" w:space="0" w:color="auto"/>
          </w:tcBorders>
        </w:tcPr>
        <w:p w:rsidR="00BD2C30" w:rsidRDefault="00BD2C30">
          <w:pPr>
            <w:pStyle w:val="HeaderOdd"/>
          </w:pPr>
        </w:p>
      </w:tc>
    </w:tr>
  </w:tbl>
  <w:p w:rsidR="00BD2C30" w:rsidRDefault="00BD2C30" w:rsidP="00B95339">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92E4A210"/>
    <w:lvl w:ilvl="0">
      <w:start w:val="1"/>
      <w:numFmt w:val="decimal"/>
      <w:lvlText w:val="%1."/>
      <w:lvlJc w:val="left"/>
      <w:pPr>
        <w:tabs>
          <w:tab w:val="num" w:pos="926"/>
        </w:tabs>
        <w:ind w:left="926" w:hanging="360"/>
      </w:pPr>
    </w:lvl>
  </w:abstractNum>
  <w:abstractNum w:abstractNumId="1">
    <w:nsid w:val="FFFFFF7F"/>
    <w:multiLevelType w:val="singleLevel"/>
    <w:tmpl w:val="A3C2DCF6"/>
    <w:lvl w:ilvl="0">
      <w:start w:val="1"/>
      <w:numFmt w:val="decimal"/>
      <w:lvlText w:val="%1."/>
      <w:lvlJc w:val="left"/>
      <w:pPr>
        <w:tabs>
          <w:tab w:val="num" w:pos="643"/>
        </w:tabs>
        <w:ind w:left="643" w:hanging="360"/>
      </w:pPr>
    </w:lvl>
  </w:abstractNum>
  <w:abstractNum w:abstractNumId="2">
    <w:nsid w:val="FFFFFF82"/>
    <w:multiLevelType w:val="singleLevel"/>
    <w:tmpl w:val="695EB052"/>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43DA5D68"/>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B58078F8"/>
    <w:lvl w:ilvl="0">
      <w:start w:val="1"/>
      <w:numFmt w:val="decimal"/>
      <w:lvlText w:val="%1."/>
      <w:lvlJc w:val="left"/>
      <w:pPr>
        <w:tabs>
          <w:tab w:val="num" w:pos="360"/>
        </w:tabs>
        <w:ind w:left="360" w:hanging="360"/>
      </w:pPr>
    </w:lvl>
  </w:abstractNum>
  <w:abstractNum w:abstractNumId="5">
    <w:nsid w:val="FFFFFF89"/>
    <w:multiLevelType w:val="singleLevel"/>
    <w:tmpl w:val="6AD25FCC"/>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47A7C39"/>
    <w:multiLevelType w:val="singleLevel"/>
    <w:tmpl w:val="DEC02068"/>
    <w:lvl w:ilvl="0">
      <w:numFmt w:val="bullet"/>
      <w:pStyle w:val="ListBullet2"/>
      <w:lvlText w:val="–"/>
      <w:lvlJc w:val="left"/>
      <w:pPr>
        <w:tabs>
          <w:tab w:val="num" w:pos="644"/>
        </w:tabs>
        <w:ind w:left="340" w:hanging="56"/>
      </w:pPr>
      <w:rPr>
        <w:rFonts w:ascii="Times New Roman" w:hAnsi="Times New Roman" w:hint="default"/>
      </w:rPr>
    </w:lvl>
  </w:abstractNum>
  <w:abstractNum w:abstractNumId="8">
    <w:nsid w:val="06214B87"/>
    <w:multiLevelType w:val="singleLevel"/>
    <w:tmpl w:val="E7705C56"/>
    <w:lvl w:ilvl="0">
      <w:numFmt w:val="bullet"/>
      <w:pStyle w:val="BoxListBullet2"/>
      <w:lvlText w:val="–"/>
      <w:lvlJc w:val="left"/>
      <w:pPr>
        <w:tabs>
          <w:tab w:val="num" w:pos="360"/>
        </w:tabs>
        <w:ind w:left="284" w:hanging="284"/>
      </w:pPr>
      <w:rPr>
        <w:rFonts w:ascii="Times New Roman" w:hAnsi="Times New Roman" w:hint="default"/>
      </w:rPr>
    </w:lvl>
  </w:abstractNum>
  <w:abstractNum w:abstractNumId="9">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0">
    <w:nsid w:val="1AB25CDE"/>
    <w:multiLevelType w:val="singleLevel"/>
    <w:tmpl w:val="3086CA22"/>
    <w:lvl w:ilvl="0">
      <w:start w:val="1"/>
      <w:numFmt w:val="decimal"/>
      <w:lvlText w:val="%1."/>
      <w:legacy w:legacy="1" w:legacySpace="0" w:legacyIndent="340"/>
      <w:lvlJc w:val="left"/>
      <w:pPr>
        <w:ind w:left="340" w:hanging="340"/>
      </w:pPr>
    </w:lvl>
  </w:abstractNum>
  <w:abstractNum w:abstractNumId="11">
    <w:nsid w:val="23FF358D"/>
    <w:multiLevelType w:val="singleLevel"/>
    <w:tmpl w:val="849CD80E"/>
    <w:lvl w:ilvl="0">
      <w:start w:val="1"/>
      <w:numFmt w:val="bullet"/>
      <w:pStyle w:val="RecBBullet"/>
      <w:lvlText w:val=""/>
      <w:lvlJc w:val="left"/>
      <w:pPr>
        <w:tabs>
          <w:tab w:val="num" w:pos="360"/>
        </w:tabs>
        <w:ind w:left="340" w:hanging="340"/>
      </w:pPr>
      <w:rPr>
        <w:rFonts w:ascii="Symbol" w:hAnsi="Symbol" w:hint="default"/>
        <w:b w:val="0"/>
        <w:i w:val="0"/>
        <w:sz w:val="18"/>
      </w:rPr>
    </w:lvl>
  </w:abstractNum>
  <w:abstractNum w:abstractNumId="12">
    <w:nsid w:val="30E90CE4"/>
    <w:multiLevelType w:val="singleLevel"/>
    <w:tmpl w:val="5FA21F84"/>
    <w:lvl w:ilvl="0">
      <w:start w:val="1"/>
      <w:numFmt w:val="bullet"/>
      <w:pStyle w:val="BoxListBullet"/>
      <w:lvlText w:val=""/>
      <w:lvlJc w:val="left"/>
      <w:pPr>
        <w:tabs>
          <w:tab w:val="num" w:pos="360"/>
        </w:tabs>
        <w:ind w:left="284" w:hanging="284"/>
      </w:pPr>
      <w:rPr>
        <w:rFonts w:ascii="Symbol" w:hAnsi="Symbol" w:hint="default"/>
        <w:sz w:val="18"/>
      </w:rPr>
    </w:lvl>
  </w:abstractNum>
  <w:abstractNum w:abstractNumId="13">
    <w:nsid w:val="54382D6E"/>
    <w:multiLevelType w:val="singleLevel"/>
    <w:tmpl w:val="B7BC21DE"/>
    <w:lvl w:ilvl="0">
      <w:numFmt w:val="bullet"/>
      <w:pStyle w:val="ListBullet"/>
      <w:lvlText w:val=""/>
      <w:lvlJc w:val="left"/>
      <w:pPr>
        <w:tabs>
          <w:tab w:val="num" w:pos="360"/>
        </w:tabs>
        <w:ind w:left="340" w:hanging="340"/>
      </w:pPr>
      <w:rPr>
        <w:rFonts w:ascii="Symbol" w:hAnsi="Symbol" w:hint="default"/>
        <w:sz w:val="18"/>
      </w:rPr>
    </w:lvl>
  </w:abstractNum>
  <w:abstractNum w:abstractNumId="14">
    <w:nsid w:val="543E1FD6"/>
    <w:multiLevelType w:val="singleLevel"/>
    <w:tmpl w:val="D4A092D6"/>
    <w:lvl w:ilvl="0">
      <w:start w:val="1"/>
      <w:numFmt w:val="bullet"/>
      <w:pStyle w:val="TableBullet"/>
      <w:lvlText w:val=""/>
      <w:lvlJc w:val="left"/>
      <w:pPr>
        <w:tabs>
          <w:tab w:val="num" w:pos="360"/>
        </w:tabs>
        <w:ind w:left="170" w:hanging="170"/>
      </w:pPr>
      <w:rPr>
        <w:rFonts w:ascii="Symbol" w:hAnsi="Symbol" w:hint="default"/>
        <w:b w:val="0"/>
        <w:i w:val="0"/>
        <w:sz w:val="18"/>
      </w:rPr>
    </w:lvl>
  </w:abstractNum>
  <w:abstractNum w:abstractNumId="15">
    <w:nsid w:val="56107838"/>
    <w:multiLevelType w:val="singleLevel"/>
    <w:tmpl w:val="98765266"/>
    <w:lvl w:ilvl="0">
      <w:start w:val="1"/>
      <w:numFmt w:val="bullet"/>
      <w:pStyle w:val="QuoteBullet"/>
      <w:lvlText w:val=""/>
      <w:lvlJc w:val="left"/>
      <w:pPr>
        <w:tabs>
          <w:tab w:val="num" w:pos="360"/>
        </w:tabs>
        <w:ind w:left="360" w:hanging="360"/>
      </w:pPr>
      <w:rPr>
        <w:rFonts w:ascii="Symbol" w:hAnsi="Symbol" w:hint="default"/>
        <w:sz w:val="18"/>
      </w:rPr>
    </w:lvl>
  </w:abstractNum>
  <w:abstractNum w:abstractNumId="16">
    <w:nsid w:val="643516F3"/>
    <w:multiLevelType w:val="singleLevel"/>
    <w:tmpl w:val="456CB25C"/>
    <w:lvl w:ilvl="0">
      <w:start w:val="1"/>
      <w:numFmt w:val="bullet"/>
      <w:pStyle w:val="ListBullet3"/>
      <w:lvlText w:val=""/>
      <w:lvlJc w:val="left"/>
      <w:pPr>
        <w:tabs>
          <w:tab w:val="num" w:pos="360"/>
        </w:tabs>
        <w:ind w:left="340" w:hanging="340"/>
      </w:pPr>
      <w:rPr>
        <w:rFonts w:ascii="MT Extra" w:hAnsi="MT Extra" w:hint="default"/>
        <w:b w:val="0"/>
        <w:i w:val="0"/>
        <w:sz w:val="16"/>
      </w:rPr>
    </w:lvl>
  </w:abstractNum>
  <w:abstractNum w:abstractNumId="17">
    <w:nsid w:val="6B740744"/>
    <w:multiLevelType w:val="singleLevel"/>
    <w:tmpl w:val="B4744B66"/>
    <w:lvl w:ilvl="0">
      <w:start w:val="1"/>
      <w:numFmt w:val="decimal"/>
      <w:lvlText w:val="%1."/>
      <w:legacy w:legacy="1" w:legacySpace="0" w:legacyIndent="340"/>
      <w:lvlJc w:val="left"/>
      <w:pPr>
        <w:ind w:left="340" w:hanging="340"/>
      </w:pPr>
    </w:lvl>
  </w:abstractNum>
  <w:abstractNum w:abstractNumId="18">
    <w:nsid w:val="7A1373DF"/>
    <w:multiLevelType w:val="singleLevel"/>
    <w:tmpl w:val="798200E0"/>
    <w:lvl w:ilvl="0">
      <w:start w:val="1"/>
      <w:numFmt w:val="bullet"/>
      <w:pStyle w:val="FindingBullet"/>
      <w:lvlText w:val=""/>
      <w:lvlJc w:val="left"/>
      <w:pPr>
        <w:tabs>
          <w:tab w:val="num" w:pos="360"/>
        </w:tabs>
        <w:ind w:left="340" w:hanging="340"/>
      </w:pPr>
      <w:rPr>
        <w:rFonts w:ascii="Symbol" w:hAnsi="Symbol" w:hint="default"/>
        <w:b w:val="0"/>
        <w:i w:val="0"/>
        <w:sz w:val="18"/>
      </w:rPr>
    </w:lvl>
  </w:abstractNum>
  <w:abstractNum w:abstractNumId="19">
    <w:nsid w:val="7BFA7D75"/>
    <w:multiLevelType w:val="singleLevel"/>
    <w:tmpl w:val="FE48DC38"/>
    <w:lvl w:ilvl="0">
      <w:start w:val="1"/>
      <w:numFmt w:val="bullet"/>
      <w:pStyle w:val="RecBullet"/>
      <w:lvlText w:val=""/>
      <w:lvlJc w:val="left"/>
      <w:pPr>
        <w:tabs>
          <w:tab w:val="num" w:pos="360"/>
        </w:tabs>
        <w:ind w:left="340" w:hanging="340"/>
      </w:pPr>
      <w:rPr>
        <w:rFonts w:ascii="Symbol" w:hAnsi="Symbol" w:hint="default"/>
        <w:b w:val="0"/>
        <w:i w:val="0"/>
        <w:sz w:val="18"/>
      </w:r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8">
    <w:abstractNumId w:val="6"/>
    <w:lvlOverride w:ilvl="0">
      <w:lvl w:ilvl="0">
        <w:start w:val="1"/>
        <w:numFmt w:val="bullet"/>
        <w:lvlText w:val=""/>
        <w:legacy w:legacy="1" w:legacySpace="0" w:legacyIndent="340"/>
        <w:lvlJc w:val="left"/>
        <w:pPr>
          <w:ind w:left="680" w:hanging="340"/>
        </w:pPr>
        <w:rPr>
          <w:rFonts w:ascii="Symbol" w:hAnsi="Symbol" w:hint="default"/>
        </w:rPr>
      </w:lvl>
    </w:lvlOverride>
  </w:num>
  <w:num w:numId="9">
    <w:abstractNumId w:val="6"/>
    <w:lvlOverride w:ilvl="0">
      <w:lvl w:ilvl="0">
        <w:start w:val="1"/>
        <w:numFmt w:val="bullet"/>
        <w:lvlText w:val=""/>
        <w:legacy w:legacy="1" w:legacySpace="0" w:legacyIndent="340"/>
        <w:lvlJc w:val="left"/>
        <w:pPr>
          <w:ind w:left="1020" w:hanging="340"/>
        </w:pPr>
        <w:rPr>
          <w:rFonts w:ascii="MT Extra" w:hAnsi="MT Extra" w:hint="default"/>
        </w:rPr>
      </w:lvl>
    </w:lvlOverride>
  </w:num>
  <w:num w:numId="10">
    <w:abstractNumId w:val="6"/>
    <w:lvlOverride w:ilvl="0">
      <w:lvl w:ilvl="0">
        <w:start w:val="1"/>
        <w:numFmt w:val="bullet"/>
        <w:lvlText w:val=""/>
        <w:legacy w:legacy="1" w:legacySpace="0" w:legacyIndent="284"/>
        <w:lvlJc w:val="left"/>
        <w:pPr>
          <w:ind w:left="284" w:hanging="284"/>
        </w:pPr>
        <w:rPr>
          <w:rFonts w:ascii="Symbol" w:hAnsi="Symbol" w:hint="default"/>
          <w:sz w:val="18"/>
        </w:rPr>
      </w:lvl>
    </w:lvlOverride>
  </w:num>
  <w:num w:numId="11">
    <w:abstractNumId w:val="6"/>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17"/>
  </w:num>
  <w:num w:numId="13">
    <w:abstractNumId w:val="12"/>
  </w:num>
  <w:num w:numId="14">
    <w:abstractNumId w:val="8"/>
  </w:num>
  <w:num w:numId="15">
    <w:abstractNumId w:val="18"/>
  </w:num>
  <w:num w:numId="16">
    <w:abstractNumId w:val="13"/>
  </w:num>
  <w:num w:numId="17">
    <w:abstractNumId w:val="7"/>
  </w:num>
  <w:num w:numId="18">
    <w:abstractNumId w:val="16"/>
  </w:num>
  <w:num w:numId="19">
    <w:abstractNumId w:val="15"/>
  </w:num>
  <w:num w:numId="20">
    <w:abstractNumId w:val="19"/>
  </w:num>
  <w:num w:numId="21">
    <w:abstractNumId w:val="11"/>
  </w:num>
  <w:num w:numId="22">
    <w:abstractNumId w:val="9"/>
  </w:num>
  <w:num w:numId="23">
    <w:abstractNumId w:val="14"/>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proofState w:spelling="clean" w:grammar="clean"/>
  <w:attachedTemplate r:id="rId1"/>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567"/>
  <w:evenAndOddHeaders/>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7561"/>
    <w:rsid w:val="00017AFC"/>
    <w:rsid w:val="00025878"/>
    <w:rsid w:val="00026B38"/>
    <w:rsid w:val="000444C2"/>
    <w:rsid w:val="000502D3"/>
    <w:rsid w:val="000623BF"/>
    <w:rsid w:val="00095EEA"/>
    <w:rsid w:val="00097C15"/>
    <w:rsid w:val="000A341B"/>
    <w:rsid w:val="000D5742"/>
    <w:rsid w:val="000E1DA7"/>
    <w:rsid w:val="000F185F"/>
    <w:rsid w:val="00106041"/>
    <w:rsid w:val="0013399B"/>
    <w:rsid w:val="00181F4B"/>
    <w:rsid w:val="00196FB3"/>
    <w:rsid w:val="001A5071"/>
    <w:rsid w:val="001B4E73"/>
    <w:rsid w:val="001B7F1E"/>
    <w:rsid w:val="001C2078"/>
    <w:rsid w:val="001D4B1F"/>
    <w:rsid w:val="001D6629"/>
    <w:rsid w:val="001F05DD"/>
    <w:rsid w:val="001F2270"/>
    <w:rsid w:val="001F2898"/>
    <w:rsid w:val="00202A5F"/>
    <w:rsid w:val="00205A82"/>
    <w:rsid w:val="00211BEE"/>
    <w:rsid w:val="002179C6"/>
    <w:rsid w:val="00275660"/>
    <w:rsid w:val="002923AD"/>
    <w:rsid w:val="00296592"/>
    <w:rsid w:val="002A0A4B"/>
    <w:rsid w:val="002B636E"/>
    <w:rsid w:val="002B64D6"/>
    <w:rsid w:val="002B7740"/>
    <w:rsid w:val="002D6FCE"/>
    <w:rsid w:val="003320B5"/>
    <w:rsid w:val="003775C7"/>
    <w:rsid w:val="003C2482"/>
    <w:rsid w:val="003D260D"/>
    <w:rsid w:val="003D624D"/>
    <w:rsid w:val="003E7802"/>
    <w:rsid w:val="0040009A"/>
    <w:rsid w:val="00433C81"/>
    <w:rsid w:val="00463022"/>
    <w:rsid w:val="00463323"/>
    <w:rsid w:val="004646A7"/>
    <w:rsid w:val="00481CF0"/>
    <w:rsid w:val="004A0D95"/>
    <w:rsid w:val="004B492A"/>
    <w:rsid w:val="004C1249"/>
    <w:rsid w:val="004E52E2"/>
    <w:rsid w:val="00515D43"/>
    <w:rsid w:val="0052544D"/>
    <w:rsid w:val="00551FB8"/>
    <w:rsid w:val="00555888"/>
    <w:rsid w:val="00557025"/>
    <w:rsid w:val="00560F43"/>
    <w:rsid w:val="005C68FE"/>
    <w:rsid w:val="005E48BE"/>
    <w:rsid w:val="005E4FCC"/>
    <w:rsid w:val="005E6EDF"/>
    <w:rsid w:val="0061590F"/>
    <w:rsid w:val="00641AE2"/>
    <w:rsid w:val="0064456A"/>
    <w:rsid w:val="00650DDA"/>
    <w:rsid w:val="00653BC4"/>
    <w:rsid w:val="00665072"/>
    <w:rsid w:val="00667561"/>
    <w:rsid w:val="00670797"/>
    <w:rsid w:val="00691AB5"/>
    <w:rsid w:val="006E1E6B"/>
    <w:rsid w:val="006E7AE0"/>
    <w:rsid w:val="006F0EAC"/>
    <w:rsid w:val="006F6A85"/>
    <w:rsid w:val="0070328D"/>
    <w:rsid w:val="00731F96"/>
    <w:rsid w:val="00734127"/>
    <w:rsid w:val="00735FEA"/>
    <w:rsid w:val="00743460"/>
    <w:rsid w:val="00753DC6"/>
    <w:rsid w:val="0075578C"/>
    <w:rsid w:val="007734B5"/>
    <w:rsid w:val="007809B8"/>
    <w:rsid w:val="007B159F"/>
    <w:rsid w:val="007B6055"/>
    <w:rsid w:val="007C7F56"/>
    <w:rsid w:val="00836ED7"/>
    <w:rsid w:val="008453AC"/>
    <w:rsid w:val="008554B6"/>
    <w:rsid w:val="00860D09"/>
    <w:rsid w:val="00862044"/>
    <w:rsid w:val="008C305F"/>
    <w:rsid w:val="008C7C3D"/>
    <w:rsid w:val="008D6F66"/>
    <w:rsid w:val="008E1BEA"/>
    <w:rsid w:val="008E43D2"/>
    <w:rsid w:val="008F04C9"/>
    <w:rsid w:val="008F7DB7"/>
    <w:rsid w:val="009064D3"/>
    <w:rsid w:val="00915300"/>
    <w:rsid w:val="00931867"/>
    <w:rsid w:val="00933C6D"/>
    <w:rsid w:val="00935676"/>
    <w:rsid w:val="009520FF"/>
    <w:rsid w:val="0098302B"/>
    <w:rsid w:val="0098401D"/>
    <w:rsid w:val="00992477"/>
    <w:rsid w:val="009A1785"/>
    <w:rsid w:val="009B12EF"/>
    <w:rsid w:val="009B6185"/>
    <w:rsid w:val="009E1E78"/>
    <w:rsid w:val="009F4FDC"/>
    <w:rsid w:val="00A46989"/>
    <w:rsid w:val="00A71CE9"/>
    <w:rsid w:val="00A72171"/>
    <w:rsid w:val="00A75A30"/>
    <w:rsid w:val="00AB2A48"/>
    <w:rsid w:val="00AB30B0"/>
    <w:rsid w:val="00AC13EE"/>
    <w:rsid w:val="00AC3236"/>
    <w:rsid w:val="00AD4874"/>
    <w:rsid w:val="00AE66E8"/>
    <w:rsid w:val="00AF05F8"/>
    <w:rsid w:val="00B036B2"/>
    <w:rsid w:val="00B153C3"/>
    <w:rsid w:val="00B22087"/>
    <w:rsid w:val="00B27F87"/>
    <w:rsid w:val="00B722F2"/>
    <w:rsid w:val="00B95339"/>
    <w:rsid w:val="00BB334E"/>
    <w:rsid w:val="00BB5DCF"/>
    <w:rsid w:val="00BD2C30"/>
    <w:rsid w:val="00BF59EA"/>
    <w:rsid w:val="00BF79CD"/>
    <w:rsid w:val="00C34C8C"/>
    <w:rsid w:val="00C43831"/>
    <w:rsid w:val="00C56E47"/>
    <w:rsid w:val="00C63564"/>
    <w:rsid w:val="00C904D9"/>
    <w:rsid w:val="00C94C06"/>
    <w:rsid w:val="00CA48BF"/>
    <w:rsid w:val="00CB3ACC"/>
    <w:rsid w:val="00CB41DD"/>
    <w:rsid w:val="00CB4745"/>
    <w:rsid w:val="00CD2163"/>
    <w:rsid w:val="00CD4FE7"/>
    <w:rsid w:val="00CE7344"/>
    <w:rsid w:val="00CF26EE"/>
    <w:rsid w:val="00CF4891"/>
    <w:rsid w:val="00D310F0"/>
    <w:rsid w:val="00D47BF8"/>
    <w:rsid w:val="00D500A9"/>
    <w:rsid w:val="00D732FE"/>
    <w:rsid w:val="00D772E9"/>
    <w:rsid w:val="00D95971"/>
    <w:rsid w:val="00D97B7B"/>
    <w:rsid w:val="00DA3281"/>
    <w:rsid w:val="00DA6D3E"/>
    <w:rsid w:val="00DB75B8"/>
    <w:rsid w:val="00DC02E8"/>
    <w:rsid w:val="00DC67D3"/>
    <w:rsid w:val="00DC75C7"/>
    <w:rsid w:val="00DF4592"/>
    <w:rsid w:val="00E2651B"/>
    <w:rsid w:val="00E618E9"/>
    <w:rsid w:val="00E6632E"/>
    <w:rsid w:val="00E876C0"/>
    <w:rsid w:val="00E90CF2"/>
    <w:rsid w:val="00EE73E1"/>
    <w:rsid w:val="00EF1A44"/>
    <w:rsid w:val="00F12107"/>
    <w:rsid w:val="00F13165"/>
    <w:rsid w:val="00F32372"/>
    <w:rsid w:val="00F44A9C"/>
    <w:rsid w:val="00F52C66"/>
    <w:rsid w:val="00F7477E"/>
    <w:rsid w:val="00F85393"/>
    <w:rsid w:val="00FA3B51"/>
    <w:rsid w:val="00FC41B4"/>
    <w:rsid w:val="00FC5A6B"/>
    <w:rsid w:val="00FD4728"/>
    <w:rsid w:val="00FE4710"/>
    <w:rsid w:val="00FF67E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276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6"/>
      <w:lang w:eastAsia="en-US"/>
    </w:rPr>
  </w:style>
  <w:style w:type="paragraph" w:styleId="Heading1">
    <w:name w:val="heading 1"/>
    <w:basedOn w:val="Normal"/>
    <w:next w:val="BodyText"/>
    <w:qFormat/>
    <w:rsid w:val="00F7477E"/>
    <w:pPr>
      <w:keepNext/>
      <w:spacing w:before="160" w:after="1360" w:line="600" w:lineRule="exact"/>
      <w:ind w:left="907" w:hanging="907"/>
      <w:outlineLvl w:val="0"/>
    </w:pPr>
    <w:rPr>
      <w:kern w:val="28"/>
      <w:sz w:val="52"/>
    </w:rPr>
  </w:style>
  <w:style w:type="paragraph" w:styleId="Heading2">
    <w:name w:val="heading 2"/>
    <w:basedOn w:val="Chapter"/>
    <w:next w:val="BodyText"/>
    <w:qFormat/>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pPr>
      <w:spacing w:before="560" w:line="320" w:lineRule="exact"/>
      <w:ind w:left="0" w:firstLine="0"/>
      <w:outlineLvl w:val="2"/>
    </w:pPr>
    <w:rPr>
      <w:sz w:val="26"/>
    </w:rPr>
  </w:style>
  <w:style w:type="paragraph" w:styleId="Heading4">
    <w:name w:val="heading 4"/>
    <w:basedOn w:val="Heading3"/>
    <w:next w:val="BodyText"/>
    <w:qFormat/>
    <w:pPr>
      <w:spacing w:before="480"/>
      <w:outlineLvl w:val="3"/>
    </w:pPr>
    <w:rPr>
      <w:b w:val="0"/>
      <w:i/>
      <w:sz w:val="24"/>
    </w:rPr>
  </w:style>
  <w:style w:type="paragraph" w:styleId="Heading5">
    <w:name w:val="heading 5"/>
    <w:basedOn w:val="Heading4"/>
    <w:next w:val="BodyText"/>
    <w:qFormat/>
    <w:pPr>
      <w:outlineLvl w:val="4"/>
    </w:pPr>
    <w:rPr>
      <w:rFonts w:ascii="Times New Roman" w:hAnsi="Times New Roman"/>
      <w:sz w:val="26"/>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rsid w:val="00F13165"/>
    <w:pPr>
      <w:spacing w:before="240" w:line="320" w:lineRule="exact"/>
      <w:jc w:val="both"/>
    </w:pPr>
    <w:rPr>
      <w:sz w:val="26"/>
      <w:lang w:eastAsia="en-US"/>
    </w:rPr>
  </w:style>
  <w:style w:type="paragraph" w:customStyle="1" w:styleId="Abbreviation">
    <w:name w:val="Abbreviation"/>
    <w:basedOn w:val="BodyText"/>
    <w:pPr>
      <w:spacing w:before="120"/>
      <w:ind w:left="2381" w:hanging="2381"/>
      <w:jc w:val="left"/>
    </w:pPr>
  </w:style>
  <w:style w:type="paragraph" w:customStyle="1" w:styleId="Box">
    <w:name w:val="Box"/>
    <w:basedOn w:val="BodyText"/>
    <w:pPr>
      <w:keepNext/>
      <w:spacing w:before="120" w:line="280" w:lineRule="atLeast"/>
    </w:pPr>
    <w:rPr>
      <w:rFonts w:ascii="Arial" w:hAnsi="Arial"/>
      <w:sz w:val="22"/>
    </w:rPr>
  </w:style>
  <w:style w:type="paragraph" w:customStyle="1" w:styleId="Note">
    <w:name w:val="Note"/>
    <w:basedOn w:val="BodyText"/>
    <w:next w:val="Normal"/>
    <w:pPr>
      <w:keepLines/>
      <w:spacing w:before="80" w:line="220" w:lineRule="exact"/>
    </w:pPr>
    <w:rPr>
      <w:rFonts w:ascii="Arial" w:hAnsi="Arial"/>
      <w:sz w:val="18"/>
    </w:rPr>
  </w:style>
  <w:style w:type="paragraph" w:customStyle="1" w:styleId="Source">
    <w:name w:val="Source"/>
    <w:basedOn w:val="Note"/>
    <w:next w:val="BodyText"/>
    <w:pPr>
      <w:spacing w:after="120"/>
    </w:pPr>
  </w:style>
  <w:style w:type="paragraph" w:customStyle="1" w:styleId="BoxSource">
    <w:name w:val="Box Source"/>
    <w:basedOn w:val="Source"/>
    <w:next w:val="BodyText"/>
    <w:pPr>
      <w:spacing w:before="180" w:after="0"/>
    </w:pPr>
  </w:style>
  <w:style w:type="paragraph" w:customStyle="1" w:styleId="BoxContinued">
    <w:name w:val="Box Continued"/>
    <w:basedOn w:val="Normal"/>
    <w:next w:val="BodyText"/>
    <w:pPr>
      <w:spacing w:before="180" w:line="220" w:lineRule="exact"/>
      <w:jc w:val="right"/>
    </w:pPr>
    <w:rPr>
      <w:rFonts w:ascii="Arial" w:hAnsi="Arial"/>
      <w:sz w:val="18"/>
    </w:rPr>
  </w:style>
  <w:style w:type="paragraph" w:customStyle="1" w:styleId="BoxHeading1">
    <w:name w:val="Box Heading 1"/>
    <w:basedOn w:val="Box"/>
    <w:next w:val="Box"/>
    <w:pPr>
      <w:spacing w:before="200"/>
    </w:pPr>
    <w:rPr>
      <w:b/>
    </w:rPr>
  </w:style>
  <w:style w:type="paragraph" w:customStyle="1" w:styleId="BoxHeading2">
    <w:name w:val="Box Heading 2"/>
    <w:basedOn w:val="BoxHeading1"/>
    <w:next w:val="Box"/>
    <w:rPr>
      <w:b w:val="0"/>
      <w:i/>
    </w:rPr>
  </w:style>
  <w:style w:type="paragraph" w:customStyle="1" w:styleId="BoxListBullet">
    <w:name w:val="Box List Bullet"/>
    <w:basedOn w:val="Box"/>
    <w:pPr>
      <w:numPr>
        <w:numId w:val="13"/>
      </w:numPr>
      <w:tabs>
        <w:tab w:val="left" w:pos="284"/>
      </w:tabs>
    </w:pPr>
  </w:style>
  <w:style w:type="paragraph" w:customStyle="1" w:styleId="BoxListBullet2">
    <w:name w:val="Box List Bullet 2"/>
    <w:basedOn w:val="Box"/>
    <w:pPr>
      <w:numPr>
        <w:numId w:val="14"/>
      </w:numPr>
      <w:tabs>
        <w:tab w:val="left" w:pos="284"/>
        <w:tab w:val="left" w:pos="567"/>
      </w:tabs>
      <w:spacing w:before="60"/>
      <w:ind w:left="568"/>
    </w:pPr>
  </w:style>
  <w:style w:type="paragraph" w:customStyle="1" w:styleId="BoxListNumber">
    <w:name w:val="Box List Number"/>
    <w:basedOn w:val="Box"/>
    <w:pPr>
      <w:ind w:left="284" w:hanging="284"/>
    </w:pPr>
  </w:style>
  <w:style w:type="paragraph" w:customStyle="1" w:styleId="BoxListNumber2">
    <w:name w:val="Box List Number 2"/>
    <w:basedOn w:val="BoxListNumber"/>
    <w:pPr>
      <w:spacing w:before="60"/>
      <w:ind w:left="681" w:hanging="397"/>
    </w:pPr>
  </w:style>
  <w:style w:type="paragraph" w:customStyle="1" w:styleId="BoxQuote">
    <w:name w:val="Box Quote"/>
    <w:basedOn w:val="Box"/>
    <w:next w:val="Box"/>
    <w:pPr>
      <w:spacing w:before="60" w:line="260" w:lineRule="exact"/>
      <w:ind w:left="284"/>
    </w:pPr>
    <w:rPr>
      <w:sz w:val="20"/>
    </w:rPr>
  </w:style>
  <w:style w:type="paragraph" w:customStyle="1" w:styleId="BoxSpace">
    <w:name w:val="Box Space"/>
    <w:basedOn w:val="Normal"/>
    <w:pPr>
      <w:keepNext/>
      <w:spacing w:before="360" w:line="80" w:lineRule="exact"/>
    </w:pPr>
  </w:style>
  <w:style w:type="paragraph" w:styleId="Caption">
    <w:name w:val="caption"/>
    <w:basedOn w:val="Normal"/>
    <w:next w:val="BodyText"/>
    <w:qFormat/>
    <w:pPr>
      <w:keepNext/>
      <w:keepLines/>
      <w:spacing w:before="360" w:after="80" w:line="280" w:lineRule="exact"/>
      <w:ind w:left="1474" w:hanging="1474"/>
    </w:pPr>
    <w:rPr>
      <w:rFonts w:ascii="Arial" w:hAnsi="Arial"/>
      <w:b/>
      <w:sz w:val="24"/>
    </w:rPr>
  </w:style>
  <w:style w:type="paragraph" w:customStyle="1" w:styleId="BoxTitle">
    <w:name w:val="Box Title"/>
    <w:basedOn w:val="Caption"/>
    <w:next w:val="Normal"/>
    <w:rsid w:val="00106041"/>
    <w:pPr>
      <w:spacing w:before="120" w:after="0"/>
      <w:ind w:left="1304" w:hanging="1304"/>
    </w:pPr>
    <w:rPr>
      <w:b w:val="0"/>
    </w:rPr>
  </w:style>
  <w:style w:type="paragraph" w:customStyle="1" w:styleId="BoxSubtitle">
    <w:name w:val="Box Subtitle"/>
    <w:basedOn w:val="BoxTitle"/>
    <w:next w:val="Box"/>
    <w:pPr>
      <w:spacing w:after="80" w:line="200" w:lineRule="exact"/>
      <w:ind w:firstLine="0"/>
    </w:pPr>
    <w:rPr>
      <w:b/>
      <w:sz w:val="20"/>
    </w:rPr>
  </w:style>
  <w:style w:type="paragraph" w:customStyle="1" w:styleId="Chapter">
    <w:name w:val="Chapter"/>
    <w:basedOn w:val="Heading1"/>
    <w:next w:val="BodyText"/>
    <w:semiHidden/>
    <w:pPr>
      <w:ind w:left="0" w:firstLine="0"/>
      <w:outlineLvl w:val="9"/>
    </w:pPr>
  </w:style>
  <w:style w:type="paragraph" w:customStyle="1" w:styleId="ChapterSummary">
    <w:name w:val="Chapter Summary"/>
    <w:basedOn w:val="BodyText"/>
    <w:semiHidden/>
    <w:pPr>
      <w:ind w:left="907"/>
    </w:pPr>
    <w:rPr>
      <w:rFonts w:ascii="Arial" w:hAnsi="Arial"/>
      <w:b/>
      <w:sz w:val="22"/>
    </w:rPr>
  </w:style>
  <w:style w:type="character" w:styleId="CommentReference">
    <w:name w:val="annotation reference"/>
    <w:semiHidden/>
    <w:rPr>
      <w:b/>
      <w:vanish/>
      <w:color w:val="FF00FF"/>
      <w:sz w:val="20"/>
    </w:rPr>
  </w:style>
  <w:style w:type="paragraph" w:styleId="CommentText">
    <w:name w:val="annotation text"/>
    <w:basedOn w:val="Normal"/>
    <w:link w:val="CommentTextChar"/>
    <w:semiHidden/>
    <w:pPr>
      <w:spacing w:before="120" w:line="240" w:lineRule="atLeast"/>
      <w:ind w:left="567" w:hanging="567"/>
    </w:pPr>
    <w:rPr>
      <w:sz w:val="20"/>
    </w:rPr>
  </w:style>
  <w:style w:type="paragraph" w:customStyle="1" w:styleId="Continued">
    <w:name w:val="Continued"/>
    <w:basedOn w:val="BoxContinued"/>
    <w:next w:val="BodyText"/>
  </w:style>
  <w:style w:type="paragraph" w:customStyle="1" w:styleId="DocInfo">
    <w:name w:val="Doc Info"/>
    <w:basedOn w:val="Normal"/>
    <w:next w:val="Normal"/>
    <w:semiHidden/>
    <w:pPr>
      <w:jc w:val="center"/>
    </w:pPr>
    <w:rPr>
      <w:rFonts w:ascii="Arial" w:hAnsi="Arial"/>
      <w:sz w:val="14"/>
    </w:rPr>
  </w:style>
  <w:style w:type="paragraph" w:styleId="Footer">
    <w:name w:val="footer"/>
    <w:basedOn w:val="Normal"/>
    <w:pPr>
      <w:spacing w:before="80" w:line="200" w:lineRule="exact"/>
      <w:ind w:right="6"/>
    </w:pPr>
    <w:rPr>
      <w:caps/>
      <w:spacing w:val="-4"/>
      <w:sz w:val="16"/>
    </w:rPr>
  </w:style>
  <w:style w:type="character" w:customStyle="1" w:styleId="DocumentInfo">
    <w:name w:val="Document Info"/>
    <w:semiHidden/>
    <w:rPr>
      <w:rFonts w:ascii="Arial" w:hAnsi="Arial"/>
      <w:sz w:val="14"/>
    </w:rPr>
  </w:style>
  <w:style w:type="character" w:customStyle="1" w:styleId="DraftingNote">
    <w:name w:val="Drafting Note"/>
    <w:rPr>
      <w:b/>
      <w:color w:val="FF0000"/>
      <w:sz w:val="24"/>
      <w:u w:val="dotted"/>
    </w:rPr>
  </w:style>
  <w:style w:type="paragraph" w:customStyle="1" w:styleId="Figure">
    <w:name w:val="Figure"/>
    <w:basedOn w:val="BodyText"/>
    <w:pPr>
      <w:keepNext/>
      <w:spacing w:before="120" w:after="120" w:line="240" w:lineRule="atLeast"/>
      <w:jc w:val="center"/>
    </w:pPr>
  </w:style>
  <w:style w:type="paragraph" w:customStyle="1" w:styleId="FigureTitle">
    <w:name w:val="Figure Title"/>
    <w:basedOn w:val="Caption"/>
    <w:next w:val="Subtitle"/>
    <w:rsid w:val="00106041"/>
    <w:rPr>
      <w:b w:val="0"/>
    </w:rPr>
  </w:style>
  <w:style w:type="paragraph" w:styleId="Subtitle">
    <w:name w:val="Subtitle"/>
    <w:basedOn w:val="Caption"/>
    <w:qFormat/>
    <w:pPr>
      <w:spacing w:before="0" w:line="200" w:lineRule="exact"/>
      <w:ind w:firstLine="0"/>
    </w:pPr>
    <w:rPr>
      <w:b w:val="0"/>
      <w:sz w:val="20"/>
    </w:rPr>
  </w:style>
  <w:style w:type="paragraph" w:customStyle="1" w:styleId="Finding">
    <w:name w:val="Finding"/>
    <w:basedOn w:val="BodyText"/>
    <w:pPr>
      <w:spacing w:before="180"/>
    </w:pPr>
    <w:rPr>
      <w:i/>
    </w:rPr>
  </w:style>
  <w:style w:type="paragraph" w:customStyle="1" w:styleId="FindingBullet">
    <w:name w:val="Finding Bullet"/>
    <w:basedOn w:val="Finding"/>
    <w:pPr>
      <w:numPr>
        <w:numId w:val="15"/>
      </w:numPr>
      <w:spacing w:before="80"/>
    </w:pPr>
  </w:style>
  <w:style w:type="paragraph" w:customStyle="1" w:styleId="FindingNoTitle">
    <w:name w:val="Finding NoTitle"/>
    <w:basedOn w:val="Finding"/>
    <w:pPr>
      <w:spacing w:before="240"/>
    </w:pPr>
  </w:style>
  <w:style w:type="paragraph" w:customStyle="1" w:styleId="RecTitle">
    <w:name w:val="Rec Title"/>
    <w:basedOn w:val="BodyText"/>
    <w:next w:val="Normal"/>
    <w:pPr>
      <w:keepNext/>
      <w:framePr w:hSpace="181" w:wrap="notBeside" w:vAnchor="text" w:hAnchor="text" w:xAlign="outside" w:y="1"/>
    </w:pPr>
    <w:rPr>
      <w:caps/>
      <w:sz w:val="16"/>
    </w:rPr>
  </w:style>
  <w:style w:type="paragraph" w:customStyle="1" w:styleId="FindingTitle">
    <w:name w:val="Finding Title"/>
    <w:basedOn w:val="RecTitle"/>
    <w:next w:val="Finding"/>
    <w:pPr>
      <w:framePr w:wrap="notBeside"/>
    </w:pPr>
  </w:style>
  <w:style w:type="paragraph" w:customStyle="1" w:styleId="FooterEnd">
    <w:name w:val="Footer End"/>
    <w:basedOn w:val="Footer"/>
    <w:pPr>
      <w:spacing w:before="0" w:line="20" w:lineRule="exact"/>
    </w:pPr>
  </w:style>
  <w:style w:type="character" w:styleId="FootnoteReference">
    <w:name w:val="footnote reference"/>
    <w:semiHidden/>
    <w:rPr>
      <w:rFonts w:ascii="Times New Roman" w:hAnsi="Times New Roman"/>
      <w:position w:val="6"/>
      <w:sz w:val="22"/>
      <w:vertAlign w:val="baseline"/>
    </w:rPr>
  </w:style>
  <w:style w:type="paragraph" w:styleId="FootnoteText">
    <w:name w:val="footnote text"/>
    <w:basedOn w:val="BodyText"/>
    <w:semiHidden/>
    <w:pPr>
      <w:tabs>
        <w:tab w:val="left" w:pos="284"/>
      </w:tabs>
      <w:spacing w:before="80" w:line="260" w:lineRule="exact"/>
      <w:ind w:left="170" w:hanging="170"/>
    </w:pPr>
    <w:rPr>
      <w:sz w:val="22"/>
    </w:rPr>
  </w:style>
  <w:style w:type="paragraph" w:customStyle="1" w:styleId="Heading2NotTOC">
    <w:name w:val="Heading 2 Not TOC"/>
    <w:basedOn w:val="Heading2"/>
    <w:next w:val="BodyText"/>
    <w:rsid w:val="00AC3236"/>
    <w:pPr>
      <w:spacing w:before="0" w:after="120"/>
    </w:pPr>
  </w:style>
  <w:style w:type="paragraph" w:customStyle="1" w:styleId="HeaderEnd">
    <w:name w:val="Header End"/>
    <w:basedOn w:val="Header"/>
    <w:rsid w:val="005C68FE"/>
    <w:pPr>
      <w:spacing w:line="20" w:lineRule="exact"/>
    </w:pPr>
  </w:style>
  <w:style w:type="paragraph" w:customStyle="1" w:styleId="HeaderEven">
    <w:name w:val="Header Even"/>
    <w:basedOn w:val="Header"/>
  </w:style>
  <w:style w:type="paragraph" w:customStyle="1" w:styleId="HeaderOdd">
    <w:name w:val="Header Odd"/>
    <w:basedOn w:val="Header"/>
    <w:rsid w:val="00181F4B"/>
  </w:style>
  <w:style w:type="paragraph" w:customStyle="1" w:styleId="InformationRequest">
    <w:name w:val="Information Request"/>
    <w:basedOn w:val="Finding"/>
    <w:next w:val="BodyText"/>
    <w:semiHidden/>
    <w:pPr>
      <w:spacing w:before="360" w:after="120"/>
    </w:pPr>
    <w:rPr>
      <w:rFonts w:ascii="Arial" w:hAnsi="Arial"/>
      <w:sz w:val="24"/>
    </w:rPr>
  </w:style>
  <w:style w:type="paragraph" w:styleId="ListBullet">
    <w:name w:val="List Bullet"/>
    <w:basedOn w:val="BodyText"/>
    <w:pPr>
      <w:numPr>
        <w:numId w:val="16"/>
      </w:numPr>
      <w:spacing w:before="120"/>
    </w:pPr>
  </w:style>
  <w:style w:type="paragraph" w:styleId="ListBullet2">
    <w:name w:val="List Bullet 2"/>
    <w:basedOn w:val="BodyText"/>
    <w:pPr>
      <w:numPr>
        <w:numId w:val="17"/>
      </w:numPr>
      <w:tabs>
        <w:tab w:val="left" w:pos="680"/>
      </w:tabs>
      <w:spacing w:before="120"/>
    </w:pPr>
  </w:style>
  <w:style w:type="paragraph" w:styleId="ListBullet3">
    <w:name w:val="List Bullet 3"/>
    <w:basedOn w:val="BodyText"/>
    <w:pPr>
      <w:numPr>
        <w:numId w:val="18"/>
      </w:numPr>
      <w:tabs>
        <w:tab w:val="left" w:pos="680"/>
        <w:tab w:val="left" w:pos="1021"/>
      </w:tabs>
      <w:spacing w:before="120"/>
      <w:ind w:left="1020"/>
    </w:pPr>
  </w:style>
  <w:style w:type="paragraph" w:styleId="ListNumber">
    <w:name w:val="List Number"/>
    <w:basedOn w:val="Normal"/>
    <w:pPr>
      <w:spacing w:before="120" w:line="320" w:lineRule="exact"/>
      <w:ind w:left="340" w:hanging="340"/>
      <w:jc w:val="both"/>
    </w:pPr>
  </w:style>
  <w:style w:type="paragraph" w:styleId="ListNumber2">
    <w:name w:val="List Number 2"/>
    <w:basedOn w:val="ListNumber"/>
    <w:pPr>
      <w:ind w:left="794" w:hanging="454"/>
    </w:pPr>
  </w:style>
  <w:style w:type="paragraph" w:styleId="ListNumber3">
    <w:name w:val="List Number 3"/>
    <w:basedOn w:val="ListNumber2"/>
    <w:pPr>
      <w:ind w:left="1304" w:hanging="510"/>
    </w:pPr>
  </w:style>
  <w:style w:type="character" w:customStyle="1" w:styleId="NoteLabel">
    <w:name w:val="Note Label"/>
    <w:rPr>
      <w:rFonts w:ascii="Arial" w:hAnsi="Arial"/>
      <w:b/>
      <w:position w:val="6"/>
      <w:sz w:val="18"/>
    </w:rPr>
  </w:style>
  <w:style w:type="character" w:styleId="PageNumber">
    <w:name w:val="page number"/>
    <w:rPr>
      <w:rFonts w:ascii="Arial" w:hAnsi="Arial"/>
      <w:b/>
      <w:sz w:val="16"/>
    </w:rPr>
  </w:style>
  <w:style w:type="paragraph" w:customStyle="1" w:styleId="PartDivider">
    <w:name w:val="Part Divider"/>
    <w:basedOn w:val="Normal"/>
    <w:next w:val="Normal"/>
    <w:pPr>
      <w:spacing w:line="40" w:lineRule="exact"/>
      <w:jc w:val="right"/>
    </w:pPr>
    <w:rPr>
      <w:smallCaps/>
      <w:sz w:val="16"/>
    </w:rPr>
  </w:style>
  <w:style w:type="paragraph" w:customStyle="1" w:styleId="PartNumber">
    <w:name w:val="Part Number"/>
    <w:basedOn w:val="Normal"/>
    <w:next w:val="Normal"/>
    <w:pPr>
      <w:spacing w:before="4000" w:line="320" w:lineRule="exact"/>
      <w:ind w:left="6634"/>
      <w:jc w:val="right"/>
    </w:pPr>
    <w:rPr>
      <w:smallCaps/>
      <w:spacing w:val="60"/>
      <w:sz w:val="32"/>
    </w:rPr>
  </w:style>
  <w:style w:type="paragraph" w:customStyle="1" w:styleId="PartTitle">
    <w:name w:val="Part Title"/>
    <w:basedOn w:val="Normal"/>
    <w:pPr>
      <w:spacing w:before="160" w:after="1360" w:line="520" w:lineRule="exact"/>
      <w:ind w:right="2381"/>
      <w:jc w:val="right"/>
    </w:pPr>
    <w:rPr>
      <w:smallCaps/>
      <w:sz w:val="52"/>
    </w:rPr>
  </w:style>
  <w:style w:type="paragraph" w:styleId="Quote">
    <w:name w:val="Quote"/>
    <w:basedOn w:val="BodyText"/>
    <w:next w:val="BodyText"/>
    <w:qFormat/>
    <w:pPr>
      <w:spacing w:before="120" w:line="280" w:lineRule="exact"/>
      <w:ind w:left="340"/>
    </w:pPr>
    <w:rPr>
      <w:sz w:val="24"/>
    </w:rPr>
  </w:style>
  <w:style w:type="paragraph" w:customStyle="1" w:styleId="Rec">
    <w:name w:val="Rec"/>
    <w:basedOn w:val="BodyText"/>
    <w:pPr>
      <w:spacing w:before="180"/>
    </w:pPr>
    <w:rPr>
      <w:b/>
      <w:i/>
    </w:rPr>
  </w:style>
  <w:style w:type="paragraph" w:customStyle="1" w:styleId="RecBullet">
    <w:name w:val="Rec Bullet"/>
    <w:basedOn w:val="Rec"/>
    <w:pPr>
      <w:numPr>
        <w:numId w:val="20"/>
      </w:numPr>
      <w:spacing w:before="80"/>
    </w:pPr>
  </w:style>
  <w:style w:type="paragraph" w:customStyle="1" w:styleId="RecB">
    <w:name w:val="RecB"/>
    <w:basedOn w:val="Rec"/>
    <w:pPr>
      <w:pBdr>
        <w:left w:val="single" w:sz="24" w:space="12" w:color="C0C0C0"/>
      </w:pBdr>
    </w:pPr>
  </w:style>
  <w:style w:type="paragraph" w:customStyle="1" w:styleId="RecBBullet">
    <w:name w:val="RecB Bullet"/>
    <w:basedOn w:val="RecB"/>
    <w:pPr>
      <w:numPr>
        <w:numId w:val="21"/>
      </w:numPr>
      <w:spacing w:before="80"/>
    </w:pPr>
  </w:style>
  <w:style w:type="paragraph" w:customStyle="1" w:styleId="RecBNoTitle">
    <w:name w:val="RecB NoTitle"/>
    <w:basedOn w:val="RecB"/>
    <w:pPr>
      <w:spacing w:before="240"/>
    </w:pPr>
  </w:style>
  <w:style w:type="paragraph" w:customStyle="1" w:styleId="Reference">
    <w:name w:val="Reference"/>
    <w:basedOn w:val="BodyText"/>
    <w:pPr>
      <w:spacing w:before="120"/>
      <w:ind w:left="340" w:hanging="340"/>
    </w:pPr>
  </w:style>
  <w:style w:type="paragraph" w:customStyle="1" w:styleId="SequenceInfo">
    <w:name w:val="Sequence Info"/>
    <w:basedOn w:val="Normal"/>
    <w:rPr>
      <w:vanish/>
      <w:sz w:val="16"/>
    </w:rPr>
  </w:style>
  <w:style w:type="paragraph" w:customStyle="1" w:styleId="SideNote">
    <w:name w:val="Side Note"/>
    <w:basedOn w:val="BodyText"/>
    <w:next w:val="BodyText"/>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pPr>
      <w:framePr w:wrap="around"/>
      <w:numPr>
        <w:numId w:val="22"/>
      </w:numPr>
      <w:tabs>
        <w:tab w:val="left" w:pos="227"/>
      </w:tabs>
    </w:pPr>
  </w:style>
  <w:style w:type="paragraph" w:customStyle="1" w:styleId="SideNoteGraphic">
    <w:name w:val="Side Note Graphic"/>
    <w:basedOn w:val="SideNote"/>
    <w:next w:val="BodyText"/>
    <w:pPr>
      <w:framePr w:wrap="around"/>
    </w:pPr>
  </w:style>
  <w:style w:type="paragraph" w:customStyle="1" w:styleId="TableBodyText">
    <w:name w:val="Table Body Text"/>
    <w:basedOn w:val="BodyText"/>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pPr>
      <w:numPr>
        <w:numId w:val="23"/>
      </w:numPr>
      <w:tabs>
        <w:tab w:val="left" w:pos="170"/>
      </w:tabs>
      <w:jc w:val="left"/>
    </w:pPr>
  </w:style>
  <w:style w:type="paragraph" w:customStyle="1" w:styleId="TableColumnHeading">
    <w:name w:val="Table Column Heading"/>
    <w:basedOn w:val="TableBodyText"/>
    <w:pPr>
      <w:spacing w:before="80" w:after="80"/>
    </w:pPr>
    <w:rPr>
      <w:i/>
    </w:rPr>
  </w:style>
  <w:style w:type="paragraph" w:styleId="TOC2">
    <w:name w:val="toc 2"/>
    <w:basedOn w:val="TOC1"/>
    <w:uiPriority w:val="39"/>
    <w:rsid w:val="00433C81"/>
    <w:pPr>
      <w:ind w:left="1020"/>
    </w:pPr>
    <w:rPr>
      <w:b w:val="0"/>
    </w:rPr>
  </w:style>
  <w:style w:type="paragraph" w:styleId="TOC3">
    <w:name w:val="toc 3"/>
    <w:basedOn w:val="TOC2"/>
    <w:rsid w:val="00D772E9"/>
    <w:pPr>
      <w:spacing w:before="60"/>
      <w:ind w:left="1190" w:hanging="680"/>
    </w:pPr>
  </w:style>
  <w:style w:type="paragraph" w:styleId="TableofFigures">
    <w:name w:val="table of figures"/>
    <w:basedOn w:val="TOC3"/>
    <w:next w:val="BodyText"/>
    <w:rsid w:val="00B722F2"/>
    <w:pPr>
      <w:tabs>
        <w:tab w:val="left" w:pos="1191"/>
      </w:tabs>
      <w:ind w:left="737" w:hanging="737"/>
    </w:pPr>
  </w:style>
  <w:style w:type="paragraph" w:customStyle="1" w:styleId="TableTitle">
    <w:name w:val="Table Title"/>
    <w:basedOn w:val="Caption"/>
    <w:next w:val="Subtitle"/>
    <w:rsid w:val="00106041"/>
    <w:rPr>
      <w:b w:val="0"/>
    </w:rPr>
  </w:style>
  <w:style w:type="paragraph" w:customStyle="1" w:styleId="TableUnitsRow">
    <w:name w:val="Table Units Row"/>
    <w:basedOn w:val="TableBodyText"/>
    <w:pPr>
      <w:spacing w:before="80" w:after="80"/>
    </w:pPr>
  </w:style>
  <w:style w:type="paragraph" w:styleId="TOC1">
    <w:name w:val="toc 1"/>
    <w:basedOn w:val="Normal"/>
    <w:next w:val="TOC2"/>
    <w:uiPriority w:val="39"/>
    <w:rsid w:val="00D772E9"/>
    <w:pPr>
      <w:tabs>
        <w:tab w:val="right" w:pos="8789"/>
      </w:tabs>
      <w:spacing w:before="120" w:line="320" w:lineRule="exact"/>
      <w:ind w:left="510" w:right="851" w:hanging="510"/>
    </w:pPr>
    <w:rPr>
      <w:b/>
      <w:szCs w:val="26"/>
    </w:rPr>
  </w:style>
  <w:style w:type="paragraph" w:styleId="TOC4">
    <w:name w:val="toc 4"/>
    <w:basedOn w:val="TOC3"/>
    <w:autoRedefine/>
    <w:semiHidden/>
    <w:rsid w:val="00DA3281"/>
    <w:pPr>
      <w:ind w:left="765" w:firstLine="0"/>
    </w:pPr>
  </w:style>
  <w:style w:type="paragraph" w:styleId="Header">
    <w:name w:val="header"/>
    <w:basedOn w:val="Normal"/>
    <w:rsid w:val="00181F4B"/>
    <w:pPr>
      <w:tabs>
        <w:tab w:val="center" w:pos="4394"/>
        <w:tab w:val="right" w:pos="8789"/>
      </w:tabs>
      <w:spacing w:line="240" w:lineRule="atLeast"/>
    </w:pPr>
    <w:rPr>
      <w:rFonts w:ascii="Arial" w:hAnsi="Arial"/>
      <w:caps/>
      <w:sz w:val="16"/>
    </w:rPr>
  </w:style>
  <w:style w:type="paragraph" w:customStyle="1" w:styleId="QuoteBullet">
    <w:name w:val="Quote Bullet"/>
    <w:basedOn w:val="Quote"/>
    <w:pPr>
      <w:numPr>
        <w:numId w:val="19"/>
      </w:numPr>
    </w:pPr>
  </w:style>
  <w:style w:type="paragraph" w:styleId="BalloonText">
    <w:name w:val="Balloon Text"/>
    <w:basedOn w:val="Normal"/>
    <w:semiHidden/>
    <w:rsid w:val="002B64D6"/>
    <w:rPr>
      <w:rFonts w:ascii="Tahoma" w:hAnsi="Tahoma" w:cs="Tahoma"/>
      <w:sz w:val="16"/>
      <w:szCs w:val="16"/>
    </w:rPr>
  </w:style>
  <w:style w:type="character" w:customStyle="1" w:styleId="BodyTextChar">
    <w:name w:val="Body Text Char"/>
    <w:link w:val="BodyText"/>
    <w:locked/>
    <w:rsid w:val="007809B8"/>
    <w:rPr>
      <w:sz w:val="26"/>
      <w:lang w:val="en-AU" w:eastAsia="en-US" w:bidi="ar-SA"/>
    </w:rPr>
  </w:style>
  <w:style w:type="paragraph" w:styleId="CommentSubject">
    <w:name w:val="annotation subject"/>
    <w:basedOn w:val="CommentText"/>
    <w:next w:val="CommentText"/>
    <w:link w:val="CommentSubjectChar"/>
    <w:rsid w:val="004A0D95"/>
    <w:pPr>
      <w:spacing w:before="0" w:line="240" w:lineRule="auto"/>
      <w:ind w:left="0" w:firstLine="0"/>
    </w:pPr>
    <w:rPr>
      <w:b/>
      <w:bCs/>
    </w:rPr>
  </w:style>
  <w:style w:type="character" w:customStyle="1" w:styleId="CommentTextChar">
    <w:name w:val="Comment Text Char"/>
    <w:link w:val="CommentText"/>
    <w:semiHidden/>
    <w:rsid w:val="004A0D95"/>
    <w:rPr>
      <w:lang w:eastAsia="en-US"/>
    </w:rPr>
  </w:style>
  <w:style w:type="character" w:customStyle="1" w:styleId="CommentSubjectChar">
    <w:name w:val="Comment Subject Char"/>
    <w:link w:val="CommentSubject"/>
    <w:rsid w:val="004A0D95"/>
    <w:rPr>
      <w:b/>
      <w:bCs/>
      <w:lang w:eastAsia="en-US"/>
    </w:rPr>
  </w:style>
  <w:style w:type="paragraph" w:customStyle="1" w:styleId="Heading1NotTOC">
    <w:name w:val="Heading 1 Not TOC"/>
    <w:basedOn w:val="Heading1"/>
    <w:next w:val="BodyText"/>
    <w:rsid w:val="00F7477E"/>
    <w:rPr>
      <w:szCs w:val="26"/>
    </w:rPr>
  </w:style>
  <w:style w:type="table" w:styleId="TableGrid">
    <w:name w:val="Table Grid"/>
    <w:basedOn w:val="TableNormal"/>
    <w:rsid w:val="000444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lause">
    <w:name w:val="Clause"/>
    <w:basedOn w:val="Normal"/>
    <w:rsid w:val="009F4FDC"/>
    <w:pPr>
      <w:autoSpaceDE w:val="0"/>
      <w:autoSpaceDN w:val="0"/>
      <w:adjustRightInd w:val="0"/>
      <w:spacing w:line="400" w:lineRule="atLeast"/>
      <w:ind w:right="283"/>
      <w:textAlignment w:val="center"/>
    </w:pPr>
    <w:rPr>
      <w:rFonts w:ascii="Goudy Old Style" w:hAnsi="Goudy Old Style" w:cs="Goudy Old Style"/>
      <w:color w:val="000000"/>
      <w:spacing w:val="-4"/>
      <w:sz w:val="28"/>
      <w:szCs w:val="28"/>
      <w:lang w:val="en-US"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6"/>
      <w:lang w:eastAsia="en-US"/>
    </w:rPr>
  </w:style>
  <w:style w:type="paragraph" w:styleId="Heading1">
    <w:name w:val="heading 1"/>
    <w:basedOn w:val="Normal"/>
    <w:next w:val="BodyText"/>
    <w:qFormat/>
    <w:rsid w:val="00F7477E"/>
    <w:pPr>
      <w:keepNext/>
      <w:spacing w:before="160" w:after="1360" w:line="600" w:lineRule="exact"/>
      <w:ind w:left="907" w:hanging="907"/>
      <w:outlineLvl w:val="0"/>
    </w:pPr>
    <w:rPr>
      <w:kern w:val="28"/>
      <w:sz w:val="52"/>
    </w:rPr>
  </w:style>
  <w:style w:type="paragraph" w:styleId="Heading2">
    <w:name w:val="heading 2"/>
    <w:basedOn w:val="Chapter"/>
    <w:next w:val="BodyText"/>
    <w:qFormat/>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pPr>
      <w:spacing w:before="560" w:line="320" w:lineRule="exact"/>
      <w:ind w:left="0" w:firstLine="0"/>
      <w:outlineLvl w:val="2"/>
    </w:pPr>
    <w:rPr>
      <w:sz w:val="26"/>
    </w:rPr>
  </w:style>
  <w:style w:type="paragraph" w:styleId="Heading4">
    <w:name w:val="heading 4"/>
    <w:basedOn w:val="Heading3"/>
    <w:next w:val="BodyText"/>
    <w:qFormat/>
    <w:pPr>
      <w:spacing w:before="480"/>
      <w:outlineLvl w:val="3"/>
    </w:pPr>
    <w:rPr>
      <w:b w:val="0"/>
      <w:i/>
      <w:sz w:val="24"/>
    </w:rPr>
  </w:style>
  <w:style w:type="paragraph" w:styleId="Heading5">
    <w:name w:val="heading 5"/>
    <w:basedOn w:val="Heading4"/>
    <w:next w:val="BodyText"/>
    <w:qFormat/>
    <w:pPr>
      <w:outlineLvl w:val="4"/>
    </w:pPr>
    <w:rPr>
      <w:rFonts w:ascii="Times New Roman" w:hAnsi="Times New Roman"/>
      <w:sz w:val="26"/>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rsid w:val="00F13165"/>
    <w:pPr>
      <w:spacing w:before="240" w:line="320" w:lineRule="exact"/>
      <w:jc w:val="both"/>
    </w:pPr>
    <w:rPr>
      <w:sz w:val="26"/>
      <w:lang w:eastAsia="en-US"/>
    </w:rPr>
  </w:style>
  <w:style w:type="paragraph" w:customStyle="1" w:styleId="Abbreviation">
    <w:name w:val="Abbreviation"/>
    <w:basedOn w:val="BodyText"/>
    <w:pPr>
      <w:spacing w:before="120"/>
      <w:ind w:left="2381" w:hanging="2381"/>
      <w:jc w:val="left"/>
    </w:pPr>
  </w:style>
  <w:style w:type="paragraph" w:customStyle="1" w:styleId="Box">
    <w:name w:val="Box"/>
    <w:basedOn w:val="BodyText"/>
    <w:pPr>
      <w:keepNext/>
      <w:spacing w:before="120" w:line="280" w:lineRule="atLeast"/>
    </w:pPr>
    <w:rPr>
      <w:rFonts w:ascii="Arial" w:hAnsi="Arial"/>
      <w:sz w:val="22"/>
    </w:rPr>
  </w:style>
  <w:style w:type="paragraph" w:customStyle="1" w:styleId="Note">
    <w:name w:val="Note"/>
    <w:basedOn w:val="BodyText"/>
    <w:next w:val="Normal"/>
    <w:pPr>
      <w:keepLines/>
      <w:spacing w:before="80" w:line="220" w:lineRule="exact"/>
    </w:pPr>
    <w:rPr>
      <w:rFonts w:ascii="Arial" w:hAnsi="Arial"/>
      <w:sz w:val="18"/>
    </w:rPr>
  </w:style>
  <w:style w:type="paragraph" w:customStyle="1" w:styleId="Source">
    <w:name w:val="Source"/>
    <w:basedOn w:val="Note"/>
    <w:next w:val="BodyText"/>
    <w:pPr>
      <w:spacing w:after="120"/>
    </w:pPr>
  </w:style>
  <w:style w:type="paragraph" w:customStyle="1" w:styleId="BoxSource">
    <w:name w:val="Box Source"/>
    <w:basedOn w:val="Source"/>
    <w:next w:val="BodyText"/>
    <w:pPr>
      <w:spacing w:before="180" w:after="0"/>
    </w:pPr>
  </w:style>
  <w:style w:type="paragraph" w:customStyle="1" w:styleId="BoxContinued">
    <w:name w:val="Box Continued"/>
    <w:basedOn w:val="Normal"/>
    <w:next w:val="BodyText"/>
    <w:pPr>
      <w:spacing w:before="180" w:line="220" w:lineRule="exact"/>
      <w:jc w:val="right"/>
    </w:pPr>
    <w:rPr>
      <w:rFonts w:ascii="Arial" w:hAnsi="Arial"/>
      <w:sz w:val="18"/>
    </w:rPr>
  </w:style>
  <w:style w:type="paragraph" w:customStyle="1" w:styleId="BoxHeading1">
    <w:name w:val="Box Heading 1"/>
    <w:basedOn w:val="Box"/>
    <w:next w:val="Box"/>
    <w:pPr>
      <w:spacing w:before="200"/>
    </w:pPr>
    <w:rPr>
      <w:b/>
    </w:rPr>
  </w:style>
  <w:style w:type="paragraph" w:customStyle="1" w:styleId="BoxHeading2">
    <w:name w:val="Box Heading 2"/>
    <w:basedOn w:val="BoxHeading1"/>
    <w:next w:val="Box"/>
    <w:rPr>
      <w:b w:val="0"/>
      <w:i/>
    </w:rPr>
  </w:style>
  <w:style w:type="paragraph" w:customStyle="1" w:styleId="BoxListBullet">
    <w:name w:val="Box List Bullet"/>
    <w:basedOn w:val="Box"/>
    <w:pPr>
      <w:numPr>
        <w:numId w:val="13"/>
      </w:numPr>
      <w:tabs>
        <w:tab w:val="left" w:pos="284"/>
      </w:tabs>
    </w:pPr>
  </w:style>
  <w:style w:type="paragraph" w:customStyle="1" w:styleId="BoxListBullet2">
    <w:name w:val="Box List Bullet 2"/>
    <w:basedOn w:val="Box"/>
    <w:pPr>
      <w:numPr>
        <w:numId w:val="14"/>
      </w:numPr>
      <w:tabs>
        <w:tab w:val="left" w:pos="284"/>
        <w:tab w:val="left" w:pos="567"/>
      </w:tabs>
      <w:spacing w:before="60"/>
      <w:ind w:left="568"/>
    </w:pPr>
  </w:style>
  <w:style w:type="paragraph" w:customStyle="1" w:styleId="BoxListNumber">
    <w:name w:val="Box List Number"/>
    <w:basedOn w:val="Box"/>
    <w:pPr>
      <w:ind w:left="284" w:hanging="284"/>
    </w:pPr>
  </w:style>
  <w:style w:type="paragraph" w:customStyle="1" w:styleId="BoxListNumber2">
    <w:name w:val="Box List Number 2"/>
    <w:basedOn w:val="BoxListNumber"/>
    <w:pPr>
      <w:spacing w:before="60"/>
      <w:ind w:left="681" w:hanging="397"/>
    </w:pPr>
  </w:style>
  <w:style w:type="paragraph" w:customStyle="1" w:styleId="BoxQuote">
    <w:name w:val="Box Quote"/>
    <w:basedOn w:val="Box"/>
    <w:next w:val="Box"/>
    <w:pPr>
      <w:spacing w:before="60" w:line="260" w:lineRule="exact"/>
      <w:ind w:left="284"/>
    </w:pPr>
    <w:rPr>
      <w:sz w:val="20"/>
    </w:rPr>
  </w:style>
  <w:style w:type="paragraph" w:customStyle="1" w:styleId="BoxSpace">
    <w:name w:val="Box Space"/>
    <w:basedOn w:val="Normal"/>
    <w:pPr>
      <w:keepNext/>
      <w:spacing w:before="360" w:line="80" w:lineRule="exact"/>
    </w:pPr>
  </w:style>
  <w:style w:type="paragraph" w:styleId="Caption">
    <w:name w:val="caption"/>
    <w:basedOn w:val="Normal"/>
    <w:next w:val="BodyText"/>
    <w:qFormat/>
    <w:pPr>
      <w:keepNext/>
      <w:keepLines/>
      <w:spacing w:before="360" w:after="80" w:line="280" w:lineRule="exact"/>
      <w:ind w:left="1474" w:hanging="1474"/>
    </w:pPr>
    <w:rPr>
      <w:rFonts w:ascii="Arial" w:hAnsi="Arial"/>
      <w:b/>
      <w:sz w:val="24"/>
    </w:rPr>
  </w:style>
  <w:style w:type="paragraph" w:customStyle="1" w:styleId="BoxTitle">
    <w:name w:val="Box Title"/>
    <w:basedOn w:val="Caption"/>
    <w:next w:val="Normal"/>
    <w:rsid w:val="00106041"/>
    <w:pPr>
      <w:spacing w:before="120" w:after="0"/>
      <w:ind w:left="1304" w:hanging="1304"/>
    </w:pPr>
    <w:rPr>
      <w:b w:val="0"/>
    </w:rPr>
  </w:style>
  <w:style w:type="paragraph" w:customStyle="1" w:styleId="BoxSubtitle">
    <w:name w:val="Box Subtitle"/>
    <w:basedOn w:val="BoxTitle"/>
    <w:next w:val="Box"/>
    <w:pPr>
      <w:spacing w:after="80" w:line="200" w:lineRule="exact"/>
      <w:ind w:firstLine="0"/>
    </w:pPr>
    <w:rPr>
      <w:b/>
      <w:sz w:val="20"/>
    </w:rPr>
  </w:style>
  <w:style w:type="paragraph" w:customStyle="1" w:styleId="Chapter">
    <w:name w:val="Chapter"/>
    <w:basedOn w:val="Heading1"/>
    <w:next w:val="BodyText"/>
    <w:semiHidden/>
    <w:pPr>
      <w:ind w:left="0" w:firstLine="0"/>
      <w:outlineLvl w:val="9"/>
    </w:pPr>
  </w:style>
  <w:style w:type="paragraph" w:customStyle="1" w:styleId="ChapterSummary">
    <w:name w:val="Chapter Summary"/>
    <w:basedOn w:val="BodyText"/>
    <w:semiHidden/>
    <w:pPr>
      <w:ind w:left="907"/>
    </w:pPr>
    <w:rPr>
      <w:rFonts w:ascii="Arial" w:hAnsi="Arial"/>
      <w:b/>
      <w:sz w:val="22"/>
    </w:rPr>
  </w:style>
  <w:style w:type="character" w:styleId="CommentReference">
    <w:name w:val="annotation reference"/>
    <w:semiHidden/>
    <w:rPr>
      <w:b/>
      <w:vanish/>
      <w:color w:val="FF00FF"/>
      <w:sz w:val="20"/>
    </w:rPr>
  </w:style>
  <w:style w:type="paragraph" w:styleId="CommentText">
    <w:name w:val="annotation text"/>
    <w:basedOn w:val="Normal"/>
    <w:link w:val="CommentTextChar"/>
    <w:semiHidden/>
    <w:pPr>
      <w:spacing w:before="120" w:line="240" w:lineRule="atLeast"/>
      <w:ind w:left="567" w:hanging="567"/>
    </w:pPr>
    <w:rPr>
      <w:sz w:val="20"/>
    </w:rPr>
  </w:style>
  <w:style w:type="paragraph" w:customStyle="1" w:styleId="Continued">
    <w:name w:val="Continued"/>
    <w:basedOn w:val="BoxContinued"/>
    <w:next w:val="BodyText"/>
  </w:style>
  <w:style w:type="paragraph" w:customStyle="1" w:styleId="DocInfo">
    <w:name w:val="Doc Info"/>
    <w:basedOn w:val="Normal"/>
    <w:next w:val="Normal"/>
    <w:semiHidden/>
    <w:pPr>
      <w:jc w:val="center"/>
    </w:pPr>
    <w:rPr>
      <w:rFonts w:ascii="Arial" w:hAnsi="Arial"/>
      <w:sz w:val="14"/>
    </w:rPr>
  </w:style>
  <w:style w:type="paragraph" w:styleId="Footer">
    <w:name w:val="footer"/>
    <w:basedOn w:val="Normal"/>
    <w:pPr>
      <w:spacing w:before="80" w:line="200" w:lineRule="exact"/>
      <w:ind w:right="6"/>
    </w:pPr>
    <w:rPr>
      <w:caps/>
      <w:spacing w:val="-4"/>
      <w:sz w:val="16"/>
    </w:rPr>
  </w:style>
  <w:style w:type="character" w:customStyle="1" w:styleId="DocumentInfo">
    <w:name w:val="Document Info"/>
    <w:semiHidden/>
    <w:rPr>
      <w:rFonts w:ascii="Arial" w:hAnsi="Arial"/>
      <w:sz w:val="14"/>
    </w:rPr>
  </w:style>
  <w:style w:type="character" w:customStyle="1" w:styleId="DraftingNote">
    <w:name w:val="Drafting Note"/>
    <w:rPr>
      <w:b/>
      <w:color w:val="FF0000"/>
      <w:sz w:val="24"/>
      <w:u w:val="dotted"/>
    </w:rPr>
  </w:style>
  <w:style w:type="paragraph" w:customStyle="1" w:styleId="Figure">
    <w:name w:val="Figure"/>
    <w:basedOn w:val="BodyText"/>
    <w:pPr>
      <w:keepNext/>
      <w:spacing w:before="120" w:after="120" w:line="240" w:lineRule="atLeast"/>
      <w:jc w:val="center"/>
    </w:pPr>
  </w:style>
  <w:style w:type="paragraph" w:customStyle="1" w:styleId="FigureTitle">
    <w:name w:val="Figure Title"/>
    <w:basedOn w:val="Caption"/>
    <w:next w:val="Subtitle"/>
    <w:rsid w:val="00106041"/>
    <w:rPr>
      <w:b w:val="0"/>
    </w:rPr>
  </w:style>
  <w:style w:type="paragraph" w:styleId="Subtitle">
    <w:name w:val="Subtitle"/>
    <w:basedOn w:val="Caption"/>
    <w:qFormat/>
    <w:pPr>
      <w:spacing w:before="0" w:line="200" w:lineRule="exact"/>
      <w:ind w:firstLine="0"/>
    </w:pPr>
    <w:rPr>
      <w:b w:val="0"/>
      <w:sz w:val="20"/>
    </w:rPr>
  </w:style>
  <w:style w:type="paragraph" w:customStyle="1" w:styleId="Finding">
    <w:name w:val="Finding"/>
    <w:basedOn w:val="BodyText"/>
    <w:pPr>
      <w:spacing w:before="180"/>
    </w:pPr>
    <w:rPr>
      <w:i/>
    </w:rPr>
  </w:style>
  <w:style w:type="paragraph" w:customStyle="1" w:styleId="FindingBullet">
    <w:name w:val="Finding Bullet"/>
    <w:basedOn w:val="Finding"/>
    <w:pPr>
      <w:numPr>
        <w:numId w:val="15"/>
      </w:numPr>
      <w:spacing w:before="80"/>
    </w:pPr>
  </w:style>
  <w:style w:type="paragraph" w:customStyle="1" w:styleId="FindingNoTitle">
    <w:name w:val="Finding NoTitle"/>
    <w:basedOn w:val="Finding"/>
    <w:pPr>
      <w:spacing w:before="240"/>
    </w:pPr>
  </w:style>
  <w:style w:type="paragraph" w:customStyle="1" w:styleId="RecTitle">
    <w:name w:val="Rec Title"/>
    <w:basedOn w:val="BodyText"/>
    <w:next w:val="Normal"/>
    <w:pPr>
      <w:keepNext/>
      <w:framePr w:hSpace="181" w:wrap="notBeside" w:vAnchor="text" w:hAnchor="text" w:xAlign="outside" w:y="1"/>
    </w:pPr>
    <w:rPr>
      <w:caps/>
      <w:sz w:val="16"/>
    </w:rPr>
  </w:style>
  <w:style w:type="paragraph" w:customStyle="1" w:styleId="FindingTitle">
    <w:name w:val="Finding Title"/>
    <w:basedOn w:val="RecTitle"/>
    <w:next w:val="Finding"/>
    <w:pPr>
      <w:framePr w:wrap="notBeside"/>
    </w:pPr>
  </w:style>
  <w:style w:type="paragraph" w:customStyle="1" w:styleId="FooterEnd">
    <w:name w:val="Footer End"/>
    <w:basedOn w:val="Footer"/>
    <w:pPr>
      <w:spacing w:before="0" w:line="20" w:lineRule="exact"/>
    </w:pPr>
  </w:style>
  <w:style w:type="character" w:styleId="FootnoteReference">
    <w:name w:val="footnote reference"/>
    <w:semiHidden/>
    <w:rPr>
      <w:rFonts w:ascii="Times New Roman" w:hAnsi="Times New Roman"/>
      <w:position w:val="6"/>
      <w:sz w:val="22"/>
      <w:vertAlign w:val="baseline"/>
    </w:rPr>
  </w:style>
  <w:style w:type="paragraph" w:styleId="FootnoteText">
    <w:name w:val="footnote text"/>
    <w:basedOn w:val="BodyText"/>
    <w:semiHidden/>
    <w:pPr>
      <w:tabs>
        <w:tab w:val="left" w:pos="284"/>
      </w:tabs>
      <w:spacing w:before="80" w:line="260" w:lineRule="exact"/>
      <w:ind w:left="170" w:hanging="170"/>
    </w:pPr>
    <w:rPr>
      <w:sz w:val="22"/>
    </w:rPr>
  </w:style>
  <w:style w:type="paragraph" w:customStyle="1" w:styleId="Heading2NotTOC">
    <w:name w:val="Heading 2 Not TOC"/>
    <w:basedOn w:val="Heading2"/>
    <w:next w:val="BodyText"/>
    <w:rsid w:val="00AC3236"/>
    <w:pPr>
      <w:spacing w:before="0" w:after="120"/>
    </w:pPr>
  </w:style>
  <w:style w:type="paragraph" w:customStyle="1" w:styleId="HeaderEnd">
    <w:name w:val="Header End"/>
    <w:basedOn w:val="Header"/>
    <w:rsid w:val="005C68FE"/>
    <w:pPr>
      <w:spacing w:line="20" w:lineRule="exact"/>
    </w:pPr>
  </w:style>
  <w:style w:type="paragraph" w:customStyle="1" w:styleId="HeaderEven">
    <w:name w:val="Header Even"/>
    <w:basedOn w:val="Header"/>
  </w:style>
  <w:style w:type="paragraph" w:customStyle="1" w:styleId="HeaderOdd">
    <w:name w:val="Header Odd"/>
    <w:basedOn w:val="Header"/>
    <w:rsid w:val="00181F4B"/>
  </w:style>
  <w:style w:type="paragraph" w:customStyle="1" w:styleId="InformationRequest">
    <w:name w:val="Information Request"/>
    <w:basedOn w:val="Finding"/>
    <w:next w:val="BodyText"/>
    <w:semiHidden/>
    <w:pPr>
      <w:spacing w:before="360" w:after="120"/>
    </w:pPr>
    <w:rPr>
      <w:rFonts w:ascii="Arial" w:hAnsi="Arial"/>
      <w:sz w:val="24"/>
    </w:rPr>
  </w:style>
  <w:style w:type="paragraph" w:styleId="ListBullet">
    <w:name w:val="List Bullet"/>
    <w:basedOn w:val="BodyText"/>
    <w:pPr>
      <w:numPr>
        <w:numId w:val="16"/>
      </w:numPr>
      <w:spacing w:before="120"/>
    </w:pPr>
  </w:style>
  <w:style w:type="paragraph" w:styleId="ListBullet2">
    <w:name w:val="List Bullet 2"/>
    <w:basedOn w:val="BodyText"/>
    <w:pPr>
      <w:numPr>
        <w:numId w:val="17"/>
      </w:numPr>
      <w:tabs>
        <w:tab w:val="left" w:pos="680"/>
      </w:tabs>
      <w:spacing w:before="120"/>
    </w:pPr>
  </w:style>
  <w:style w:type="paragraph" w:styleId="ListBullet3">
    <w:name w:val="List Bullet 3"/>
    <w:basedOn w:val="BodyText"/>
    <w:pPr>
      <w:numPr>
        <w:numId w:val="18"/>
      </w:numPr>
      <w:tabs>
        <w:tab w:val="left" w:pos="680"/>
        <w:tab w:val="left" w:pos="1021"/>
      </w:tabs>
      <w:spacing w:before="120"/>
      <w:ind w:left="1020"/>
    </w:pPr>
  </w:style>
  <w:style w:type="paragraph" w:styleId="ListNumber">
    <w:name w:val="List Number"/>
    <w:basedOn w:val="Normal"/>
    <w:pPr>
      <w:spacing w:before="120" w:line="320" w:lineRule="exact"/>
      <w:ind w:left="340" w:hanging="340"/>
      <w:jc w:val="both"/>
    </w:pPr>
  </w:style>
  <w:style w:type="paragraph" w:styleId="ListNumber2">
    <w:name w:val="List Number 2"/>
    <w:basedOn w:val="ListNumber"/>
    <w:pPr>
      <w:ind w:left="794" w:hanging="454"/>
    </w:pPr>
  </w:style>
  <w:style w:type="paragraph" w:styleId="ListNumber3">
    <w:name w:val="List Number 3"/>
    <w:basedOn w:val="ListNumber2"/>
    <w:pPr>
      <w:ind w:left="1304" w:hanging="510"/>
    </w:pPr>
  </w:style>
  <w:style w:type="character" w:customStyle="1" w:styleId="NoteLabel">
    <w:name w:val="Note Label"/>
    <w:rPr>
      <w:rFonts w:ascii="Arial" w:hAnsi="Arial"/>
      <w:b/>
      <w:position w:val="6"/>
      <w:sz w:val="18"/>
    </w:rPr>
  </w:style>
  <w:style w:type="character" w:styleId="PageNumber">
    <w:name w:val="page number"/>
    <w:rPr>
      <w:rFonts w:ascii="Arial" w:hAnsi="Arial"/>
      <w:b/>
      <w:sz w:val="16"/>
    </w:rPr>
  </w:style>
  <w:style w:type="paragraph" w:customStyle="1" w:styleId="PartDivider">
    <w:name w:val="Part Divider"/>
    <w:basedOn w:val="Normal"/>
    <w:next w:val="Normal"/>
    <w:pPr>
      <w:spacing w:line="40" w:lineRule="exact"/>
      <w:jc w:val="right"/>
    </w:pPr>
    <w:rPr>
      <w:smallCaps/>
      <w:sz w:val="16"/>
    </w:rPr>
  </w:style>
  <w:style w:type="paragraph" w:customStyle="1" w:styleId="PartNumber">
    <w:name w:val="Part Number"/>
    <w:basedOn w:val="Normal"/>
    <w:next w:val="Normal"/>
    <w:pPr>
      <w:spacing w:before="4000" w:line="320" w:lineRule="exact"/>
      <w:ind w:left="6634"/>
      <w:jc w:val="right"/>
    </w:pPr>
    <w:rPr>
      <w:smallCaps/>
      <w:spacing w:val="60"/>
      <w:sz w:val="32"/>
    </w:rPr>
  </w:style>
  <w:style w:type="paragraph" w:customStyle="1" w:styleId="PartTitle">
    <w:name w:val="Part Title"/>
    <w:basedOn w:val="Normal"/>
    <w:pPr>
      <w:spacing w:before="160" w:after="1360" w:line="520" w:lineRule="exact"/>
      <w:ind w:right="2381"/>
      <w:jc w:val="right"/>
    </w:pPr>
    <w:rPr>
      <w:smallCaps/>
      <w:sz w:val="52"/>
    </w:rPr>
  </w:style>
  <w:style w:type="paragraph" w:styleId="Quote">
    <w:name w:val="Quote"/>
    <w:basedOn w:val="BodyText"/>
    <w:next w:val="BodyText"/>
    <w:qFormat/>
    <w:pPr>
      <w:spacing w:before="120" w:line="280" w:lineRule="exact"/>
      <w:ind w:left="340"/>
    </w:pPr>
    <w:rPr>
      <w:sz w:val="24"/>
    </w:rPr>
  </w:style>
  <w:style w:type="paragraph" w:customStyle="1" w:styleId="Rec">
    <w:name w:val="Rec"/>
    <w:basedOn w:val="BodyText"/>
    <w:pPr>
      <w:spacing w:before="180"/>
    </w:pPr>
    <w:rPr>
      <w:b/>
      <w:i/>
    </w:rPr>
  </w:style>
  <w:style w:type="paragraph" w:customStyle="1" w:styleId="RecBullet">
    <w:name w:val="Rec Bullet"/>
    <w:basedOn w:val="Rec"/>
    <w:pPr>
      <w:numPr>
        <w:numId w:val="20"/>
      </w:numPr>
      <w:spacing w:before="80"/>
    </w:pPr>
  </w:style>
  <w:style w:type="paragraph" w:customStyle="1" w:styleId="RecB">
    <w:name w:val="RecB"/>
    <w:basedOn w:val="Rec"/>
    <w:pPr>
      <w:pBdr>
        <w:left w:val="single" w:sz="24" w:space="12" w:color="C0C0C0"/>
      </w:pBdr>
    </w:pPr>
  </w:style>
  <w:style w:type="paragraph" w:customStyle="1" w:styleId="RecBBullet">
    <w:name w:val="RecB Bullet"/>
    <w:basedOn w:val="RecB"/>
    <w:pPr>
      <w:numPr>
        <w:numId w:val="21"/>
      </w:numPr>
      <w:spacing w:before="80"/>
    </w:pPr>
  </w:style>
  <w:style w:type="paragraph" w:customStyle="1" w:styleId="RecBNoTitle">
    <w:name w:val="RecB NoTitle"/>
    <w:basedOn w:val="RecB"/>
    <w:pPr>
      <w:spacing w:before="240"/>
    </w:pPr>
  </w:style>
  <w:style w:type="paragraph" w:customStyle="1" w:styleId="Reference">
    <w:name w:val="Reference"/>
    <w:basedOn w:val="BodyText"/>
    <w:pPr>
      <w:spacing w:before="120"/>
      <w:ind w:left="340" w:hanging="340"/>
    </w:pPr>
  </w:style>
  <w:style w:type="paragraph" w:customStyle="1" w:styleId="SequenceInfo">
    <w:name w:val="Sequence Info"/>
    <w:basedOn w:val="Normal"/>
    <w:rPr>
      <w:vanish/>
      <w:sz w:val="16"/>
    </w:rPr>
  </w:style>
  <w:style w:type="paragraph" w:customStyle="1" w:styleId="SideNote">
    <w:name w:val="Side Note"/>
    <w:basedOn w:val="BodyText"/>
    <w:next w:val="BodyText"/>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pPr>
      <w:framePr w:wrap="around"/>
      <w:numPr>
        <w:numId w:val="22"/>
      </w:numPr>
      <w:tabs>
        <w:tab w:val="left" w:pos="227"/>
      </w:tabs>
    </w:pPr>
  </w:style>
  <w:style w:type="paragraph" w:customStyle="1" w:styleId="SideNoteGraphic">
    <w:name w:val="Side Note Graphic"/>
    <w:basedOn w:val="SideNote"/>
    <w:next w:val="BodyText"/>
    <w:pPr>
      <w:framePr w:wrap="around"/>
    </w:pPr>
  </w:style>
  <w:style w:type="paragraph" w:customStyle="1" w:styleId="TableBodyText">
    <w:name w:val="Table Body Text"/>
    <w:basedOn w:val="BodyText"/>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pPr>
      <w:numPr>
        <w:numId w:val="23"/>
      </w:numPr>
      <w:tabs>
        <w:tab w:val="left" w:pos="170"/>
      </w:tabs>
      <w:jc w:val="left"/>
    </w:pPr>
  </w:style>
  <w:style w:type="paragraph" w:customStyle="1" w:styleId="TableColumnHeading">
    <w:name w:val="Table Column Heading"/>
    <w:basedOn w:val="TableBodyText"/>
    <w:pPr>
      <w:spacing w:before="80" w:after="80"/>
    </w:pPr>
    <w:rPr>
      <w:i/>
    </w:rPr>
  </w:style>
  <w:style w:type="paragraph" w:styleId="TOC2">
    <w:name w:val="toc 2"/>
    <w:basedOn w:val="TOC1"/>
    <w:uiPriority w:val="39"/>
    <w:rsid w:val="00433C81"/>
    <w:pPr>
      <w:ind w:left="1020"/>
    </w:pPr>
    <w:rPr>
      <w:b w:val="0"/>
    </w:rPr>
  </w:style>
  <w:style w:type="paragraph" w:styleId="TOC3">
    <w:name w:val="toc 3"/>
    <w:basedOn w:val="TOC2"/>
    <w:rsid w:val="00D772E9"/>
    <w:pPr>
      <w:spacing w:before="60"/>
      <w:ind w:left="1190" w:hanging="680"/>
    </w:pPr>
  </w:style>
  <w:style w:type="paragraph" w:styleId="TableofFigures">
    <w:name w:val="table of figures"/>
    <w:basedOn w:val="TOC3"/>
    <w:next w:val="BodyText"/>
    <w:rsid w:val="00B722F2"/>
    <w:pPr>
      <w:tabs>
        <w:tab w:val="left" w:pos="1191"/>
      </w:tabs>
      <w:ind w:left="737" w:hanging="737"/>
    </w:pPr>
  </w:style>
  <w:style w:type="paragraph" w:customStyle="1" w:styleId="TableTitle">
    <w:name w:val="Table Title"/>
    <w:basedOn w:val="Caption"/>
    <w:next w:val="Subtitle"/>
    <w:rsid w:val="00106041"/>
    <w:rPr>
      <w:b w:val="0"/>
    </w:rPr>
  </w:style>
  <w:style w:type="paragraph" w:customStyle="1" w:styleId="TableUnitsRow">
    <w:name w:val="Table Units Row"/>
    <w:basedOn w:val="TableBodyText"/>
    <w:pPr>
      <w:spacing w:before="80" w:after="80"/>
    </w:pPr>
  </w:style>
  <w:style w:type="paragraph" w:styleId="TOC1">
    <w:name w:val="toc 1"/>
    <w:basedOn w:val="Normal"/>
    <w:next w:val="TOC2"/>
    <w:uiPriority w:val="39"/>
    <w:rsid w:val="00D772E9"/>
    <w:pPr>
      <w:tabs>
        <w:tab w:val="right" w:pos="8789"/>
      </w:tabs>
      <w:spacing w:before="120" w:line="320" w:lineRule="exact"/>
      <w:ind w:left="510" w:right="851" w:hanging="510"/>
    </w:pPr>
    <w:rPr>
      <w:b/>
      <w:szCs w:val="26"/>
    </w:rPr>
  </w:style>
  <w:style w:type="paragraph" w:styleId="TOC4">
    <w:name w:val="toc 4"/>
    <w:basedOn w:val="TOC3"/>
    <w:autoRedefine/>
    <w:semiHidden/>
    <w:rsid w:val="00DA3281"/>
    <w:pPr>
      <w:ind w:left="765" w:firstLine="0"/>
    </w:pPr>
  </w:style>
  <w:style w:type="paragraph" w:styleId="Header">
    <w:name w:val="header"/>
    <w:basedOn w:val="Normal"/>
    <w:rsid w:val="00181F4B"/>
    <w:pPr>
      <w:tabs>
        <w:tab w:val="center" w:pos="4394"/>
        <w:tab w:val="right" w:pos="8789"/>
      </w:tabs>
      <w:spacing w:line="240" w:lineRule="atLeast"/>
    </w:pPr>
    <w:rPr>
      <w:rFonts w:ascii="Arial" w:hAnsi="Arial"/>
      <w:caps/>
      <w:sz w:val="16"/>
    </w:rPr>
  </w:style>
  <w:style w:type="paragraph" w:customStyle="1" w:styleId="QuoteBullet">
    <w:name w:val="Quote Bullet"/>
    <w:basedOn w:val="Quote"/>
    <w:pPr>
      <w:numPr>
        <w:numId w:val="19"/>
      </w:numPr>
    </w:pPr>
  </w:style>
  <w:style w:type="paragraph" w:styleId="BalloonText">
    <w:name w:val="Balloon Text"/>
    <w:basedOn w:val="Normal"/>
    <w:semiHidden/>
    <w:rsid w:val="002B64D6"/>
    <w:rPr>
      <w:rFonts w:ascii="Tahoma" w:hAnsi="Tahoma" w:cs="Tahoma"/>
      <w:sz w:val="16"/>
      <w:szCs w:val="16"/>
    </w:rPr>
  </w:style>
  <w:style w:type="character" w:customStyle="1" w:styleId="BodyTextChar">
    <w:name w:val="Body Text Char"/>
    <w:link w:val="BodyText"/>
    <w:locked/>
    <w:rsid w:val="007809B8"/>
    <w:rPr>
      <w:sz w:val="26"/>
      <w:lang w:val="en-AU" w:eastAsia="en-US" w:bidi="ar-SA"/>
    </w:rPr>
  </w:style>
  <w:style w:type="paragraph" w:styleId="CommentSubject">
    <w:name w:val="annotation subject"/>
    <w:basedOn w:val="CommentText"/>
    <w:next w:val="CommentText"/>
    <w:link w:val="CommentSubjectChar"/>
    <w:rsid w:val="004A0D95"/>
    <w:pPr>
      <w:spacing w:before="0" w:line="240" w:lineRule="auto"/>
      <w:ind w:left="0" w:firstLine="0"/>
    </w:pPr>
    <w:rPr>
      <w:b/>
      <w:bCs/>
    </w:rPr>
  </w:style>
  <w:style w:type="character" w:customStyle="1" w:styleId="CommentTextChar">
    <w:name w:val="Comment Text Char"/>
    <w:link w:val="CommentText"/>
    <w:semiHidden/>
    <w:rsid w:val="004A0D95"/>
    <w:rPr>
      <w:lang w:eastAsia="en-US"/>
    </w:rPr>
  </w:style>
  <w:style w:type="character" w:customStyle="1" w:styleId="CommentSubjectChar">
    <w:name w:val="Comment Subject Char"/>
    <w:link w:val="CommentSubject"/>
    <w:rsid w:val="004A0D95"/>
    <w:rPr>
      <w:b/>
      <w:bCs/>
      <w:lang w:eastAsia="en-US"/>
    </w:rPr>
  </w:style>
  <w:style w:type="paragraph" w:customStyle="1" w:styleId="Heading1NotTOC">
    <w:name w:val="Heading 1 Not TOC"/>
    <w:basedOn w:val="Heading1"/>
    <w:next w:val="BodyText"/>
    <w:rsid w:val="00F7477E"/>
    <w:rPr>
      <w:szCs w:val="26"/>
    </w:rPr>
  </w:style>
  <w:style w:type="table" w:styleId="TableGrid">
    <w:name w:val="Table Grid"/>
    <w:basedOn w:val="TableNormal"/>
    <w:rsid w:val="000444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lause">
    <w:name w:val="Clause"/>
    <w:basedOn w:val="Normal"/>
    <w:rsid w:val="009F4FDC"/>
    <w:pPr>
      <w:autoSpaceDE w:val="0"/>
      <w:autoSpaceDN w:val="0"/>
      <w:adjustRightInd w:val="0"/>
      <w:spacing w:line="400" w:lineRule="atLeast"/>
      <w:ind w:right="283"/>
      <w:textAlignment w:val="center"/>
    </w:pPr>
    <w:rPr>
      <w:rFonts w:ascii="Goudy Old Style" w:hAnsi="Goudy Old Style" w:cs="Goudy Old Style"/>
      <w:color w:val="000000"/>
      <w:spacing w:val="-4"/>
      <w:sz w:val="28"/>
      <w:szCs w:val="28"/>
      <w:lang w:val="en-US"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78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8.xml"/><Relationship Id="rId10" Type="http://schemas.openxmlformats.org/officeDocument/2006/relationships/header" Target="header1.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c%20template\Prelim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D9507-BF59-4134-A96A-CE0E629FD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Prelims</Template>
  <TotalTime>211</TotalTime>
  <Pages>9</Pages>
  <Words>1407</Words>
  <Characters>8341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Commonwealth of Australia 2010</vt:lpstr>
    </vt:vector>
  </TitlesOfParts>
  <Company>Productivity Commission</Company>
  <LinksUpToDate>false</LinksUpToDate>
  <CharactersWithSpaces>9729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Commonwealth of Australia 2010</dc:title>
  <dc:creator>ejepsen</dc:creator>
  <cp:lastModifiedBy>Productivity Commission</cp:lastModifiedBy>
  <cp:revision>31</cp:revision>
  <cp:lastPrinted>2011-11-23T05:30:00Z</cp:lastPrinted>
  <dcterms:created xsi:type="dcterms:W3CDTF">2011-09-30T05:03:00Z</dcterms:created>
  <dcterms:modified xsi:type="dcterms:W3CDTF">2011-11-28T23:20:00Z</dcterms:modified>
</cp:coreProperties>
</file>