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DFF" w:rsidRDefault="00D6356D" w:rsidP="00D6356D">
      <w:pPr>
        <w:pStyle w:val="Heading1"/>
        <w:spacing w:before="0"/>
      </w:pPr>
      <w:bookmarkStart w:id="0" w:name="ChapterNumber"/>
      <w:bookmarkStart w:id="1" w:name="_GoBack"/>
      <w:bookmarkEnd w:id="1"/>
      <w:r>
        <w:t>3</w:t>
      </w:r>
      <w:bookmarkEnd w:id="0"/>
      <w:r>
        <w:tab/>
      </w:r>
      <w:bookmarkStart w:id="2" w:name="ChapterTitle"/>
      <w:r>
        <w:t>Econometric model</w:t>
      </w:r>
      <w:bookmarkEnd w:id="2"/>
    </w:p>
    <w:p w:rsidR="00127953" w:rsidRDefault="00736094" w:rsidP="0046164D">
      <w:pPr>
        <w:pStyle w:val="BodyText"/>
      </w:pPr>
      <w:bookmarkStart w:id="3" w:name="begin"/>
      <w:bookmarkEnd w:id="3"/>
      <w:r w:rsidRPr="002F054C">
        <w:t xml:space="preserve">Regression analysis is a statistical tool </w:t>
      </w:r>
      <w:r>
        <w:t xml:space="preserve">that is used to measure the </w:t>
      </w:r>
      <w:r w:rsidR="005901D3">
        <w:t>links</w:t>
      </w:r>
      <w:r>
        <w:t xml:space="preserve"> between an explanatory variable and </w:t>
      </w:r>
      <w:r w:rsidRPr="002F054C">
        <w:t xml:space="preserve">a dependent variable </w:t>
      </w:r>
      <w:r>
        <w:t>while holding all other variables constant</w:t>
      </w:r>
      <w:r w:rsidRPr="002F054C">
        <w:t>.</w:t>
      </w:r>
      <w:r>
        <w:t xml:space="preserve"> </w:t>
      </w:r>
      <w:r w:rsidR="000D796C">
        <w:t xml:space="preserve">This chapter </w:t>
      </w:r>
      <w:r w:rsidR="00BC7091">
        <w:t>describes</w:t>
      </w:r>
      <w:r w:rsidR="00D7553D">
        <w:t xml:space="preserve"> some of</w:t>
      </w:r>
      <w:r w:rsidR="000D796C">
        <w:t xml:space="preserve"> the technical aspects of th</w:t>
      </w:r>
      <w:r w:rsidR="00D7553D">
        <w:t>e</w:t>
      </w:r>
      <w:r w:rsidR="000D796C">
        <w:t xml:space="preserve"> </w:t>
      </w:r>
      <w:r w:rsidR="00A06C84">
        <w:t xml:space="preserve">regression </w:t>
      </w:r>
      <w:r w:rsidR="000D796C">
        <w:t>analysis</w:t>
      </w:r>
      <w:r w:rsidR="00A06C84" w:rsidRPr="00A06C84">
        <w:t xml:space="preserve"> </w:t>
      </w:r>
      <w:r w:rsidR="00A06C84">
        <w:t xml:space="preserve">using the </w:t>
      </w:r>
      <w:r w:rsidR="00735A8B">
        <w:t xml:space="preserve">2008 </w:t>
      </w:r>
      <w:r w:rsidR="00A06C84">
        <w:t>National Aboriginal and Torres Strait Islander Social Survey (NATSISS) dataset</w:t>
      </w:r>
      <w:r w:rsidR="000D796C">
        <w:t>.</w:t>
      </w:r>
      <w:r>
        <w:t xml:space="preserve"> </w:t>
      </w:r>
    </w:p>
    <w:p w:rsidR="003B5130" w:rsidRDefault="00736094" w:rsidP="0046164D">
      <w:pPr>
        <w:pStyle w:val="BodyText"/>
      </w:pPr>
      <w:r>
        <w:t xml:space="preserve">The outline of this chapter is as follows: </w:t>
      </w:r>
      <w:r w:rsidR="00D73BC9">
        <w:t>some of the benefits of multivariate analysis are outlined in section 3.1</w:t>
      </w:r>
      <w:r w:rsidR="00DC3CD6">
        <w:t>;</w:t>
      </w:r>
      <w:r w:rsidR="00D73BC9">
        <w:t xml:space="preserve"> </w:t>
      </w:r>
      <w:r>
        <w:t>the econometric model, and how the results can be interpreted</w:t>
      </w:r>
      <w:r w:rsidR="00EC36C5">
        <w:t>,</w:t>
      </w:r>
      <w:r>
        <w:t xml:space="preserve"> are explained in sections 3.</w:t>
      </w:r>
      <w:r w:rsidR="00D73BC9">
        <w:t>2</w:t>
      </w:r>
      <w:r>
        <w:t xml:space="preserve"> and 3.</w:t>
      </w:r>
      <w:r w:rsidR="00D73BC9">
        <w:t>3</w:t>
      </w:r>
      <w:r>
        <w:t>, respectively; econometric issues that should be considered in interpreting the result</w:t>
      </w:r>
      <w:r w:rsidR="00D73BC9">
        <w:t>s are discussed in section 3.</w:t>
      </w:r>
      <w:r w:rsidR="002B15F1">
        <w:t>4</w:t>
      </w:r>
      <w:r w:rsidR="00D73BC9">
        <w:t xml:space="preserve">. </w:t>
      </w:r>
    </w:p>
    <w:p w:rsidR="00D516F5" w:rsidRDefault="00D516F5" w:rsidP="00D516F5">
      <w:pPr>
        <w:pStyle w:val="Heading2"/>
      </w:pPr>
      <w:r>
        <w:t>3.</w:t>
      </w:r>
      <w:r w:rsidR="009C6C5E">
        <w:rPr>
          <w:noProof/>
        </w:rPr>
        <w:t>1</w:t>
      </w:r>
      <w:r>
        <w:tab/>
        <w:t>Benefits of regression analysis</w:t>
      </w:r>
    </w:p>
    <w:p w:rsidR="00D516F5" w:rsidRDefault="00DC3CD6" w:rsidP="00D516F5">
      <w:pPr>
        <w:pStyle w:val="BodyText"/>
      </w:pPr>
      <w:r>
        <w:t xml:space="preserve">Multivariate regression analysis is </w:t>
      </w:r>
      <w:r w:rsidR="00F544B7">
        <w:t>applied</w:t>
      </w:r>
      <w:r>
        <w:t xml:space="preserve"> in this paper — the advantages of this technique, compared to bivariate analysis are presented in </w:t>
      </w:r>
      <w:smartTag w:uri="urn:schemas-microsoft-com:office:smarttags" w:element="PlaceName">
        <w:smartTag w:uri="urn:schemas-microsoft-com:office:smarttags" w:element="Street">
          <w:r>
            <w:t>box</w:t>
          </w:r>
        </w:smartTag>
        <w:r>
          <w:t> 3.1</w:t>
        </w:r>
      </w:smartTag>
      <w:r>
        <w:t>.</w:t>
      </w:r>
      <w:r w:rsidR="00F544B7">
        <w:t xml:space="preserve"> Notwithstanding </w:t>
      </w:r>
      <w:r w:rsidR="001239EB">
        <w:t>the</w:t>
      </w:r>
      <w:r w:rsidR="00F544B7">
        <w:t xml:space="preserve"> qualifications (</w:t>
      </w:r>
      <w:r w:rsidR="001239EB">
        <w:t xml:space="preserve">discussed in </w:t>
      </w:r>
      <w:r w:rsidR="00F544B7">
        <w:t>section 3.4), multivariate regression analysis is likely to produce more accurate numerical estimates of relationships between explanatory variables and a dependent variable than those obtained from bivariate analysis, such as cross-tabulations of data.</w:t>
      </w:r>
    </w:p>
    <w:p w:rsidR="00D516F5" w:rsidRDefault="00D516F5" w:rsidP="00D516F5">
      <w:pPr>
        <w:pStyle w:val="Source"/>
      </w:pPr>
    </w:p>
    <w:p w:rsidR="00D516F5" w:rsidRDefault="00D516F5" w:rsidP="00D516F5">
      <w:pPr>
        <w:pStyle w:val="BoxSpac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D516F5" w:rsidTr="00D516F5">
        <w:tc>
          <w:tcPr>
            <w:tcW w:w="8771" w:type="dxa"/>
            <w:tcBorders>
              <w:top w:val="single" w:sz="6" w:space="0" w:color="auto"/>
              <w:bottom w:val="nil"/>
            </w:tcBorders>
          </w:tcPr>
          <w:p w:rsidR="00D516F5" w:rsidRDefault="00D516F5" w:rsidP="00D516F5">
            <w:pPr>
              <w:pStyle w:val="BoxTitle"/>
            </w:pPr>
            <w:smartTag w:uri="urn:schemas-microsoft-com:office:smarttags" w:element="Street">
              <w:r>
                <w:rPr>
                  <w:b w:val="0"/>
                </w:rPr>
                <w:t>Box</w:t>
              </w:r>
            </w:smartTag>
            <w:r>
              <w:rPr>
                <w:b w:val="0"/>
              </w:rPr>
              <w:t xml:space="preserve"> 3.</w:t>
            </w:r>
            <w:r w:rsidR="002B15F1">
              <w:rPr>
                <w:b w:val="0"/>
              </w:rPr>
              <w:t>1</w:t>
            </w:r>
            <w:r>
              <w:tab/>
              <w:t>Bivariate analysis vs. multivariate regression analysis</w:t>
            </w:r>
          </w:p>
        </w:tc>
      </w:tr>
      <w:tr w:rsidR="00D516F5" w:rsidTr="00735A8B">
        <w:trPr>
          <w:cantSplit/>
        </w:trPr>
        <w:tc>
          <w:tcPr>
            <w:tcW w:w="8771" w:type="dxa"/>
            <w:tcBorders>
              <w:top w:val="nil"/>
              <w:left w:val="single" w:sz="6" w:space="0" w:color="auto"/>
              <w:bottom w:val="nil"/>
              <w:right w:val="single" w:sz="6" w:space="0" w:color="auto"/>
            </w:tcBorders>
          </w:tcPr>
          <w:p w:rsidR="00D516F5" w:rsidRDefault="00D516F5" w:rsidP="00D516F5">
            <w:pPr>
              <w:pStyle w:val="Box"/>
            </w:pPr>
            <w:r>
              <w:t xml:space="preserve">Regression analysis allows the effects of </w:t>
            </w:r>
            <w:r w:rsidR="0001493D">
              <w:t xml:space="preserve">multiple </w:t>
            </w:r>
            <w:r>
              <w:t>factors to be identified separately. Bivariate analysis only measures associations between two variables and therefore does not account for the concurrent effects of other relevant factors on the outcome of interest. For example, a cross-tab shows that the labour force participation rate of people with non</w:t>
            </w:r>
            <w:r>
              <w:noBreakHyphen/>
              <w:t>school qualification is higher than that for people without a non</w:t>
            </w:r>
            <w:r>
              <w:noBreakHyphen/>
              <w:t>school qualification:</w:t>
            </w:r>
          </w:p>
          <w:p w:rsidR="003D71B0" w:rsidRDefault="003D71B0" w:rsidP="00D516F5">
            <w:pPr>
              <w:pStyle w:val="Box"/>
            </w:pPr>
          </w:p>
          <w:tbl>
            <w:tblPr>
              <w:tblW w:w="5000" w:type="pct"/>
              <w:tblLayout w:type="fixed"/>
              <w:tblCellMar>
                <w:left w:w="0" w:type="dxa"/>
                <w:right w:w="0" w:type="dxa"/>
              </w:tblCellMar>
              <w:tblLook w:val="0000" w:firstRow="0" w:lastRow="0" w:firstColumn="0" w:lastColumn="0" w:noHBand="0" w:noVBand="0"/>
            </w:tblPr>
            <w:tblGrid>
              <w:gridCol w:w="2944"/>
              <w:gridCol w:w="1848"/>
              <w:gridCol w:w="1848"/>
              <w:gridCol w:w="1847"/>
            </w:tblGrid>
            <w:tr w:rsidR="00D516F5" w:rsidTr="003D71B0">
              <w:tc>
                <w:tcPr>
                  <w:tcW w:w="1734" w:type="pct"/>
                  <w:tcBorders>
                    <w:top w:val="single" w:sz="6" w:space="0" w:color="auto"/>
                    <w:bottom w:val="single" w:sz="6" w:space="0" w:color="auto"/>
                  </w:tcBorders>
                  <w:shd w:val="clear" w:color="auto" w:fill="auto"/>
                </w:tcPr>
                <w:p w:rsidR="00D516F5" w:rsidRDefault="00D516F5" w:rsidP="00D516F5">
                  <w:pPr>
                    <w:pStyle w:val="TableColumnHeading"/>
                    <w:jc w:val="left"/>
                  </w:pPr>
                </w:p>
              </w:tc>
              <w:tc>
                <w:tcPr>
                  <w:tcW w:w="1089" w:type="pct"/>
                  <w:tcBorders>
                    <w:top w:val="single" w:sz="6" w:space="0" w:color="auto"/>
                    <w:bottom w:val="single" w:sz="6" w:space="0" w:color="auto"/>
                  </w:tcBorders>
                  <w:shd w:val="clear" w:color="auto" w:fill="auto"/>
                </w:tcPr>
                <w:p w:rsidR="00D516F5" w:rsidRDefault="00D516F5" w:rsidP="00D516F5">
                  <w:pPr>
                    <w:pStyle w:val="TableColumnHeading"/>
                  </w:pPr>
                  <w:r>
                    <w:t>Without a non</w:t>
                  </w:r>
                  <w:r>
                    <w:noBreakHyphen/>
                    <w:t>school qualification</w:t>
                  </w:r>
                </w:p>
              </w:tc>
              <w:tc>
                <w:tcPr>
                  <w:tcW w:w="1089" w:type="pct"/>
                  <w:tcBorders>
                    <w:top w:val="single" w:sz="6" w:space="0" w:color="auto"/>
                    <w:bottom w:val="single" w:sz="6" w:space="0" w:color="auto"/>
                  </w:tcBorders>
                  <w:shd w:val="clear" w:color="auto" w:fill="auto"/>
                </w:tcPr>
                <w:p w:rsidR="00D516F5" w:rsidRDefault="00D516F5" w:rsidP="00D516F5">
                  <w:pPr>
                    <w:pStyle w:val="TableColumnHeading"/>
                  </w:pPr>
                  <w:r>
                    <w:t>With a non</w:t>
                  </w:r>
                  <w:r>
                    <w:noBreakHyphen/>
                    <w:t>school qualification</w:t>
                  </w:r>
                </w:p>
              </w:tc>
              <w:tc>
                <w:tcPr>
                  <w:tcW w:w="1088" w:type="pct"/>
                  <w:tcBorders>
                    <w:top w:val="single" w:sz="6" w:space="0" w:color="auto"/>
                    <w:bottom w:val="single" w:sz="6" w:space="0" w:color="auto"/>
                  </w:tcBorders>
                  <w:shd w:val="clear" w:color="auto" w:fill="auto"/>
                </w:tcPr>
                <w:p w:rsidR="00D516F5" w:rsidRDefault="00D516F5" w:rsidP="00D516F5">
                  <w:pPr>
                    <w:pStyle w:val="TableColumnHeading"/>
                    <w:ind w:right="28"/>
                  </w:pPr>
                  <w:r>
                    <w:t>All people</w:t>
                  </w:r>
                </w:p>
              </w:tc>
            </w:tr>
            <w:tr w:rsidR="00D516F5" w:rsidTr="003D71B0">
              <w:tc>
                <w:tcPr>
                  <w:tcW w:w="1734" w:type="pct"/>
                  <w:tcBorders>
                    <w:top w:val="single" w:sz="6" w:space="0" w:color="auto"/>
                  </w:tcBorders>
                </w:tcPr>
                <w:p w:rsidR="00D516F5" w:rsidRDefault="00D516F5" w:rsidP="00D516F5">
                  <w:pPr>
                    <w:pStyle w:val="TableBodyText"/>
                    <w:jc w:val="left"/>
                  </w:pPr>
                  <w:r>
                    <w:t>Labour force participation rate (per cent)</w:t>
                  </w:r>
                </w:p>
              </w:tc>
              <w:tc>
                <w:tcPr>
                  <w:tcW w:w="1089" w:type="pct"/>
                  <w:tcBorders>
                    <w:top w:val="single" w:sz="6" w:space="0" w:color="auto"/>
                  </w:tcBorders>
                </w:tcPr>
                <w:p w:rsidR="00D516F5" w:rsidRDefault="00D516F5" w:rsidP="00D516F5">
                  <w:pPr>
                    <w:pStyle w:val="TableBodyText"/>
                  </w:pPr>
                  <w:r>
                    <w:t>55.8</w:t>
                  </w:r>
                </w:p>
              </w:tc>
              <w:tc>
                <w:tcPr>
                  <w:tcW w:w="1089" w:type="pct"/>
                  <w:tcBorders>
                    <w:top w:val="single" w:sz="6" w:space="0" w:color="auto"/>
                  </w:tcBorders>
                </w:tcPr>
                <w:p w:rsidR="00D516F5" w:rsidRDefault="00D516F5" w:rsidP="00D516F5">
                  <w:pPr>
                    <w:pStyle w:val="TableBodyText"/>
                  </w:pPr>
                  <w:r>
                    <w:t>80.5</w:t>
                  </w:r>
                </w:p>
              </w:tc>
              <w:tc>
                <w:tcPr>
                  <w:tcW w:w="1088" w:type="pct"/>
                  <w:tcBorders>
                    <w:top w:val="single" w:sz="6" w:space="0" w:color="auto"/>
                  </w:tcBorders>
                </w:tcPr>
                <w:p w:rsidR="00D516F5" w:rsidRDefault="00D516F5" w:rsidP="00D516F5">
                  <w:pPr>
                    <w:pStyle w:val="TableBodyText"/>
                  </w:pPr>
                  <w:r>
                    <w:t>65.0</w:t>
                  </w:r>
                </w:p>
              </w:tc>
            </w:tr>
          </w:tbl>
          <w:p w:rsidR="00D516F5" w:rsidRDefault="00D516F5" w:rsidP="00D516F5">
            <w:pPr>
              <w:pStyle w:val="Source"/>
            </w:pPr>
            <w:r>
              <w:t>Source</w:t>
            </w:r>
            <w:r w:rsidR="00D57BD7">
              <w:t xml:space="preserve">: </w:t>
            </w:r>
            <w:r w:rsidR="001239EB">
              <w:t xml:space="preserve">Productivity Commission estimates based on the </w:t>
            </w:r>
            <w:r>
              <w:t xml:space="preserve">NATSISS </w:t>
            </w:r>
            <w:r w:rsidR="00D57BD7">
              <w:t>(2008)</w:t>
            </w:r>
          </w:p>
          <w:p w:rsidR="00D516F5" w:rsidRDefault="00D516F5" w:rsidP="00D516F5">
            <w:pPr>
              <w:pStyle w:val="Box"/>
            </w:pPr>
            <w:r>
              <w:t>One interpretation of these data is that increasing the number of people with a non</w:t>
            </w:r>
            <w:r>
              <w:noBreakHyphen/>
              <w:t>school qualification would increase the labour force participation rate. However, this interpretation does not account for the influence of non</w:t>
            </w:r>
            <w:r>
              <w:noBreakHyphen/>
              <w:t xml:space="preserve">school qualification type, nor does it take into account other determining factors, such as individuals’ gender, location or innate ability. Investigating the influence of multiple factors on LMOs using bivariate analysis is difficult and often not very informative — a crosstab that examined multiple and separate subgroups would quickly become unwieldy, and results would be difficult to present and interpret.  </w:t>
            </w:r>
          </w:p>
          <w:p w:rsidR="00D516F5" w:rsidRDefault="00D516F5" w:rsidP="00D516F5">
            <w:pPr>
              <w:pStyle w:val="Box"/>
            </w:pPr>
            <w:r>
              <w:t>Alternatively, bivariate analysis can be performed with a simple</w:t>
            </w:r>
            <w:r w:rsidRPr="00DA30D0">
              <w:t xml:space="preserve"> </w:t>
            </w:r>
            <w:r>
              <w:t>regression model using labour force participation as the dependent variable and non-school qualification as the explanatory variable. Using the same data as the crosstab, the model predicts that changing educational attainment from having no non</w:t>
            </w:r>
            <w:r>
              <w:noBreakHyphen/>
              <w:t>school qualification to having a non</w:t>
            </w:r>
            <w:r>
              <w:noBreakHyphen/>
              <w:t>school qualification increases the probability of labour force participation by approximately 24.7 percentage points. This is the same as the difference between the labour force participation rates of the two education based subgroups, and similarly, should be interpreted as an association rather than a causal change.</w:t>
            </w:r>
          </w:p>
          <w:p w:rsidR="00D516F5" w:rsidRDefault="00D516F5" w:rsidP="00D516F5">
            <w:pPr>
              <w:pStyle w:val="Box"/>
            </w:pPr>
            <w:r>
              <w:t xml:space="preserve">The addition of other (control) factors to such a regression model (such as gender and location) is relatively simple and the results </w:t>
            </w:r>
            <w:r w:rsidR="00885BD0">
              <w:t xml:space="preserve">relatively </w:t>
            </w:r>
            <w:r w:rsidR="0001493D">
              <w:t xml:space="preserve">straightforward </w:t>
            </w:r>
            <w:r>
              <w:t>to interpret. This is known as multivariate regression analysis</w:t>
            </w:r>
            <w:r w:rsidR="00F0292B">
              <w:t>.</w:t>
            </w:r>
            <w:r>
              <w:t xml:space="preserve"> </w:t>
            </w:r>
          </w:p>
          <w:p w:rsidR="00D516F5" w:rsidRDefault="00D516F5" w:rsidP="00D516F5">
            <w:pPr>
              <w:pStyle w:val="Box"/>
            </w:pPr>
            <w:r>
              <w:t>Multivariate regression analysis allows the associations between factors of interest with LMOs to be identified separately</w:t>
            </w:r>
            <w:r w:rsidR="00F0292B">
              <w:t>,</w:t>
            </w:r>
            <w:r w:rsidR="0001493D">
              <w:t xml:space="preserve"> and thus is likely to improve the accuracy of estimates of the size of the associations compared to bivariate analysis. </w:t>
            </w:r>
            <w:r>
              <w:t>This could be, f</w:t>
            </w:r>
            <w:r w:rsidRPr="002F054C">
              <w:t xml:space="preserve">or example, </w:t>
            </w:r>
            <w:r>
              <w:t xml:space="preserve">the association between the </w:t>
            </w:r>
            <w:r w:rsidRPr="002F054C">
              <w:t xml:space="preserve">probability of an individual being employed </w:t>
            </w:r>
            <w:r>
              <w:t>and their educational attainment</w:t>
            </w:r>
            <w:r w:rsidRPr="002F054C">
              <w:t>, while controlling for their age and other factors that might influence their employment prospects.</w:t>
            </w:r>
            <w:r>
              <w:t xml:space="preserve"> It also allows for different aspects of particular factors, such </w:t>
            </w:r>
            <w:r w:rsidR="0001493D">
              <w:t xml:space="preserve">as </w:t>
            </w:r>
            <w:r>
              <w:t>levels of education, to be investigated.</w:t>
            </w:r>
          </w:p>
        </w:tc>
      </w:tr>
      <w:tr w:rsidR="00D516F5" w:rsidTr="00735A8B">
        <w:trPr>
          <w:cantSplit/>
        </w:trPr>
        <w:tc>
          <w:tcPr>
            <w:tcW w:w="8771" w:type="dxa"/>
            <w:tcBorders>
              <w:top w:val="nil"/>
              <w:left w:val="single" w:sz="6" w:space="0" w:color="auto"/>
              <w:bottom w:val="single" w:sz="4" w:space="0" w:color="auto"/>
              <w:right w:val="single" w:sz="6" w:space="0" w:color="auto"/>
            </w:tcBorders>
          </w:tcPr>
          <w:p w:rsidR="00D516F5" w:rsidRDefault="00D516F5" w:rsidP="00D516F5">
            <w:pPr>
              <w:pStyle w:val="Box"/>
              <w:spacing w:before="0" w:line="120" w:lineRule="exact"/>
            </w:pPr>
          </w:p>
        </w:tc>
      </w:tr>
    </w:tbl>
    <w:p w:rsidR="000B366E" w:rsidRDefault="00D6356D" w:rsidP="000B366E">
      <w:pPr>
        <w:pStyle w:val="Heading2"/>
      </w:pPr>
      <w:r>
        <w:lastRenderedPageBreak/>
        <w:t>3.</w:t>
      </w:r>
      <w:r w:rsidR="009C6C5E">
        <w:rPr>
          <w:noProof/>
        </w:rPr>
        <w:t>2</w:t>
      </w:r>
      <w:r w:rsidR="003B5130">
        <w:tab/>
      </w:r>
      <w:r w:rsidR="00DB3791">
        <w:t xml:space="preserve">Model selection </w:t>
      </w:r>
    </w:p>
    <w:p w:rsidR="0034752D" w:rsidRDefault="000B366E" w:rsidP="000A3B8F">
      <w:pPr>
        <w:pStyle w:val="BodyText"/>
      </w:pPr>
      <w:r>
        <w:t>T</w:t>
      </w:r>
      <w:r w:rsidRPr="002F054C">
        <w:t xml:space="preserve">he choice of </w:t>
      </w:r>
      <w:r>
        <w:t xml:space="preserve">regression </w:t>
      </w:r>
      <w:r w:rsidRPr="002F054C">
        <w:t>model depends on the data</w:t>
      </w:r>
      <w:r>
        <w:t xml:space="preserve"> available</w:t>
      </w:r>
      <w:r w:rsidRPr="002F054C">
        <w:t>. In this case, the data are from the NATSISS survey, which provides information on many characteristics, including</w:t>
      </w:r>
      <w:r w:rsidR="0080283D">
        <w:t xml:space="preserve"> </w:t>
      </w:r>
      <w:r w:rsidR="00EC36C5">
        <w:t>labour market outcomes (</w:t>
      </w:r>
      <w:r w:rsidRPr="002F054C">
        <w:t>LMOs</w:t>
      </w:r>
      <w:r w:rsidR="00EC36C5">
        <w:t>)</w:t>
      </w:r>
      <w:r w:rsidRPr="002F054C">
        <w:t xml:space="preserve">. </w:t>
      </w:r>
      <w:r>
        <w:t>The LMOs considered in this analysis</w:t>
      </w:r>
      <w:r w:rsidR="00744C95">
        <w:t xml:space="preserve"> — mainstream employment, </w:t>
      </w:r>
      <w:r w:rsidR="00EC36C5">
        <w:t>Community Development Employment Projects (</w:t>
      </w:r>
      <w:r w:rsidR="00744C95">
        <w:t>CDEP</w:t>
      </w:r>
      <w:r w:rsidR="00EC36C5">
        <w:t>)</w:t>
      </w:r>
      <w:r w:rsidR="00744C95">
        <w:t xml:space="preserve"> participation, unemployment and not in the lab</w:t>
      </w:r>
      <w:r w:rsidR="004046DB">
        <w:t xml:space="preserve">our force — are </w:t>
      </w:r>
      <w:r w:rsidR="000A34C4">
        <w:t>discrete (</w:t>
      </w:r>
      <w:r w:rsidR="004046DB">
        <w:t>non</w:t>
      </w:r>
      <w:r>
        <w:noBreakHyphen/>
      </w:r>
      <w:r w:rsidR="004046DB">
        <w:t>contin</w:t>
      </w:r>
      <w:r w:rsidR="004B526C">
        <w:t>u</w:t>
      </w:r>
      <w:r w:rsidR="004046DB">
        <w:t>ous</w:t>
      </w:r>
      <w:r w:rsidR="000A34C4">
        <w:t>)</w:t>
      </w:r>
      <w:r w:rsidR="00A97893">
        <w:t>,</w:t>
      </w:r>
      <w:r w:rsidR="004046DB">
        <w:t xml:space="preserve"> unordered </w:t>
      </w:r>
      <w:r>
        <w:t>(</w:t>
      </w:r>
      <w:r w:rsidR="0080283D" w:rsidRPr="002F054C">
        <w:t>for example</w:t>
      </w:r>
      <w:r w:rsidR="0080283D" w:rsidDel="0080283D">
        <w:t xml:space="preserve"> </w:t>
      </w:r>
      <w:r>
        <w:t>‘</w:t>
      </w:r>
      <w:r w:rsidRPr="002F054C">
        <w:t>not in</w:t>
      </w:r>
      <w:r>
        <w:t xml:space="preserve"> the labour force’</w:t>
      </w:r>
      <w:r w:rsidRPr="002F054C">
        <w:t xml:space="preserve"> is not ranked higher or lower than</w:t>
      </w:r>
      <w:r>
        <w:t xml:space="preserve"> being</w:t>
      </w:r>
      <w:r w:rsidRPr="002F054C">
        <w:t xml:space="preserve"> ‘unemployed’)</w:t>
      </w:r>
      <w:r>
        <w:t xml:space="preserve"> </w:t>
      </w:r>
      <w:r w:rsidR="00A97893">
        <w:t>and mutually exclusive</w:t>
      </w:r>
      <w:r w:rsidR="007F47D3">
        <w:t xml:space="preserve">. </w:t>
      </w:r>
      <w:r w:rsidR="003D048A">
        <w:t>There are t</w:t>
      </w:r>
      <w:r w:rsidR="00F237D8">
        <w:t>wo</w:t>
      </w:r>
      <w:r w:rsidR="004046DB">
        <w:t xml:space="preserve"> </w:t>
      </w:r>
      <w:r w:rsidR="003D048A">
        <w:t xml:space="preserve">possible </w:t>
      </w:r>
      <w:r w:rsidR="004046DB">
        <w:t>modelling options</w:t>
      </w:r>
      <w:r w:rsidR="0034752D">
        <w:t>:</w:t>
      </w:r>
      <w:r w:rsidR="00F237D8">
        <w:rPr>
          <w:rStyle w:val="FootnoteReference"/>
        </w:rPr>
        <w:footnoteReference w:id="2"/>
      </w:r>
      <w:r w:rsidR="004046DB">
        <w:t xml:space="preserve"> </w:t>
      </w:r>
    </w:p>
    <w:p w:rsidR="0034752D" w:rsidRDefault="004046DB" w:rsidP="0034752D">
      <w:pPr>
        <w:pStyle w:val="ListBullet"/>
      </w:pPr>
      <w:r>
        <w:t>estimate each outcome independently, using</w:t>
      </w:r>
      <w:r w:rsidR="004B526C">
        <w:t xml:space="preserve"> a set of four</w:t>
      </w:r>
      <w:r w:rsidR="0034752D">
        <w:t xml:space="preserve"> binary models</w:t>
      </w:r>
      <w:r>
        <w:t xml:space="preserve"> </w:t>
      </w:r>
    </w:p>
    <w:p w:rsidR="0034752D" w:rsidRDefault="004046DB" w:rsidP="0034752D">
      <w:pPr>
        <w:pStyle w:val="ListBullet"/>
      </w:pPr>
      <w:r>
        <w:t xml:space="preserve">estimate the four </w:t>
      </w:r>
      <w:r w:rsidR="0034752D">
        <w:t xml:space="preserve">outcomes </w:t>
      </w:r>
      <w:r w:rsidR="00827A4D">
        <w:t>in the same</w:t>
      </w:r>
      <w:r>
        <w:t xml:space="preserve"> multinomial model. </w:t>
      </w:r>
    </w:p>
    <w:p w:rsidR="004046DB" w:rsidRPr="00057268" w:rsidRDefault="00583F70" w:rsidP="0034752D">
      <w:pPr>
        <w:pStyle w:val="BodyText"/>
      </w:pPr>
      <w:r>
        <w:t xml:space="preserve">The </w:t>
      </w:r>
      <w:r w:rsidR="0001493D">
        <w:t xml:space="preserve">advantages </w:t>
      </w:r>
      <w:r>
        <w:t xml:space="preserve">of each approach are outlined in </w:t>
      </w:r>
      <w:smartTag w:uri="urn:schemas-microsoft-com:office:smarttags" w:element="Street">
        <w:r w:rsidR="0080283D">
          <w:t>b</w:t>
        </w:r>
        <w:r w:rsidR="004046DB">
          <w:t>ox</w:t>
        </w:r>
      </w:smartTag>
      <w:r w:rsidR="004046DB">
        <w:t> </w:t>
      </w:r>
      <w:r w:rsidR="00D6356D">
        <w:t>3.</w:t>
      </w:r>
      <w:r w:rsidR="002B15F1">
        <w:t>2</w:t>
      </w:r>
      <w:r w:rsidR="003D6291" w:rsidRPr="00057268">
        <w:t xml:space="preserve">. </w:t>
      </w:r>
    </w:p>
    <w:p w:rsidR="004046DB" w:rsidRDefault="004046DB">
      <w:pPr>
        <w:pStyle w:val="BoxSpac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4046DB">
        <w:tc>
          <w:tcPr>
            <w:tcW w:w="8771" w:type="dxa"/>
            <w:tcBorders>
              <w:top w:val="single" w:sz="6" w:space="0" w:color="auto"/>
              <w:bottom w:val="nil"/>
            </w:tcBorders>
          </w:tcPr>
          <w:p w:rsidR="004046DB" w:rsidRDefault="004046DB">
            <w:pPr>
              <w:pStyle w:val="BoxTitle"/>
            </w:pPr>
            <w:smartTag w:uri="urn:schemas-microsoft-com:office:smarttags" w:element="Street">
              <w:r>
                <w:rPr>
                  <w:b w:val="0"/>
                </w:rPr>
                <w:t>Box</w:t>
              </w:r>
            </w:smartTag>
            <w:r>
              <w:rPr>
                <w:b w:val="0"/>
              </w:rPr>
              <w:t xml:space="preserve"> </w:t>
            </w:r>
            <w:bookmarkStart w:id="4" w:name="OLE_LINK3"/>
            <w:r w:rsidR="00D6356D">
              <w:rPr>
                <w:b w:val="0"/>
              </w:rPr>
              <w:t>3.</w:t>
            </w:r>
            <w:bookmarkEnd w:id="4"/>
            <w:r w:rsidR="002B15F1">
              <w:rPr>
                <w:b w:val="0"/>
              </w:rPr>
              <w:t>2</w:t>
            </w:r>
            <w:r>
              <w:tab/>
            </w:r>
            <w:r w:rsidR="003D048A">
              <w:t>Comparing multinomial and</w:t>
            </w:r>
            <w:r>
              <w:t xml:space="preserve"> binary models</w:t>
            </w:r>
          </w:p>
        </w:tc>
      </w:tr>
      <w:tr w:rsidR="004046DB">
        <w:trPr>
          <w:cantSplit/>
        </w:trPr>
        <w:tc>
          <w:tcPr>
            <w:tcW w:w="8771" w:type="dxa"/>
            <w:tcBorders>
              <w:top w:val="nil"/>
              <w:left w:val="single" w:sz="6" w:space="0" w:color="auto"/>
              <w:bottom w:val="nil"/>
              <w:right w:val="single" w:sz="6" w:space="0" w:color="auto"/>
            </w:tcBorders>
          </w:tcPr>
          <w:p w:rsidR="00334D96" w:rsidRDefault="004046DB" w:rsidP="004046DB">
            <w:pPr>
              <w:pStyle w:val="Box"/>
            </w:pPr>
            <w:r>
              <w:t xml:space="preserve">The major </w:t>
            </w:r>
            <w:r w:rsidR="0001493D">
              <w:t xml:space="preserve">advantage </w:t>
            </w:r>
            <w:r>
              <w:t xml:space="preserve">of </w:t>
            </w:r>
            <w:r w:rsidR="009B5ED7">
              <w:t xml:space="preserve">the multinomial model </w:t>
            </w:r>
            <w:r w:rsidR="005A7561">
              <w:t xml:space="preserve">is that it </w:t>
            </w:r>
            <w:r w:rsidR="009B5ED7">
              <w:t xml:space="preserve">allows for consideration of </w:t>
            </w:r>
            <w:r w:rsidR="0080283D">
              <w:t xml:space="preserve">all </w:t>
            </w:r>
            <w:r w:rsidR="00736094">
              <w:t xml:space="preserve">labour </w:t>
            </w:r>
            <w:r w:rsidR="009B5ED7">
              <w:t xml:space="preserve">market outcomes </w:t>
            </w:r>
            <w:r w:rsidR="00EC36C5">
              <w:t xml:space="preserve">(LMOs) </w:t>
            </w:r>
            <w:r w:rsidR="009B5ED7">
              <w:t xml:space="preserve">jointly. </w:t>
            </w:r>
            <w:r w:rsidR="0080283D">
              <w:t>In</w:t>
            </w:r>
            <w:r w:rsidR="009B5ED7">
              <w:t xml:space="preserve"> a multinomial model, </w:t>
            </w:r>
            <w:r>
              <w:t>the</w:t>
            </w:r>
            <w:r w:rsidR="00334D96">
              <w:t xml:space="preserve"> sum of the</w:t>
            </w:r>
            <w:r w:rsidR="0028295C">
              <w:t xml:space="preserve"> predicted</w:t>
            </w:r>
            <w:r>
              <w:t xml:space="preserve"> </w:t>
            </w:r>
            <w:r w:rsidR="00334D96">
              <w:t xml:space="preserve">probabilities of the </w:t>
            </w:r>
            <w:r w:rsidR="00127953">
              <w:t>(</w:t>
            </w:r>
            <w:r w:rsidR="00334D96">
              <w:t>mutually exclu</w:t>
            </w:r>
            <w:r w:rsidR="005A6634">
              <w:t>sive</w:t>
            </w:r>
            <w:r w:rsidR="00EC36C5">
              <w:t>) LMOs</w:t>
            </w:r>
            <w:r w:rsidR="005A6634">
              <w:t xml:space="preserve"> equals o</w:t>
            </w:r>
            <w:r w:rsidR="00334D96">
              <w:t>ne</w:t>
            </w:r>
            <w:r w:rsidR="003D72C4">
              <w:t xml:space="preserve"> for </w:t>
            </w:r>
            <w:r w:rsidR="0080283D">
              <w:t>the base person</w:t>
            </w:r>
            <w:r w:rsidR="003D048A">
              <w:t>. This</w:t>
            </w:r>
            <w:r w:rsidR="00334D96">
              <w:t xml:space="preserve"> </w:t>
            </w:r>
            <w:r w:rsidR="005901D3">
              <w:t>is</w:t>
            </w:r>
            <w:r w:rsidR="009B7B71">
              <w:t xml:space="preserve"> not likely to hold</w:t>
            </w:r>
            <w:r w:rsidR="00334D96">
              <w:t xml:space="preserve"> when four</w:t>
            </w:r>
            <w:r w:rsidR="009C146A">
              <w:t xml:space="preserve"> sepa</w:t>
            </w:r>
            <w:r w:rsidR="003D72C4">
              <w:t>rate</w:t>
            </w:r>
            <w:r w:rsidR="00334D96">
              <w:t xml:space="preserve"> </w:t>
            </w:r>
            <w:r w:rsidR="005A6634">
              <w:t>binary models</w:t>
            </w:r>
            <w:r w:rsidR="00334D96">
              <w:t xml:space="preserve"> are estimated independently. </w:t>
            </w:r>
          </w:p>
          <w:p w:rsidR="004046DB" w:rsidRDefault="00334D96" w:rsidP="004046DB">
            <w:pPr>
              <w:pStyle w:val="Box"/>
            </w:pPr>
            <w:r>
              <w:t xml:space="preserve">Another </w:t>
            </w:r>
            <w:r w:rsidR="0001493D">
              <w:t xml:space="preserve">advantage </w:t>
            </w:r>
            <w:r>
              <w:t xml:space="preserve">is that the </w:t>
            </w:r>
            <w:r w:rsidR="004046DB">
              <w:t>results for each equation are directly comparable because the</w:t>
            </w:r>
            <w:r w:rsidR="0034752D">
              <w:t>y</w:t>
            </w:r>
            <w:r w:rsidR="004046DB">
              <w:t xml:space="preserve"> are based on the same sample of individuals (and therefore the values </w:t>
            </w:r>
            <w:r w:rsidR="0034752D">
              <w:t>at which the other variables are held</w:t>
            </w:r>
            <w:r w:rsidR="004046DB">
              <w:t xml:space="preserve"> a</w:t>
            </w:r>
            <w:r w:rsidR="0034752D">
              <w:t xml:space="preserve">re the same) and the parameters </w:t>
            </w:r>
            <w:r w:rsidR="004046DB">
              <w:t>of the model are estimated</w:t>
            </w:r>
            <w:r w:rsidR="00A97893">
              <w:t xml:space="preserve"> simultaneously</w:t>
            </w:r>
            <w:r w:rsidR="004046DB">
              <w:t xml:space="preserve">. </w:t>
            </w:r>
          </w:p>
          <w:p w:rsidR="004046DB" w:rsidRDefault="0034752D" w:rsidP="004046DB">
            <w:pPr>
              <w:pStyle w:val="Box"/>
            </w:pPr>
            <w:r>
              <w:t>However, e</w:t>
            </w:r>
            <w:r w:rsidR="004046DB">
              <w:t>stimating several regressions</w:t>
            </w:r>
            <w:r>
              <w:t xml:space="preserve"> </w:t>
            </w:r>
            <w:r w:rsidR="009B7B71">
              <w:t xml:space="preserve">simultaneously </w:t>
            </w:r>
            <w:r>
              <w:t>using a multinomial model</w:t>
            </w:r>
            <w:r w:rsidR="004046DB">
              <w:t xml:space="preserve"> </w:t>
            </w:r>
            <w:r w:rsidR="003D72C4">
              <w:t xml:space="preserve">requires </w:t>
            </w:r>
            <w:r w:rsidR="00127953">
              <w:t>consideration of whether or not the error terms in the equations move together (or co-vary</w:t>
            </w:r>
            <w:r w:rsidR="00EA1834">
              <w:t>).</w:t>
            </w:r>
          </w:p>
          <w:p w:rsidR="004046DB" w:rsidRDefault="004046DB" w:rsidP="004046DB">
            <w:pPr>
              <w:pStyle w:val="Box"/>
            </w:pPr>
            <w:r>
              <w:t xml:space="preserve">In practical </w:t>
            </w:r>
            <w:r w:rsidR="0034752D">
              <w:t xml:space="preserve">terms, </w:t>
            </w:r>
            <w:r w:rsidR="00BC7091">
              <w:t>multinomial models</w:t>
            </w:r>
            <w:r w:rsidR="0034752D">
              <w:t xml:space="preserve"> take more</w:t>
            </w:r>
            <w:r>
              <w:t xml:space="preserve"> time to estimate, and the</w:t>
            </w:r>
            <w:r w:rsidRPr="002F3A57">
              <w:t xml:space="preserve"> presentation and interpretation of </w:t>
            </w:r>
            <w:r w:rsidR="0034752D">
              <w:t>the results are more difficult because of</w:t>
            </w:r>
            <w:r w:rsidRPr="002F3A57">
              <w:t xml:space="preserve"> the </w:t>
            </w:r>
            <w:r>
              <w:t xml:space="preserve">greater complexity of the model. </w:t>
            </w:r>
            <w:r w:rsidR="0080283D">
              <w:t>D</w:t>
            </w:r>
            <w:r>
              <w:t>etermining whether</w:t>
            </w:r>
            <w:r w:rsidR="0034752D">
              <w:t xml:space="preserve"> or not</w:t>
            </w:r>
            <w:r>
              <w:t xml:space="preserve"> </w:t>
            </w:r>
            <w:r w:rsidR="0034752D">
              <w:t>a variable is significant</w:t>
            </w:r>
            <w:r>
              <w:t xml:space="preserve"> is </w:t>
            </w:r>
            <w:r w:rsidR="0080283D">
              <w:t xml:space="preserve">also </w:t>
            </w:r>
            <w:r>
              <w:t xml:space="preserve">complicated by the appearance of </w:t>
            </w:r>
            <w:r w:rsidRPr="002F3A57">
              <w:t>the same variable in multiple equations — the variable may be significant in one</w:t>
            </w:r>
            <w:r w:rsidR="007F47D3">
              <w:t xml:space="preserve"> equation</w:t>
            </w:r>
            <w:r w:rsidRPr="002F3A57">
              <w:t>, but not</w:t>
            </w:r>
            <w:r w:rsidR="003D72C4">
              <w:t xml:space="preserve"> in </w:t>
            </w:r>
            <w:r w:rsidR="00BC7091">
              <w:t>others</w:t>
            </w:r>
            <w:r w:rsidR="0034752D">
              <w:t xml:space="preserve">. </w:t>
            </w:r>
          </w:p>
        </w:tc>
      </w:tr>
      <w:tr w:rsidR="004046DB">
        <w:trPr>
          <w:cantSplit/>
        </w:trPr>
        <w:tc>
          <w:tcPr>
            <w:tcW w:w="8771" w:type="dxa"/>
            <w:tcBorders>
              <w:top w:val="nil"/>
              <w:left w:val="single" w:sz="6" w:space="0" w:color="auto"/>
              <w:bottom w:val="single" w:sz="6" w:space="0" w:color="auto"/>
              <w:right w:val="single" w:sz="6" w:space="0" w:color="auto"/>
            </w:tcBorders>
          </w:tcPr>
          <w:p w:rsidR="004046DB" w:rsidRDefault="004046DB">
            <w:pPr>
              <w:pStyle w:val="Box"/>
              <w:spacing w:before="0" w:line="120" w:lineRule="exact"/>
            </w:pPr>
          </w:p>
        </w:tc>
      </w:tr>
    </w:tbl>
    <w:p w:rsidR="001F710B" w:rsidRDefault="001F710B" w:rsidP="00253F81">
      <w:pPr>
        <w:pStyle w:val="BodyText"/>
      </w:pPr>
    </w:p>
    <w:p w:rsidR="00253F81" w:rsidRDefault="001F710B" w:rsidP="001F710B">
      <w:pPr>
        <w:pStyle w:val="BodyText"/>
      </w:pPr>
      <w:r>
        <w:br w:type="page"/>
      </w:r>
      <w:r w:rsidR="00253F81">
        <w:lastRenderedPageBreak/>
        <w:t>A simplified representation of the multinomial model is:</w:t>
      </w:r>
    </w:p>
    <w:p w:rsidR="00253F81" w:rsidRPr="007E5FB1" w:rsidRDefault="0027386C" w:rsidP="00253F81">
      <w:pPr>
        <w:pStyle w:val="BodyText"/>
      </w:pPr>
      <w:r>
        <w:rPr>
          <w:position w:val="-1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pt;height:17.6pt">
            <v:imagedata r:id="rId9" o:title=""/>
          </v:shape>
        </w:pict>
      </w:r>
      <w:r>
        <w:rPr>
          <w:position w:val="-12"/>
        </w:rPr>
        <w:pict>
          <v:shape id="_x0000_i1026" type="#_x0000_t75" style="width:368.45pt;height:18.4pt">
            <v:imagedata r:id="rId10" o:title=""/>
          </v:shape>
        </w:pict>
      </w:r>
      <w:r w:rsidR="00253F81">
        <w:t xml:space="preserve"> </w:t>
      </w:r>
    </w:p>
    <w:p w:rsidR="00253F81" w:rsidRDefault="00253F81" w:rsidP="00253F81">
      <w:pPr>
        <w:pStyle w:val="BodyText"/>
      </w:pPr>
      <w:r>
        <w:t>Where:</w:t>
      </w:r>
    </w:p>
    <w:p w:rsidR="00253F81" w:rsidRDefault="00253F81" w:rsidP="00253F81">
      <w:pPr>
        <w:pStyle w:val="ListBullet"/>
      </w:pPr>
      <w:r>
        <w:t>LMO</w:t>
      </w:r>
      <w:r w:rsidR="00264055">
        <w:t xml:space="preserve"> </w:t>
      </w:r>
      <w:r w:rsidR="00EC36C5">
        <w:t xml:space="preserve">is a vector of the </w:t>
      </w:r>
      <w:r>
        <w:t>four labour market outcomes (mainstream employment</w:t>
      </w:r>
      <w:r w:rsidR="005A7561">
        <w:t xml:space="preserve">, </w:t>
      </w:r>
      <w:r>
        <w:t xml:space="preserve">CDEP participation, unemployment </w:t>
      </w:r>
      <w:r w:rsidR="00127953">
        <w:t>and</w:t>
      </w:r>
      <w:r w:rsidR="00736094">
        <w:t xml:space="preserve"> </w:t>
      </w:r>
      <w:r>
        <w:t>not in the labour force)</w:t>
      </w:r>
    </w:p>
    <w:p w:rsidR="00253F81" w:rsidRDefault="00253F81" w:rsidP="00FD75FC">
      <w:pPr>
        <w:pStyle w:val="ListBullet"/>
      </w:pPr>
      <w:r>
        <w:t xml:space="preserve">Health is a vector of variables representing </w:t>
      </w:r>
      <w:r w:rsidR="00EC36C5">
        <w:t>self</w:t>
      </w:r>
      <w:r w:rsidR="00EC36C5">
        <w:noBreakHyphen/>
      </w:r>
      <w:r>
        <w:t>assessed health status</w:t>
      </w:r>
    </w:p>
    <w:p w:rsidR="007F47D3" w:rsidRDefault="00253F81" w:rsidP="00253F81">
      <w:pPr>
        <w:pStyle w:val="ListBullet"/>
      </w:pPr>
      <w:r>
        <w:t>Education is a vector of variables representing education</w:t>
      </w:r>
      <w:r w:rsidR="00EC36C5">
        <w:t>al</w:t>
      </w:r>
      <w:r>
        <w:t xml:space="preserve"> attainment</w:t>
      </w:r>
    </w:p>
    <w:p w:rsidR="00FD75FC" w:rsidRDefault="00FD75FC" w:rsidP="00253F81">
      <w:pPr>
        <w:pStyle w:val="ListBullet"/>
      </w:pPr>
      <w:r>
        <w:t>Personal is a vector of control factors, demographic and other characteristics (including variables such as age, marital status, labour force experience and locational factors)</w:t>
      </w:r>
    </w:p>
    <w:p w:rsidR="00253F81" w:rsidRDefault="00253F81" w:rsidP="00253F81">
      <w:pPr>
        <w:pStyle w:val="ListBullet"/>
      </w:pPr>
      <w:r>
        <w:t>Crime is a vector of variables representing history of imprisonment or arrest</w:t>
      </w:r>
    </w:p>
    <w:p w:rsidR="00253F81" w:rsidRPr="009C146A" w:rsidRDefault="00253F81" w:rsidP="00253F81">
      <w:pPr>
        <w:pStyle w:val="ListBullet"/>
      </w:pPr>
      <w:r w:rsidRPr="009C146A">
        <w:t>Othe</w:t>
      </w:r>
      <w:r w:rsidR="00DB3791" w:rsidRPr="009C146A">
        <w:t xml:space="preserve">r is a vector of </w:t>
      </w:r>
      <w:r w:rsidR="00705F41">
        <w:t xml:space="preserve">indicators relating to an individual’s </w:t>
      </w:r>
      <w:r w:rsidR="00DB3791" w:rsidRPr="009C146A">
        <w:t>social and cultural environment</w:t>
      </w:r>
      <w:r w:rsidR="00D26E41" w:rsidRPr="009C146A">
        <w:t xml:space="preserve"> </w:t>
      </w:r>
    </w:p>
    <w:p w:rsidR="0080283D" w:rsidRDefault="00EC36C5" w:rsidP="00253F81">
      <w:pPr>
        <w:pStyle w:val="ListBullet"/>
      </w:pPr>
      <w:r>
        <w:t xml:space="preserve">c </w:t>
      </w:r>
      <w:r w:rsidR="005901D3">
        <w:t xml:space="preserve">is a constant and </w:t>
      </w:r>
      <w:r w:rsidR="00253F81" w:rsidRPr="002878A6">
        <w:t>ε is the error (residual) term in the model</w:t>
      </w:r>
      <w:r w:rsidR="00DB3791">
        <w:t>.</w:t>
      </w:r>
      <w:r w:rsidR="0080283D" w:rsidRPr="0080283D">
        <w:t xml:space="preserve"> </w:t>
      </w:r>
    </w:p>
    <w:p w:rsidR="00253F81" w:rsidRDefault="00127953" w:rsidP="00127953">
      <w:pPr>
        <w:pStyle w:val="BodyText"/>
      </w:pPr>
      <w:r>
        <w:t xml:space="preserve">The choice of </w:t>
      </w:r>
      <w:r w:rsidR="0080283D" w:rsidRPr="009C146A">
        <w:t>explanatory variables in the model</w:t>
      </w:r>
      <w:r>
        <w:t xml:space="preserve"> is discussed in chapter</w:t>
      </w:r>
      <w:r w:rsidR="00057268">
        <w:t> </w:t>
      </w:r>
      <w:r>
        <w:t>4.</w:t>
      </w:r>
    </w:p>
    <w:p w:rsidR="007E5FB1" w:rsidRDefault="0080283D" w:rsidP="00253F81">
      <w:pPr>
        <w:pStyle w:val="Heading4"/>
      </w:pPr>
      <w:r>
        <w:t>P</w:t>
      </w:r>
      <w:r w:rsidR="000E54C7">
        <w:t xml:space="preserve">robit </w:t>
      </w:r>
      <w:r w:rsidR="0002501A">
        <w:t>or logit?</w:t>
      </w:r>
    </w:p>
    <w:p w:rsidR="0002501A" w:rsidRDefault="00DC25B0" w:rsidP="00E8256F">
      <w:pPr>
        <w:pStyle w:val="BodyText"/>
      </w:pPr>
      <w:r>
        <w:t xml:space="preserve">This analysis uses a multinomial model </w:t>
      </w:r>
      <w:r w:rsidR="000044AD">
        <w:t xml:space="preserve">in a </w:t>
      </w:r>
      <w:r>
        <w:t xml:space="preserve">similar </w:t>
      </w:r>
      <w:r w:rsidR="001239EB">
        <w:t>way</w:t>
      </w:r>
      <w:r w:rsidR="000044AD">
        <w:t xml:space="preserve"> to </w:t>
      </w:r>
      <w:r w:rsidR="00487104">
        <w:t>Biddle and Webster </w:t>
      </w:r>
      <w:r>
        <w:t xml:space="preserve">(2007), </w:t>
      </w:r>
      <w:r w:rsidR="000E3813">
        <w:t xml:space="preserve">Hunter and Gray (2001), and </w:t>
      </w:r>
      <w:r>
        <w:t>Stephens (</w:t>
      </w:r>
      <w:r w:rsidR="000E3813">
        <w:t>2010)</w:t>
      </w:r>
      <w:r>
        <w:t xml:space="preserve">. </w:t>
      </w:r>
      <w:r w:rsidR="0002501A">
        <w:t>In order to estimate a multinomial model, an assumption must be made about the distribution of the error term. If it can be assumed that the error terms of the fou</w:t>
      </w:r>
      <w:r w:rsidR="001239EB">
        <w:t>r equations are unrelated (zero-</w:t>
      </w:r>
      <w:r w:rsidR="0002501A">
        <w:t xml:space="preserve">covariance), the preferred model would be a multinomial </w:t>
      </w:r>
      <w:r w:rsidR="00851D2F">
        <w:t>logit (MNL) model</w:t>
      </w:r>
      <w:r w:rsidR="009C146A">
        <w:t>.</w:t>
      </w:r>
      <w:r w:rsidR="00D00781">
        <w:rPr>
          <w:rStyle w:val="FootnoteReference"/>
        </w:rPr>
        <w:footnoteReference w:id="3"/>
      </w:r>
      <w:r w:rsidR="009C146A">
        <w:t xml:space="preserve"> If this assumption is not appropriate</w:t>
      </w:r>
      <w:r w:rsidR="0002501A">
        <w:t>, a multinomial probit (MNP) model</w:t>
      </w:r>
      <w:r w:rsidR="00DB75AF">
        <w:t>,</w:t>
      </w:r>
      <w:r w:rsidR="0002501A">
        <w:t xml:space="preserve"> </w:t>
      </w:r>
      <w:r w:rsidR="00D00781">
        <w:t>which assumes the error term</w:t>
      </w:r>
      <w:r w:rsidR="005901D3">
        <w:t>s</w:t>
      </w:r>
      <w:r w:rsidR="00D00781">
        <w:t xml:space="preserve"> to be multivariate normal</w:t>
      </w:r>
      <w:r w:rsidR="00DB75AF">
        <w:t>,</w:t>
      </w:r>
      <w:r w:rsidR="00127953" w:rsidRPr="00127953">
        <w:t xml:space="preserve"> </w:t>
      </w:r>
      <w:r w:rsidR="00127953">
        <w:t>could be used</w:t>
      </w:r>
      <w:r w:rsidR="0002501A">
        <w:t xml:space="preserve">. </w:t>
      </w:r>
      <w:r w:rsidR="00E8256F">
        <w:t>A</w:t>
      </w:r>
      <w:r w:rsidR="00D00781">
        <w:t xml:space="preserve">llowing </w:t>
      </w:r>
      <w:r w:rsidR="00E8256F">
        <w:t xml:space="preserve">the </w:t>
      </w:r>
      <w:r w:rsidR="00D00781">
        <w:t xml:space="preserve">error terms to co-vary means that MNP models are often computationally more difficult to estimate </w:t>
      </w:r>
      <w:r w:rsidR="00E8256F">
        <w:t>using maximum likelihood estimation</w:t>
      </w:r>
      <w:r w:rsidR="005901D3" w:rsidRPr="005901D3">
        <w:t xml:space="preserve"> </w:t>
      </w:r>
      <w:r w:rsidR="005901D3">
        <w:t>than MNL</w:t>
      </w:r>
      <w:r w:rsidR="005901D3" w:rsidRPr="005901D3">
        <w:t xml:space="preserve"> </w:t>
      </w:r>
      <w:r w:rsidR="005901D3">
        <w:t>models</w:t>
      </w:r>
      <w:r w:rsidR="00D00781">
        <w:t>.</w:t>
      </w:r>
      <w:r w:rsidR="0002501A">
        <w:t xml:space="preserve"> </w:t>
      </w:r>
    </w:p>
    <w:p w:rsidR="0002501A" w:rsidRDefault="00DB75AF" w:rsidP="0002501A">
      <w:pPr>
        <w:pStyle w:val="BodyText"/>
      </w:pPr>
      <w:r>
        <w:t>T</w:t>
      </w:r>
      <w:r w:rsidR="0002501A">
        <w:t xml:space="preserve">he MNL model </w:t>
      </w:r>
      <w:r w:rsidR="00851D2F">
        <w:t xml:space="preserve">requires the assumption of </w:t>
      </w:r>
      <w:r w:rsidR="0002501A">
        <w:t>the Independence of Irreleva</w:t>
      </w:r>
      <w:r w:rsidR="00851D2F">
        <w:t>nt Alternatives (IIA)</w:t>
      </w:r>
      <w:r w:rsidR="0002501A">
        <w:t xml:space="preserve">. There are logic and statistical tests to determine the validity of </w:t>
      </w:r>
      <w:r w:rsidR="0002501A">
        <w:lastRenderedPageBreak/>
        <w:t xml:space="preserve">this assumption. While one </w:t>
      </w:r>
      <w:r>
        <w:t>statistical</w:t>
      </w:r>
      <w:r w:rsidR="00851D2F">
        <w:t xml:space="preserve"> test was conducted</w:t>
      </w:r>
      <w:r w:rsidR="005901D3">
        <w:t>,</w:t>
      </w:r>
      <w:r w:rsidR="00851D2F">
        <w:rPr>
          <w:rStyle w:val="FootnoteReference"/>
        </w:rPr>
        <w:footnoteReference w:id="4"/>
      </w:r>
      <w:r w:rsidR="00851D2F">
        <w:t xml:space="preserve"> </w:t>
      </w:r>
      <w:r w:rsidR="0002501A">
        <w:t>and indicated t</w:t>
      </w:r>
      <w:r w:rsidR="008C1373">
        <w:t xml:space="preserve">hat the IIA assumption </w:t>
      </w:r>
      <w:r w:rsidR="005A7561">
        <w:t xml:space="preserve">might be </w:t>
      </w:r>
      <w:r w:rsidR="008C1373">
        <w:t>appropriate</w:t>
      </w:r>
      <w:r w:rsidR="0002501A">
        <w:t xml:space="preserve">, Fry and Harris </w:t>
      </w:r>
      <w:r w:rsidR="0002501A" w:rsidRPr="00E35E1B">
        <w:t>(1998)</w:t>
      </w:r>
      <w:r w:rsidR="0002501A">
        <w:rPr>
          <w:color w:val="FF0000"/>
        </w:rPr>
        <w:t xml:space="preserve"> </w:t>
      </w:r>
      <w:r w:rsidR="00851D2F">
        <w:t>suggest that the test is biased towards this</w:t>
      </w:r>
      <w:r w:rsidR="0002501A">
        <w:t xml:space="preserve"> conclusion</w:t>
      </w:r>
      <w:r w:rsidR="00826205">
        <w:t>.</w:t>
      </w:r>
      <w:r w:rsidR="0002501A">
        <w:t xml:space="preserve"> Therefore, greater weight was placed on the logic test, which did not support the use of the </w:t>
      </w:r>
      <w:proofErr w:type="spellStart"/>
      <w:r w:rsidR="0002501A">
        <w:t>MNL</w:t>
      </w:r>
      <w:proofErr w:type="spellEnd"/>
      <w:r w:rsidR="0002501A">
        <w:t xml:space="preserve"> model (</w:t>
      </w:r>
      <w:smartTag w:uri="urn:schemas-microsoft-com:office:smarttags" w:element="Street">
        <w:r w:rsidR="0002501A">
          <w:t>box</w:t>
        </w:r>
      </w:smartTag>
      <w:r w:rsidR="00264055">
        <w:t> </w:t>
      </w:r>
      <w:r w:rsidR="002B15F1">
        <w:t>3.3</w:t>
      </w:r>
      <w:r w:rsidR="0002501A">
        <w:t>), and so a MNP model was used.</w:t>
      </w:r>
      <w:r w:rsidR="00C62E3E">
        <w:rPr>
          <w:rStyle w:val="FootnoteReference"/>
        </w:rPr>
        <w:footnoteReference w:id="5"/>
      </w:r>
      <w:r w:rsidR="0002501A">
        <w:t xml:space="preserve"> </w:t>
      </w:r>
    </w:p>
    <w:p w:rsidR="0002501A" w:rsidRDefault="0002501A" w:rsidP="0002501A">
      <w:pPr>
        <w:pStyle w:val="BoxSpac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02501A" w:rsidTr="0002501A">
        <w:tc>
          <w:tcPr>
            <w:tcW w:w="8771" w:type="dxa"/>
            <w:tcBorders>
              <w:top w:val="single" w:sz="6" w:space="0" w:color="auto"/>
              <w:bottom w:val="nil"/>
            </w:tcBorders>
          </w:tcPr>
          <w:p w:rsidR="0002501A" w:rsidRDefault="0002501A" w:rsidP="0002501A">
            <w:pPr>
              <w:pStyle w:val="BoxTitle"/>
            </w:pPr>
            <w:smartTag w:uri="urn:schemas-microsoft-com:office:smarttags" w:element="Street">
              <w:r>
                <w:rPr>
                  <w:b w:val="0"/>
                </w:rPr>
                <w:t>Box</w:t>
              </w:r>
            </w:smartTag>
            <w:r>
              <w:rPr>
                <w:b w:val="0"/>
              </w:rPr>
              <w:t xml:space="preserve"> </w:t>
            </w:r>
            <w:bookmarkStart w:id="5" w:name="OLE_LINK5"/>
            <w:r w:rsidR="00D6356D">
              <w:rPr>
                <w:b w:val="0"/>
              </w:rPr>
              <w:t>3.</w:t>
            </w:r>
            <w:bookmarkEnd w:id="5"/>
            <w:r w:rsidR="002B15F1">
              <w:rPr>
                <w:b w:val="0"/>
              </w:rPr>
              <w:t>3</w:t>
            </w:r>
            <w:r>
              <w:tab/>
              <w:t xml:space="preserve">The </w:t>
            </w:r>
            <w:proofErr w:type="spellStart"/>
            <w:r>
              <w:t>IIA</w:t>
            </w:r>
            <w:proofErr w:type="spellEnd"/>
            <w:r>
              <w:t xml:space="preserve"> assumption</w:t>
            </w:r>
          </w:p>
        </w:tc>
      </w:tr>
      <w:tr w:rsidR="0002501A" w:rsidTr="0002501A">
        <w:trPr>
          <w:cantSplit/>
        </w:trPr>
        <w:tc>
          <w:tcPr>
            <w:tcW w:w="8771" w:type="dxa"/>
            <w:tcBorders>
              <w:top w:val="nil"/>
              <w:left w:val="single" w:sz="6" w:space="0" w:color="auto"/>
              <w:bottom w:val="nil"/>
              <w:right w:val="single" w:sz="6" w:space="0" w:color="auto"/>
            </w:tcBorders>
          </w:tcPr>
          <w:p w:rsidR="0002501A" w:rsidRDefault="0002501A" w:rsidP="0002501A">
            <w:pPr>
              <w:pStyle w:val="Box"/>
            </w:pPr>
            <w:r>
              <w:t xml:space="preserve">The </w:t>
            </w:r>
            <w:r w:rsidR="000044AD">
              <w:t>Independence of Irrelevant Alternatives (</w:t>
            </w:r>
            <w:r>
              <w:t>IIA</w:t>
            </w:r>
            <w:r w:rsidR="000044AD">
              <w:t>) as</w:t>
            </w:r>
            <w:r>
              <w:t xml:space="preserve">sumption </w:t>
            </w:r>
            <w:r w:rsidR="000044AD">
              <w:t xml:space="preserve">is </w:t>
            </w:r>
            <w:r>
              <w:t xml:space="preserve">that the ratio of probabilities between outcomes does not change with the introduction of another choice. </w:t>
            </w:r>
            <w:r w:rsidR="0080283D">
              <w:t>I</w:t>
            </w:r>
            <w:r>
              <w:t xml:space="preserve">n other words, the </w:t>
            </w:r>
            <w:r w:rsidRPr="00FB766E">
              <w:rPr>
                <w:i/>
              </w:rPr>
              <w:t>relative</w:t>
            </w:r>
            <w:r>
              <w:t xml:space="preserve"> probability of one alternative does not depend on the existence of other alternatives.</w:t>
            </w:r>
          </w:p>
          <w:p w:rsidR="0002501A" w:rsidRDefault="0002501A" w:rsidP="0002501A">
            <w:pPr>
              <w:pStyle w:val="Box"/>
            </w:pPr>
            <w:r>
              <w:t>To investigate whether the IIA assumption is likely to hold in the context of this analysis, the following hypothetical situation is considered. Initially, the possible labour market outcomes for a particular group of people are mainstream employment, unemployment, or non</w:t>
            </w:r>
            <w:r>
              <w:noBreakHyphen/>
              <w:t xml:space="preserve">participation in the labour force. Then the option of participation in the CDEP scheme is introduced to this group. For IIA to hold it would be necessary for the ratio of probabilities for each outcome in the initial choice set to remain the same once CDEP becomes available. This would require that proportionally equal numbers of the group would move from each of the three labour market </w:t>
            </w:r>
            <w:r w:rsidR="000044AD">
              <w:t xml:space="preserve">outcomes </w:t>
            </w:r>
            <w:r>
              <w:t xml:space="preserve">into CDEP employment. </w:t>
            </w:r>
          </w:p>
          <w:p w:rsidR="0002501A" w:rsidRDefault="0002501A" w:rsidP="0002501A">
            <w:pPr>
              <w:pStyle w:val="Box"/>
            </w:pPr>
            <w:r>
              <w:t xml:space="preserve">However, there is reason to believe that this might not happen. According to Stephens (2010), the characteristics of Indigenous people who are unemployed and the characteristics of those participating in the CDEP scheme are similar. This would indicate that a disproportionately large number of people would transition from unemployment to CDEP </w:t>
            </w:r>
            <w:r w:rsidR="008C1373">
              <w:t>when CDEP is added to</w:t>
            </w:r>
            <w:r>
              <w:t xml:space="preserve"> the choice set. Some people who are not in the labour force may also transition, but it is unlikely that many in mainstream employment would do so. If this is true, it would invalidate the IIA assumption in the context of this </w:t>
            </w:r>
            <w:r w:rsidR="000044AD">
              <w:t>analysis</w:t>
            </w:r>
            <w:r>
              <w:t>, and potentially weaken any conclusions drawn from the estimation of a MNL model.</w:t>
            </w:r>
          </w:p>
        </w:tc>
      </w:tr>
      <w:tr w:rsidR="0002501A" w:rsidTr="0002501A">
        <w:trPr>
          <w:cantSplit/>
        </w:trPr>
        <w:tc>
          <w:tcPr>
            <w:tcW w:w="8771" w:type="dxa"/>
            <w:tcBorders>
              <w:top w:val="nil"/>
              <w:left w:val="single" w:sz="6" w:space="0" w:color="auto"/>
              <w:bottom w:val="single" w:sz="6" w:space="0" w:color="auto"/>
              <w:right w:val="single" w:sz="6" w:space="0" w:color="auto"/>
            </w:tcBorders>
          </w:tcPr>
          <w:p w:rsidR="0002501A" w:rsidRDefault="0002501A" w:rsidP="0002501A">
            <w:pPr>
              <w:pStyle w:val="Box"/>
              <w:spacing w:before="0" w:line="120" w:lineRule="exact"/>
            </w:pPr>
          </w:p>
        </w:tc>
      </w:tr>
    </w:tbl>
    <w:p w:rsidR="00236DA6" w:rsidRDefault="00D6356D" w:rsidP="0043755F">
      <w:pPr>
        <w:pStyle w:val="Heading2"/>
      </w:pPr>
      <w:r>
        <w:t>3.</w:t>
      </w:r>
      <w:r w:rsidR="009C6C5E">
        <w:rPr>
          <w:noProof/>
        </w:rPr>
        <w:t>3</w:t>
      </w:r>
      <w:r w:rsidR="00C63264">
        <w:tab/>
      </w:r>
      <w:r w:rsidR="00DB3791">
        <w:t>Interpretation of results</w:t>
      </w:r>
      <w:r w:rsidR="005A7561">
        <w:t xml:space="preserve"> </w:t>
      </w:r>
    </w:p>
    <w:p w:rsidR="007F6C8B" w:rsidRDefault="00A763A0" w:rsidP="007F6C8B">
      <w:pPr>
        <w:pStyle w:val="BodyText"/>
      </w:pPr>
      <w:r>
        <w:t>M</w:t>
      </w:r>
      <w:r w:rsidR="00AA57F8">
        <w:t>ultinomial models are non-linear in the parameters</w:t>
      </w:r>
      <w:r w:rsidR="008C1373">
        <w:t xml:space="preserve"> </w:t>
      </w:r>
      <w:r w:rsidR="00AA57F8">
        <w:t>and therefore coefficients ar</w:t>
      </w:r>
      <w:r w:rsidR="001D7040">
        <w:t>e not readily interpretable.</w:t>
      </w:r>
      <w:r>
        <w:t xml:space="preserve"> It is more common to report the</w:t>
      </w:r>
      <w:r w:rsidR="00AA57F8">
        <w:t xml:space="preserve"> marginal effects</w:t>
      </w:r>
      <w:r>
        <w:t xml:space="preserve"> of </w:t>
      </w:r>
      <w:r>
        <w:lastRenderedPageBreak/>
        <w:t>variables</w:t>
      </w:r>
      <w:r w:rsidR="001D7040">
        <w:t>, which are</w:t>
      </w:r>
      <w:r>
        <w:t xml:space="preserve"> </w:t>
      </w:r>
      <w:r w:rsidR="00AA57F8">
        <w:t xml:space="preserve">derived </w:t>
      </w:r>
      <w:r w:rsidR="0080283D">
        <w:t>from the</w:t>
      </w:r>
      <w:r w:rsidR="00AA57F8">
        <w:t xml:space="preserve"> estimated coefficients and predicted probabilities. </w:t>
      </w:r>
    </w:p>
    <w:p w:rsidR="000B366E" w:rsidRDefault="000B366E" w:rsidP="000B366E">
      <w:pPr>
        <w:pStyle w:val="BodyText"/>
      </w:pPr>
      <w:r w:rsidRPr="006A0EA5">
        <w:rPr>
          <w:i/>
        </w:rPr>
        <w:t>Base predicted probability</w:t>
      </w:r>
      <w:r w:rsidR="00006CAD">
        <w:t> — </w:t>
      </w:r>
      <w:r w:rsidR="0080283D">
        <w:t>t</w:t>
      </w:r>
      <w:r>
        <w:t xml:space="preserve">he probability of a ‘base person’ (described in </w:t>
      </w:r>
      <w:smartTag w:uri="urn:schemas-microsoft-com:office:smarttags" w:element="PlaceName">
        <w:smartTag w:uri="urn:schemas-microsoft-com:office:smarttags" w:element="PlaceName">
          <w:smartTag w:uri="urn:schemas-microsoft-com:office:smarttags" w:element="Street">
            <w:r>
              <w:t>box</w:t>
            </w:r>
          </w:smartTag>
          <w:r w:rsidR="00006CAD">
            <w:t> 3</w:t>
          </w:r>
        </w:smartTag>
        <w:r w:rsidR="00006CAD">
          <w:t>.</w:t>
        </w:r>
        <w:r w:rsidR="002B15F1">
          <w:t>4</w:t>
        </w:r>
      </w:smartTag>
      <w:r>
        <w:t>)</w:t>
      </w:r>
      <w:r w:rsidRPr="00A27CE1">
        <w:t xml:space="preserve"> </w:t>
      </w:r>
      <w:r>
        <w:t xml:space="preserve">being in a particular LMO. The base person in this study is </w:t>
      </w:r>
      <w:r w:rsidRPr="006C2C15">
        <w:t xml:space="preserve">someone who </w:t>
      </w:r>
      <w:r>
        <w:t xml:space="preserve">is 37 years old, </w:t>
      </w:r>
      <w:r w:rsidRPr="006C2C15">
        <w:t>is married, lives in a non-remote area, is in good health, has a year</w:t>
      </w:r>
      <w:r>
        <w:t> </w:t>
      </w:r>
      <w:r w:rsidRPr="006C2C15">
        <w:t>10 or 11 education and no non-school qualifications, has not been arrested in the last five years and has never been i</w:t>
      </w:r>
      <w:r>
        <w:t>n jail.</w:t>
      </w:r>
    </w:p>
    <w:p w:rsidR="009C6C5E" w:rsidRDefault="009C6C5E" w:rsidP="009C6C5E">
      <w:pPr>
        <w:pStyle w:val="BodyText"/>
      </w:pPr>
      <w:r w:rsidRPr="006A0EA5">
        <w:rPr>
          <w:i/>
        </w:rPr>
        <w:t>Marginal effects</w:t>
      </w:r>
      <w:r>
        <w:t> — </w:t>
      </w:r>
      <w:r w:rsidRPr="002F054C">
        <w:t xml:space="preserve">the change in the value of </w:t>
      </w:r>
      <w:r>
        <w:t>a</w:t>
      </w:r>
      <w:r w:rsidRPr="002F054C">
        <w:t xml:space="preserve"> dependent variable (in this case, the </w:t>
      </w:r>
      <w:r>
        <w:t xml:space="preserve">base predicted </w:t>
      </w:r>
      <w:r w:rsidRPr="002F054C">
        <w:t xml:space="preserve">probability of a </w:t>
      </w:r>
      <w:proofErr w:type="spellStart"/>
      <w:r>
        <w:t>LMO</w:t>
      </w:r>
      <w:proofErr w:type="spellEnd"/>
      <w:r w:rsidRPr="002F054C">
        <w:t xml:space="preserve">) that </w:t>
      </w:r>
      <w:r>
        <w:t xml:space="preserve">is associated with </w:t>
      </w:r>
      <w:r w:rsidRPr="002F054C">
        <w:t>a</w:t>
      </w:r>
      <w:r>
        <w:t xml:space="preserve"> marginal </w:t>
      </w:r>
      <w:r w:rsidRPr="002F054C">
        <w:t>change in an explanatory variable, holding all other explanatory variables constant. The results are presented as percentage point changes</w:t>
      </w:r>
      <w:r>
        <w:t xml:space="preserve"> relative to the base predicted probability</w:t>
      </w:r>
      <w:r w:rsidRPr="002F054C">
        <w:t xml:space="preserve">. </w:t>
      </w:r>
    </w:p>
    <w:p w:rsidR="009C6C5E" w:rsidRDefault="009C6C5E" w:rsidP="009C6C5E">
      <w:pPr>
        <w:pStyle w:val="BodyText"/>
      </w:pPr>
      <w:r w:rsidRPr="00DB01CA">
        <w:t>Marginal effects are</w:t>
      </w:r>
      <w:r>
        <w:t xml:space="preserve"> generally</w:t>
      </w:r>
      <w:r w:rsidRPr="00DB01CA">
        <w:t xml:space="preserve"> calculated with continuous variables held at mean values and binary variables held at the mode (most common) values</w:t>
      </w:r>
      <w:r>
        <w:t>, consistent with the characteristics of the base person.</w:t>
      </w:r>
      <w:r>
        <w:rPr>
          <w:rStyle w:val="FootnoteReference"/>
        </w:rPr>
        <w:footnoteReference w:id="6"/>
      </w:r>
      <w:r>
        <w:t xml:space="preserve"> </w:t>
      </w:r>
    </w:p>
    <w:p w:rsidR="009C6C5E" w:rsidRDefault="009C6C5E" w:rsidP="009C6C5E">
      <w:pPr>
        <w:pStyle w:val="BodyText"/>
      </w:pPr>
      <w:r>
        <w:t>In interpreting the marginal effects, the following approaches were used:</w:t>
      </w:r>
    </w:p>
    <w:p w:rsidR="009C6C5E" w:rsidRDefault="009C6C5E" w:rsidP="009C6C5E">
      <w:pPr>
        <w:pStyle w:val="ListBullet"/>
      </w:pPr>
      <w:r w:rsidRPr="00DB01CA">
        <w:t>For binary variables</w:t>
      </w:r>
      <w:r>
        <w:t>,</w:t>
      </w:r>
      <w:r w:rsidRPr="00DB01CA">
        <w:t xml:space="preserve"> other than the education variables, the marginal effects represent the percentage point change in probability of a </w:t>
      </w:r>
      <w:proofErr w:type="spellStart"/>
      <w:r>
        <w:t>LMO</w:t>
      </w:r>
      <w:proofErr w:type="spellEnd"/>
      <w:r>
        <w:t xml:space="preserve"> associated with a change in a characteristic variable </w:t>
      </w:r>
      <w:r w:rsidRPr="00DB01CA">
        <w:t>from ‘0’ to ‘1’, holding the value of all other explanatory variables constant.</w:t>
      </w:r>
      <w:r>
        <w:rPr>
          <w:rStyle w:val="FootnoteReference"/>
        </w:rPr>
        <w:footnoteReference w:id="7"/>
      </w:r>
      <w:r w:rsidRPr="00DB01CA">
        <w:t xml:space="preserve"> </w:t>
      </w:r>
    </w:p>
    <w:p w:rsidR="009C6C5E" w:rsidRDefault="009C6C5E" w:rsidP="009C6C5E">
      <w:pPr>
        <w:pStyle w:val="ListBullet"/>
      </w:pPr>
      <w:r w:rsidRPr="00DB01CA">
        <w:t xml:space="preserve">For the education variables, the marginal effects represent the percentage point change in the probability of a </w:t>
      </w:r>
      <w:proofErr w:type="spellStart"/>
      <w:r>
        <w:t>LMO</w:t>
      </w:r>
      <w:proofErr w:type="spellEnd"/>
      <w:r w:rsidRPr="00DB01CA">
        <w:t xml:space="preserve"> associated with an increase in education compared to having year 10 or 11 but no non-school qualification, holding the value of all other explanatory variables constant.</w:t>
      </w:r>
    </w:p>
    <w:p w:rsidR="009C6C5E" w:rsidRDefault="009C6C5E" w:rsidP="009C6C5E">
      <w:pPr>
        <w:pStyle w:val="ListBullet"/>
      </w:pPr>
      <w:r w:rsidRPr="0091502F">
        <w:lastRenderedPageBreak/>
        <w:t xml:space="preserve">For </w:t>
      </w:r>
      <w:r>
        <w:t xml:space="preserve">the </w:t>
      </w:r>
      <w:r w:rsidRPr="0091502F">
        <w:t xml:space="preserve">continuous variables, the marginal effects represent the percentage point change in the probability of a </w:t>
      </w:r>
      <w:proofErr w:type="spellStart"/>
      <w:r>
        <w:t>LMO</w:t>
      </w:r>
      <w:proofErr w:type="spellEnd"/>
      <w:r>
        <w:t xml:space="preserve"> associated with a </w:t>
      </w:r>
      <w:r w:rsidRPr="0091502F">
        <w:t xml:space="preserve">small increase in the variable from its mean value, holding the value of all other explanatory variables constant (known as the instantaneous rate of change in the </w:t>
      </w:r>
      <w:r w:rsidRPr="00057268">
        <w:t xml:space="preserve">predicted probability </w:t>
      </w:r>
    </w:p>
    <w:p w:rsidR="009308F0" w:rsidRPr="00057268" w:rsidRDefault="009308F0" w:rsidP="009308F0">
      <w:pPr>
        <w:pStyle w:val="ListBullet"/>
      </w:pPr>
      <w:r w:rsidRPr="00057268">
        <w:t xml:space="preserve">associated with the explanatory variable). These values are reported in the appendix (tables </w:t>
      </w:r>
      <w:proofErr w:type="spellStart"/>
      <w:r w:rsidRPr="00057268">
        <w:t>A.3</w:t>
      </w:r>
      <w:proofErr w:type="spellEnd"/>
      <w:r w:rsidRPr="00057268">
        <w:t xml:space="preserve"> and </w:t>
      </w:r>
      <w:proofErr w:type="spellStart"/>
      <w:r w:rsidRPr="00057268">
        <w:t>A.4</w:t>
      </w:r>
      <w:proofErr w:type="spellEnd"/>
      <w:r w:rsidRPr="00057268">
        <w:t xml:space="preserve">). </w:t>
      </w:r>
    </w:p>
    <w:p w:rsidR="009308F0" w:rsidRPr="00057268" w:rsidRDefault="009308F0" w:rsidP="009308F0">
      <w:pPr>
        <w:pStyle w:val="ListBullet"/>
      </w:pPr>
      <w:r w:rsidRPr="00057268">
        <w:t>For age and work experience, a squared term is included to account for a non</w:t>
      </w:r>
      <w:r w:rsidRPr="00057268">
        <w:noBreakHyphen/>
        <w:t xml:space="preserve">linear relationship with </w:t>
      </w:r>
      <w:proofErr w:type="spellStart"/>
      <w:r w:rsidRPr="00057268">
        <w:t>LMOs</w:t>
      </w:r>
      <w:proofErr w:type="spellEnd"/>
      <w:r w:rsidRPr="00057268">
        <w:t xml:space="preserve">. </w:t>
      </w:r>
    </w:p>
    <w:p w:rsidR="009308F0" w:rsidRPr="00921448" w:rsidRDefault="009308F0" w:rsidP="009308F0">
      <w:pPr>
        <w:pStyle w:val="ListBullet2"/>
      </w:pPr>
      <w:r w:rsidRPr="00057268">
        <w:t>For work experience, the total marginal effect was calculated as a one year increase from the 25th percentile, mean and 75th percentile values to facilitate the interpretation of these results</w:t>
      </w:r>
      <w:r w:rsidRPr="00921448">
        <w:t>.</w:t>
      </w:r>
    </w:p>
    <w:p w:rsidR="009308F0" w:rsidRPr="002F054C" w:rsidRDefault="009308F0" w:rsidP="009308F0">
      <w:pPr>
        <w:pStyle w:val="Heading4"/>
      </w:pPr>
      <w:r>
        <w:t>Statistical significance</w:t>
      </w:r>
    </w:p>
    <w:p w:rsidR="009308F0" w:rsidRDefault="009308F0" w:rsidP="009308F0">
      <w:pPr>
        <w:pStyle w:val="BodyText"/>
      </w:pPr>
      <w:r>
        <w:t>Statistical significance tests are used to gauge the reliability of estimates. In the results tables, t</w:t>
      </w:r>
      <w:r w:rsidRPr="002F054C">
        <w:t>he stars next to the estimated marginal effects represent the level of statistical significance</w:t>
      </w:r>
      <w:r>
        <w:t xml:space="preserve"> based on individual Wald tests</w:t>
      </w:r>
      <w:r w:rsidRPr="002F054C">
        <w:t>.</w:t>
      </w:r>
      <w:r>
        <w:t xml:space="preserve"> </w:t>
      </w:r>
      <w:r w:rsidRPr="002F054C">
        <w:t>(In the attachment tables, the standard errors are also reported.) One, two and three stars represent significance at the 10, 5 and 1</w:t>
      </w:r>
      <w:r>
        <w:t> </w:t>
      </w:r>
      <w:r w:rsidRPr="002F054C">
        <w:t>per</w:t>
      </w:r>
      <w:r>
        <w:t> </w:t>
      </w:r>
      <w:r w:rsidRPr="002F054C">
        <w:t>cent levels, respectively</w:t>
      </w:r>
      <w:r>
        <w:t>.</w:t>
      </w:r>
      <w:r>
        <w:rPr>
          <w:rStyle w:val="FootnoteReference"/>
        </w:rPr>
        <w:footnoteReference w:id="8"/>
      </w:r>
      <w:r w:rsidRPr="002F054C">
        <w:t xml:space="preserve"> </w:t>
      </w:r>
      <w:r>
        <w:t xml:space="preserve">In the charts, error bars indicate 95 per cent confidence intervals for the estimates.  </w:t>
      </w:r>
    </w:p>
    <w:p w:rsidR="009308F0" w:rsidRDefault="009308F0" w:rsidP="009308F0">
      <w:pPr>
        <w:pStyle w:val="BodyText"/>
      </w:pPr>
      <w:r w:rsidRPr="002F054C">
        <w:t xml:space="preserve">If an explanatory variable is determined </w:t>
      </w:r>
      <w:r>
        <w:t xml:space="preserve">not </w:t>
      </w:r>
      <w:r w:rsidRPr="002F054C">
        <w:t>to be statistically significant (</w:t>
      </w:r>
      <w:r>
        <w:t xml:space="preserve">for example, for some of the results with </w:t>
      </w:r>
      <w:r w:rsidRPr="002F054C">
        <w:t>no stars) it does not necessarily mean that there is no relationship between the variables</w:t>
      </w:r>
      <w:r>
        <w:t xml:space="preserve">. Rather, </w:t>
      </w:r>
      <w:r w:rsidRPr="002F054C">
        <w:t>there is not sufficient evidence</w:t>
      </w:r>
      <w:r>
        <w:t>,</w:t>
      </w:r>
      <w:r w:rsidRPr="002F054C">
        <w:t xml:space="preserve"> based on the survey sample</w:t>
      </w:r>
      <w:r>
        <w:t>, to indicate</w:t>
      </w:r>
      <w:r w:rsidRPr="002F054C">
        <w:t xml:space="preserve"> that a relationship exists. </w:t>
      </w:r>
      <w:r>
        <w:t>For example, i</w:t>
      </w:r>
      <w:r w:rsidRPr="002F054C">
        <w:t>f there are relatively few people in a sample with a particular characteristic, or in a particular outcome category, it may be difficult to detect a</w:t>
      </w:r>
      <w:r>
        <w:t xml:space="preserve"> statistically significant</w:t>
      </w:r>
      <w:r w:rsidRPr="002F054C">
        <w:t xml:space="preserve"> association </w:t>
      </w:r>
      <w:r>
        <w:t>between variables</w:t>
      </w:r>
      <w:r w:rsidRPr="002F054C">
        <w:t>. This is</w:t>
      </w:r>
      <w:r>
        <w:t xml:space="preserve"> particularly an issue for the </w:t>
      </w:r>
      <w:proofErr w:type="spellStart"/>
      <w:r>
        <w:t>CDEP</w:t>
      </w:r>
      <w:proofErr w:type="spellEnd"/>
      <w:r>
        <w:t xml:space="preserve"> and unemployment outcomes in this model, because the number of people in these categories in the data set is relatively small.</w:t>
      </w:r>
    </w:p>
    <w:p w:rsidR="009308F0" w:rsidRPr="00C63264" w:rsidRDefault="009308F0" w:rsidP="009308F0">
      <w:pPr>
        <w:pStyle w:val="Heading2"/>
      </w:pPr>
      <w:r>
        <w:t>3.</w:t>
      </w:r>
      <w:r>
        <w:rPr>
          <w:noProof/>
        </w:rPr>
        <w:t>4</w:t>
      </w:r>
      <w:r>
        <w:tab/>
        <w:t>Econometric issues</w:t>
      </w:r>
    </w:p>
    <w:p w:rsidR="009308F0" w:rsidRDefault="009308F0" w:rsidP="009308F0">
      <w:pPr>
        <w:pStyle w:val="BodyText"/>
      </w:pPr>
      <w:r>
        <w:t xml:space="preserve">The regression results provide estimates of the sign and magnitude of relationships between the </w:t>
      </w:r>
      <w:proofErr w:type="spellStart"/>
      <w:r>
        <w:t>LMOs</w:t>
      </w:r>
      <w:proofErr w:type="spellEnd"/>
      <w:r>
        <w:t xml:space="preserve"> and the explanatory variables. However, several qualifications need to be understood in interpreting and using the results of these kinds of models. </w:t>
      </w:r>
    </w:p>
    <w:p w:rsidR="000044AD" w:rsidRDefault="000044AD">
      <w:pPr>
        <w:pStyle w:val="BoxSpac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0044AD">
        <w:tc>
          <w:tcPr>
            <w:tcW w:w="8771" w:type="dxa"/>
            <w:tcBorders>
              <w:top w:val="single" w:sz="6" w:space="0" w:color="auto"/>
              <w:bottom w:val="nil"/>
            </w:tcBorders>
          </w:tcPr>
          <w:p w:rsidR="000044AD" w:rsidRDefault="000044AD">
            <w:pPr>
              <w:pStyle w:val="BoxTitle"/>
            </w:pPr>
            <w:smartTag w:uri="urn:schemas-microsoft-com:office:smarttags" w:element="Street">
              <w:r>
                <w:rPr>
                  <w:b w:val="0"/>
                </w:rPr>
                <w:t>Box</w:t>
              </w:r>
            </w:smartTag>
            <w:r>
              <w:rPr>
                <w:b w:val="0"/>
              </w:rPr>
              <w:t xml:space="preserve"> 3.</w:t>
            </w:r>
            <w:r w:rsidR="002B15F1">
              <w:rPr>
                <w:b w:val="0"/>
              </w:rPr>
              <w:t>4</w:t>
            </w:r>
            <w:r>
              <w:tab/>
              <w:t>Characteristics of the base person</w:t>
            </w:r>
          </w:p>
        </w:tc>
      </w:tr>
      <w:tr w:rsidR="000044AD">
        <w:trPr>
          <w:cantSplit/>
        </w:trPr>
        <w:tc>
          <w:tcPr>
            <w:tcW w:w="8771" w:type="dxa"/>
            <w:tcBorders>
              <w:top w:val="nil"/>
              <w:left w:val="single" w:sz="6" w:space="0" w:color="auto"/>
              <w:bottom w:val="nil"/>
              <w:right w:val="single" w:sz="6" w:space="0" w:color="auto"/>
            </w:tcBorders>
          </w:tcPr>
          <w:p w:rsidR="000044AD" w:rsidRDefault="000044AD" w:rsidP="000044AD">
            <w:pPr>
              <w:pStyle w:val="Box"/>
            </w:pPr>
            <w:r>
              <w:t xml:space="preserve">In this analysis, the characteristics of the base person were chosen so that they would be most representative of the NATSISS sample. The base person: </w:t>
            </w:r>
          </w:p>
          <w:p w:rsidR="000044AD" w:rsidRDefault="000044AD" w:rsidP="000044AD">
            <w:pPr>
              <w:pStyle w:val="BoxListBullet"/>
            </w:pPr>
            <w:r>
              <w:t>is around 37 years old</w:t>
            </w:r>
          </w:p>
          <w:p w:rsidR="000044AD" w:rsidRDefault="000044AD" w:rsidP="000044AD">
            <w:pPr>
              <w:pStyle w:val="BoxListBullet"/>
            </w:pPr>
            <w:r>
              <w:t>is married</w:t>
            </w:r>
            <w:r>
              <w:rPr>
                <w:rStyle w:val="FootnoteReference"/>
              </w:rPr>
              <w:footnoteReference w:id="9"/>
            </w:r>
          </w:p>
          <w:p w:rsidR="000044AD" w:rsidRDefault="000044AD" w:rsidP="000044AD">
            <w:pPr>
              <w:pStyle w:val="BoxListBullet"/>
            </w:pPr>
            <w:r>
              <w:t>has 1.2 dependent children (for women), and 0.8 (for men)</w:t>
            </w:r>
          </w:p>
          <w:p w:rsidR="000044AD" w:rsidRDefault="000044AD" w:rsidP="000044AD">
            <w:pPr>
              <w:pStyle w:val="BoxListBullet"/>
            </w:pPr>
            <w:r>
              <w:t>lives in a single family household</w:t>
            </w:r>
          </w:p>
          <w:p w:rsidR="000044AD" w:rsidRDefault="000044AD" w:rsidP="000044AD">
            <w:pPr>
              <w:pStyle w:val="BoxListBullet"/>
            </w:pPr>
            <w:r>
              <w:t>lives in a non-remote area</w:t>
            </w:r>
          </w:p>
          <w:p w:rsidR="000044AD" w:rsidRDefault="000044AD" w:rsidP="000044AD">
            <w:pPr>
              <w:pStyle w:val="BoxListBullet"/>
            </w:pPr>
            <w:r>
              <w:t xml:space="preserve">does not live in </w:t>
            </w:r>
            <w:r w:rsidR="0081417C">
              <w:t>his/her</w:t>
            </w:r>
            <w:r>
              <w:t xml:space="preserve"> homelands</w:t>
            </w:r>
          </w:p>
          <w:p w:rsidR="000044AD" w:rsidRDefault="000044AD" w:rsidP="000044AD">
            <w:pPr>
              <w:pStyle w:val="BoxListBullet"/>
            </w:pPr>
            <w:r>
              <w:t>lives in a household located in an area with a low SEIFA index of relative disadvantage (in decile 3)</w:t>
            </w:r>
          </w:p>
          <w:p w:rsidR="000044AD" w:rsidRDefault="000044AD" w:rsidP="000044AD">
            <w:pPr>
              <w:pStyle w:val="BoxListBullet"/>
            </w:pPr>
            <w:r>
              <w:t>has no difficulty communicating in English</w:t>
            </w:r>
          </w:p>
          <w:p w:rsidR="000044AD" w:rsidRDefault="000044AD" w:rsidP="000044AD">
            <w:pPr>
              <w:pStyle w:val="BoxListBullet"/>
            </w:pPr>
            <w:r>
              <w:t>is in good general health</w:t>
            </w:r>
          </w:p>
          <w:p w:rsidR="000044AD" w:rsidRDefault="000044AD" w:rsidP="000044AD">
            <w:pPr>
              <w:pStyle w:val="BoxListBullet"/>
            </w:pPr>
            <w:r>
              <w:t>has low levels of psychological distress</w:t>
            </w:r>
          </w:p>
          <w:p w:rsidR="000044AD" w:rsidRDefault="000044AD" w:rsidP="000044AD">
            <w:pPr>
              <w:pStyle w:val="BoxListBullet"/>
            </w:pPr>
            <w:r>
              <w:t>does not have a severe or profound disability</w:t>
            </w:r>
          </w:p>
          <w:p w:rsidR="000044AD" w:rsidRDefault="000044AD" w:rsidP="000044AD">
            <w:pPr>
              <w:pStyle w:val="BoxListBullet"/>
            </w:pPr>
            <w:r>
              <w:t>has a year 10 or year 11 education and no non-school qualification</w:t>
            </w:r>
          </w:p>
          <w:p w:rsidR="000044AD" w:rsidRDefault="000044AD" w:rsidP="000044AD">
            <w:pPr>
              <w:pStyle w:val="BoxListBullet"/>
            </w:pPr>
            <w:r>
              <w:t>has around 15 year</w:t>
            </w:r>
            <w:r w:rsidR="0081417C">
              <w:t>s</w:t>
            </w:r>
            <w:r>
              <w:t xml:space="preserve"> of work experience for men and 11 years for women</w:t>
            </w:r>
          </w:p>
          <w:p w:rsidR="000044AD" w:rsidRDefault="000044AD" w:rsidP="000044AD">
            <w:pPr>
              <w:pStyle w:val="BoxListBullet"/>
            </w:pPr>
            <w:r>
              <w:t xml:space="preserve">has not been arrested in the </w:t>
            </w:r>
            <w:r w:rsidR="0081417C">
              <w:t>p</w:t>
            </w:r>
            <w:r>
              <w:t xml:space="preserve">ast five years, </w:t>
            </w:r>
          </w:p>
          <w:p w:rsidR="000044AD" w:rsidRDefault="000044AD" w:rsidP="000044AD">
            <w:pPr>
              <w:pStyle w:val="BoxListBullet"/>
            </w:pPr>
            <w:r>
              <w:t>has never been in jail</w:t>
            </w:r>
          </w:p>
          <w:p w:rsidR="000044AD" w:rsidRDefault="000044AD" w:rsidP="000044AD">
            <w:pPr>
              <w:pStyle w:val="BoxListBullet"/>
            </w:pPr>
            <w:r>
              <w:t xml:space="preserve">did not participate in three or more </w:t>
            </w:r>
            <w:r w:rsidR="0081417C">
              <w:t xml:space="preserve">types of </w:t>
            </w:r>
            <w:r>
              <w:t xml:space="preserve">cultural activities in the last 12 months (such as fishing, </w:t>
            </w:r>
            <w:r w:rsidRPr="00D378FC">
              <w:t>hunting</w:t>
            </w:r>
            <w:r>
              <w:t>,</w:t>
            </w:r>
            <w:r w:rsidRPr="00D378FC">
              <w:t xml:space="preserve"> gathering or making traditional crafts</w:t>
            </w:r>
            <w:r>
              <w:t>)</w:t>
            </w:r>
          </w:p>
          <w:p w:rsidR="000044AD" w:rsidRDefault="000044AD" w:rsidP="000044AD">
            <w:pPr>
              <w:pStyle w:val="BoxListBullet"/>
            </w:pPr>
            <w:r>
              <w:t xml:space="preserve">did not attend three or more </w:t>
            </w:r>
            <w:r w:rsidR="0081417C">
              <w:t xml:space="preserve">types of </w:t>
            </w:r>
            <w:r>
              <w:t>cultural events in the last 12 months (such as ceremonies, festivals, NAIDOC week activities)</w:t>
            </w:r>
          </w:p>
          <w:p w:rsidR="000044AD" w:rsidRDefault="000044AD" w:rsidP="000044AD">
            <w:pPr>
              <w:pStyle w:val="BoxListBullet"/>
            </w:pPr>
            <w:r>
              <w:t>provided support outside the household in the last 12 months</w:t>
            </w:r>
          </w:p>
          <w:p w:rsidR="000044AD" w:rsidRDefault="000044AD" w:rsidP="00F0292B">
            <w:pPr>
              <w:pStyle w:val="BoxListBullet"/>
            </w:pPr>
            <w:r>
              <w:t>did not provide unpaid childcare outside the household in the last 12 months.</w:t>
            </w:r>
          </w:p>
        </w:tc>
      </w:tr>
      <w:tr w:rsidR="000044AD">
        <w:trPr>
          <w:cantSplit/>
        </w:trPr>
        <w:tc>
          <w:tcPr>
            <w:tcW w:w="8771" w:type="dxa"/>
            <w:tcBorders>
              <w:top w:val="nil"/>
              <w:left w:val="single" w:sz="6" w:space="0" w:color="auto"/>
              <w:bottom w:val="single" w:sz="6" w:space="0" w:color="auto"/>
              <w:right w:val="single" w:sz="6" w:space="0" w:color="auto"/>
            </w:tcBorders>
          </w:tcPr>
          <w:p w:rsidR="000044AD" w:rsidRDefault="000044AD">
            <w:pPr>
              <w:pStyle w:val="Box"/>
              <w:spacing w:before="0" w:line="120" w:lineRule="exact"/>
            </w:pPr>
          </w:p>
        </w:tc>
      </w:tr>
    </w:tbl>
    <w:p w:rsidR="00067137" w:rsidRDefault="009308F0" w:rsidP="009308F0">
      <w:pPr>
        <w:pStyle w:val="BodyText"/>
      </w:pPr>
      <w:r>
        <w:br w:type="page"/>
      </w:r>
      <w:r w:rsidR="0022620F">
        <w:lastRenderedPageBreak/>
        <w:t xml:space="preserve">These qualifications are particularly important when seeking to use the results to quantify the increase in </w:t>
      </w:r>
      <w:r w:rsidR="0081417C">
        <w:t xml:space="preserve">the proportion of the Indigenous population in a particular </w:t>
      </w:r>
      <w:r w:rsidR="002C6ADB">
        <w:t xml:space="preserve">LMO, say </w:t>
      </w:r>
      <w:r w:rsidR="0022620F">
        <w:t>employment or labour force participation</w:t>
      </w:r>
      <w:r w:rsidR="002C6ADB">
        <w:t>,</w:t>
      </w:r>
      <w:r w:rsidR="0022620F">
        <w:t xml:space="preserve"> that might be expected</w:t>
      </w:r>
      <w:r w:rsidR="002C6ADB">
        <w:t xml:space="preserve"> from a change in an </w:t>
      </w:r>
      <w:r w:rsidR="007F1E1A">
        <w:t>explanatory</w:t>
      </w:r>
      <w:r w:rsidR="002C6ADB">
        <w:t xml:space="preserve"> variable</w:t>
      </w:r>
      <w:r w:rsidR="0001493D">
        <w:t xml:space="preserve"> (f</w:t>
      </w:r>
      <w:r w:rsidR="0081417C">
        <w:t>or</w:t>
      </w:r>
      <w:r w:rsidR="0022620F">
        <w:t xml:space="preserve"> </w:t>
      </w:r>
      <w:r w:rsidR="0081417C">
        <w:t xml:space="preserve">example, </w:t>
      </w:r>
      <w:r w:rsidR="0022620F">
        <w:t>from meeting COAG targets for year 12 attainment</w:t>
      </w:r>
      <w:r w:rsidR="0001493D">
        <w:t>)</w:t>
      </w:r>
      <w:r w:rsidR="0022620F">
        <w:t xml:space="preserve">. A large and significant marginal effect for an explanatory variable does not necessarily mean that the explanatory variable causes the LMO, or that a change in a particular factor will necessarily result in a change in the </w:t>
      </w:r>
      <w:r w:rsidR="0081417C">
        <w:t xml:space="preserve">probability of a </w:t>
      </w:r>
      <w:r w:rsidR="0022620F">
        <w:t xml:space="preserve">LMO of the magnitude implied by the marginal effect. </w:t>
      </w:r>
    </w:p>
    <w:p w:rsidR="00E7715D" w:rsidRDefault="00452CEE" w:rsidP="00E7715D">
      <w:pPr>
        <w:pStyle w:val="BodyText"/>
      </w:pPr>
      <w:r>
        <w:t xml:space="preserve">Some fundamental assumptions of regression analysis </w:t>
      </w:r>
      <w:r w:rsidR="00E7715D">
        <w:t>relate to:</w:t>
      </w:r>
    </w:p>
    <w:p w:rsidR="00EC4FA7" w:rsidRDefault="00EC4FA7" w:rsidP="00EC4FA7">
      <w:pPr>
        <w:pStyle w:val="ListBullet"/>
      </w:pPr>
      <w:r>
        <w:t xml:space="preserve">the coverage of the survey (sample selection bias) </w:t>
      </w:r>
    </w:p>
    <w:p w:rsidR="00E7715D" w:rsidRDefault="00E7715D" w:rsidP="00E7715D">
      <w:pPr>
        <w:pStyle w:val="ListBullet"/>
      </w:pPr>
      <w:r>
        <w:t>whether factors not included in the model influence LMOs (omitted variable bias)</w:t>
      </w:r>
    </w:p>
    <w:p w:rsidR="00B0789B" w:rsidRDefault="00E7715D" w:rsidP="00E7715D">
      <w:pPr>
        <w:pStyle w:val="ListBullet"/>
      </w:pPr>
      <w:r>
        <w:t>the direction of causality between the dependent and explanatory variables (endogeneity</w:t>
      </w:r>
      <w:r w:rsidR="00B0789B">
        <w:t xml:space="preserve"> due to simultaneity)</w:t>
      </w:r>
    </w:p>
    <w:p w:rsidR="00E7715D" w:rsidRDefault="00B0789B" w:rsidP="00E7715D">
      <w:pPr>
        <w:pStyle w:val="ListBullet"/>
      </w:pPr>
      <w:r>
        <w:t xml:space="preserve">whether self-assessed health status is </w:t>
      </w:r>
      <w:r w:rsidR="002C6ADB">
        <w:t>measured accurately</w:t>
      </w:r>
      <w:r w:rsidDel="00B0789B">
        <w:t xml:space="preserve"> </w:t>
      </w:r>
      <w:r>
        <w:t>(endogeneity due to rationalisation)</w:t>
      </w:r>
    </w:p>
    <w:p w:rsidR="00E7715D" w:rsidRDefault="004D19FC" w:rsidP="00E7715D">
      <w:pPr>
        <w:pStyle w:val="ListBullet"/>
      </w:pPr>
      <w:r>
        <w:t>whether</w:t>
      </w:r>
      <w:r w:rsidR="00E7715D">
        <w:t xml:space="preserve"> the explanatory variables </w:t>
      </w:r>
      <w:r>
        <w:t xml:space="preserve">are related to each other </w:t>
      </w:r>
      <w:r w:rsidR="00E7715D">
        <w:t>(multicollinearity)</w:t>
      </w:r>
      <w:r w:rsidR="00350FB7">
        <w:t>.</w:t>
      </w:r>
    </w:p>
    <w:p w:rsidR="00452CEE" w:rsidRPr="00797221" w:rsidRDefault="00452CEE" w:rsidP="00A06C84">
      <w:pPr>
        <w:pStyle w:val="Heading3"/>
      </w:pPr>
      <w:r w:rsidRPr="00797221">
        <w:t>Sample selection bias</w:t>
      </w:r>
    </w:p>
    <w:p w:rsidR="00CF6617" w:rsidRDefault="0022620F" w:rsidP="00CF6617">
      <w:pPr>
        <w:pStyle w:val="BodyText"/>
      </w:pPr>
      <w:r>
        <w:t>S</w:t>
      </w:r>
      <w:r w:rsidR="00F10E03">
        <w:t>ample selection bias</w:t>
      </w:r>
      <w:r w:rsidR="003C2CE1">
        <w:t xml:space="preserve"> </w:t>
      </w:r>
      <w:r>
        <w:t>occurs when</w:t>
      </w:r>
      <w:r w:rsidR="00F10E03" w:rsidRPr="00F10E03">
        <w:t xml:space="preserve"> </w:t>
      </w:r>
      <w:r w:rsidR="00F10E03">
        <w:t xml:space="preserve">the characteristics of the survey respondents are different </w:t>
      </w:r>
      <w:r w:rsidR="0001493D">
        <w:t xml:space="preserve">from </w:t>
      </w:r>
      <w:r w:rsidR="00F10E03">
        <w:t>those of the in-scope population</w:t>
      </w:r>
      <w:r w:rsidR="003C2CE1">
        <w:t xml:space="preserve">. </w:t>
      </w:r>
      <w:r w:rsidR="00452CEE" w:rsidRPr="00A06C84">
        <w:t xml:space="preserve">When each person in the relevant population has an equal chance of being selected for the survey, the survey sample is described as being </w:t>
      </w:r>
      <w:r w:rsidR="00FE4007">
        <w:t>an ‘equal probability of selection’ sample design</w:t>
      </w:r>
      <w:r w:rsidR="002C6ADB">
        <w:t>.</w:t>
      </w:r>
      <w:r w:rsidR="00D974D7">
        <w:rPr>
          <w:rStyle w:val="FootnoteReference"/>
        </w:rPr>
        <w:footnoteReference w:id="10"/>
      </w:r>
      <w:r w:rsidR="00452CEE" w:rsidRPr="00A06C84">
        <w:t xml:space="preserve"> </w:t>
      </w:r>
      <w:r w:rsidR="00CF6617">
        <w:t xml:space="preserve">In practice, this is difficult, and most surveys </w:t>
      </w:r>
      <w:r w:rsidR="00060CDE">
        <w:t>have</w:t>
      </w:r>
      <w:r w:rsidR="00CF6617">
        <w:t xml:space="preserve"> various form</w:t>
      </w:r>
      <w:r w:rsidR="0081417C">
        <w:t>s</w:t>
      </w:r>
      <w:r w:rsidR="00CF6617">
        <w:t xml:space="preserve"> of sample selection bias aris</w:t>
      </w:r>
      <w:r w:rsidR="0001493D">
        <w:t>ing</w:t>
      </w:r>
      <w:r w:rsidR="00CF6617">
        <w:t xml:space="preserve"> from </w:t>
      </w:r>
      <w:r w:rsidR="00060CDE">
        <w:t>some</w:t>
      </w:r>
      <w:r w:rsidR="00CF6617">
        <w:t xml:space="preserve"> groups having different probabilities of being selected in the sample, or from </w:t>
      </w:r>
      <w:proofErr w:type="spellStart"/>
      <w:r w:rsidR="00CF6617">
        <w:t>undercoverage</w:t>
      </w:r>
      <w:proofErr w:type="spellEnd"/>
      <w:r w:rsidR="00060CDE">
        <w:t xml:space="preserve"> </w:t>
      </w:r>
      <w:r w:rsidR="00CF6617">
        <w:t>where particular groups have no probability of being selected</w:t>
      </w:r>
      <w:r w:rsidR="00761998">
        <w:t xml:space="preserve">. </w:t>
      </w:r>
      <w:r w:rsidR="00CF6617">
        <w:t>In particular, people in non</w:t>
      </w:r>
      <w:r w:rsidR="00AF693B">
        <w:noBreakHyphen/>
      </w:r>
      <w:r w:rsidR="00CF6617">
        <w:t xml:space="preserve">private dwellings (including prisons) were excluded from the </w:t>
      </w:r>
      <w:r w:rsidR="00022695">
        <w:t>2008</w:t>
      </w:r>
      <w:r w:rsidR="00264055">
        <w:t> </w:t>
      </w:r>
      <w:r w:rsidR="00CF6617">
        <w:t>NATSISS. The NATSISS has a relative</w:t>
      </w:r>
      <w:r w:rsidR="007A221F">
        <w:t>ly high level of undercoverage</w:t>
      </w:r>
      <w:r w:rsidR="00D974D7">
        <w:rPr>
          <w:rStyle w:val="FootnoteReference"/>
        </w:rPr>
        <w:footnoteReference w:id="11"/>
      </w:r>
      <w:r w:rsidR="00CF6617">
        <w:t xml:space="preserve"> and </w:t>
      </w:r>
      <w:r w:rsidR="00AF693B">
        <w:t>potential</w:t>
      </w:r>
      <w:r w:rsidR="00420C8F">
        <w:t>ly</w:t>
      </w:r>
      <w:r w:rsidR="00AF693B">
        <w:t xml:space="preserve"> </w:t>
      </w:r>
      <w:r w:rsidR="00CF6617">
        <w:t xml:space="preserve">different selection probabilities for population </w:t>
      </w:r>
      <w:r w:rsidR="00CF6617">
        <w:lastRenderedPageBreak/>
        <w:t>groups, for example, in remote and non</w:t>
      </w:r>
      <w:r w:rsidR="00AF693B">
        <w:noBreakHyphen/>
      </w:r>
      <w:r w:rsidR="00CF6617">
        <w:t xml:space="preserve">remote areas. This is likely to result in the estimated results being biased due to sample selection. </w:t>
      </w:r>
    </w:p>
    <w:p w:rsidR="00CF6617" w:rsidRDefault="00CF6617" w:rsidP="00CF6617">
      <w:pPr>
        <w:pStyle w:val="BodyText"/>
      </w:pPr>
      <w:r>
        <w:t>Sample selection bias is often corrected by applying weights to the data.</w:t>
      </w:r>
      <w:r w:rsidR="000C57E8">
        <w:rPr>
          <w:rStyle w:val="FootnoteReference"/>
        </w:rPr>
        <w:footnoteReference w:id="12"/>
      </w:r>
      <w:r>
        <w:t xml:space="preserve"> Weights have the effect of repeating observations that are representative of an under-sampled group of people</w:t>
      </w:r>
      <w:r w:rsidR="00D516F5">
        <w:t xml:space="preserve"> (ABS 2010</w:t>
      </w:r>
      <w:r w:rsidR="00C34B72">
        <w:t>b</w:t>
      </w:r>
      <w:r w:rsidR="00D516F5">
        <w:t>)</w:t>
      </w:r>
      <w:r>
        <w:t>. It is accepted practice to weight sample descriptive statistics (such as means), but it is less clear whether weighted data should be used in regressions</w:t>
      </w:r>
      <w:r w:rsidR="000C57E8">
        <w:t xml:space="preserve"> (Gelman</w:t>
      </w:r>
      <w:r w:rsidR="00D516F5">
        <w:t> </w:t>
      </w:r>
      <w:r w:rsidR="000C57E8">
        <w:t>2007)</w:t>
      </w:r>
      <w:r>
        <w:t>. Inst</w:t>
      </w:r>
      <w:r w:rsidR="00060CDE">
        <w:t>e</w:t>
      </w:r>
      <w:r>
        <w:t xml:space="preserve">ad, the factors that influence the sample selection bias are often included as explanatory variables in the regression. In this </w:t>
      </w:r>
      <w:r w:rsidR="00022695">
        <w:t>analysis</w:t>
      </w:r>
      <w:r>
        <w:t xml:space="preserve">, the </w:t>
      </w:r>
      <w:r w:rsidR="000E3813">
        <w:t>variable</w:t>
      </w:r>
      <w:r>
        <w:t xml:space="preserve"> that might address sample selection bias is </w:t>
      </w:r>
      <w:r w:rsidR="00060CDE">
        <w:t>remoteness</w:t>
      </w:r>
      <w:r>
        <w:t xml:space="preserve">. </w:t>
      </w:r>
    </w:p>
    <w:p w:rsidR="00452CEE" w:rsidRPr="00A06C84" w:rsidRDefault="00CF6617" w:rsidP="00CF6617">
      <w:pPr>
        <w:pStyle w:val="BodyText"/>
      </w:pPr>
      <w:r>
        <w:t xml:space="preserve">In this study, weighted data were not used because the added level of complexity makes it difficult to interpret results. This means that the estimated results are best described as representing the associations for individuals in the sample, and results cannot necessarily be extrapolated to the whole Indigenous population. Nonetheless, results for a particular type of individual are likely to be valid for other individuals displaying the same characteristics. </w:t>
      </w:r>
    </w:p>
    <w:p w:rsidR="00D735AC" w:rsidRPr="00060CDE" w:rsidRDefault="003E32E2" w:rsidP="00A06C84">
      <w:pPr>
        <w:pStyle w:val="BodyText"/>
      </w:pPr>
      <w:r w:rsidRPr="00060CDE">
        <w:t xml:space="preserve">A comparison of </w:t>
      </w:r>
      <w:r w:rsidR="007A221F" w:rsidRPr="00060CDE">
        <w:t xml:space="preserve">the </w:t>
      </w:r>
      <w:r w:rsidRPr="00060CDE">
        <w:t xml:space="preserve">results using unweighted data </w:t>
      </w:r>
      <w:r w:rsidR="00D735AC" w:rsidRPr="00060CDE">
        <w:t>showed that application</w:t>
      </w:r>
      <w:r w:rsidR="00022695">
        <w:t xml:space="preserve"> of (person)</w:t>
      </w:r>
      <w:r w:rsidR="00D735AC" w:rsidRPr="00060CDE">
        <w:t xml:space="preserve"> weights:</w:t>
      </w:r>
    </w:p>
    <w:p w:rsidR="00D735AC" w:rsidRPr="00060CDE" w:rsidRDefault="00D735AC" w:rsidP="00D735AC">
      <w:pPr>
        <w:pStyle w:val="FindingBullet"/>
        <w:rPr>
          <w:i w:val="0"/>
        </w:rPr>
      </w:pPr>
      <w:r w:rsidRPr="00060CDE">
        <w:rPr>
          <w:i w:val="0"/>
        </w:rPr>
        <w:t>increased the standard errors of many variables</w:t>
      </w:r>
      <w:r w:rsidR="00060CDE" w:rsidRPr="00060CDE">
        <w:rPr>
          <w:i w:val="0"/>
        </w:rPr>
        <w:t xml:space="preserve"> and therefore reduced the</w:t>
      </w:r>
      <w:r w:rsidR="00022695">
        <w:rPr>
          <w:i w:val="0"/>
        </w:rPr>
        <w:t>ir</w:t>
      </w:r>
      <w:r w:rsidR="00060CDE" w:rsidRPr="00060CDE">
        <w:rPr>
          <w:i w:val="0"/>
        </w:rPr>
        <w:t xml:space="preserve"> statistical significance</w:t>
      </w:r>
    </w:p>
    <w:p w:rsidR="003C2CE1" w:rsidRPr="00060CDE" w:rsidRDefault="00D735AC" w:rsidP="001D0077">
      <w:pPr>
        <w:pStyle w:val="FindingBullet"/>
      </w:pPr>
      <w:r w:rsidRPr="00060CDE">
        <w:rPr>
          <w:i w:val="0"/>
        </w:rPr>
        <w:t>changed the size of the marginal effects by small amounts.</w:t>
      </w:r>
    </w:p>
    <w:p w:rsidR="00C63264" w:rsidRDefault="000167ED" w:rsidP="00C63264">
      <w:pPr>
        <w:pStyle w:val="Heading3"/>
      </w:pPr>
      <w:r>
        <w:t>Endogeneity due to u</w:t>
      </w:r>
      <w:r w:rsidR="0043755F">
        <w:t>nobserved heterogeneity (o</w:t>
      </w:r>
      <w:r w:rsidR="00C63264">
        <w:t>mitted variable bias</w:t>
      </w:r>
      <w:r w:rsidR="00350FB7">
        <w:t>)</w:t>
      </w:r>
    </w:p>
    <w:p w:rsidR="00C63264" w:rsidRDefault="00C63264" w:rsidP="00C63264">
      <w:pPr>
        <w:pStyle w:val="BodyText"/>
      </w:pPr>
      <w:r>
        <w:t xml:space="preserve">A model’s results may be biased when the dependent variable and an explanatory variable are linked </w:t>
      </w:r>
      <w:r w:rsidR="00350FB7">
        <w:t xml:space="preserve">by </w:t>
      </w:r>
      <w:r>
        <w:t>a third variable that is not included in the model</w:t>
      </w:r>
      <w:r w:rsidR="00350FB7">
        <w:t>. This</w:t>
      </w:r>
      <w:r w:rsidR="00A56026">
        <w:t xml:space="preserve"> result</w:t>
      </w:r>
      <w:r w:rsidR="00350FB7">
        <w:t>s</w:t>
      </w:r>
      <w:r w:rsidR="00A56026">
        <w:t xml:space="preserve"> in unobserved heterogeneity or omitted variable bias</w:t>
      </w:r>
      <w:r>
        <w:t>. An example is education and LMOs. A person’s educational attainment and LMOs may</w:t>
      </w:r>
      <w:r w:rsidR="00D31FFA">
        <w:t xml:space="preserve"> both</w:t>
      </w:r>
      <w:r>
        <w:t xml:space="preserve"> be influenced by personal attributes, such as motivation, aptitude and preferences, some of which cannot readily be captured by surveys</w:t>
      </w:r>
      <w:r w:rsidR="00A56026">
        <w:t>.</w:t>
      </w:r>
      <w:r>
        <w:t xml:space="preserve"> Omitting these attributes from the model could result in the marginal effects </w:t>
      </w:r>
      <w:r w:rsidR="00F22EF9">
        <w:t>for</w:t>
      </w:r>
      <w:r>
        <w:t xml:space="preserve"> education </w:t>
      </w:r>
      <w:r w:rsidR="001975A1">
        <w:t xml:space="preserve">(and possibly other explanatory variables) </w:t>
      </w:r>
      <w:r>
        <w:t xml:space="preserve">on LMOs being biased, since </w:t>
      </w:r>
      <w:r w:rsidR="0073471F">
        <w:t>they</w:t>
      </w:r>
      <w:r w:rsidR="00350FB7">
        <w:t xml:space="preserve"> </w:t>
      </w:r>
      <w:r>
        <w:t>might capture</w:t>
      </w:r>
      <w:r w:rsidR="004E212A">
        <w:t>,</w:t>
      </w:r>
      <w:r>
        <w:t xml:space="preserve"> in part</w:t>
      </w:r>
      <w:r w:rsidR="004E212A">
        <w:t>,</w:t>
      </w:r>
      <w:r>
        <w:t xml:space="preserve"> the effects of the omitted attributes. </w:t>
      </w:r>
    </w:p>
    <w:p w:rsidR="00C63264" w:rsidRDefault="00C63264" w:rsidP="00C63264">
      <w:pPr>
        <w:pStyle w:val="BodyText"/>
      </w:pPr>
      <w:r>
        <w:lastRenderedPageBreak/>
        <w:t>Results of other studies (</w:t>
      </w:r>
      <w:r w:rsidR="009F7BA5">
        <w:t>Cai</w:t>
      </w:r>
      <w:r w:rsidR="00022695">
        <w:t> </w:t>
      </w:r>
      <w:r w:rsidR="009F7BA5">
        <w:t>20</w:t>
      </w:r>
      <w:r w:rsidR="008100B2">
        <w:t>10</w:t>
      </w:r>
      <w:r w:rsidR="009F7BA5">
        <w:t xml:space="preserve">; </w:t>
      </w:r>
      <w:r>
        <w:t>Laplagne</w:t>
      </w:r>
      <w:r w:rsidR="000E3813">
        <w:t xml:space="preserve"> et al.</w:t>
      </w:r>
      <w:r w:rsidR="00022695">
        <w:t> </w:t>
      </w:r>
      <w:r w:rsidR="009F7BA5">
        <w:t>2007)</w:t>
      </w:r>
      <w:r>
        <w:t> </w:t>
      </w:r>
      <w:r w:rsidR="001975A1">
        <w:t>— </w:t>
      </w:r>
      <w:r>
        <w:t>using models of labour force participation and health, and Australian survey data </w:t>
      </w:r>
      <w:r w:rsidR="001975A1">
        <w:t>— </w:t>
      </w:r>
      <w:r>
        <w:t xml:space="preserve">support the hypothesis of unobserved heterogeneity, especially for females, and concluded that </w:t>
      </w:r>
      <w:r w:rsidR="007F1E1A">
        <w:t xml:space="preserve">the marginal effects derived from models that do not adjust for this kind of bias </w:t>
      </w:r>
      <w:r>
        <w:t xml:space="preserve">are likely to be upper bound estimates. </w:t>
      </w:r>
    </w:p>
    <w:p w:rsidR="008E400C" w:rsidRDefault="008E400C" w:rsidP="008E400C">
      <w:pPr>
        <w:pStyle w:val="Heading3"/>
      </w:pPr>
      <w:r>
        <w:t xml:space="preserve">Endogeneity bias due to simultaneity </w:t>
      </w:r>
    </w:p>
    <w:p w:rsidR="008E400C" w:rsidRDefault="008E400C" w:rsidP="008E400C">
      <w:pPr>
        <w:pStyle w:val="BodyText"/>
      </w:pPr>
      <w:r>
        <w:t>Results may also be biased when the direction of causality runs both ways between the dependent variable and an explanatory variable. An example is health and LMOs. People who are in good health are more likely to be able to work, but it is also true that working could affect a person’s health (in some cases positively; in other cases negatively). This means that a person’s health affects their LMO, but their LMO also affect</w:t>
      </w:r>
      <w:r w:rsidR="00022695">
        <w:t>s</w:t>
      </w:r>
      <w:r>
        <w:t xml:space="preserve"> their health. This form of endogeneity bias</w:t>
      </w:r>
      <w:r w:rsidR="00022695">
        <w:t xml:space="preserve"> is</w:t>
      </w:r>
      <w:r>
        <w:t xml:space="preserve"> known as simultaneity.</w:t>
      </w:r>
    </w:p>
    <w:p w:rsidR="008E400C" w:rsidRDefault="008E400C" w:rsidP="008E400C">
      <w:pPr>
        <w:pStyle w:val="BodyText"/>
      </w:pPr>
      <w:r>
        <w:t xml:space="preserve">The impact of this type of bias on model estimates is unknown. </w:t>
      </w:r>
      <w:r w:rsidR="00022695">
        <w:t xml:space="preserve">The marginal effects </w:t>
      </w:r>
      <w:r w:rsidR="0001493D">
        <w:t xml:space="preserve">could </w:t>
      </w:r>
      <w:r w:rsidR="00022695">
        <w:t>under or over</w:t>
      </w:r>
      <w:r w:rsidR="00022695">
        <w:noBreakHyphen/>
        <w:t>estimate the true effect of a change in health on LMOs, depending on whether the relation</w:t>
      </w:r>
      <w:r w:rsidR="00C50550">
        <w:t>s</w:t>
      </w:r>
      <w:r w:rsidR="00022695">
        <w:t xml:space="preserve">hip between LMOs and health is negative or positive. </w:t>
      </w:r>
    </w:p>
    <w:p w:rsidR="008E400C" w:rsidRDefault="008E400C" w:rsidP="008E400C">
      <w:pPr>
        <w:pStyle w:val="BodyText"/>
      </w:pPr>
      <w:r>
        <w:t xml:space="preserve">An alternative type of model, such as a simultaneous equations model (SEM), might be considered </w:t>
      </w:r>
      <w:r w:rsidRPr="00FB7ABA">
        <w:t>where dependent and explanatory variables are likely to be interdependent. SEMs can be used to test for interdependenc</w:t>
      </w:r>
      <w:r>
        <w:t xml:space="preserve">y between a dependent and explanatory variable. If necessary, these models can also correct for the endogeneity bias that would otherwise arise from a simpler, single equation model. </w:t>
      </w:r>
    </w:p>
    <w:p w:rsidR="008E400C" w:rsidRPr="00046A3A" w:rsidRDefault="008E400C" w:rsidP="008E400C">
      <w:pPr>
        <w:pStyle w:val="BodyText"/>
        <w:rPr>
          <w:highlight w:val="cyan"/>
        </w:rPr>
      </w:pPr>
      <w:r>
        <w:t>Some studies have found evidence of endogeneity in models of labour force status and health</w:t>
      </w:r>
      <w:r w:rsidRPr="00046A3A">
        <w:t>. Cai (</w:t>
      </w:r>
      <w:r w:rsidR="008100B2" w:rsidRPr="00046A3A">
        <w:t>20</w:t>
      </w:r>
      <w:r w:rsidR="008100B2">
        <w:t>10</w:t>
      </w:r>
      <w:r w:rsidRPr="00046A3A">
        <w:t xml:space="preserve">) found that good health had a positive and significant effect on labour force participation for </w:t>
      </w:r>
      <w:r w:rsidR="00022695" w:rsidRPr="00046A3A">
        <w:t>m</w:t>
      </w:r>
      <w:r w:rsidR="00022695">
        <w:t>en</w:t>
      </w:r>
      <w:r w:rsidR="00022695" w:rsidRPr="00046A3A">
        <w:t xml:space="preserve"> </w:t>
      </w:r>
      <w:r w:rsidRPr="00046A3A">
        <w:t xml:space="preserve">and </w:t>
      </w:r>
      <w:r w:rsidR="00022695">
        <w:t>women</w:t>
      </w:r>
      <w:r w:rsidRPr="00046A3A">
        <w:t xml:space="preserve">. </w:t>
      </w:r>
      <w:r>
        <w:t xml:space="preserve">It was reported that for men, there was a negative and significant reverse effect (of labour force participation on health), implying that treating health as an exogenous variable could lead to underestimates of the effect of health on labour force participation. </w:t>
      </w:r>
    </w:p>
    <w:p w:rsidR="008E400C" w:rsidRDefault="008E400C" w:rsidP="008E400C">
      <w:pPr>
        <w:pStyle w:val="BodyText"/>
      </w:pPr>
      <w:r w:rsidRPr="00046A3A">
        <w:t xml:space="preserve">Laplagne et al. (2007), using a </w:t>
      </w:r>
      <w:r w:rsidR="00022695">
        <w:t xml:space="preserve">SEMs </w:t>
      </w:r>
      <w:r w:rsidRPr="00046A3A">
        <w:t>model</w:t>
      </w:r>
      <w:r w:rsidR="00022695">
        <w:t>,</w:t>
      </w:r>
      <w:r w:rsidRPr="00046A3A">
        <w:t xml:space="preserve"> also found evidence of simultaneity affecting the relationship between self-assessed health status and labour force participation for men aged 15–49 years.</w:t>
      </w:r>
      <w:r>
        <w:t xml:space="preserve"> </w:t>
      </w:r>
    </w:p>
    <w:p w:rsidR="008E400C" w:rsidRDefault="008E400C" w:rsidP="008E400C">
      <w:pPr>
        <w:pStyle w:val="Heading3"/>
      </w:pPr>
      <w:r>
        <w:lastRenderedPageBreak/>
        <w:t>Endogeneity bias due to rationalisation</w:t>
      </w:r>
    </w:p>
    <w:p w:rsidR="008E400C" w:rsidRDefault="008E400C" w:rsidP="008E400C">
      <w:pPr>
        <w:pStyle w:val="BodyText"/>
      </w:pPr>
      <w:r>
        <w:t>Laplagne et al</w:t>
      </w:r>
      <w:r w:rsidR="00022695">
        <w:t>. (2007)</w:t>
      </w:r>
      <w:r>
        <w:t xml:space="preserve"> note that it is difficult to determine whether the relationship between labour force participation and self-assessed health results from a simultaneous relationship between the two, or from rationalisation endogeneity. Rationalisation endogeneity exists where self-assessed health status does not reflect true health status. For example, people might misreport their health status to justify non</w:t>
      </w:r>
      <w:r>
        <w:noBreakHyphen/>
        <w:t>participation in the labour force. Unlike simultaneity bias arising from interdependent variables or unobserved heterogeneity, rationalisation endogeneity cannot be corrected (Laplagne et al</w:t>
      </w:r>
      <w:r w:rsidR="00DD064E">
        <w:t>. </w:t>
      </w:r>
      <w:r>
        <w:t>2007).</w:t>
      </w:r>
    </w:p>
    <w:p w:rsidR="008E400C" w:rsidRDefault="008E400C" w:rsidP="008E400C">
      <w:pPr>
        <w:pStyle w:val="BodyText"/>
      </w:pPr>
      <w:r>
        <w:t>Laplagne et al</w:t>
      </w:r>
      <w:r w:rsidR="00022695">
        <w:t>.</w:t>
      </w:r>
      <w:r>
        <w:t xml:space="preserve"> (</w:t>
      </w:r>
      <w:r w:rsidR="00022695">
        <w:t xml:space="preserve">2007, </w:t>
      </w:r>
      <w:r>
        <w:t>p. 44) found:</w:t>
      </w:r>
    </w:p>
    <w:p w:rsidR="008E400C" w:rsidRDefault="008E400C" w:rsidP="008E400C">
      <w:pPr>
        <w:pStyle w:val="Quote"/>
      </w:pPr>
      <w:r>
        <w:t>For older females, the coefficient on labour force participation is positive and significant, which suggests rationalisation endogeneity might be present</w:t>
      </w:r>
      <w:r w:rsidR="005925FD">
        <w:t xml:space="preserve"> … </w:t>
      </w:r>
      <w:r>
        <w:t xml:space="preserve">Although rationalisation might be a cause of the positive coefficient for older females, it could also reflect positive ‘true’ endogeneity (simultaneity). </w:t>
      </w:r>
    </w:p>
    <w:p w:rsidR="008E400C" w:rsidRDefault="008E400C" w:rsidP="008E400C">
      <w:pPr>
        <w:pStyle w:val="BodyText"/>
      </w:pPr>
      <w:r>
        <w:t>This result is consistent with Cai (</w:t>
      </w:r>
      <w:r w:rsidR="008100B2">
        <w:t>2010</w:t>
      </w:r>
      <w:r>
        <w:t>), reporting a positive and marginally significant relationship between labour force participation and self-reported health status for women. Cai (</w:t>
      </w:r>
      <w:r w:rsidR="00927312">
        <w:t>2010</w:t>
      </w:r>
      <w:r>
        <w:t>, p. </w:t>
      </w:r>
      <w:r w:rsidR="004A5818">
        <w:t>84</w:t>
      </w:r>
      <w:r>
        <w:t xml:space="preserve">) suggests that this may be evidence of rationalisation </w:t>
      </w:r>
      <w:proofErr w:type="spellStart"/>
      <w:r>
        <w:t>endogeneity</w:t>
      </w:r>
      <w:proofErr w:type="spellEnd"/>
      <w:r>
        <w:t xml:space="preserve">, </w:t>
      </w:r>
      <w:r w:rsidR="0001493D">
        <w:t xml:space="preserve">although </w:t>
      </w:r>
      <w:r>
        <w:t>it is also hypothesised that</w:t>
      </w:r>
      <w:r w:rsidR="00487104">
        <w:t>:</w:t>
      </w:r>
      <w:r>
        <w:t xml:space="preserve"> </w:t>
      </w:r>
    </w:p>
    <w:p w:rsidR="008E400C" w:rsidRDefault="00C805A8" w:rsidP="008E400C">
      <w:pPr>
        <w:pStyle w:val="Quote"/>
      </w:pPr>
      <w:r>
        <w:t xml:space="preserve"> … </w:t>
      </w:r>
      <w:r w:rsidR="008E400C">
        <w:t xml:space="preserve">the positive estimate for the labour force status variable for females may not be due to justification, rather it may be due to self-selection into labour force status and the selection of jobs by women. That is, those women who choose to be in the labour force are in good health and they are in jobs that are less likely to harm their health. </w:t>
      </w:r>
    </w:p>
    <w:p w:rsidR="00C63264" w:rsidRDefault="00C63264" w:rsidP="00C63264">
      <w:pPr>
        <w:pStyle w:val="Heading3"/>
      </w:pPr>
      <w:r>
        <w:t>Multicollinearity</w:t>
      </w:r>
      <w:r>
        <w:tab/>
      </w:r>
    </w:p>
    <w:p w:rsidR="004755B5" w:rsidRDefault="00C63264" w:rsidP="004755B5">
      <w:pPr>
        <w:pStyle w:val="BodyText"/>
      </w:pPr>
      <w:r>
        <w:t xml:space="preserve">Multicollinearity occurs when explanatory variables are highly correlated with each other. This might occur when people suffer multiple disadvantage (for example, poor health, poor education and a criminal record) and the factors associated with disadvantage are all included in the model. Multicollinearity will not </w:t>
      </w:r>
      <w:r w:rsidR="0049377B">
        <w:t xml:space="preserve">reduce the predictive power of the model as a whole, but </w:t>
      </w:r>
      <w:r w:rsidR="00C805A8">
        <w:t xml:space="preserve">the magnitude of </w:t>
      </w:r>
      <w:r w:rsidR="0049377B">
        <w:t xml:space="preserve">individual coefficients may be unreliable, standard errors of their associated coefficients may be inflated, </w:t>
      </w:r>
      <w:r>
        <w:t xml:space="preserve">and </w:t>
      </w:r>
      <w:r w:rsidR="002F1B7E">
        <w:t xml:space="preserve">as a result </w:t>
      </w:r>
      <w:r>
        <w:t xml:space="preserve">some explanatory variables </w:t>
      </w:r>
      <w:r w:rsidR="0049377B">
        <w:t xml:space="preserve">might </w:t>
      </w:r>
      <w:r>
        <w:t xml:space="preserve">appear </w:t>
      </w:r>
      <w:r w:rsidR="0049377B">
        <w:t>in</w:t>
      </w:r>
      <w:r>
        <w:t>significant when they are</w:t>
      </w:r>
      <w:r w:rsidR="0049377B">
        <w:t xml:space="preserve"> not</w:t>
      </w:r>
      <w:r w:rsidR="00606339">
        <w:t xml:space="preserve"> (Greene</w:t>
      </w:r>
      <w:r w:rsidR="00D516F5">
        <w:t> </w:t>
      </w:r>
      <w:r w:rsidR="00606339">
        <w:t>2003)</w:t>
      </w:r>
      <w:r>
        <w:t>.</w:t>
      </w:r>
      <w:r w:rsidR="0049377B">
        <w:rPr>
          <w:rStyle w:val="FootnoteReference"/>
        </w:rPr>
        <w:footnoteReference w:id="13"/>
      </w:r>
    </w:p>
    <w:sectPr w:rsidR="004755B5" w:rsidSect="00B10922">
      <w:headerReference w:type="even" r:id="rId11"/>
      <w:headerReference w:type="default" r:id="rId12"/>
      <w:footerReference w:type="even" r:id="rId13"/>
      <w:footerReference w:type="default" r:id="rId14"/>
      <w:pgSz w:w="11907" w:h="16840" w:code="9"/>
      <w:pgMar w:top="1985" w:right="1304" w:bottom="1418" w:left="1814" w:header="1701" w:footer="567" w:gutter="0"/>
      <w:pgNumType w:start="19"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781E" w:rsidRDefault="00FA781E">
      <w:r>
        <w:separator/>
      </w:r>
    </w:p>
  </w:endnote>
  <w:endnote w:type="continuationSeparator" w:id="0">
    <w:p w:rsidR="00FA781E" w:rsidRDefault="00FA781E">
      <w:r>
        <w:continuationSeparator/>
      </w:r>
    </w:p>
  </w:endnote>
  <w:endnote w:type="continuationNotice" w:id="1">
    <w:p w:rsidR="00FA781E" w:rsidRDefault="00FA78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8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8F6A69" w:rsidTr="0019293B">
      <w:trPr>
        <w:trHeight w:hRule="exact" w:val="740"/>
      </w:trPr>
      <w:tc>
        <w:tcPr>
          <w:tcW w:w="510" w:type="dxa"/>
          <w:tcBorders>
            <w:top w:val="single" w:sz="6" w:space="0" w:color="auto"/>
          </w:tcBorders>
        </w:tcPr>
        <w:p w:rsidR="008F6A69" w:rsidRDefault="008F6A69" w:rsidP="0019293B">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27386C">
            <w:rPr>
              <w:rStyle w:val="PageNumber"/>
              <w:noProof/>
            </w:rPr>
            <w:t>30</w:t>
          </w:r>
          <w:r>
            <w:rPr>
              <w:rStyle w:val="PageNumber"/>
            </w:rPr>
            <w:fldChar w:fldCharType="end"/>
          </w:r>
        </w:p>
      </w:tc>
      <w:tc>
        <w:tcPr>
          <w:tcW w:w="1644" w:type="dxa"/>
          <w:tcBorders>
            <w:top w:val="single" w:sz="6" w:space="0" w:color="auto"/>
          </w:tcBorders>
        </w:tcPr>
        <w:p w:rsidR="008F6A69" w:rsidRDefault="00F22F88" w:rsidP="006709A3">
          <w:pPr>
            <w:pStyle w:val="Footer"/>
          </w:pPr>
          <w:r>
            <w:t>INFLUENCES ON</w:t>
          </w:r>
          <w:r w:rsidR="00B10922">
            <w:t xml:space="preserve"> Indigenous Labour Market Outcomes</w:t>
          </w:r>
        </w:p>
      </w:tc>
      <w:tc>
        <w:tcPr>
          <w:tcW w:w="6634" w:type="dxa"/>
        </w:tcPr>
        <w:p w:rsidR="008F6A69" w:rsidRDefault="008F6A69" w:rsidP="0019293B">
          <w:pPr>
            <w:pStyle w:val="Footer"/>
          </w:pPr>
        </w:p>
      </w:tc>
    </w:tr>
  </w:tbl>
  <w:p w:rsidR="008F6A69" w:rsidRDefault="008F6A69" w:rsidP="0019293B">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8F6A69">
      <w:trPr>
        <w:trHeight w:hRule="exact" w:val="740"/>
      </w:trPr>
      <w:tc>
        <w:tcPr>
          <w:tcW w:w="6634" w:type="dxa"/>
        </w:tcPr>
        <w:p w:rsidR="008F6A69" w:rsidRDefault="008F6A69">
          <w:pPr>
            <w:pStyle w:val="Footer"/>
            <w:ind w:right="360" w:firstLine="360"/>
          </w:pPr>
        </w:p>
      </w:tc>
      <w:tc>
        <w:tcPr>
          <w:tcW w:w="1644" w:type="dxa"/>
          <w:tcBorders>
            <w:top w:val="single" w:sz="6" w:space="0" w:color="auto"/>
          </w:tcBorders>
        </w:tcPr>
        <w:p w:rsidR="008F6A69" w:rsidRDefault="00B10922">
          <w:pPr>
            <w:pStyle w:val="Footer"/>
          </w:pPr>
          <w:fldSimple w:instr=" TITLE  \* MERGEFORMAT ">
            <w:r w:rsidR="0027386C">
              <w:t>Econometric model</w:t>
            </w:r>
          </w:fldSimple>
          <w:bookmarkStart w:id="6" w:name="OLE_LINK6"/>
        </w:p>
      </w:tc>
      <w:tc>
        <w:tcPr>
          <w:tcW w:w="510" w:type="dxa"/>
          <w:tcBorders>
            <w:top w:val="single" w:sz="6" w:space="0" w:color="auto"/>
          </w:tcBorders>
        </w:tcPr>
        <w:p w:rsidR="008F6A69" w:rsidRDefault="008F6A69">
          <w:pPr>
            <w:pStyle w:val="Footer"/>
            <w:jc w:val="right"/>
          </w:pPr>
          <w:r>
            <w:rPr>
              <w:rStyle w:val="PageNumber"/>
            </w:rPr>
            <w:fldChar w:fldCharType="begin"/>
          </w:r>
          <w:r>
            <w:rPr>
              <w:rStyle w:val="PageNumber"/>
            </w:rPr>
            <w:instrText xml:space="preserve">PAGE  </w:instrText>
          </w:r>
          <w:r>
            <w:rPr>
              <w:rStyle w:val="PageNumber"/>
            </w:rPr>
            <w:fldChar w:fldCharType="separate"/>
          </w:r>
          <w:r w:rsidR="0027386C">
            <w:rPr>
              <w:rStyle w:val="PageNumber"/>
              <w:noProof/>
            </w:rPr>
            <w:t>29</w:t>
          </w:r>
          <w:r>
            <w:rPr>
              <w:rStyle w:val="PageNumber"/>
            </w:rPr>
            <w:fldChar w:fldCharType="end"/>
          </w:r>
        </w:p>
      </w:tc>
    </w:tr>
    <w:bookmarkEnd w:id="6"/>
  </w:tbl>
  <w:p w:rsidR="008F6A69" w:rsidRDefault="008F6A69">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781E" w:rsidRDefault="00FA781E">
      <w:r>
        <w:separator/>
      </w:r>
    </w:p>
  </w:footnote>
  <w:footnote w:type="continuationSeparator" w:id="0">
    <w:p w:rsidR="00FA781E" w:rsidRDefault="00FA781E">
      <w:r>
        <w:continuationSeparator/>
      </w:r>
    </w:p>
  </w:footnote>
  <w:footnote w:type="continuationNotice" w:id="1">
    <w:p w:rsidR="00FA781E" w:rsidRDefault="00FA781E"/>
  </w:footnote>
  <w:footnote w:id="2">
    <w:p w:rsidR="008F6A69" w:rsidRDefault="008F6A69">
      <w:pPr>
        <w:pStyle w:val="FootnoteText"/>
      </w:pPr>
      <w:r>
        <w:rPr>
          <w:rStyle w:val="FootnoteReference"/>
        </w:rPr>
        <w:footnoteRef/>
      </w:r>
      <w:r>
        <w:tab/>
        <w:t xml:space="preserve">There are other modelling options, such as a nested model, but these are more difficult to estimate and unlikely to produce significantly different results. </w:t>
      </w:r>
    </w:p>
  </w:footnote>
  <w:footnote w:id="3">
    <w:p w:rsidR="008F6A69" w:rsidRDefault="008F6A69">
      <w:pPr>
        <w:pStyle w:val="FootnoteText"/>
      </w:pPr>
      <w:r>
        <w:rPr>
          <w:rStyle w:val="FootnoteReference"/>
        </w:rPr>
        <w:footnoteRef/>
      </w:r>
      <w:r>
        <w:tab/>
        <w:t>See Greene (2003) for more information on the assumed distribution of the error terms in MNL models.</w:t>
      </w:r>
    </w:p>
  </w:footnote>
  <w:footnote w:id="4">
    <w:p w:rsidR="008F6A69" w:rsidRDefault="008F6A69" w:rsidP="00851D2F">
      <w:pPr>
        <w:pStyle w:val="FootnoteText"/>
      </w:pPr>
      <w:r>
        <w:rPr>
          <w:rStyle w:val="FootnoteReference"/>
        </w:rPr>
        <w:footnoteRef/>
      </w:r>
      <w:r>
        <w:tab/>
        <w:t xml:space="preserve">The Hausman test was conducted (with each outcome in turn omitted from the choice set). Other tests were not possible with the ABS’s Remote Access Data Laboratory. </w:t>
      </w:r>
    </w:p>
  </w:footnote>
  <w:footnote w:id="5">
    <w:p w:rsidR="008F6A69" w:rsidRDefault="008F6A69">
      <w:pPr>
        <w:pStyle w:val="FootnoteText"/>
      </w:pPr>
      <w:r>
        <w:rPr>
          <w:rStyle w:val="FootnoteReference"/>
        </w:rPr>
        <w:footnoteRef/>
      </w:r>
      <w:r>
        <w:tab/>
        <w:t xml:space="preserve">A comparison of the results from the MNP and MNL models indicated the difference in the magnitude and significance of the marginal effects was relatively small for most variables. </w:t>
      </w:r>
    </w:p>
  </w:footnote>
  <w:footnote w:id="6">
    <w:p w:rsidR="009C6C5E" w:rsidRDefault="009C6C5E" w:rsidP="009C6C5E">
      <w:pPr>
        <w:pStyle w:val="FootnoteText"/>
      </w:pPr>
      <w:r>
        <w:rPr>
          <w:rStyle w:val="FootnoteReference"/>
        </w:rPr>
        <w:footnoteRef/>
      </w:r>
      <w:r>
        <w:t xml:space="preserve"> </w:t>
      </w:r>
      <w:r>
        <w:tab/>
        <w:t>The base man and woman are married, even though a majority of women in the sample are not married.</w:t>
      </w:r>
    </w:p>
  </w:footnote>
  <w:footnote w:id="7">
    <w:p w:rsidR="009C6C5E" w:rsidRDefault="009C6C5E" w:rsidP="009C6C5E">
      <w:pPr>
        <w:pStyle w:val="FootnoteText"/>
      </w:pPr>
      <w:r>
        <w:rPr>
          <w:rStyle w:val="FootnoteReference"/>
        </w:rPr>
        <w:footnoteRef/>
      </w:r>
      <w:r>
        <w:tab/>
        <w:t xml:space="preserve">The convention in econometric analysis is to define binary variables in terms of the least common characteristic. For example, the variable indicating whether someone has a degree is defined as ‘has a degree’. This description is chosen because most people do not have a degree (DEGREE = 0). The marginal effect associated with having a degree is the change in the predicted probability of a </w:t>
      </w:r>
      <w:proofErr w:type="spellStart"/>
      <w:r>
        <w:t>LMO</w:t>
      </w:r>
      <w:proofErr w:type="spellEnd"/>
      <w:r>
        <w:t xml:space="preserve"> resulting in a change from not having a degree to having a degree (DEGREE = 1). Some variables are defined in terms of not having the characteristic (does not provide support, is not married) because the most common characteristic for people in the sample is that they provide support, and are married. The definitions are intended to provide a consistent basis for interpretation rather than having any connotation of desirability about being in one category over another.</w:t>
      </w:r>
    </w:p>
  </w:footnote>
  <w:footnote w:id="8">
    <w:p w:rsidR="009308F0" w:rsidRDefault="009308F0" w:rsidP="009308F0">
      <w:pPr>
        <w:pStyle w:val="FootnoteText"/>
      </w:pPr>
      <w:r>
        <w:rPr>
          <w:rStyle w:val="FootnoteReference"/>
        </w:rPr>
        <w:footnoteRef/>
      </w:r>
      <w:r>
        <w:tab/>
      </w:r>
      <w:r w:rsidRPr="002F054C">
        <w:t xml:space="preserve">If a </w:t>
      </w:r>
      <w:r>
        <w:t>marginal effect</w:t>
      </w:r>
      <w:r w:rsidRPr="002F054C">
        <w:t xml:space="preserve"> is significant at the </w:t>
      </w:r>
      <w:r>
        <w:t>5</w:t>
      </w:r>
      <w:r w:rsidRPr="002F054C">
        <w:t> per cent level</w:t>
      </w:r>
      <w:r>
        <w:t xml:space="preserve"> (two stars), then there is 95 per cent certainty that there is a (non-zero) relationship between the factor and the </w:t>
      </w:r>
      <w:proofErr w:type="spellStart"/>
      <w:r>
        <w:t>LMO</w:t>
      </w:r>
      <w:proofErr w:type="spellEnd"/>
      <w:r>
        <w:t xml:space="preserve">. </w:t>
      </w:r>
    </w:p>
  </w:footnote>
  <w:footnote w:id="9">
    <w:p w:rsidR="008F6A69" w:rsidRDefault="008F6A69" w:rsidP="000044AD">
      <w:pPr>
        <w:pStyle w:val="FootnoteText"/>
      </w:pPr>
      <w:r>
        <w:rPr>
          <w:rStyle w:val="FootnoteReference"/>
        </w:rPr>
        <w:footnoteRef/>
      </w:r>
      <w:r>
        <w:tab/>
        <w:t>Most women (</w:t>
      </w:r>
      <w:r w:rsidRPr="00627F9B">
        <w:t>52</w:t>
      </w:r>
      <w:r>
        <w:t> </w:t>
      </w:r>
      <w:r w:rsidRPr="00627F9B">
        <w:t>per</w:t>
      </w:r>
      <w:r>
        <w:t> </w:t>
      </w:r>
      <w:r w:rsidRPr="00627F9B">
        <w:t>cent</w:t>
      </w:r>
      <w:r>
        <w:t>) in the estimation sample were unmarried and most men (</w:t>
      </w:r>
      <w:r w:rsidRPr="001F2042">
        <w:t>54</w:t>
      </w:r>
      <w:r>
        <w:t> </w:t>
      </w:r>
      <w:r w:rsidRPr="001F2042">
        <w:t>per</w:t>
      </w:r>
      <w:r>
        <w:t> </w:t>
      </w:r>
      <w:r w:rsidRPr="001F2042">
        <w:t>cent)</w:t>
      </w:r>
      <w:r>
        <w:t xml:space="preserve"> were married. For ease of comparison of the results, the reference man and woman are both married, which is the most common category overall.</w:t>
      </w:r>
    </w:p>
  </w:footnote>
  <w:footnote w:id="10">
    <w:p w:rsidR="008F6A69" w:rsidRDefault="008F6A69">
      <w:pPr>
        <w:pStyle w:val="FootnoteText"/>
      </w:pPr>
      <w:r>
        <w:rPr>
          <w:rStyle w:val="FootnoteReference"/>
        </w:rPr>
        <w:footnoteRef/>
      </w:r>
      <w:r>
        <w:tab/>
        <w:t xml:space="preserve">See table </w:t>
      </w:r>
      <w:proofErr w:type="spellStart"/>
      <w:r>
        <w:t>A.7</w:t>
      </w:r>
      <w:proofErr w:type="spellEnd"/>
      <w:r>
        <w:t xml:space="preserve"> for the sample size</w:t>
      </w:r>
      <w:r w:rsidRPr="000C57E8">
        <w:rPr>
          <w:sz w:val="26"/>
        </w:rPr>
        <w:t>.</w:t>
      </w:r>
    </w:p>
  </w:footnote>
  <w:footnote w:id="11">
    <w:p w:rsidR="008F6A69" w:rsidRDefault="008F6A69">
      <w:pPr>
        <w:pStyle w:val="FootnoteText"/>
      </w:pPr>
      <w:r>
        <w:rPr>
          <w:rStyle w:val="FootnoteReference"/>
        </w:rPr>
        <w:footnoteRef/>
      </w:r>
      <w:r>
        <w:tab/>
      </w:r>
      <w:r w:rsidRPr="00D974D7">
        <w:t>The undercoverage rate reported by the ABS is 53 per cent for the 2008 NATSISS. This is higher than the undercoverage rates reported by the ABS for the 2004-05 National Aboriginal and Torres Strait Islander Health Survey (42 per cent) and the Monthly Population Survey (12 per cent). More information on NATSISS sampling and non-sampling errors can be found at ABS (2010</w:t>
      </w:r>
      <w:r>
        <w:t>b</w:t>
      </w:r>
      <w:r w:rsidRPr="00D974D7">
        <w:t>). Some of the other significant factors contributing to undercoverage relate to non</w:t>
      </w:r>
      <w:r w:rsidRPr="00D974D7">
        <w:noBreakHyphen/>
        <w:t>identification of Indigenous people, non-response to survey questions and errors identifying some private dwellings.</w:t>
      </w:r>
    </w:p>
  </w:footnote>
  <w:footnote w:id="12">
    <w:p w:rsidR="008F6A69" w:rsidRDefault="008F6A69">
      <w:pPr>
        <w:pStyle w:val="FootnoteText"/>
      </w:pPr>
      <w:r>
        <w:rPr>
          <w:rStyle w:val="FootnoteReference"/>
        </w:rPr>
        <w:footnoteRef/>
      </w:r>
      <w:r>
        <w:t xml:space="preserve"> This includes applying a geographical adjustment to initial weights to account for different undercoverage rates and the characteristics of Indigenous people living in these areas and calibrating the weights with population benchmarks (ABS 2010b).</w:t>
      </w:r>
    </w:p>
  </w:footnote>
  <w:footnote w:id="13">
    <w:p w:rsidR="008F6A69" w:rsidRDefault="008F6A69">
      <w:pPr>
        <w:pStyle w:val="FootnoteText"/>
      </w:pPr>
      <w:r>
        <w:rPr>
          <w:rStyle w:val="FootnoteReference"/>
        </w:rPr>
        <w:footnoteRef/>
      </w:r>
      <w:r>
        <w:tab/>
        <w:t xml:space="preserve">There is a trade-off involved in balancing the potential impacts of multicollinearity by excluding some highly correlated explanatory variables, against the possibility of introducing omitted variable bias.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8F6A69" w:rsidTr="0019293B">
      <w:tc>
        <w:tcPr>
          <w:tcW w:w="2155" w:type="dxa"/>
          <w:tcBorders>
            <w:top w:val="single" w:sz="24" w:space="0" w:color="auto"/>
          </w:tcBorders>
        </w:tcPr>
        <w:p w:rsidR="008F6A69" w:rsidRDefault="008F6A69" w:rsidP="0019293B">
          <w:pPr>
            <w:pStyle w:val="HeaderEven"/>
          </w:pPr>
        </w:p>
      </w:tc>
      <w:tc>
        <w:tcPr>
          <w:tcW w:w="6634" w:type="dxa"/>
          <w:tcBorders>
            <w:top w:val="single" w:sz="6" w:space="0" w:color="auto"/>
          </w:tcBorders>
        </w:tcPr>
        <w:p w:rsidR="008F6A69" w:rsidRDefault="008F6A69" w:rsidP="0019293B">
          <w:pPr>
            <w:pStyle w:val="HeaderEven"/>
          </w:pPr>
        </w:p>
      </w:tc>
    </w:tr>
  </w:tbl>
  <w:p w:rsidR="008F6A69" w:rsidRDefault="008F6A69" w:rsidP="0019293B">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8F6A69" w:rsidTr="00E669E2">
      <w:tc>
        <w:tcPr>
          <w:tcW w:w="6634" w:type="dxa"/>
          <w:tcBorders>
            <w:top w:val="single" w:sz="6" w:space="0" w:color="auto"/>
          </w:tcBorders>
        </w:tcPr>
        <w:p w:rsidR="008F6A69" w:rsidRDefault="008F6A69" w:rsidP="00E669E2">
          <w:pPr>
            <w:pStyle w:val="HeaderOdd"/>
          </w:pPr>
        </w:p>
      </w:tc>
      <w:tc>
        <w:tcPr>
          <w:tcW w:w="2155" w:type="dxa"/>
          <w:tcBorders>
            <w:top w:val="single" w:sz="24" w:space="0" w:color="auto"/>
          </w:tcBorders>
        </w:tcPr>
        <w:p w:rsidR="008F6A69" w:rsidRDefault="008F6A69" w:rsidP="00E669E2">
          <w:pPr>
            <w:pStyle w:val="HeaderOdd"/>
          </w:pPr>
        </w:p>
      </w:tc>
    </w:tr>
  </w:tbl>
  <w:p w:rsidR="008F6A69" w:rsidRDefault="008F6A69" w:rsidP="00E669E2">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ED98921A"/>
    <w:lvl w:ilvl="0">
      <w:start w:val="1"/>
      <w:numFmt w:val="decimal"/>
      <w:lvlText w:val="%1."/>
      <w:lvlJc w:val="left"/>
      <w:pPr>
        <w:tabs>
          <w:tab w:val="num" w:pos="926"/>
        </w:tabs>
        <w:ind w:left="926" w:hanging="360"/>
      </w:pPr>
    </w:lvl>
  </w:abstractNum>
  <w:abstractNum w:abstractNumId="1">
    <w:nsid w:val="FFFFFF7F"/>
    <w:multiLevelType w:val="singleLevel"/>
    <w:tmpl w:val="69042E6A"/>
    <w:lvl w:ilvl="0">
      <w:start w:val="1"/>
      <w:numFmt w:val="decimal"/>
      <w:lvlText w:val="%1."/>
      <w:lvlJc w:val="left"/>
      <w:pPr>
        <w:tabs>
          <w:tab w:val="num" w:pos="643"/>
        </w:tabs>
        <w:ind w:left="643" w:hanging="360"/>
      </w:pPr>
    </w:lvl>
  </w:abstractNum>
  <w:abstractNum w:abstractNumId="2">
    <w:nsid w:val="FFFFFF82"/>
    <w:multiLevelType w:val="singleLevel"/>
    <w:tmpl w:val="3A3A2F0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0BA2943E"/>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93104AE2"/>
    <w:lvl w:ilvl="0">
      <w:start w:val="1"/>
      <w:numFmt w:val="decimal"/>
      <w:lvlText w:val="%1."/>
      <w:lvlJc w:val="left"/>
      <w:pPr>
        <w:tabs>
          <w:tab w:val="num" w:pos="360"/>
        </w:tabs>
        <w:ind w:left="360" w:hanging="360"/>
      </w:pPr>
    </w:lvl>
  </w:abstractNum>
  <w:abstractNum w:abstractNumId="5">
    <w:nsid w:val="FFFFFF89"/>
    <w:multiLevelType w:val="singleLevel"/>
    <w:tmpl w:val="0F36FBA8"/>
    <w:lvl w:ilvl="0">
      <w:start w:val="1"/>
      <w:numFmt w:val="bullet"/>
      <w:lvlText w:val=""/>
      <w:lvlJc w:val="left"/>
      <w:pPr>
        <w:tabs>
          <w:tab w:val="num" w:pos="360"/>
        </w:tabs>
        <w:ind w:left="360" w:hanging="360"/>
      </w:pPr>
      <w:rPr>
        <w:rFonts w:ascii="Symbol" w:hAnsi="Symbol" w:hint="default"/>
      </w:rPr>
    </w:lvl>
  </w:abstractNum>
  <w:abstractNum w:abstractNumId="6">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nsid w:val="033F2413"/>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047A7C39"/>
    <w:multiLevelType w:val="singleLevel"/>
    <w:tmpl w:val="080ADBB6"/>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9">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10">
    <w:nsid w:val="07057F34"/>
    <w:multiLevelType w:val="singleLevel"/>
    <w:tmpl w:val="ED98921A"/>
    <w:lvl w:ilvl="0">
      <w:start w:val="1"/>
      <w:numFmt w:val="decimal"/>
      <w:lvlText w:val="%1."/>
      <w:legacy w:legacy="1" w:legacySpace="0" w:legacyIndent="340"/>
      <w:lvlJc w:val="left"/>
      <w:pPr>
        <w:ind w:left="340" w:hanging="340"/>
      </w:pPr>
    </w:lvl>
  </w:abstractNum>
  <w:abstractNum w:abstractNumId="11">
    <w:nsid w:val="07405C8A"/>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0976285D"/>
    <w:multiLevelType w:val="hybridMultilevel"/>
    <w:tmpl w:val="4DFE95A6"/>
    <w:lvl w:ilvl="0" w:tplc="295052F0">
      <w:start w:val="1"/>
      <w:numFmt w:val="bullet"/>
      <w:lvlText w:val=""/>
      <w:lvlJc w:val="left"/>
      <w:pPr>
        <w:tabs>
          <w:tab w:val="num" w:pos="1440"/>
        </w:tabs>
        <w:ind w:left="1440" w:hanging="360"/>
      </w:pPr>
      <w:rPr>
        <w:rFonts w:ascii="Symbol" w:eastAsia="Times New Roman" w:hAnsi="Symbol" w:cs="Times New Roman" w:hint="default"/>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13">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6">
    <w:nsid w:val="23FF358D"/>
    <w:multiLevelType w:val="singleLevel"/>
    <w:tmpl w:val="2278E24C"/>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17">
    <w:nsid w:val="27371796"/>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19">
    <w:nsid w:val="39C335C1"/>
    <w:multiLevelType w:val="multilevel"/>
    <w:tmpl w:val="7DF6C670"/>
    <w:lvl w:ilvl="0">
      <w:start w:val="1"/>
      <w:numFmt w:val="decimal"/>
      <w:lvlText w:val="%1)"/>
      <w:lvlJc w:val="left"/>
      <w:pPr>
        <w:tabs>
          <w:tab w:val="num" w:pos="1134"/>
        </w:tabs>
        <w:ind w:left="1134" w:hanging="340"/>
      </w:pPr>
      <w:rPr>
        <w:rFonts w:hint="default"/>
      </w:rPr>
    </w:lvl>
    <w:lvl w:ilvl="1">
      <w:start w:val="1"/>
      <w:numFmt w:val="lowerLetter"/>
      <w:lvlText w:val="%2)"/>
      <w:lvlJc w:val="left"/>
      <w:pPr>
        <w:tabs>
          <w:tab w:val="num" w:pos="1588"/>
        </w:tabs>
        <w:ind w:left="1588" w:hanging="454"/>
      </w:pPr>
      <w:rPr>
        <w:rFonts w:hint="default"/>
      </w:rPr>
    </w:lvl>
    <w:lvl w:ilvl="2">
      <w:start w:val="1"/>
      <w:numFmt w:val="lowerRoman"/>
      <w:lvlText w:val="%3)"/>
      <w:lvlJc w:val="left"/>
      <w:pPr>
        <w:tabs>
          <w:tab w:val="num" w:pos="2098"/>
        </w:tabs>
        <w:ind w:left="2098" w:hanging="51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20">
    <w:nsid w:val="51F74561"/>
    <w:multiLevelType w:val="singleLevel"/>
    <w:tmpl w:val="ED98921A"/>
    <w:lvl w:ilvl="0">
      <w:start w:val="1"/>
      <w:numFmt w:val="decimal"/>
      <w:lvlText w:val="%1."/>
      <w:legacy w:legacy="1" w:legacySpace="0" w:legacyIndent="340"/>
      <w:lvlJc w:val="left"/>
      <w:pPr>
        <w:ind w:left="340" w:hanging="340"/>
      </w:pPr>
    </w:lvl>
  </w:abstractNum>
  <w:abstractNum w:abstractNumId="21">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22">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23">
    <w:nsid w:val="55532592"/>
    <w:multiLevelType w:val="singleLevel"/>
    <w:tmpl w:val="AD60D3B8"/>
    <w:lvl w:ilvl="0">
      <w:start w:val="1"/>
      <w:numFmt w:val="lowerLetter"/>
      <w:lvlText w:val="(%1)"/>
      <w:legacy w:legacy="1" w:legacySpace="0" w:legacyIndent="340"/>
      <w:lvlJc w:val="left"/>
      <w:pPr>
        <w:ind w:left="680" w:hanging="340"/>
      </w:pPr>
    </w:lvl>
  </w:abstractNum>
  <w:abstractNum w:abstractNumId="24">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25">
    <w:nsid w:val="58A04AF2"/>
    <w:multiLevelType w:val="singleLevel"/>
    <w:tmpl w:val="E9806908"/>
    <w:lvl w:ilvl="0">
      <w:start w:val="1"/>
      <w:numFmt w:val="lowerRoman"/>
      <w:lvlText w:val="(%1)"/>
      <w:legacy w:legacy="1" w:legacySpace="0" w:legacyIndent="340"/>
      <w:lvlJc w:val="left"/>
      <w:pPr>
        <w:ind w:left="1134" w:hanging="340"/>
      </w:pPr>
    </w:lvl>
  </w:abstractNum>
  <w:abstractNum w:abstractNumId="26">
    <w:nsid w:val="5A096576"/>
    <w:multiLevelType w:val="singleLevel"/>
    <w:tmpl w:val="ED98921A"/>
    <w:lvl w:ilvl="0">
      <w:start w:val="1"/>
      <w:numFmt w:val="decimal"/>
      <w:lvlText w:val="%1."/>
      <w:legacy w:legacy="1" w:legacySpace="0" w:legacyIndent="340"/>
      <w:lvlJc w:val="left"/>
      <w:pPr>
        <w:ind w:left="340" w:hanging="340"/>
      </w:pPr>
    </w:lvl>
  </w:abstractNum>
  <w:abstractNum w:abstractNumId="27">
    <w:nsid w:val="5BB56A48"/>
    <w:multiLevelType w:val="multilevel"/>
    <w:tmpl w:val="6D248CEA"/>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nsid w:val="60055F7F"/>
    <w:multiLevelType w:val="singleLevel"/>
    <w:tmpl w:val="ED98921A"/>
    <w:lvl w:ilvl="0">
      <w:start w:val="1"/>
      <w:numFmt w:val="decimal"/>
      <w:lvlText w:val="%1."/>
      <w:legacy w:legacy="1" w:legacySpace="0" w:legacyIndent="340"/>
      <w:lvlJc w:val="left"/>
      <w:pPr>
        <w:ind w:left="340" w:hanging="340"/>
      </w:pPr>
    </w:lvl>
  </w:abstractNum>
  <w:abstractNum w:abstractNumId="29">
    <w:nsid w:val="608E741E"/>
    <w:multiLevelType w:val="singleLevel"/>
    <w:tmpl w:val="ED98921A"/>
    <w:lvl w:ilvl="0">
      <w:start w:val="1"/>
      <w:numFmt w:val="decimal"/>
      <w:lvlText w:val="%1."/>
      <w:legacy w:legacy="1" w:legacySpace="0" w:legacyIndent="340"/>
      <w:lvlJc w:val="left"/>
      <w:pPr>
        <w:ind w:left="340" w:hanging="340"/>
      </w:pPr>
    </w:lvl>
  </w:abstractNum>
  <w:abstractNum w:abstractNumId="30">
    <w:nsid w:val="61320C1E"/>
    <w:multiLevelType w:val="singleLevel"/>
    <w:tmpl w:val="C444122C"/>
    <w:lvl w:ilvl="0">
      <w:start w:val="1"/>
      <w:numFmt w:val="decimal"/>
      <w:lvlText w:val="%1."/>
      <w:legacy w:legacy="1" w:legacySpace="0" w:legacyIndent="284"/>
      <w:lvlJc w:val="left"/>
      <w:pPr>
        <w:ind w:left="284" w:hanging="284"/>
      </w:pPr>
    </w:lvl>
  </w:abstractNum>
  <w:abstractNum w:abstractNumId="31">
    <w:nsid w:val="627154D2"/>
    <w:multiLevelType w:val="singleLevel"/>
    <w:tmpl w:val="AD60D3B8"/>
    <w:lvl w:ilvl="0">
      <w:start w:val="1"/>
      <w:numFmt w:val="lowerLetter"/>
      <w:lvlText w:val="(%1)"/>
      <w:legacy w:legacy="1" w:legacySpace="0" w:legacyIndent="340"/>
      <w:lvlJc w:val="left"/>
      <w:pPr>
        <w:ind w:left="680" w:hanging="340"/>
      </w:pPr>
    </w:lvl>
  </w:abstractNum>
  <w:abstractNum w:abstractNumId="32">
    <w:nsid w:val="643516F3"/>
    <w:multiLevelType w:val="singleLevel"/>
    <w:tmpl w:val="96689D62"/>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33">
    <w:nsid w:val="67806EB5"/>
    <w:multiLevelType w:val="singleLevel"/>
    <w:tmpl w:val="AD60D3B8"/>
    <w:lvl w:ilvl="0">
      <w:start w:val="1"/>
      <w:numFmt w:val="lowerLetter"/>
      <w:lvlText w:val="(%1)"/>
      <w:legacy w:legacy="1" w:legacySpace="0" w:legacyIndent="340"/>
      <w:lvlJc w:val="left"/>
      <w:pPr>
        <w:ind w:left="680" w:hanging="340"/>
      </w:pPr>
    </w:lvl>
  </w:abstractNum>
  <w:abstractNum w:abstractNumId="34">
    <w:nsid w:val="707E6FEC"/>
    <w:multiLevelType w:val="singleLevel"/>
    <w:tmpl w:val="E9806908"/>
    <w:lvl w:ilvl="0">
      <w:start w:val="1"/>
      <w:numFmt w:val="lowerRoman"/>
      <w:lvlText w:val="(%1)"/>
      <w:legacy w:legacy="1" w:legacySpace="0" w:legacyIndent="340"/>
      <w:lvlJc w:val="left"/>
      <w:pPr>
        <w:ind w:left="1134" w:hanging="340"/>
      </w:pPr>
    </w:lvl>
  </w:abstractNum>
  <w:abstractNum w:abstractNumId="35">
    <w:nsid w:val="746E6DCF"/>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4E25280"/>
    <w:multiLevelType w:val="singleLevel"/>
    <w:tmpl w:val="AD60D3B8"/>
    <w:lvl w:ilvl="0">
      <w:start w:val="1"/>
      <w:numFmt w:val="lowerLetter"/>
      <w:lvlText w:val="(%1)"/>
      <w:legacy w:legacy="1" w:legacySpace="0" w:legacyIndent="340"/>
      <w:lvlJc w:val="left"/>
      <w:pPr>
        <w:ind w:left="680" w:hanging="340"/>
      </w:pPr>
    </w:lvl>
  </w:abstractNum>
  <w:abstractNum w:abstractNumId="37">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38">
    <w:nsid w:val="7AE279BD"/>
    <w:multiLevelType w:val="hybridMultilevel"/>
    <w:tmpl w:val="030C38E0"/>
    <w:lvl w:ilvl="0" w:tplc="01C09F0C">
      <w:start w:val="1"/>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9">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abstractNum w:abstractNumId="40">
    <w:nsid w:val="7F5B19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8"/>
  </w:num>
  <w:num w:numId="2">
    <w:abstractNumId w:val="9"/>
  </w:num>
  <w:num w:numId="3">
    <w:abstractNumId w:val="37"/>
  </w:num>
  <w:num w:numId="4">
    <w:abstractNumId w:val="6"/>
  </w:num>
  <w:num w:numId="5">
    <w:abstractNumId w:val="5"/>
  </w:num>
  <w:num w:numId="6">
    <w:abstractNumId w:val="21"/>
  </w:num>
  <w:num w:numId="7">
    <w:abstractNumId w:val="3"/>
  </w:num>
  <w:num w:numId="8">
    <w:abstractNumId w:val="8"/>
  </w:num>
  <w:num w:numId="9">
    <w:abstractNumId w:val="2"/>
  </w:num>
  <w:num w:numId="10">
    <w:abstractNumId w:val="32"/>
  </w:num>
  <w:num w:numId="11">
    <w:abstractNumId w:val="4"/>
  </w:num>
  <w:num w:numId="12">
    <w:abstractNumId w:val="1"/>
  </w:num>
  <w:num w:numId="13">
    <w:abstractNumId w:val="0"/>
  </w:num>
  <w:num w:numId="14">
    <w:abstractNumId w:val="24"/>
  </w:num>
  <w:num w:numId="15">
    <w:abstractNumId w:val="39"/>
  </w:num>
  <w:num w:numId="16">
    <w:abstractNumId w:val="16"/>
  </w:num>
  <w:num w:numId="17">
    <w:abstractNumId w:val="15"/>
  </w:num>
  <w:num w:numId="18">
    <w:abstractNumId w:val="22"/>
  </w:num>
  <w:num w:numId="19">
    <w:abstractNumId w:val="10"/>
  </w:num>
  <w:num w:numId="20">
    <w:abstractNumId w:val="29"/>
  </w:num>
  <w:num w:numId="21">
    <w:abstractNumId w:val="31"/>
  </w:num>
  <w:num w:numId="22">
    <w:abstractNumId w:val="20"/>
  </w:num>
  <w:num w:numId="23">
    <w:abstractNumId w:val="23"/>
  </w:num>
  <w:num w:numId="24">
    <w:abstractNumId w:val="25"/>
  </w:num>
  <w:num w:numId="25">
    <w:abstractNumId w:val="36"/>
  </w:num>
  <w:num w:numId="26">
    <w:abstractNumId w:val="28"/>
  </w:num>
  <w:num w:numId="27">
    <w:abstractNumId w:val="33"/>
  </w:num>
  <w:num w:numId="28">
    <w:abstractNumId w:val="34"/>
  </w:num>
  <w:num w:numId="29">
    <w:abstractNumId w:val="26"/>
  </w:num>
  <w:num w:numId="30">
    <w:abstractNumId w:val="19"/>
  </w:num>
  <w:num w:numId="31">
    <w:abstractNumId w:val="40"/>
  </w:num>
  <w:num w:numId="32">
    <w:abstractNumId w:val="14"/>
  </w:num>
  <w:num w:numId="33">
    <w:abstractNumId w:val="7"/>
  </w:num>
  <w:num w:numId="34">
    <w:abstractNumId w:val="17"/>
  </w:num>
  <w:num w:numId="35">
    <w:abstractNumId w:val="35"/>
  </w:num>
  <w:num w:numId="36">
    <w:abstractNumId w:val="27"/>
  </w:num>
  <w:num w:numId="37">
    <w:abstractNumId w:val="11"/>
  </w:num>
  <w:num w:numId="38">
    <w:abstractNumId w:val="30"/>
  </w:num>
  <w:num w:numId="39">
    <w:abstractNumId w:val="13"/>
  </w:num>
  <w:num w:numId="40">
    <w:abstractNumId w:val="16"/>
  </w:num>
  <w:num w:numId="41">
    <w:abstractNumId w:val="12"/>
  </w:num>
  <w:num w:numId="42">
    <w:abstractNumId w:val="38"/>
  </w:num>
  <w:num w:numId="43">
    <w:abstractNumId w:val="21"/>
  </w:num>
  <w:num w:numId="44">
    <w:abstractNumId w:val="21"/>
  </w:num>
  <w:num w:numId="45">
    <w:abstractNumId w:val="21"/>
  </w:num>
  <w:num w:numId="46">
    <w:abstractNumId w:val="21"/>
  </w:num>
  <w:num w:numId="47">
    <w:abstractNumId w:val="21"/>
  </w:num>
  <w:num w:numId="48">
    <w:abstractNumId w:val="8"/>
  </w:num>
  <w:num w:numId="4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mirrorMargin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lickAndTypeStyle w:val="BodyText"/>
  <w:evenAndOddHeaders/>
  <w:characterSpacingControl w:val="doNotCompress"/>
  <w:hdrShapeDefaults>
    <o:shapedefaults v:ext="edit" spidmax="40961"/>
  </w:hdrShapeDefaults>
  <w:footnotePr>
    <w:footnote w:id="-1"/>
    <w:footnote w:id="0"/>
    <w:footnote w:id="1"/>
  </w:footnotePr>
  <w:endnotePr>
    <w:endnote w:id="-1"/>
    <w:endnote w:id="0"/>
    <w:endnote w:id="1"/>
  </w:endnotePr>
  <w:compat>
    <w:swapBordersFacingPages/>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docVars>
    <w:docVar w:name="FindingOptions" w:val="1"/>
    <w:docVar w:name="RecOptions" w:val="111"/>
    <w:docVar w:name="ShortChapterTitle" w:val="Econometric model"/>
    <w:docVar w:name="ShortReportTitle" w:val="Determinants of Indigenous Labour Market Outcomes"/>
  </w:docVars>
  <w:rsids>
    <w:rsidRoot w:val="00EC01B2"/>
    <w:rsid w:val="00000F22"/>
    <w:rsid w:val="000012F6"/>
    <w:rsid w:val="00003740"/>
    <w:rsid w:val="000044AD"/>
    <w:rsid w:val="00005611"/>
    <w:rsid w:val="00006CAD"/>
    <w:rsid w:val="00013834"/>
    <w:rsid w:val="0001493D"/>
    <w:rsid w:val="00014D37"/>
    <w:rsid w:val="00015FBA"/>
    <w:rsid w:val="000167ED"/>
    <w:rsid w:val="00020252"/>
    <w:rsid w:val="00022695"/>
    <w:rsid w:val="00024D6A"/>
    <w:rsid w:val="0002501A"/>
    <w:rsid w:val="000340A9"/>
    <w:rsid w:val="0003463E"/>
    <w:rsid w:val="0003664B"/>
    <w:rsid w:val="0004111F"/>
    <w:rsid w:val="00057268"/>
    <w:rsid w:val="000573C1"/>
    <w:rsid w:val="00060CDE"/>
    <w:rsid w:val="00062DAD"/>
    <w:rsid w:val="00067137"/>
    <w:rsid w:val="0007150B"/>
    <w:rsid w:val="00075801"/>
    <w:rsid w:val="00075A06"/>
    <w:rsid w:val="0007602D"/>
    <w:rsid w:val="00081219"/>
    <w:rsid w:val="00082AA8"/>
    <w:rsid w:val="000904A5"/>
    <w:rsid w:val="0009371F"/>
    <w:rsid w:val="000938F5"/>
    <w:rsid w:val="00093CEC"/>
    <w:rsid w:val="00094B7D"/>
    <w:rsid w:val="0009781A"/>
    <w:rsid w:val="000A0FF8"/>
    <w:rsid w:val="000A2316"/>
    <w:rsid w:val="000A34C4"/>
    <w:rsid w:val="000A3B8F"/>
    <w:rsid w:val="000B366E"/>
    <w:rsid w:val="000B601B"/>
    <w:rsid w:val="000C06A9"/>
    <w:rsid w:val="000C207E"/>
    <w:rsid w:val="000C57E8"/>
    <w:rsid w:val="000C6077"/>
    <w:rsid w:val="000D3DDB"/>
    <w:rsid w:val="000D6F95"/>
    <w:rsid w:val="000D7245"/>
    <w:rsid w:val="000D796C"/>
    <w:rsid w:val="000E0D82"/>
    <w:rsid w:val="000E187A"/>
    <w:rsid w:val="000E3267"/>
    <w:rsid w:val="000E3813"/>
    <w:rsid w:val="000E3908"/>
    <w:rsid w:val="000E3E40"/>
    <w:rsid w:val="000E54C7"/>
    <w:rsid w:val="000E5F28"/>
    <w:rsid w:val="00100CD4"/>
    <w:rsid w:val="00110116"/>
    <w:rsid w:val="00111837"/>
    <w:rsid w:val="001239EB"/>
    <w:rsid w:val="00126EB8"/>
    <w:rsid w:val="00126FD8"/>
    <w:rsid w:val="00127953"/>
    <w:rsid w:val="00134F39"/>
    <w:rsid w:val="001363AA"/>
    <w:rsid w:val="00156B88"/>
    <w:rsid w:val="00165289"/>
    <w:rsid w:val="001777AE"/>
    <w:rsid w:val="001815AC"/>
    <w:rsid w:val="0019256D"/>
    <w:rsid w:val="0019293B"/>
    <w:rsid w:val="001975A1"/>
    <w:rsid w:val="001B02BD"/>
    <w:rsid w:val="001C0865"/>
    <w:rsid w:val="001C3ABA"/>
    <w:rsid w:val="001C43E3"/>
    <w:rsid w:val="001D0077"/>
    <w:rsid w:val="001D35B6"/>
    <w:rsid w:val="001D7040"/>
    <w:rsid w:val="001E327D"/>
    <w:rsid w:val="001E5799"/>
    <w:rsid w:val="001E755C"/>
    <w:rsid w:val="001E7BE8"/>
    <w:rsid w:val="001F0248"/>
    <w:rsid w:val="001F0957"/>
    <w:rsid w:val="001F0A99"/>
    <w:rsid w:val="001F2042"/>
    <w:rsid w:val="001F44CE"/>
    <w:rsid w:val="001F4FDC"/>
    <w:rsid w:val="001F50B2"/>
    <w:rsid w:val="001F710B"/>
    <w:rsid w:val="00202C2C"/>
    <w:rsid w:val="00211F74"/>
    <w:rsid w:val="00212ACD"/>
    <w:rsid w:val="002144F7"/>
    <w:rsid w:val="002252D0"/>
    <w:rsid w:val="0022538F"/>
    <w:rsid w:val="0022620F"/>
    <w:rsid w:val="00227CB6"/>
    <w:rsid w:val="0023194A"/>
    <w:rsid w:val="00236DA6"/>
    <w:rsid w:val="0024168A"/>
    <w:rsid w:val="00242279"/>
    <w:rsid w:val="0024577E"/>
    <w:rsid w:val="00246E30"/>
    <w:rsid w:val="00252951"/>
    <w:rsid w:val="00253F46"/>
    <w:rsid w:val="00253F81"/>
    <w:rsid w:val="00255C8D"/>
    <w:rsid w:val="00264055"/>
    <w:rsid w:val="00264E82"/>
    <w:rsid w:val="00267149"/>
    <w:rsid w:val="00272BA4"/>
    <w:rsid w:val="0027386C"/>
    <w:rsid w:val="00274AAF"/>
    <w:rsid w:val="0028295C"/>
    <w:rsid w:val="0028458E"/>
    <w:rsid w:val="0028580F"/>
    <w:rsid w:val="002878A6"/>
    <w:rsid w:val="00291B40"/>
    <w:rsid w:val="0029583F"/>
    <w:rsid w:val="00295D54"/>
    <w:rsid w:val="00297417"/>
    <w:rsid w:val="002A25B9"/>
    <w:rsid w:val="002A6749"/>
    <w:rsid w:val="002B15F1"/>
    <w:rsid w:val="002B4008"/>
    <w:rsid w:val="002B67EC"/>
    <w:rsid w:val="002B7897"/>
    <w:rsid w:val="002C6ADB"/>
    <w:rsid w:val="002D0E8E"/>
    <w:rsid w:val="002D1B5C"/>
    <w:rsid w:val="002D2636"/>
    <w:rsid w:val="002D3411"/>
    <w:rsid w:val="002D40FF"/>
    <w:rsid w:val="002D646F"/>
    <w:rsid w:val="002E4559"/>
    <w:rsid w:val="002F1B7E"/>
    <w:rsid w:val="002F34F4"/>
    <w:rsid w:val="00301189"/>
    <w:rsid w:val="00304B7F"/>
    <w:rsid w:val="003106F1"/>
    <w:rsid w:val="00313227"/>
    <w:rsid w:val="00316761"/>
    <w:rsid w:val="00323E09"/>
    <w:rsid w:val="0032747C"/>
    <w:rsid w:val="00332E9C"/>
    <w:rsid w:val="003334E3"/>
    <w:rsid w:val="00333932"/>
    <w:rsid w:val="00334D96"/>
    <w:rsid w:val="0034178F"/>
    <w:rsid w:val="0034561E"/>
    <w:rsid w:val="0034752D"/>
    <w:rsid w:val="0034790F"/>
    <w:rsid w:val="00350FB7"/>
    <w:rsid w:val="003518AA"/>
    <w:rsid w:val="00353182"/>
    <w:rsid w:val="003602E1"/>
    <w:rsid w:val="00360504"/>
    <w:rsid w:val="00360FC5"/>
    <w:rsid w:val="00361721"/>
    <w:rsid w:val="003662B1"/>
    <w:rsid w:val="00371240"/>
    <w:rsid w:val="003718D3"/>
    <w:rsid w:val="00374731"/>
    <w:rsid w:val="00392B9F"/>
    <w:rsid w:val="00397380"/>
    <w:rsid w:val="003A4E7D"/>
    <w:rsid w:val="003B1DB1"/>
    <w:rsid w:val="003B5130"/>
    <w:rsid w:val="003B586B"/>
    <w:rsid w:val="003C2CE1"/>
    <w:rsid w:val="003C38B5"/>
    <w:rsid w:val="003C5D99"/>
    <w:rsid w:val="003C63C9"/>
    <w:rsid w:val="003D048A"/>
    <w:rsid w:val="003D1A03"/>
    <w:rsid w:val="003D3BDF"/>
    <w:rsid w:val="003D6291"/>
    <w:rsid w:val="003D71B0"/>
    <w:rsid w:val="003D72C4"/>
    <w:rsid w:val="003E2500"/>
    <w:rsid w:val="003E32E2"/>
    <w:rsid w:val="003E4F88"/>
    <w:rsid w:val="003F0091"/>
    <w:rsid w:val="003F0789"/>
    <w:rsid w:val="003F1963"/>
    <w:rsid w:val="003F58D9"/>
    <w:rsid w:val="003F73F6"/>
    <w:rsid w:val="003F76BF"/>
    <w:rsid w:val="004017C3"/>
    <w:rsid w:val="00401882"/>
    <w:rsid w:val="00402907"/>
    <w:rsid w:val="004046DB"/>
    <w:rsid w:val="004100C8"/>
    <w:rsid w:val="00412ACE"/>
    <w:rsid w:val="00420C8F"/>
    <w:rsid w:val="004219E4"/>
    <w:rsid w:val="00421F34"/>
    <w:rsid w:val="0042455E"/>
    <w:rsid w:val="00431249"/>
    <w:rsid w:val="004330D2"/>
    <w:rsid w:val="00434C19"/>
    <w:rsid w:val="0043755F"/>
    <w:rsid w:val="00450810"/>
    <w:rsid w:val="00452CEE"/>
    <w:rsid w:val="0046164D"/>
    <w:rsid w:val="00470A6A"/>
    <w:rsid w:val="00470E29"/>
    <w:rsid w:val="0047415D"/>
    <w:rsid w:val="004755B5"/>
    <w:rsid w:val="00477144"/>
    <w:rsid w:val="004833D4"/>
    <w:rsid w:val="00484B99"/>
    <w:rsid w:val="00487104"/>
    <w:rsid w:val="0049377B"/>
    <w:rsid w:val="0049459F"/>
    <w:rsid w:val="004A0042"/>
    <w:rsid w:val="004A1B40"/>
    <w:rsid w:val="004A2241"/>
    <w:rsid w:val="004A5818"/>
    <w:rsid w:val="004A74E0"/>
    <w:rsid w:val="004B43AE"/>
    <w:rsid w:val="004B526C"/>
    <w:rsid w:val="004C30ED"/>
    <w:rsid w:val="004C6AC7"/>
    <w:rsid w:val="004D19FC"/>
    <w:rsid w:val="004E1EA0"/>
    <w:rsid w:val="004E212A"/>
    <w:rsid w:val="004E39E9"/>
    <w:rsid w:val="004F17A5"/>
    <w:rsid w:val="004F37EE"/>
    <w:rsid w:val="00501705"/>
    <w:rsid w:val="0050333F"/>
    <w:rsid w:val="005034A7"/>
    <w:rsid w:val="00512EA3"/>
    <w:rsid w:val="00521DF5"/>
    <w:rsid w:val="00523BD6"/>
    <w:rsid w:val="0054198A"/>
    <w:rsid w:val="005572E7"/>
    <w:rsid w:val="005620C0"/>
    <w:rsid w:val="00575AB7"/>
    <w:rsid w:val="005813F3"/>
    <w:rsid w:val="00583998"/>
    <w:rsid w:val="00583C39"/>
    <w:rsid w:val="00583E71"/>
    <w:rsid w:val="00583F70"/>
    <w:rsid w:val="005901D3"/>
    <w:rsid w:val="005909CF"/>
    <w:rsid w:val="00591E71"/>
    <w:rsid w:val="005925FD"/>
    <w:rsid w:val="005A528A"/>
    <w:rsid w:val="005A6634"/>
    <w:rsid w:val="005A7561"/>
    <w:rsid w:val="005B61A0"/>
    <w:rsid w:val="005C06A7"/>
    <w:rsid w:val="005C2B74"/>
    <w:rsid w:val="005C37C4"/>
    <w:rsid w:val="005C3C7C"/>
    <w:rsid w:val="005E6263"/>
    <w:rsid w:val="005F10FD"/>
    <w:rsid w:val="005F1FE1"/>
    <w:rsid w:val="005F2A7D"/>
    <w:rsid w:val="005F2AB3"/>
    <w:rsid w:val="005F3180"/>
    <w:rsid w:val="00606339"/>
    <w:rsid w:val="00607BF1"/>
    <w:rsid w:val="00613D89"/>
    <w:rsid w:val="0062195E"/>
    <w:rsid w:val="00627F9B"/>
    <w:rsid w:val="00630D4D"/>
    <w:rsid w:val="00632A74"/>
    <w:rsid w:val="00637361"/>
    <w:rsid w:val="00642B91"/>
    <w:rsid w:val="006510F0"/>
    <w:rsid w:val="00663660"/>
    <w:rsid w:val="006709A3"/>
    <w:rsid w:val="00670D11"/>
    <w:rsid w:val="00682015"/>
    <w:rsid w:val="0068620E"/>
    <w:rsid w:val="006870E4"/>
    <w:rsid w:val="00691513"/>
    <w:rsid w:val="00692939"/>
    <w:rsid w:val="006979D2"/>
    <w:rsid w:val="006A3B2C"/>
    <w:rsid w:val="006A4655"/>
    <w:rsid w:val="006A5847"/>
    <w:rsid w:val="006B0431"/>
    <w:rsid w:val="006B29FA"/>
    <w:rsid w:val="006C0779"/>
    <w:rsid w:val="006C2ACB"/>
    <w:rsid w:val="006C39D5"/>
    <w:rsid w:val="006C7038"/>
    <w:rsid w:val="006C7DA2"/>
    <w:rsid w:val="006D0AB9"/>
    <w:rsid w:val="006D2E8F"/>
    <w:rsid w:val="006D67C1"/>
    <w:rsid w:val="006E28B9"/>
    <w:rsid w:val="006E43F1"/>
    <w:rsid w:val="006E575D"/>
    <w:rsid w:val="006E73EF"/>
    <w:rsid w:val="006F5032"/>
    <w:rsid w:val="006F62C0"/>
    <w:rsid w:val="006F7C80"/>
    <w:rsid w:val="00701D35"/>
    <w:rsid w:val="00705F41"/>
    <w:rsid w:val="007077A2"/>
    <w:rsid w:val="00711D00"/>
    <w:rsid w:val="00715634"/>
    <w:rsid w:val="0072336D"/>
    <w:rsid w:val="007279DD"/>
    <w:rsid w:val="00734327"/>
    <w:rsid w:val="0073471F"/>
    <w:rsid w:val="00735A8B"/>
    <w:rsid w:val="00736094"/>
    <w:rsid w:val="00744343"/>
    <w:rsid w:val="00744C95"/>
    <w:rsid w:val="0075068C"/>
    <w:rsid w:val="00753BAA"/>
    <w:rsid w:val="00753FFA"/>
    <w:rsid w:val="007604BB"/>
    <w:rsid w:val="00761998"/>
    <w:rsid w:val="00763FCF"/>
    <w:rsid w:val="00775506"/>
    <w:rsid w:val="0078488B"/>
    <w:rsid w:val="00784FE2"/>
    <w:rsid w:val="00787D98"/>
    <w:rsid w:val="007902F8"/>
    <w:rsid w:val="00790BBA"/>
    <w:rsid w:val="00797221"/>
    <w:rsid w:val="007A182F"/>
    <w:rsid w:val="007A21EB"/>
    <w:rsid w:val="007A221F"/>
    <w:rsid w:val="007A74D2"/>
    <w:rsid w:val="007B6E65"/>
    <w:rsid w:val="007B7A26"/>
    <w:rsid w:val="007C36C9"/>
    <w:rsid w:val="007D7354"/>
    <w:rsid w:val="007E01E4"/>
    <w:rsid w:val="007E1B82"/>
    <w:rsid w:val="007E396A"/>
    <w:rsid w:val="007E5FB1"/>
    <w:rsid w:val="007E71E5"/>
    <w:rsid w:val="007F1E1A"/>
    <w:rsid w:val="007F47D3"/>
    <w:rsid w:val="007F6C8B"/>
    <w:rsid w:val="007F7107"/>
    <w:rsid w:val="007F7FBF"/>
    <w:rsid w:val="0080283D"/>
    <w:rsid w:val="008043CF"/>
    <w:rsid w:val="008100B2"/>
    <w:rsid w:val="0081030F"/>
    <w:rsid w:val="0081417C"/>
    <w:rsid w:val="00820188"/>
    <w:rsid w:val="0082087D"/>
    <w:rsid w:val="00822B3D"/>
    <w:rsid w:val="00823FD9"/>
    <w:rsid w:val="00826205"/>
    <w:rsid w:val="00826ADF"/>
    <w:rsid w:val="00827A4D"/>
    <w:rsid w:val="00834913"/>
    <w:rsid w:val="00851D2F"/>
    <w:rsid w:val="00856162"/>
    <w:rsid w:val="0086082C"/>
    <w:rsid w:val="00863F99"/>
    <w:rsid w:val="00864ADC"/>
    <w:rsid w:val="00867F38"/>
    <w:rsid w:val="00870DD6"/>
    <w:rsid w:val="00880153"/>
    <w:rsid w:val="00880DF1"/>
    <w:rsid w:val="00880F97"/>
    <w:rsid w:val="0088133A"/>
    <w:rsid w:val="0088361F"/>
    <w:rsid w:val="00885BD0"/>
    <w:rsid w:val="0089285E"/>
    <w:rsid w:val="0089436C"/>
    <w:rsid w:val="00897294"/>
    <w:rsid w:val="008974CE"/>
    <w:rsid w:val="008A2BB2"/>
    <w:rsid w:val="008B1D01"/>
    <w:rsid w:val="008C0AA7"/>
    <w:rsid w:val="008C1373"/>
    <w:rsid w:val="008C25F7"/>
    <w:rsid w:val="008C6680"/>
    <w:rsid w:val="008D2BA0"/>
    <w:rsid w:val="008D4678"/>
    <w:rsid w:val="008E0C40"/>
    <w:rsid w:val="008E2B13"/>
    <w:rsid w:val="008E400C"/>
    <w:rsid w:val="008E505B"/>
    <w:rsid w:val="008E6112"/>
    <w:rsid w:val="008F6A69"/>
    <w:rsid w:val="009030BF"/>
    <w:rsid w:val="00907E59"/>
    <w:rsid w:val="00911A7A"/>
    <w:rsid w:val="009122DA"/>
    <w:rsid w:val="00912B0E"/>
    <w:rsid w:val="00914368"/>
    <w:rsid w:val="0091502F"/>
    <w:rsid w:val="00915497"/>
    <w:rsid w:val="00921448"/>
    <w:rsid w:val="00926BCE"/>
    <w:rsid w:val="00927312"/>
    <w:rsid w:val="00927D98"/>
    <w:rsid w:val="009308F0"/>
    <w:rsid w:val="00931076"/>
    <w:rsid w:val="009345D9"/>
    <w:rsid w:val="00934B15"/>
    <w:rsid w:val="00941F6C"/>
    <w:rsid w:val="00942B62"/>
    <w:rsid w:val="00947052"/>
    <w:rsid w:val="00953B69"/>
    <w:rsid w:val="00956A0C"/>
    <w:rsid w:val="00956BD9"/>
    <w:rsid w:val="00957ADF"/>
    <w:rsid w:val="00962489"/>
    <w:rsid w:val="00962623"/>
    <w:rsid w:val="009651FC"/>
    <w:rsid w:val="009672F6"/>
    <w:rsid w:val="00972AE7"/>
    <w:rsid w:val="0097476A"/>
    <w:rsid w:val="009A5316"/>
    <w:rsid w:val="009A7164"/>
    <w:rsid w:val="009B5ED7"/>
    <w:rsid w:val="009B7B71"/>
    <w:rsid w:val="009C146A"/>
    <w:rsid w:val="009C5328"/>
    <w:rsid w:val="009C6611"/>
    <w:rsid w:val="009C6C5E"/>
    <w:rsid w:val="009D0A0A"/>
    <w:rsid w:val="009E35A5"/>
    <w:rsid w:val="009E50A4"/>
    <w:rsid w:val="009E60E9"/>
    <w:rsid w:val="009F696D"/>
    <w:rsid w:val="009F6BC6"/>
    <w:rsid w:val="009F7BA5"/>
    <w:rsid w:val="00A02D66"/>
    <w:rsid w:val="00A06C84"/>
    <w:rsid w:val="00A144F1"/>
    <w:rsid w:val="00A15777"/>
    <w:rsid w:val="00A17328"/>
    <w:rsid w:val="00A2703A"/>
    <w:rsid w:val="00A270B4"/>
    <w:rsid w:val="00A33DFF"/>
    <w:rsid w:val="00A35115"/>
    <w:rsid w:val="00A531A1"/>
    <w:rsid w:val="00A53624"/>
    <w:rsid w:val="00A547BD"/>
    <w:rsid w:val="00A55097"/>
    <w:rsid w:val="00A551C5"/>
    <w:rsid w:val="00A554AB"/>
    <w:rsid w:val="00A56026"/>
    <w:rsid w:val="00A60E85"/>
    <w:rsid w:val="00A61841"/>
    <w:rsid w:val="00A718A1"/>
    <w:rsid w:val="00A72E41"/>
    <w:rsid w:val="00A73C35"/>
    <w:rsid w:val="00A73E3A"/>
    <w:rsid w:val="00A763A0"/>
    <w:rsid w:val="00A7763F"/>
    <w:rsid w:val="00A77D16"/>
    <w:rsid w:val="00A90E2D"/>
    <w:rsid w:val="00A93E56"/>
    <w:rsid w:val="00A94FA6"/>
    <w:rsid w:val="00A97893"/>
    <w:rsid w:val="00AA4078"/>
    <w:rsid w:val="00AA57F8"/>
    <w:rsid w:val="00AA6710"/>
    <w:rsid w:val="00AA6D4C"/>
    <w:rsid w:val="00AB0681"/>
    <w:rsid w:val="00AB1452"/>
    <w:rsid w:val="00AB1B71"/>
    <w:rsid w:val="00AC3BB9"/>
    <w:rsid w:val="00AC53CE"/>
    <w:rsid w:val="00AC5C07"/>
    <w:rsid w:val="00AC5DCF"/>
    <w:rsid w:val="00AC64BF"/>
    <w:rsid w:val="00AD1BAC"/>
    <w:rsid w:val="00AD34BC"/>
    <w:rsid w:val="00AD5C45"/>
    <w:rsid w:val="00AE66BB"/>
    <w:rsid w:val="00AE6991"/>
    <w:rsid w:val="00AF0D1B"/>
    <w:rsid w:val="00AF301B"/>
    <w:rsid w:val="00AF693B"/>
    <w:rsid w:val="00B01237"/>
    <w:rsid w:val="00B0789B"/>
    <w:rsid w:val="00B10922"/>
    <w:rsid w:val="00B12A84"/>
    <w:rsid w:val="00B2032F"/>
    <w:rsid w:val="00B21193"/>
    <w:rsid w:val="00B241CE"/>
    <w:rsid w:val="00B260A0"/>
    <w:rsid w:val="00B30502"/>
    <w:rsid w:val="00B34026"/>
    <w:rsid w:val="00B37551"/>
    <w:rsid w:val="00B53593"/>
    <w:rsid w:val="00B53E7E"/>
    <w:rsid w:val="00B6342E"/>
    <w:rsid w:val="00B65EB1"/>
    <w:rsid w:val="00B66E7A"/>
    <w:rsid w:val="00B7113F"/>
    <w:rsid w:val="00B75EAA"/>
    <w:rsid w:val="00B90425"/>
    <w:rsid w:val="00BA3618"/>
    <w:rsid w:val="00BA73B6"/>
    <w:rsid w:val="00BB4FCD"/>
    <w:rsid w:val="00BB52CD"/>
    <w:rsid w:val="00BC4855"/>
    <w:rsid w:val="00BC5378"/>
    <w:rsid w:val="00BC6B02"/>
    <w:rsid w:val="00BC7091"/>
    <w:rsid w:val="00BD13EA"/>
    <w:rsid w:val="00BE230F"/>
    <w:rsid w:val="00BE36D7"/>
    <w:rsid w:val="00BE3808"/>
    <w:rsid w:val="00BE3E7C"/>
    <w:rsid w:val="00BF2C47"/>
    <w:rsid w:val="00BF2E7D"/>
    <w:rsid w:val="00BF6B77"/>
    <w:rsid w:val="00C03170"/>
    <w:rsid w:val="00C03C6E"/>
    <w:rsid w:val="00C062E9"/>
    <w:rsid w:val="00C07E87"/>
    <w:rsid w:val="00C10D5E"/>
    <w:rsid w:val="00C10E16"/>
    <w:rsid w:val="00C13721"/>
    <w:rsid w:val="00C14656"/>
    <w:rsid w:val="00C15AF0"/>
    <w:rsid w:val="00C15DD6"/>
    <w:rsid w:val="00C23BA1"/>
    <w:rsid w:val="00C245F9"/>
    <w:rsid w:val="00C25E6D"/>
    <w:rsid w:val="00C3466D"/>
    <w:rsid w:val="00C34B72"/>
    <w:rsid w:val="00C35321"/>
    <w:rsid w:val="00C36BAD"/>
    <w:rsid w:val="00C50550"/>
    <w:rsid w:val="00C543F4"/>
    <w:rsid w:val="00C56D75"/>
    <w:rsid w:val="00C6291C"/>
    <w:rsid w:val="00C62C3D"/>
    <w:rsid w:val="00C62E3E"/>
    <w:rsid w:val="00C63264"/>
    <w:rsid w:val="00C633CB"/>
    <w:rsid w:val="00C7015F"/>
    <w:rsid w:val="00C701A7"/>
    <w:rsid w:val="00C73644"/>
    <w:rsid w:val="00C75B39"/>
    <w:rsid w:val="00C805A8"/>
    <w:rsid w:val="00C8381D"/>
    <w:rsid w:val="00C8498C"/>
    <w:rsid w:val="00C852C8"/>
    <w:rsid w:val="00C8762C"/>
    <w:rsid w:val="00C90339"/>
    <w:rsid w:val="00C97A0B"/>
    <w:rsid w:val="00C97E31"/>
    <w:rsid w:val="00CA00F9"/>
    <w:rsid w:val="00CA2961"/>
    <w:rsid w:val="00CA7AB4"/>
    <w:rsid w:val="00CB05F3"/>
    <w:rsid w:val="00CB50D7"/>
    <w:rsid w:val="00CB7177"/>
    <w:rsid w:val="00CC14DD"/>
    <w:rsid w:val="00CC1998"/>
    <w:rsid w:val="00CC4946"/>
    <w:rsid w:val="00CC505C"/>
    <w:rsid w:val="00CD340B"/>
    <w:rsid w:val="00CD43C9"/>
    <w:rsid w:val="00CE50C5"/>
    <w:rsid w:val="00CF647C"/>
    <w:rsid w:val="00CF6617"/>
    <w:rsid w:val="00D00781"/>
    <w:rsid w:val="00D01D4D"/>
    <w:rsid w:val="00D02F7C"/>
    <w:rsid w:val="00D14509"/>
    <w:rsid w:val="00D15BC5"/>
    <w:rsid w:val="00D21CDF"/>
    <w:rsid w:val="00D2453F"/>
    <w:rsid w:val="00D26E41"/>
    <w:rsid w:val="00D270A4"/>
    <w:rsid w:val="00D31982"/>
    <w:rsid w:val="00D31FFA"/>
    <w:rsid w:val="00D34E1B"/>
    <w:rsid w:val="00D3651C"/>
    <w:rsid w:val="00D410E5"/>
    <w:rsid w:val="00D516F5"/>
    <w:rsid w:val="00D5489C"/>
    <w:rsid w:val="00D57BD7"/>
    <w:rsid w:val="00D6356D"/>
    <w:rsid w:val="00D635AB"/>
    <w:rsid w:val="00D63C5C"/>
    <w:rsid w:val="00D63D73"/>
    <w:rsid w:val="00D66E1E"/>
    <w:rsid w:val="00D731A5"/>
    <w:rsid w:val="00D735AC"/>
    <w:rsid w:val="00D73AF2"/>
    <w:rsid w:val="00D73BC9"/>
    <w:rsid w:val="00D754EA"/>
    <w:rsid w:val="00D7553D"/>
    <w:rsid w:val="00D75722"/>
    <w:rsid w:val="00D84613"/>
    <w:rsid w:val="00D924CA"/>
    <w:rsid w:val="00D96CFD"/>
    <w:rsid w:val="00D974D7"/>
    <w:rsid w:val="00DA0090"/>
    <w:rsid w:val="00DB3485"/>
    <w:rsid w:val="00DB3791"/>
    <w:rsid w:val="00DB67C9"/>
    <w:rsid w:val="00DB75AF"/>
    <w:rsid w:val="00DC0C95"/>
    <w:rsid w:val="00DC25B0"/>
    <w:rsid w:val="00DC3CD6"/>
    <w:rsid w:val="00DC4B9F"/>
    <w:rsid w:val="00DC7419"/>
    <w:rsid w:val="00DD064E"/>
    <w:rsid w:val="00DD6580"/>
    <w:rsid w:val="00DE59BA"/>
    <w:rsid w:val="00E1395F"/>
    <w:rsid w:val="00E17C72"/>
    <w:rsid w:val="00E2006C"/>
    <w:rsid w:val="00E237E7"/>
    <w:rsid w:val="00E30DF9"/>
    <w:rsid w:val="00E32624"/>
    <w:rsid w:val="00E35E1B"/>
    <w:rsid w:val="00E37880"/>
    <w:rsid w:val="00E43F8F"/>
    <w:rsid w:val="00E4763D"/>
    <w:rsid w:val="00E5149C"/>
    <w:rsid w:val="00E65BDD"/>
    <w:rsid w:val="00E669E2"/>
    <w:rsid w:val="00E66E73"/>
    <w:rsid w:val="00E726A3"/>
    <w:rsid w:val="00E76135"/>
    <w:rsid w:val="00E76CED"/>
    <w:rsid w:val="00E7715D"/>
    <w:rsid w:val="00E777E5"/>
    <w:rsid w:val="00E805D9"/>
    <w:rsid w:val="00E8256F"/>
    <w:rsid w:val="00E83F20"/>
    <w:rsid w:val="00E840F0"/>
    <w:rsid w:val="00E90FB5"/>
    <w:rsid w:val="00EA1834"/>
    <w:rsid w:val="00EA36BD"/>
    <w:rsid w:val="00EA74EC"/>
    <w:rsid w:val="00EB14D6"/>
    <w:rsid w:val="00EB1AC5"/>
    <w:rsid w:val="00EB2DAB"/>
    <w:rsid w:val="00EB44DA"/>
    <w:rsid w:val="00EB5E95"/>
    <w:rsid w:val="00EC01B2"/>
    <w:rsid w:val="00EC1E3F"/>
    <w:rsid w:val="00EC3039"/>
    <w:rsid w:val="00EC36C5"/>
    <w:rsid w:val="00EC4FA7"/>
    <w:rsid w:val="00EC63FE"/>
    <w:rsid w:val="00EC6957"/>
    <w:rsid w:val="00ED216D"/>
    <w:rsid w:val="00ED5135"/>
    <w:rsid w:val="00ED7B5B"/>
    <w:rsid w:val="00EE256F"/>
    <w:rsid w:val="00EE36CF"/>
    <w:rsid w:val="00EE490C"/>
    <w:rsid w:val="00EE6E21"/>
    <w:rsid w:val="00EF3A13"/>
    <w:rsid w:val="00F00102"/>
    <w:rsid w:val="00F028B3"/>
    <w:rsid w:val="00F0292B"/>
    <w:rsid w:val="00F056FC"/>
    <w:rsid w:val="00F05B93"/>
    <w:rsid w:val="00F0759D"/>
    <w:rsid w:val="00F10E03"/>
    <w:rsid w:val="00F10E04"/>
    <w:rsid w:val="00F11641"/>
    <w:rsid w:val="00F12A86"/>
    <w:rsid w:val="00F135D8"/>
    <w:rsid w:val="00F13B63"/>
    <w:rsid w:val="00F15494"/>
    <w:rsid w:val="00F15FEC"/>
    <w:rsid w:val="00F16382"/>
    <w:rsid w:val="00F22EF9"/>
    <w:rsid w:val="00F22F88"/>
    <w:rsid w:val="00F237D8"/>
    <w:rsid w:val="00F24988"/>
    <w:rsid w:val="00F31299"/>
    <w:rsid w:val="00F3534A"/>
    <w:rsid w:val="00F35BF2"/>
    <w:rsid w:val="00F369DB"/>
    <w:rsid w:val="00F4006D"/>
    <w:rsid w:val="00F4247B"/>
    <w:rsid w:val="00F47A58"/>
    <w:rsid w:val="00F544B7"/>
    <w:rsid w:val="00F67F76"/>
    <w:rsid w:val="00F85325"/>
    <w:rsid w:val="00F875E3"/>
    <w:rsid w:val="00F93A3C"/>
    <w:rsid w:val="00F95FED"/>
    <w:rsid w:val="00F97352"/>
    <w:rsid w:val="00FA45C0"/>
    <w:rsid w:val="00FA75B1"/>
    <w:rsid w:val="00FA781E"/>
    <w:rsid w:val="00FB272C"/>
    <w:rsid w:val="00FB6AB0"/>
    <w:rsid w:val="00FB7ABA"/>
    <w:rsid w:val="00FD22B1"/>
    <w:rsid w:val="00FD37C5"/>
    <w:rsid w:val="00FD3E50"/>
    <w:rsid w:val="00FD75FC"/>
    <w:rsid w:val="00FE0C17"/>
    <w:rsid w:val="00FE4007"/>
    <w:rsid w:val="00FE47E0"/>
    <w:rsid w:val="00FF3294"/>
    <w:rsid w:val="00FF660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Street"/>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2BA0"/>
    <w:rPr>
      <w:sz w:val="24"/>
      <w:szCs w:val="24"/>
    </w:rPr>
  </w:style>
  <w:style w:type="paragraph" w:styleId="Heading1">
    <w:name w:val="heading 1"/>
    <w:basedOn w:val="BodyText"/>
    <w:next w:val="BodyText"/>
    <w:link w:val="Heading1Char"/>
    <w:qForma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link w:val="Heading2Char"/>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qFormat/>
    <w:rsid w:val="00A17328"/>
    <w:pPr>
      <w:spacing w:after="60"/>
      <w:jc w:val="left"/>
      <w:outlineLvl w:val="5"/>
    </w:pPr>
    <w:rPr>
      <w:i/>
      <w:sz w:val="22"/>
    </w:rPr>
  </w:style>
  <w:style w:type="paragraph" w:styleId="Heading7">
    <w:name w:val="heading 7"/>
    <w:basedOn w:val="BodyText"/>
    <w:next w:val="BodyText"/>
    <w:qFormat/>
    <w:rsid w:val="00A17328"/>
    <w:pPr>
      <w:spacing w:after="60" w:line="240" w:lineRule="auto"/>
      <w:jc w:val="left"/>
      <w:outlineLvl w:val="6"/>
    </w:pPr>
    <w:rPr>
      <w:rFonts w:ascii="Arial" w:hAnsi="Arial"/>
      <w:sz w:val="20"/>
    </w:rPr>
  </w:style>
  <w:style w:type="paragraph" w:styleId="Heading8">
    <w:name w:val="heading 8"/>
    <w:basedOn w:val="BodyText"/>
    <w:next w:val="BodyText"/>
    <w:qFormat/>
    <w:rsid w:val="00A17328"/>
    <w:pPr>
      <w:spacing w:after="60" w:line="240" w:lineRule="auto"/>
      <w:jc w:val="left"/>
      <w:outlineLvl w:val="7"/>
    </w:pPr>
    <w:rPr>
      <w:rFonts w:ascii="Arial" w:hAnsi="Arial"/>
      <w:i/>
      <w:sz w:val="20"/>
    </w:rPr>
  </w:style>
  <w:style w:type="paragraph" w:styleId="Heading9">
    <w:name w:val="heading 9"/>
    <w:basedOn w:val="BodyText"/>
    <w:next w:val="BodyText"/>
    <w:qForma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new legislation style,Body Text Char1 Char,Body Text Char Char Char,Body Text Char1 Char Char Char,Body Text Char Char Char Char Char1,Body Text Char2 Char1 Char Char Char Char Char,Body Text Char2 Char,new legislation style Char1 Char"/>
    <w:link w:val="BodyTextChar1"/>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link w:val="BoxChar"/>
    <w:rsid w:val="00A17328"/>
    <w:pPr>
      <w:keepNext/>
      <w:spacing w:before="120" w:line="280" w:lineRule="atLeast"/>
    </w:pPr>
    <w:rPr>
      <w:rFonts w:ascii="Arial" w:hAnsi="Arial"/>
      <w:sz w:val="22"/>
    </w:rPr>
  </w:style>
  <w:style w:type="paragraph" w:customStyle="1" w:styleId="BoxContinued">
    <w:name w:val="Box Continued"/>
    <w:basedOn w:val="BodyText"/>
    <w:next w:val="BodyText"/>
    <w:link w:val="BoxContinuedChar"/>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link w:val="BoxListBulletChar"/>
    <w:rsid w:val="00DB67C9"/>
    <w:pPr>
      <w:keepNext/>
      <w:numPr>
        <w:numId w:val="1"/>
      </w:numPr>
      <w:spacing w:before="120" w:line="280" w:lineRule="atLeast"/>
    </w:pPr>
    <w:rPr>
      <w:rFonts w:ascii="Arial" w:hAnsi="Arial"/>
      <w:sz w:val="22"/>
    </w:rPr>
  </w:style>
  <w:style w:type="paragraph" w:customStyle="1" w:styleId="BoxListBullet2">
    <w:name w:val="Box List Bullet 2"/>
    <w:basedOn w:val="BodyText"/>
    <w:rsid w:val="00DB67C9"/>
    <w:pPr>
      <w:keepNext/>
      <w:numPr>
        <w:numId w:val="2"/>
      </w:numPr>
      <w:tabs>
        <w:tab w:val="left" w:pos="284"/>
      </w:tabs>
      <w:spacing w:before="60" w:line="280" w:lineRule="atLeast"/>
    </w:pPr>
    <w:rPr>
      <w:rFonts w:ascii="Arial" w:hAnsi="Arial"/>
      <w:sz w:val="22"/>
    </w:rPr>
  </w:style>
  <w:style w:type="paragraph" w:customStyle="1" w:styleId="BoxListNumber">
    <w:name w:val="Box List Number"/>
    <w:basedOn w:val="BodyText"/>
    <w:rsid w:val="00864ADC"/>
    <w:pPr>
      <w:keepNext/>
      <w:numPr>
        <w:numId w:val="39"/>
      </w:numPr>
      <w:spacing w:before="120" w:line="280" w:lineRule="atLeast"/>
    </w:pPr>
    <w:rPr>
      <w:rFonts w:ascii="Arial" w:hAnsi="Arial"/>
      <w:sz w:val="22"/>
    </w:rPr>
  </w:style>
  <w:style w:type="paragraph" w:customStyle="1" w:styleId="BoxListNumber2">
    <w:name w:val="Box List Number 2"/>
    <w:basedOn w:val="BoxListNumber"/>
    <w:rsid w:val="00864ADC"/>
    <w:pPr>
      <w:numPr>
        <w:ilvl w:val="1"/>
      </w:numPr>
      <w:spacing w:before="60"/>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Normal"/>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
    <w:name w:val="Box Space"/>
    <w:basedOn w:val="BodyText"/>
    <w:rsid w:val="00A17328"/>
    <w:pPr>
      <w:keepNext/>
      <w:spacing w:before="360" w:line="80" w:lineRule="exact"/>
      <w:jc w:val="left"/>
    </w:pPr>
  </w:style>
  <w:style w:type="paragraph" w:styleId="Caption">
    <w:name w:val="caption"/>
    <w:basedOn w:val="Normal"/>
    <w:next w:val="BodyText"/>
    <w:qForma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Normal"/>
    <w:rsid w:val="00A17328"/>
    <w:pPr>
      <w:spacing w:before="120" w:after="0"/>
      <w:ind w:left="1304" w:hanging="1304"/>
    </w:p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link w:val="ChapterChar"/>
    <w:semiHidden/>
    <w:rsid w:val="00A17328"/>
    <w:pPr>
      <w:ind w:left="0" w:firstLine="0"/>
      <w:outlineLvl w:val="9"/>
    </w:pPr>
  </w:style>
  <w:style w:type="paragraph" w:customStyle="1" w:styleId="ChapterSummary">
    <w:name w:val="Chapter Summary"/>
    <w:basedOn w:val="BodyText"/>
    <w:semiHidden/>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link w:val="ContinuedChar"/>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A17328"/>
  </w:style>
  <w:style w:type="paragraph" w:styleId="Subtitle">
    <w:name w:val="Subtitle"/>
    <w:basedOn w:val="Caption"/>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rsid w:val="00AB0681"/>
    <w:pPr>
      <w:spacing w:before="240"/>
    </w:pPr>
  </w:style>
  <w:style w:type="paragraph" w:customStyle="1" w:styleId="RecTitle">
    <w:name w:val="Rec Title"/>
    <w:basedOn w:val="BodyText"/>
    <w:next w:val="Normal"/>
    <w:rsid w:val="00A17328"/>
    <w:pPr>
      <w:keepNext/>
      <w:framePr w:hSpace="181" w:wrap="notBeside" w:vAnchor="text" w:hAnchor="text" w:xAlign="outside" w:y="1"/>
    </w:pPr>
    <w:rPr>
      <w:caps/>
      <w:sz w:val="16"/>
    </w:rPr>
  </w:style>
  <w:style w:type="paragraph" w:customStyle="1" w:styleId="FindingTitle">
    <w:name w:val="Finding Title"/>
    <w:basedOn w:val="RecTitle"/>
    <w:next w:val="Finding"/>
    <w:rsid w:val="00A17328"/>
    <w:pPr>
      <w:framePr w:wrap="notBeside"/>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link w:val="FootnoteTextChar"/>
    <w:rsid w:val="00DC0C9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864ADC"/>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rsid w:val="00F85325"/>
    <w:pPr>
      <w:numPr>
        <w:numId w:val="40"/>
      </w:numPr>
      <w:spacing w:before="80"/>
    </w:pPr>
  </w:style>
  <w:style w:type="paragraph" w:customStyle="1" w:styleId="RecBNoTitle">
    <w:name w:val="RecB NoTitle"/>
    <w:basedOn w:val="RecB"/>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A17328"/>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styleId="BalloonText">
    <w:name w:val="Balloon Text"/>
    <w:basedOn w:val="Normal"/>
    <w:semiHidden/>
    <w:rsid w:val="008D2BA0"/>
    <w:rPr>
      <w:rFonts w:ascii="Tahoma" w:hAnsi="Tahoma" w:cs="Tahoma"/>
      <w:sz w:val="16"/>
      <w:szCs w:val="16"/>
    </w:rPr>
  </w:style>
  <w:style w:type="character" w:customStyle="1" w:styleId="BodyTextChar1">
    <w:name w:val="Body Text Char1"/>
    <w:aliases w:val="new legislation style Char,Body Text Char1 Char Char,Body Text Char Char Char Char,Body Text Char1 Char Char Char Char,Body Text Char Char Char Char Char1 Char,Body Text Char2 Char1 Char Char Char Char Char Char,Body Text Char2 Char Char"/>
    <w:basedOn w:val="DefaultParagraphFont"/>
    <w:link w:val="BodyText"/>
    <w:rsid w:val="006A3B2C"/>
    <w:rPr>
      <w:sz w:val="26"/>
      <w:lang w:val="en-AU" w:eastAsia="en-AU" w:bidi="ar-SA"/>
    </w:rPr>
  </w:style>
  <w:style w:type="paragraph" w:styleId="CommentSubject">
    <w:name w:val="annotation subject"/>
    <w:basedOn w:val="CommentText"/>
    <w:next w:val="CommentText"/>
    <w:semiHidden/>
    <w:rsid w:val="001E327D"/>
    <w:pPr>
      <w:spacing w:before="0" w:line="240" w:lineRule="auto"/>
      <w:ind w:left="0" w:firstLine="0"/>
    </w:pPr>
    <w:rPr>
      <w:b/>
      <w:bCs/>
      <w:szCs w:val="20"/>
    </w:rPr>
  </w:style>
  <w:style w:type="character" w:customStyle="1" w:styleId="BoxListBulletChar">
    <w:name w:val="Box List Bullet Char"/>
    <w:basedOn w:val="DefaultParagraphFont"/>
    <w:link w:val="BoxListBullet"/>
    <w:rsid w:val="00DC4B9F"/>
    <w:rPr>
      <w:rFonts w:ascii="Arial" w:hAnsi="Arial"/>
      <w:sz w:val="22"/>
      <w:lang w:val="en-AU" w:eastAsia="en-AU" w:bidi="ar-SA"/>
    </w:rPr>
  </w:style>
  <w:style w:type="character" w:customStyle="1" w:styleId="Heading1Char">
    <w:name w:val="Heading 1 Char"/>
    <w:basedOn w:val="BodyTextChar1"/>
    <w:link w:val="Heading1"/>
    <w:rsid w:val="00156B88"/>
    <w:rPr>
      <w:sz w:val="52"/>
      <w:lang w:val="en-AU" w:eastAsia="en-AU" w:bidi="ar-SA"/>
    </w:rPr>
  </w:style>
  <w:style w:type="character" w:customStyle="1" w:styleId="ChapterChar">
    <w:name w:val="Chapter Char"/>
    <w:basedOn w:val="Heading1Char"/>
    <w:link w:val="Chapter"/>
    <w:rsid w:val="00156B88"/>
    <w:rPr>
      <w:sz w:val="52"/>
      <w:lang w:val="en-AU" w:eastAsia="en-AU" w:bidi="ar-SA"/>
    </w:rPr>
  </w:style>
  <w:style w:type="character" w:customStyle="1" w:styleId="Heading2Char">
    <w:name w:val="Heading 2 Char"/>
    <w:basedOn w:val="ChapterChar"/>
    <w:link w:val="Heading2"/>
    <w:rsid w:val="00156B88"/>
    <w:rPr>
      <w:rFonts w:ascii="Arial" w:hAnsi="Arial"/>
      <w:b/>
      <w:sz w:val="32"/>
      <w:lang w:val="en-AU" w:eastAsia="en-AU" w:bidi="ar-SA"/>
    </w:rPr>
  </w:style>
  <w:style w:type="character" w:customStyle="1" w:styleId="Heading3Char">
    <w:name w:val="Heading 3 Char"/>
    <w:basedOn w:val="Heading2Char"/>
    <w:link w:val="Heading3"/>
    <w:rsid w:val="00156B88"/>
    <w:rPr>
      <w:rFonts w:ascii="Arial" w:hAnsi="Arial"/>
      <w:b/>
      <w:sz w:val="26"/>
      <w:lang w:val="en-AU" w:eastAsia="en-AU" w:bidi="ar-SA"/>
    </w:rPr>
  </w:style>
  <w:style w:type="character" w:customStyle="1" w:styleId="BoxChar">
    <w:name w:val="Box Char"/>
    <w:basedOn w:val="DefaultParagraphFont"/>
    <w:link w:val="Box"/>
    <w:rsid w:val="000A3B8F"/>
    <w:rPr>
      <w:rFonts w:ascii="Arial" w:hAnsi="Arial"/>
      <w:sz w:val="22"/>
      <w:lang w:val="en-AU" w:eastAsia="en-AU" w:bidi="ar-SA"/>
    </w:rPr>
  </w:style>
  <w:style w:type="character" w:customStyle="1" w:styleId="FootnoteTextChar">
    <w:name w:val="Footnote Text Char"/>
    <w:basedOn w:val="DefaultParagraphFont"/>
    <w:link w:val="FootnoteText"/>
    <w:rsid w:val="00AA6D4C"/>
    <w:rPr>
      <w:sz w:val="22"/>
      <w:lang w:val="en-AU" w:eastAsia="en-AU" w:bidi="ar-SA"/>
    </w:rPr>
  </w:style>
  <w:style w:type="character" w:customStyle="1" w:styleId="BodyTextChar">
    <w:name w:val="Body Text Char"/>
    <w:aliases w:val="new legislation style Char1,Body Text Char1 Char Char1,Body Text Char Char Char Char1,Body Text Char1 Char Char Char Char1,Body Text Char Char Char Char Char1 Char1,Body Text Char2 Char1 Char Char Char Char Char Char1"/>
    <w:basedOn w:val="DefaultParagraphFont"/>
    <w:rsid w:val="004755B5"/>
    <w:rPr>
      <w:sz w:val="26"/>
      <w:lang w:val="en-AU" w:eastAsia="en-AU" w:bidi="ar-SA"/>
    </w:rPr>
  </w:style>
  <w:style w:type="character" w:customStyle="1" w:styleId="BoxContinuedChar">
    <w:name w:val="Box Continued Char"/>
    <w:basedOn w:val="BodyTextChar1"/>
    <w:link w:val="BoxContinued"/>
    <w:rsid w:val="009651FC"/>
    <w:rPr>
      <w:rFonts w:ascii="Arial" w:hAnsi="Arial"/>
      <w:sz w:val="18"/>
      <w:lang w:val="en-AU" w:eastAsia="en-AU" w:bidi="ar-SA"/>
    </w:rPr>
  </w:style>
  <w:style w:type="character" w:customStyle="1" w:styleId="ContinuedChar">
    <w:name w:val="Continued Char"/>
    <w:basedOn w:val="BoxContinuedChar"/>
    <w:link w:val="Continued"/>
    <w:rsid w:val="009651FC"/>
    <w:rPr>
      <w:rFonts w:ascii="Arial" w:hAnsi="Arial"/>
      <w:sz w:val="18"/>
      <w:lang w:val="en-AU" w:eastAsia="en-AU" w:bidi="ar-SA"/>
    </w:rPr>
  </w:style>
  <w:style w:type="character" w:customStyle="1" w:styleId="CommentTextChar">
    <w:name w:val="Comment Text Char"/>
    <w:basedOn w:val="DefaultParagraphFont"/>
    <w:link w:val="CommentText"/>
    <w:semiHidden/>
    <w:rsid w:val="00851D2F"/>
    <w:rPr>
      <w:szCs w:val="24"/>
      <w:lang w:val="en-AU" w:eastAsia="en-AU" w:bidi="ar-SA"/>
    </w:rPr>
  </w:style>
  <w:style w:type="paragraph" w:styleId="Revision">
    <w:name w:val="Revision"/>
    <w:hidden/>
    <w:uiPriority w:val="99"/>
    <w:semiHidden/>
    <w:rsid w:val="00FA781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2BA0"/>
    <w:rPr>
      <w:sz w:val="24"/>
      <w:szCs w:val="24"/>
    </w:rPr>
  </w:style>
  <w:style w:type="paragraph" w:styleId="Heading1">
    <w:name w:val="heading 1"/>
    <w:basedOn w:val="BodyText"/>
    <w:next w:val="BodyText"/>
    <w:link w:val="Heading1Char"/>
    <w:qForma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link w:val="Heading2Char"/>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qFormat/>
    <w:rsid w:val="00A17328"/>
    <w:pPr>
      <w:spacing w:after="60"/>
      <w:jc w:val="left"/>
      <w:outlineLvl w:val="5"/>
    </w:pPr>
    <w:rPr>
      <w:i/>
      <w:sz w:val="22"/>
    </w:rPr>
  </w:style>
  <w:style w:type="paragraph" w:styleId="Heading7">
    <w:name w:val="heading 7"/>
    <w:basedOn w:val="BodyText"/>
    <w:next w:val="BodyText"/>
    <w:qFormat/>
    <w:rsid w:val="00A17328"/>
    <w:pPr>
      <w:spacing w:after="60" w:line="240" w:lineRule="auto"/>
      <w:jc w:val="left"/>
      <w:outlineLvl w:val="6"/>
    </w:pPr>
    <w:rPr>
      <w:rFonts w:ascii="Arial" w:hAnsi="Arial"/>
      <w:sz w:val="20"/>
    </w:rPr>
  </w:style>
  <w:style w:type="paragraph" w:styleId="Heading8">
    <w:name w:val="heading 8"/>
    <w:basedOn w:val="BodyText"/>
    <w:next w:val="BodyText"/>
    <w:qFormat/>
    <w:rsid w:val="00A17328"/>
    <w:pPr>
      <w:spacing w:after="60" w:line="240" w:lineRule="auto"/>
      <w:jc w:val="left"/>
      <w:outlineLvl w:val="7"/>
    </w:pPr>
    <w:rPr>
      <w:rFonts w:ascii="Arial" w:hAnsi="Arial"/>
      <w:i/>
      <w:sz w:val="20"/>
    </w:rPr>
  </w:style>
  <w:style w:type="paragraph" w:styleId="Heading9">
    <w:name w:val="heading 9"/>
    <w:basedOn w:val="BodyText"/>
    <w:next w:val="BodyText"/>
    <w:qForma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new legislation style,Body Text Char1 Char,Body Text Char Char Char,Body Text Char1 Char Char Char,Body Text Char Char Char Char Char1,Body Text Char2 Char1 Char Char Char Char Char,Body Text Char2 Char,new legislation style Char1 Char"/>
    <w:link w:val="BodyTextChar1"/>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link w:val="BoxChar"/>
    <w:rsid w:val="00A17328"/>
    <w:pPr>
      <w:keepNext/>
      <w:spacing w:before="120" w:line="280" w:lineRule="atLeast"/>
    </w:pPr>
    <w:rPr>
      <w:rFonts w:ascii="Arial" w:hAnsi="Arial"/>
      <w:sz w:val="22"/>
    </w:rPr>
  </w:style>
  <w:style w:type="paragraph" w:customStyle="1" w:styleId="BoxContinued">
    <w:name w:val="Box Continued"/>
    <w:basedOn w:val="BodyText"/>
    <w:next w:val="BodyText"/>
    <w:link w:val="BoxContinuedChar"/>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link w:val="BoxListBulletChar"/>
    <w:rsid w:val="00DB67C9"/>
    <w:pPr>
      <w:keepNext/>
      <w:numPr>
        <w:numId w:val="1"/>
      </w:numPr>
      <w:spacing w:before="120" w:line="280" w:lineRule="atLeast"/>
    </w:pPr>
    <w:rPr>
      <w:rFonts w:ascii="Arial" w:hAnsi="Arial"/>
      <w:sz w:val="22"/>
    </w:rPr>
  </w:style>
  <w:style w:type="paragraph" w:customStyle="1" w:styleId="BoxListBullet2">
    <w:name w:val="Box List Bullet 2"/>
    <w:basedOn w:val="BodyText"/>
    <w:rsid w:val="00DB67C9"/>
    <w:pPr>
      <w:keepNext/>
      <w:numPr>
        <w:numId w:val="2"/>
      </w:numPr>
      <w:tabs>
        <w:tab w:val="left" w:pos="284"/>
      </w:tabs>
      <w:spacing w:before="60" w:line="280" w:lineRule="atLeast"/>
    </w:pPr>
    <w:rPr>
      <w:rFonts w:ascii="Arial" w:hAnsi="Arial"/>
      <w:sz w:val="22"/>
    </w:rPr>
  </w:style>
  <w:style w:type="paragraph" w:customStyle="1" w:styleId="BoxListNumber">
    <w:name w:val="Box List Number"/>
    <w:basedOn w:val="BodyText"/>
    <w:rsid w:val="00864ADC"/>
    <w:pPr>
      <w:keepNext/>
      <w:numPr>
        <w:numId w:val="39"/>
      </w:numPr>
      <w:spacing w:before="120" w:line="280" w:lineRule="atLeast"/>
    </w:pPr>
    <w:rPr>
      <w:rFonts w:ascii="Arial" w:hAnsi="Arial"/>
      <w:sz w:val="22"/>
    </w:rPr>
  </w:style>
  <w:style w:type="paragraph" w:customStyle="1" w:styleId="BoxListNumber2">
    <w:name w:val="Box List Number 2"/>
    <w:basedOn w:val="BoxListNumber"/>
    <w:rsid w:val="00864ADC"/>
    <w:pPr>
      <w:numPr>
        <w:ilvl w:val="1"/>
      </w:numPr>
      <w:spacing w:before="60"/>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Normal"/>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
    <w:name w:val="Box Space"/>
    <w:basedOn w:val="BodyText"/>
    <w:rsid w:val="00A17328"/>
    <w:pPr>
      <w:keepNext/>
      <w:spacing w:before="360" w:line="80" w:lineRule="exact"/>
      <w:jc w:val="left"/>
    </w:pPr>
  </w:style>
  <w:style w:type="paragraph" w:styleId="Caption">
    <w:name w:val="caption"/>
    <w:basedOn w:val="Normal"/>
    <w:next w:val="BodyText"/>
    <w:qForma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Normal"/>
    <w:rsid w:val="00A17328"/>
    <w:pPr>
      <w:spacing w:before="120" w:after="0"/>
      <w:ind w:left="1304" w:hanging="1304"/>
    </w:p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link w:val="ChapterChar"/>
    <w:semiHidden/>
    <w:rsid w:val="00A17328"/>
    <w:pPr>
      <w:ind w:left="0" w:firstLine="0"/>
      <w:outlineLvl w:val="9"/>
    </w:pPr>
  </w:style>
  <w:style w:type="paragraph" w:customStyle="1" w:styleId="ChapterSummary">
    <w:name w:val="Chapter Summary"/>
    <w:basedOn w:val="BodyText"/>
    <w:semiHidden/>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link w:val="ContinuedChar"/>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A17328"/>
  </w:style>
  <w:style w:type="paragraph" w:styleId="Subtitle">
    <w:name w:val="Subtitle"/>
    <w:basedOn w:val="Caption"/>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rsid w:val="00AB0681"/>
    <w:pPr>
      <w:spacing w:before="240"/>
    </w:pPr>
  </w:style>
  <w:style w:type="paragraph" w:customStyle="1" w:styleId="RecTitle">
    <w:name w:val="Rec Title"/>
    <w:basedOn w:val="BodyText"/>
    <w:next w:val="Normal"/>
    <w:rsid w:val="00A17328"/>
    <w:pPr>
      <w:keepNext/>
      <w:framePr w:hSpace="181" w:wrap="notBeside" w:vAnchor="text" w:hAnchor="text" w:xAlign="outside" w:y="1"/>
    </w:pPr>
    <w:rPr>
      <w:caps/>
      <w:sz w:val="16"/>
    </w:rPr>
  </w:style>
  <w:style w:type="paragraph" w:customStyle="1" w:styleId="FindingTitle">
    <w:name w:val="Finding Title"/>
    <w:basedOn w:val="RecTitle"/>
    <w:next w:val="Finding"/>
    <w:rsid w:val="00A17328"/>
    <w:pPr>
      <w:framePr w:wrap="notBeside"/>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link w:val="FootnoteTextChar"/>
    <w:rsid w:val="00DC0C9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864ADC"/>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rsid w:val="00F85325"/>
    <w:pPr>
      <w:numPr>
        <w:numId w:val="40"/>
      </w:numPr>
      <w:spacing w:before="80"/>
    </w:pPr>
  </w:style>
  <w:style w:type="paragraph" w:customStyle="1" w:styleId="RecBNoTitle">
    <w:name w:val="RecB NoTitle"/>
    <w:basedOn w:val="RecB"/>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A17328"/>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styleId="BalloonText">
    <w:name w:val="Balloon Text"/>
    <w:basedOn w:val="Normal"/>
    <w:semiHidden/>
    <w:rsid w:val="008D2BA0"/>
    <w:rPr>
      <w:rFonts w:ascii="Tahoma" w:hAnsi="Tahoma" w:cs="Tahoma"/>
      <w:sz w:val="16"/>
      <w:szCs w:val="16"/>
    </w:rPr>
  </w:style>
  <w:style w:type="character" w:customStyle="1" w:styleId="BodyTextChar1">
    <w:name w:val="Body Text Char1"/>
    <w:aliases w:val="new legislation style Char,Body Text Char1 Char Char,Body Text Char Char Char Char,Body Text Char1 Char Char Char Char,Body Text Char Char Char Char Char1 Char,Body Text Char2 Char1 Char Char Char Char Char Char,Body Text Char2 Char Char"/>
    <w:basedOn w:val="DefaultParagraphFont"/>
    <w:link w:val="BodyText"/>
    <w:rsid w:val="006A3B2C"/>
    <w:rPr>
      <w:sz w:val="26"/>
      <w:lang w:val="en-AU" w:eastAsia="en-AU" w:bidi="ar-SA"/>
    </w:rPr>
  </w:style>
  <w:style w:type="paragraph" w:styleId="CommentSubject">
    <w:name w:val="annotation subject"/>
    <w:basedOn w:val="CommentText"/>
    <w:next w:val="CommentText"/>
    <w:semiHidden/>
    <w:rsid w:val="001E327D"/>
    <w:pPr>
      <w:spacing w:before="0" w:line="240" w:lineRule="auto"/>
      <w:ind w:left="0" w:firstLine="0"/>
    </w:pPr>
    <w:rPr>
      <w:b/>
      <w:bCs/>
      <w:szCs w:val="20"/>
    </w:rPr>
  </w:style>
  <w:style w:type="character" w:customStyle="1" w:styleId="BoxListBulletChar">
    <w:name w:val="Box List Bullet Char"/>
    <w:basedOn w:val="DefaultParagraphFont"/>
    <w:link w:val="BoxListBullet"/>
    <w:rsid w:val="00DC4B9F"/>
    <w:rPr>
      <w:rFonts w:ascii="Arial" w:hAnsi="Arial"/>
      <w:sz w:val="22"/>
      <w:lang w:val="en-AU" w:eastAsia="en-AU" w:bidi="ar-SA"/>
    </w:rPr>
  </w:style>
  <w:style w:type="character" w:customStyle="1" w:styleId="Heading1Char">
    <w:name w:val="Heading 1 Char"/>
    <w:basedOn w:val="BodyTextChar1"/>
    <w:link w:val="Heading1"/>
    <w:rsid w:val="00156B88"/>
    <w:rPr>
      <w:sz w:val="52"/>
      <w:lang w:val="en-AU" w:eastAsia="en-AU" w:bidi="ar-SA"/>
    </w:rPr>
  </w:style>
  <w:style w:type="character" w:customStyle="1" w:styleId="ChapterChar">
    <w:name w:val="Chapter Char"/>
    <w:basedOn w:val="Heading1Char"/>
    <w:link w:val="Chapter"/>
    <w:rsid w:val="00156B88"/>
    <w:rPr>
      <w:sz w:val="52"/>
      <w:lang w:val="en-AU" w:eastAsia="en-AU" w:bidi="ar-SA"/>
    </w:rPr>
  </w:style>
  <w:style w:type="character" w:customStyle="1" w:styleId="Heading2Char">
    <w:name w:val="Heading 2 Char"/>
    <w:basedOn w:val="ChapterChar"/>
    <w:link w:val="Heading2"/>
    <w:rsid w:val="00156B88"/>
    <w:rPr>
      <w:rFonts w:ascii="Arial" w:hAnsi="Arial"/>
      <w:b/>
      <w:sz w:val="32"/>
      <w:lang w:val="en-AU" w:eastAsia="en-AU" w:bidi="ar-SA"/>
    </w:rPr>
  </w:style>
  <w:style w:type="character" w:customStyle="1" w:styleId="Heading3Char">
    <w:name w:val="Heading 3 Char"/>
    <w:basedOn w:val="Heading2Char"/>
    <w:link w:val="Heading3"/>
    <w:rsid w:val="00156B88"/>
    <w:rPr>
      <w:rFonts w:ascii="Arial" w:hAnsi="Arial"/>
      <w:b/>
      <w:sz w:val="26"/>
      <w:lang w:val="en-AU" w:eastAsia="en-AU" w:bidi="ar-SA"/>
    </w:rPr>
  </w:style>
  <w:style w:type="character" w:customStyle="1" w:styleId="BoxChar">
    <w:name w:val="Box Char"/>
    <w:basedOn w:val="DefaultParagraphFont"/>
    <w:link w:val="Box"/>
    <w:rsid w:val="000A3B8F"/>
    <w:rPr>
      <w:rFonts w:ascii="Arial" w:hAnsi="Arial"/>
      <w:sz w:val="22"/>
      <w:lang w:val="en-AU" w:eastAsia="en-AU" w:bidi="ar-SA"/>
    </w:rPr>
  </w:style>
  <w:style w:type="character" w:customStyle="1" w:styleId="FootnoteTextChar">
    <w:name w:val="Footnote Text Char"/>
    <w:basedOn w:val="DefaultParagraphFont"/>
    <w:link w:val="FootnoteText"/>
    <w:rsid w:val="00AA6D4C"/>
    <w:rPr>
      <w:sz w:val="22"/>
      <w:lang w:val="en-AU" w:eastAsia="en-AU" w:bidi="ar-SA"/>
    </w:rPr>
  </w:style>
  <w:style w:type="character" w:customStyle="1" w:styleId="BodyTextChar">
    <w:name w:val="Body Text Char"/>
    <w:aliases w:val="new legislation style Char1,Body Text Char1 Char Char1,Body Text Char Char Char Char1,Body Text Char1 Char Char Char Char1,Body Text Char Char Char Char Char1 Char1,Body Text Char2 Char1 Char Char Char Char Char Char1"/>
    <w:basedOn w:val="DefaultParagraphFont"/>
    <w:rsid w:val="004755B5"/>
    <w:rPr>
      <w:sz w:val="26"/>
      <w:lang w:val="en-AU" w:eastAsia="en-AU" w:bidi="ar-SA"/>
    </w:rPr>
  </w:style>
  <w:style w:type="character" w:customStyle="1" w:styleId="BoxContinuedChar">
    <w:name w:val="Box Continued Char"/>
    <w:basedOn w:val="BodyTextChar1"/>
    <w:link w:val="BoxContinued"/>
    <w:rsid w:val="009651FC"/>
    <w:rPr>
      <w:rFonts w:ascii="Arial" w:hAnsi="Arial"/>
      <w:sz w:val="18"/>
      <w:lang w:val="en-AU" w:eastAsia="en-AU" w:bidi="ar-SA"/>
    </w:rPr>
  </w:style>
  <w:style w:type="character" w:customStyle="1" w:styleId="ContinuedChar">
    <w:name w:val="Continued Char"/>
    <w:basedOn w:val="BoxContinuedChar"/>
    <w:link w:val="Continued"/>
    <w:rsid w:val="009651FC"/>
    <w:rPr>
      <w:rFonts w:ascii="Arial" w:hAnsi="Arial"/>
      <w:sz w:val="18"/>
      <w:lang w:val="en-AU" w:eastAsia="en-AU" w:bidi="ar-SA"/>
    </w:rPr>
  </w:style>
  <w:style w:type="character" w:customStyle="1" w:styleId="CommentTextChar">
    <w:name w:val="Comment Text Char"/>
    <w:basedOn w:val="DefaultParagraphFont"/>
    <w:link w:val="CommentText"/>
    <w:semiHidden/>
    <w:rsid w:val="00851D2F"/>
    <w:rPr>
      <w:szCs w:val="24"/>
      <w:lang w:val="en-AU" w:eastAsia="en-AU" w:bidi="ar-SA"/>
    </w:rPr>
  </w:style>
  <w:style w:type="paragraph" w:styleId="Revision">
    <w:name w:val="Revision"/>
    <w:hidden/>
    <w:uiPriority w:val="99"/>
    <w:semiHidden/>
    <w:rsid w:val="00FA781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c%20template\Chap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9F4F2-D2DA-44EE-B7BD-505733775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Template>
  <TotalTime>88</TotalTime>
  <Pages>12</Pages>
  <Words>3633</Words>
  <Characters>20247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Econometric model</vt:lpstr>
    </vt:vector>
  </TitlesOfParts>
  <Company>Productivity Commission</Company>
  <LinksUpToDate>false</LinksUpToDate>
  <CharactersWithSpaces>23833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Econometric model</dc:title>
  <dc:subject>Determinants of Indigenous Labour Market Outcomes</dc:subject>
  <dc:creator>cboulton</dc:creator>
  <dc:description>3.</dc:description>
  <cp:lastModifiedBy>Louise Jordan</cp:lastModifiedBy>
  <cp:revision>24</cp:revision>
  <cp:lastPrinted>2011-11-23T05:53:00Z</cp:lastPrinted>
  <dcterms:created xsi:type="dcterms:W3CDTF">2011-09-07T06:54:00Z</dcterms:created>
  <dcterms:modified xsi:type="dcterms:W3CDTF">2011-11-23T05:54:00Z</dcterms:modified>
</cp:coreProperties>
</file>