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0E8DFC" w14:textId="77777777" w:rsidR="00A33DFF" w:rsidRDefault="0024754D" w:rsidP="0024754D">
      <w:pPr>
        <w:pStyle w:val="Heading1"/>
        <w:spacing w:before="0"/>
      </w:pPr>
      <w:bookmarkStart w:id="0" w:name="ChapterNumber"/>
      <w:bookmarkStart w:id="1" w:name="_GoBack"/>
      <w:bookmarkEnd w:id="1"/>
      <w:r>
        <w:t>4</w:t>
      </w:r>
      <w:bookmarkEnd w:id="0"/>
      <w:r>
        <w:tab/>
      </w:r>
      <w:bookmarkStart w:id="2" w:name="ChapterTitle"/>
      <w:r>
        <w:t>Data and variables</w:t>
      </w:r>
      <w:bookmarkEnd w:id="2"/>
    </w:p>
    <w:p w14:paraId="7069E00D" w14:textId="66A6E902" w:rsidR="006A0509" w:rsidRDefault="008D13B2" w:rsidP="00C5336A">
      <w:pPr>
        <w:pStyle w:val="BodyText"/>
      </w:pPr>
      <w:bookmarkStart w:id="3" w:name="begin"/>
      <w:bookmarkEnd w:id="3"/>
      <w:r>
        <w:t xml:space="preserve">Econometric models of the determinants of </w:t>
      </w:r>
      <w:r w:rsidR="00990534">
        <w:t>labour market outcomes (</w:t>
      </w:r>
      <w:r>
        <w:t>LMOs</w:t>
      </w:r>
      <w:r w:rsidR="00990534">
        <w:t>)</w:t>
      </w:r>
      <w:r>
        <w:t xml:space="preserve"> are </w:t>
      </w:r>
      <w:r w:rsidR="009457B0">
        <w:t xml:space="preserve">generally </w:t>
      </w:r>
      <w:r>
        <w:t xml:space="preserve">based on a demand and supply framework, and </w:t>
      </w:r>
      <w:r w:rsidR="009457B0">
        <w:t xml:space="preserve">the </w:t>
      </w:r>
      <w:r w:rsidR="006A0509">
        <w:t xml:space="preserve">various </w:t>
      </w:r>
      <w:r>
        <w:t>theories</w:t>
      </w:r>
      <w:r w:rsidR="00390848">
        <w:t xml:space="preserve"> (described in chapter 2) that</w:t>
      </w:r>
      <w:r>
        <w:t xml:space="preserve"> guide the choice of</w:t>
      </w:r>
      <w:r w:rsidR="00D02635">
        <w:t xml:space="preserve"> </w:t>
      </w:r>
      <w:r w:rsidR="00D95184">
        <w:t>variables</w:t>
      </w:r>
      <w:r>
        <w:t xml:space="preserve">. Empirical labour market models commonly include basic features or characteristics of individuals, such as their age, marital status, education and work experience. </w:t>
      </w:r>
      <w:r w:rsidR="00990534">
        <w:t>M</w:t>
      </w:r>
      <w:r>
        <w:t xml:space="preserve">ore </w:t>
      </w:r>
      <w:r w:rsidR="00990534">
        <w:t xml:space="preserve">detailed </w:t>
      </w:r>
      <w:r>
        <w:t>data</w:t>
      </w:r>
      <w:r w:rsidR="00FE418D">
        <w:t xml:space="preserve">sets, </w:t>
      </w:r>
      <w:r w:rsidR="00990534">
        <w:t xml:space="preserve">such </w:t>
      </w:r>
      <w:r w:rsidR="00FE418D">
        <w:t xml:space="preserve">the </w:t>
      </w:r>
      <w:r w:rsidR="00356473">
        <w:t>National Aboriginal and Torres Strait Islander Social Survey (</w:t>
      </w:r>
      <w:r w:rsidR="00FE418D">
        <w:t>NATSISS</w:t>
      </w:r>
      <w:r w:rsidR="00356473">
        <w:t>)</w:t>
      </w:r>
      <w:r w:rsidR="00FE418D">
        <w:t xml:space="preserve">, </w:t>
      </w:r>
      <w:r w:rsidR="00990534">
        <w:t>include indicators related to</w:t>
      </w:r>
      <w:r>
        <w:t xml:space="preserve"> health, and cultural and socioeconomic environment</w:t>
      </w:r>
      <w:r w:rsidR="00990534">
        <w:t xml:space="preserve"> that </w:t>
      </w:r>
      <w:r w:rsidR="00C60AD4">
        <w:t xml:space="preserve">also influence </w:t>
      </w:r>
      <w:proofErr w:type="spellStart"/>
      <w:r w:rsidR="00C60AD4">
        <w:t>LMO</w:t>
      </w:r>
      <w:r w:rsidR="000B69C7">
        <w:t>s</w:t>
      </w:r>
      <w:proofErr w:type="spellEnd"/>
      <w:r w:rsidR="00C60AD4">
        <w:t>.</w:t>
      </w:r>
      <w:r>
        <w:t xml:space="preserve"> </w:t>
      </w:r>
    </w:p>
    <w:p w14:paraId="28C534F5" w14:textId="77777777" w:rsidR="00426482" w:rsidRDefault="00426482" w:rsidP="00C5336A">
      <w:pPr>
        <w:pStyle w:val="BodyText"/>
      </w:pPr>
      <w:r>
        <w:t xml:space="preserve">Theory </w:t>
      </w:r>
      <w:r w:rsidR="00990534">
        <w:t xml:space="preserve">may be used to </w:t>
      </w:r>
      <w:r>
        <w:t xml:space="preserve">predict </w:t>
      </w:r>
      <w:r w:rsidR="00990534">
        <w:t xml:space="preserve">whether a </w:t>
      </w:r>
      <w:r w:rsidR="00FE418D">
        <w:t xml:space="preserve">particular </w:t>
      </w:r>
      <w:r>
        <w:t>factor</w:t>
      </w:r>
      <w:r w:rsidR="00990534">
        <w:t xml:space="preserve"> has a positive or negative influence</w:t>
      </w:r>
      <w:r>
        <w:t xml:space="preserve"> on</w:t>
      </w:r>
      <w:r w:rsidR="00990534">
        <w:t xml:space="preserve"> a LMO</w:t>
      </w:r>
      <w:r>
        <w:t xml:space="preserve">, or, in technical terms, the </w:t>
      </w:r>
      <w:r w:rsidR="00990534">
        <w:t xml:space="preserve">expected </w:t>
      </w:r>
      <w:r w:rsidR="00FE418D">
        <w:t>sign</w:t>
      </w:r>
      <w:r>
        <w:t xml:space="preserve"> of the marginal effect of an explanatory </w:t>
      </w:r>
      <w:r w:rsidR="00D95184">
        <w:t>variable</w:t>
      </w:r>
      <w:r>
        <w:t>.</w:t>
      </w:r>
      <w:r w:rsidR="00990534">
        <w:t xml:space="preserve"> However,</w:t>
      </w:r>
      <w:r w:rsidR="00D95184">
        <w:t xml:space="preserve"> in some cases, different theories will </w:t>
      </w:r>
      <w:r w:rsidR="00990534">
        <w:t>suggest</w:t>
      </w:r>
      <w:r w:rsidR="00D95184">
        <w:t xml:space="preserve"> different </w:t>
      </w:r>
      <w:r w:rsidR="00990534">
        <w:t xml:space="preserve">expected </w:t>
      </w:r>
      <w:r w:rsidR="00390848">
        <w:t>signs</w:t>
      </w:r>
      <w:r w:rsidR="00D95184">
        <w:t xml:space="preserve">. </w:t>
      </w:r>
      <w:r w:rsidR="00FE418D">
        <w:t xml:space="preserve">Some of the variables in this model are chosen based on more than one theory, and the expected sign of the marginal effect is, </w:t>
      </w:r>
      <w:r w:rsidR="00FE418D" w:rsidRPr="00FE418D">
        <w:rPr>
          <w:i/>
        </w:rPr>
        <w:t>a priori</w:t>
      </w:r>
      <w:r w:rsidR="00FE418D">
        <w:t>, ambiguous.</w:t>
      </w:r>
      <w:r w:rsidR="00FE418D" w:rsidRPr="00FE418D">
        <w:t xml:space="preserve"> </w:t>
      </w:r>
      <w:r w:rsidR="00FE418D">
        <w:t xml:space="preserve">It </w:t>
      </w:r>
      <w:r w:rsidR="00990534">
        <w:t>is then</w:t>
      </w:r>
      <w:r w:rsidR="00FE418D">
        <w:t xml:space="preserve"> an empirical matter </w:t>
      </w:r>
      <w:r w:rsidR="00990534">
        <w:t>as to whether the positive or negative effect</w:t>
      </w:r>
      <w:r w:rsidR="00FE418D">
        <w:t xml:space="preserve"> dominates.</w:t>
      </w:r>
    </w:p>
    <w:p w14:paraId="308D5393" w14:textId="77777777" w:rsidR="006A0509" w:rsidRDefault="006A0509" w:rsidP="006A0509">
      <w:pPr>
        <w:pStyle w:val="BodyText"/>
      </w:pPr>
      <w:r>
        <w:t>The outline of this chapter is follows: the 2008 NATSISS dataset</w:t>
      </w:r>
      <w:r w:rsidR="00830D61">
        <w:t xml:space="preserve"> and</w:t>
      </w:r>
      <w:r>
        <w:t xml:space="preserve"> the sample used </w:t>
      </w:r>
      <w:r w:rsidR="000267E9">
        <w:t>is</w:t>
      </w:r>
      <w:r>
        <w:t xml:space="preserve"> </w:t>
      </w:r>
      <w:r w:rsidR="00390848">
        <w:t>described</w:t>
      </w:r>
      <w:r>
        <w:t xml:space="preserve"> in section 4.1; the variables that are used in this analysi</w:t>
      </w:r>
      <w:r w:rsidR="000267E9">
        <w:t>s are described in section 4.2; and some of the data limitations are described in section</w:t>
      </w:r>
      <w:r w:rsidR="00830D61">
        <w:t> </w:t>
      </w:r>
      <w:r w:rsidR="000267E9">
        <w:t>4.3.</w:t>
      </w:r>
    </w:p>
    <w:p w14:paraId="38CC0D90" w14:textId="42852C86" w:rsidR="00FE418D" w:rsidRPr="0024754D" w:rsidRDefault="00F425E6" w:rsidP="0024754D">
      <w:pPr>
        <w:pStyle w:val="Heading2"/>
      </w:pPr>
      <w:r>
        <w:t>4.</w:t>
      </w:r>
      <w:r w:rsidR="002C62E2">
        <w:rPr>
          <w:noProof/>
        </w:rPr>
        <w:t>1</w:t>
      </w:r>
      <w:r>
        <w:tab/>
      </w:r>
      <w:r w:rsidR="00FE418D" w:rsidRPr="0024754D">
        <w:t xml:space="preserve">ABS </w:t>
      </w:r>
      <w:r w:rsidR="00C0534B" w:rsidRPr="0024754D">
        <w:t xml:space="preserve">2008 </w:t>
      </w:r>
      <w:proofErr w:type="spellStart"/>
      <w:r w:rsidR="00FE418D" w:rsidRPr="0024754D">
        <w:t>NATSISS</w:t>
      </w:r>
      <w:proofErr w:type="spellEnd"/>
      <w:r w:rsidR="00FE418D" w:rsidRPr="0024754D">
        <w:t xml:space="preserve"> </w:t>
      </w:r>
    </w:p>
    <w:p w14:paraId="07311B04" w14:textId="47E880B3" w:rsidR="00D20A4A" w:rsidRDefault="00FE418D" w:rsidP="00D20A4A">
      <w:pPr>
        <w:pStyle w:val="BodyText"/>
      </w:pPr>
      <w:r>
        <w:t xml:space="preserve">This analysis was conducted using the 2008 NATSISS dataset. This is the third survey of this type to be conducted by the ABS and includes Indigenous people who were permanent residents of private dwellings. </w:t>
      </w:r>
      <w:r w:rsidR="00D20A4A">
        <w:t>The NATSISS excludes people who are not permanent residents of private dwellings (including visitors), and people living in institutions (such as hospitals, nursing homes and, prisons) and special dwellings (such as hotels and boarding houses).</w:t>
      </w:r>
    </w:p>
    <w:p w14:paraId="01E629CB" w14:textId="77777777" w:rsidR="00FE418D" w:rsidRDefault="00FE418D" w:rsidP="00FE418D">
      <w:pPr>
        <w:pStyle w:val="BodyText"/>
      </w:pPr>
      <w:r>
        <w:t>The NATSISS dataset has information relating to characteristics</w:t>
      </w:r>
      <w:r w:rsidR="00990534">
        <w:t xml:space="preserve"> of the household</w:t>
      </w:r>
      <w:r>
        <w:t>,</w:t>
      </w:r>
      <w:r w:rsidR="00990534">
        <w:t xml:space="preserve"> </w:t>
      </w:r>
      <w:r>
        <w:t xml:space="preserve">as well as individual characteristics of at least one adult and one child who are </w:t>
      </w:r>
      <w:r>
        <w:lastRenderedPageBreak/>
        <w:t>residents of that household. For remote areas, information relates</w:t>
      </w:r>
      <w:r w:rsidRPr="00FE47E0">
        <w:t xml:space="preserve"> to two adults and two </w:t>
      </w:r>
      <w:r>
        <w:t>children</w:t>
      </w:r>
      <w:r w:rsidR="00C0534B">
        <w:t xml:space="preserve"> in each household</w:t>
      </w:r>
      <w:r>
        <w:t>.</w:t>
      </w:r>
    </w:p>
    <w:p w14:paraId="75DE1334" w14:textId="77777777" w:rsidR="002E6E15" w:rsidRDefault="002E6E15" w:rsidP="002E6E15">
      <w:pPr>
        <w:pStyle w:val="Heading3"/>
      </w:pPr>
      <w:r>
        <w:t>Estimation sample</w:t>
      </w:r>
    </w:p>
    <w:p w14:paraId="6393B684" w14:textId="77777777" w:rsidR="006A0509" w:rsidRDefault="002E6E15" w:rsidP="006A0509">
      <w:pPr>
        <w:pStyle w:val="BodyText"/>
      </w:pPr>
      <w:r>
        <w:t>The model exclude</w:t>
      </w:r>
      <w:r w:rsidR="00C0534B">
        <w:t>s</w:t>
      </w:r>
      <w:r>
        <w:t xml:space="preserve"> full-time students because they are limited in the extent of their possible involvement in the labour force. The estimation sample was further restricted to people aged between 15 and 64 (the usual working age population). </w:t>
      </w:r>
    </w:p>
    <w:p w14:paraId="34CDC3B0" w14:textId="4F385B35" w:rsidR="006A0509" w:rsidRDefault="006A0509" w:rsidP="006A0509">
      <w:pPr>
        <w:pStyle w:val="BodyText"/>
      </w:pPr>
      <w:r>
        <w:t>Some labour supply factors are highly deterministic, for example, the labour supply decisions of men and women tend to be different due to factors such as child rearing</w:t>
      </w:r>
      <w:r w:rsidR="00035E8E">
        <w:t xml:space="preserve"> and other family</w:t>
      </w:r>
      <w:r>
        <w:t xml:space="preserve"> responsibilities. This supports estimating separate regressions for men and women.</w:t>
      </w:r>
    </w:p>
    <w:p w14:paraId="54D919B1" w14:textId="77777777" w:rsidR="002E6E15" w:rsidRDefault="002E6E15" w:rsidP="002E6E15">
      <w:pPr>
        <w:pStyle w:val="BodyText"/>
      </w:pPr>
      <w:r>
        <w:t>After accounting for these exclusions and</w:t>
      </w:r>
      <w:r w:rsidR="00990534">
        <w:t xml:space="preserve"> for</w:t>
      </w:r>
      <w:r>
        <w:t xml:space="preserve"> missing observations, the estimation samples were around 2</w:t>
      </w:r>
      <w:r w:rsidR="00A74AD8">
        <w:t>7</w:t>
      </w:r>
      <w:r>
        <w:t xml:space="preserve">00 men and 3500 women. </w:t>
      </w:r>
    </w:p>
    <w:p w14:paraId="27BB8494" w14:textId="18F326EF" w:rsidR="003F413F" w:rsidRDefault="00F425E6" w:rsidP="00C5336A">
      <w:pPr>
        <w:pStyle w:val="Heading2"/>
      </w:pPr>
      <w:r>
        <w:t>4.</w:t>
      </w:r>
      <w:r w:rsidR="002C62E2">
        <w:rPr>
          <w:noProof/>
        </w:rPr>
        <w:t>2</w:t>
      </w:r>
      <w:r>
        <w:tab/>
      </w:r>
      <w:r w:rsidR="00AF44E2">
        <w:t>Explanatory v</w:t>
      </w:r>
      <w:r w:rsidR="003F413F">
        <w:t xml:space="preserve">ariables </w:t>
      </w:r>
    </w:p>
    <w:p w14:paraId="5FD9DD1B" w14:textId="77777777" w:rsidR="003F413F" w:rsidRDefault="00EB1D34" w:rsidP="003F413F">
      <w:pPr>
        <w:pStyle w:val="BodyText"/>
      </w:pPr>
      <w:r>
        <w:t xml:space="preserve">This section </w:t>
      </w:r>
      <w:r w:rsidR="00990534">
        <w:t xml:space="preserve">outlines </w:t>
      </w:r>
      <w:r w:rsidR="00C26E8D">
        <w:t xml:space="preserve">the variables used in </w:t>
      </w:r>
      <w:r w:rsidR="00990534">
        <w:t>the analysis in this paper</w:t>
      </w:r>
      <w:r>
        <w:t xml:space="preserve"> and explains the theoretical reas</w:t>
      </w:r>
      <w:r w:rsidR="00C26E8D">
        <w:t>ons for their inclusion.</w:t>
      </w:r>
      <w:r w:rsidR="00E16BFB">
        <w:t xml:space="preserve"> </w:t>
      </w:r>
      <w:r w:rsidR="00FE418D">
        <w:t xml:space="preserve">It also </w:t>
      </w:r>
      <w:r w:rsidR="00990534">
        <w:t xml:space="preserve">explains some </w:t>
      </w:r>
      <w:r w:rsidR="00FE418D">
        <w:t>measurement issues</w:t>
      </w:r>
      <w:r w:rsidR="00990534">
        <w:t xml:space="preserve"> related to the use and derivation of particular variables</w:t>
      </w:r>
      <w:r w:rsidR="002E6E15">
        <w:t>,</w:t>
      </w:r>
      <w:r w:rsidR="00990534">
        <w:t xml:space="preserve"> including approaches taken in </w:t>
      </w:r>
      <w:r w:rsidR="00B3093C">
        <w:t>economics literature</w:t>
      </w:r>
      <w:r w:rsidR="00FE418D">
        <w:t xml:space="preserve">. </w:t>
      </w:r>
      <w:r w:rsidR="00E16BFB">
        <w:t xml:space="preserve">The variables </w:t>
      </w:r>
      <w:r w:rsidR="0063138B">
        <w:t xml:space="preserve">presented </w:t>
      </w:r>
      <w:r w:rsidR="00E16BFB">
        <w:t xml:space="preserve">in this section </w:t>
      </w:r>
      <w:r w:rsidR="00830D61">
        <w:t xml:space="preserve">include gender, age and </w:t>
      </w:r>
      <w:r w:rsidR="00372FE7">
        <w:t>family structure of the household</w:t>
      </w:r>
      <w:r w:rsidR="006F2C86">
        <w:t xml:space="preserve">, and others that </w:t>
      </w:r>
      <w:r w:rsidR="007B09D0">
        <w:t>fall under the following categories</w:t>
      </w:r>
      <w:r w:rsidR="0063138B">
        <w:t xml:space="preserve">: </w:t>
      </w:r>
      <w:r w:rsidR="00E16BFB">
        <w:t xml:space="preserve">location, health, skills and knowledge, </w:t>
      </w:r>
      <w:r w:rsidR="00B3093C">
        <w:t>contact with the criminal justice system</w:t>
      </w:r>
      <w:r w:rsidR="00B1590F">
        <w:t>,</w:t>
      </w:r>
      <w:r w:rsidR="00E16BFB">
        <w:t xml:space="preserve"> and social and cultural environment.</w:t>
      </w:r>
      <w:r w:rsidR="00D02635">
        <w:t xml:space="preserve"> </w:t>
      </w:r>
      <w:r w:rsidR="00830D61">
        <w:t>D</w:t>
      </w:r>
      <w:r w:rsidR="003F413F">
        <w:t>escription</w:t>
      </w:r>
      <w:r w:rsidR="00830D61">
        <w:t>s</w:t>
      </w:r>
      <w:r w:rsidR="003F413F">
        <w:t xml:space="preserve"> of the variables used </w:t>
      </w:r>
      <w:r w:rsidR="00830D61">
        <w:t>are</w:t>
      </w:r>
      <w:r w:rsidR="003F413F">
        <w:t xml:space="preserve"> in table </w:t>
      </w:r>
      <w:r w:rsidR="00D02635">
        <w:t>A</w:t>
      </w:r>
      <w:r w:rsidR="00426482">
        <w:t>.</w:t>
      </w:r>
      <w:r w:rsidR="003F413F">
        <w:t>1. Descriptive statistics are in table </w:t>
      </w:r>
      <w:r w:rsidR="00D02635">
        <w:t>A</w:t>
      </w:r>
      <w:r w:rsidR="00426482">
        <w:t>.</w:t>
      </w:r>
      <w:r w:rsidR="003F413F">
        <w:t xml:space="preserve">2. </w:t>
      </w:r>
    </w:p>
    <w:p w14:paraId="44044F9E" w14:textId="77777777" w:rsidR="00EB1D34" w:rsidRDefault="00EB1D34" w:rsidP="00EB1D34">
      <w:pPr>
        <w:pStyle w:val="Heading3"/>
      </w:pPr>
      <w:r>
        <w:t>Gender</w:t>
      </w:r>
    </w:p>
    <w:p w14:paraId="746F2F12" w14:textId="400FD4B3" w:rsidR="006B33A8" w:rsidRDefault="00EB1D34" w:rsidP="00E30F00">
      <w:pPr>
        <w:pStyle w:val="BodyText"/>
        <w:rPr>
          <w:szCs w:val="26"/>
        </w:rPr>
      </w:pPr>
      <w:r>
        <w:t xml:space="preserve">Patterns of LMOs </w:t>
      </w:r>
      <w:r w:rsidR="00B3093C">
        <w:t xml:space="preserve">tend </w:t>
      </w:r>
      <w:r w:rsidR="00481050">
        <w:t xml:space="preserve">to </w:t>
      </w:r>
      <w:r w:rsidR="00727FD5" w:rsidRPr="00727FD5">
        <w:t xml:space="preserve">differ between men and women. Women </w:t>
      </w:r>
      <w:r w:rsidR="00D4147D">
        <w:t xml:space="preserve">are more likely to </w:t>
      </w:r>
      <w:r w:rsidR="00727FD5" w:rsidRPr="00727FD5">
        <w:t xml:space="preserve">balance paid work and child </w:t>
      </w:r>
      <w:r w:rsidR="003F3499">
        <w:t>r</w:t>
      </w:r>
      <w:r w:rsidR="003F3499" w:rsidRPr="00727FD5">
        <w:t xml:space="preserve">earing </w:t>
      </w:r>
      <w:r w:rsidR="00035E8E">
        <w:t xml:space="preserve">and other family </w:t>
      </w:r>
      <w:r w:rsidR="00727FD5" w:rsidRPr="00727FD5">
        <w:t xml:space="preserve">responsibilities. </w:t>
      </w:r>
      <w:r>
        <w:t>They</w:t>
      </w:r>
      <w:r w:rsidR="00E30F00">
        <w:rPr>
          <w:szCs w:val="26"/>
        </w:rPr>
        <w:t xml:space="preserve"> often leave the labour market to care for young children, while </w:t>
      </w:r>
      <w:r w:rsidR="007C68B5">
        <w:rPr>
          <w:szCs w:val="26"/>
        </w:rPr>
        <w:t>men</w:t>
      </w:r>
      <w:r w:rsidR="00B3093C">
        <w:rPr>
          <w:szCs w:val="26"/>
        </w:rPr>
        <w:t xml:space="preserve"> </w:t>
      </w:r>
      <w:r w:rsidR="00E30F00">
        <w:rPr>
          <w:szCs w:val="26"/>
        </w:rPr>
        <w:t xml:space="preserve">rarely leave the labour market to care for children for long </w:t>
      </w:r>
      <w:r w:rsidR="009457B0">
        <w:rPr>
          <w:szCs w:val="26"/>
        </w:rPr>
        <w:t xml:space="preserve">periods </w:t>
      </w:r>
      <w:r w:rsidR="00E30F00">
        <w:rPr>
          <w:szCs w:val="26"/>
        </w:rPr>
        <w:t>(</w:t>
      </w:r>
      <w:proofErr w:type="spellStart"/>
      <w:r w:rsidR="00E30F00">
        <w:rPr>
          <w:szCs w:val="26"/>
        </w:rPr>
        <w:t>Orzechowska</w:t>
      </w:r>
      <w:proofErr w:type="spellEnd"/>
      <w:r w:rsidR="00E30F00">
        <w:rPr>
          <w:szCs w:val="26"/>
        </w:rPr>
        <w:t>-</w:t>
      </w:r>
      <w:r w:rsidR="003F3499">
        <w:rPr>
          <w:szCs w:val="26"/>
        </w:rPr>
        <w:t>Fischer </w:t>
      </w:r>
      <w:r w:rsidR="00E30F00">
        <w:rPr>
          <w:szCs w:val="26"/>
        </w:rPr>
        <w:t xml:space="preserve">2004). While many </w:t>
      </w:r>
      <w:r>
        <w:rPr>
          <w:szCs w:val="26"/>
        </w:rPr>
        <w:t>women</w:t>
      </w:r>
      <w:r w:rsidR="00E30F00">
        <w:rPr>
          <w:szCs w:val="26"/>
        </w:rPr>
        <w:t xml:space="preserve"> return to the labour market within a year of having</w:t>
      </w:r>
      <w:r w:rsidR="0049579C">
        <w:rPr>
          <w:szCs w:val="26"/>
        </w:rPr>
        <w:t xml:space="preserve"> a child</w:t>
      </w:r>
      <w:r w:rsidR="00E30F00">
        <w:rPr>
          <w:szCs w:val="26"/>
        </w:rPr>
        <w:t>, others return when their children reach school age</w:t>
      </w:r>
      <w:r w:rsidR="009457B0">
        <w:rPr>
          <w:szCs w:val="26"/>
        </w:rPr>
        <w:t>,</w:t>
      </w:r>
      <w:r w:rsidR="00E30F00">
        <w:rPr>
          <w:szCs w:val="26"/>
        </w:rPr>
        <w:t xml:space="preserve"> </w:t>
      </w:r>
      <w:r w:rsidR="00B41E76">
        <w:rPr>
          <w:szCs w:val="26"/>
        </w:rPr>
        <w:t>or</w:t>
      </w:r>
      <w:r w:rsidR="003F3499">
        <w:rPr>
          <w:szCs w:val="26"/>
        </w:rPr>
        <w:t xml:space="preserve"> </w:t>
      </w:r>
      <w:r w:rsidR="00B3093C">
        <w:rPr>
          <w:szCs w:val="26"/>
        </w:rPr>
        <w:t xml:space="preserve">they </w:t>
      </w:r>
      <w:r w:rsidR="00334480">
        <w:rPr>
          <w:szCs w:val="26"/>
        </w:rPr>
        <w:t>never return</w:t>
      </w:r>
      <w:r w:rsidR="00E30F00">
        <w:rPr>
          <w:szCs w:val="26"/>
        </w:rPr>
        <w:t xml:space="preserve"> (</w:t>
      </w:r>
      <w:proofErr w:type="spellStart"/>
      <w:r w:rsidR="003F3499">
        <w:rPr>
          <w:szCs w:val="26"/>
        </w:rPr>
        <w:t>Boushey</w:t>
      </w:r>
      <w:proofErr w:type="spellEnd"/>
      <w:r w:rsidR="003F3499">
        <w:rPr>
          <w:szCs w:val="26"/>
        </w:rPr>
        <w:t> </w:t>
      </w:r>
      <w:r w:rsidR="00E30F00">
        <w:rPr>
          <w:szCs w:val="26"/>
        </w:rPr>
        <w:t xml:space="preserve">2005; </w:t>
      </w:r>
      <w:proofErr w:type="spellStart"/>
      <w:r w:rsidR="003F3499">
        <w:rPr>
          <w:szCs w:val="26"/>
        </w:rPr>
        <w:t>Goldin</w:t>
      </w:r>
      <w:proofErr w:type="spellEnd"/>
      <w:r w:rsidR="003F3499">
        <w:rPr>
          <w:szCs w:val="26"/>
        </w:rPr>
        <w:t> </w:t>
      </w:r>
      <w:r w:rsidR="00E30F00">
        <w:rPr>
          <w:szCs w:val="26"/>
        </w:rPr>
        <w:t xml:space="preserve">2006). </w:t>
      </w:r>
      <w:r w:rsidR="00297BD7">
        <w:rPr>
          <w:szCs w:val="26"/>
        </w:rPr>
        <w:t>As discussed in</w:t>
      </w:r>
      <w:r w:rsidR="008E3D3B">
        <w:rPr>
          <w:szCs w:val="26"/>
        </w:rPr>
        <w:t xml:space="preserve"> chapter 1, </w:t>
      </w:r>
      <w:r w:rsidR="00B3093C">
        <w:rPr>
          <w:szCs w:val="26"/>
        </w:rPr>
        <w:t xml:space="preserve">in 2008, Indigenous </w:t>
      </w:r>
      <w:r w:rsidR="008E3D3B">
        <w:rPr>
          <w:szCs w:val="26"/>
        </w:rPr>
        <w:t>labour force partici</w:t>
      </w:r>
      <w:r w:rsidR="00297BD7">
        <w:rPr>
          <w:szCs w:val="26"/>
        </w:rPr>
        <w:t>p</w:t>
      </w:r>
      <w:r w:rsidR="008E3D3B">
        <w:rPr>
          <w:szCs w:val="26"/>
        </w:rPr>
        <w:t>a</w:t>
      </w:r>
      <w:r w:rsidR="00297BD7">
        <w:rPr>
          <w:szCs w:val="26"/>
        </w:rPr>
        <w:t>tion</w:t>
      </w:r>
      <w:r w:rsidR="00B3093C">
        <w:rPr>
          <w:szCs w:val="26"/>
        </w:rPr>
        <w:t xml:space="preserve"> (as a proportion of the Indigenous working age population aged 15 to 64) </w:t>
      </w:r>
      <w:r w:rsidR="00B41E76">
        <w:rPr>
          <w:szCs w:val="26"/>
        </w:rPr>
        <w:t xml:space="preserve"> </w:t>
      </w:r>
      <w:r w:rsidR="00297BD7">
        <w:rPr>
          <w:szCs w:val="26"/>
        </w:rPr>
        <w:t xml:space="preserve">was </w:t>
      </w:r>
      <w:r w:rsidR="00372FE7">
        <w:rPr>
          <w:szCs w:val="26"/>
        </w:rPr>
        <w:t>75 </w:t>
      </w:r>
      <w:r w:rsidR="00297BD7">
        <w:rPr>
          <w:szCs w:val="26"/>
        </w:rPr>
        <w:t>per</w:t>
      </w:r>
      <w:r w:rsidR="002A4CF6">
        <w:rPr>
          <w:szCs w:val="26"/>
        </w:rPr>
        <w:t> </w:t>
      </w:r>
      <w:r w:rsidR="00297BD7">
        <w:rPr>
          <w:szCs w:val="26"/>
        </w:rPr>
        <w:t xml:space="preserve">cent </w:t>
      </w:r>
      <w:r w:rsidR="00B41E76">
        <w:rPr>
          <w:szCs w:val="26"/>
        </w:rPr>
        <w:t>for men, and</w:t>
      </w:r>
      <w:r w:rsidR="00297BD7">
        <w:rPr>
          <w:szCs w:val="26"/>
        </w:rPr>
        <w:t xml:space="preserve"> </w:t>
      </w:r>
      <w:r w:rsidR="00372FE7">
        <w:rPr>
          <w:szCs w:val="26"/>
        </w:rPr>
        <w:t>55 </w:t>
      </w:r>
      <w:r w:rsidR="00297BD7">
        <w:rPr>
          <w:szCs w:val="26"/>
        </w:rPr>
        <w:t>per cent for women</w:t>
      </w:r>
      <w:r w:rsidR="00334480">
        <w:rPr>
          <w:szCs w:val="26"/>
        </w:rPr>
        <w:t xml:space="preserve"> (</w:t>
      </w:r>
      <w:r w:rsidR="003F3499">
        <w:rPr>
          <w:szCs w:val="26"/>
        </w:rPr>
        <w:t>SCRGSP </w:t>
      </w:r>
      <w:r w:rsidR="00334480">
        <w:rPr>
          <w:szCs w:val="26"/>
        </w:rPr>
        <w:t>2011)</w:t>
      </w:r>
      <w:r w:rsidR="00297BD7">
        <w:rPr>
          <w:szCs w:val="26"/>
        </w:rPr>
        <w:t xml:space="preserve">. </w:t>
      </w:r>
    </w:p>
    <w:p w14:paraId="686DBB19" w14:textId="09090B59" w:rsidR="00E30F00" w:rsidRDefault="00EB1D34" w:rsidP="00E30F00">
      <w:pPr>
        <w:pStyle w:val="BodyText"/>
        <w:rPr>
          <w:szCs w:val="26"/>
        </w:rPr>
      </w:pPr>
      <w:r>
        <w:rPr>
          <w:szCs w:val="26"/>
        </w:rPr>
        <w:lastRenderedPageBreak/>
        <w:t xml:space="preserve">For these reasons, </w:t>
      </w:r>
      <w:r w:rsidR="006B33A8">
        <w:rPr>
          <w:szCs w:val="26"/>
        </w:rPr>
        <w:t xml:space="preserve">this </w:t>
      </w:r>
      <w:r w:rsidR="00B3093C">
        <w:rPr>
          <w:szCs w:val="26"/>
        </w:rPr>
        <w:t xml:space="preserve">analysis </w:t>
      </w:r>
      <w:r w:rsidR="006B33A8">
        <w:rPr>
          <w:szCs w:val="26"/>
        </w:rPr>
        <w:t xml:space="preserve">uses </w:t>
      </w:r>
      <w:r>
        <w:rPr>
          <w:szCs w:val="26"/>
        </w:rPr>
        <w:t>separate models for men an</w:t>
      </w:r>
      <w:r w:rsidR="001017E2">
        <w:rPr>
          <w:szCs w:val="26"/>
        </w:rPr>
        <w:t xml:space="preserve">d </w:t>
      </w:r>
      <w:r w:rsidR="008E3D3B">
        <w:rPr>
          <w:szCs w:val="26"/>
        </w:rPr>
        <w:t>women. This appr</w:t>
      </w:r>
      <w:r>
        <w:rPr>
          <w:szCs w:val="26"/>
        </w:rPr>
        <w:t>o</w:t>
      </w:r>
      <w:r w:rsidR="008E3D3B">
        <w:rPr>
          <w:szCs w:val="26"/>
        </w:rPr>
        <w:t>a</w:t>
      </w:r>
      <w:r>
        <w:rPr>
          <w:szCs w:val="26"/>
        </w:rPr>
        <w:t>ch is common</w:t>
      </w:r>
      <w:r w:rsidR="008E3D3B">
        <w:rPr>
          <w:szCs w:val="26"/>
        </w:rPr>
        <w:t xml:space="preserve"> in the literature (</w:t>
      </w:r>
      <w:r w:rsidR="0061500C">
        <w:rPr>
          <w:szCs w:val="26"/>
        </w:rPr>
        <w:t xml:space="preserve">Hunter and </w:t>
      </w:r>
      <w:proofErr w:type="spellStart"/>
      <w:r w:rsidR="003F3499">
        <w:rPr>
          <w:szCs w:val="26"/>
        </w:rPr>
        <w:t>Gray</w:t>
      </w:r>
      <w:proofErr w:type="spellEnd"/>
      <w:r w:rsidR="003F3499">
        <w:rPr>
          <w:szCs w:val="26"/>
        </w:rPr>
        <w:t> </w:t>
      </w:r>
      <w:r w:rsidR="0061500C">
        <w:rPr>
          <w:szCs w:val="26"/>
        </w:rPr>
        <w:t>1999</w:t>
      </w:r>
      <w:r w:rsidR="002028AC">
        <w:rPr>
          <w:szCs w:val="26"/>
        </w:rPr>
        <w:t>;</w:t>
      </w:r>
      <w:r w:rsidR="002028AC" w:rsidRPr="002028AC">
        <w:rPr>
          <w:szCs w:val="26"/>
        </w:rPr>
        <w:t xml:space="preserve"> </w:t>
      </w:r>
      <w:r w:rsidR="002028AC">
        <w:rPr>
          <w:szCs w:val="26"/>
        </w:rPr>
        <w:t>Stephens 2010</w:t>
      </w:r>
      <w:r w:rsidR="0061500C">
        <w:rPr>
          <w:szCs w:val="26"/>
        </w:rPr>
        <w:t xml:space="preserve">) </w:t>
      </w:r>
      <w:r>
        <w:rPr>
          <w:szCs w:val="26"/>
        </w:rPr>
        <w:t>alth</w:t>
      </w:r>
      <w:r w:rsidR="00297BD7">
        <w:rPr>
          <w:szCs w:val="26"/>
        </w:rPr>
        <w:t>o</w:t>
      </w:r>
      <w:r>
        <w:rPr>
          <w:szCs w:val="26"/>
        </w:rPr>
        <w:t>ugh some researchers have used gender as a</w:t>
      </w:r>
      <w:r w:rsidR="00B3093C">
        <w:rPr>
          <w:szCs w:val="26"/>
        </w:rPr>
        <w:t xml:space="preserve">n </w:t>
      </w:r>
      <w:r w:rsidR="00AF11F8">
        <w:rPr>
          <w:szCs w:val="26"/>
        </w:rPr>
        <w:t>explanatory</w:t>
      </w:r>
      <w:r>
        <w:rPr>
          <w:szCs w:val="26"/>
        </w:rPr>
        <w:t xml:space="preserve"> variable in their models </w:t>
      </w:r>
      <w:r w:rsidR="0061500C">
        <w:rPr>
          <w:szCs w:val="26"/>
        </w:rPr>
        <w:t>(Biddle and Webster 2007</w:t>
      </w:r>
      <w:r w:rsidR="00D02635">
        <w:rPr>
          <w:szCs w:val="26"/>
        </w:rPr>
        <w:t>)</w:t>
      </w:r>
      <w:r w:rsidR="0061500C">
        <w:rPr>
          <w:szCs w:val="26"/>
        </w:rPr>
        <w:t>.</w:t>
      </w:r>
    </w:p>
    <w:p w14:paraId="54AFAE22" w14:textId="09BB6C62" w:rsidR="003F413F" w:rsidRDefault="003F413F" w:rsidP="003F413F">
      <w:pPr>
        <w:pStyle w:val="Heading3"/>
      </w:pPr>
      <w:r>
        <w:t>Age</w:t>
      </w:r>
    </w:p>
    <w:p w14:paraId="72B83872" w14:textId="1989B39E" w:rsidR="003F413F" w:rsidRDefault="003F413F" w:rsidP="003F413F">
      <w:pPr>
        <w:pStyle w:val="BodyText"/>
        <w:rPr>
          <w:szCs w:val="26"/>
        </w:rPr>
      </w:pPr>
      <w:r>
        <w:t xml:space="preserve">Engagement with the labour market is influenced by a person’s age because there are </w:t>
      </w:r>
      <w:r w:rsidRPr="00DC3EE5">
        <w:t>life-cycle effects on</w:t>
      </w:r>
      <w:r w:rsidR="00BC4DD6">
        <w:t xml:space="preserve"> their</w:t>
      </w:r>
      <w:r w:rsidRPr="00DC3EE5">
        <w:t xml:space="preserve"> </w:t>
      </w:r>
      <w:r>
        <w:t xml:space="preserve">preferences for </w:t>
      </w:r>
      <w:r w:rsidRPr="00DC3EE5">
        <w:t xml:space="preserve">labour </w:t>
      </w:r>
      <w:r w:rsidR="00E30F00">
        <w:t>force participation</w:t>
      </w:r>
      <w:r>
        <w:t xml:space="preserve"> and </w:t>
      </w:r>
      <w:r w:rsidR="004E7F8A">
        <w:t xml:space="preserve">the value of </w:t>
      </w:r>
      <w:r w:rsidR="00830D61">
        <w:t>a person’s</w:t>
      </w:r>
      <w:r>
        <w:t xml:space="preserve"> human capital. Young people </w:t>
      </w:r>
      <w:r w:rsidR="00727FD5">
        <w:t>might not</w:t>
      </w:r>
      <w:r>
        <w:t xml:space="preserve"> participate in the workforce</w:t>
      </w:r>
      <w:r w:rsidR="006761B5">
        <w:t xml:space="preserve"> and be employed</w:t>
      </w:r>
      <w:r>
        <w:t xml:space="preserve"> until after completion of education or skills training. As </w:t>
      </w:r>
      <w:r w:rsidR="009457B0">
        <w:t>people age</w:t>
      </w:r>
      <w:r>
        <w:t xml:space="preserve">, </w:t>
      </w:r>
      <w:r w:rsidR="008158E1">
        <w:t xml:space="preserve">labour force </w:t>
      </w:r>
      <w:r>
        <w:rPr>
          <w:szCs w:val="26"/>
        </w:rPr>
        <w:t xml:space="preserve">participation </w:t>
      </w:r>
      <w:r w:rsidR="006761B5">
        <w:rPr>
          <w:szCs w:val="26"/>
        </w:rPr>
        <w:t xml:space="preserve">and employment </w:t>
      </w:r>
      <w:r>
        <w:rPr>
          <w:szCs w:val="26"/>
        </w:rPr>
        <w:t xml:space="preserve">may decrease as their health and physical ability to work </w:t>
      </w:r>
      <w:r w:rsidR="009457B0">
        <w:rPr>
          <w:szCs w:val="26"/>
        </w:rPr>
        <w:t>declines</w:t>
      </w:r>
      <w:r>
        <w:rPr>
          <w:szCs w:val="26"/>
        </w:rPr>
        <w:t xml:space="preserve">. Eventually, </w:t>
      </w:r>
      <w:r w:rsidR="009457B0">
        <w:rPr>
          <w:szCs w:val="26"/>
        </w:rPr>
        <w:t xml:space="preserve">people </w:t>
      </w:r>
      <w:r>
        <w:rPr>
          <w:szCs w:val="26"/>
        </w:rPr>
        <w:t xml:space="preserve">retire and </w:t>
      </w:r>
      <w:r w:rsidR="009457B0">
        <w:rPr>
          <w:szCs w:val="26"/>
        </w:rPr>
        <w:t xml:space="preserve">leave </w:t>
      </w:r>
      <w:r w:rsidR="00727FD5">
        <w:rPr>
          <w:szCs w:val="26"/>
        </w:rPr>
        <w:t>t</w:t>
      </w:r>
      <w:r>
        <w:rPr>
          <w:szCs w:val="26"/>
        </w:rPr>
        <w:t>he labour market.</w:t>
      </w:r>
      <w:r w:rsidR="006C0DB7" w:rsidRPr="006C0DB7">
        <w:t xml:space="preserve"> </w:t>
      </w:r>
      <w:r w:rsidR="006C0DB7">
        <w:t xml:space="preserve">Some effects which are linked to age, such as studying, health and physical ability, are separately accounted for by excluding students and by explicitly including other factors in the model. The </w:t>
      </w:r>
      <w:r w:rsidR="00AF11F8">
        <w:t xml:space="preserve">inclusion of age variables </w:t>
      </w:r>
      <w:r w:rsidR="006C0DB7">
        <w:t>therefore reflects</w:t>
      </w:r>
      <w:r w:rsidR="00AF11F8">
        <w:t xml:space="preserve"> the influence of</w:t>
      </w:r>
      <w:r w:rsidR="006C0DB7">
        <w:t xml:space="preserve"> other stages</w:t>
      </w:r>
      <w:r w:rsidR="00AF11F8">
        <w:t xml:space="preserve"> in a person’s lifecycle on LMOs</w:t>
      </w:r>
      <w:r w:rsidR="006C0DB7">
        <w:t xml:space="preserve">, such as </w:t>
      </w:r>
      <w:r w:rsidR="00256900">
        <w:t xml:space="preserve">skills formation, </w:t>
      </w:r>
      <w:r w:rsidR="006C0DB7">
        <w:t xml:space="preserve">child rearing and </w:t>
      </w:r>
      <w:r w:rsidR="00D02635">
        <w:t xml:space="preserve">early </w:t>
      </w:r>
      <w:r w:rsidR="006C0DB7">
        <w:t>retirement.</w:t>
      </w:r>
    </w:p>
    <w:p w14:paraId="205A7569" w14:textId="77777777" w:rsidR="00A23F0A" w:rsidRDefault="008158E1" w:rsidP="00E94950">
      <w:pPr>
        <w:pStyle w:val="BodyText"/>
        <w:rPr>
          <w:szCs w:val="26"/>
        </w:rPr>
      </w:pPr>
      <w:r>
        <w:rPr>
          <w:szCs w:val="26"/>
        </w:rPr>
        <w:t>A</w:t>
      </w:r>
      <w:r w:rsidR="00E94950">
        <w:rPr>
          <w:szCs w:val="26"/>
        </w:rPr>
        <w:t xml:space="preserve"> mathematical function </w:t>
      </w:r>
      <w:r>
        <w:rPr>
          <w:szCs w:val="26"/>
        </w:rPr>
        <w:t xml:space="preserve">that </w:t>
      </w:r>
      <w:r w:rsidR="00E94950">
        <w:rPr>
          <w:szCs w:val="26"/>
        </w:rPr>
        <w:t>capture</w:t>
      </w:r>
      <w:r>
        <w:rPr>
          <w:szCs w:val="26"/>
        </w:rPr>
        <w:t>s</w:t>
      </w:r>
      <w:r w:rsidR="00E94950">
        <w:rPr>
          <w:szCs w:val="26"/>
        </w:rPr>
        <w:t xml:space="preserve"> the effect of age on labour market o</w:t>
      </w:r>
      <w:r>
        <w:rPr>
          <w:szCs w:val="26"/>
        </w:rPr>
        <w:t>utcomes is a quadratic function, comprising age and age</w:t>
      </w:r>
      <w:r w:rsidR="00AF11F8">
        <w:rPr>
          <w:szCs w:val="26"/>
        </w:rPr>
        <w:t xml:space="preserve"> </w:t>
      </w:r>
      <w:r>
        <w:rPr>
          <w:szCs w:val="26"/>
        </w:rPr>
        <w:t>squared</w:t>
      </w:r>
      <w:r w:rsidR="00E94950">
        <w:rPr>
          <w:szCs w:val="26"/>
        </w:rPr>
        <w:t xml:space="preserve"> (</w:t>
      </w:r>
      <w:proofErr w:type="spellStart"/>
      <w:r w:rsidR="00E94950">
        <w:rPr>
          <w:szCs w:val="26"/>
        </w:rPr>
        <w:t>Bartus</w:t>
      </w:r>
      <w:proofErr w:type="spellEnd"/>
      <w:r w:rsidR="00E94950">
        <w:rPr>
          <w:szCs w:val="26"/>
        </w:rPr>
        <w:t xml:space="preserve"> 2005).</w:t>
      </w:r>
      <w:r w:rsidR="00E30F00">
        <w:rPr>
          <w:szCs w:val="26"/>
        </w:rPr>
        <w:t xml:space="preserve"> </w:t>
      </w:r>
      <w:r w:rsidR="00E94950">
        <w:rPr>
          <w:szCs w:val="26"/>
        </w:rPr>
        <w:t xml:space="preserve">The total effect of age on a </w:t>
      </w:r>
      <w:r w:rsidR="00AF11F8">
        <w:rPr>
          <w:szCs w:val="26"/>
        </w:rPr>
        <w:t>LMO</w:t>
      </w:r>
      <w:r w:rsidR="00E94950">
        <w:rPr>
          <w:szCs w:val="26"/>
        </w:rPr>
        <w:t xml:space="preserve"> is a combination of the age and age</w:t>
      </w:r>
      <w:r w:rsidR="006F2C86">
        <w:rPr>
          <w:szCs w:val="26"/>
        </w:rPr>
        <w:noBreakHyphen/>
      </w:r>
      <w:r w:rsidR="00E94950">
        <w:rPr>
          <w:szCs w:val="26"/>
        </w:rPr>
        <w:t>squared effects evaluated at the mean age</w:t>
      </w:r>
      <w:r w:rsidR="006761B5">
        <w:rPr>
          <w:szCs w:val="26"/>
        </w:rPr>
        <w:t xml:space="preserve"> (and the mean age squared)</w:t>
      </w:r>
      <w:r w:rsidR="00E94950">
        <w:rPr>
          <w:szCs w:val="26"/>
        </w:rPr>
        <w:t xml:space="preserve"> of the wo</w:t>
      </w:r>
      <w:r w:rsidR="00E30F00">
        <w:rPr>
          <w:szCs w:val="26"/>
        </w:rPr>
        <w:t>rking population</w:t>
      </w:r>
      <w:r w:rsidR="00E94950">
        <w:rPr>
          <w:szCs w:val="26"/>
        </w:rPr>
        <w:t xml:space="preserve">. </w:t>
      </w:r>
    </w:p>
    <w:p w14:paraId="49570AB2" w14:textId="77777777" w:rsidR="00E30F00" w:rsidRDefault="00E30F00" w:rsidP="00E94950">
      <w:pPr>
        <w:pStyle w:val="BodyText"/>
        <w:rPr>
          <w:szCs w:val="26"/>
        </w:rPr>
      </w:pPr>
      <w:r>
        <w:rPr>
          <w:szCs w:val="26"/>
        </w:rPr>
        <w:t xml:space="preserve">Other studies have used </w:t>
      </w:r>
      <w:r w:rsidR="00372FE7">
        <w:rPr>
          <w:szCs w:val="26"/>
        </w:rPr>
        <w:t xml:space="preserve">a </w:t>
      </w:r>
      <w:r>
        <w:rPr>
          <w:szCs w:val="26"/>
        </w:rPr>
        <w:t>different</w:t>
      </w:r>
      <w:r w:rsidR="00E52250">
        <w:rPr>
          <w:szCs w:val="26"/>
        </w:rPr>
        <w:t xml:space="preserve"> </w:t>
      </w:r>
      <w:r>
        <w:rPr>
          <w:szCs w:val="26"/>
        </w:rPr>
        <w:t>specification for age</w:t>
      </w:r>
      <w:r w:rsidR="00AF11F8">
        <w:rPr>
          <w:szCs w:val="26"/>
        </w:rPr>
        <w:t xml:space="preserve"> in econometric models</w:t>
      </w:r>
      <w:r>
        <w:rPr>
          <w:szCs w:val="26"/>
        </w:rPr>
        <w:t xml:space="preserve">, including dummy variables to reflect age </w:t>
      </w:r>
      <w:r w:rsidR="003D2443">
        <w:rPr>
          <w:szCs w:val="26"/>
        </w:rPr>
        <w:t>cohorts (Biddle and Webster</w:t>
      </w:r>
      <w:r w:rsidR="00D36E03">
        <w:rPr>
          <w:szCs w:val="26"/>
        </w:rPr>
        <w:t> </w:t>
      </w:r>
      <w:r w:rsidR="003D2443">
        <w:rPr>
          <w:szCs w:val="26"/>
        </w:rPr>
        <w:t xml:space="preserve">2007; </w:t>
      </w:r>
      <w:proofErr w:type="spellStart"/>
      <w:r>
        <w:rPr>
          <w:szCs w:val="26"/>
        </w:rPr>
        <w:t>Cai</w:t>
      </w:r>
      <w:proofErr w:type="spellEnd"/>
      <w:r w:rsidR="00D36E03">
        <w:rPr>
          <w:szCs w:val="26"/>
        </w:rPr>
        <w:t> </w:t>
      </w:r>
      <w:r w:rsidR="003D2443">
        <w:rPr>
          <w:szCs w:val="26"/>
        </w:rPr>
        <w:t>2010; Forbes</w:t>
      </w:r>
      <w:r w:rsidR="003E21ED">
        <w:rPr>
          <w:szCs w:val="26"/>
        </w:rPr>
        <w:t xml:space="preserve"> et al.</w:t>
      </w:r>
      <w:r w:rsidR="003D2443">
        <w:rPr>
          <w:szCs w:val="26"/>
        </w:rPr>
        <w:t xml:space="preserve"> 2010;</w:t>
      </w:r>
      <w:r>
        <w:rPr>
          <w:szCs w:val="26"/>
        </w:rPr>
        <w:t xml:space="preserve"> </w:t>
      </w:r>
      <w:r w:rsidR="003E21ED">
        <w:t xml:space="preserve">Laplagne et al. </w:t>
      </w:r>
      <w:r w:rsidR="003D2443">
        <w:rPr>
          <w:szCs w:val="26"/>
        </w:rPr>
        <w:t xml:space="preserve">2007; </w:t>
      </w:r>
      <w:r>
        <w:rPr>
          <w:szCs w:val="26"/>
        </w:rPr>
        <w:t>Stephens</w:t>
      </w:r>
      <w:r w:rsidR="003D2443">
        <w:rPr>
          <w:szCs w:val="26"/>
        </w:rPr>
        <w:t xml:space="preserve"> 2010</w:t>
      </w:r>
      <w:r>
        <w:rPr>
          <w:szCs w:val="26"/>
        </w:rPr>
        <w:t xml:space="preserve">). Other researchers have included an </w:t>
      </w:r>
      <w:r w:rsidR="00E52250">
        <w:rPr>
          <w:szCs w:val="26"/>
        </w:rPr>
        <w:t>age</w:t>
      </w:r>
      <w:r w:rsidR="00E52250">
        <w:rPr>
          <w:szCs w:val="26"/>
        </w:rPr>
        <w:noBreakHyphen/>
      </w:r>
      <w:r>
        <w:rPr>
          <w:szCs w:val="26"/>
        </w:rPr>
        <w:t>cubed term for women (Shomos</w:t>
      </w:r>
      <w:r w:rsidR="003D2443">
        <w:rPr>
          <w:szCs w:val="26"/>
        </w:rPr>
        <w:t xml:space="preserve"> 2010</w:t>
      </w:r>
      <w:r>
        <w:rPr>
          <w:szCs w:val="26"/>
        </w:rPr>
        <w:t>).</w:t>
      </w:r>
    </w:p>
    <w:p w14:paraId="2B42286E" w14:textId="77777777" w:rsidR="00E37765" w:rsidRDefault="00E37765" w:rsidP="003F413F">
      <w:pPr>
        <w:pStyle w:val="Heading3"/>
      </w:pPr>
      <w:r>
        <w:t>Family structure</w:t>
      </w:r>
      <w:r w:rsidR="00D36E03">
        <w:t xml:space="preserve"> and household characteristics</w:t>
      </w:r>
    </w:p>
    <w:p w14:paraId="2415CEAB" w14:textId="7731FD92" w:rsidR="00C25E1C" w:rsidRDefault="00D36E03" w:rsidP="001348B6">
      <w:pPr>
        <w:pStyle w:val="BodyText"/>
      </w:pPr>
      <w:r>
        <w:t xml:space="preserve">Family structure </w:t>
      </w:r>
      <w:r w:rsidR="00035E8E">
        <w:t xml:space="preserve">is a significant determinant of </w:t>
      </w:r>
      <w:r>
        <w:t>a person’s household responsibilities</w:t>
      </w:r>
      <w:r w:rsidR="00035E8E">
        <w:t xml:space="preserve"> which in turn</w:t>
      </w:r>
      <w:r>
        <w:t xml:space="preserve"> </w:t>
      </w:r>
      <w:r w:rsidR="00167FEE">
        <w:t>affects</w:t>
      </w:r>
      <w:r>
        <w:t xml:space="preserve"> their</w:t>
      </w:r>
      <w:r w:rsidR="00EA02F8">
        <w:t xml:space="preserve"> availability</w:t>
      </w:r>
      <w:r w:rsidR="008416B6">
        <w:t xml:space="preserve"> and incentives</w:t>
      </w:r>
      <w:r w:rsidR="00EA02F8">
        <w:t xml:space="preserve"> to participate in the labour market</w:t>
      </w:r>
      <w:r w:rsidR="008416B6">
        <w:t>.</w:t>
      </w:r>
      <w:r w:rsidR="00EA02F8">
        <w:t xml:space="preserve"> </w:t>
      </w:r>
      <w:r w:rsidR="00327FC6">
        <w:t xml:space="preserve">Family relationships can be </w:t>
      </w:r>
      <w:r w:rsidR="00D95184">
        <w:t>characterised</w:t>
      </w:r>
      <w:r w:rsidR="00327FC6">
        <w:t xml:space="preserve"> as </w:t>
      </w:r>
      <w:r w:rsidR="00AD4E60">
        <w:t>bonding</w:t>
      </w:r>
      <w:r w:rsidR="00327FC6">
        <w:t xml:space="preserve"> social capital and can either increase or decrease labour market activity (see </w:t>
      </w:r>
      <w:smartTag w:uri="urn:schemas-microsoft-com:office:smarttags" w:element="address">
        <w:smartTag w:uri="urn:schemas-microsoft-com:office:smarttags" w:element="Street">
          <w:smartTag w:uri="urn:schemas-microsoft-com:office:smarttags" w:element="country-region">
            <w:r w:rsidR="00327FC6">
              <w:t>box</w:t>
            </w:r>
          </w:smartTag>
        </w:smartTag>
        <w:r w:rsidR="00327FC6">
          <w:t xml:space="preserve"> 2.2</w:t>
        </w:r>
      </w:smartTag>
      <w:r w:rsidR="00327FC6">
        <w:t xml:space="preserve">). </w:t>
      </w:r>
      <w:r w:rsidR="00C25E1C">
        <w:t>For example</w:t>
      </w:r>
      <w:r w:rsidR="001348B6">
        <w:t>, preferences for</w:t>
      </w:r>
      <w:r w:rsidR="00167FEE">
        <w:t>,</w:t>
      </w:r>
      <w:r w:rsidR="001348B6">
        <w:t xml:space="preserve"> </w:t>
      </w:r>
      <w:r w:rsidR="00C25E1C">
        <w:t>or</w:t>
      </w:r>
      <w:r w:rsidR="001348B6">
        <w:t xml:space="preserve"> </w:t>
      </w:r>
      <w:r w:rsidR="00167FEE">
        <w:t xml:space="preserve">commitments to undertake </w:t>
      </w:r>
      <w:r w:rsidR="001348B6">
        <w:t xml:space="preserve">unpaid work make it less likely that a person will participate in the labour force and </w:t>
      </w:r>
      <w:r>
        <w:t xml:space="preserve">or be in full time </w:t>
      </w:r>
      <w:r w:rsidR="001348B6">
        <w:t>employ</w:t>
      </w:r>
      <w:r>
        <w:t>ment</w:t>
      </w:r>
      <w:r w:rsidR="001348B6">
        <w:t>.</w:t>
      </w:r>
      <w:r w:rsidR="00052ABA">
        <w:t xml:space="preserve"> At the same time, </w:t>
      </w:r>
      <w:r w:rsidR="006C0DB7">
        <w:t>such arrangements</w:t>
      </w:r>
      <w:r w:rsidR="00052ABA">
        <w:t xml:space="preserve"> might </w:t>
      </w:r>
      <w:r w:rsidR="00327FC6">
        <w:t>support</w:t>
      </w:r>
      <w:r w:rsidR="00052ABA">
        <w:t xml:space="preserve"> other f</w:t>
      </w:r>
      <w:r w:rsidR="00167FEE">
        <w:t>amily members to participate in</w:t>
      </w:r>
      <w:r w:rsidR="00052ABA">
        <w:t xml:space="preserve"> paid work. </w:t>
      </w:r>
      <w:r>
        <w:t xml:space="preserve">The total utility of the household may be maximised when those household members </w:t>
      </w:r>
      <w:r w:rsidR="007C68B5">
        <w:t>who</w:t>
      </w:r>
      <w:r w:rsidR="00C25E1C">
        <w:t xml:space="preserve"> </w:t>
      </w:r>
      <w:r>
        <w:t xml:space="preserve">have the ability to earn the </w:t>
      </w:r>
      <w:r w:rsidR="00C25E1C">
        <w:t>highe</w:t>
      </w:r>
      <w:r>
        <w:t>st</w:t>
      </w:r>
      <w:r w:rsidR="00C25E1C">
        <w:t xml:space="preserve"> wages</w:t>
      </w:r>
      <w:r w:rsidRPr="00D36E03">
        <w:t xml:space="preserve"> </w:t>
      </w:r>
      <w:r>
        <w:t>specialise in paid work while other household members</w:t>
      </w:r>
      <w:r w:rsidR="00DF1AB0">
        <w:t xml:space="preserve"> specialise in unpaid work.</w:t>
      </w:r>
    </w:p>
    <w:p w14:paraId="73A62D44" w14:textId="77777777" w:rsidR="006C0DB7" w:rsidRDefault="00364F46" w:rsidP="001348B6">
      <w:pPr>
        <w:pStyle w:val="BodyText"/>
      </w:pPr>
      <w:r>
        <w:lastRenderedPageBreak/>
        <w:t xml:space="preserve">The direction of these effects is ambiguous because </w:t>
      </w:r>
      <w:r w:rsidR="00327FC6">
        <w:t xml:space="preserve">the </w:t>
      </w:r>
      <w:r w:rsidR="00D95184">
        <w:t>existence</w:t>
      </w:r>
      <w:r w:rsidR="00327FC6">
        <w:t xml:space="preserve"> of a particular family </w:t>
      </w:r>
      <w:r w:rsidR="00D95184">
        <w:t>structure</w:t>
      </w:r>
      <w:r w:rsidR="00327FC6">
        <w:t xml:space="preserve"> does not indicate whether </w:t>
      </w:r>
      <w:r w:rsidR="00DF1AB0">
        <w:t>an individual’s</w:t>
      </w:r>
      <w:r w:rsidR="00327FC6">
        <w:t xml:space="preserve"> relationship</w:t>
      </w:r>
      <w:r w:rsidR="00167FEE">
        <w:t>s</w:t>
      </w:r>
      <w:r w:rsidR="00327FC6">
        <w:t xml:space="preserve"> </w:t>
      </w:r>
      <w:r w:rsidR="00167FEE">
        <w:t>and responsibilities are likely to either impede or encourage labour force participation</w:t>
      </w:r>
      <w:r w:rsidR="00327FC6">
        <w:t xml:space="preserve">. </w:t>
      </w:r>
      <w:r w:rsidR="00085D4B">
        <w:t xml:space="preserve">The </w:t>
      </w:r>
      <w:r w:rsidR="00327FC6">
        <w:t xml:space="preserve">inclusion of variables </w:t>
      </w:r>
      <w:r w:rsidR="00167FEE">
        <w:t xml:space="preserve">related to </w:t>
      </w:r>
      <w:r w:rsidR="00880C1D">
        <w:t>family structure</w:t>
      </w:r>
      <w:r w:rsidR="00167FEE">
        <w:t xml:space="preserve">, in part, </w:t>
      </w:r>
      <w:r w:rsidR="00327FC6">
        <w:t>control</w:t>
      </w:r>
      <w:r w:rsidR="00880C1D">
        <w:t>s</w:t>
      </w:r>
      <w:r w:rsidR="00327FC6">
        <w:t xml:space="preserve"> for these </w:t>
      </w:r>
      <w:r w:rsidR="00AD4E60">
        <w:t>relationships</w:t>
      </w:r>
      <w:r w:rsidR="00167FEE">
        <w:t>.</w:t>
      </w:r>
      <w:r w:rsidR="00327FC6">
        <w:t xml:space="preserve"> </w:t>
      </w:r>
      <w:r w:rsidR="00167FEE">
        <w:t>I</w:t>
      </w:r>
      <w:r w:rsidR="00327FC6">
        <w:t>t beco</w:t>
      </w:r>
      <w:r w:rsidR="00AD4E60">
        <w:t>m</w:t>
      </w:r>
      <w:r w:rsidR="00327FC6">
        <w:t>e</w:t>
      </w:r>
      <w:r w:rsidR="00AD4E60">
        <w:t>s</w:t>
      </w:r>
      <w:r w:rsidR="00327FC6">
        <w:t xml:space="preserve"> an empirical matter whether the association</w:t>
      </w:r>
      <w:r w:rsidR="00085D4B">
        <w:t>s between these variables and LMOs</w:t>
      </w:r>
      <w:r w:rsidR="00327FC6">
        <w:t xml:space="preserve"> is positive or negative</w:t>
      </w:r>
      <w:r w:rsidR="00085D4B">
        <w:t>, and whether the associations differ markedly</w:t>
      </w:r>
      <w:r>
        <w:t xml:space="preserve"> </w:t>
      </w:r>
      <w:r w:rsidR="00615AC3">
        <w:t>for men and women.</w:t>
      </w:r>
    </w:p>
    <w:p w14:paraId="49237DEB" w14:textId="1D927D2E" w:rsidR="003F413F" w:rsidRPr="00E37765" w:rsidRDefault="003F413F" w:rsidP="00E37765">
      <w:pPr>
        <w:pStyle w:val="BodyText"/>
        <w:rPr>
          <w:i/>
        </w:rPr>
      </w:pPr>
      <w:r w:rsidRPr="00E37765">
        <w:rPr>
          <w:i/>
        </w:rPr>
        <w:t>Marital status</w:t>
      </w:r>
    </w:p>
    <w:p w14:paraId="71A26FB8" w14:textId="7D7C8085" w:rsidR="003F413F" w:rsidRDefault="003F413F" w:rsidP="003F413F">
      <w:pPr>
        <w:pStyle w:val="BodyText"/>
      </w:pPr>
      <w:r>
        <w:t xml:space="preserve">The responsibilities associated with marriage or being in a de-facto relationship </w:t>
      </w:r>
      <w:r w:rsidR="00B41E76">
        <w:t xml:space="preserve">might </w:t>
      </w:r>
      <w:r w:rsidR="007D01BF">
        <w:t>change</w:t>
      </w:r>
      <w:r>
        <w:t xml:space="preserve"> incentives to participate in </w:t>
      </w:r>
      <w:r w:rsidR="007D01BF">
        <w:t xml:space="preserve">the market for paid </w:t>
      </w:r>
      <w:r>
        <w:t>work</w:t>
      </w:r>
      <w:r w:rsidR="007763ED">
        <w:t xml:space="preserve"> </w:t>
      </w:r>
      <w:r w:rsidR="00035E8E">
        <w:t xml:space="preserve">if </w:t>
      </w:r>
      <w:r w:rsidR="007763ED">
        <w:t xml:space="preserve">couples </w:t>
      </w:r>
      <w:r w:rsidR="00C26E8D">
        <w:t>specialise</w:t>
      </w:r>
      <w:r w:rsidR="007763ED">
        <w:t xml:space="preserve"> betwee</w:t>
      </w:r>
      <w:r w:rsidR="00C26E8D">
        <w:t>n paid and unpaid work to maximi</w:t>
      </w:r>
      <w:r w:rsidR="007763ED">
        <w:t>se household utility</w:t>
      </w:r>
      <w:r>
        <w:t xml:space="preserve">. </w:t>
      </w:r>
      <w:r w:rsidR="00035E8E">
        <w:t xml:space="preserve">Other couples may choose to share responsibilities. </w:t>
      </w:r>
      <w:r>
        <w:t xml:space="preserve">Being married </w:t>
      </w:r>
      <w:r w:rsidR="002B582D">
        <w:t>or in a de facto relationship</w:t>
      </w:r>
      <w:r>
        <w:t xml:space="preserve"> </w:t>
      </w:r>
      <w:r w:rsidR="00B41E76">
        <w:t xml:space="preserve">might </w:t>
      </w:r>
      <w:r>
        <w:t>also</w:t>
      </w:r>
      <w:r w:rsidR="00615AC3">
        <w:t xml:space="preserve"> be less of an influence on LMOs </w:t>
      </w:r>
      <w:r w:rsidR="00615AC3" w:rsidRPr="00E6632B">
        <w:rPr>
          <w:i/>
        </w:rPr>
        <w:t>per se</w:t>
      </w:r>
      <w:r w:rsidR="00615AC3">
        <w:t xml:space="preserve">, but rather </w:t>
      </w:r>
      <w:r>
        <w:t xml:space="preserve">a proxy for a number of characteristics that are desirable </w:t>
      </w:r>
      <w:r w:rsidR="001A53A1">
        <w:t xml:space="preserve">to both partners and </w:t>
      </w:r>
      <w:r w:rsidR="002A26B9">
        <w:t>employers</w:t>
      </w:r>
      <w:r w:rsidR="001A53A1">
        <w:t xml:space="preserve"> </w:t>
      </w:r>
      <w:r w:rsidR="008B5642">
        <w:t>(Lattimore 2007</w:t>
      </w:r>
      <w:r w:rsidR="0070226F">
        <w:t>)</w:t>
      </w:r>
      <w:r>
        <w:t xml:space="preserve">. </w:t>
      </w:r>
    </w:p>
    <w:p w14:paraId="7FA4CD64" w14:textId="77777777" w:rsidR="00D961BE" w:rsidRDefault="003F413F" w:rsidP="003F413F">
      <w:pPr>
        <w:pStyle w:val="BodyText"/>
      </w:pPr>
      <w:r>
        <w:t>Being married is generally found to be positively associated with employment and labour force participation for men, but has been found to have both positive and negative associations for women in different studies (Borland and Hunter 2000</w:t>
      </w:r>
      <w:r w:rsidR="00256900">
        <w:t>;</w:t>
      </w:r>
      <w:r>
        <w:t xml:space="preserve"> Hunter and </w:t>
      </w:r>
      <w:proofErr w:type="spellStart"/>
      <w:r>
        <w:t>Gray</w:t>
      </w:r>
      <w:proofErr w:type="spellEnd"/>
      <w:r>
        <w:t xml:space="preserve"> 1999).</w:t>
      </w:r>
    </w:p>
    <w:p w14:paraId="70687694" w14:textId="7B8DDA6A" w:rsidR="003F413F" w:rsidRPr="00E37765" w:rsidRDefault="003F413F" w:rsidP="00E37765">
      <w:pPr>
        <w:pStyle w:val="BodyText"/>
        <w:rPr>
          <w:i/>
        </w:rPr>
      </w:pPr>
      <w:r w:rsidRPr="00E37765">
        <w:rPr>
          <w:i/>
        </w:rPr>
        <w:t>Dependent children</w:t>
      </w:r>
    </w:p>
    <w:p w14:paraId="7299F257" w14:textId="77777777" w:rsidR="00E37765" w:rsidRDefault="003F413F" w:rsidP="00B41E76">
      <w:pPr>
        <w:pStyle w:val="BodyText"/>
      </w:pPr>
      <w:r w:rsidRPr="00E37765">
        <w:t>The presence of young</w:t>
      </w:r>
      <w:r>
        <w:t xml:space="preserve"> children in a household or family indicates that there may be constraints on the household members </w:t>
      </w:r>
      <w:r w:rsidR="00961C5B">
        <w:t xml:space="preserve">participating in the labour force </w:t>
      </w:r>
      <w:r>
        <w:t>because of child rearing responsibilities, especially when those children are below school age. Having one or more dependent children has generally been found to be associated with a lower probability of employment for women</w:t>
      </w:r>
      <w:r w:rsidR="00BA6478">
        <w:t xml:space="preserve"> </w:t>
      </w:r>
      <w:r w:rsidR="00533A72">
        <w:t>(</w:t>
      </w:r>
      <w:r w:rsidR="00BA6478">
        <w:t xml:space="preserve">Hunter and </w:t>
      </w:r>
      <w:proofErr w:type="spellStart"/>
      <w:r w:rsidR="00BA6478">
        <w:t>Gray</w:t>
      </w:r>
      <w:proofErr w:type="spellEnd"/>
      <w:r w:rsidR="00BA6478">
        <w:t xml:space="preserve"> 1999</w:t>
      </w:r>
      <w:r w:rsidR="009D2C67">
        <w:t>). For men, the association between having one or more depend</w:t>
      </w:r>
      <w:r w:rsidR="00116E47">
        <w:t>e</w:t>
      </w:r>
      <w:r w:rsidR="009D2C67">
        <w:t>nt</w:t>
      </w:r>
      <w:r w:rsidR="00880C1D">
        <w:t xml:space="preserve"> children</w:t>
      </w:r>
      <w:r w:rsidR="009D2C67">
        <w:t xml:space="preserve"> and the probability of employment is less clear — for example, Hunter and </w:t>
      </w:r>
      <w:proofErr w:type="spellStart"/>
      <w:r w:rsidR="009D2C67">
        <w:t>Gray</w:t>
      </w:r>
      <w:proofErr w:type="spellEnd"/>
      <w:r w:rsidR="009D2C67">
        <w:t xml:space="preserve"> (1999) found a positive association</w:t>
      </w:r>
      <w:r w:rsidR="00103F6B">
        <w:t>, while</w:t>
      </w:r>
      <w:r w:rsidR="009D2C67">
        <w:t xml:space="preserve"> Stephens (2010) found a negative association.</w:t>
      </w:r>
      <w:r w:rsidR="00D0481C">
        <w:t xml:space="preserve"> </w:t>
      </w:r>
      <w:r w:rsidR="006B33A8">
        <w:t xml:space="preserve">This study estimates the number of dependent children </w:t>
      </w:r>
      <w:r w:rsidR="00103F6B">
        <w:t>by</w:t>
      </w:r>
      <w:r w:rsidR="006B33A8">
        <w:t xml:space="preserve"> using information about the number of children in the household and family structure.</w:t>
      </w:r>
      <w:r w:rsidR="00B811DF">
        <w:t xml:space="preserve"> </w:t>
      </w:r>
    </w:p>
    <w:p w14:paraId="16F2E713" w14:textId="22058A89" w:rsidR="00E37765" w:rsidRDefault="00E37765" w:rsidP="00E37765">
      <w:pPr>
        <w:pStyle w:val="BodyText"/>
        <w:rPr>
          <w:i/>
        </w:rPr>
      </w:pPr>
      <w:r w:rsidRPr="00E37765">
        <w:rPr>
          <w:i/>
        </w:rPr>
        <w:t>Multi-family household</w:t>
      </w:r>
    </w:p>
    <w:p w14:paraId="7F9773EE" w14:textId="77777777" w:rsidR="00AD4E60" w:rsidRDefault="00116E47" w:rsidP="00B41E76">
      <w:pPr>
        <w:pStyle w:val="BodyText"/>
      </w:pPr>
      <w:r>
        <w:t xml:space="preserve">The presence of more than one family living in a person’s household </w:t>
      </w:r>
      <w:r w:rsidR="00F43B20">
        <w:t>can</w:t>
      </w:r>
      <w:r w:rsidR="00554479">
        <w:t xml:space="preserve"> have a number of influences</w:t>
      </w:r>
      <w:r>
        <w:t xml:space="preserve"> on their preferences for different types of work</w:t>
      </w:r>
      <w:r w:rsidR="00554479">
        <w:t xml:space="preserve">. </w:t>
      </w:r>
      <w:r w:rsidR="001D3F39">
        <w:t>I</w:t>
      </w:r>
      <w:r w:rsidR="00554479">
        <w:t xml:space="preserve">t </w:t>
      </w:r>
      <w:r w:rsidR="00880C1D">
        <w:t>might</w:t>
      </w:r>
      <w:r w:rsidR="001D3F39">
        <w:t xml:space="preserve"> mean that the demands of unpaid work (carer responsibilities and domestic work) are greater than those in a single family household,</w:t>
      </w:r>
      <w:r w:rsidR="00554479">
        <w:t xml:space="preserve"> </w:t>
      </w:r>
      <w:r w:rsidR="001D3F39">
        <w:t xml:space="preserve">which </w:t>
      </w:r>
      <w:r w:rsidR="00880C1D">
        <w:t>can</w:t>
      </w:r>
      <w:r w:rsidR="001D3F39">
        <w:t xml:space="preserve"> </w:t>
      </w:r>
      <w:r w:rsidR="00554479">
        <w:t>constrain the ability</w:t>
      </w:r>
      <w:r w:rsidR="001D3F39">
        <w:t xml:space="preserve"> of some household members</w:t>
      </w:r>
      <w:r w:rsidR="00554479">
        <w:t xml:space="preserve"> to participate in the labour market. </w:t>
      </w:r>
      <w:r>
        <w:t>On the other hand,</w:t>
      </w:r>
      <w:r w:rsidR="009221CE">
        <w:t xml:space="preserve"> </w:t>
      </w:r>
      <w:r>
        <w:lastRenderedPageBreak/>
        <w:t>such household structures may</w:t>
      </w:r>
      <w:r w:rsidR="00AD4E60">
        <w:t xml:space="preserve"> provide support for those who are best placed to specialise </w:t>
      </w:r>
      <w:r w:rsidR="00D95184">
        <w:t>in</w:t>
      </w:r>
      <w:r w:rsidR="00AD4E60">
        <w:t xml:space="preserve"> paid work. </w:t>
      </w:r>
      <w:r>
        <w:t>In such cases</w:t>
      </w:r>
      <w:r w:rsidR="00AD4E60">
        <w:t xml:space="preserve">, </w:t>
      </w:r>
      <w:r w:rsidR="00E6632B">
        <w:t>the influences</w:t>
      </w:r>
      <w:r>
        <w:t xml:space="preserve"> of living in a multifamily household on labour force participation</w:t>
      </w:r>
      <w:r w:rsidR="00AD4E60">
        <w:t xml:space="preserve"> might be similar to marriage relationships.</w:t>
      </w:r>
    </w:p>
    <w:p w14:paraId="70475BDB" w14:textId="24A702FC" w:rsidR="00D5717D" w:rsidRDefault="00AD4E60" w:rsidP="00B41E76">
      <w:pPr>
        <w:pStyle w:val="BodyText"/>
      </w:pPr>
      <w:r>
        <w:t xml:space="preserve">However, </w:t>
      </w:r>
      <w:r w:rsidR="00116E47">
        <w:t>the incidence of a person living in a</w:t>
      </w:r>
      <w:r w:rsidR="00880C1D">
        <w:t xml:space="preserve"> multifamily hous</w:t>
      </w:r>
      <w:r w:rsidR="003E21ED">
        <w:t>e</w:t>
      </w:r>
      <w:r w:rsidR="00880C1D">
        <w:t>hold</w:t>
      </w:r>
      <w:r w:rsidR="00DF0C3E">
        <w:t xml:space="preserve"> </w:t>
      </w:r>
      <w:r>
        <w:t>might</w:t>
      </w:r>
      <w:r w:rsidR="00554479">
        <w:t xml:space="preserve"> also be an outcome of being either unemployed or not in labour force, as people who do not earn an income might live with other families due to a lack of financial resources</w:t>
      </w:r>
      <w:r w:rsidR="00E6632B">
        <w:t>. T</w:t>
      </w:r>
      <w:r>
        <w:t>herefore</w:t>
      </w:r>
      <w:r w:rsidR="001D3F39">
        <w:t xml:space="preserve"> the association between this variable and LMOs may be subject to a degree of</w:t>
      </w:r>
      <w:r>
        <w:t xml:space="preserve"> </w:t>
      </w:r>
      <w:proofErr w:type="spellStart"/>
      <w:r>
        <w:t>en</w:t>
      </w:r>
      <w:r w:rsidR="00D95184">
        <w:t>d</w:t>
      </w:r>
      <w:r>
        <w:t>ogeneity</w:t>
      </w:r>
      <w:proofErr w:type="spellEnd"/>
      <w:r w:rsidR="00554479">
        <w:t xml:space="preserve">. </w:t>
      </w:r>
      <w:r w:rsidR="00D5717D">
        <w:t xml:space="preserve">It </w:t>
      </w:r>
      <w:r w:rsidR="00DF0C3E">
        <w:t xml:space="preserve">may also </w:t>
      </w:r>
      <w:r w:rsidR="00CC4200">
        <w:t>indicate that relatively fewer resources</w:t>
      </w:r>
      <w:r w:rsidR="00116E47">
        <w:t xml:space="preserve"> are available to each household member</w:t>
      </w:r>
      <w:r w:rsidR="00CC4200">
        <w:t xml:space="preserve"> </w:t>
      </w:r>
      <w:r w:rsidR="00D5717D">
        <w:t xml:space="preserve">that </w:t>
      </w:r>
      <w:r w:rsidR="00116E47">
        <w:t>may</w:t>
      </w:r>
      <w:r w:rsidR="00D5717D">
        <w:t xml:space="preserve"> improve </w:t>
      </w:r>
      <w:r w:rsidR="00116E47">
        <w:t xml:space="preserve">their </w:t>
      </w:r>
      <w:r w:rsidR="00D5717D">
        <w:t>employment prospects, such as access to education or transport</w:t>
      </w:r>
      <w:r w:rsidR="00116E47">
        <w:t>. T</w:t>
      </w:r>
      <w:r w:rsidR="00E6632B">
        <w:t xml:space="preserve">herefore </w:t>
      </w:r>
      <w:r w:rsidR="00116E47">
        <w:t xml:space="preserve">this variable </w:t>
      </w:r>
      <w:r w:rsidR="001D3F39">
        <w:t xml:space="preserve">could be considered </w:t>
      </w:r>
      <w:r w:rsidR="00E6632B">
        <w:t>a proxy for disadvantage</w:t>
      </w:r>
      <w:r w:rsidR="00CC4200">
        <w:t xml:space="preserve">. </w:t>
      </w:r>
    </w:p>
    <w:p w14:paraId="7C9BDE0F" w14:textId="2C9B3838" w:rsidR="00B41E76" w:rsidRDefault="00E37765" w:rsidP="00B41E76">
      <w:pPr>
        <w:pStyle w:val="BodyText"/>
      </w:pPr>
      <w:r w:rsidRPr="00E37765">
        <w:rPr>
          <w:i/>
        </w:rPr>
        <w:t>Unpaid childcare</w:t>
      </w:r>
    </w:p>
    <w:p w14:paraId="02A2EF3F" w14:textId="77777777" w:rsidR="00B41E76" w:rsidRDefault="00B41E76" w:rsidP="00B41E76">
      <w:pPr>
        <w:pStyle w:val="BodyText"/>
      </w:pPr>
      <w:r w:rsidRPr="00B41E76">
        <w:t xml:space="preserve">Some people provide unpaid childcare outside their household. This </w:t>
      </w:r>
      <w:r w:rsidR="00364F46">
        <w:t>might</w:t>
      </w:r>
      <w:r w:rsidRPr="00B41E76">
        <w:t xml:space="preserve"> constrain their ability to participate in the labour market for paid work.</w:t>
      </w:r>
      <w:r w:rsidR="00364F46">
        <w:t xml:space="preserve"> </w:t>
      </w:r>
      <w:r w:rsidR="00E8410D">
        <w:t>The offsetting benefit of the support, that might increase the child’s parent or carer’s labour market activity, will accrue to someone else.</w:t>
      </w:r>
    </w:p>
    <w:p w14:paraId="3FC0F8DD" w14:textId="77777777" w:rsidR="003F413F" w:rsidRDefault="003F413F" w:rsidP="003F413F">
      <w:pPr>
        <w:pStyle w:val="Heading3"/>
      </w:pPr>
      <w:r>
        <w:t>Location</w:t>
      </w:r>
    </w:p>
    <w:p w14:paraId="6917F9DF" w14:textId="77777777" w:rsidR="00224E01" w:rsidRDefault="00DD79CD" w:rsidP="003F413F">
      <w:pPr>
        <w:pStyle w:val="BodyText"/>
      </w:pPr>
      <w:r>
        <w:t xml:space="preserve">Where a person lives might affect their </w:t>
      </w:r>
      <w:r w:rsidR="00171ECB">
        <w:t>LMOs</w:t>
      </w:r>
      <w:r w:rsidR="003F413F">
        <w:t xml:space="preserve">, which reflects both labour supply and labour demand factors. </w:t>
      </w:r>
    </w:p>
    <w:p w14:paraId="57D9CAB5" w14:textId="7B6DA653" w:rsidR="00224E01" w:rsidRPr="00224E01" w:rsidRDefault="00224E01" w:rsidP="003F413F">
      <w:pPr>
        <w:pStyle w:val="BodyText"/>
        <w:rPr>
          <w:i/>
        </w:rPr>
      </w:pPr>
      <w:r w:rsidRPr="00224E01">
        <w:rPr>
          <w:i/>
        </w:rPr>
        <w:t>Remoteness</w:t>
      </w:r>
    </w:p>
    <w:p w14:paraId="77F83392" w14:textId="77777777" w:rsidR="00DB0024" w:rsidRDefault="00C418EB" w:rsidP="00843AD8">
      <w:pPr>
        <w:pStyle w:val="BodyText"/>
      </w:pPr>
      <w:r>
        <w:t>Rem</w:t>
      </w:r>
      <w:r w:rsidR="00961C5B">
        <w:t>oteness, as defined by</w:t>
      </w:r>
      <w:r w:rsidR="001C153D">
        <w:t xml:space="preserve"> the ABS</w:t>
      </w:r>
      <w:r>
        <w:t xml:space="preserve"> Australian Standard Geographical Classification (ASGC) (ABS 2010</w:t>
      </w:r>
      <w:r w:rsidR="00EC5C01">
        <w:t>a</w:t>
      </w:r>
      <w:r>
        <w:t>), is based on the physical distance</w:t>
      </w:r>
      <w:r w:rsidR="00171ECB">
        <w:t xml:space="preserve"> by road</w:t>
      </w:r>
      <w:r>
        <w:t xml:space="preserve"> to the nearest urban centre. Remote areas tend to have lower levels of economic activity and access to services. </w:t>
      </w:r>
      <w:r w:rsidR="00171ECB">
        <w:t>Consequently</w:t>
      </w:r>
      <w:r>
        <w:t xml:space="preserve"> labour demand may be lower in remote areas </w:t>
      </w:r>
      <w:r w:rsidR="009521C8">
        <w:t xml:space="preserve">relative to less remote </w:t>
      </w:r>
      <w:r>
        <w:t>areas</w:t>
      </w:r>
      <w:r w:rsidR="00843AD8">
        <w:t xml:space="preserve">, or </w:t>
      </w:r>
      <w:r w:rsidR="00171ECB">
        <w:t>there may not be much diversi</w:t>
      </w:r>
      <w:r w:rsidR="009521C8">
        <w:t>ty in the type of jobs available or</w:t>
      </w:r>
      <w:r w:rsidR="00843AD8">
        <w:t xml:space="preserve"> </w:t>
      </w:r>
      <w:r w:rsidR="009521C8">
        <w:t xml:space="preserve">the </w:t>
      </w:r>
      <w:r w:rsidR="00843AD8">
        <w:t>range of skills</w:t>
      </w:r>
      <w:r w:rsidR="009521C8">
        <w:t xml:space="preserve"> required to perform those jobs</w:t>
      </w:r>
      <w:r w:rsidR="00843AD8">
        <w:t>. E</w:t>
      </w:r>
      <w:r>
        <w:t xml:space="preserve">ducation opportunities and health services may </w:t>
      </w:r>
      <w:r w:rsidR="00843AD8">
        <w:t xml:space="preserve">also </w:t>
      </w:r>
      <w:r>
        <w:t>be less accessible, resulting in lower levels of human capital for people living in remote areas.</w:t>
      </w:r>
    </w:p>
    <w:p w14:paraId="65867C6F" w14:textId="07DF6E17" w:rsidR="00843AD8" w:rsidRDefault="00843AD8" w:rsidP="00843AD8">
      <w:pPr>
        <w:pStyle w:val="BodyText"/>
      </w:pPr>
      <w:r>
        <w:lastRenderedPageBreak/>
        <w:t xml:space="preserve">Some studies have used multiple variables to indicate </w:t>
      </w:r>
      <w:r w:rsidR="009521C8">
        <w:t xml:space="preserve">degrees of </w:t>
      </w:r>
      <w:r>
        <w:t>remoteness (Biddle and Webster 2007</w:t>
      </w:r>
      <w:r w:rsidR="003E21ED">
        <w:t>;</w:t>
      </w:r>
      <w:r w:rsidR="003E21ED" w:rsidRPr="003E21ED">
        <w:t xml:space="preserve"> </w:t>
      </w:r>
      <w:r w:rsidR="003E21ED">
        <w:t>SCRGSP 2009</w:t>
      </w:r>
      <w:r>
        <w:t xml:space="preserve">). </w:t>
      </w:r>
      <w:r w:rsidR="004571E5">
        <w:t>Due to data constraints, t</w:t>
      </w:r>
      <w:r>
        <w:t>his study uses a binary remoteness indicator based on the ASGC</w:t>
      </w:r>
      <w:r w:rsidR="00576870">
        <w:t xml:space="preserve"> (remote and non-remote)</w:t>
      </w:r>
      <w:r>
        <w:t>.</w:t>
      </w:r>
      <w:r w:rsidR="00257C81">
        <w:rPr>
          <w:rStyle w:val="FootnoteReference"/>
        </w:rPr>
        <w:footnoteReference w:id="2"/>
      </w:r>
    </w:p>
    <w:p w14:paraId="7360AA7A" w14:textId="0B7A8A9F" w:rsidR="003F413F" w:rsidRDefault="003F413F" w:rsidP="003F413F">
      <w:pPr>
        <w:pStyle w:val="BodyText"/>
      </w:pPr>
      <w:r>
        <w:t xml:space="preserve">Indigenous people </w:t>
      </w:r>
      <w:r w:rsidR="00DD79CD">
        <w:t>who</w:t>
      </w:r>
      <w:r>
        <w:t xml:space="preserve"> live in remote areas </w:t>
      </w:r>
      <w:r w:rsidR="00514698">
        <w:t>are</w:t>
      </w:r>
      <w:r>
        <w:t xml:space="preserve"> less likely to be in mainstream employment and more likely to participate in CDEP (Biddle and Webster 2007</w:t>
      </w:r>
      <w:r w:rsidR="003E21ED">
        <w:t>;</w:t>
      </w:r>
      <w:r>
        <w:t xml:space="preserve"> Borland and Hunter 2000</w:t>
      </w:r>
      <w:r w:rsidR="003E21ED">
        <w:t>;</w:t>
      </w:r>
      <w:r w:rsidR="003E21ED" w:rsidRPr="003E21ED">
        <w:t xml:space="preserve"> </w:t>
      </w:r>
      <w:r w:rsidR="003E21ED">
        <w:t>SCRGSP 2011</w:t>
      </w:r>
      <w:r>
        <w:t xml:space="preserve">). </w:t>
      </w:r>
      <w:r w:rsidR="00C62A45">
        <w:t>L</w:t>
      </w:r>
      <w:r w:rsidR="00C26E8D">
        <w:t>abour force participation</w:t>
      </w:r>
      <w:r w:rsidR="00DD79CD">
        <w:t xml:space="preserve"> </w:t>
      </w:r>
      <w:r w:rsidR="009521C8">
        <w:t xml:space="preserve">and unemployment </w:t>
      </w:r>
      <w:r w:rsidR="00DD79CD">
        <w:t>among Indigenous people tends to be lower in remote areas</w:t>
      </w:r>
      <w:r w:rsidR="00C62A45">
        <w:t xml:space="preserve"> (due to </w:t>
      </w:r>
      <w:proofErr w:type="spellStart"/>
      <w:r w:rsidR="00C62A45">
        <w:t>CDEP</w:t>
      </w:r>
      <w:proofErr w:type="spellEnd"/>
      <w:r w:rsidR="00C62A45">
        <w:t xml:space="preserve"> participation being classified as employment by the ABS).</w:t>
      </w:r>
      <w:r>
        <w:t xml:space="preserve"> </w:t>
      </w:r>
    </w:p>
    <w:p w14:paraId="5E7909B2" w14:textId="4927311B" w:rsidR="00372FE7" w:rsidRPr="00CC4200" w:rsidRDefault="00372FE7" w:rsidP="00CC4200">
      <w:pPr>
        <w:pStyle w:val="BodyText"/>
        <w:rPr>
          <w:i/>
        </w:rPr>
      </w:pPr>
      <w:r w:rsidRPr="00CC4200">
        <w:rPr>
          <w:i/>
        </w:rPr>
        <w:t>Lives in homelands</w:t>
      </w:r>
    </w:p>
    <w:p w14:paraId="6475E9C6" w14:textId="77777777" w:rsidR="007F4BC1" w:rsidRDefault="00484599" w:rsidP="00441E27">
      <w:pPr>
        <w:pStyle w:val="BodyText"/>
      </w:pPr>
      <w:r>
        <w:t xml:space="preserve">Living in homelands </w:t>
      </w:r>
      <w:r w:rsidR="007F4BC1">
        <w:t>is included in the model for a number of reasons. For example, it might indicate:</w:t>
      </w:r>
    </w:p>
    <w:p w14:paraId="1A96314A" w14:textId="77777777" w:rsidR="007F4BC1" w:rsidRDefault="00484599" w:rsidP="007F4BC1">
      <w:pPr>
        <w:pStyle w:val="ListBullet"/>
      </w:pPr>
      <w:r>
        <w:t>a preference for participating in traditional activities outside the mainstream labour market</w:t>
      </w:r>
    </w:p>
    <w:p w14:paraId="0EEDADFD" w14:textId="070F81A4" w:rsidR="007F4BC1" w:rsidRDefault="00484599" w:rsidP="007F4BC1">
      <w:pPr>
        <w:pStyle w:val="ListBullet"/>
      </w:pPr>
      <w:r>
        <w:t>that a person lives in a remote area with low levels of labour market activity</w:t>
      </w:r>
      <w:r w:rsidR="00985CB6">
        <w:rPr>
          <w:rStyle w:val="FootnoteReference"/>
        </w:rPr>
        <w:footnoteReference w:id="3"/>
      </w:r>
    </w:p>
    <w:p w14:paraId="4F388F09" w14:textId="1306E1B2" w:rsidR="004C46E3" w:rsidRDefault="007F4BC1" w:rsidP="007F4BC1">
      <w:pPr>
        <w:pStyle w:val="ListBullet"/>
      </w:pPr>
      <w:r>
        <w:t xml:space="preserve">that a person </w:t>
      </w:r>
      <w:r w:rsidR="00985CB6">
        <w:t>is</w:t>
      </w:r>
      <w:r>
        <w:t xml:space="preserve"> </w:t>
      </w:r>
      <w:r w:rsidR="002B582D">
        <w:t>reluctan</w:t>
      </w:r>
      <w:r w:rsidR="00985CB6">
        <w:t>t</w:t>
      </w:r>
      <w:r w:rsidR="004C46E3">
        <w:t xml:space="preserve"> to move locations to obtain work</w:t>
      </w:r>
      <w:r w:rsidR="00514698">
        <w:t>.</w:t>
      </w:r>
    </w:p>
    <w:p w14:paraId="47D43B17" w14:textId="6423A12A" w:rsidR="00441E27" w:rsidRDefault="004C46E3" w:rsidP="004C46E3">
      <w:pPr>
        <w:pStyle w:val="BodyText"/>
      </w:pPr>
      <w:r>
        <w:t xml:space="preserve">These factors are expected to </w:t>
      </w:r>
      <w:r w:rsidR="00484599">
        <w:t>contribut</w:t>
      </w:r>
      <w:r>
        <w:t>e</w:t>
      </w:r>
      <w:r w:rsidR="00484599">
        <w:t xml:space="preserve"> to poor </w:t>
      </w:r>
      <w:r w:rsidR="009521C8">
        <w:t>LMOs</w:t>
      </w:r>
      <w:r w:rsidR="00484599">
        <w:t xml:space="preserve">. This is supported by Stephens (2010) </w:t>
      </w:r>
      <w:r w:rsidR="00441E27">
        <w:t xml:space="preserve">who found that for males, ‘living in homelands’ had a negative marginal effect on being employed. </w:t>
      </w:r>
      <w:r w:rsidR="009457B0">
        <w:t xml:space="preserve">Nonetheless, </w:t>
      </w:r>
      <w:r w:rsidR="00441E27">
        <w:t xml:space="preserve">the marginal effect </w:t>
      </w:r>
      <w:r w:rsidR="00514698">
        <w:t xml:space="preserve">of living in homelands </w:t>
      </w:r>
      <w:r w:rsidR="00441E27">
        <w:t>on employment was positive for women living in non</w:t>
      </w:r>
      <w:r w:rsidR="009521C8">
        <w:noBreakHyphen/>
      </w:r>
      <w:r w:rsidR="00441E27">
        <w:t>remote areas, but negative for women living in remote areas</w:t>
      </w:r>
      <w:r w:rsidR="009457B0">
        <w:t xml:space="preserve"> </w:t>
      </w:r>
      <w:r w:rsidR="00B97A64">
        <w:t>(</w:t>
      </w:r>
      <w:r w:rsidR="009457B0">
        <w:t>Stephen</w:t>
      </w:r>
      <w:r w:rsidR="00B97A64">
        <w:t>s 2010).</w:t>
      </w:r>
      <w:r w:rsidR="00441E27">
        <w:t xml:space="preserve">   </w:t>
      </w:r>
    </w:p>
    <w:p w14:paraId="33EBADA2" w14:textId="61F6E7EE" w:rsidR="00224E01" w:rsidRDefault="0009107E" w:rsidP="003F413F">
      <w:pPr>
        <w:pStyle w:val="BodyText"/>
        <w:rPr>
          <w:i/>
        </w:rPr>
      </w:pPr>
      <w:r>
        <w:rPr>
          <w:i/>
        </w:rPr>
        <w:t>Socioeconomic status</w:t>
      </w:r>
    </w:p>
    <w:p w14:paraId="7370F63E" w14:textId="191FC165" w:rsidR="00C418EB" w:rsidRDefault="003768F2" w:rsidP="003F413F">
      <w:pPr>
        <w:pStyle w:val="BodyText"/>
      </w:pPr>
      <w:r w:rsidRPr="00F95357">
        <w:t xml:space="preserve">The socioeconomic status of the area </w:t>
      </w:r>
      <w:r w:rsidR="009457B0">
        <w:t xml:space="preserve">in which people </w:t>
      </w:r>
      <w:r w:rsidRPr="00F95357">
        <w:t xml:space="preserve">live </w:t>
      </w:r>
      <w:r w:rsidR="009457B0">
        <w:t xml:space="preserve">could </w:t>
      </w:r>
      <w:r w:rsidR="00F95357" w:rsidRPr="00F95357">
        <w:t>influence their LMOs</w:t>
      </w:r>
      <w:r w:rsidR="004C46E3">
        <w:t xml:space="preserve"> bec</w:t>
      </w:r>
      <w:r w:rsidR="002627ED">
        <w:t>aus</w:t>
      </w:r>
      <w:r w:rsidR="004C46E3">
        <w:t>e they have poor ac</w:t>
      </w:r>
      <w:r w:rsidR="00F95357">
        <w:t xml:space="preserve">cess to material and social resources, </w:t>
      </w:r>
      <w:r w:rsidR="004C46E3">
        <w:t>reduc</w:t>
      </w:r>
      <w:r w:rsidR="009457B0">
        <w:t>ing</w:t>
      </w:r>
      <w:r w:rsidR="00F95357">
        <w:t xml:space="preserve"> </w:t>
      </w:r>
      <w:r w:rsidR="009521C8">
        <w:t xml:space="preserve">their capacity </w:t>
      </w:r>
      <w:r w:rsidR="00F95357">
        <w:t>to participate in society</w:t>
      </w:r>
      <w:r w:rsidR="004C46E3">
        <w:t>. This</w:t>
      </w:r>
      <w:r w:rsidR="00F95357">
        <w:t xml:space="preserve"> is the definition used by the ABS to define relative socioeconomic disadvantage</w:t>
      </w:r>
      <w:r w:rsidR="00576870">
        <w:t xml:space="preserve"> (ABS 2006)</w:t>
      </w:r>
      <w:r w:rsidR="00F95357">
        <w:t xml:space="preserve">.  </w:t>
      </w:r>
    </w:p>
    <w:p w14:paraId="4FA392EC" w14:textId="45EAC2D7" w:rsidR="0009107E" w:rsidRPr="005E7A5E" w:rsidRDefault="00C418EB" w:rsidP="003F413F">
      <w:pPr>
        <w:pStyle w:val="BodyText"/>
      </w:pPr>
      <w:r>
        <w:lastRenderedPageBreak/>
        <w:t xml:space="preserve">The NATSISS includes data on the </w:t>
      </w:r>
      <w:proofErr w:type="spellStart"/>
      <w:r>
        <w:t>decile</w:t>
      </w:r>
      <w:proofErr w:type="spellEnd"/>
      <w:r>
        <w:t xml:space="preserve"> of the s</w:t>
      </w:r>
      <w:r w:rsidR="008F4939" w:rsidRPr="00F95357">
        <w:t xml:space="preserve">ocioeconomic index of relative disadvantage </w:t>
      </w:r>
      <w:r>
        <w:t>of the household (</w:t>
      </w:r>
      <w:r w:rsidR="003768F2" w:rsidRPr="00F95357">
        <w:t>1 is most disadvantage</w:t>
      </w:r>
      <w:r>
        <w:t>d</w:t>
      </w:r>
      <w:r w:rsidR="003768F2" w:rsidRPr="00F95357">
        <w:t>, 10 is least disadvantaged</w:t>
      </w:r>
      <w:r>
        <w:t>).</w:t>
      </w:r>
      <w:r w:rsidR="00E74E1E">
        <w:t xml:space="preserve"> </w:t>
      </w:r>
      <w:r w:rsidR="0057248A" w:rsidRPr="0057248A">
        <w:t>This index is derived from Census variables related to disadvantage, such as low income, low educational attainment, unemployment, dwellings without motor vehicles and households that have one parent, pay low rent or rent from government and community organisations.</w:t>
      </w:r>
      <w:r w:rsidR="00813394">
        <w:t xml:space="preserve"> </w:t>
      </w:r>
      <w:r w:rsidR="00576870" w:rsidRPr="005E7A5E">
        <w:t>I</w:t>
      </w:r>
      <w:r w:rsidR="00813394" w:rsidRPr="005E7A5E">
        <w:t>mportant</w:t>
      </w:r>
      <w:r w:rsidR="00576870" w:rsidRPr="005E7A5E">
        <w:t xml:space="preserve">ly, </w:t>
      </w:r>
      <w:r w:rsidR="00813394" w:rsidRPr="005E7A5E">
        <w:t>the</w:t>
      </w:r>
      <w:r w:rsidR="009521C8">
        <w:t xml:space="preserve"> </w:t>
      </w:r>
      <w:r w:rsidR="00813394" w:rsidRPr="005E7A5E">
        <w:t xml:space="preserve">index </w:t>
      </w:r>
      <w:r w:rsidR="009521C8">
        <w:t xml:space="preserve">incorporates </w:t>
      </w:r>
      <w:r w:rsidR="00813394" w:rsidRPr="005E7A5E">
        <w:t>the proportion of the loca</w:t>
      </w:r>
      <w:r w:rsidR="00514698" w:rsidRPr="005E7A5E">
        <w:t>l community who are Indigenous</w:t>
      </w:r>
      <w:r w:rsidR="006A28EA">
        <w:t xml:space="preserve"> and therefore might introduce additional </w:t>
      </w:r>
      <w:proofErr w:type="spellStart"/>
      <w:r w:rsidR="006A28EA">
        <w:t>endogeneity</w:t>
      </w:r>
      <w:proofErr w:type="spellEnd"/>
      <w:r w:rsidR="00514698" w:rsidRPr="005E7A5E">
        <w:t>.</w:t>
      </w:r>
    </w:p>
    <w:p w14:paraId="7019F573" w14:textId="582C7C56" w:rsidR="00CE3FA9" w:rsidRDefault="00CE3FA9" w:rsidP="00CE3FA9">
      <w:pPr>
        <w:pStyle w:val="Heading3"/>
      </w:pPr>
      <w:r>
        <w:t>Health and disability</w:t>
      </w:r>
    </w:p>
    <w:p w14:paraId="2EEA29A6" w14:textId="77777777" w:rsidR="00CE3FA9" w:rsidRDefault="00CE3FA9" w:rsidP="00CE3FA9">
      <w:pPr>
        <w:pStyle w:val="BodyText"/>
      </w:pPr>
      <w:r>
        <w:t>Health and disability are elements of human capital that are often included in models of LMOs. This is because good physical and mental health are attributes valued by employers, and disability can affect people’s ability to participate in the workforce and be employed. Health and disability might also affect a person’s labour supply decision (</w:t>
      </w:r>
      <w:proofErr w:type="spellStart"/>
      <w:r>
        <w:t>Cai</w:t>
      </w:r>
      <w:proofErr w:type="spellEnd"/>
      <w:r>
        <w:t xml:space="preserve"> 2010). This may be because a person decides to supply less labour because of poor health or disability, or more labour to be able to pay for health treatments.</w:t>
      </w:r>
    </w:p>
    <w:p w14:paraId="684C9C4B" w14:textId="79E69491" w:rsidR="00CE3FA9" w:rsidRDefault="00CE3FA9" w:rsidP="00CE3FA9">
      <w:pPr>
        <w:pStyle w:val="BodyText"/>
      </w:pPr>
      <w:r>
        <w:t>The measurement of health is difficult in surveys. A common approach is to use self</w:t>
      </w:r>
      <w:r>
        <w:noBreakHyphen/>
        <w:t xml:space="preserve">assessed health status, although this may result in rationalisation </w:t>
      </w:r>
      <w:proofErr w:type="spellStart"/>
      <w:r>
        <w:t>endogeneity</w:t>
      </w:r>
      <w:proofErr w:type="spellEnd"/>
      <w:r>
        <w:t xml:space="preserve"> (</w:t>
      </w:r>
      <w:smartTag w:uri="urn:schemas-microsoft-com:office:smarttags" w:element="address">
        <w:smartTag w:uri="urn:schemas-microsoft-com:office:smarttags" w:element="PlaceType">
          <w:smartTag w:uri="urn:schemas-microsoft-com:office:smarttags" w:element="Street">
            <w:smartTag w:uri="urn:schemas-microsoft-com:office:smarttags" w:element="country-region">
              <w:smartTag w:uri="urn:schemas-microsoft-com:office:smarttags" w:element="PlaceName">
                <w:r>
                  <w:t>box</w:t>
                </w:r>
              </w:smartTag>
            </w:smartTag>
          </w:smartTag>
          <w:r>
            <w:t> 4.1</w:t>
          </w:r>
        </w:smartTag>
      </w:smartTag>
      <w:r>
        <w:t xml:space="preserve">). There are also a number of difficulties measuring disability, especially for Indigenous Australians. More information on the extent of disability </w:t>
      </w:r>
      <w:r w:rsidR="00ED5B17">
        <w:t xml:space="preserve">amongst </w:t>
      </w:r>
      <w:r>
        <w:t>Indigenous Australians can be found in PC (2011).</w:t>
      </w:r>
    </w:p>
    <w:p w14:paraId="499B8E84" w14:textId="77777777" w:rsidR="00DB0024" w:rsidRPr="00CF44F5" w:rsidRDefault="00DB0024" w:rsidP="00DB0024">
      <w:pPr>
        <w:pStyle w:val="BodyText"/>
      </w:pPr>
      <w:r>
        <w:t xml:space="preserve">Good physical and mental health tends to be positively related to labour force participation with healthy workers generally having higher productivity and greater incentives to work. Having a disability is associated with a lower probability of labour force participation. Laplagne et al. (2007) cite analysis that suggests that poor mental health, in particular, is associated with a lower probability of labour force participation than good mental health. Indicators of health status that have been used in some models of Indigenous </w:t>
      </w:r>
      <w:proofErr w:type="spellStart"/>
      <w:r>
        <w:t>LMOs</w:t>
      </w:r>
      <w:proofErr w:type="spellEnd"/>
      <w:r>
        <w:t xml:space="preserve"> include self</w:t>
      </w:r>
      <w:r>
        <w:noBreakHyphen/>
        <w:t>assessed general health, disability and mental health</w:t>
      </w:r>
      <w:r w:rsidRPr="006A51B6">
        <w:t xml:space="preserve"> </w:t>
      </w:r>
      <w:r>
        <w:t>status, as well as health risk factors such as smoking and alcohol consumption. Stephens (2010) found there was a reduced probability of employment and labour force participation associated with smoking, having a disability and poor self</w:t>
      </w:r>
      <w:r>
        <w:noBreakHyphen/>
        <w:t xml:space="preserve">assessed health status. </w:t>
      </w:r>
    </w:p>
    <w:p w14:paraId="65AA3879" w14:textId="77777777" w:rsidR="00DB0024" w:rsidRDefault="00DB0024" w:rsidP="00DB0024">
      <w:pPr>
        <w:pStyle w:val="BodyText"/>
      </w:pPr>
      <w:r>
        <w:t xml:space="preserve">Causality between health and labour market outcomes can occur in both directions, resulting in potential </w:t>
      </w:r>
      <w:proofErr w:type="spellStart"/>
      <w:r>
        <w:t>endogeneity</w:t>
      </w:r>
      <w:proofErr w:type="spellEnd"/>
      <w:r>
        <w:t xml:space="preserve"> bias. Labour force participation can affect a person’s health positively or negatively. It may increase a person’s general health and wellbeing, or lead to deterioration in health due to stress, fatigue or physical </w:t>
      </w:r>
      <w:r>
        <w:lastRenderedPageBreak/>
        <w:t>demands, potentially leading to withdrawal from the labour market. The potential simultaneity bias that arises from complex interactions between health and labour force participation has been accounted for using simultaneous equations models (</w:t>
      </w:r>
      <w:proofErr w:type="spellStart"/>
      <w:r>
        <w:t>Cai</w:t>
      </w:r>
      <w:proofErr w:type="spellEnd"/>
      <w:r>
        <w:t xml:space="preserve"> 2010; </w:t>
      </w:r>
      <w:proofErr w:type="spellStart"/>
      <w:r>
        <w:t>Laplagne</w:t>
      </w:r>
      <w:proofErr w:type="spellEnd"/>
      <w:r>
        <w:t xml:space="preserve"> et al. 2007).</w:t>
      </w:r>
    </w:p>
    <w:p w14:paraId="593F142C" w14:textId="7DBD626A" w:rsidR="00917B53" w:rsidRDefault="00917B53">
      <w:pPr>
        <w:pStyle w:val="BoxSpac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917B53" w14:paraId="63F13576" w14:textId="77777777">
        <w:tc>
          <w:tcPr>
            <w:tcW w:w="8771" w:type="dxa"/>
            <w:tcBorders>
              <w:top w:val="single" w:sz="6" w:space="0" w:color="auto"/>
              <w:bottom w:val="nil"/>
            </w:tcBorders>
          </w:tcPr>
          <w:p w14:paraId="63F5B36C" w14:textId="5D6EA730" w:rsidR="00917B53" w:rsidRDefault="00917B53">
            <w:pPr>
              <w:pStyle w:val="BoxTitle"/>
            </w:pPr>
            <w:smartTag w:uri="urn:schemas-microsoft-com:office:smarttags" w:element="Street">
              <w:smartTag w:uri="urn:schemas-microsoft-com:office:smarttags" w:element="country-region">
                <w:smartTag w:uri="urn:schemas-microsoft-com:office:smarttags" w:element="PlaceName">
                  <w:r>
                    <w:rPr>
                      <w:b w:val="0"/>
                    </w:rPr>
                    <w:t>Box</w:t>
                  </w:r>
                </w:smartTag>
              </w:smartTag>
            </w:smartTag>
            <w:r>
              <w:rPr>
                <w:b w:val="0"/>
              </w:rPr>
              <w:t xml:space="preserve"> </w:t>
            </w:r>
            <w:r w:rsidR="0024754D">
              <w:rPr>
                <w:b w:val="0"/>
              </w:rPr>
              <w:t>4.</w:t>
            </w:r>
            <w:r w:rsidR="002C62E2">
              <w:rPr>
                <w:b w:val="0"/>
                <w:noProof/>
              </w:rPr>
              <w:t>1</w:t>
            </w:r>
            <w:r>
              <w:tab/>
              <w:t>Measuring the effects of health status for labour market research</w:t>
            </w:r>
          </w:p>
        </w:tc>
      </w:tr>
      <w:tr w:rsidR="00917B53" w14:paraId="32BE9740" w14:textId="77777777">
        <w:trPr>
          <w:cantSplit/>
        </w:trPr>
        <w:tc>
          <w:tcPr>
            <w:tcW w:w="8771" w:type="dxa"/>
            <w:tcBorders>
              <w:top w:val="nil"/>
              <w:left w:val="single" w:sz="6" w:space="0" w:color="auto"/>
              <w:bottom w:val="nil"/>
              <w:right w:val="single" w:sz="6" w:space="0" w:color="auto"/>
            </w:tcBorders>
          </w:tcPr>
          <w:p w14:paraId="379CDA0B" w14:textId="77777777" w:rsidR="00917B53" w:rsidRDefault="00917B53" w:rsidP="00917B53">
            <w:pPr>
              <w:pStyle w:val="Box"/>
            </w:pPr>
            <w:r>
              <w:t>One issue that arises in studies of the effects of health on participation, productivity and wages is the measurement of health status. Some researchers use data based on formal diagnosis of particular medical conditions. For example, the 2003 HILDA survey asked respondents:</w:t>
            </w:r>
          </w:p>
          <w:p w14:paraId="17659A3C" w14:textId="77777777" w:rsidR="00917B53" w:rsidRDefault="00917B53" w:rsidP="00917B53">
            <w:pPr>
              <w:pStyle w:val="BoxQuote"/>
            </w:pPr>
            <w:r>
              <w:t>Have you ever been told by a doctor or nurse that you have any of the long-term health conditions listed below? [The list of conditions included arthritis, asthma, cancer, chronic bronchitis, emphysema, diabetes, heart disease and high blood pressure] (AC Nielsen 2003, p</w:t>
            </w:r>
            <w:r w:rsidR="00FB04BB">
              <w:t>. </w:t>
            </w:r>
            <w:r>
              <w:t>10)</w:t>
            </w:r>
          </w:p>
          <w:p w14:paraId="2FDAB927" w14:textId="77777777" w:rsidR="00300D92" w:rsidRDefault="00917B53" w:rsidP="00917B53">
            <w:pPr>
              <w:pStyle w:val="Box"/>
            </w:pPr>
            <w:r>
              <w:t>Other studies rely on individuals’ self-reported general health. Self</w:t>
            </w:r>
            <w:r>
              <w:noBreakHyphen/>
              <w:t xml:space="preserve">reported general health can be derived from direct responses to survey questions regarding a person’s health status. For example, the </w:t>
            </w:r>
            <w:r w:rsidR="00663523">
              <w:t>NATSISS</w:t>
            </w:r>
            <w:r>
              <w:t xml:space="preserve"> asks respondents whether ‘in general’ they would </w:t>
            </w:r>
            <w:r w:rsidR="00663523">
              <w:t>say their health i</w:t>
            </w:r>
            <w:r>
              <w:t>s ‘excellent</w:t>
            </w:r>
            <w:r w:rsidR="00663523">
              <w:t>,</w:t>
            </w:r>
            <w:r>
              <w:t xml:space="preserve"> very good</w:t>
            </w:r>
            <w:r w:rsidR="00663523">
              <w:t>,</w:t>
            </w:r>
            <w:r>
              <w:t xml:space="preserve"> good</w:t>
            </w:r>
            <w:r w:rsidR="00663523">
              <w:t>,</w:t>
            </w:r>
            <w:r>
              <w:t xml:space="preserve"> fair</w:t>
            </w:r>
            <w:r w:rsidR="00663523">
              <w:t>,</w:t>
            </w:r>
            <w:r>
              <w:t xml:space="preserve"> or poor’.</w:t>
            </w:r>
          </w:p>
          <w:p w14:paraId="74FDE056" w14:textId="77777777" w:rsidR="00917B53" w:rsidRDefault="00917B53" w:rsidP="00917B53">
            <w:pPr>
              <w:pStyle w:val="Box"/>
            </w:pPr>
            <w:r>
              <w:t xml:space="preserve">In the context of labour market research, this kind of health measure can be prone to ‘rationalisation </w:t>
            </w:r>
            <w:proofErr w:type="spellStart"/>
            <w:r>
              <w:t>endogeneity</w:t>
            </w:r>
            <w:proofErr w:type="spellEnd"/>
            <w:r>
              <w:t>’, which occurs when a person uses their self</w:t>
            </w:r>
            <w:r>
              <w:noBreakHyphen/>
              <w:t xml:space="preserve">assessed health as a rationalisation for their labour market status. </w:t>
            </w:r>
            <w:proofErr w:type="spellStart"/>
            <w:r>
              <w:t>Cai</w:t>
            </w:r>
            <w:proofErr w:type="spellEnd"/>
            <w:r>
              <w:t xml:space="preserve"> and </w:t>
            </w:r>
            <w:proofErr w:type="spellStart"/>
            <w:r>
              <w:t>Kalb</w:t>
            </w:r>
            <w:proofErr w:type="spellEnd"/>
            <w:r>
              <w:t xml:space="preserve"> (2005) found mixed evidence of rationalisation behaviour in previous studies, and also found that self</w:t>
            </w:r>
            <w:r>
              <w:noBreakHyphen/>
              <w:t>assessed health status is highly correlated with diagnosed conditions.</w:t>
            </w:r>
          </w:p>
          <w:p w14:paraId="4A9434E8" w14:textId="77777777" w:rsidR="00917B53" w:rsidRDefault="00917B53" w:rsidP="00917B53">
            <w:pPr>
              <w:pStyle w:val="Box"/>
            </w:pPr>
            <w:r>
              <w:t>Alternatively, measures of general health can be derived from responses to questions about how well people are able to perform certain tasks (such as climbing stairs and carrying groceries) and how they feel (for example, ‘how much bodily pain have you felt during the past four weeks’).</w:t>
            </w:r>
          </w:p>
        </w:tc>
      </w:tr>
      <w:tr w:rsidR="00917B53" w14:paraId="7D2B3F61" w14:textId="77777777">
        <w:trPr>
          <w:cantSplit/>
        </w:trPr>
        <w:tc>
          <w:tcPr>
            <w:tcW w:w="8771" w:type="dxa"/>
            <w:tcBorders>
              <w:top w:val="nil"/>
              <w:left w:val="single" w:sz="6" w:space="0" w:color="auto"/>
              <w:bottom w:val="nil"/>
              <w:right w:val="single" w:sz="6" w:space="0" w:color="auto"/>
            </w:tcBorders>
          </w:tcPr>
          <w:p w14:paraId="54BD4C76" w14:textId="77777777" w:rsidR="00917B53" w:rsidRDefault="00917B53" w:rsidP="00514698">
            <w:pPr>
              <w:pStyle w:val="BoxSource"/>
            </w:pPr>
            <w:r>
              <w:rPr>
                <w:i/>
              </w:rPr>
              <w:t>Source</w:t>
            </w:r>
            <w:r w:rsidRPr="00167F06">
              <w:t xml:space="preserve">: </w:t>
            </w:r>
            <w:r>
              <w:t>Forbes</w:t>
            </w:r>
            <w:r w:rsidR="003E21ED">
              <w:t xml:space="preserve"> et al.</w:t>
            </w:r>
            <w:r w:rsidR="00F7610D">
              <w:t xml:space="preserve"> </w:t>
            </w:r>
            <w:r>
              <w:t>(2010)</w:t>
            </w:r>
            <w:r w:rsidR="00663523">
              <w:t xml:space="preserve">; </w:t>
            </w:r>
            <w:r w:rsidR="00064974">
              <w:t>ABS (2010b)</w:t>
            </w:r>
            <w:r>
              <w:t>.</w:t>
            </w:r>
          </w:p>
        </w:tc>
      </w:tr>
      <w:tr w:rsidR="00917B53" w14:paraId="3CC44110" w14:textId="77777777">
        <w:trPr>
          <w:cantSplit/>
        </w:trPr>
        <w:tc>
          <w:tcPr>
            <w:tcW w:w="8771" w:type="dxa"/>
            <w:tcBorders>
              <w:top w:val="nil"/>
              <w:left w:val="single" w:sz="6" w:space="0" w:color="auto"/>
              <w:bottom w:val="single" w:sz="6" w:space="0" w:color="auto"/>
              <w:right w:val="single" w:sz="6" w:space="0" w:color="auto"/>
            </w:tcBorders>
          </w:tcPr>
          <w:p w14:paraId="7F2B5762" w14:textId="77777777" w:rsidR="00917B53" w:rsidRDefault="00917B53">
            <w:pPr>
              <w:pStyle w:val="Box"/>
              <w:spacing w:before="0" w:line="120" w:lineRule="exact"/>
            </w:pPr>
          </w:p>
        </w:tc>
      </w:tr>
      <w:tr w:rsidR="00917B53" w14:paraId="4D2078B3" w14:textId="77777777">
        <w:tc>
          <w:tcPr>
            <w:tcW w:w="8771" w:type="dxa"/>
            <w:tcBorders>
              <w:top w:val="nil"/>
              <w:left w:val="nil"/>
              <w:bottom w:val="nil"/>
              <w:right w:val="nil"/>
            </w:tcBorders>
          </w:tcPr>
          <w:p w14:paraId="5000E365" w14:textId="77777777" w:rsidR="00917B53" w:rsidRDefault="00917B53">
            <w:pPr>
              <w:pStyle w:val="Box"/>
              <w:keepNext w:val="0"/>
              <w:spacing w:before="60" w:after="60" w:line="80" w:lineRule="exact"/>
              <w:rPr>
                <w:b/>
                <w:color w:val="FF00FF"/>
                <w:sz w:val="14"/>
              </w:rPr>
            </w:pPr>
          </w:p>
        </w:tc>
      </w:tr>
    </w:tbl>
    <w:p w14:paraId="2EBB5B40" w14:textId="77777777" w:rsidR="003F413F" w:rsidRDefault="00C41748" w:rsidP="003F413F">
      <w:pPr>
        <w:pStyle w:val="BodyText"/>
      </w:pPr>
      <w:r>
        <w:t>The use of self-</w:t>
      </w:r>
      <w:r w:rsidR="003F413F">
        <w:t xml:space="preserve">assessed health status as a health indicator can result in rationalisation </w:t>
      </w:r>
      <w:proofErr w:type="spellStart"/>
      <w:r w:rsidR="003F413F">
        <w:t>endogeneity</w:t>
      </w:r>
      <w:proofErr w:type="spellEnd"/>
      <w:r w:rsidR="003F413F">
        <w:t xml:space="preserve"> where a person misreports their true level of health possibly to justify non-participation in the workforce (</w:t>
      </w:r>
      <w:r w:rsidR="003E21ED">
        <w:t xml:space="preserve">Laplagne et al. </w:t>
      </w:r>
      <w:r w:rsidR="003F413F">
        <w:t>2007).</w:t>
      </w:r>
    </w:p>
    <w:p w14:paraId="64A86543" w14:textId="1DE8DCA3" w:rsidR="00193751" w:rsidRDefault="00193751" w:rsidP="003F413F">
      <w:pPr>
        <w:pStyle w:val="BodyText"/>
      </w:pPr>
      <w:r>
        <w:t>This study uses</w:t>
      </w:r>
      <w:r w:rsidR="00C41748">
        <w:t xml:space="preserve"> self-</w:t>
      </w:r>
      <w:r w:rsidR="005D6539">
        <w:t>assessed health status, psychological</w:t>
      </w:r>
      <w:r>
        <w:t xml:space="preserve"> distress as measured by the </w:t>
      </w:r>
      <w:r w:rsidR="005D6539">
        <w:t>K</w:t>
      </w:r>
      <w:r>
        <w:t xml:space="preserve">essler scale and whether the respondent has a severe </w:t>
      </w:r>
      <w:r w:rsidR="00727A5D">
        <w:t xml:space="preserve">or </w:t>
      </w:r>
      <w:r>
        <w:t>profo</w:t>
      </w:r>
      <w:r w:rsidR="005D6539">
        <w:t>und disability as indicators of</w:t>
      </w:r>
      <w:r>
        <w:t xml:space="preserve"> health</w:t>
      </w:r>
      <w:r w:rsidR="00D10A29">
        <w:t xml:space="preserve"> and disability</w:t>
      </w:r>
      <w:r>
        <w:t>.</w:t>
      </w:r>
      <w:r w:rsidR="00F14C19">
        <w:rPr>
          <w:rStyle w:val="FootnoteReference"/>
        </w:rPr>
        <w:footnoteReference w:id="4"/>
      </w:r>
      <w:r w:rsidR="00C1227A">
        <w:t xml:space="preserve"> </w:t>
      </w:r>
    </w:p>
    <w:p w14:paraId="2B41B254" w14:textId="77777777" w:rsidR="003F413F" w:rsidRDefault="0036514B" w:rsidP="003F413F">
      <w:pPr>
        <w:pStyle w:val="Heading3"/>
      </w:pPr>
      <w:r>
        <w:lastRenderedPageBreak/>
        <w:t>Skills and knowledge</w:t>
      </w:r>
    </w:p>
    <w:p w14:paraId="12630514" w14:textId="77777777" w:rsidR="003F413F" w:rsidRDefault="003F413F" w:rsidP="003F413F">
      <w:pPr>
        <w:pStyle w:val="BodyText"/>
      </w:pPr>
      <w:r>
        <w:t xml:space="preserve">Human capital theory, discussed </w:t>
      </w:r>
      <w:r w:rsidR="00B73D38">
        <w:t xml:space="preserve">in </w:t>
      </w:r>
      <w:r w:rsidR="00C60C9E">
        <w:t>c</w:t>
      </w:r>
      <w:r w:rsidR="00B73D38">
        <w:t xml:space="preserve">hapter 2, </w:t>
      </w:r>
      <w:r>
        <w:t>suggests that higher levels of skill</w:t>
      </w:r>
      <w:r w:rsidR="00C60C9E">
        <w:t>s</w:t>
      </w:r>
      <w:r>
        <w:t xml:space="preserve"> and knowledge improve employment prospects. These attributes may not always be observable, and employers look </w:t>
      </w:r>
      <w:r w:rsidR="00F14C19">
        <w:t>for</w:t>
      </w:r>
      <w:r>
        <w:t xml:space="preserve"> observable characteristics</w:t>
      </w:r>
      <w:r w:rsidR="00F14C19">
        <w:t xml:space="preserve"> that indicate a person’s level of skills</w:t>
      </w:r>
      <w:r>
        <w:t>, such as education</w:t>
      </w:r>
      <w:r w:rsidR="00C41748">
        <w:t>,</w:t>
      </w:r>
      <w:r>
        <w:t xml:space="preserve"> English language skills</w:t>
      </w:r>
      <w:r w:rsidR="00A7384D">
        <w:t xml:space="preserve"> and work experience</w:t>
      </w:r>
      <w:r>
        <w:t xml:space="preserve">, to assess the suitability of an employee. </w:t>
      </w:r>
    </w:p>
    <w:p w14:paraId="7BC68B75" w14:textId="77777777" w:rsidR="00A7384D" w:rsidRDefault="00A7384D" w:rsidP="003F413F">
      <w:pPr>
        <w:pStyle w:val="BodyText"/>
      </w:pPr>
      <w:r w:rsidRPr="00A7384D">
        <w:rPr>
          <w:i/>
        </w:rPr>
        <w:t>Education</w:t>
      </w:r>
      <w:r w:rsidR="00C60C9E">
        <w:rPr>
          <w:i/>
        </w:rPr>
        <w:t xml:space="preserve"> </w:t>
      </w:r>
    </w:p>
    <w:p w14:paraId="0AE0F461" w14:textId="78E7032C" w:rsidR="003F413F" w:rsidRDefault="003F413F" w:rsidP="003F413F">
      <w:pPr>
        <w:pStyle w:val="BodyText"/>
      </w:pPr>
      <w:r>
        <w:t xml:space="preserve">There are two main reasons why education influences </w:t>
      </w:r>
      <w:r w:rsidR="00F14C19">
        <w:t>LMOs</w:t>
      </w:r>
      <w:r>
        <w:t xml:space="preserve">. First, education develops </w:t>
      </w:r>
      <w:r w:rsidR="00376C2D">
        <w:t>academic</w:t>
      </w:r>
      <w:r w:rsidR="009457B0">
        <w:t>, vocational</w:t>
      </w:r>
      <w:r w:rsidR="00376C2D">
        <w:t xml:space="preserve"> and social </w:t>
      </w:r>
      <w:r>
        <w:t>skills</w:t>
      </w:r>
      <w:r w:rsidR="00376C2D">
        <w:t xml:space="preserve"> </w:t>
      </w:r>
      <w:r>
        <w:t xml:space="preserve">that are valuable to employers. Second, education acts as a signal to employers that a person has skills that are for the most part unobservable, including ability and motivation. </w:t>
      </w:r>
      <w:r w:rsidR="00F14C19">
        <w:t>This information reduce</w:t>
      </w:r>
      <w:r w:rsidR="00C60AD4">
        <w:t>s</w:t>
      </w:r>
      <w:r w:rsidR="00F14C19">
        <w:t xml:space="preserve"> job</w:t>
      </w:r>
      <w:r w:rsidR="006526A6">
        <w:noBreakHyphen/>
      </w:r>
      <w:r w:rsidR="00F14C19">
        <w:t>hiring costs for employers.</w:t>
      </w:r>
      <w:r>
        <w:t xml:space="preserve"> </w:t>
      </w:r>
    </w:p>
    <w:p w14:paraId="730BDDDD" w14:textId="77777777" w:rsidR="00F14C19" w:rsidRDefault="00F14C19" w:rsidP="003F413F">
      <w:pPr>
        <w:pStyle w:val="BodyText"/>
      </w:pPr>
      <w:r>
        <w:t>Previous studies find that people with higher education levels (especially degrees and other non-school qualifications) are more likely to be in the labour force, less likely to be unemployed and for those who are employed, less likely to participate in the CDEP program (Biddle and Webster 2007; Borland and Hunter 2000; Stephens 2010). The magnitude of the association between education and LMOs is different for men and women (the marginal effects for women tend to be larger and more consistently statistically significant).</w:t>
      </w:r>
    </w:p>
    <w:p w14:paraId="294B6312" w14:textId="5171A299" w:rsidR="0036514B" w:rsidRPr="0036514B" w:rsidRDefault="0036514B" w:rsidP="0036514B">
      <w:pPr>
        <w:pStyle w:val="BodyText"/>
      </w:pPr>
      <w:r w:rsidRPr="0036514B">
        <w:t xml:space="preserve">There are </w:t>
      </w:r>
      <w:r>
        <w:t>many</w:t>
      </w:r>
      <w:r w:rsidRPr="0036514B">
        <w:t xml:space="preserve"> ways </w:t>
      </w:r>
      <w:r>
        <w:t xml:space="preserve">education can be </w:t>
      </w:r>
      <w:r w:rsidR="00F14C19">
        <w:t>specified in econometric models</w:t>
      </w:r>
      <w:r>
        <w:t>, including</w:t>
      </w:r>
      <w:r w:rsidRPr="0036514B">
        <w:t xml:space="preserve"> years of education, levels of education, or pathways through the education system. T</w:t>
      </w:r>
      <w:r>
        <w:t>his study classifies people in</w:t>
      </w:r>
      <w:r w:rsidR="00616DFD">
        <w:t>to</w:t>
      </w:r>
      <w:r>
        <w:t xml:space="preserve"> one of seven possible </w:t>
      </w:r>
      <w:r w:rsidR="004B51C0">
        <w:t xml:space="preserve">categories of </w:t>
      </w:r>
      <w:r>
        <w:t>pathways though th</w:t>
      </w:r>
      <w:r w:rsidR="00616DFD">
        <w:t>e education system</w:t>
      </w:r>
      <w:r w:rsidR="009457B0">
        <w:t>,</w:t>
      </w:r>
      <w:r>
        <w:t xml:space="preserve"> depending on their highest level of schooling and non</w:t>
      </w:r>
      <w:r w:rsidR="006A28EA">
        <w:noBreakHyphen/>
      </w:r>
      <w:r>
        <w:t>s</w:t>
      </w:r>
      <w:r w:rsidR="00616DFD">
        <w:t>chool qualification. This approach was chosen becaus</w:t>
      </w:r>
      <w:r>
        <w:t>e</w:t>
      </w:r>
      <w:r w:rsidRPr="0036514B">
        <w:t xml:space="preserve"> Indigenous people tend to engage</w:t>
      </w:r>
      <w:r w:rsidR="00F14C19">
        <w:t xml:space="preserve"> differently</w:t>
      </w:r>
      <w:r w:rsidRPr="0036514B">
        <w:t xml:space="preserve"> with the education system </w:t>
      </w:r>
      <w:r w:rsidR="00F14C19">
        <w:t xml:space="preserve">compared </w:t>
      </w:r>
      <w:r>
        <w:t>to non-Indigenous people.</w:t>
      </w:r>
      <w:r w:rsidRPr="0036514B">
        <w:t xml:space="preserve"> </w:t>
      </w:r>
      <w:r w:rsidR="0053325B">
        <w:t xml:space="preserve">For example, </w:t>
      </w:r>
      <w:r>
        <w:t>Indigenous people have:</w:t>
      </w:r>
    </w:p>
    <w:p w14:paraId="4C245FB6" w14:textId="77777777" w:rsidR="0080034D" w:rsidRPr="0036514B" w:rsidRDefault="0080034D" w:rsidP="0036514B">
      <w:pPr>
        <w:pStyle w:val="ListBullet"/>
      </w:pPr>
      <w:r w:rsidRPr="0036514B">
        <w:t xml:space="preserve">higher attainment of certificate levels 1 and 2 </w:t>
      </w:r>
      <w:r w:rsidR="0053325B">
        <w:t>courses</w:t>
      </w:r>
    </w:p>
    <w:p w14:paraId="2A78AF79" w14:textId="77777777" w:rsidR="0080034D" w:rsidRPr="0036514B" w:rsidRDefault="0080034D" w:rsidP="0036514B">
      <w:pPr>
        <w:pStyle w:val="ListBullet"/>
      </w:pPr>
      <w:r w:rsidRPr="0036514B">
        <w:t xml:space="preserve">higher attainment of certificate 3 and </w:t>
      </w:r>
      <w:r w:rsidR="0053325B">
        <w:t>4</w:t>
      </w:r>
      <w:r w:rsidRPr="0036514B">
        <w:t xml:space="preserve"> courses by </w:t>
      </w:r>
      <w:r w:rsidR="0053325B">
        <w:t>people aged over 35</w:t>
      </w:r>
    </w:p>
    <w:p w14:paraId="72F06D13" w14:textId="066A3367" w:rsidR="0080034D" w:rsidRPr="0036514B" w:rsidRDefault="006A28EA" w:rsidP="0036514B">
      <w:pPr>
        <w:pStyle w:val="ListBullet"/>
      </w:pPr>
      <w:r w:rsidRPr="0036514B">
        <w:t>high</w:t>
      </w:r>
      <w:r>
        <w:t xml:space="preserve">er </w:t>
      </w:r>
      <w:r w:rsidRPr="0036514B">
        <w:t>participation</w:t>
      </w:r>
      <w:r>
        <w:t xml:space="preserve"> </w:t>
      </w:r>
      <w:r w:rsidR="009457B0">
        <w:t>in</w:t>
      </w:r>
      <w:r w:rsidR="00D10A29">
        <w:t xml:space="preserve"> </w:t>
      </w:r>
      <w:r w:rsidR="0080034D" w:rsidRPr="0036514B">
        <w:t>T</w:t>
      </w:r>
      <w:r w:rsidR="0007279D">
        <w:t xml:space="preserve">echnical and </w:t>
      </w:r>
      <w:r w:rsidR="0080034D" w:rsidRPr="0036514B">
        <w:t>F</w:t>
      </w:r>
      <w:r w:rsidR="0007279D">
        <w:t xml:space="preserve">urther </w:t>
      </w:r>
      <w:r w:rsidR="0080034D" w:rsidRPr="0036514B">
        <w:t>E</w:t>
      </w:r>
      <w:r w:rsidR="0007279D">
        <w:t xml:space="preserve">ducation </w:t>
      </w:r>
      <w:r w:rsidR="00D10A29">
        <w:t>Institutions or vocational education and training </w:t>
      </w:r>
      <w:r w:rsidR="0036514B">
        <w:t>(</w:t>
      </w:r>
      <w:r w:rsidR="00376C2D">
        <w:t>SCRGSP </w:t>
      </w:r>
      <w:r w:rsidR="0036514B">
        <w:t>2011)</w:t>
      </w:r>
      <w:r w:rsidR="0080034D" w:rsidRPr="0036514B">
        <w:t xml:space="preserve">. </w:t>
      </w:r>
    </w:p>
    <w:p w14:paraId="0C9573FB" w14:textId="77777777" w:rsidR="002E1F72" w:rsidRDefault="0036514B" w:rsidP="002E1F72">
      <w:pPr>
        <w:pStyle w:val="BodyText"/>
      </w:pPr>
      <w:r w:rsidRPr="0036514B">
        <w:t xml:space="preserve">This suggests that Indigenous people tend to </w:t>
      </w:r>
      <w:r>
        <w:t>obtain lower levels of non-</w:t>
      </w:r>
      <w:r w:rsidRPr="0036514B">
        <w:t>school qualifications, and do so at a later age, possibly without having completed year 12</w:t>
      </w:r>
      <w:r w:rsidR="00F14C19">
        <w:t xml:space="preserve"> compared to non-Indigenous people</w:t>
      </w:r>
      <w:r w:rsidR="00B55912">
        <w:t>.</w:t>
      </w:r>
      <w:r w:rsidR="00FE062C">
        <w:t xml:space="preserve"> Biddle and Yap </w:t>
      </w:r>
      <w:r w:rsidR="00B55912">
        <w:t>(</w:t>
      </w:r>
      <w:r w:rsidR="00FE062C">
        <w:t>2010</w:t>
      </w:r>
      <w:r w:rsidR="00B55912">
        <w:t xml:space="preserve">) found that Indigenous Australians aged 25 years and over </w:t>
      </w:r>
      <w:r w:rsidR="00F45EF4" w:rsidRPr="00F45EF4">
        <w:t>ha</w:t>
      </w:r>
      <w:r w:rsidR="00A73A45">
        <w:t>d</w:t>
      </w:r>
      <w:r w:rsidR="00F45EF4" w:rsidRPr="00F45EF4">
        <w:t xml:space="preserve"> a significantly higher probability of attending education than non-Indigenous Australian</w:t>
      </w:r>
      <w:r w:rsidR="00A73A45">
        <w:t>s</w:t>
      </w:r>
      <w:r w:rsidR="00F45EF4" w:rsidRPr="00F45EF4">
        <w:t xml:space="preserve"> with otherwise identical (observable) characteristics</w:t>
      </w:r>
      <w:r w:rsidRPr="0036514B">
        <w:t xml:space="preserve">. </w:t>
      </w:r>
    </w:p>
    <w:p w14:paraId="5C8F243F" w14:textId="39B411A4" w:rsidR="00293BCF" w:rsidRPr="00293BCF" w:rsidRDefault="00293BCF" w:rsidP="0036514B">
      <w:pPr>
        <w:pStyle w:val="BodyText"/>
        <w:rPr>
          <w:i/>
        </w:rPr>
      </w:pPr>
      <w:r w:rsidRPr="00293BCF">
        <w:rPr>
          <w:i/>
        </w:rPr>
        <w:lastRenderedPageBreak/>
        <w:t>English language skills</w:t>
      </w:r>
    </w:p>
    <w:p w14:paraId="7A6E6A56" w14:textId="2E6FB7D5" w:rsidR="006A5C43" w:rsidRPr="0036514B" w:rsidRDefault="009457B0" w:rsidP="0036514B">
      <w:pPr>
        <w:pStyle w:val="BodyText"/>
      </w:pPr>
      <w:r>
        <w:t>E</w:t>
      </w:r>
      <w:r w:rsidR="006A5C43">
        <w:t>mpl</w:t>
      </w:r>
      <w:r w:rsidR="00616DFD">
        <w:t>o</w:t>
      </w:r>
      <w:r w:rsidR="006A5C43">
        <w:t xml:space="preserve">yers </w:t>
      </w:r>
      <w:r>
        <w:t xml:space="preserve">value </w:t>
      </w:r>
      <w:r w:rsidR="006A5C43">
        <w:t xml:space="preserve">English language </w:t>
      </w:r>
      <w:r w:rsidR="005B6944">
        <w:t>skills</w:t>
      </w:r>
      <w:r w:rsidR="006A5C43">
        <w:t xml:space="preserve">. Studies of </w:t>
      </w:r>
      <w:r w:rsidR="00616DFD">
        <w:t>LMOs t</w:t>
      </w:r>
      <w:r w:rsidR="006A5C43">
        <w:t>end to include whether the respondent has a non-English spea</w:t>
      </w:r>
      <w:r w:rsidR="00616DFD">
        <w:t>k</w:t>
      </w:r>
      <w:r w:rsidR="006A5C43">
        <w:t>ing bac</w:t>
      </w:r>
      <w:r w:rsidR="00616DFD">
        <w:t>k</w:t>
      </w:r>
      <w:r w:rsidR="006A5C43">
        <w:t xml:space="preserve">ground. This </w:t>
      </w:r>
      <w:r w:rsidR="00190C92">
        <w:t>will not alway</w:t>
      </w:r>
      <w:r w:rsidR="00616DFD">
        <w:t>s</w:t>
      </w:r>
      <w:r w:rsidR="00190C92">
        <w:t xml:space="preserve"> capture English language skills, as many people from non-English spea</w:t>
      </w:r>
      <w:r w:rsidR="000A249C">
        <w:t>k</w:t>
      </w:r>
      <w:r w:rsidR="00190C92">
        <w:t xml:space="preserve">ing backgrounds are able to communicate </w:t>
      </w:r>
      <w:r w:rsidR="000A249C">
        <w:t xml:space="preserve">well </w:t>
      </w:r>
      <w:r w:rsidR="00190C92">
        <w:t xml:space="preserve">in English. </w:t>
      </w:r>
      <w:r w:rsidR="006A5C43">
        <w:t>This study includes a variable on whether the respondent</w:t>
      </w:r>
      <w:r w:rsidR="000A249C">
        <w:t xml:space="preserve"> indicated they</w:t>
      </w:r>
      <w:r w:rsidR="006A5C43">
        <w:t xml:space="preserve"> had difficulty communicating in English.</w:t>
      </w:r>
    </w:p>
    <w:p w14:paraId="78F26332" w14:textId="73CEECAB" w:rsidR="00293BCF" w:rsidRPr="00293BCF" w:rsidRDefault="00293BCF" w:rsidP="003F413F">
      <w:pPr>
        <w:pStyle w:val="BodyText"/>
        <w:rPr>
          <w:i/>
        </w:rPr>
      </w:pPr>
      <w:r w:rsidRPr="00293BCF">
        <w:rPr>
          <w:i/>
        </w:rPr>
        <w:t>Wor</w:t>
      </w:r>
      <w:r>
        <w:rPr>
          <w:i/>
        </w:rPr>
        <w:t>k</w:t>
      </w:r>
      <w:r w:rsidRPr="00293BCF">
        <w:rPr>
          <w:i/>
        </w:rPr>
        <w:t xml:space="preserve"> experience</w:t>
      </w:r>
    </w:p>
    <w:p w14:paraId="05D45C0B" w14:textId="7511FF5E" w:rsidR="00E76BEE" w:rsidRDefault="009457B0" w:rsidP="003F413F">
      <w:pPr>
        <w:pStyle w:val="BodyText"/>
      </w:pPr>
      <w:r>
        <w:t>S</w:t>
      </w:r>
      <w:r w:rsidR="00701E62">
        <w:t>kills and knowledge</w:t>
      </w:r>
      <w:r w:rsidR="00293BCF">
        <w:t xml:space="preserve"> </w:t>
      </w:r>
      <w:r w:rsidR="00701E62">
        <w:t xml:space="preserve">are also enhanced by </w:t>
      </w:r>
      <w:r w:rsidR="008C43BF">
        <w:t xml:space="preserve">work </w:t>
      </w:r>
      <w:r w:rsidR="003F413F" w:rsidRPr="00EA0C5C">
        <w:t>experience through on</w:t>
      </w:r>
      <w:r w:rsidR="008468AD">
        <w:noBreakHyphen/>
      </w:r>
      <w:r w:rsidR="00E76BEE" w:rsidRPr="00EA0C5C">
        <w:t>the</w:t>
      </w:r>
      <w:r w:rsidR="00E76BEE">
        <w:noBreakHyphen/>
      </w:r>
      <w:r w:rsidR="003F413F" w:rsidRPr="00EA0C5C">
        <w:t xml:space="preserve">job training and </w:t>
      </w:r>
      <w:r w:rsidR="003F413F">
        <w:t>workplace</w:t>
      </w:r>
      <w:r w:rsidR="008468AD">
        <w:t>-</w:t>
      </w:r>
      <w:r w:rsidR="003F413F">
        <w:t>specific courses</w:t>
      </w:r>
      <w:r w:rsidR="003F413F" w:rsidRPr="00EA0C5C">
        <w:t xml:space="preserve">. </w:t>
      </w:r>
      <w:r w:rsidR="00151AE1">
        <w:t>Work e</w:t>
      </w:r>
      <w:r w:rsidR="00293BCF">
        <w:t>xperience</w:t>
      </w:r>
      <w:r w:rsidR="003F413F">
        <w:t xml:space="preserve"> is a reasonably observable and verifiable attribute </w:t>
      </w:r>
      <w:r w:rsidR="00346851">
        <w:t xml:space="preserve">valued by employers. </w:t>
      </w:r>
      <w:r w:rsidR="00E76BEE">
        <w:t xml:space="preserve">Unlike many other studies </w:t>
      </w:r>
      <w:r>
        <w:t xml:space="preserve">that </w:t>
      </w:r>
      <w:r w:rsidR="008468AD">
        <w:t>use potential work</w:t>
      </w:r>
      <w:r w:rsidR="00E76BEE">
        <w:t xml:space="preserve"> experience </w:t>
      </w:r>
      <w:r w:rsidR="008468AD">
        <w:t>(estimated as</w:t>
      </w:r>
      <w:r w:rsidR="00E76BEE">
        <w:t xml:space="preserve"> a person’s </w:t>
      </w:r>
      <w:proofErr w:type="spellStart"/>
      <w:r w:rsidR="00E76BEE">
        <w:t xml:space="preserve">age </w:t>
      </w:r>
      <w:r w:rsidR="008468AD">
        <w:t>less</w:t>
      </w:r>
      <w:proofErr w:type="spellEnd"/>
      <w:r w:rsidR="008468AD">
        <w:t xml:space="preserve"> </w:t>
      </w:r>
      <w:r w:rsidR="00E76BEE">
        <w:t>the number of years spent studying</w:t>
      </w:r>
      <w:r w:rsidR="008468AD">
        <w:t>)</w:t>
      </w:r>
      <w:r>
        <w:t>,</w:t>
      </w:r>
      <w:r w:rsidR="00E76BEE">
        <w:t xml:space="preserve"> this </w:t>
      </w:r>
      <w:r w:rsidR="008468AD">
        <w:t xml:space="preserve">analysis </w:t>
      </w:r>
      <w:r w:rsidR="00E76BEE">
        <w:t xml:space="preserve">includes </w:t>
      </w:r>
      <w:r>
        <w:t xml:space="preserve">the </w:t>
      </w:r>
      <w:r w:rsidR="00E76BEE">
        <w:t>(self</w:t>
      </w:r>
      <w:r w:rsidR="00E76BEE">
        <w:noBreakHyphen/>
        <w:t>reported) number of years in the workforce.</w:t>
      </w:r>
    </w:p>
    <w:p w14:paraId="3EDBD49C" w14:textId="77777777" w:rsidR="00293BCF" w:rsidRDefault="00293BCF" w:rsidP="003F413F">
      <w:pPr>
        <w:pStyle w:val="BodyText"/>
      </w:pPr>
      <w:r>
        <w:t>Like age, w</w:t>
      </w:r>
      <w:r w:rsidR="003F413F">
        <w:t xml:space="preserve">ork experience </w:t>
      </w:r>
      <w:r w:rsidR="009D7759">
        <w:t>is often</w:t>
      </w:r>
      <w:r w:rsidR="003F413F">
        <w:t xml:space="preserve"> </w:t>
      </w:r>
      <w:r>
        <w:t>modelled using a quadratic function, comprising work experience and work experience-squared</w:t>
      </w:r>
      <w:r w:rsidR="008468AD">
        <w:t xml:space="preserve"> terms</w:t>
      </w:r>
      <w:r>
        <w:t>, and t</w:t>
      </w:r>
      <w:r>
        <w:rPr>
          <w:szCs w:val="26"/>
        </w:rPr>
        <w:t xml:space="preserve">he total effect of work experience on a labour market outcome is a combination of </w:t>
      </w:r>
      <w:r w:rsidR="00EE7521">
        <w:rPr>
          <w:szCs w:val="26"/>
        </w:rPr>
        <w:t>both,</w:t>
      </w:r>
      <w:r>
        <w:rPr>
          <w:szCs w:val="26"/>
        </w:rPr>
        <w:t xml:space="preserve"> evaluated at the mean</w:t>
      </w:r>
      <w:r w:rsidR="008468AD">
        <w:rPr>
          <w:szCs w:val="26"/>
        </w:rPr>
        <w:t xml:space="preserve"> value of years of work experience</w:t>
      </w:r>
      <w:r>
        <w:rPr>
          <w:szCs w:val="26"/>
        </w:rPr>
        <w:t xml:space="preserve"> </w:t>
      </w:r>
      <w:r>
        <w:t>(</w:t>
      </w:r>
      <w:proofErr w:type="spellStart"/>
      <w:r>
        <w:t>Bartus</w:t>
      </w:r>
      <w:proofErr w:type="spellEnd"/>
      <w:r>
        <w:t xml:space="preserve"> 2005). The results reported in the </w:t>
      </w:r>
      <w:r w:rsidR="00EE7521">
        <w:t>appendix</w:t>
      </w:r>
      <w:r w:rsidR="008C43BF">
        <w:t xml:space="preserve"> </w:t>
      </w:r>
      <w:r>
        <w:t>table</w:t>
      </w:r>
      <w:r w:rsidR="008C43BF">
        <w:t>s</w:t>
      </w:r>
      <w:r>
        <w:t xml:space="preserve"> are for an </w:t>
      </w:r>
      <w:r w:rsidR="00937895">
        <w:t>instantaneous</w:t>
      </w:r>
      <w:r>
        <w:t xml:space="preserve"> change in work experience and </w:t>
      </w:r>
      <w:r w:rsidR="00937895">
        <w:t>work</w:t>
      </w:r>
      <w:r>
        <w:t xml:space="preserve"> experience-squared</w:t>
      </w:r>
      <w:r w:rsidR="008468AD">
        <w:t>.</w:t>
      </w:r>
      <w:r>
        <w:t xml:space="preserve"> </w:t>
      </w:r>
      <w:r w:rsidR="008468AD">
        <w:t>T</w:t>
      </w:r>
      <w:r w:rsidR="00A97526">
        <w:t>he results reported in chapter 5</w:t>
      </w:r>
      <w:r>
        <w:t xml:space="preserve"> </w:t>
      </w:r>
      <w:r w:rsidR="00EE7521">
        <w:t>(table 5.</w:t>
      </w:r>
      <w:r w:rsidR="00F21A08">
        <w:t>1</w:t>
      </w:r>
      <w:r w:rsidR="00EE7521">
        <w:t xml:space="preserve">) </w:t>
      </w:r>
      <w:r>
        <w:t xml:space="preserve">are for the total effect of an increase in work experience of one year from </w:t>
      </w:r>
      <w:r w:rsidR="008468AD">
        <w:t>the</w:t>
      </w:r>
      <w:r>
        <w:t xml:space="preserve"> mean value</w:t>
      </w:r>
      <w:r w:rsidR="004B51C0">
        <w:t xml:space="preserve"> </w:t>
      </w:r>
      <w:r w:rsidR="008468AD">
        <w:t>(</w:t>
      </w:r>
      <w:r w:rsidR="004B51C0">
        <w:t xml:space="preserve">and </w:t>
      </w:r>
      <w:r w:rsidR="008468AD">
        <w:t xml:space="preserve">the value of years of work experience at the </w:t>
      </w:r>
      <w:r w:rsidR="004B51C0">
        <w:t>25</w:t>
      </w:r>
      <w:r w:rsidR="004B51C0" w:rsidRPr="004B51C0">
        <w:rPr>
          <w:vertAlign w:val="superscript"/>
        </w:rPr>
        <w:t>th</w:t>
      </w:r>
      <w:r w:rsidR="004B51C0">
        <w:t xml:space="preserve"> and 75</w:t>
      </w:r>
      <w:r w:rsidR="004B51C0" w:rsidRPr="004B51C0">
        <w:rPr>
          <w:vertAlign w:val="superscript"/>
        </w:rPr>
        <w:t>th</w:t>
      </w:r>
      <w:r w:rsidR="004B51C0">
        <w:t xml:space="preserve"> percentiles</w:t>
      </w:r>
      <w:r w:rsidR="008468AD">
        <w:t>)</w:t>
      </w:r>
      <w:r>
        <w:t xml:space="preserve">. </w:t>
      </w:r>
    </w:p>
    <w:p w14:paraId="12782A82" w14:textId="77777777" w:rsidR="00175CA7" w:rsidRDefault="008C43BF" w:rsidP="00175CA7">
      <w:pPr>
        <w:pStyle w:val="BodyText"/>
      </w:pPr>
      <w:r>
        <w:t>T</w:t>
      </w:r>
      <w:r w:rsidR="009051F1" w:rsidRPr="008C43BF">
        <w:t xml:space="preserve">he inclusion of </w:t>
      </w:r>
      <w:r>
        <w:t xml:space="preserve">both </w:t>
      </w:r>
      <w:r w:rsidR="009051F1" w:rsidRPr="008C43BF">
        <w:t xml:space="preserve">age and work experience terms in the model raises issues of </w:t>
      </w:r>
      <w:proofErr w:type="spellStart"/>
      <w:r w:rsidR="009051F1" w:rsidRPr="008C43BF">
        <w:t>collinearity</w:t>
      </w:r>
      <w:proofErr w:type="spellEnd"/>
      <w:r w:rsidR="00EE7521">
        <w:t>, whi</w:t>
      </w:r>
      <w:r w:rsidR="00E23ECA">
        <w:t>c</w:t>
      </w:r>
      <w:r w:rsidR="00EE7521">
        <w:t xml:space="preserve">h, as explained in chapter 3, can inflate standard errors, and make </w:t>
      </w:r>
      <w:r w:rsidR="00E85FA8">
        <w:t xml:space="preserve">explanatory </w:t>
      </w:r>
      <w:r w:rsidR="00EE7521">
        <w:t>variables appear insignificant when they are not</w:t>
      </w:r>
      <w:r w:rsidR="009051F1" w:rsidRPr="008C43BF">
        <w:t xml:space="preserve">. </w:t>
      </w:r>
      <w:r w:rsidR="00151AE1" w:rsidRPr="008C43BF">
        <w:t xml:space="preserve">However, </w:t>
      </w:r>
      <w:r w:rsidR="00151AE1">
        <w:t>the alternative of excluding work experience or age raises issues about omitting relevant variables from the model.</w:t>
      </w:r>
      <w:r w:rsidR="008468AD">
        <w:t xml:space="preserve"> The inclusion of both age and wo</w:t>
      </w:r>
      <w:r w:rsidR="00C60AD4">
        <w:t xml:space="preserve">rk experience variables can be justified </w:t>
      </w:r>
      <w:r w:rsidR="008468AD">
        <w:t xml:space="preserve">on the basis that </w:t>
      </w:r>
      <w:r w:rsidR="00C60AD4">
        <w:t>a person’s age</w:t>
      </w:r>
      <w:r w:rsidR="008468AD">
        <w:t xml:space="preserve"> may not be a reasonable proxy for </w:t>
      </w:r>
      <w:r w:rsidR="00C60AD4">
        <w:t xml:space="preserve">their </w:t>
      </w:r>
      <w:r w:rsidR="008468AD">
        <w:t>years of work experience</w:t>
      </w:r>
      <w:r w:rsidR="00C60AD4">
        <w:t xml:space="preserve">, </w:t>
      </w:r>
      <w:r w:rsidR="00EF16F6">
        <w:t>partly</w:t>
      </w:r>
      <w:r w:rsidR="008468AD">
        <w:t xml:space="preserve"> because </w:t>
      </w:r>
      <w:r w:rsidR="009051F1" w:rsidRPr="008C43BF">
        <w:t xml:space="preserve">Indigenous people spend longer periods of their lifecycle </w:t>
      </w:r>
      <w:r w:rsidR="00093F48">
        <w:t>not in the labour force</w:t>
      </w:r>
      <w:r w:rsidR="00EE7521">
        <w:t xml:space="preserve"> than non-Indigenous </w:t>
      </w:r>
      <w:r w:rsidR="00D95184">
        <w:t>people</w:t>
      </w:r>
      <w:r w:rsidR="008468AD">
        <w:t>. This implies</w:t>
      </w:r>
      <w:r w:rsidR="00EE7521">
        <w:t xml:space="preserve"> the correlation </w:t>
      </w:r>
      <w:r w:rsidR="008468AD">
        <w:t xml:space="preserve">between the two terms </w:t>
      </w:r>
      <w:r w:rsidR="00EE7521">
        <w:t xml:space="preserve">is </w:t>
      </w:r>
      <w:r w:rsidR="00D95184">
        <w:t>likely</w:t>
      </w:r>
      <w:r w:rsidR="00EE7521">
        <w:t xml:space="preserve"> to be lower than for non-Indigenous people</w:t>
      </w:r>
      <w:r w:rsidR="007F7D3C">
        <w:t xml:space="preserve"> </w:t>
      </w:r>
      <w:r w:rsidR="007F7D3C">
        <w:rPr>
          <w:szCs w:val="26"/>
        </w:rPr>
        <w:t>(</w:t>
      </w:r>
      <w:r w:rsidR="007F7D3C">
        <w:t>SCRGSP 2011</w:t>
      </w:r>
      <w:r w:rsidR="007F7D3C">
        <w:rPr>
          <w:szCs w:val="26"/>
        </w:rPr>
        <w:t>).</w:t>
      </w:r>
      <w:r w:rsidR="007F7D3C" w:rsidRPr="008C43BF">
        <w:t xml:space="preserve"> </w:t>
      </w:r>
    </w:p>
    <w:p w14:paraId="27037BCB" w14:textId="77777777" w:rsidR="00E23ECA" w:rsidRDefault="00E23ECA" w:rsidP="00175CA7">
      <w:pPr>
        <w:pStyle w:val="BodyText"/>
      </w:pPr>
      <w:r>
        <w:t xml:space="preserve">A comparison of the results </w:t>
      </w:r>
      <w:r w:rsidR="00093F48">
        <w:t>presented in this paper</w:t>
      </w:r>
      <w:r>
        <w:t xml:space="preserve"> with results using the same </w:t>
      </w:r>
      <w:r w:rsidR="00D95184">
        <w:t>model</w:t>
      </w:r>
      <w:r>
        <w:t xml:space="preserve"> with the work experience terms omitted </w:t>
      </w:r>
      <w:r w:rsidR="00426482">
        <w:t>found that t</w:t>
      </w:r>
      <w:r>
        <w:t xml:space="preserve">he </w:t>
      </w:r>
      <w:r w:rsidR="00D95184">
        <w:t>marginal</w:t>
      </w:r>
      <w:r>
        <w:t xml:space="preserve"> effects o</w:t>
      </w:r>
      <w:r w:rsidR="00093F48">
        <w:t>f</w:t>
      </w:r>
      <w:r>
        <w:t xml:space="preserve"> the </w:t>
      </w:r>
      <w:r w:rsidR="00D95184">
        <w:t>education</w:t>
      </w:r>
      <w:r>
        <w:t xml:space="preserve"> and crime variables were </w:t>
      </w:r>
      <w:r w:rsidR="00093F48">
        <w:t xml:space="preserve">larger </w:t>
      </w:r>
      <w:r>
        <w:t xml:space="preserve">in the model </w:t>
      </w:r>
      <w:r w:rsidR="00093F48">
        <w:t xml:space="preserve">that excluded </w:t>
      </w:r>
      <w:r>
        <w:t>work experience</w:t>
      </w:r>
      <w:r w:rsidR="00093F48">
        <w:t>. These</w:t>
      </w:r>
      <w:r>
        <w:t xml:space="preserve"> difference</w:t>
      </w:r>
      <w:r w:rsidR="00093F48">
        <w:t>s</w:t>
      </w:r>
      <w:r>
        <w:t xml:space="preserve"> </w:t>
      </w:r>
      <w:r w:rsidR="00093F48">
        <w:t>were</w:t>
      </w:r>
      <w:r>
        <w:t xml:space="preserve"> relatively large</w:t>
      </w:r>
      <w:r w:rsidR="00093F48">
        <w:t>r</w:t>
      </w:r>
      <w:r>
        <w:t xml:space="preserve"> for women. This suggests that </w:t>
      </w:r>
      <w:r w:rsidR="00D95184">
        <w:lastRenderedPageBreak/>
        <w:t>excluding</w:t>
      </w:r>
      <w:r>
        <w:t xml:space="preserve"> work experience from the model</w:t>
      </w:r>
      <w:r w:rsidR="00E85FA8" w:rsidRPr="00E85FA8">
        <w:t xml:space="preserve"> </w:t>
      </w:r>
      <w:r w:rsidR="00E85FA8">
        <w:t>risks</w:t>
      </w:r>
      <w:r w:rsidR="00426482">
        <w:t>, among other things,</w:t>
      </w:r>
      <w:r>
        <w:t xml:space="preserve"> overstat</w:t>
      </w:r>
      <w:r w:rsidR="00426482">
        <w:t>ing</w:t>
      </w:r>
      <w:r>
        <w:t xml:space="preserve"> the </w:t>
      </w:r>
      <w:r w:rsidR="00815783">
        <w:t xml:space="preserve">magnitudes of the associations between </w:t>
      </w:r>
      <w:r w:rsidR="00093F48">
        <w:t xml:space="preserve">some factors and </w:t>
      </w:r>
      <w:r w:rsidR="00815783">
        <w:t>LMOs</w:t>
      </w:r>
      <w:r>
        <w:t>.</w:t>
      </w:r>
    </w:p>
    <w:p w14:paraId="4BB0E7EC" w14:textId="2C5CE3EA" w:rsidR="003F413F" w:rsidRDefault="00493DF0" w:rsidP="003F413F">
      <w:pPr>
        <w:pStyle w:val="Heading3"/>
      </w:pPr>
      <w:r>
        <w:t>Contact with the criminal justice system</w:t>
      </w:r>
    </w:p>
    <w:p w14:paraId="5CBE2605" w14:textId="77777777" w:rsidR="003F413F" w:rsidRDefault="00493DF0" w:rsidP="003F413F">
      <w:pPr>
        <w:pStyle w:val="BodyText"/>
      </w:pPr>
      <w:r>
        <w:t>Contact</w:t>
      </w:r>
      <w:r w:rsidR="003F413F">
        <w:t xml:space="preserve"> with the criminal justice system </w:t>
      </w:r>
      <w:r w:rsidR="0057024B">
        <w:t>might</w:t>
      </w:r>
      <w:r w:rsidR="003F413F">
        <w:t xml:space="preserve"> </w:t>
      </w:r>
      <w:r w:rsidR="00F1607D">
        <w:t xml:space="preserve">affect </w:t>
      </w:r>
      <w:r w:rsidR="003F413F">
        <w:t xml:space="preserve">both labour supply and demand. On the demand side a criminal history </w:t>
      </w:r>
      <w:r w:rsidR="008C43BF">
        <w:t xml:space="preserve">might </w:t>
      </w:r>
      <w:r w:rsidR="003F413F">
        <w:t xml:space="preserve">affect a person’s chances of </w:t>
      </w:r>
      <w:r w:rsidR="00093F48">
        <w:t xml:space="preserve">obtaining </w:t>
      </w:r>
      <w:r w:rsidR="003F413F">
        <w:t xml:space="preserve">employment if a history of arrest or jail is used as screening device by potential employers, or where businesses may be deterred from locating in regions with </w:t>
      </w:r>
      <w:r w:rsidR="00093F48">
        <w:t xml:space="preserve">relatively </w:t>
      </w:r>
      <w:r w:rsidR="003F413F">
        <w:t xml:space="preserve">high </w:t>
      </w:r>
      <w:r w:rsidR="00221406">
        <w:t xml:space="preserve">crime </w:t>
      </w:r>
      <w:r w:rsidR="003F413F">
        <w:t>rate</w:t>
      </w:r>
      <w:r w:rsidR="00221406">
        <w:t>s,</w:t>
      </w:r>
      <w:r w:rsidR="003F413F">
        <w:t xml:space="preserve"> resulting in reduced job opportunities. On the supply side, a criminal history </w:t>
      </w:r>
      <w:r w:rsidR="00815783">
        <w:t>might</w:t>
      </w:r>
      <w:r w:rsidR="003F413F">
        <w:t xml:space="preserve"> influence a person’s motivations or perceptions of the benefits of work. </w:t>
      </w:r>
    </w:p>
    <w:p w14:paraId="05C56D21" w14:textId="549629AB" w:rsidR="003F413F" w:rsidRDefault="003F413F" w:rsidP="003F413F">
      <w:pPr>
        <w:pStyle w:val="BodyText"/>
      </w:pPr>
      <w:r>
        <w:t xml:space="preserve">Borland and Hunter (2000) examined the </w:t>
      </w:r>
      <w:r w:rsidR="00FA5257">
        <w:t>effect of</w:t>
      </w:r>
      <w:r>
        <w:t xml:space="preserve"> arrest </w:t>
      </w:r>
      <w:r w:rsidR="00FA5257">
        <w:t>on</w:t>
      </w:r>
      <w:r>
        <w:t xml:space="preserve"> </w:t>
      </w:r>
      <w:r w:rsidR="00FA5257">
        <w:t xml:space="preserve">labour force </w:t>
      </w:r>
      <w:r>
        <w:t>status by controlling for unobserved characteristics of people arrested in the preceding five years using 1994 NATSISS data. Arrest was found to be associated with a lower probability of employment for both Indigenous women</w:t>
      </w:r>
      <w:r w:rsidR="00815783">
        <w:t xml:space="preserve"> and men</w:t>
      </w:r>
      <w:r>
        <w:t xml:space="preserve"> (13 per cent and </w:t>
      </w:r>
      <w:r w:rsidR="00027C16">
        <w:t>18 </w:t>
      </w:r>
      <w:r>
        <w:t>per</w:t>
      </w:r>
      <w:r w:rsidR="002A4CF6">
        <w:t xml:space="preserve"> </w:t>
      </w:r>
      <w:r>
        <w:t xml:space="preserve">cent </w:t>
      </w:r>
      <w:r w:rsidR="00815783">
        <w:t>respectively</w:t>
      </w:r>
      <w:r>
        <w:t>). However</w:t>
      </w:r>
      <w:r w:rsidR="00027C16">
        <w:t xml:space="preserve"> these results may be biased if </w:t>
      </w:r>
      <w:r>
        <w:t xml:space="preserve">an individual’s arrest record </w:t>
      </w:r>
      <w:r w:rsidR="00027C16">
        <w:t xml:space="preserve">is influenced by </w:t>
      </w:r>
      <w:r>
        <w:t>their employment status</w:t>
      </w:r>
      <w:r w:rsidR="00027C16">
        <w:t>,</w:t>
      </w:r>
      <w:r>
        <w:t xml:space="preserve"> or </w:t>
      </w:r>
      <w:r w:rsidR="00027C16">
        <w:t xml:space="preserve">if there are </w:t>
      </w:r>
      <w:r>
        <w:t xml:space="preserve">unobservable factors affecting both </w:t>
      </w:r>
      <w:r w:rsidR="00F1607D">
        <w:t xml:space="preserve">their </w:t>
      </w:r>
      <w:r>
        <w:t xml:space="preserve">employment status and arrest record. For example, the analysis found </w:t>
      </w:r>
      <w:r w:rsidRPr="003C5ADC">
        <w:t>a strong positive</w:t>
      </w:r>
      <w:r>
        <w:t xml:space="preserve"> </w:t>
      </w:r>
      <w:r w:rsidRPr="003C5ADC">
        <w:t xml:space="preserve">relationship between alcohol consumption and arrest, so </w:t>
      </w:r>
      <w:r>
        <w:t>a history of arrest may be an indicator of</w:t>
      </w:r>
      <w:r w:rsidRPr="003C5ADC">
        <w:t xml:space="preserve"> other</w:t>
      </w:r>
      <w:r>
        <w:t xml:space="preserve"> </w:t>
      </w:r>
      <w:r w:rsidRPr="003C5ADC">
        <w:t>characteristics</w:t>
      </w:r>
      <w:r w:rsidR="00093F48">
        <w:t xml:space="preserve"> of an individual</w:t>
      </w:r>
      <w:r w:rsidRPr="003C5ADC">
        <w:t xml:space="preserve"> that may have a negative effect on labour supply</w:t>
      </w:r>
      <w:r>
        <w:t>.</w:t>
      </w:r>
      <w:r w:rsidRPr="003C5ADC">
        <w:t xml:space="preserve"> </w:t>
      </w:r>
      <w:r w:rsidR="00A97526">
        <w:t xml:space="preserve">Hunter and Daly </w:t>
      </w:r>
      <w:r w:rsidR="00093F48">
        <w:t>(</w:t>
      </w:r>
      <w:r w:rsidR="00A97526">
        <w:t>2008)</w:t>
      </w:r>
      <w:r w:rsidR="00093F48">
        <w:t xml:space="preserve"> used</w:t>
      </w:r>
      <w:r>
        <w:t xml:space="preserve"> a two-stage </w:t>
      </w:r>
      <w:r w:rsidR="00093F48">
        <w:t>model</w:t>
      </w:r>
      <w:r>
        <w:t xml:space="preserve"> to </w:t>
      </w:r>
      <w:r w:rsidR="00A97526">
        <w:t xml:space="preserve">address potential simultaneity bias </w:t>
      </w:r>
      <w:r w:rsidR="00607412">
        <w:t xml:space="preserve">that might arise </w:t>
      </w:r>
      <w:r w:rsidR="00A97526">
        <w:t>from the interaction between arrest</w:t>
      </w:r>
      <w:r w:rsidR="00815783">
        <w:t>,</w:t>
      </w:r>
      <w:r w:rsidR="00A97526">
        <w:t xml:space="preserve"> fertility and</w:t>
      </w:r>
      <w:r w:rsidR="00607412">
        <w:t xml:space="preserve"> labour force participation.</w:t>
      </w:r>
    </w:p>
    <w:p w14:paraId="01F84044" w14:textId="796EB58E" w:rsidR="008D4E0C" w:rsidRDefault="00ED5B17" w:rsidP="003F413F">
      <w:pPr>
        <w:pStyle w:val="BodyText"/>
      </w:pPr>
      <w:r>
        <w:t xml:space="preserve">The </w:t>
      </w:r>
      <w:r w:rsidR="00093F48">
        <w:t xml:space="preserve">analysis in this paper </w:t>
      </w:r>
      <w:r w:rsidR="008D4E0C">
        <w:t>uses two variables</w:t>
      </w:r>
      <w:r w:rsidR="00093F48">
        <w:t xml:space="preserve"> related to contact with the criminal justice system</w:t>
      </w:r>
      <w:r w:rsidR="006F2C86">
        <w:t> — </w:t>
      </w:r>
      <w:r w:rsidR="008D4E0C">
        <w:t>arrest in the last five years and whether the respondent ha</w:t>
      </w:r>
      <w:r w:rsidR="00521AE6">
        <w:t>s</w:t>
      </w:r>
      <w:r w:rsidR="008D4E0C">
        <w:t xml:space="preserve"> ever </w:t>
      </w:r>
      <w:r w:rsidR="00911A2D">
        <w:t>been in</w:t>
      </w:r>
      <w:r w:rsidR="008D4E0C">
        <w:t xml:space="preserve"> jail. The</w:t>
      </w:r>
      <w:r w:rsidR="00616DFD">
        <w:t xml:space="preserve">se variables are </w:t>
      </w:r>
      <w:r w:rsidR="00C60AD4">
        <w:t>cor</w:t>
      </w:r>
      <w:r w:rsidR="00616DFD">
        <w:t>related, because</w:t>
      </w:r>
      <w:r w:rsidR="008D4E0C">
        <w:t xml:space="preserve"> in most cases the people</w:t>
      </w:r>
      <w:r w:rsidR="00616DFD">
        <w:t xml:space="preserve"> who have been in jail have also</w:t>
      </w:r>
      <w:r w:rsidR="008D4E0C">
        <w:t xml:space="preserve"> been arrested. However, some people </w:t>
      </w:r>
      <w:r w:rsidR="00027C16">
        <w:t xml:space="preserve">may not </w:t>
      </w:r>
      <w:r w:rsidR="008D4E0C">
        <w:t>have been arrested in the last five year</w:t>
      </w:r>
      <w:r w:rsidR="008E3D3B">
        <w:t>s</w:t>
      </w:r>
      <w:r w:rsidR="008D4E0C">
        <w:t xml:space="preserve">, </w:t>
      </w:r>
      <w:r w:rsidR="008E3D3B">
        <w:t>but</w:t>
      </w:r>
      <w:r w:rsidR="008D4E0C">
        <w:t xml:space="preserve"> have been in jail in </w:t>
      </w:r>
      <w:r w:rsidR="00911A2D">
        <w:t>t</w:t>
      </w:r>
      <w:r w:rsidR="008D4E0C">
        <w:t xml:space="preserve">heir lifetime. </w:t>
      </w:r>
      <w:r w:rsidR="00937997">
        <w:t>T</w:t>
      </w:r>
      <w:r w:rsidR="008D4E0C">
        <w:t xml:space="preserve">he </w:t>
      </w:r>
      <w:r w:rsidR="00C60AD4">
        <w:t xml:space="preserve">marginal effects associated with a history of imprisonment </w:t>
      </w:r>
      <w:r w:rsidR="008D4E0C">
        <w:t>cannot, in this study, be interp</w:t>
      </w:r>
      <w:r w:rsidR="00616DFD">
        <w:t>reted as additiona</w:t>
      </w:r>
      <w:r w:rsidR="008D4E0C">
        <w:t xml:space="preserve">l to the </w:t>
      </w:r>
      <w:r w:rsidR="00C60AD4">
        <w:t>marginal effects</w:t>
      </w:r>
      <w:r w:rsidR="008D4E0C">
        <w:t xml:space="preserve"> of </w:t>
      </w:r>
      <w:r w:rsidR="00C60AD4">
        <w:t xml:space="preserve">having </w:t>
      </w:r>
      <w:r w:rsidR="008D4E0C">
        <w:t>being arrested</w:t>
      </w:r>
      <w:r w:rsidR="00C60AD4">
        <w:t>.</w:t>
      </w:r>
    </w:p>
    <w:p w14:paraId="2BC629CD" w14:textId="77777777" w:rsidR="00EB293E" w:rsidRDefault="00EB293E" w:rsidP="003F413F">
      <w:pPr>
        <w:pStyle w:val="Heading3"/>
      </w:pPr>
      <w:r>
        <w:t xml:space="preserve">Social </w:t>
      </w:r>
      <w:r w:rsidR="00E654CA">
        <w:t xml:space="preserve">and cultural </w:t>
      </w:r>
      <w:r>
        <w:t>environment</w:t>
      </w:r>
      <w:r w:rsidR="001C03B2">
        <w:t xml:space="preserve"> </w:t>
      </w:r>
    </w:p>
    <w:p w14:paraId="6C3E60AF" w14:textId="79FAD3C2" w:rsidR="00DC7E24" w:rsidRDefault="009457B0" w:rsidP="00EB293E">
      <w:pPr>
        <w:pStyle w:val="BodyText"/>
      </w:pPr>
      <w:r>
        <w:t>As well as drawing on human capital theory, th</w:t>
      </w:r>
      <w:r w:rsidR="00671C0D">
        <w:t xml:space="preserve">is paper also </w:t>
      </w:r>
      <w:r w:rsidR="009545AD">
        <w:t>considers</w:t>
      </w:r>
      <w:r w:rsidR="00C97EA9">
        <w:t xml:space="preserve"> </w:t>
      </w:r>
      <w:r w:rsidR="009545AD">
        <w:t>factors related to</w:t>
      </w:r>
      <w:r w:rsidR="00C97EA9">
        <w:t xml:space="preserve"> social and cultural environment, which s</w:t>
      </w:r>
      <w:r w:rsidR="00671C0D">
        <w:t xml:space="preserve">ocial capital theory suggests </w:t>
      </w:r>
      <w:r w:rsidR="00A75059">
        <w:t>might</w:t>
      </w:r>
      <w:r w:rsidR="00671C0D">
        <w:t xml:space="preserve"> influence the LMOs</w:t>
      </w:r>
      <w:r w:rsidR="0007279D">
        <w:t xml:space="preserve"> (</w:t>
      </w:r>
      <w:r w:rsidR="00A8311E">
        <w:t>box </w:t>
      </w:r>
      <w:r w:rsidR="0007279D">
        <w:t>2.2</w:t>
      </w:r>
      <w:r w:rsidR="00937997">
        <w:t>)</w:t>
      </w:r>
      <w:r w:rsidR="00671C0D">
        <w:t>.</w:t>
      </w:r>
      <w:r w:rsidR="009545AD" w:rsidRPr="009545AD">
        <w:t xml:space="preserve"> </w:t>
      </w:r>
      <w:r w:rsidR="009545AD">
        <w:t xml:space="preserve">Attributes, such as the motivation to obtain employment, and preferences for paid versus unpaid work, can be influenced by a person’s social and cultural environment. Some studies that include variables </w:t>
      </w:r>
      <w:r w:rsidR="009545AD">
        <w:lastRenderedPageBreak/>
        <w:t xml:space="preserve">relating to social and cultural factors suggest that they reduce omitted variable bias due to their correlation with characteristics which are largely unobservable (Hunter and </w:t>
      </w:r>
      <w:proofErr w:type="spellStart"/>
      <w:r w:rsidR="009545AD">
        <w:t>Gray</w:t>
      </w:r>
      <w:proofErr w:type="spellEnd"/>
      <w:r w:rsidR="009545AD">
        <w:t xml:space="preserve"> 2001;</w:t>
      </w:r>
      <w:r w:rsidR="009545AD" w:rsidRPr="003E21ED">
        <w:t xml:space="preserve"> </w:t>
      </w:r>
      <w:r w:rsidR="009545AD">
        <w:t>Stephens 2010). T</w:t>
      </w:r>
      <w:r w:rsidR="00556C1F">
        <w:t xml:space="preserve">he </w:t>
      </w:r>
      <w:r w:rsidR="009545AD">
        <w:t>theoretical links between</w:t>
      </w:r>
      <w:r w:rsidR="00556C1F">
        <w:t xml:space="preserve"> living in homelands and providing unpaid childcare </w:t>
      </w:r>
      <w:r w:rsidR="009545AD">
        <w:t xml:space="preserve">and LMOS </w:t>
      </w:r>
      <w:r w:rsidR="00556C1F">
        <w:t xml:space="preserve">are discussed above. </w:t>
      </w:r>
      <w:r w:rsidR="009545AD">
        <w:t xml:space="preserve">Some </w:t>
      </w:r>
      <w:r w:rsidR="00556C1F">
        <w:t>indicators of community engagement, that might be prox</w:t>
      </w:r>
      <w:r w:rsidR="00983CC5">
        <w:t>ies</w:t>
      </w:r>
      <w:r w:rsidR="00556C1F">
        <w:t xml:space="preserve"> for motivation</w:t>
      </w:r>
      <w:r w:rsidR="00ED5B17">
        <w:t>,</w:t>
      </w:r>
      <w:r w:rsidR="009545AD">
        <w:t xml:space="preserve"> are discussed below.</w:t>
      </w:r>
      <w:r w:rsidR="009545AD" w:rsidDel="009545AD">
        <w:t xml:space="preserve"> </w:t>
      </w:r>
    </w:p>
    <w:p w14:paraId="301007CC" w14:textId="77777777" w:rsidR="00B71F0F" w:rsidRPr="005906B1" w:rsidRDefault="00B71F0F" w:rsidP="00B71F0F">
      <w:pPr>
        <w:pStyle w:val="BodyText"/>
        <w:rPr>
          <w:i/>
        </w:rPr>
      </w:pPr>
      <w:r w:rsidRPr="005906B1">
        <w:rPr>
          <w:i/>
        </w:rPr>
        <w:t xml:space="preserve">Preferences </w:t>
      </w:r>
    </w:p>
    <w:p w14:paraId="7207D813" w14:textId="77777777" w:rsidR="002D22E5" w:rsidRDefault="00671C0D" w:rsidP="00B71F0F">
      <w:pPr>
        <w:pStyle w:val="BodyText"/>
      </w:pPr>
      <w:r>
        <w:t>Preferences</w:t>
      </w:r>
      <w:r w:rsidR="00951AED">
        <w:t xml:space="preserve"> </w:t>
      </w:r>
      <w:r w:rsidR="00B71F0F">
        <w:t>for a</w:t>
      </w:r>
      <w:r w:rsidR="002D22E5">
        <w:t xml:space="preserve"> particular</w:t>
      </w:r>
      <w:r w:rsidR="00B71F0F">
        <w:t xml:space="preserve"> lifestyle </w:t>
      </w:r>
      <w:r w:rsidR="002D22E5">
        <w:t>might</w:t>
      </w:r>
      <w:r w:rsidR="00B71F0F">
        <w:t xml:space="preserve"> </w:t>
      </w:r>
      <w:r w:rsidR="001E0BF6">
        <w:t xml:space="preserve">influence </w:t>
      </w:r>
      <w:r w:rsidR="00B71F0F">
        <w:t>LMOs</w:t>
      </w:r>
      <w:r w:rsidR="001E0BF6">
        <w:t xml:space="preserve">. For example, </w:t>
      </w:r>
      <w:r>
        <w:t>some individuals</w:t>
      </w:r>
      <w:r w:rsidR="001E0BF6">
        <w:t xml:space="preserve"> might</w:t>
      </w:r>
      <w:r w:rsidR="002D22E5">
        <w:t>:</w:t>
      </w:r>
    </w:p>
    <w:p w14:paraId="31F94F3C" w14:textId="6DF091E8" w:rsidR="002D22E5" w:rsidRDefault="00944512" w:rsidP="004C401B">
      <w:pPr>
        <w:pStyle w:val="ListBullet"/>
      </w:pPr>
      <w:r>
        <w:t>be</w:t>
      </w:r>
      <w:r w:rsidR="002D22E5">
        <w:t xml:space="preserve"> part of a household or community where they specialise</w:t>
      </w:r>
      <w:r w:rsidR="0008152A">
        <w:t xml:space="preserve"> </w:t>
      </w:r>
      <w:r w:rsidR="007075AE">
        <w:t>in</w:t>
      </w:r>
      <w:r w:rsidR="00F21A08">
        <w:t>,</w:t>
      </w:r>
      <w:r w:rsidR="007075AE">
        <w:t xml:space="preserve"> </w:t>
      </w:r>
      <w:r w:rsidR="0008152A">
        <w:t>or have a preference for</w:t>
      </w:r>
      <w:r w:rsidR="00ED5B17">
        <w:t>,</w:t>
      </w:r>
      <w:r w:rsidR="002D22E5">
        <w:t xml:space="preserve"> unpaid work</w:t>
      </w:r>
    </w:p>
    <w:p w14:paraId="44616DB7" w14:textId="77777777" w:rsidR="00EA301B" w:rsidRDefault="00EA301B" w:rsidP="00EA301B">
      <w:pPr>
        <w:pStyle w:val="ListBullet"/>
      </w:pPr>
      <w:r>
        <w:t>prefer, and are able, to live in their traditional lands, which might mean they live in an area with low labour demand or lack of jobs that match their skills, and be unwilling to move to obtain employment</w:t>
      </w:r>
    </w:p>
    <w:p w14:paraId="68BAD2CE" w14:textId="77777777" w:rsidR="002D22E5" w:rsidRDefault="002D22E5" w:rsidP="004C401B">
      <w:pPr>
        <w:pStyle w:val="ListBullet"/>
      </w:pPr>
      <w:r>
        <w:t>pref</w:t>
      </w:r>
      <w:r w:rsidR="00B71F0F">
        <w:t xml:space="preserve">er to live a more traditional lifestyle </w:t>
      </w:r>
      <w:r>
        <w:t>and can be sustained through traditional activities</w:t>
      </w:r>
      <w:r w:rsidR="00EA301B">
        <w:t>.</w:t>
      </w:r>
    </w:p>
    <w:p w14:paraId="6236140E" w14:textId="77777777" w:rsidR="00441E27" w:rsidRDefault="000B63FD" w:rsidP="00441E27">
      <w:pPr>
        <w:pStyle w:val="BodyText"/>
      </w:pPr>
      <w:r>
        <w:t xml:space="preserve">Some of the variables described above </w:t>
      </w:r>
      <w:r w:rsidR="00671C0D">
        <w:t>can act as indicators of such</w:t>
      </w:r>
      <w:r>
        <w:t xml:space="preserve"> influences</w:t>
      </w:r>
      <w:r w:rsidR="0008152A">
        <w:t>. F</w:t>
      </w:r>
      <w:r>
        <w:t xml:space="preserve">or example, </w:t>
      </w:r>
      <w:r w:rsidR="004F67E2">
        <w:t xml:space="preserve">being married and the </w:t>
      </w:r>
      <w:r>
        <w:t xml:space="preserve">presence of dependent children </w:t>
      </w:r>
      <w:r w:rsidR="007075AE">
        <w:t>might</w:t>
      </w:r>
      <w:r>
        <w:t xml:space="preserve"> </w:t>
      </w:r>
      <w:r w:rsidR="00671C0D">
        <w:t>increase the probability of someone allocating significant time to</w:t>
      </w:r>
      <w:r>
        <w:t xml:space="preserve"> unpaid </w:t>
      </w:r>
      <w:r w:rsidR="00671C0D">
        <w:t>work with</w:t>
      </w:r>
      <w:r>
        <w:t xml:space="preserve">in </w:t>
      </w:r>
      <w:r w:rsidR="00671C0D">
        <w:t xml:space="preserve">a </w:t>
      </w:r>
      <w:r>
        <w:t xml:space="preserve">household. The </w:t>
      </w:r>
      <w:r w:rsidR="004F67E2">
        <w:t xml:space="preserve">2008 </w:t>
      </w:r>
      <w:r>
        <w:t xml:space="preserve">NATSISS contains </w:t>
      </w:r>
      <w:r w:rsidR="00C442A6">
        <w:t xml:space="preserve">other </w:t>
      </w:r>
      <w:r>
        <w:t xml:space="preserve">information that might </w:t>
      </w:r>
      <w:r w:rsidR="00481F29">
        <w:t xml:space="preserve">reflect </w:t>
      </w:r>
      <w:r>
        <w:t xml:space="preserve">a </w:t>
      </w:r>
      <w:r w:rsidR="00481F29">
        <w:t xml:space="preserve">person’s </w:t>
      </w:r>
      <w:r>
        <w:t xml:space="preserve">preference for a traditional lifestyle. </w:t>
      </w:r>
      <w:r w:rsidR="00441E27">
        <w:t>These include:</w:t>
      </w:r>
    </w:p>
    <w:p w14:paraId="4FAC5A84" w14:textId="15E3DBCA" w:rsidR="007075AE" w:rsidRDefault="00B71F0F" w:rsidP="00441E27">
      <w:pPr>
        <w:pStyle w:val="ListBullet"/>
      </w:pPr>
      <w:r>
        <w:t>whether they recognise and cur</w:t>
      </w:r>
      <w:r w:rsidR="007075AE">
        <w:t>rently live in their homelands</w:t>
      </w:r>
      <w:r w:rsidR="00484599">
        <w:t xml:space="preserve"> (discussed above as a locational variable)</w:t>
      </w:r>
    </w:p>
    <w:p w14:paraId="22195658" w14:textId="2A6BDADC" w:rsidR="0008152A" w:rsidRDefault="007075AE" w:rsidP="007075AE">
      <w:pPr>
        <w:pStyle w:val="ListBullet"/>
      </w:pPr>
      <w:r>
        <w:t xml:space="preserve">whether they participate in </w:t>
      </w:r>
      <w:r w:rsidR="000C4E59">
        <w:t xml:space="preserve">traditional </w:t>
      </w:r>
      <w:r w:rsidR="00116BEB">
        <w:t xml:space="preserve">cultural </w:t>
      </w:r>
      <w:r>
        <w:t>activities</w:t>
      </w:r>
      <w:r w:rsidR="009C0C55">
        <w:t xml:space="preserve"> (three or more </w:t>
      </w:r>
      <w:r w:rsidR="00196A65">
        <w:t xml:space="preserve">types </w:t>
      </w:r>
      <w:r w:rsidR="009C0C55">
        <w:t>in the last 12</w:t>
      </w:r>
      <w:r w:rsidR="00B85B21">
        <w:t> </w:t>
      </w:r>
      <w:r w:rsidR="009C0C55">
        <w:t>months)</w:t>
      </w:r>
      <w:r w:rsidR="00451605">
        <w:t>.</w:t>
      </w:r>
    </w:p>
    <w:p w14:paraId="41122005" w14:textId="5A391B3F" w:rsidR="007000AB" w:rsidRDefault="00227BC3" w:rsidP="007000AB">
      <w:pPr>
        <w:pStyle w:val="BodyText"/>
      </w:pPr>
      <w:r>
        <w:t xml:space="preserve">It might be expected that a person who allocates a large proportion of their time to unpaid work, or </w:t>
      </w:r>
      <w:r w:rsidR="00983CC5">
        <w:t>activit</w:t>
      </w:r>
      <w:r w:rsidR="00F21A08">
        <w:t>i</w:t>
      </w:r>
      <w:r w:rsidR="00983CC5">
        <w:t>es associated with a more traditional lifestyle</w:t>
      </w:r>
      <w:r>
        <w:t xml:space="preserve">, will </w:t>
      </w:r>
      <w:r w:rsidR="00FC6BCC">
        <w:t xml:space="preserve">place </w:t>
      </w:r>
      <w:r w:rsidR="00481F29">
        <w:t xml:space="preserve">a relatively low </w:t>
      </w:r>
      <w:r w:rsidR="00FC6BCC">
        <w:t xml:space="preserve">value on labour market engagement, and choose not to participate in the labour market for paid work. </w:t>
      </w:r>
      <w:r w:rsidR="008C63EB">
        <w:t xml:space="preserve">Hunter and </w:t>
      </w:r>
      <w:r w:rsidR="007000AB">
        <w:t xml:space="preserve">Borland (1997) found that hunting, fishing and gathering activities had no effect on the probability of employment, suggesting there was little substitution between these traditional activities and market work. However, Hunter and </w:t>
      </w:r>
      <w:proofErr w:type="spellStart"/>
      <w:r w:rsidR="007000AB">
        <w:t>Gray’s</w:t>
      </w:r>
      <w:proofErr w:type="spellEnd"/>
      <w:r w:rsidR="007000AB">
        <w:t xml:space="preserve"> (1999) results suggested there might be some substitution, especially </w:t>
      </w:r>
      <w:r w:rsidR="00BB58CB">
        <w:t>f</w:t>
      </w:r>
      <w:r w:rsidR="007000AB">
        <w:t>or women.</w:t>
      </w:r>
      <w:r w:rsidR="009D1CCB">
        <w:t xml:space="preserve"> However, these activities might confer other benefits to the individual or the community.</w:t>
      </w:r>
      <w:r w:rsidR="007000AB">
        <w:t xml:space="preserve"> </w:t>
      </w:r>
    </w:p>
    <w:p w14:paraId="6F63468A" w14:textId="77777777" w:rsidR="00294E90" w:rsidRDefault="00937895" w:rsidP="009D1CCB">
      <w:pPr>
        <w:pStyle w:val="BodyText"/>
        <w:keepNext/>
        <w:rPr>
          <w:i/>
        </w:rPr>
      </w:pPr>
      <w:r>
        <w:rPr>
          <w:i/>
        </w:rPr>
        <w:lastRenderedPageBreak/>
        <w:t>Motivation</w:t>
      </w:r>
    </w:p>
    <w:p w14:paraId="4E961D75" w14:textId="411A75E8" w:rsidR="00E056D7" w:rsidRDefault="004E7936" w:rsidP="00EB293E">
      <w:pPr>
        <w:pStyle w:val="BodyText"/>
      </w:pPr>
      <w:r>
        <w:t>A</w:t>
      </w:r>
      <w:r w:rsidR="007072F0">
        <w:t>n important personal attribute that</w:t>
      </w:r>
      <w:r>
        <w:t xml:space="preserve"> </w:t>
      </w:r>
      <w:r w:rsidR="007072F0">
        <w:t>influences</w:t>
      </w:r>
      <w:r>
        <w:t xml:space="preserve"> LMOs is a person’s motiv</w:t>
      </w:r>
      <w:r w:rsidR="006B25F4">
        <w:t xml:space="preserve">ation. Motivation </w:t>
      </w:r>
      <w:r w:rsidR="007072F0">
        <w:t xml:space="preserve">also </w:t>
      </w:r>
      <w:r w:rsidR="006B25F4">
        <w:t>affects</w:t>
      </w:r>
      <w:r>
        <w:t xml:space="preserve"> educational and health </w:t>
      </w:r>
      <w:r w:rsidR="00845F00">
        <w:t>outcomes — </w:t>
      </w:r>
      <w:r w:rsidR="00DB2E00">
        <w:t>which in turn affect</w:t>
      </w:r>
      <w:r w:rsidR="004F67E2">
        <w:t>s</w:t>
      </w:r>
      <w:r w:rsidR="00DB2E00">
        <w:t xml:space="preserve"> LMOs</w:t>
      </w:r>
      <w:r w:rsidR="00845F00">
        <w:t> — </w:t>
      </w:r>
      <w:r w:rsidR="007072F0">
        <w:t>and is influenced by</w:t>
      </w:r>
      <w:r w:rsidR="00ED5B17">
        <w:t xml:space="preserve"> the</w:t>
      </w:r>
      <w:r w:rsidR="007072F0">
        <w:t xml:space="preserve"> social environment</w:t>
      </w:r>
      <w:r>
        <w:t xml:space="preserve">. </w:t>
      </w:r>
      <w:r w:rsidR="00C442A6">
        <w:t>It</w:t>
      </w:r>
      <w:r>
        <w:t xml:space="preserve"> is difficult to observe</w:t>
      </w:r>
      <w:r w:rsidR="00DE794B">
        <w:t xml:space="preserve">, and a common approach is to use panel data to control for </w:t>
      </w:r>
      <w:r w:rsidR="00983CC5">
        <w:t xml:space="preserve">this and other </w:t>
      </w:r>
      <w:r w:rsidR="00DE794B">
        <w:t xml:space="preserve">unobserved characteristics. In the absence of panel data on Indigenous people, </w:t>
      </w:r>
      <w:r>
        <w:t>proxies</w:t>
      </w:r>
      <w:r w:rsidR="00DC306F">
        <w:t xml:space="preserve"> </w:t>
      </w:r>
      <w:r w:rsidR="00DE794B">
        <w:t>for unobserved characteristics can be use</w:t>
      </w:r>
      <w:r w:rsidR="00196A65">
        <w:t>d</w:t>
      </w:r>
      <w:r w:rsidR="001B2825">
        <w:t>. These proxies are</w:t>
      </w:r>
      <w:r w:rsidR="001B2825" w:rsidRPr="001B2825">
        <w:t xml:space="preserve"> </w:t>
      </w:r>
      <w:r w:rsidR="001B2825">
        <w:t>characteristics that might be correlated with unobservable attributes</w:t>
      </w:r>
      <w:r w:rsidR="00196A65">
        <w:t>.</w:t>
      </w:r>
      <w:r>
        <w:t xml:space="preserve"> </w:t>
      </w:r>
    </w:p>
    <w:p w14:paraId="6FF4FEF9" w14:textId="681C4E0E" w:rsidR="001B2825" w:rsidRDefault="004F67E2" w:rsidP="001B2825">
      <w:pPr>
        <w:pStyle w:val="BodyText"/>
      </w:pPr>
      <w:r>
        <w:t xml:space="preserve">Employers look for signs of motivation, such as education and work experience. Motivation might also be indicated by a person’s engagement with their community. </w:t>
      </w:r>
      <w:r w:rsidR="001B2825">
        <w:t xml:space="preserve">For example, a person who engages with their community through volunteer work or by attending </w:t>
      </w:r>
      <w:r w:rsidR="00116BEB">
        <w:t xml:space="preserve">social </w:t>
      </w:r>
      <w:r w:rsidR="006D0929">
        <w:t>cultural</w:t>
      </w:r>
      <w:r w:rsidR="001B2825">
        <w:t xml:space="preserve"> events, is likely to be motivated in other ways, including to participate in the labour market for paid work. The benefit of including these proxies is </w:t>
      </w:r>
      <w:r w:rsidR="00C62A45">
        <w:t xml:space="preserve">that </w:t>
      </w:r>
      <w:r w:rsidR="001B2825">
        <w:t xml:space="preserve">marginal effects </w:t>
      </w:r>
      <w:r w:rsidR="00C41383">
        <w:t xml:space="preserve">for </w:t>
      </w:r>
      <w:r w:rsidR="00C62A45">
        <w:t xml:space="preserve">other </w:t>
      </w:r>
      <w:r w:rsidR="00F206E3">
        <w:t xml:space="preserve">explanatory </w:t>
      </w:r>
      <w:r w:rsidR="00C62A45">
        <w:t xml:space="preserve">variables </w:t>
      </w:r>
      <w:r w:rsidR="001B2825">
        <w:t>are likely to be less biased</w:t>
      </w:r>
      <w:r w:rsidR="00F206E3">
        <w:t xml:space="preserve"> because at least some of the influence of the unobserved attributes on other variables in the model is accounted for. </w:t>
      </w:r>
    </w:p>
    <w:p w14:paraId="24E67EC2" w14:textId="77777777" w:rsidR="00045783" w:rsidRDefault="00FC6BCC" w:rsidP="00045783">
      <w:pPr>
        <w:pStyle w:val="BodyText"/>
      </w:pPr>
      <w:r w:rsidRPr="002F7658">
        <w:rPr>
          <w:color w:val="000000"/>
          <w:lang w:val="en-US"/>
        </w:rPr>
        <w:t xml:space="preserve">There are costs and benefits to this </w:t>
      </w:r>
      <w:r w:rsidR="00A553BF">
        <w:rPr>
          <w:color w:val="000000"/>
          <w:lang w:val="en-US"/>
        </w:rPr>
        <w:t>sort of community engagement. It</w:t>
      </w:r>
      <w:r w:rsidRPr="002F7658">
        <w:rPr>
          <w:color w:val="000000"/>
          <w:lang w:val="en-US"/>
        </w:rPr>
        <w:t xml:space="preserve"> could create networks</w:t>
      </w:r>
      <w:r w:rsidR="00A553BF">
        <w:rPr>
          <w:color w:val="000000"/>
          <w:lang w:val="en-US"/>
        </w:rPr>
        <w:t xml:space="preserve"> that lower</w:t>
      </w:r>
      <w:r w:rsidR="004F67E2">
        <w:rPr>
          <w:color w:val="000000"/>
          <w:lang w:val="en-US"/>
        </w:rPr>
        <w:t xml:space="preserve"> job search</w:t>
      </w:r>
      <w:r w:rsidR="00A553BF">
        <w:rPr>
          <w:color w:val="000000"/>
          <w:lang w:val="en-US"/>
        </w:rPr>
        <w:t xml:space="preserve"> costs </w:t>
      </w:r>
      <w:r w:rsidRPr="002F7658">
        <w:rPr>
          <w:color w:val="000000"/>
          <w:lang w:val="en-US"/>
        </w:rPr>
        <w:t xml:space="preserve">but it might also become a barrier to </w:t>
      </w:r>
      <w:proofErr w:type="spellStart"/>
      <w:r w:rsidRPr="002F7658">
        <w:rPr>
          <w:color w:val="000000"/>
          <w:lang w:val="en-US"/>
        </w:rPr>
        <w:t>labour</w:t>
      </w:r>
      <w:proofErr w:type="spellEnd"/>
      <w:r w:rsidRPr="002F7658">
        <w:rPr>
          <w:color w:val="000000"/>
          <w:lang w:val="en-US"/>
        </w:rPr>
        <w:t xml:space="preserve"> market engagement </w:t>
      </w:r>
      <w:r>
        <w:rPr>
          <w:color w:val="000000"/>
          <w:lang w:val="en-US"/>
        </w:rPr>
        <w:t xml:space="preserve">where such activities are time consuming. For example, </w:t>
      </w:r>
      <w:r>
        <w:t>Stephens (2010) found that for males, having attended a cultural event was</w:t>
      </w:r>
      <w:r w:rsidR="00A553BF">
        <w:t xml:space="preserve"> negatively</w:t>
      </w:r>
      <w:r>
        <w:t xml:space="preserve"> associated with </w:t>
      </w:r>
      <w:r w:rsidR="00A553BF">
        <w:t xml:space="preserve">the probability of employment. </w:t>
      </w:r>
      <w:r w:rsidR="00045783" w:rsidRPr="0057248A">
        <w:t xml:space="preserve">Importantly, </w:t>
      </w:r>
      <w:r w:rsidR="004F67E2">
        <w:t>he</w:t>
      </w:r>
      <w:r w:rsidR="00045783" w:rsidRPr="0057248A">
        <w:t xml:space="preserve"> noted that the </w:t>
      </w:r>
      <w:r>
        <w:t>association between LMO</w:t>
      </w:r>
      <w:r w:rsidR="007F7D3C">
        <w:t>s</w:t>
      </w:r>
      <w:r>
        <w:t xml:space="preserve"> and</w:t>
      </w:r>
      <w:r w:rsidR="00045783" w:rsidRPr="0057248A">
        <w:t xml:space="preserve"> variables such </w:t>
      </w:r>
      <w:r w:rsidR="00BB4476">
        <w:t xml:space="preserve">as </w:t>
      </w:r>
      <w:r w:rsidR="00045783" w:rsidRPr="0057248A">
        <w:t>cultural participation might be inflated because of a high degree of unmeasured correlation with remoteness.</w:t>
      </w:r>
      <w:r w:rsidR="00A553BF">
        <w:t xml:space="preserve"> </w:t>
      </w:r>
      <w:r w:rsidR="00EF70CF">
        <w:t xml:space="preserve">Hunter and </w:t>
      </w:r>
      <w:proofErr w:type="spellStart"/>
      <w:r w:rsidR="00EF70CF">
        <w:t>Gray</w:t>
      </w:r>
      <w:proofErr w:type="spellEnd"/>
      <w:r w:rsidR="00EF70CF">
        <w:t xml:space="preserve"> (1999) fou</w:t>
      </w:r>
      <w:r w:rsidR="00A553BF">
        <w:t>nd that participation in volunteer work increased the probability of non-CDEP employment for both Indigenous men and women.</w:t>
      </w:r>
    </w:p>
    <w:p w14:paraId="3999AC52" w14:textId="6D1153F5" w:rsidR="000267E9" w:rsidRDefault="00F425E6" w:rsidP="000267E9">
      <w:pPr>
        <w:pStyle w:val="Heading2"/>
      </w:pPr>
      <w:r>
        <w:t>4.</w:t>
      </w:r>
      <w:r w:rsidR="002C62E2">
        <w:rPr>
          <w:noProof/>
        </w:rPr>
        <w:t>3</w:t>
      </w:r>
      <w:r>
        <w:tab/>
      </w:r>
      <w:r w:rsidR="000267E9">
        <w:t>Some d</w:t>
      </w:r>
      <w:r w:rsidR="000267E9" w:rsidRPr="002E6E15">
        <w:t>ata limitations</w:t>
      </w:r>
      <w:r w:rsidR="000267E9">
        <w:t xml:space="preserve"> </w:t>
      </w:r>
    </w:p>
    <w:p w14:paraId="5774A971" w14:textId="35464722" w:rsidR="000267E9" w:rsidRPr="00390848" w:rsidRDefault="00D40475" w:rsidP="000267E9">
      <w:pPr>
        <w:pStyle w:val="BodyText"/>
      </w:pPr>
      <w:r>
        <w:t xml:space="preserve">While the NATSISS is a rich source of data on </w:t>
      </w:r>
      <w:r w:rsidR="00F425E6">
        <w:t xml:space="preserve">the characteristics of </w:t>
      </w:r>
      <w:r>
        <w:t>Indigenous people, it has limitations, which constrain</w:t>
      </w:r>
      <w:r w:rsidR="00F425E6">
        <w:t xml:space="preserve"> the explanatory power of</w:t>
      </w:r>
      <w:r>
        <w:t xml:space="preserve"> the analysis and introduce some possible data measurement errors. </w:t>
      </w:r>
    </w:p>
    <w:p w14:paraId="31954438" w14:textId="77777777" w:rsidR="00F425E6" w:rsidRPr="005E7A5E" w:rsidRDefault="00F425E6" w:rsidP="00F425E6">
      <w:pPr>
        <w:pStyle w:val="BodyText"/>
      </w:pPr>
      <w:r w:rsidRPr="005E7A5E">
        <w:t xml:space="preserve">Labour demand is an important determinant of LMOs, but the NATSISS does not have many variables that can be used as reasonable proxies. This study includes variables related to geographic location which can be considered proxies for labour demand. Remoteness is one such indicator, but this is a poor proxy because it can be </w:t>
      </w:r>
      <w:r w:rsidRPr="005E7A5E">
        <w:lastRenderedPageBreak/>
        <w:t xml:space="preserve">argued that some people live in non-remote areas where there is weak demand for labour (or for particular skills or occupations). </w:t>
      </w:r>
    </w:p>
    <w:p w14:paraId="4666EEF6" w14:textId="77777777" w:rsidR="006C7E2B" w:rsidRDefault="00F425E6" w:rsidP="000267E9">
      <w:pPr>
        <w:pStyle w:val="BodyText"/>
      </w:pPr>
      <w:r>
        <w:t xml:space="preserve">The SEIFA index </w:t>
      </w:r>
      <w:r w:rsidR="000267E9">
        <w:t>is a measure of the relative disadvantage of the collection district the household is located</w:t>
      </w:r>
      <w:r w:rsidR="00196A65">
        <w:t xml:space="preserve"> in</w:t>
      </w:r>
      <w:r w:rsidR="000267E9">
        <w:t>. This index is derived using a number of variables, including the number of Indigenous people living in the area</w:t>
      </w:r>
      <w:r>
        <w:t xml:space="preserve"> which may </w:t>
      </w:r>
      <w:r w:rsidR="006C7E2B">
        <w:t>in themselves be the result of</w:t>
      </w:r>
      <w:r>
        <w:t xml:space="preserve"> employment outcomes</w:t>
      </w:r>
      <w:r w:rsidR="006C7E2B" w:rsidRPr="006C7E2B">
        <w:t xml:space="preserve"> </w:t>
      </w:r>
      <w:r w:rsidR="006C7E2B">
        <w:t xml:space="preserve">and therefore may introduce a degree of </w:t>
      </w:r>
      <w:proofErr w:type="spellStart"/>
      <w:r w:rsidR="006C7E2B">
        <w:t>endogeneity</w:t>
      </w:r>
      <w:proofErr w:type="spellEnd"/>
      <w:r w:rsidR="006C7E2B">
        <w:t xml:space="preserve"> bias in the model estimates</w:t>
      </w:r>
      <w:r w:rsidR="000267E9">
        <w:t xml:space="preserve">. </w:t>
      </w:r>
    </w:p>
    <w:p w14:paraId="75EA2C4E" w14:textId="1517905D" w:rsidR="000267E9" w:rsidRDefault="000267E9" w:rsidP="000267E9">
      <w:pPr>
        <w:pStyle w:val="BodyText"/>
      </w:pPr>
      <w:r>
        <w:t>Another limitation of the data is the lack of a variable representing the number of dependent children a respondent has. The number of dependent children used in the analysis was derived using variables including household type, family composition</w:t>
      </w:r>
      <w:r w:rsidR="00F425E6">
        <w:t xml:space="preserve"> and relationships in</w:t>
      </w:r>
      <w:r>
        <w:t xml:space="preserve"> households, and number of people aged 0 to 14 in the household. Because it is difficult </w:t>
      </w:r>
      <w:r w:rsidR="00245C09">
        <w:t xml:space="preserve">to </w:t>
      </w:r>
      <w:r>
        <w:t>determine from the data who are parents in multifamily households, and because the NATSISS variable had an upper bound of five children, the estimate of the number of dependent children is likely to be an underestimate.</w:t>
      </w:r>
    </w:p>
    <w:p w14:paraId="33B29D7B" w14:textId="77777777" w:rsidR="000267E9" w:rsidRPr="005E7A5E" w:rsidRDefault="000267E9" w:rsidP="005E7A5E">
      <w:pPr>
        <w:pStyle w:val="BodyText"/>
      </w:pPr>
      <w:r w:rsidRPr="005E7A5E">
        <w:t xml:space="preserve">In a perfect world, survey data would contain information on innate ability, motivation, and preferences which theory suggests are important determinants of labour market outcomes; but in practice these attributes are difficult to measure. The NATSISS contains some information on characteristics that might be correlated with these unobservable attributes. This means that models can include </w:t>
      </w:r>
      <w:r w:rsidR="001B2825" w:rsidRPr="005E7A5E">
        <w:t xml:space="preserve">only </w:t>
      </w:r>
      <w:r w:rsidRPr="005E7A5E">
        <w:t xml:space="preserve">proxies for these characteristics. </w:t>
      </w:r>
    </w:p>
    <w:sectPr w:rsidR="000267E9" w:rsidRPr="005E7A5E" w:rsidSect="003823F5">
      <w:headerReference w:type="even" r:id="rId9"/>
      <w:headerReference w:type="default" r:id="rId10"/>
      <w:footerReference w:type="even" r:id="rId11"/>
      <w:footerReference w:type="default" r:id="rId12"/>
      <w:pgSz w:w="11907" w:h="16840" w:code="9"/>
      <w:pgMar w:top="1985" w:right="1304" w:bottom="1418" w:left="1814" w:header="1701" w:footer="567" w:gutter="0"/>
      <w:pgNumType w:start="31"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FDA817" w14:textId="77777777" w:rsidR="000C4E59" w:rsidRDefault="000C4E59">
      <w:r>
        <w:separator/>
      </w:r>
    </w:p>
  </w:endnote>
  <w:endnote w:type="continuationSeparator" w:id="0">
    <w:p w14:paraId="1642B8D3" w14:textId="77777777" w:rsidR="000C4E59" w:rsidRDefault="000C4E59">
      <w:r>
        <w:continuationSeparator/>
      </w:r>
    </w:p>
  </w:endnote>
  <w:endnote w:type="continuationNotice" w:id="1">
    <w:p w14:paraId="3AFD1082" w14:textId="77777777" w:rsidR="000C4E59" w:rsidRDefault="000C4E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8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0C4E59" w14:paraId="39E15A99" w14:textId="77777777" w:rsidTr="0019293B">
      <w:trPr>
        <w:trHeight w:hRule="exact" w:val="740"/>
      </w:trPr>
      <w:tc>
        <w:tcPr>
          <w:tcW w:w="510" w:type="dxa"/>
          <w:tcBorders>
            <w:top w:val="single" w:sz="6" w:space="0" w:color="auto"/>
          </w:tcBorders>
        </w:tcPr>
        <w:p w14:paraId="67241D1E" w14:textId="77777777" w:rsidR="000C4E59" w:rsidRDefault="000C4E59"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DC53AB">
            <w:rPr>
              <w:rStyle w:val="PageNumber"/>
              <w:noProof/>
            </w:rPr>
            <w:t>44</w:t>
          </w:r>
          <w:r>
            <w:rPr>
              <w:rStyle w:val="PageNumber"/>
            </w:rPr>
            <w:fldChar w:fldCharType="end"/>
          </w:r>
        </w:p>
      </w:tc>
      <w:tc>
        <w:tcPr>
          <w:tcW w:w="1644" w:type="dxa"/>
          <w:tcBorders>
            <w:top w:val="single" w:sz="6" w:space="0" w:color="auto"/>
          </w:tcBorders>
        </w:tcPr>
        <w:p w14:paraId="6F7DFF2F" w14:textId="6A6EED96" w:rsidR="000C4E59" w:rsidRDefault="0064769D" w:rsidP="00E01CA0">
          <w:pPr>
            <w:pStyle w:val="Footer"/>
          </w:pPr>
          <w:r>
            <w:t>INFLUENCES ON</w:t>
          </w:r>
          <w:r w:rsidR="005E4B67">
            <w:t xml:space="preserve"> indigenous labour market outcomes</w:t>
          </w:r>
        </w:p>
      </w:tc>
      <w:tc>
        <w:tcPr>
          <w:tcW w:w="6634" w:type="dxa"/>
        </w:tcPr>
        <w:p w14:paraId="4FB3A582" w14:textId="193DD44D" w:rsidR="000C4E59" w:rsidRDefault="000C4E59" w:rsidP="0019293B">
          <w:pPr>
            <w:pStyle w:val="Footer"/>
          </w:pPr>
        </w:p>
      </w:tc>
    </w:tr>
  </w:tbl>
  <w:p w14:paraId="155D686A" w14:textId="77777777" w:rsidR="000C4E59" w:rsidRDefault="000C4E59"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0C4E59" w14:paraId="0ACB5A3B" w14:textId="77777777">
      <w:trPr>
        <w:trHeight w:hRule="exact" w:val="740"/>
      </w:trPr>
      <w:tc>
        <w:tcPr>
          <w:tcW w:w="6634" w:type="dxa"/>
        </w:tcPr>
        <w:p w14:paraId="0A01B97E" w14:textId="74065DD8" w:rsidR="000C4E59" w:rsidRDefault="000C4E59">
          <w:pPr>
            <w:pStyle w:val="Footer"/>
            <w:ind w:right="360" w:firstLine="360"/>
          </w:pPr>
        </w:p>
      </w:tc>
      <w:tc>
        <w:tcPr>
          <w:tcW w:w="1644" w:type="dxa"/>
          <w:tcBorders>
            <w:top w:val="single" w:sz="6" w:space="0" w:color="auto"/>
          </w:tcBorders>
        </w:tcPr>
        <w:p w14:paraId="7F35DCAE" w14:textId="77777777" w:rsidR="000C4E59" w:rsidRDefault="005E4B67">
          <w:pPr>
            <w:pStyle w:val="Footer"/>
          </w:pPr>
          <w:fldSimple w:instr=" TITLE  \* MERGEFORMAT ">
            <w:r w:rsidR="00DC53AB">
              <w:t>Data and variables</w:t>
            </w:r>
          </w:fldSimple>
        </w:p>
      </w:tc>
      <w:tc>
        <w:tcPr>
          <w:tcW w:w="510" w:type="dxa"/>
          <w:tcBorders>
            <w:top w:val="single" w:sz="6" w:space="0" w:color="auto"/>
          </w:tcBorders>
        </w:tcPr>
        <w:p w14:paraId="505FEB1B" w14:textId="77777777" w:rsidR="000C4E59" w:rsidRDefault="000C4E59">
          <w:pPr>
            <w:pStyle w:val="Footer"/>
            <w:jc w:val="right"/>
          </w:pPr>
          <w:r>
            <w:rPr>
              <w:rStyle w:val="PageNumber"/>
            </w:rPr>
            <w:fldChar w:fldCharType="begin"/>
          </w:r>
          <w:r>
            <w:rPr>
              <w:rStyle w:val="PageNumber"/>
            </w:rPr>
            <w:instrText xml:space="preserve">PAGE  </w:instrText>
          </w:r>
          <w:r>
            <w:rPr>
              <w:rStyle w:val="PageNumber"/>
            </w:rPr>
            <w:fldChar w:fldCharType="separate"/>
          </w:r>
          <w:r w:rsidR="00DC53AB">
            <w:rPr>
              <w:rStyle w:val="PageNumber"/>
              <w:noProof/>
            </w:rPr>
            <w:t>43</w:t>
          </w:r>
          <w:r>
            <w:rPr>
              <w:rStyle w:val="PageNumber"/>
            </w:rPr>
            <w:fldChar w:fldCharType="end"/>
          </w:r>
        </w:p>
      </w:tc>
    </w:tr>
  </w:tbl>
  <w:p w14:paraId="365140BB" w14:textId="77777777" w:rsidR="000C4E59" w:rsidRDefault="000C4E59">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C80B2A" w14:textId="77777777" w:rsidR="000C4E59" w:rsidRDefault="000C4E59">
      <w:r>
        <w:separator/>
      </w:r>
    </w:p>
  </w:footnote>
  <w:footnote w:type="continuationSeparator" w:id="0">
    <w:p w14:paraId="0F292D7F" w14:textId="77777777" w:rsidR="000C4E59" w:rsidRDefault="000C4E59">
      <w:r>
        <w:continuationSeparator/>
      </w:r>
    </w:p>
  </w:footnote>
  <w:footnote w:type="continuationNotice" w:id="1">
    <w:p w14:paraId="68B59DF6" w14:textId="77777777" w:rsidR="000C4E59" w:rsidRDefault="000C4E59"/>
  </w:footnote>
  <w:footnote w:id="2">
    <w:p w14:paraId="2E2CC334" w14:textId="4DB550BD" w:rsidR="000C4E59" w:rsidRDefault="000C4E59">
      <w:pPr>
        <w:pStyle w:val="FootnoteText"/>
      </w:pPr>
      <w:r>
        <w:rPr>
          <w:rStyle w:val="FootnoteReference"/>
        </w:rPr>
        <w:footnoteRef/>
      </w:r>
      <w:r>
        <w:t xml:space="preserve"> The dataset that was available at the time this study was undertaken only had a binary indicator of remoteness. Another dataset has since become available with five classifications of remoteness (major cities, inner regional, outer regional, remote and very remote).</w:t>
      </w:r>
    </w:p>
  </w:footnote>
  <w:footnote w:id="3">
    <w:p w14:paraId="78ED2D58" w14:textId="154BB66A" w:rsidR="000C4E59" w:rsidRDefault="000C4E59">
      <w:pPr>
        <w:pStyle w:val="FootnoteText"/>
      </w:pPr>
      <w:r>
        <w:rPr>
          <w:rStyle w:val="FootnoteReference"/>
        </w:rPr>
        <w:footnoteRef/>
      </w:r>
      <w:r>
        <w:t xml:space="preserve"> Some people who live in non-remote areas may report that they live in their homelands if the place they live in is part of their traditional country, even though much of it is likely to be owned or occupied by non-Indigenous people. Indigenous people who live in remote areas were more likely to report that they lived in their homelands than those who lived in non-remote areas (SCRGSP 2011).</w:t>
      </w:r>
    </w:p>
  </w:footnote>
  <w:footnote w:id="4">
    <w:p w14:paraId="0649718B" w14:textId="77777777" w:rsidR="000C4E59" w:rsidRDefault="000C4E59" w:rsidP="00F14C19">
      <w:pPr>
        <w:pStyle w:val="FootnoteText"/>
      </w:pPr>
      <w:r>
        <w:rPr>
          <w:rStyle w:val="FootnoteReference"/>
        </w:rPr>
        <w:footnoteRef/>
      </w:r>
      <w:r>
        <w:t xml:space="preserve"> See table A.1 for definitions.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0C4E59" w14:paraId="5CDD22AD" w14:textId="77777777" w:rsidTr="0019293B">
      <w:tc>
        <w:tcPr>
          <w:tcW w:w="2155" w:type="dxa"/>
          <w:tcBorders>
            <w:top w:val="single" w:sz="24" w:space="0" w:color="auto"/>
          </w:tcBorders>
        </w:tcPr>
        <w:p w14:paraId="4A959832" w14:textId="77777777" w:rsidR="000C4E59" w:rsidRDefault="000C4E59" w:rsidP="0019293B">
          <w:pPr>
            <w:pStyle w:val="HeaderEven"/>
          </w:pPr>
        </w:p>
      </w:tc>
      <w:tc>
        <w:tcPr>
          <w:tcW w:w="6634" w:type="dxa"/>
          <w:tcBorders>
            <w:top w:val="single" w:sz="6" w:space="0" w:color="auto"/>
          </w:tcBorders>
        </w:tcPr>
        <w:p w14:paraId="67FC8091" w14:textId="77777777" w:rsidR="000C4E59" w:rsidRDefault="000C4E59" w:rsidP="0019293B">
          <w:pPr>
            <w:pStyle w:val="HeaderEven"/>
          </w:pPr>
        </w:p>
      </w:tc>
    </w:tr>
  </w:tbl>
  <w:p w14:paraId="2A88252F" w14:textId="77777777" w:rsidR="000C4E59" w:rsidRDefault="000C4E59"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0C4E59" w14:paraId="1A504887" w14:textId="77777777" w:rsidTr="00E669E2">
      <w:tc>
        <w:tcPr>
          <w:tcW w:w="6634" w:type="dxa"/>
          <w:tcBorders>
            <w:top w:val="single" w:sz="6" w:space="0" w:color="auto"/>
          </w:tcBorders>
        </w:tcPr>
        <w:p w14:paraId="66A8F880" w14:textId="77777777" w:rsidR="000C4E59" w:rsidRDefault="000C4E59" w:rsidP="00E669E2">
          <w:pPr>
            <w:pStyle w:val="HeaderOdd"/>
          </w:pPr>
        </w:p>
      </w:tc>
      <w:tc>
        <w:tcPr>
          <w:tcW w:w="2155" w:type="dxa"/>
          <w:tcBorders>
            <w:top w:val="single" w:sz="24" w:space="0" w:color="auto"/>
          </w:tcBorders>
        </w:tcPr>
        <w:p w14:paraId="7B522B33" w14:textId="77777777" w:rsidR="000C4E59" w:rsidRDefault="000C4E59" w:rsidP="00E669E2">
          <w:pPr>
            <w:pStyle w:val="HeaderOdd"/>
          </w:pPr>
        </w:p>
      </w:tc>
    </w:tr>
  </w:tbl>
  <w:p w14:paraId="14FB2668" w14:textId="77777777" w:rsidR="000C4E59" w:rsidRDefault="000C4E59"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D98921A"/>
    <w:lvl w:ilvl="0">
      <w:start w:val="1"/>
      <w:numFmt w:val="decimal"/>
      <w:lvlText w:val="%1."/>
      <w:lvlJc w:val="left"/>
      <w:pPr>
        <w:tabs>
          <w:tab w:val="num" w:pos="926"/>
        </w:tabs>
        <w:ind w:left="926" w:hanging="360"/>
      </w:pPr>
    </w:lvl>
  </w:abstractNum>
  <w:abstractNum w:abstractNumId="1">
    <w:nsid w:val="FFFFFF7F"/>
    <w:multiLevelType w:val="singleLevel"/>
    <w:tmpl w:val="69042E6A"/>
    <w:lvl w:ilvl="0">
      <w:start w:val="1"/>
      <w:numFmt w:val="decimal"/>
      <w:lvlText w:val="%1."/>
      <w:lvlJc w:val="left"/>
      <w:pPr>
        <w:tabs>
          <w:tab w:val="num" w:pos="643"/>
        </w:tabs>
        <w:ind w:left="643" w:hanging="360"/>
      </w:pPr>
    </w:lvl>
  </w:abstractNum>
  <w:abstractNum w:abstractNumId="2">
    <w:nsid w:val="FFFFFF82"/>
    <w:multiLevelType w:val="singleLevel"/>
    <w:tmpl w:val="3A3A2F0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93104AE2"/>
    <w:lvl w:ilvl="0">
      <w:start w:val="1"/>
      <w:numFmt w:val="decimal"/>
      <w:lvlText w:val="%1."/>
      <w:lvlJc w:val="left"/>
      <w:pPr>
        <w:tabs>
          <w:tab w:val="num" w:pos="360"/>
        </w:tabs>
        <w:ind w:left="360" w:hanging="360"/>
      </w:pPr>
    </w:lvl>
  </w:abstractNum>
  <w:abstractNum w:abstractNumId="5">
    <w:nsid w:val="FFFFFF89"/>
    <w:multiLevelType w:val="singleLevel"/>
    <w:tmpl w:val="0F36FBA8"/>
    <w:lvl w:ilvl="0">
      <w:start w:val="1"/>
      <w:numFmt w:val="bullet"/>
      <w:lvlText w:val=""/>
      <w:lvlJc w:val="left"/>
      <w:pPr>
        <w:tabs>
          <w:tab w:val="num" w:pos="360"/>
        </w:tabs>
        <w:ind w:left="360" w:hanging="360"/>
      </w:pPr>
      <w:rPr>
        <w:rFonts w:ascii="Symbol" w:hAnsi="Symbol" w:hint="default"/>
      </w:rPr>
    </w:lvl>
  </w:abstractNum>
  <w:abstractNum w:abstractNumId="6">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nsid w:val="033F2413"/>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047A7C39"/>
    <w:multiLevelType w:val="singleLevel"/>
    <w:tmpl w:val="080ADBB6"/>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9">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10">
    <w:nsid w:val="07057F34"/>
    <w:multiLevelType w:val="singleLevel"/>
    <w:tmpl w:val="ED98921A"/>
    <w:lvl w:ilvl="0">
      <w:start w:val="1"/>
      <w:numFmt w:val="decimal"/>
      <w:lvlText w:val="%1."/>
      <w:legacy w:legacy="1" w:legacySpace="0" w:legacyIndent="340"/>
      <w:lvlJc w:val="left"/>
      <w:pPr>
        <w:ind w:left="340" w:hanging="340"/>
      </w:pPr>
    </w:lvl>
  </w:abstractNum>
  <w:abstractNum w:abstractNumId="11">
    <w:nsid w:val="07405C8A"/>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5">
    <w:nsid w:val="23FF358D"/>
    <w:multiLevelType w:val="singleLevel"/>
    <w:tmpl w:val="2278E24C"/>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6">
    <w:nsid w:val="27371796"/>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18">
    <w:nsid w:val="3712793B"/>
    <w:multiLevelType w:val="hybridMultilevel"/>
    <w:tmpl w:val="60A408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39C335C1"/>
    <w:multiLevelType w:val="multilevel"/>
    <w:tmpl w:val="7DF6C670"/>
    <w:lvl w:ilvl="0">
      <w:start w:val="1"/>
      <w:numFmt w:val="decimal"/>
      <w:lvlText w:val="%1)"/>
      <w:lvlJc w:val="left"/>
      <w:pPr>
        <w:tabs>
          <w:tab w:val="num" w:pos="1134"/>
        </w:tabs>
        <w:ind w:left="1134" w:hanging="340"/>
      </w:pPr>
      <w:rPr>
        <w:rFonts w:hint="default"/>
      </w:rPr>
    </w:lvl>
    <w:lvl w:ilvl="1">
      <w:start w:val="1"/>
      <w:numFmt w:val="lowerLetter"/>
      <w:lvlText w:val="%2)"/>
      <w:lvlJc w:val="left"/>
      <w:pPr>
        <w:tabs>
          <w:tab w:val="num" w:pos="1588"/>
        </w:tabs>
        <w:ind w:left="1588" w:hanging="454"/>
      </w:pPr>
      <w:rPr>
        <w:rFonts w:hint="default"/>
      </w:rPr>
    </w:lvl>
    <w:lvl w:ilvl="2">
      <w:start w:val="1"/>
      <w:numFmt w:val="lowerRoman"/>
      <w:lvlText w:val="%3)"/>
      <w:lvlJc w:val="left"/>
      <w:pPr>
        <w:tabs>
          <w:tab w:val="num" w:pos="2098"/>
        </w:tabs>
        <w:ind w:left="2098" w:hanging="51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0">
    <w:nsid w:val="51F74561"/>
    <w:multiLevelType w:val="singleLevel"/>
    <w:tmpl w:val="ED98921A"/>
    <w:lvl w:ilvl="0">
      <w:start w:val="1"/>
      <w:numFmt w:val="decimal"/>
      <w:lvlText w:val="%1."/>
      <w:legacy w:legacy="1" w:legacySpace="0" w:legacyIndent="340"/>
      <w:lvlJc w:val="left"/>
      <w:pPr>
        <w:ind w:left="340" w:hanging="340"/>
      </w:pPr>
    </w:lvl>
  </w:abstractNum>
  <w:abstractNum w:abstractNumId="21">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2">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3">
    <w:nsid w:val="55532592"/>
    <w:multiLevelType w:val="singleLevel"/>
    <w:tmpl w:val="AD60D3B8"/>
    <w:lvl w:ilvl="0">
      <w:start w:val="1"/>
      <w:numFmt w:val="lowerLetter"/>
      <w:lvlText w:val="(%1)"/>
      <w:legacy w:legacy="1" w:legacySpace="0" w:legacyIndent="340"/>
      <w:lvlJc w:val="left"/>
      <w:pPr>
        <w:ind w:left="680" w:hanging="340"/>
      </w:pPr>
    </w:lvl>
  </w:abstractNum>
  <w:abstractNum w:abstractNumId="24">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25">
    <w:nsid w:val="57094EF2"/>
    <w:multiLevelType w:val="hybridMultilevel"/>
    <w:tmpl w:val="A4EEF29E"/>
    <w:lvl w:ilvl="0" w:tplc="58AAC84A">
      <w:start w:val="1"/>
      <w:numFmt w:val="bullet"/>
      <w:lvlText w:val="•"/>
      <w:lvlJc w:val="left"/>
      <w:pPr>
        <w:tabs>
          <w:tab w:val="num" w:pos="720"/>
        </w:tabs>
        <w:ind w:left="720" w:hanging="360"/>
      </w:pPr>
      <w:rPr>
        <w:rFonts w:ascii="Times New Roman" w:hAnsi="Times New Roman" w:hint="default"/>
      </w:rPr>
    </w:lvl>
    <w:lvl w:ilvl="1" w:tplc="79A04D4E" w:tentative="1">
      <w:start w:val="1"/>
      <w:numFmt w:val="bullet"/>
      <w:lvlText w:val="•"/>
      <w:lvlJc w:val="left"/>
      <w:pPr>
        <w:tabs>
          <w:tab w:val="num" w:pos="1440"/>
        </w:tabs>
        <w:ind w:left="1440" w:hanging="360"/>
      </w:pPr>
      <w:rPr>
        <w:rFonts w:ascii="Times New Roman" w:hAnsi="Times New Roman" w:hint="default"/>
      </w:rPr>
    </w:lvl>
    <w:lvl w:ilvl="2" w:tplc="238AE604" w:tentative="1">
      <w:start w:val="1"/>
      <w:numFmt w:val="bullet"/>
      <w:lvlText w:val="•"/>
      <w:lvlJc w:val="left"/>
      <w:pPr>
        <w:tabs>
          <w:tab w:val="num" w:pos="2160"/>
        </w:tabs>
        <w:ind w:left="2160" w:hanging="360"/>
      </w:pPr>
      <w:rPr>
        <w:rFonts w:ascii="Times New Roman" w:hAnsi="Times New Roman" w:hint="default"/>
      </w:rPr>
    </w:lvl>
    <w:lvl w:ilvl="3" w:tplc="C19E578C" w:tentative="1">
      <w:start w:val="1"/>
      <w:numFmt w:val="bullet"/>
      <w:lvlText w:val="•"/>
      <w:lvlJc w:val="left"/>
      <w:pPr>
        <w:tabs>
          <w:tab w:val="num" w:pos="2880"/>
        </w:tabs>
        <w:ind w:left="2880" w:hanging="360"/>
      </w:pPr>
      <w:rPr>
        <w:rFonts w:ascii="Times New Roman" w:hAnsi="Times New Roman" w:hint="default"/>
      </w:rPr>
    </w:lvl>
    <w:lvl w:ilvl="4" w:tplc="0422008C" w:tentative="1">
      <w:start w:val="1"/>
      <w:numFmt w:val="bullet"/>
      <w:lvlText w:val="•"/>
      <w:lvlJc w:val="left"/>
      <w:pPr>
        <w:tabs>
          <w:tab w:val="num" w:pos="3600"/>
        </w:tabs>
        <w:ind w:left="3600" w:hanging="360"/>
      </w:pPr>
      <w:rPr>
        <w:rFonts w:ascii="Times New Roman" w:hAnsi="Times New Roman" w:hint="default"/>
      </w:rPr>
    </w:lvl>
    <w:lvl w:ilvl="5" w:tplc="524EF5A0" w:tentative="1">
      <w:start w:val="1"/>
      <w:numFmt w:val="bullet"/>
      <w:lvlText w:val="•"/>
      <w:lvlJc w:val="left"/>
      <w:pPr>
        <w:tabs>
          <w:tab w:val="num" w:pos="4320"/>
        </w:tabs>
        <w:ind w:left="4320" w:hanging="360"/>
      </w:pPr>
      <w:rPr>
        <w:rFonts w:ascii="Times New Roman" w:hAnsi="Times New Roman" w:hint="default"/>
      </w:rPr>
    </w:lvl>
    <w:lvl w:ilvl="6" w:tplc="A23EAC84" w:tentative="1">
      <w:start w:val="1"/>
      <w:numFmt w:val="bullet"/>
      <w:lvlText w:val="•"/>
      <w:lvlJc w:val="left"/>
      <w:pPr>
        <w:tabs>
          <w:tab w:val="num" w:pos="5040"/>
        </w:tabs>
        <w:ind w:left="5040" w:hanging="360"/>
      </w:pPr>
      <w:rPr>
        <w:rFonts w:ascii="Times New Roman" w:hAnsi="Times New Roman" w:hint="default"/>
      </w:rPr>
    </w:lvl>
    <w:lvl w:ilvl="7" w:tplc="E5406380" w:tentative="1">
      <w:start w:val="1"/>
      <w:numFmt w:val="bullet"/>
      <w:lvlText w:val="•"/>
      <w:lvlJc w:val="left"/>
      <w:pPr>
        <w:tabs>
          <w:tab w:val="num" w:pos="5760"/>
        </w:tabs>
        <w:ind w:left="5760" w:hanging="360"/>
      </w:pPr>
      <w:rPr>
        <w:rFonts w:ascii="Times New Roman" w:hAnsi="Times New Roman" w:hint="default"/>
      </w:rPr>
    </w:lvl>
    <w:lvl w:ilvl="8" w:tplc="882694EC" w:tentative="1">
      <w:start w:val="1"/>
      <w:numFmt w:val="bullet"/>
      <w:lvlText w:val="•"/>
      <w:lvlJc w:val="left"/>
      <w:pPr>
        <w:tabs>
          <w:tab w:val="num" w:pos="6480"/>
        </w:tabs>
        <w:ind w:left="6480" w:hanging="360"/>
      </w:pPr>
      <w:rPr>
        <w:rFonts w:ascii="Times New Roman" w:hAnsi="Times New Roman" w:hint="default"/>
      </w:rPr>
    </w:lvl>
  </w:abstractNum>
  <w:abstractNum w:abstractNumId="26">
    <w:nsid w:val="58A04AF2"/>
    <w:multiLevelType w:val="singleLevel"/>
    <w:tmpl w:val="E9806908"/>
    <w:lvl w:ilvl="0">
      <w:start w:val="1"/>
      <w:numFmt w:val="lowerRoman"/>
      <w:lvlText w:val="(%1)"/>
      <w:legacy w:legacy="1" w:legacySpace="0" w:legacyIndent="340"/>
      <w:lvlJc w:val="left"/>
      <w:pPr>
        <w:ind w:left="1134" w:hanging="340"/>
      </w:pPr>
    </w:lvl>
  </w:abstractNum>
  <w:abstractNum w:abstractNumId="27">
    <w:nsid w:val="5A096576"/>
    <w:multiLevelType w:val="singleLevel"/>
    <w:tmpl w:val="ED98921A"/>
    <w:lvl w:ilvl="0">
      <w:start w:val="1"/>
      <w:numFmt w:val="decimal"/>
      <w:lvlText w:val="%1."/>
      <w:legacy w:legacy="1" w:legacySpace="0" w:legacyIndent="340"/>
      <w:lvlJc w:val="left"/>
      <w:pPr>
        <w:ind w:left="340" w:hanging="340"/>
      </w:pPr>
    </w:lvl>
  </w:abstractNum>
  <w:abstractNum w:abstractNumId="28">
    <w:nsid w:val="5BB56A48"/>
    <w:multiLevelType w:val="multilevel"/>
    <w:tmpl w:val="6D248CEA"/>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nsid w:val="60055F7F"/>
    <w:multiLevelType w:val="singleLevel"/>
    <w:tmpl w:val="ED98921A"/>
    <w:lvl w:ilvl="0">
      <w:start w:val="1"/>
      <w:numFmt w:val="decimal"/>
      <w:lvlText w:val="%1."/>
      <w:legacy w:legacy="1" w:legacySpace="0" w:legacyIndent="340"/>
      <w:lvlJc w:val="left"/>
      <w:pPr>
        <w:ind w:left="340" w:hanging="340"/>
      </w:pPr>
    </w:lvl>
  </w:abstractNum>
  <w:abstractNum w:abstractNumId="30">
    <w:nsid w:val="608E741E"/>
    <w:multiLevelType w:val="singleLevel"/>
    <w:tmpl w:val="ED98921A"/>
    <w:lvl w:ilvl="0">
      <w:start w:val="1"/>
      <w:numFmt w:val="decimal"/>
      <w:lvlText w:val="%1."/>
      <w:legacy w:legacy="1" w:legacySpace="0" w:legacyIndent="340"/>
      <w:lvlJc w:val="left"/>
      <w:pPr>
        <w:ind w:left="340" w:hanging="340"/>
      </w:pPr>
    </w:lvl>
  </w:abstractNum>
  <w:abstractNum w:abstractNumId="31">
    <w:nsid w:val="61320C1E"/>
    <w:multiLevelType w:val="singleLevel"/>
    <w:tmpl w:val="C444122C"/>
    <w:lvl w:ilvl="0">
      <w:start w:val="1"/>
      <w:numFmt w:val="decimal"/>
      <w:lvlText w:val="%1."/>
      <w:legacy w:legacy="1" w:legacySpace="0" w:legacyIndent="284"/>
      <w:lvlJc w:val="left"/>
      <w:pPr>
        <w:ind w:left="284" w:hanging="284"/>
      </w:pPr>
    </w:lvl>
  </w:abstractNum>
  <w:abstractNum w:abstractNumId="32">
    <w:nsid w:val="627154D2"/>
    <w:multiLevelType w:val="singleLevel"/>
    <w:tmpl w:val="AD60D3B8"/>
    <w:lvl w:ilvl="0">
      <w:start w:val="1"/>
      <w:numFmt w:val="lowerLetter"/>
      <w:lvlText w:val="(%1)"/>
      <w:legacy w:legacy="1" w:legacySpace="0" w:legacyIndent="340"/>
      <w:lvlJc w:val="left"/>
      <w:pPr>
        <w:ind w:left="680" w:hanging="340"/>
      </w:pPr>
    </w:lvl>
  </w:abstractNum>
  <w:abstractNum w:abstractNumId="33">
    <w:nsid w:val="643516F3"/>
    <w:multiLevelType w:val="singleLevel"/>
    <w:tmpl w:val="96689D62"/>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34">
    <w:nsid w:val="67806EB5"/>
    <w:multiLevelType w:val="singleLevel"/>
    <w:tmpl w:val="AD60D3B8"/>
    <w:lvl w:ilvl="0">
      <w:start w:val="1"/>
      <w:numFmt w:val="lowerLetter"/>
      <w:lvlText w:val="(%1)"/>
      <w:legacy w:legacy="1" w:legacySpace="0" w:legacyIndent="340"/>
      <w:lvlJc w:val="left"/>
      <w:pPr>
        <w:ind w:left="680" w:hanging="340"/>
      </w:pPr>
    </w:lvl>
  </w:abstractNum>
  <w:abstractNum w:abstractNumId="35">
    <w:nsid w:val="707E6FEC"/>
    <w:multiLevelType w:val="singleLevel"/>
    <w:tmpl w:val="E9806908"/>
    <w:lvl w:ilvl="0">
      <w:start w:val="1"/>
      <w:numFmt w:val="lowerRoman"/>
      <w:lvlText w:val="(%1)"/>
      <w:legacy w:legacy="1" w:legacySpace="0" w:legacyIndent="340"/>
      <w:lvlJc w:val="left"/>
      <w:pPr>
        <w:ind w:left="1134" w:hanging="340"/>
      </w:pPr>
    </w:lvl>
  </w:abstractNum>
  <w:abstractNum w:abstractNumId="36">
    <w:nsid w:val="746E6DCF"/>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nsid w:val="74E25280"/>
    <w:multiLevelType w:val="singleLevel"/>
    <w:tmpl w:val="AD60D3B8"/>
    <w:lvl w:ilvl="0">
      <w:start w:val="1"/>
      <w:numFmt w:val="lowerLetter"/>
      <w:lvlText w:val="(%1)"/>
      <w:legacy w:legacy="1" w:legacySpace="0" w:legacyIndent="340"/>
      <w:lvlJc w:val="left"/>
      <w:pPr>
        <w:ind w:left="680" w:hanging="340"/>
      </w:pPr>
    </w:lvl>
  </w:abstractNum>
  <w:abstractNum w:abstractNumId="38">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39">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abstractNum w:abstractNumId="40">
    <w:nsid w:val="7F5B19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7"/>
  </w:num>
  <w:num w:numId="2">
    <w:abstractNumId w:val="9"/>
  </w:num>
  <w:num w:numId="3">
    <w:abstractNumId w:val="38"/>
  </w:num>
  <w:num w:numId="4">
    <w:abstractNumId w:val="6"/>
  </w:num>
  <w:num w:numId="5">
    <w:abstractNumId w:val="5"/>
  </w:num>
  <w:num w:numId="6">
    <w:abstractNumId w:val="21"/>
  </w:num>
  <w:num w:numId="7">
    <w:abstractNumId w:val="3"/>
  </w:num>
  <w:num w:numId="8">
    <w:abstractNumId w:val="8"/>
  </w:num>
  <w:num w:numId="9">
    <w:abstractNumId w:val="2"/>
  </w:num>
  <w:num w:numId="10">
    <w:abstractNumId w:val="33"/>
  </w:num>
  <w:num w:numId="11">
    <w:abstractNumId w:val="4"/>
  </w:num>
  <w:num w:numId="12">
    <w:abstractNumId w:val="1"/>
  </w:num>
  <w:num w:numId="13">
    <w:abstractNumId w:val="0"/>
  </w:num>
  <w:num w:numId="14">
    <w:abstractNumId w:val="24"/>
  </w:num>
  <w:num w:numId="15">
    <w:abstractNumId w:val="39"/>
  </w:num>
  <w:num w:numId="16">
    <w:abstractNumId w:val="15"/>
  </w:num>
  <w:num w:numId="17">
    <w:abstractNumId w:val="14"/>
  </w:num>
  <w:num w:numId="18">
    <w:abstractNumId w:val="22"/>
  </w:num>
  <w:num w:numId="19">
    <w:abstractNumId w:val="10"/>
  </w:num>
  <w:num w:numId="20">
    <w:abstractNumId w:val="30"/>
  </w:num>
  <w:num w:numId="21">
    <w:abstractNumId w:val="32"/>
  </w:num>
  <w:num w:numId="22">
    <w:abstractNumId w:val="20"/>
  </w:num>
  <w:num w:numId="23">
    <w:abstractNumId w:val="23"/>
  </w:num>
  <w:num w:numId="24">
    <w:abstractNumId w:val="26"/>
  </w:num>
  <w:num w:numId="25">
    <w:abstractNumId w:val="37"/>
  </w:num>
  <w:num w:numId="26">
    <w:abstractNumId w:val="29"/>
  </w:num>
  <w:num w:numId="27">
    <w:abstractNumId w:val="34"/>
  </w:num>
  <w:num w:numId="28">
    <w:abstractNumId w:val="35"/>
  </w:num>
  <w:num w:numId="29">
    <w:abstractNumId w:val="27"/>
  </w:num>
  <w:num w:numId="30">
    <w:abstractNumId w:val="19"/>
  </w:num>
  <w:num w:numId="31">
    <w:abstractNumId w:val="40"/>
  </w:num>
  <w:num w:numId="32">
    <w:abstractNumId w:val="13"/>
  </w:num>
  <w:num w:numId="33">
    <w:abstractNumId w:val="7"/>
  </w:num>
  <w:num w:numId="34">
    <w:abstractNumId w:val="16"/>
  </w:num>
  <w:num w:numId="35">
    <w:abstractNumId w:val="36"/>
  </w:num>
  <w:num w:numId="36">
    <w:abstractNumId w:val="28"/>
  </w:num>
  <w:num w:numId="37">
    <w:abstractNumId w:val="11"/>
  </w:num>
  <w:num w:numId="38">
    <w:abstractNumId w:val="31"/>
  </w:num>
  <w:num w:numId="39">
    <w:abstractNumId w:val="12"/>
  </w:num>
  <w:num w:numId="40">
    <w:abstractNumId w:val="15"/>
  </w:num>
  <w:num w:numId="41">
    <w:abstractNumId w:val="25"/>
  </w:num>
  <w:num w:numId="42">
    <w:abstractNumId w:val="21"/>
  </w:num>
  <w:num w:numId="43">
    <w:abstractNumId w:val="21"/>
  </w:num>
  <w:num w:numId="44">
    <w:abstractNumId w:val="21"/>
  </w:num>
  <w:num w:numId="45">
    <w:abstractNumId w:val="18"/>
  </w:num>
  <w:num w:numId="46">
    <w:abstractNumId w:val="21"/>
  </w:num>
  <w:num w:numId="47">
    <w:abstractNumId w:val="21"/>
  </w:num>
  <w:num w:numId="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lickAndTypeStyle w:val="BodyText"/>
  <w:evenAndOddHeaders/>
  <w:characterSpacingControl w:val="doNotCompress"/>
  <w:hdrShapeDefaults>
    <o:shapedefaults v:ext="edit" spidmax="45057"/>
  </w:hdrShapeDefaults>
  <w:footnotePr>
    <w:footnote w:id="-1"/>
    <w:footnote w:id="0"/>
    <w:footnote w:id="1"/>
  </w:footnotePr>
  <w:endnotePr>
    <w:endnote w:id="-1"/>
    <w:endnote w:id="0"/>
    <w:endnote w:id="1"/>
  </w:endnotePr>
  <w:compat>
    <w:swapBordersFacingPages/>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docVars>
    <w:docVar w:name="FindingOptions" w:val="1"/>
    <w:docVar w:name="RecOptions" w:val="111"/>
    <w:docVar w:name="ShortChapterTitle" w:val="Data and variables"/>
    <w:docVar w:name="ShortReportTitle" w:val="determinants of indigenous labour market outcomes"/>
  </w:docVars>
  <w:rsids>
    <w:rsidRoot w:val="003F413F"/>
    <w:rsid w:val="000032E2"/>
    <w:rsid w:val="00016BD9"/>
    <w:rsid w:val="000267E9"/>
    <w:rsid w:val="00027C16"/>
    <w:rsid w:val="00035E8E"/>
    <w:rsid w:val="0003664B"/>
    <w:rsid w:val="0004111F"/>
    <w:rsid w:val="00045783"/>
    <w:rsid w:val="00052ABA"/>
    <w:rsid w:val="00055ED7"/>
    <w:rsid w:val="00062014"/>
    <w:rsid w:val="00064974"/>
    <w:rsid w:val="00065B63"/>
    <w:rsid w:val="0007150B"/>
    <w:rsid w:val="0007279D"/>
    <w:rsid w:val="0008152A"/>
    <w:rsid w:val="00085D4B"/>
    <w:rsid w:val="00087696"/>
    <w:rsid w:val="00087755"/>
    <w:rsid w:val="0009107E"/>
    <w:rsid w:val="00091329"/>
    <w:rsid w:val="000938F5"/>
    <w:rsid w:val="00093F48"/>
    <w:rsid w:val="00097D96"/>
    <w:rsid w:val="000A249C"/>
    <w:rsid w:val="000B601B"/>
    <w:rsid w:val="000B63FD"/>
    <w:rsid w:val="000B69C7"/>
    <w:rsid w:val="000C207E"/>
    <w:rsid w:val="000C4E59"/>
    <w:rsid w:val="000C6809"/>
    <w:rsid w:val="000D4AF2"/>
    <w:rsid w:val="000D5F20"/>
    <w:rsid w:val="000E079A"/>
    <w:rsid w:val="000E60CE"/>
    <w:rsid w:val="000F6EAF"/>
    <w:rsid w:val="001017E2"/>
    <w:rsid w:val="00103F6B"/>
    <w:rsid w:val="00110116"/>
    <w:rsid w:val="00116BEB"/>
    <w:rsid w:val="00116E47"/>
    <w:rsid w:val="00120698"/>
    <w:rsid w:val="00126EB8"/>
    <w:rsid w:val="001309CA"/>
    <w:rsid w:val="001348B6"/>
    <w:rsid w:val="001363AA"/>
    <w:rsid w:val="00137860"/>
    <w:rsid w:val="0014489B"/>
    <w:rsid w:val="00145048"/>
    <w:rsid w:val="00147D74"/>
    <w:rsid w:val="00151AE1"/>
    <w:rsid w:val="001579D2"/>
    <w:rsid w:val="00167FEE"/>
    <w:rsid w:val="00171ECB"/>
    <w:rsid w:val="00175CA7"/>
    <w:rsid w:val="00190C92"/>
    <w:rsid w:val="0019293B"/>
    <w:rsid w:val="00193751"/>
    <w:rsid w:val="00194DB1"/>
    <w:rsid w:val="00196A65"/>
    <w:rsid w:val="00196FA0"/>
    <w:rsid w:val="001A53A1"/>
    <w:rsid w:val="001B2825"/>
    <w:rsid w:val="001B5920"/>
    <w:rsid w:val="001C03B2"/>
    <w:rsid w:val="001C0865"/>
    <w:rsid w:val="001C153D"/>
    <w:rsid w:val="001C3ABA"/>
    <w:rsid w:val="001C7832"/>
    <w:rsid w:val="001D3F39"/>
    <w:rsid w:val="001E0BF6"/>
    <w:rsid w:val="001E1694"/>
    <w:rsid w:val="001E7BE8"/>
    <w:rsid w:val="001F0248"/>
    <w:rsid w:val="002028AC"/>
    <w:rsid w:val="00202C2C"/>
    <w:rsid w:val="0021118C"/>
    <w:rsid w:val="0021238A"/>
    <w:rsid w:val="00214E37"/>
    <w:rsid w:val="00221406"/>
    <w:rsid w:val="00224E01"/>
    <w:rsid w:val="00227BC3"/>
    <w:rsid w:val="002320FE"/>
    <w:rsid w:val="002346A9"/>
    <w:rsid w:val="00235F81"/>
    <w:rsid w:val="00240018"/>
    <w:rsid w:val="00242279"/>
    <w:rsid w:val="00245C09"/>
    <w:rsid w:val="0024754D"/>
    <w:rsid w:val="00256900"/>
    <w:rsid w:val="00256BEA"/>
    <w:rsid w:val="002579BB"/>
    <w:rsid w:val="00257C81"/>
    <w:rsid w:val="002627ED"/>
    <w:rsid w:val="002748B7"/>
    <w:rsid w:val="0028518A"/>
    <w:rsid w:val="00286ACC"/>
    <w:rsid w:val="00291B40"/>
    <w:rsid w:val="00293BCF"/>
    <w:rsid w:val="00294E90"/>
    <w:rsid w:val="00297BD7"/>
    <w:rsid w:val="002A0222"/>
    <w:rsid w:val="002A1014"/>
    <w:rsid w:val="002A26B9"/>
    <w:rsid w:val="002A4CF6"/>
    <w:rsid w:val="002A7FA3"/>
    <w:rsid w:val="002B2A59"/>
    <w:rsid w:val="002B4008"/>
    <w:rsid w:val="002B582D"/>
    <w:rsid w:val="002C50CD"/>
    <w:rsid w:val="002C62E2"/>
    <w:rsid w:val="002D0E8E"/>
    <w:rsid w:val="002D22E5"/>
    <w:rsid w:val="002D6188"/>
    <w:rsid w:val="002D7168"/>
    <w:rsid w:val="002E1F72"/>
    <w:rsid w:val="002E6E15"/>
    <w:rsid w:val="00300D92"/>
    <w:rsid w:val="00301189"/>
    <w:rsid w:val="003061F8"/>
    <w:rsid w:val="00310419"/>
    <w:rsid w:val="00314D38"/>
    <w:rsid w:val="00323E09"/>
    <w:rsid w:val="00327FC6"/>
    <w:rsid w:val="00332188"/>
    <w:rsid w:val="00333932"/>
    <w:rsid w:val="00334480"/>
    <w:rsid w:val="00346851"/>
    <w:rsid w:val="003518AA"/>
    <w:rsid w:val="00353182"/>
    <w:rsid w:val="003549CC"/>
    <w:rsid w:val="00356473"/>
    <w:rsid w:val="003602E1"/>
    <w:rsid w:val="00364F46"/>
    <w:rsid w:val="0036514B"/>
    <w:rsid w:val="003659EF"/>
    <w:rsid w:val="00371240"/>
    <w:rsid w:val="00371F8B"/>
    <w:rsid w:val="0037295C"/>
    <w:rsid w:val="00372FE7"/>
    <w:rsid w:val="00374731"/>
    <w:rsid w:val="003768F2"/>
    <w:rsid w:val="00376C2D"/>
    <w:rsid w:val="00377E85"/>
    <w:rsid w:val="003823F5"/>
    <w:rsid w:val="00385144"/>
    <w:rsid w:val="00390848"/>
    <w:rsid w:val="003A0C0A"/>
    <w:rsid w:val="003C38B5"/>
    <w:rsid w:val="003C5D99"/>
    <w:rsid w:val="003D2443"/>
    <w:rsid w:val="003D5872"/>
    <w:rsid w:val="003D7BB4"/>
    <w:rsid w:val="003E21ED"/>
    <w:rsid w:val="003F0789"/>
    <w:rsid w:val="003F3499"/>
    <w:rsid w:val="003F413F"/>
    <w:rsid w:val="00401882"/>
    <w:rsid w:val="004039C3"/>
    <w:rsid w:val="004100C8"/>
    <w:rsid w:val="00412ACE"/>
    <w:rsid w:val="00420846"/>
    <w:rsid w:val="0042466F"/>
    <w:rsid w:val="00426482"/>
    <w:rsid w:val="00431249"/>
    <w:rsid w:val="00434C19"/>
    <w:rsid w:val="00441E27"/>
    <w:rsid w:val="00450810"/>
    <w:rsid w:val="00451605"/>
    <w:rsid w:val="004571E5"/>
    <w:rsid w:val="00457E31"/>
    <w:rsid w:val="004624C3"/>
    <w:rsid w:val="00466ADA"/>
    <w:rsid w:val="00477144"/>
    <w:rsid w:val="00481050"/>
    <w:rsid w:val="00481F29"/>
    <w:rsid w:val="00484599"/>
    <w:rsid w:val="00493929"/>
    <w:rsid w:val="00493DF0"/>
    <w:rsid w:val="0049459F"/>
    <w:rsid w:val="0049579C"/>
    <w:rsid w:val="004A5257"/>
    <w:rsid w:val="004B43AE"/>
    <w:rsid w:val="004B51C0"/>
    <w:rsid w:val="004B5310"/>
    <w:rsid w:val="004C30ED"/>
    <w:rsid w:val="004C401B"/>
    <w:rsid w:val="004C46E3"/>
    <w:rsid w:val="004C6B3F"/>
    <w:rsid w:val="004D4F8A"/>
    <w:rsid w:val="004E3326"/>
    <w:rsid w:val="004E7936"/>
    <w:rsid w:val="004E7F8A"/>
    <w:rsid w:val="004F27EB"/>
    <w:rsid w:val="004F4068"/>
    <w:rsid w:val="004F67E2"/>
    <w:rsid w:val="00501862"/>
    <w:rsid w:val="005018B7"/>
    <w:rsid w:val="00507900"/>
    <w:rsid w:val="00514698"/>
    <w:rsid w:val="00521371"/>
    <w:rsid w:val="00521AE6"/>
    <w:rsid w:val="00523639"/>
    <w:rsid w:val="0052744D"/>
    <w:rsid w:val="0053325B"/>
    <w:rsid w:val="00533A72"/>
    <w:rsid w:val="00541FA8"/>
    <w:rsid w:val="005446D4"/>
    <w:rsid w:val="00554479"/>
    <w:rsid w:val="00556C1F"/>
    <w:rsid w:val="00560216"/>
    <w:rsid w:val="00561560"/>
    <w:rsid w:val="0057024B"/>
    <w:rsid w:val="0057248A"/>
    <w:rsid w:val="00576870"/>
    <w:rsid w:val="00583C39"/>
    <w:rsid w:val="005906B1"/>
    <w:rsid w:val="005909CF"/>
    <w:rsid w:val="00591E71"/>
    <w:rsid w:val="00593A98"/>
    <w:rsid w:val="00596145"/>
    <w:rsid w:val="005B6944"/>
    <w:rsid w:val="005B733A"/>
    <w:rsid w:val="005B7CC9"/>
    <w:rsid w:val="005C2BB2"/>
    <w:rsid w:val="005D623E"/>
    <w:rsid w:val="005D6539"/>
    <w:rsid w:val="005E12B9"/>
    <w:rsid w:val="005E2A21"/>
    <w:rsid w:val="005E4B67"/>
    <w:rsid w:val="005E5F48"/>
    <w:rsid w:val="005E6A59"/>
    <w:rsid w:val="005E7A5E"/>
    <w:rsid w:val="005F37BD"/>
    <w:rsid w:val="00607412"/>
    <w:rsid w:val="00607BF1"/>
    <w:rsid w:val="0061500C"/>
    <w:rsid w:val="00615AC3"/>
    <w:rsid w:val="00616DFD"/>
    <w:rsid w:val="00624813"/>
    <w:rsid w:val="00630D4D"/>
    <w:rsid w:val="00630EF7"/>
    <w:rsid w:val="0063138B"/>
    <w:rsid w:val="00632A74"/>
    <w:rsid w:val="00634DD1"/>
    <w:rsid w:val="0064769D"/>
    <w:rsid w:val="00651ECA"/>
    <w:rsid w:val="006526A6"/>
    <w:rsid w:val="00663523"/>
    <w:rsid w:val="00671C0D"/>
    <w:rsid w:val="00672BF1"/>
    <w:rsid w:val="006761B5"/>
    <w:rsid w:val="006A0509"/>
    <w:rsid w:val="006A28EA"/>
    <w:rsid w:val="006A4655"/>
    <w:rsid w:val="006A5B71"/>
    <w:rsid w:val="006A5C43"/>
    <w:rsid w:val="006A7EE1"/>
    <w:rsid w:val="006B25F4"/>
    <w:rsid w:val="006B33A8"/>
    <w:rsid w:val="006C0338"/>
    <w:rsid w:val="006C0DB7"/>
    <w:rsid w:val="006C7038"/>
    <w:rsid w:val="006C7E2B"/>
    <w:rsid w:val="006D0929"/>
    <w:rsid w:val="006E73EF"/>
    <w:rsid w:val="006F2C86"/>
    <w:rsid w:val="007000AB"/>
    <w:rsid w:val="00700764"/>
    <w:rsid w:val="007007E1"/>
    <w:rsid w:val="007014A2"/>
    <w:rsid w:val="00701E62"/>
    <w:rsid w:val="0070226F"/>
    <w:rsid w:val="007072F0"/>
    <w:rsid w:val="007075AE"/>
    <w:rsid w:val="00707712"/>
    <w:rsid w:val="00711398"/>
    <w:rsid w:val="00715431"/>
    <w:rsid w:val="0071552D"/>
    <w:rsid w:val="00727A5D"/>
    <w:rsid w:val="00727FD5"/>
    <w:rsid w:val="007306DC"/>
    <w:rsid w:val="0073150A"/>
    <w:rsid w:val="00737E26"/>
    <w:rsid w:val="00747474"/>
    <w:rsid w:val="00753CE9"/>
    <w:rsid w:val="007604BB"/>
    <w:rsid w:val="00764B44"/>
    <w:rsid w:val="00770AB5"/>
    <w:rsid w:val="007749C1"/>
    <w:rsid w:val="00774E35"/>
    <w:rsid w:val="0077585D"/>
    <w:rsid w:val="00775894"/>
    <w:rsid w:val="007763ED"/>
    <w:rsid w:val="00776608"/>
    <w:rsid w:val="0078473D"/>
    <w:rsid w:val="00784B30"/>
    <w:rsid w:val="007871E7"/>
    <w:rsid w:val="00797E3F"/>
    <w:rsid w:val="007A21EB"/>
    <w:rsid w:val="007A531A"/>
    <w:rsid w:val="007B09D0"/>
    <w:rsid w:val="007C0793"/>
    <w:rsid w:val="007C36C9"/>
    <w:rsid w:val="007C68B5"/>
    <w:rsid w:val="007D01BF"/>
    <w:rsid w:val="007D11EF"/>
    <w:rsid w:val="007D5061"/>
    <w:rsid w:val="007E01E4"/>
    <w:rsid w:val="007E1A87"/>
    <w:rsid w:val="007F4BC1"/>
    <w:rsid w:val="007F7107"/>
    <w:rsid w:val="007F7D3C"/>
    <w:rsid w:val="0080034D"/>
    <w:rsid w:val="0081030F"/>
    <w:rsid w:val="00813394"/>
    <w:rsid w:val="0081390C"/>
    <w:rsid w:val="00815783"/>
    <w:rsid w:val="008158E1"/>
    <w:rsid w:val="0082087D"/>
    <w:rsid w:val="00823586"/>
    <w:rsid w:val="00830D61"/>
    <w:rsid w:val="00837D72"/>
    <w:rsid w:val="008416B6"/>
    <w:rsid w:val="008417B3"/>
    <w:rsid w:val="00843AD8"/>
    <w:rsid w:val="00845F00"/>
    <w:rsid w:val="008468AD"/>
    <w:rsid w:val="008470F6"/>
    <w:rsid w:val="0086082C"/>
    <w:rsid w:val="00864ADC"/>
    <w:rsid w:val="00875560"/>
    <w:rsid w:val="00880153"/>
    <w:rsid w:val="00880C1D"/>
    <w:rsid w:val="00880F97"/>
    <w:rsid w:val="0088133A"/>
    <w:rsid w:val="0089285E"/>
    <w:rsid w:val="0089436C"/>
    <w:rsid w:val="0089774E"/>
    <w:rsid w:val="008A49F9"/>
    <w:rsid w:val="008B5642"/>
    <w:rsid w:val="008C4333"/>
    <w:rsid w:val="008C43BF"/>
    <w:rsid w:val="008C63EB"/>
    <w:rsid w:val="008D13B2"/>
    <w:rsid w:val="008D4E0C"/>
    <w:rsid w:val="008E3D3B"/>
    <w:rsid w:val="008E42C1"/>
    <w:rsid w:val="008E5415"/>
    <w:rsid w:val="008E7F97"/>
    <w:rsid w:val="008F4939"/>
    <w:rsid w:val="009030BF"/>
    <w:rsid w:val="009033A1"/>
    <w:rsid w:val="00903D36"/>
    <w:rsid w:val="009045A7"/>
    <w:rsid w:val="009051F1"/>
    <w:rsid w:val="00907809"/>
    <w:rsid w:val="00910107"/>
    <w:rsid w:val="00911A2D"/>
    <w:rsid w:val="00914368"/>
    <w:rsid w:val="0091439D"/>
    <w:rsid w:val="00917B53"/>
    <w:rsid w:val="009221CE"/>
    <w:rsid w:val="009266F5"/>
    <w:rsid w:val="00931076"/>
    <w:rsid w:val="0093282C"/>
    <w:rsid w:val="009345D9"/>
    <w:rsid w:val="00934B15"/>
    <w:rsid w:val="00935DFC"/>
    <w:rsid w:val="00937895"/>
    <w:rsid w:val="00937997"/>
    <w:rsid w:val="00942B62"/>
    <w:rsid w:val="00942F3D"/>
    <w:rsid w:val="00943C43"/>
    <w:rsid w:val="00944512"/>
    <w:rsid w:val="0094492F"/>
    <w:rsid w:val="009457B0"/>
    <w:rsid w:val="00951AED"/>
    <w:rsid w:val="009521C8"/>
    <w:rsid w:val="009545AD"/>
    <w:rsid w:val="00954824"/>
    <w:rsid w:val="00954851"/>
    <w:rsid w:val="00956A0C"/>
    <w:rsid w:val="00956BD9"/>
    <w:rsid w:val="00961C5B"/>
    <w:rsid w:val="00961F9A"/>
    <w:rsid w:val="00962489"/>
    <w:rsid w:val="00970043"/>
    <w:rsid w:val="00970541"/>
    <w:rsid w:val="00973D10"/>
    <w:rsid w:val="00982DD2"/>
    <w:rsid w:val="00983CC5"/>
    <w:rsid w:val="00985CB6"/>
    <w:rsid w:val="00990534"/>
    <w:rsid w:val="0099334B"/>
    <w:rsid w:val="009C0C55"/>
    <w:rsid w:val="009C26B0"/>
    <w:rsid w:val="009D01FC"/>
    <w:rsid w:val="009D1CCB"/>
    <w:rsid w:val="009D2C67"/>
    <w:rsid w:val="009D7759"/>
    <w:rsid w:val="009E0B8D"/>
    <w:rsid w:val="009E6514"/>
    <w:rsid w:val="009E6D9A"/>
    <w:rsid w:val="009F0559"/>
    <w:rsid w:val="009F696D"/>
    <w:rsid w:val="009F6BC6"/>
    <w:rsid w:val="00A06728"/>
    <w:rsid w:val="00A14883"/>
    <w:rsid w:val="00A17328"/>
    <w:rsid w:val="00A23F0A"/>
    <w:rsid w:val="00A267E7"/>
    <w:rsid w:val="00A2703A"/>
    <w:rsid w:val="00A33DFF"/>
    <w:rsid w:val="00A35115"/>
    <w:rsid w:val="00A357E5"/>
    <w:rsid w:val="00A4413A"/>
    <w:rsid w:val="00A553BF"/>
    <w:rsid w:val="00A554AB"/>
    <w:rsid w:val="00A569ED"/>
    <w:rsid w:val="00A572BF"/>
    <w:rsid w:val="00A6760C"/>
    <w:rsid w:val="00A7384D"/>
    <w:rsid w:val="00A73A45"/>
    <w:rsid w:val="00A74AD8"/>
    <w:rsid w:val="00A75059"/>
    <w:rsid w:val="00A82045"/>
    <w:rsid w:val="00A8311E"/>
    <w:rsid w:val="00A931A7"/>
    <w:rsid w:val="00A93870"/>
    <w:rsid w:val="00A94FA6"/>
    <w:rsid w:val="00A97526"/>
    <w:rsid w:val="00AA3C6F"/>
    <w:rsid w:val="00AA6710"/>
    <w:rsid w:val="00AB0681"/>
    <w:rsid w:val="00AB7EFC"/>
    <w:rsid w:val="00AC5E8E"/>
    <w:rsid w:val="00AC631D"/>
    <w:rsid w:val="00AD4E60"/>
    <w:rsid w:val="00AD53F5"/>
    <w:rsid w:val="00AF08F0"/>
    <w:rsid w:val="00AF11F8"/>
    <w:rsid w:val="00AF44E2"/>
    <w:rsid w:val="00AF5E48"/>
    <w:rsid w:val="00B04A30"/>
    <w:rsid w:val="00B1590F"/>
    <w:rsid w:val="00B23F99"/>
    <w:rsid w:val="00B24142"/>
    <w:rsid w:val="00B2690F"/>
    <w:rsid w:val="00B3093C"/>
    <w:rsid w:val="00B4160C"/>
    <w:rsid w:val="00B41D51"/>
    <w:rsid w:val="00B41E76"/>
    <w:rsid w:val="00B53E7E"/>
    <w:rsid w:val="00B55912"/>
    <w:rsid w:val="00B562AE"/>
    <w:rsid w:val="00B60DF9"/>
    <w:rsid w:val="00B61F9B"/>
    <w:rsid w:val="00B6342E"/>
    <w:rsid w:val="00B7113F"/>
    <w:rsid w:val="00B71B1E"/>
    <w:rsid w:val="00B71F0F"/>
    <w:rsid w:val="00B73D38"/>
    <w:rsid w:val="00B76250"/>
    <w:rsid w:val="00B7706A"/>
    <w:rsid w:val="00B811DF"/>
    <w:rsid w:val="00B82DA5"/>
    <w:rsid w:val="00B85B21"/>
    <w:rsid w:val="00B9472F"/>
    <w:rsid w:val="00B974F8"/>
    <w:rsid w:val="00B97A64"/>
    <w:rsid w:val="00BA253E"/>
    <w:rsid w:val="00BA6478"/>
    <w:rsid w:val="00BA73B6"/>
    <w:rsid w:val="00BB4476"/>
    <w:rsid w:val="00BB4FCD"/>
    <w:rsid w:val="00BB55AF"/>
    <w:rsid w:val="00BB58CB"/>
    <w:rsid w:val="00BC4DD6"/>
    <w:rsid w:val="00BD13EA"/>
    <w:rsid w:val="00BD26AF"/>
    <w:rsid w:val="00BD5A92"/>
    <w:rsid w:val="00BE3808"/>
    <w:rsid w:val="00BE4627"/>
    <w:rsid w:val="00BE6BE7"/>
    <w:rsid w:val="00BE7C58"/>
    <w:rsid w:val="00BF1863"/>
    <w:rsid w:val="00C039CD"/>
    <w:rsid w:val="00C0534B"/>
    <w:rsid w:val="00C062E9"/>
    <w:rsid w:val="00C1227A"/>
    <w:rsid w:val="00C12BF9"/>
    <w:rsid w:val="00C13721"/>
    <w:rsid w:val="00C16881"/>
    <w:rsid w:val="00C17152"/>
    <w:rsid w:val="00C25E1C"/>
    <w:rsid w:val="00C26E8D"/>
    <w:rsid w:val="00C41383"/>
    <w:rsid w:val="00C41748"/>
    <w:rsid w:val="00C418EB"/>
    <w:rsid w:val="00C442A6"/>
    <w:rsid w:val="00C516A8"/>
    <w:rsid w:val="00C5336A"/>
    <w:rsid w:val="00C543F4"/>
    <w:rsid w:val="00C60AD4"/>
    <w:rsid w:val="00C60C9E"/>
    <w:rsid w:val="00C6291C"/>
    <w:rsid w:val="00C62A45"/>
    <w:rsid w:val="00C633CB"/>
    <w:rsid w:val="00C8762C"/>
    <w:rsid w:val="00C93D32"/>
    <w:rsid w:val="00C97EA9"/>
    <w:rsid w:val="00CA00F9"/>
    <w:rsid w:val="00CA2961"/>
    <w:rsid w:val="00CA4D30"/>
    <w:rsid w:val="00CB50D7"/>
    <w:rsid w:val="00CB7177"/>
    <w:rsid w:val="00CB7EB7"/>
    <w:rsid w:val="00CC1953"/>
    <w:rsid w:val="00CC1998"/>
    <w:rsid w:val="00CC4200"/>
    <w:rsid w:val="00CC4946"/>
    <w:rsid w:val="00CE0B21"/>
    <w:rsid w:val="00CE14ED"/>
    <w:rsid w:val="00CE173C"/>
    <w:rsid w:val="00CE293C"/>
    <w:rsid w:val="00CE3267"/>
    <w:rsid w:val="00CE3FA9"/>
    <w:rsid w:val="00CF086A"/>
    <w:rsid w:val="00CF6CB7"/>
    <w:rsid w:val="00CF7061"/>
    <w:rsid w:val="00D02635"/>
    <w:rsid w:val="00D035D2"/>
    <w:rsid w:val="00D0481C"/>
    <w:rsid w:val="00D10A29"/>
    <w:rsid w:val="00D20A4A"/>
    <w:rsid w:val="00D22AFD"/>
    <w:rsid w:val="00D26982"/>
    <w:rsid w:val="00D270A4"/>
    <w:rsid w:val="00D34E1B"/>
    <w:rsid w:val="00D36E03"/>
    <w:rsid w:val="00D40475"/>
    <w:rsid w:val="00D4147D"/>
    <w:rsid w:val="00D5717D"/>
    <w:rsid w:val="00D63D73"/>
    <w:rsid w:val="00D63F58"/>
    <w:rsid w:val="00D64998"/>
    <w:rsid w:val="00D66E1E"/>
    <w:rsid w:val="00D75722"/>
    <w:rsid w:val="00D95184"/>
    <w:rsid w:val="00D961BE"/>
    <w:rsid w:val="00DB0024"/>
    <w:rsid w:val="00DB03B3"/>
    <w:rsid w:val="00DB2E00"/>
    <w:rsid w:val="00DB67C9"/>
    <w:rsid w:val="00DC0C95"/>
    <w:rsid w:val="00DC306F"/>
    <w:rsid w:val="00DC53AB"/>
    <w:rsid w:val="00DC7620"/>
    <w:rsid w:val="00DC7E24"/>
    <w:rsid w:val="00DD6580"/>
    <w:rsid w:val="00DD79CD"/>
    <w:rsid w:val="00DE7765"/>
    <w:rsid w:val="00DE794B"/>
    <w:rsid w:val="00DF0C3E"/>
    <w:rsid w:val="00DF1AB0"/>
    <w:rsid w:val="00DF2319"/>
    <w:rsid w:val="00E01CA0"/>
    <w:rsid w:val="00E037E7"/>
    <w:rsid w:val="00E056D7"/>
    <w:rsid w:val="00E11BE5"/>
    <w:rsid w:val="00E12C8A"/>
    <w:rsid w:val="00E16BFB"/>
    <w:rsid w:val="00E17C72"/>
    <w:rsid w:val="00E23ECA"/>
    <w:rsid w:val="00E30F00"/>
    <w:rsid w:val="00E31803"/>
    <w:rsid w:val="00E32C66"/>
    <w:rsid w:val="00E3639D"/>
    <w:rsid w:val="00E36C6A"/>
    <w:rsid w:val="00E37765"/>
    <w:rsid w:val="00E507B4"/>
    <w:rsid w:val="00E51B45"/>
    <w:rsid w:val="00E52250"/>
    <w:rsid w:val="00E54E9E"/>
    <w:rsid w:val="00E654CA"/>
    <w:rsid w:val="00E6632B"/>
    <w:rsid w:val="00E669E2"/>
    <w:rsid w:val="00E7373B"/>
    <w:rsid w:val="00E74ABB"/>
    <w:rsid w:val="00E74E1E"/>
    <w:rsid w:val="00E76135"/>
    <w:rsid w:val="00E76BEE"/>
    <w:rsid w:val="00E8410D"/>
    <w:rsid w:val="00E85FA8"/>
    <w:rsid w:val="00E94950"/>
    <w:rsid w:val="00E96F4B"/>
    <w:rsid w:val="00EA02F8"/>
    <w:rsid w:val="00EA301B"/>
    <w:rsid w:val="00EB1D34"/>
    <w:rsid w:val="00EB293E"/>
    <w:rsid w:val="00EC5C01"/>
    <w:rsid w:val="00EC5DD9"/>
    <w:rsid w:val="00ED5B17"/>
    <w:rsid w:val="00ED786B"/>
    <w:rsid w:val="00EE7521"/>
    <w:rsid w:val="00EF16F6"/>
    <w:rsid w:val="00EF70CF"/>
    <w:rsid w:val="00F056FC"/>
    <w:rsid w:val="00F122C5"/>
    <w:rsid w:val="00F135D8"/>
    <w:rsid w:val="00F14C19"/>
    <w:rsid w:val="00F1607D"/>
    <w:rsid w:val="00F206E3"/>
    <w:rsid w:val="00F21A08"/>
    <w:rsid w:val="00F24452"/>
    <w:rsid w:val="00F27879"/>
    <w:rsid w:val="00F31299"/>
    <w:rsid w:val="00F3534A"/>
    <w:rsid w:val="00F425E6"/>
    <w:rsid w:val="00F43B20"/>
    <w:rsid w:val="00F45EF4"/>
    <w:rsid w:val="00F574EB"/>
    <w:rsid w:val="00F7610D"/>
    <w:rsid w:val="00F85325"/>
    <w:rsid w:val="00F92A09"/>
    <w:rsid w:val="00F95357"/>
    <w:rsid w:val="00F973A4"/>
    <w:rsid w:val="00FA5257"/>
    <w:rsid w:val="00FB04BB"/>
    <w:rsid w:val="00FC4E67"/>
    <w:rsid w:val="00FC6BCC"/>
    <w:rsid w:val="00FC725A"/>
    <w:rsid w:val="00FD22B1"/>
    <w:rsid w:val="00FD3E9C"/>
    <w:rsid w:val="00FE062C"/>
    <w:rsid w:val="00FE24EA"/>
    <w:rsid w:val="00FE418D"/>
    <w:rsid w:val="00FE5D60"/>
    <w:rsid w:val="00FE6712"/>
    <w:rsid w:val="00FF389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Street"/>
  <w:smartTagType w:namespaceuri="urn:schemas-microsoft-com:office:smarttags" w:name="country-region"/>
  <w:shapeDefaults>
    <o:shapedefaults v:ext="edit" spidmax="45057"/>
    <o:shapelayout v:ext="edit">
      <o:idmap v:ext="edit" data="1"/>
    </o:shapelayout>
  </w:shapeDefaults>
  <w:decimalSymbol w:val="."/>
  <w:listSeparator w:val=","/>
  <w14:docId w14:val="0FC4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051F1"/>
    <w:rPr>
      <w:rFonts w:ascii="Calibri" w:eastAsia="Calibri" w:hAnsi="Calibri"/>
      <w:sz w:val="22"/>
      <w:szCs w:val="22"/>
      <w:lang w:eastAsia="en-US"/>
    </w:rPr>
  </w:style>
  <w:style w:type="paragraph" w:styleId="Heading1">
    <w:name w:val="heading 1"/>
    <w:basedOn w:val="BodyText"/>
    <w:next w:val="BodyText"/>
    <w:qForma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link w:val="Heading2Char"/>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qFormat/>
    <w:rsid w:val="00A17328"/>
    <w:pPr>
      <w:spacing w:after="60"/>
      <w:jc w:val="left"/>
      <w:outlineLvl w:val="5"/>
    </w:pPr>
    <w:rPr>
      <w:i/>
      <w:sz w:val="22"/>
    </w:rPr>
  </w:style>
  <w:style w:type="paragraph" w:styleId="Heading7">
    <w:name w:val="heading 7"/>
    <w:basedOn w:val="BodyText"/>
    <w:next w:val="BodyText"/>
    <w:qFormat/>
    <w:rsid w:val="00A17328"/>
    <w:pPr>
      <w:spacing w:after="60" w:line="240" w:lineRule="auto"/>
      <w:jc w:val="left"/>
      <w:outlineLvl w:val="6"/>
    </w:pPr>
    <w:rPr>
      <w:rFonts w:ascii="Arial" w:hAnsi="Arial"/>
      <w:sz w:val="20"/>
    </w:rPr>
  </w:style>
  <w:style w:type="paragraph" w:styleId="Heading8">
    <w:name w:val="heading 8"/>
    <w:basedOn w:val="BodyText"/>
    <w:next w:val="BodyText"/>
    <w:qFormat/>
    <w:rsid w:val="00A17328"/>
    <w:pPr>
      <w:spacing w:after="60" w:line="240" w:lineRule="auto"/>
      <w:jc w:val="left"/>
      <w:outlineLvl w:val="7"/>
    </w:pPr>
    <w:rPr>
      <w:rFonts w:ascii="Arial" w:hAnsi="Arial"/>
      <w:i/>
      <w:sz w:val="20"/>
    </w:rPr>
  </w:style>
  <w:style w:type="paragraph" w:styleId="Heading9">
    <w:name w:val="heading 9"/>
    <w:basedOn w:val="BodyText"/>
    <w:next w:val="BodyText"/>
    <w:qForma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new legislation style,Body Text Char1 Char,Body Text Char Char Char,Body Text Char1 Char Char Char,Body Text Char Char Char Char Char1,Body Text Char2 Char1 Char Char Char Char Char,Body Text Char2 Char,new legislation style Char1 Char"/>
    <w:link w:val="BodyTextChar1"/>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DB67C9"/>
    <w:pPr>
      <w:keepNext/>
      <w:numPr>
        <w:numId w:val="1"/>
      </w:numPr>
      <w:spacing w:before="120" w:line="280" w:lineRule="atLeast"/>
    </w:pPr>
    <w:rPr>
      <w:rFonts w:ascii="Arial" w:hAnsi="Arial"/>
      <w:sz w:val="22"/>
    </w:rPr>
  </w:style>
  <w:style w:type="paragraph" w:customStyle="1" w:styleId="BoxListBullet2">
    <w:name w:val="Box List Bullet 2"/>
    <w:basedOn w:val="BodyText"/>
    <w:rsid w:val="00DB67C9"/>
    <w:pPr>
      <w:keepNext/>
      <w:numPr>
        <w:numId w:val="2"/>
      </w:numPr>
      <w:tabs>
        <w:tab w:val="left" w:pos="284"/>
      </w:tabs>
      <w:spacing w:before="60" w:line="280" w:lineRule="atLeast"/>
    </w:pPr>
    <w:rPr>
      <w:rFonts w:ascii="Arial" w:hAnsi="Arial"/>
      <w:sz w:val="22"/>
    </w:rPr>
  </w:style>
  <w:style w:type="paragraph" w:customStyle="1" w:styleId="BoxListNumber">
    <w:name w:val="Box List Number"/>
    <w:basedOn w:val="BodyText"/>
    <w:rsid w:val="00864ADC"/>
    <w:pPr>
      <w:keepNext/>
      <w:numPr>
        <w:numId w:val="39"/>
      </w:numPr>
      <w:spacing w:before="120" w:line="280" w:lineRule="atLeast"/>
    </w:pPr>
    <w:rPr>
      <w:rFonts w:ascii="Arial" w:hAnsi="Arial"/>
      <w:sz w:val="22"/>
    </w:rPr>
  </w:style>
  <w:style w:type="paragraph" w:customStyle="1" w:styleId="BoxListNumber2">
    <w:name w:val="Box List Number 2"/>
    <w:basedOn w:val="BoxListNumber"/>
    <w:rsid w:val="00864ADC"/>
    <w:pPr>
      <w:numPr>
        <w:ilvl w:val="1"/>
      </w:numPr>
      <w:spacing w:before="60"/>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Normal"/>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
    <w:name w:val="Box Space"/>
    <w:basedOn w:val="BodyText"/>
    <w:rsid w:val="00A17328"/>
    <w:pPr>
      <w:keepNext/>
      <w:spacing w:before="360" w:line="80" w:lineRule="exact"/>
      <w:jc w:val="left"/>
    </w:pPr>
  </w:style>
  <w:style w:type="paragraph" w:styleId="Caption">
    <w:name w:val="caption"/>
    <w:basedOn w:val="Normal"/>
    <w:next w:val="BodyText"/>
    <w:qForma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Normal"/>
    <w:rsid w:val="00A17328"/>
    <w:pPr>
      <w:spacing w:before="120" w:after="0"/>
      <w:ind w:left="1304" w:hanging="1304"/>
    </w:p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semiHidden/>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A17328"/>
  </w:style>
  <w:style w:type="paragraph" w:styleId="Subtitle">
    <w:name w:val="Subtitle"/>
    <w:basedOn w:val="Caption"/>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rsid w:val="00AB0681"/>
    <w:pPr>
      <w:spacing w:before="240"/>
    </w:pPr>
  </w:style>
  <w:style w:type="paragraph" w:customStyle="1" w:styleId="RecTitle">
    <w:name w:val="Rec Title"/>
    <w:basedOn w:val="BodyText"/>
    <w:next w:val="Normal"/>
    <w:rsid w:val="00A17328"/>
    <w:pPr>
      <w:keepNext/>
      <w:framePr w:hSpace="181" w:wrap="notBeside" w:vAnchor="text" w:hAnchor="text" w:xAlign="outside" w:y="1"/>
    </w:pPr>
    <w:rPr>
      <w:caps/>
      <w:sz w:val="16"/>
    </w:rPr>
  </w:style>
  <w:style w:type="paragraph" w:customStyle="1" w:styleId="FindingTitle">
    <w:name w:val="Finding Title"/>
    <w:basedOn w:val="RecTitle"/>
    <w:next w:val="Finding"/>
    <w:rsid w:val="00A17328"/>
    <w:pPr>
      <w:framePr w:wrap="notBeside"/>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link w:val="FootnoteTextChar"/>
    <w:rsid w:val="00DC0C9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aliases w:val="List Bullet Char"/>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864ADC"/>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rsid w:val="00F85325"/>
    <w:pPr>
      <w:numPr>
        <w:numId w:val="40"/>
      </w:numPr>
      <w:spacing w:before="80"/>
    </w:pPr>
  </w:style>
  <w:style w:type="paragraph" w:customStyle="1" w:styleId="RecBNoTitle">
    <w:name w:val="RecB NoTitle"/>
    <w:basedOn w:val="RecB"/>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A17328"/>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character" w:customStyle="1" w:styleId="BodyTextChar1">
    <w:name w:val="Body Text Char1"/>
    <w:aliases w:val="new legislation style Char,Body Text Char1 Char Char,Body Text Char Char Char Char,Body Text Char1 Char Char Char Char,Body Text Char Char Char Char Char1 Char,Body Text Char2 Char1 Char Char Char Char Char Char,Body Text Char2 Char Char"/>
    <w:basedOn w:val="DefaultParagraphFont"/>
    <w:link w:val="BodyText"/>
    <w:rsid w:val="003F413F"/>
    <w:rPr>
      <w:sz w:val="26"/>
      <w:lang w:val="en-AU" w:eastAsia="en-AU" w:bidi="ar-SA"/>
    </w:rPr>
  </w:style>
  <w:style w:type="character" w:customStyle="1" w:styleId="Heading2Char">
    <w:name w:val="Heading 2 Char"/>
    <w:basedOn w:val="DefaultParagraphFont"/>
    <w:link w:val="Heading2"/>
    <w:rsid w:val="003F413F"/>
    <w:rPr>
      <w:rFonts w:ascii="Arial" w:hAnsi="Arial"/>
      <w:b/>
      <w:sz w:val="32"/>
      <w:lang w:val="en-AU" w:eastAsia="en-AU" w:bidi="ar-SA"/>
    </w:rPr>
  </w:style>
  <w:style w:type="character" w:customStyle="1" w:styleId="Heading3Char">
    <w:name w:val="Heading 3 Char"/>
    <w:basedOn w:val="Heading2Char"/>
    <w:link w:val="Heading3"/>
    <w:rsid w:val="003F413F"/>
    <w:rPr>
      <w:rFonts w:ascii="Arial" w:hAnsi="Arial"/>
      <w:b/>
      <w:sz w:val="26"/>
      <w:lang w:val="en-AU" w:eastAsia="en-AU" w:bidi="ar-SA"/>
    </w:rPr>
  </w:style>
  <w:style w:type="paragraph" w:customStyle="1" w:styleId="xmsonormal">
    <w:name w:val="x_msonormal"/>
    <w:basedOn w:val="Normal"/>
    <w:rsid w:val="008D4E0C"/>
    <w:pPr>
      <w:spacing w:before="100" w:beforeAutospacing="1" w:after="100" w:afterAutospacing="1"/>
    </w:pPr>
    <w:rPr>
      <w:sz w:val="24"/>
    </w:rPr>
  </w:style>
  <w:style w:type="paragraph" w:styleId="CommentSubject">
    <w:name w:val="annotation subject"/>
    <w:basedOn w:val="CommentText"/>
    <w:next w:val="CommentText"/>
    <w:semiHidden/>
    <w:rsid w:val="00E31803"/>
    <w:pPr>
      <w:spacing w:before="0" w:line="240" w:lineRule="auto"/>
      <w:ind w:left="0" w:firstLine="0"/>
    </w:pPr>
    <w:rPr>
      <w:b/>
      <w:bCs/>
      <w:szCs w:val="20"/>
    </w:rPr>
  </w:style>
  <w:style w:type="paragraph" w:styleId="BalloonText">
    <w:name w:val="Balloon Text"/>
    <w:basedOn w:val="Normal"/>
    <w:semiHidden/>
    <w:rsid w:val="00E31803"/>
    <w:rPr>
      <w:rFonts w:ascii="Tahoma" w:hAnsi="Tahoma" w:cs="Tahoma"/>
      <w:sz w:val="16"/>
      <w:szCs w:val="16"/>
    </w:rPr>
  </w:style>
  <w:style w:type="character" w:customStyle="1" w:styleId="BodyTextChar">
    <w:name w:val="Body Text Char"/>
    <w:basedOn w:val="DefaultParagraphFont"/>
    <w:rsid w:val="00917B53"/>
    <w:rPr>
      <w:sz w:val="26"/>
      <w:lang w:val="en-AU" w:eastAsia="en-AU" w:bidi="ar-SA"/>
    </w:rPr>
  </w:style>
  <w:style w:type="character" w:customStyle="1" w:styleId="FootnoteTextChar">
    <w:name w:val="Footnote Text Char"/>
    <w:basedOn w:val="DefaultParagraphFont"/>
    <w:link w:val="FootnoteText"/>
    <w:rsid w:val="002E6E15"/>
    <w:rPr>
      <w:sz w:val="22"/>
    </w:rPr>
  </w:style>
  <w:style w:type="paragraph" w:styleId="Revision">
    <w:name w:val="Revision"/>
    <w:hidden/>
    <w:uiPriority w:val="99"/>
    <w:semiHidden/>
    <w:rsid w:val="00CE14ED"/>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051F1"/>
    <w:rPr>
      <w:rFonts w:ascii="Calibri" w:eastAsia="Calibri" w:hAnsi="Calibri"/>
      <w:sz w:val="22"/>
      <w:szCs w:val="22"/>
      <w:lang w:eastAsia="en-US"/>
    </w:rPr>
  </w:style>
  <w:style w:type="paragraph" w:styleId="Heading1">
    <w:name w:val="heading 1"/>
    <w:basedOn w:val="BodyText"/>
    <w:next w:val="BodyText"/>
    <w:qForma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link w:val="Heading2Char"/>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qFormat/>
    <w:rsid w:val="00A17328"/>
    <w:pPr>
      <w:spacing w:after="60"/>
      <w:jc w:val="left"/>
      <w:outlineLvl w:val="5"/>
    </w:pPr>
    <w:rPr>
      <w:i/>
      <w:sz w:val="22"/>
    </w:rPr>
  </w:style>
  <w:style w:type="paragraph" w:styleId="Heading7">
    <w:name w:val="heading 7"/>
    <w:basedOn w:val="BodyText"/>
    <w:next w:val="BodyText"/>
    <w:qFormat/>
    <w:rsid w:val="00A17328"/>
    <w:pPr>
      <w:spacing w:after="60" w:line="240" w:lineRule="auto"/>
      <w:jc w:val="left"/>
      <w:outlineLvl w:val="6"/>
    </w:pPr>
    <w:rPr>
      <w:rFonts w:ascii="Arial" w:hAnsi="Arial"/>
      <w:sz w:val="20"/>
    </w:rPr>
  </w:style>
  <w:style w:type="paragraph" w:styleId="Heading8">
    <w:name w:val="heading 8"/>
    <w:basedOn w:val="BodyText"/>
    <w:next w:val="BodyText"/>
    <w:qFormat/>
    <w:rsid w:val="00A17328"/>
    <w:pPr>
      <w:spacing w:after="60" w:line="240" w:lineRule="auto"/>
      <w:jc w:val="left"/>
      <w:outlineLvl w:val="7"/>
    </w:pPr>
    <w:rPr>
      <w:rFonts w:ascii="Arial" w:hAnsi="Arial"/>
      <w:i/>
      <w:sz w:val="20"/>
    </w:rPr>
  </w:style>
  <w:style w:type="paragraph" w:styleId="Heading9">
    <w:name w:val="heading 9"/>
    <w:basedOn w:val="BodyText"/>
    <w:next w:val="BodyText"/>
    <w:qForma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new legislation style,Body Text Char1 Char,Body Text Char Char Char,Body Text Char1 Char Char Char,Body Text Char Char Char Char Char1,Body Text Char2 Char1 Char Char Char Char Char,Body Text Char2 Char,new legislation style Char1 Char"/>
    <w:link w:val="BodyTextChar1"/>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DB67C9"/>
    <w:pPr>
      <w:keepNext/>
      <w:numPr>
        <w:numId w:val="1"/>
      </w:numPr>
      <w:spacing w:before="120" w:line="280" w:lineRule="atLeast"/>
    </w:pPr>
    <w:rPr>
      <w:rFonts w:ascii="Arial" w:hAnsi="Arial"/>
      <w:sz w:val="22"/>
    </w:rPr>
  </w:style>
  <w:style w:type="paragraph" w:customStyle="1" w:styleId="BoxListBullet2">
    <w:name w:val="Box List Bullet 2"/>
    <w:basedOn w:val="BodyText"/>
    <w:rsid w:val="00DB67C9"/>
    <w:pPr>
      <w:keepNext/>
      <w:numPr>
        <w:numId w:val="2"/>
      </w:numPr>
      <w:tabs>
        <w:tab w:val="left" w:pos="284"/>
      </w:tabs>
      <w:spacing w:before="60" w:line="280" w:lineRule="atLeast"/>
    </w:pPr>
    <w:rPr>
      <w:rFonts w:ascii="Arial" w:hAnsi="Arial"/>
      <w:sz w:val="22"/>
    </w:rPr>
  </w:style>
  <w:style w:type="paragraph" w:customStyle="1" w:styleId="BoxListNumber">
    <w:name w:val="Box List Number"/>
    <w:basedOn w:val="BodyText"/>
    <w:rsid w:val="00864ADC"/>
    <w:pPr>
      <w:keepNext/>
      <w:numPr>
        <w:numId w:val="39"/>
      </w:numPr>
      <w:spacing w:before="120" w:line="280" w:lineRule="atLeast"/>
    </w:pPr>
    <w:rPr>
      <w:rFonts w:ascii="Arial" w:hAnsi="Arial"/>
      <w:sz w:val="22"/>
    </w:rPr>
  </w:style>
  <w:style w:type="paragraph" w:customStyle="1" w:styleId="BoxListNumber2">
    <w:name w:val="Box List Number 2"/>
    <w:basedOn w:val="BoxListNumber"/>
    <w:rsid w:val="00864ADC"/>
    <w:pPr>
      <w:numPr>
        <w:ilvl w:val="1"/>
      </w:numPr>
      <w:spacing w:before="60"/>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Normal"/>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
    <w:name w:val="Box Space"/>
    <w:basedOn w:val="BodyText"/>
    <w:rsid w:val="00A17328"/>
    <w:pPr>
      <w:keepNext/>
      <w:spacing w:before="360" w:line="80" w:lineRule="exact"/>
      <w:jc w:val="left"/>
    </w:pPr>
  </w:style>
  <w:style w:type="paragraph" w:styleId="Caption">
    <w:name w:val="caption"/>
    <w:basedOn w:val="Normal"/>
    <w:next w:val="BodyText"/>
    <w:qForma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Normal"/>
    <w:rsid w:val="00A17328"/>
    <w:pPr>
      <w:spacing w:before="120" w:after="0"/>
      <w:ind w:left="1304" w:hanging="1304"/>
    </w:p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semiHidden/>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A17328"/>
  </w:style>
  <w:style w:type="paragraph" w:styleId="Subtitle">
    <w:name w:val="Subtitle"/>
    <w:basedOn w:val="Caption"/>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rsid w:val="00AB0681"/>
    <w:pPr>
      <w:spacing w:before="240"/>
    </w:pPr>
  </w:style>
  <w:style w:type="paragraph" w:customStyle="1" w:styleId="RecTitle">
    <w:name w:val="Rec Title"/>
    <w:basedOn w:val="BodyText"/>
    <w:next w:val="Normal"/>
    <w:rsid w:val="00A17328"/>
    <w:pPr>
      <w:keepNext/>
      <w:framePr w:hSpace="181" w:wrap="notBeside" w:vAnchor="text" w:hAnchor="text" w:xAlign="outside" w:y="1"/>
    </w:pPr>
    <w:rPr>
      <w:caps/>
      <w:sz w:val="16"/>
    </w:rPr>
  </w:style>
  <w:style w:type="paragraph" w:customStyle="1" w:styleId="FindingTitle">
    <w:name w:val="Finding Title"/>
    <w:basedOn w:val="RecTitle"/>
    <w:next w:val="Finding"/>
    <w:rsid w:val="00A17328"/>
    <w:pPr>
      <w:framePr w:wrap="notBeside"/>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link w:val="FootnoteTextChar"/>
    <w:rsid w:val="00DC0C9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aliases w:val="List Bullet Char"/>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864ADC"/>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rsid w:val="00F85325"/>
    <w:pPr>
      <w:numPr>
        <w:numId w:val="40"/>
      </w:numPr>
      <w:spacing w:before="80"/>
    </w:pPr>
  </w:style>
  <w:style w:type="paragraph" w:customStyle="1" w:styleId="RecBNoTitle">
    <w:name w:val="RecB NoTitle"/>
    <w:basedOn w:val="RecB"/>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A17328"/>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character" w:customStyle="1" w:styleId="BodyTextChar1">
    <w:name w:val="Body Text Char1"/>
    <w:aliases w:val="new legislation style Char,Body Text Char1 Char Char,Body Text Char Char Char Char,Body Text Char1 Char Char Char Char,Body Text Char Char Char Char Char1 Char,Body Text Char2 Char1 Char Char Char Char Char Char,Body Text Char2 Char Char"/>
    <w:basedOn w:val="DefaultParagraphFont"/>
    <w:link w:val="BodyText"/>
    <w:rsid w:val="003F413F"/>
    <w:rPr>
      <w:sz w:val="26"/>
      <w:lang w:val="en-AU" w:eastAsia="en-AU" w:bidi="ar-SA"/>
    </w:rPr>
  </w:style>
  <w:style w:type="character" w:customStyle="1" w:styleId="Heading2Char">
    <w:name w:val="Heading 2 Char"/>
    <w:basedOn w:val="DefaultParagraphFont"/>
    <w:link w:val="Heading2"/>
    <w:rsid w:val="003F413F"/>
    <w:rPr>
      <w:rFonts w:ascii="Arial" w:hAnsi="Arial"/>
      <w:b/>
      <w:sz w:val="32"/>
      <w:lang w:val="en-AU" w:eastAsia="en-AU" w:bidi="ar-SA"/>
    </w:rPr>
  </w:style>
  <w:style w:type="character" w:customStyle="1" w:styleId="Heading3Char">
    <w:name w:val="Heading 3 Char"/>
    <w:basedOn w:val="Heading2Char"/>
    <w:link w:val="Heading3"/>
    <w:rsid w:val="003F413F"/>
    <w:rPr>
      <w:rFonts w:ascii="Arial" w:hAnsi="Arial"/>
      <w:b/>
      <w:sz w:val="26"/>
      <w:lang w:val="en-AU" w:eastAsia="en-AU" w:bidi="ar-SA"/>
    </w:rPr>
  </w:style>
  <w:style w:type="paragraph" w:customStyle="1" w:styleId="xmsonormal">
    <w:name w:val="x_msonormal"/>
    <w:basedOn w:val="Normal"/>
    <w:rsid w:val="008D4E0C"/>
    <w:pPr>
      <w:spacing w:before="100" w:beforeAutospacing="1" w:after="100" w:afterAutospacing="1"/>
    </w:pPr>
    <w:rPr>
      <w:sz w:val="24"/>
    </w:rPr>
  </w:style>
  <w:style w:type="paragraph" w:styleId="CommentSubject">
    <w:name w:val="annotation subject"/>
    <w:basedOn w:val="CommentText"/>
    <w:next w:val="CommentText"/>
    <w:semiHidden/>
    <w:rsid w:val="00E31803"/>
    <w:pPr>
      <w:spacing w:before="0" w:line="240" w:lineRule="auto"/>
      <w:ind w:left="0" w:firstLine="0"/>
    </w:pPr>
    <w:rPr>
      <w:b/>
      <w:bCs/>
      <w:szCs w:val="20"/>
    </w:rPr>
  </w:style>
  <w:style w:type="paragraph" w:styleId="BalloonText">
    <w:name w:val="Balloon Text"/>
    <w:basedOn w:val="Normal"/>
    <w:semiHidden/>
    <w:rsid w:val="00E31803"/>
    <w:rPr>
      <w:rFonts w:ascii="Tahoma" w:hAnsi="Tahoma" w:cs="Tahoma"/>
      <w:sz w:val="16"/>
      <w:szCs w:val="16"/>
    </w:rPr>
  </w:style>
  <w:style w:type="character" w:customStyle="1" w:styleId="BodyTextChar">
    <w:name w:val="Body Text Char"/>
    <w:basedOn w:val="DefaultParagraphFont"/>
    <w:rsid w:val="00917B53"/>
    <w:rPr>
      <w:sz w:val="26"/>
      <w:lang w:val="en-AU" w:eastAsia="en-AU" w:bidi="ar-SA"/>
    </w:rPr>
  </w:style>
  <w:style w:type="character" w:customStyle="1" w:styleId="FootnoteTextChar">
    <w:name w:val="Footnote Text Char"/>
    <w:basedOn w:val="DefaultParagraphFont"/>
    <w:link w:val="FootnoteText"/>
    <w:rsid w:val="002E6E15"/>
    <w:rPr>
      <w:sz w:val="22"/>
    </w:rPr>
  </w:style>
  <w:style w:type="paragraph" w:styleId="Revision">
    <w:name w:val="Revision"/>
    <w:hidden/>
    <w:uiPriority w:val="99"/>
    <w:semiHidden/>
    <w:rsid w:val="00CE14ED"/>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920868">
      <w:bodyDiv w:val="1"/>
      <w:marLeft w:val="0"/>
      <w:marRight w:val="0"/>
      <w:marTop w:val="0"/>
      <w:marBottom w:val="0"/>
      <w:divBdr>
        <w:top w:val="none" w:sz="0" w:space="0" w:color="auto"/>
        <w:left w:val="none" w:sz="0" w:space="0" w:color="auto"/>
        <w:bottom w:val="none" w:sz="0" w:space="0" w:color="auto"/>
        <w:right w:val="none" w:sz="0" w:space="0" w:color="auto"/>
      </w:divBdr>
      <w:divsChild>
        <w:div w:id="1177616887">
          <w:marLeft w:val="0"/>
          <w:marRight w:val="0"/>
          <w:marTop w:val="86"/>
          <w:marBottom w:val="0"/>
          <w:divBdr>
            <w:top w:val="none" w:sz="0" w:space="0" w:color="auto"/>
            <w:left w:val="none" w:sz="0" w:space="0" w:color="auto"/>
            <w:bottom w:val="none" w:sz="0" w:space="0" w:color="auto"/>
            <w:right w:val="none" w:sz="0" w:space="0" w:color="auto"/>
          </w:divBdr>
        </w:div>
        <w:div w:id="1483698544">
          <w:marLeft w:val="0"/>
          <w:marRight w:val="0"/>
          <w:marTop w:val="86"/>
          <w:marBottom w:val="0"/>
          <w:divBdr>
            <w:top w:val="none" w:sz="0" w:space="0" w:color="auto"/>
            <w:left w:val="none" w:sz="0" w:space="0" w:color="auto"/>
            <w:bottom w:val="none" w:sz="0" w:space="0" w:color="auto"/>
            <w:right w:val="none" w:sz="0" w:space="0" w:color="auto"/>
          </w:divBdr>
        </w:div>
        <w:div w:id="2015036807">
          <w:marLeft w:val="0"/>
          <w:marRight w:val="0"/>
          <w:marTop w:val="86"/>
          <w:marBottom w:val="0"/>
          <w:divBdr>
            <w:top w:val="none" w:sz="0" w:space="0" w:color="auto"/>
            <w:left w:val="none" w:sz="0" w:space="0" w:color="auto"/>
            <w:bottom w:val="none" w:sz="0" w:space="0" w:color="auto"/>
            <w:right w:val="none" w:sz="0" w:space="0" w:color="auto"/>
          </w:divBdr>
        </w:div>
      </w:divsChild>
    </w:div>
    <w:div w:id="400718653">
      <w:bodyDiv w:val="1"/>
      <w:marLeft w:val="0"/>
      <w:marRight w:val="0"/>
      <w:marTop w:val="0"/>
      <w:marBottom w:val="0"/>
      <w:divBdr>
        <w:top w:val="none" w:sz="0" w:space="0" w:color="auto"/>
        <w:left w:val="none" w:sz="0" w:space="0" w:color="auto"/>
        <w:bottom w:val="none" w:sz="0" w:space="0" w:color="auto"/>
        <w:right w:val="none" w:sz="0" w:space="0" w:color="auto"/>
      </w:divBdr>
    </w:div>
    <w:div w:id="630523711">
      <w:bodyDiv w:val="1"/>
      <w:marLeft w:val="0"/>
      <w:marRight w:val="0"/>
      <w:marTop w:val="0"/>
      <w:marBottom w:val="0"/>
      <w:divBdr>
        <w:top w:val="none" w:sz="0" w:space="0" w:color="auto"/>
        <w:left w:val="none" w:sz="0" w:space="0" w:color="auto"/>
        <w:bottom w:val="none" w:sz="0" w:space="0" w:color="auto"/>
        <w:right w:val="none" w:sz="0" w:space="0" w:color="auto"/>
      </w:divBdr>
    </w:div>
    <w:div w:id="1242062960">
      <w:bodyDiv w:val="1"/>
      <w:marLeft w:val="0"/>
      <w:marRight w:val="0"/>
      <w:marTop w:val="0"/>
      <w:marBottom w:val="0"/>
      <w:divBdr>
        <w:top w:val="none" w:sz="0" w:space="0" w:color="auto"/>
        <w:left w:val="none" w:sz="0" w:space="0" w:color="auto"/>
        <w:bottom w:val="none" w:sz="0" w:space="0" w:color="auto"/>
        <w:right w:val="none" w:sz="0" w:space="0" w:color="auto"/>
      </w:divBdr>
    </w:div>
    <w:div w:id="1729570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c%20template\Chap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07CBB-B1C2-41C4-B0A3-840DA0C7F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Template>
  <TotalTime>246</TotalTime>
  <Pages>14</Pages>
  <Words>4910</Words>
  <Characters>27027</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Data and variables</vt:lpstr>
    </vt:vector>
  </TitlesOfParts>
  <Company>Productivity Commission</Company>
  <LinksUpToDate>false</LinksUpToDate>
  <CharactersWithSpaces>31874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and variables</dc:title>
  <dc:subject>determinants of indigenous labour market outcomes</dc:subject>
  <dc:creator>asavvas</dc:creator>
  <dc:description>4.</dc:description>
  <cp:lastModifiedBy>Louise Jordan</cp:lastModifiedBy>
  <cp:revision>42</cp:revision>
  <cp:lastPrinted>2011-11-23T05:54:00Z</cp:lastPrinted>
  <dcterms:created xsi:type="dcterms:W3CDTF">2011-09-07T07:11:00Z</dcterms:created>
  <dcterms:modified xsi:type="dcterms:W3CDTF">2011-11-23T05:56:00Z</dcterms:modified>
</cp:coreProperties>
</file>