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33DFF" w:rsidRDefault="006050F6" w:rsidP="006050F6">
      <w:pPr>
        <w:pStyle w:val="Chapter"/>
        <w:ind w:left="907" w:hanging="907"/>
      </w:pPr>
      <w:bookmarkStart w:id="0" w:name="ChapterNumber"/>
      <w:r>
        <w:t>5</w:t>
      </w:r>
      <w:bookmarkEnd w:id="0"/>
      <w:r>
        <w:tab/>
      </w:r>
      <w:bookmarkStart w:id="1" w:name="ChapterTitle"/>
      <w:r>
        <w:t xml:space="preserve">Results and </w:t>
      </w:r>
      <w:bookmarkEnd w:id="1"/>
      <w:r w:rsidR="00766EE9">
        <w:t>discussion</w:t>
      </w:r>
    </w:p>
    <w:p w:rsidR="000F7A75" w:rsidRDefault="00D47E76" w:rsidP="00AE3750">
      <w:pPr>
        <w:pStyle w:val="BodyText"/>
      </w:pPr>
      <w:bookmarkStart w:id="2" w:name="begin"/>
      <w:bookmarkEnd w:id="2"/>
      <w:r w:rsidRPr="00195CC1">
        <w:t xml:space="preserve">This chapter presents </w:t>
      </w:r>
      <w:r w:rsidR="000F1617" w:rsidRPr="00195CC1">
        <w:t xml:space="preserve">the </w:t>
      </w:r>
      <w:r w:rsidR="002A287B" w:rsidRPr="00195CC1">
        <w:t xml:space="preserve">results </w:t>
      </w:r>
      <w:r w:rsidR="000F1617" w:rsidRPr="00195CC1">
        <w:t xml:space="preserve">of </w:t>
      </w:r>
      <w:r w:rsidR="004F3CA5">
        <w:t xml:space="preserve">the </w:t>
      </w:r>
      <w:r w:rsidRPr="00195CC1">
        <w:t>regression analysis</w:t>
      </w:r>
      <w:r w:rsidR="00FC7382">
        <w:t xml:space="preserve"> of a dependent variable with </w:t>
      </w:r>
      <w:r w:rsidR="000F7A75">
        <w:t xml:space="preserve">four </w:t>
      </w:r>
      <w:r w:rsidR="00FC7382">
        <w:t>labour market outcomes (</w:t>
      </w:r>
      <w:proofErr w:type="spellStart"/>
      <w:r w:rsidR="00FC7382">
        <w:t>LMOs</w:t>
      </w:r>
      <w:proofErr w:type="spellEnd"/>
      <w:r w:rsidR="00FC7382">
        <w:t>) — mainstream employment, Community Development Employment Projects (CDEP) participation, unemployment and not in the labour force</w:t>
      </w:r>
      <w:r w:rsidRPr="00195CC1">
        <w:t>.</w:t>
      </w:r>
      <w:r w:rsidR="003D4378">
        <w:rPr>
          <w:rStyle w:val="FootnoteReference"/>
        </w:rPr>
        <w:footnoteReference w:id="2"/>
      </w:r>
    </w:p>
    <w:p w:rsidR="000F7A75" w:rsidRDefault="00D47E76" w:rsidP="000F7A75">
      <w:pPr>
        <w:pStyle w:val="BodyText"/>
        <w:rPr>
          <w:szCs w:val="26"/>
        </w:rPr>
      </w:pPr>
      <w:r w:rsidRPr="00D378FC">
        <w:t>The</w:t>
      </w:r>
      <w:r w:rsidR="002A287B" w:rsidRPr="00D378FC">
        <w:t xml:space="preserve"> discussion of results is </w:t>
      </w:r>
      <w:r w:rsidR="00820356">
        <w:t xml:space="preserve">in terms of the </w:t>
      </w:r>
      <w:r w:rsidR="00954665">
        <w:t>associations between</w:t>
      </w:r>
      <w:r w:rsidR="00820356">
        <w:t xml:space="preserve"> an explanatory </w:t>
      </w:r>
      <w:r w:rsidR="003927D6">
        <w:t>variable</w:t>
      </w:r>
      <w:r w:rsidR="00820356">
        <w:t xml:space="preserve"> </w:t>
      </w:r>
      <w:r w:rsidR="00954665">
        <w:t>and</w:t>
      </w:r>
      <w:r w:rsidR="00820356">
        <w:t xml:space="preserve"> a category of </w:t>
      </w:r>
      <w:r w:rsidR="00FC7382">
        <w:t xml:space="preserve">the </w:t>
      </w:r>
      <w:r w:rsidR="00820356">
        <w:t xml:space="preserve">dependent </w:t>
      </w:r>
      <w:r w:rsidR="003927D6">
        <w:t>variable</w:t>
      </w:r>
      <w:r w:rsidR="00820356">
        <w:t xml:space="preserve"> (that is, </w:t>
      </w:r>
      <w:r w:rsidR="00FC7382">
        <w:t xml:space="preserve">a </w:t>
      </w:r>
      <w:r w:rsidR="00820356">
        <w:t xml:space="preserve">LMO). </w:t>
      </w:r>
      <w:r w:rsidR="00954665">
        <w:t>An explanatory variable’s</w:t>
      </w:r>
      <w:r w:rsidR="000F7A75">
        <w:t xml:space="preserve"> </w:t>
      </w:r>
      <w:r w:rsidR="00954665">
        <w:t xml:space="preserve">estimated </w:t>
      </w:r>
      <w:r w:rsidR="000F7A75" w:rsidRPr="002F054C">
        <w:t xml:space="preserve">marginal effect </w:t>
      </w:r>
      <w:r w:rsidR="000F7A75">
        <w:t xml:space="preserve">is the change in the base predicted </w:t>
      </w:r>
      <w:r w:rsidR="000F7A75" w:rsidRPr="002F054C">
        <w:t xml:space="preserve">probability of a </w:t>
      </w:r>
      <w:r w:rsidR="000F7A75">
        <w:t>LMO</w:t>
      </w:r>
      <w:r w:rsidR="000F7A75" w:rsidRPr="002F054C">
        <w:t xml:space="preserve"> that </w:t>
      </w:r>
      <w:r w:rsidR="000F7A75">
        <w:t xml:space="preserve">is associated with </w:t>
      </w:r>
      <w:r w:rsidR="000F7A75" w:rsidRPr="002F054C">
        <w:t>a</w:t>
      </w:r>
      <w:r w:rsidR="000F7A75">
        <w:t xml:space="preserve"> </w:t>
      </w:r>
      <w:r w:rsidR="000F7A75" w:rsidRPr="002F054C">
        <w:t xml:space="preserve">change in </w:t>
      </w:r>
      <w:r w:rsidR="000F7A75">
        <w:t xml:space="preserve">the </w:t>
      </w:r>
      <w:r w:rsidR="000F7A75" w:rsidRPr="002F054C">
        <w:t>explanatory variable, holding all other explanatory variables constant.</w:t>
      </w:r>
      <w:r w:rsidR="000F7A75">
        <w:t xml:space="preserve"> Chapter 3 contains a discussion on the interpretation of marginal effects</w:t>
      </w:r>
      <w:r w:rsidR="000F7A75" w:rsidRPr="00D378FC">
        <w:t xml:space="preserve"> (</w:t>
      </w:r>
      <w:r w:rsidR="000F7A75">
        <w:t>section </w:t>
      </w:r>
      <w:r w:rsidR="000F7A75" w:rsidRPr="00D378FC">
        <w:t xml:space="preserve">3.3). </w:t>
      </w:r>
      <w:r w:rsidR="000F7A75" w:rsidRPr="00D378FC">
        <w:rPr>
          <w:szCs w:val="26"/>
        </w:rPr>
        <w:t>Most of the factors examined have the expected sign</w:t>
      </w:r>
      <w:r w:rsidR="000F7A75">
        <w:rPr>
          <w:szCs w:val="26"/>
        </w:rPr>
        <w:t>, and many are</w:t>
      </w:r>
      <w:r w:rsidR="000F7A75" w:rsidRPr="00D378FC">
        <w:rPr>
          <w:szCs w:val="26"/>
        </w:rPr>
        <w:t xml:space="preserve"> significant at the 1 and 5 per cent levels of</w:t>
      </w:r>
      <w:r w:rsidR="000F7A75">
        <w:rPr>
          <w:szCs w:val="26"/>
        </w:rPr>
        <w:t xml:space="preserve"> confidence, although few variables were significant for </w:t>
      </w:r>
      <w:r w:rsidR="00D726B4">
        <w:rPr>
          <w:szCs w:val="26"/>
        </w:rPr>
        <w:t xml:space="preserve">the </w:t>
      </w:r>
      <w:r w:rsidR="000F7A75">
        <w:rPr>
          <w:szCs w:val="26"/>
        </w:rPr>
        <w:t xml:space="preserve">LMOs ‘CDEP participation’ and ‘unemployment’. </w:t>
      </w:r>
    </w:p>
    <w:p w:rsidR="00320B1D" w:rsidRDefault="00FC7382" w:rsidP="00AE3750">
      <w:pPr>
        <w:pStyle w:val="BodyText"/>
      </w:pPr>
      <w:r>
        <w:t>T</w:t>
      </w:r>
      <w:r w:rsidR="00820356">
        <w:t xml:space="preserve">hese numerical estimates should be </w:t>
      </w:r>
      <w:r>
        <w:t xml:space="preserve">viewed </w:t>
      </w:r>
      <w:r w:rsidR="00820356">
        <w:t>as associations</w:t>
      </w:r>
      <w:r>
        <w:t> — they do not imply causal relationships</w:t>
      </w:r>
      <w:r w:rsidR="00820356">
        <w:t xml:space="preserve">. This chapter </w:t>
      </w:r>
      <w:r w:rsidR="003D4378" w:rsidRPr="00D378FC">
        <w:t>focuses</w:t>
      </w:r>
      <w:r w:rsidR="00D47E76" w:rsidRPr="00D378FC">
        <w:t xml:space="preserve"> on the</w:t>
      </w:r>
      <w:r w:rsidR="002A287B" w:rsidRPr="00D378FC">
        <w:t xml:space="preserve"> </w:t>
      </w:r>
      <w:r w:rsidR="0085726B">
        <w:t xml:space="preserve">estimated </w:t>
      </w:r>
      <w:r w:rsidR="00954665">
        <w:t>associations between</w:t>
      </w:r>
      <w:r w:rsidR="000F7A75">
        <w:t xml:space="preserve"> ‘</w:t>
      </w:r>
      <w:r w:rsidR="00D47E76" w:rsidRPr="00D378FC">
        <w:t>mainstream employment</w:t>
      </w:r>
      <w:r w:rsidR="000F7A75">
        <w:t>’</w:t>
      </w:r>
      <w:r w:rsidR="00D47E76" w:rsidRPr="00D378FC">
        <w:t xml:space="preserve"> and </w:t>
      </w:r>
      <w:r w:rsidR="00AE3750" w:rsidRPr="00D378FC">
        <w:t>‘not in the labour force’</w:t>
      </w:r>
      <w:r w:rsidR="005C1BC4">
        <w:t xml:space="preserve">, as these </w:t>
      </w:r>
      <w:r w:rsidR="000F7A75">
        <w:t xml:space="preserve">LMOs </w:t>
      </w:r>
      <w:r w:rsidR="005C1BC4">
        <w:t>represent the majority of the survey sample</w:t>
      </w:r>
      <w:r w:rsidR="00AE3750" w:rsidRPr="00D378FC">
        <w:t xml:space="preserve">. For ease of expression, the results </w:t>
      </w:r>
      <w:r w:rsidR="007A3F2C">
        <w:t xml:space="preserve">for ‘not in the labour force’ </w:t>
      </w:r>
      <w:r w:rsidR="00AE3750" w:rsidRPr="00D378FC">
        <w:t>are usually discussed in terms o</w:t>
      </w:r>
      <w:r w:rsidR="00EA5553">
        <w:t>f ‘labour force participation’.</w:t>
      </w:r>
      <w:r w:rsidR="00195CC1">
        <w:t xml:space="preserve"> </w:t>
      </w:r>
    </w:p>
    <w:p w:rsidR="00D47E76" w:rsidRDefault="00CD3DA1" w:rsidP="00AE3750">
      <w:pPr>
        <w:pStyle w:val="BodyText"/>
      </w:pPr>
      <w:r>
        <w:t>R</w:t>
      </w:r>
      <w:r w:rsidR="003927D6">
        <w:t xml:space="preserve">esults for health, education, </w:t>
      </w:r>
      <w:r w:rsidR="00BF4688">
        <w:t>personal and demographic characteristics, and social and cultural variables</w:t>
      </w:r>
      <w:r w:rsidR="003927D6">
        <w:t xml:space="preserve"> are discussed in sections 5.1 to 5.4</w:t>
      </w:r>
      <w:r w:rsidR="007D044C">
        <w:t xml:space="preserve">. </w:t>
      </w:r>
      <w:r w:rsidR="0015602D">
        <w:t>A</w:t>
      </w:r>
      <w:r w:rsidR="007D044C">
        <w:t xml:space="preserve"> summary of the key findings</w:t>
      </w:r>
      <w:r w:rsidR="0015602D">
        <w:t xml:space="preserve"> is at the end of this chapter</w:t>
      </w:r>
      <w:r w:rsidR="00F960A6">
        <w:t xml:space="preserve"> (box 5.1)</w:t>
      </w:r>
      <w:r w:rsidR="007D044C">
        <w:t>.</w:t>
      </w:r>
      <w:r w:rsidR="0015602D">
        <w:t xml:space="preserve"> </w:t>
      </w:r>
      <w:r w:rsidR="0009072B" w:rsidRPr="00D378FC">
        <w:t>The full set of results can be found in</w:t>
      </w:r>
      <w:r w:rsidR="0009072B">
        <w:t xml:space="preserve"> appendix A, including all </w:t>
      </w:r>
      <w:r w:rsidR="0009072B" w:rsidRPr="00D378FC">
        <w:t>estimated marginal effects</w:t>
      </w:r>
      <w:r w:rsidR="0009072B">
        <w:t xml:space="preserve"> and</w:t>
      </w:r>
      <w:r w:rsidR="0009072B" w:rsidRPr="00D378FC">
        <w:t xml:space="preserve"> </w:t>
      </w:r>
      <w:r w:rsidR="002A287B" w:rsidRPr="00D378FC">
        <w:t>regression coefficients</w:t>
      </w:r>
      <w:r w:rsidR="0009072B">
        <w:t>,</w:t>
      </w:r>
      <w:r w:rsidR="002A287B" w:rsidRPr="00D378FC">
        <w:t xml:space="preserve"> and their standard errors</w:t>
      </w:r>
      <w:r w:rsidR="002F025B">
        <w:t>,</w:t>
      </w:r>
      <w:r w:rsidR="000A2A19" w:rsidRPr="00D378FC">
        <w:t xml:space="preserve"> </w:t>
      </w:r>
      <w:r w:rsidR="002F025B">
        <w:t>a</w:t>
      </w:r>
      <w:r w:rsidR="00AE3750" w:rsidRPr="00D378FC">
        <w:t xml:space="preserve"> description of the variabl</w:t>
      </w:r>
      <w:r w:rsidR="00357B94" w:rsidRPr="00D378FC">
        <w:t>es</w:t>
      </w:r>
      <w:r w:rsidR="00EA5553">
        <w:t xml:space="preserve">, </w:t>
      </w:r>
      <w:r w:rsidR="00357B94" w:rsidRPr="00D378FC">
        <w:t>descriptive statistics</w:t>
      </w:r>
      <w:r w:rsidR="00EA5553">
        <w:t xml:space="preserve"> and some </w:t>
      </w:r>
      <w:r w:rsidR="000F7A75">
        <w:t xml:space="preserve">model </w:t>
      </w:r>
      <w:r w:rsidR="00EA5553">
        <w:t>diagnostics</w:t>
      </w:r>
      <w:r w:rsidR="00AE3750" w:rsidRPr="00D378FC">
        <w:t xml:space="preserve">. </w:t>
      </w:r>
    </w:p>
    <w:p w:rsidR="00F02A02" w:rsidRPr="00D378FC" w:rsidRDefault="00F02A02" w:rsidP="00F02A02">
      <w:pPr>
        <w:pStyle w:val="Heading2"/>
        <w:ind w:left="0" w:firstLine="0"/>
      </w:pPr>
      <w:r>
        <w:rPr>
          <w:kern w:val="28"/>
          <w:lang w:eastAsia="en-US"/>
        </w:rPr>
        <w:lastRenderedPageBreak/>
        <w:t>5.</w:t>
      </w:r>
      <w:r>
        <w:rPr>
          <w:noProof/>
          <w:kern w:val="28"/>
          <w:lang w:eastAsia="en-US"/>
        </w:rPr>
        <w:t>1</w:t>
      </w:r>
      <w:r w:rsidRPr="00D378FC">
        <w:rPr>
          <w:kern w:val="28"/>
          <w:lang w:eastAsia="en-US"/>
        </w:rPr>
        <w:tab/>
      </w:r>
      <w:r>
        <w:rPr>
          <w:kern w:val="28"/>
          <w:lang w:eastAsia="en-US"/>
        </w:rPr>
        <w:t>Associations with health and disability</w:t>
      </w:r>
    </w:p>
    <w:p w:rsidR="00F02A02" w:rsidRPr="00D378FC" w:rsidRDefault="00F02A02" w:rsidP="00F02A02">
      <w:pPr>
        <w:pStyle w:val="BodyText"/>
      </w:pPr>
      <w:r w:rsidRPr="00D378FC">
        <w:t xml:space="preserve">The </w:t>
      </w:r>
      <w:r>
        <w:t>association</w:t>
      </w:r>
      <w:r w:rsidRPr="00D378FC">
        <w:t xml:space="preserve"> </w:t>
      </w:r>
      <w:r>
        <w:t>between two elements of health — poor</w:t>
      </w:r>
      <w:r w:rsidRPr="00D378FC">
        <w:t xml:space="preserve"> general and mental health</w:t>
      </w:r>
      <w:r>
        <w:t xml:space="preserve"> — and </w:t>
      </w:r>
      <w:r w:rsidRPr="00D378FC">
        <w:t>severe</w:t>
      </w:r>
      <w:r>
        <w:t xml:space="preserve"> or profound</w:t>
      </w:r>
      <w:r w:rsidRPr="00D378FC">
        <w:t xml:space="preserve"> disability</w:t>
      </w:r>
      <w:r>
        <w:t>, and</w:t>
      </w:r>
      <w:r w:rsidRPr="00D378FC">
        <w:t xml:space="preserve"> the probability of </w:t>
      </w:r>
      <w:r>
        <w:t xml:space="preserve">an Indigenous person </w:t>
      </w:r>
      <w:r w:rsidRPr="00D378FC">
        <w:t>being employed and not in the labour force are reported in figure </w:t>
      </w:r>
      <w:r>
        <w:t>5.</w:t>
      </w:r>
      <w:r>
        <w:rPr>
          <w:noProof/>
        </w:rPr>
        <w:t>1</w:t>
      </w:r>
      <w:r w:rsidRPr="00D378FC">
        <w:t xml:space="preserve">. </w:t>
      </w:r>
      <w:bookmarkStart w:id="3" w:name="FigureTitle"/>
      <w:bookmarkEnd w:id="3"/>
    </w:p>
    <w:p w:rsidR="00F02A02" w:rsidRPr="00D378FC" w:rsidRDefault="00F02A02" w:rsidP="00F02A02">
      <w:pPr>
        <w:pStyle w:val="BodyText"/>
      </w:pPr>
      <w:r w:rsidRPr="00D378FC">
        <w:t xml:space="preserve">The results suggest that </w:t>
      </w:r>
      <w:r>
        <w:t xml:space="preserve">disability and both elements of health have statistically </w:t>
      </w:r>
      <w:r w:rsidRPr="00D378FC">
        <w:t>significant</w:t>
      </w:r>
      <w:r>
        <w:t xml:space="preserve"> associations with </w:t>
      </w:r>
      <w:proofErr w:type="spellStart"/>
      <w:r>
        <w:t>LMOs</w:t>
      </w:r>
      <w:proofErr w:type="spellEnd"/>
      <w:r>
        <w:t>.</w:t>
      </w:r>
      <w:r w:rsidRPr="00D378FC">
        <w:t xml:space="preserve"> </w:t>
      </w:r>
      <w:r>
        <w:t>The most notable negative associations with the probability of Indigenous labour force participation and employment are between poor (self-reported) general health for Indigenous men and having a disability for Indigenous women. Holding all other modelled factors constant:</w:t>
      </w:r>
    </w:p>
    <w:p w:rsidR="00F02A02" w:rsidRPr="00D378FC" w:rsidRDefault="00F02A02" w:rsidP="00F02A02">
      <w:pPr>
        <w:pStyle w:val="ListBullet"/>
      </w:pPr>
      <w:r w:rsidRPr="00D378FC">
        <w:t>Indigenous m</w:t>
      </w:r>
      <w:r>
        <w:t>en</w:t>
      </w:r>
      <w:r w:rsidRPr="00D378FC">
        <w:t xml:space="preserve"> </w:t>
      </w:r>
      <w:r>
        <w:t xml:space="preserve">and women </w:t>
      </w:r>
      <w:r w:rsidRPr="00D378FC">
        <w:t xml:space="preserve">in poor general health </w:t>
      </w:r>
      <w:r>
        <w:t>were</w:t>
      </w:r>
      <w:r w:rsidRPr="00D378FC">
        <w:t xml:space="preserve"> 12</w:t>
      </w:r>
      <w:r>
        <w:t xml:space="preserve"> and 11</w:t>
      </w:r>
      <w:r w:rsidRPr="00D378FC">
        <w:t> percentage points</w:t>
      </w:r>
      <w:r>
        <w:t xml:space="preserve"> respectively</w:t>
      </w:r>
      <w:r w:rsidRPr="00D378FC">
        <w:t xml:space="preserve"> less likely to partici</w:t>
      </w:r>
      <w:r>
        <w:t>pate in the labour force, and 16 and 12</w:t>
      </w:r>
      <w:r w:rsidRPr="00D378FC">
        <w:t> percentage points</w:t>
      </w:r>
      <w:r>
        <w:t xml:space="preserve"> respectively</w:t>
      </w:r>
      <w:r w:rsidRPr="00D378FC">
        <w:t xml:space="preserve"> less likely to be employed, compared with </w:t>
      </w:r>
      <w:r>
        <w:t>those</w:t>
      </w:r>
      <w:r w:rsidRPr="00D378FC">
        <w:t xml:space="preserve"> in good general health.</w:t>
      </w:r>
    </w:p>
    <w:p w:rsidR="00F02A02" w:rsidRPr="00D378FC" w:rsidRDefault="00F02A02" w:rsidP="00F02A02">
      <w:pPr>
        <w:pStyle w:val="ListBullet"/>
      </w:pPr>
      <w:r w:rsidRPr="00D378FC">
        <w:t>Indigenous m</w:t>
      </w:r>
      <w:r>
        <w:t>en</w:t>
      </w:r>
      <w:r w:rsidRPr="00D378FC">
        <w:t xml:space="preserve"> and </w:t>
      </w:r>
      <w:r>
        <w:t>women</w:t>
      </w:r>
      <w:r w:rsidRPr="00D378FC">
        <w:t xml:space="preserve"> with high levels of psyc</w:t>
      </w:r>
      <w:r>
        <w:t xml:space="preserve">hological distress were 7 and 11 </w:t>
      </w:r>
      <w:r w:rsidRPr="00D378FC">
        <w:t>percentage points respectively less likely to be employed</w:t>
      </w:r>
      <w:r>
        <w:t>, and 2 and 5 </w:t>
      </w:r>
      <w:r w:rsidRPr="00D378FC">
        <w:t>percentage points</w:t>
      </w:r>
      <w:r>
        <w:t xml:space="preserve"> respectively</w:t>
      </w:r>
      <w:r w:rsidRPr="00D378FC">
        <w:t xml:space="preserve"> </w:t>
      </w:r>
      <w:r>
        <w:t>less</w:t>
      </w:r>
      <w:r w:rsidRPr="00D378FC">
        <w:t xml:space="preserve"> likely to be </w:t>
      </w:r>
      <w:r>
        <w:t>in the labour force.</w:t>
      </w:r>
    </w:p>
    <w:p w:rsidR="00F02A02" w:rsidRPr="00D378FC" w:rsidRDefault="00F02A02" w:rsidP="00F02A02">
      <w:pPr>
        <w:pStyle w:val="ListBullet"/>
      </w:pPr>
      <w:r w:rsidRPr="00D378FC">
        <w:t>Indigenous m</w:t>
      </w:r>
      <w:r>
        <w:t>en and women</w:t>
      </w:r>
      <w:r w:rsidRPr="00D378FC">
        <w:t xml:space="preserve"> with a severe or profound disability we</w:t>
      </w:r>
      <w:r>
        <w:t>re 11 and 15 </w:t>
      </w:r>
      <w:r w:rsidRPr="00D378FC">
        <w:t>percentage points respectively less likely to be employed than those without.</w:t>
      </w:r>
    </w:p>
    <w:p w:rsidR="00F02A02" w:rsidRDefault="00F02A02" w:rsidP="00F02A02">
      <w:pPr>
        <w:pStyle w:val="ListBullet"/>
        <w:numPr>
          <w:ilvl w:val="0"/>
          <w:numId w:val="0"/>
        </w:numPr>
      </w:pPr>
      <w:r w:rsidRPr="00D378FC">
        <w:t xml:space="preserve">Indigenous men with a disability </w:t>
      </w:r>
      <w:r>
        <w:t>were</w:t>
      </w:r>
      <w:r w:rsidRPr="00D378FC">
        <w:t xml:space="preserve"> </w:t>
      </w:r>
      <w:r>
        <w:t>3 </w:t>
      </w:r>
      <w:r w:rsidRPr="00D378FC">
        <w:t>percentage points less likely to be unemployed</w:t>
      </w:r>
      <w:r>
        <w:t xml:space="preserve"> (tables </w:t>
      </w:r>
      <w:proofErr w:type="spellStart"/>
      <w:r>
        <w:t>A.3</w:t>
      </w:r>
      <w:proofErr w:type="spellEnd"/>
      <w:r>
        <w:t xml:space="preserve"> and </w:t>
      </w:r>
      <w:proofErr w:type="spellStart"/>
      <w:r>
        <w:t>A.4</w:t>
      </w:r>
      <w:proofErr w:type="spellEnd"/>
      <w:r>
        <w:t>)</w:t>
      </w:r>
      <w:r w:rsidRPr="00D378FC">
        <w:t>. This counter-intuitive result might be explained by the increased probability of Indigenous men with a disability being out of the labour force (1</w:t>
      </w:r>
      <w:r>
        <w:t>3 </w:t>
      </w:r>
      <w:r w:rsidRPr="00D378FC">
        <w:t xml:space="preserve">percentage points) and that people with a disability who select in the labour force are more likely to be employed than unemployed. </w:t>
      </w:r>
    </w:p>
    <w:p w:rsidR="00F02A02" w:rsidRPr="00155A5A" w:rsidRDefault="00F02A02" w:rsidP="00155A5A">
      <w:pPr>
        <w:pStyle w:val="ListBullet"/>
        <w:numPr>
          <w:ilvl w:val="0"/>
          <w:numId w:val="0"/>
        </w:numPr>
      </w:pPr>
      <w:r w:rsidRPr="00155A5A">
        <w:t>The results are broadly consistent with results presented by Stephens (2010) and Biddle and Webster (2007). These studies found that similar health indicators have negative associations with employment and labour force participation. In contrast to this study, Stephens (2010), using the 2002 National Aboriginal and Torres Strait Islander Social Survey (</w:t>
      </w:r>
      <w:proofErr w:type="spellStart"/>
      <w:r w:rsidRPr="00155A5A">
        <w:t>NATSISS</w:t>
      </w:r>
      <w:proofErr w:type="spellEnd"/>
      <w:r w:rsidRPr="00155A5A">
        <w:t xml:space="preserve">) data and a multinomial </w:t>
      </w:r>
      <w:proofErr w:type="spellStart"/>
      <w:r w:rsidRPr="00155A5A">
        <w:t>logit</w:t>
      </w:r>
      <w:proofErr w:type="spellEnd"/>
      <w:r w:rsidRPr="00155A5A">
        <w:t xml:space="preserve"> model, found that having a disability had a slightly larger negative effect on the probability of employment for Indigenous men compared to Indigenous women — having a disability decreased the probability of employment by 13 percentage points for men and 10 percentage points for women. </w:t>
      </w:r>
    </w:p>
    <w:p w:rsidR="00E862A5" w:rsidRPr="00D378FC" w:rsidRDefault="00E862A5" w:rsidP="00E862A5">
      <w:pPr>
        <w:pStyle w:val="FigureTitle"/>
      </w:pPr>
      <w:r w:rsidRPr="00D378FC">
        <w:rPr>
          <w:b w:val="0"/>
        </w:rPr>
        <w:lastRenderedPageBreak/>
        <w:t xml:space="preserve">Figure </w:t>
      </w:r>
      <w:bookmarkStart w:id="4" w:name="OLE_LINK1"/>
      <w:r w:rsidR="006050F6">
        <w:rPr>
          <w:b w:val="0"/>
        </w:rPr>
        <w:t>5.</w:t>
      </w:r>
      <w:r w:rsidR="00F26BC5" w:rsidRPr="00D378FC">
        <w:rPr>
          <w:b w:val="0"/>
        </w:rPr>
        <w:t>1</w:t>
      </w:r>
      <w:bookmarkEnd w:id="4"/>
      <w:r w:rsidRPr="00D378FC">
        <w:tab/>
      </w:r>
      <w:r w:rsidR="003D17F3" w:rsidRPr="00D378FC">
        <w:t>Marginal effects of health</w:t>
      </w:r>
      <w:r w:rsidR="00727BE6">
        <w:t xml:space="preserve"> </w:t>
      </w:r>
      <w:r w:rsidR="00CD3DA1">
        <w:t xml:space="preserve">and disability </w:t>
      </w:r>
      <w:r w:rsidR="00727BE6">
        <w:t>indicators</w:t>
      </w:r>
      <w:r w:rsidRPr="00D378FC">
        <w:t xml:space="preserve">, </w:t>
      </w:r>
      <w:r w:rsidR="00CD0DB9" w:rsidRPr="00D378FC">
        <w:t xml:space="preserve">Indigenous people, </w:t>
      </w:r>
      <w:r w:rsidRPr="00D378FC">
        <w:t xml:space="preserve">2008 </w:t>
      </w:r>
      <w:r w:rsidRPr="00D378FC">
        <w:rPr>
          <w:rStyle w:val="NoteLabel"/>
        </w:rPr>
        <w:t>a,b,</w:t>
      </w:r>
      <w:r w:rsidR="00090B6F" w:rsidRPr="00D378FC">
        <w:rPr>
          <w:rStyle w:val="NoteLabel"/>
        </w:rPr>
        <w:t>c</w:t>
      </w:r>
    </w:p>
    <w:tbl>
      <w:tblPr>
        <w:tblW w:w="0" w:type="auto"/>
        <w:tblInd w:w="11" w:type="dxa"/>
        <w:tblBorders>
          <w:top w:val="single" w:sz="6" w:space="0" w:color="auto"/>
          <w:bottom w:val="single" w:sz="6" w:space="0" w:color="auto"/>
        </w:tblBorders>
        <w:tblLayout w:type="fixed"/>
        <w:tblCellMar>
          <w:left w:w="0" w:type="dxa"/>
          <w:right w:w="0" w:type="dxa"/>
        </w:tblCellMar>
        <w:tblLook w:val="0000" w:firstRow="0" w:lastRow="0" w:firstColumn="0" w:lastColumn="0" w:noHBand="0" w:noVBand="0"/>
      </w:tblPr>
      <w:tblGrid>
        <w:gridCol w:w="8777"/>
      </w:tblGrid>
      <w:tr w:rsidR="00E862A5" w:rsidRPr="00D378FC">
        <w:tc>
          <w:tcPr>
            <w:tcW w:w="8777" w:type="dxa"/>
          </w:tcPr>
          <w:p w:rsidR="008367A7" w:rsidRPr="00775C10" w:rsidRDefault="00EE2D31" w:rsidP="00C24290">
            <w:pPr>
              <w:pStyle w:val="Figure"/>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7pt;height:235.5pt">
                  <v:imagedata r:id="rId9" o:title=""/>
                </v:shape>
              </w:pict>
            </w:r>
            <w:r>
              <w:pict>
                <v:shape id="_x0000_i1026" type="#_x0000_t75" style="width:383.25pt;height:198.75pt">
                  <v:imagedata r:id="rId10" o:title=""/>
                </v:shape>
              </w:pict>
            </w:r>
          </w:p>
        </w:tc>
      </w:tr>
    </w:tbl>
    <w:p w:rsidR="00F02A02" w:rsidRPr="00F02A02" w:rsidRDefault="000A2A19" w:rsidP="00F02A02">
      <w:pPr>
        <w:pStyle w:val="Note"/>
      </w:pPr>
      <w:r w:rsidRPr="00D378FC">
        <w:rPr>
          <w:rStyle w:val="NoteLabel"/>
        </w:rPr>
        <w:t>a</w:t>
      </w:r>
      <w:r w:rsidRPr="00D378FC">
        <w:sym w:font="Symbol" w:char="F020"/>
      </w:r>
      <w:r w:rsidRPr="00D378FC">
        <w:t xml:space="preserve">General health and disability are self assessed. Mental health is measured in terms of psychological distress using responses to questions from the Kessler Psychological Distress Scale. The estimated marginal effect indicates the change in the predicted probability of a labour market outcome for changing from: being in good, very good or excellent health, to being in fair or poor health (self assessed); having low/moderate to having high/very high levels of psychological distress (as indicated by the Kessler Psychological Distress Scale); and </w:t>
      </w:r>
      <w:r w:rsidR="0039065A">
        <w:t>not having a</w:t>
      </w:r>
      <w:r w:rsidRPr="00D378FC">
        <w:t xml:space="preserve"> </w:t>
      </w:r>
      <w:r w:rsidR="00967800">
        <w:t xml:space="preserve">severe or profound </w:t>
      </w:r>
      <w:r w:rsidRPr="00D378FC">
        <w:t xml:space="preserve">disability to having a severe or profound disability. </w:t>
      </w:r>
      <w:r w:rsidRPr="00D378FC">
        <w:rPr>
          <w:rStyle w:val="NoteLabel"/>
        </w:rPr>
        <w:t>b</w:t>
      </w:r>
      <w:r w:rsidRPr="00D378FC">
        <w:t xml:space="preserve"> </w:t>
      </w:r>
      <w:r w:rsidR="00090B6F" w:rsidRPr="00D378FC">
        <w:t xml:space="preserve">The probability of the </w:t>
      </w:r>
      <w:r w:rsidR="00A96732" w:rsidRPr="00D378FC">
        <w:t>base person being employed is 8</w:t>
      </w:r>
      <w:r w:rsidR="009664C3">
        <w:t>9</w:t>
      </w:r>
      <w:r w:rsidR="00A96732" w:rsidRPr="00D378FC">
        <w:t xml:space="preserve"> per cent for men and 6</w:t>
      </w:r>
      <w:r w:rsidR="00462FAD">
        <w:t>7</w:t>
      </w:r>
      <w:r w:rsidR="00090B6F" w:rsidRPr="00D378FC">
        <w:t> per cent for women. The probability of the base person not partic</w:t>
      </w:r>
      <w:r w:rsidR="00A96732" w:rsidRPr="00D378FC">
        <w:t xml:space="preserve">ipating in the labour force is 4 per cent for men and </w:t>
      </w:r>
      <w:r w:rsidR="009664C3">
        <w:t>26</w:t>
      </w:r>
      <w:r w:rsidR="00090B6F" w:rsidRPr="00D378FC">
        <w:t xml:space="preserve"> per cent for women.</w:t>
      </w:r>
      <w:r w:rsidR="00B10594">
        <w:t xml:space="preserve"> </w:t>
      </w:r>
      <w:r w:rsidR="00090B6F" w:rsidRPr="00D378FC">
        <w:t xml:space="preserve">Definitions of all variables are in </w:t>
      </w:r>
      <w:r w:rsidR="00CD0DB9" w:rsidRPr="00D378FC">
        <w:t xml:space="preserve">table </w:t>
      </w:r>
      <w:r w:rsidR="002F025B">
        <w:t>A.</w:t>
      </w:r>
      <w:r w:rsidR="00CD0DB9" w:rsidRPr="00D378FC">
        <w:t>1</w:t>
      </w:r>
      <w:r w:rsidR="00090B6F" w:rsidRPr="00D378FC">
        <w:t xml:space="preserve">. </w:t>
      </w:r>
      <w:r w:rsidRPr="00D378FC">
        <w:rPr>
          <w:rStyle w:val="NoteLabel"/>
        </w:rPr>
        <w:t xml:space="preserve">c </w:t>
      </w:r>
      <w:r w:rsidRPr="00D378FC">
        <w:t xml:space="preserve">The bars attached to each estimate indicate the 95 per cent confidence interval of the estimate. </w:t>
      </w:r>
    </w:p>
    <w:p w:rsidR="00E862A5" w:rsidRPr="00D378FC" w:rsidRDefault="000A2A19" w:rsidP="000A2A19">
      <w:pPr>
        <w:pStyle w:val="Note"/>
      </w:pPr>
      <w:r w:rsidRPr="00D378FC">
        <w:rPr>
          <w:i/>
        </w:rPr>
        <w:t>Data</w:t>
      </w:r>
      <w:r w:rsidR="00062EFA">
        <w:rPr>
          <w:i/>
        </w:rPr>
        <w:t xml:space="preserve"> source</w:t>
      </w:r>
      <w:r w:rsidRPr="00D378FC">
        <w:t xml:space="preserve">: Productivity Commission estimates based on NATSISS </w:t>
      </w:r>
      <w:r w:rsidR="00062EFA">
        <w:t>(</w:t>
      </w:r>
      <w:r w:rsidRPr="00D378FC">
        <w:t>2008</w:t>
      </w:r>
      <w:r w:rsidR="00062EFA">
        <w:t>)</w:t>
      </w:r>
      <w:r w:rsidRPr="00D378FC">
        <w:t>.</w:t>
      </w:r>
    </w:p>
    <w:p w:rsidR="00B20CCD" w:rsidRPr="00155A5A" w:rsidRDefault="00F02A02" w:rsidP="00155A5A">
      <w:pPr>
        <w:pStyle w:val="ListBullet"/>
        <w:numPr>
          <w:ilvl w:val="0"/>
          <w:numId w:val="0"/>
        </w:numPr>
      </w:pPr>
      <w:r w:rsidRPr="00155A5A">
        <w:br w:type="page"/>
      </w:r>
      <w:r w:rsidRPr="00155A5A">
        <w:lastRenderedPageBreak/>
        <w:t xml:space="preserve">Biddle and Webster (2007) estimated marginal effects for Indigenous people using a single multinomial </w:t>
      </w:r>
      <w:proofErr w:type="spellStart"/>
      <w:r w:rsidRPr="00155A5A">
        <w:t>probit</w:t>
      </w:r>
      <w:proofErr w:type="spellEnd"/>
      <w:r w:rsidRPr="00155A5A">
        <w:t xml:space="preserve"> model (without separating the sample into men and women), and also found a strong negative relationship between having a disability, and the probability of employment (both mainstream employment and </w:t>
      </w:r>
      <w:proofErr w:type="spellStart"/>
      <w:r w:rsidRPr="00155A5A">
        <w:t>CDEP</w:t>
      </w:r>
      <w:proofErr w:type="spellEnd"/>
      <w:r w:rsidRPr="00155A5A">
        <w:t xml:space="preserve"> participation) and labour force participation.</w:t>
      </w:r>
    </w:p>
    <w:p w:rsidR="00AE3750" w:rsidRPr="00D378FC" w:rsidRDefault="006050F6" w:rsidP="006431AC">
      <w:pPr>
        <w:pStyle w:val="Heading2"/>
      </w:pPr>
      <w:r>
        <w:t>5.</w:t>
      </w:r>
      <w:r w:rsidR="002416C8">
        <w:rPr>
          <w:noProof/>
        </w:rPr>
        <w:t>2</w:t>
      </w:r>
      <w:r w:rsidR="00B11917" w:rsidRPr="00D378FC">
        <w:tab/>
      </w:r>
      <w:r w:rsidR="00820356">
        <w:t>Associations with</w:t>
      </w:r>
      <w:r w:rsidR="00727BE6">
        <w:t xml:space="preserve"> e</w:t>
      </w:r>
      <w:r w:rsidR="00AE3750" w:rsidRPr="00D378FC">
        <w:t>ducation</w:t>
      </w:r>
      <w:r w:rsidR="00727BE6">
        <w:t>al attainment</w:t>
      </w:r>
    </w:p>
    <w:p w:rsidR="00B027D4" w:rsidRPr="00D378FC" w:rsidRDefault="00AE3750" w:rsidP="002163E2">
      <w:pPr>
        <w:pStyle w:val="BodyText"/>
      </w:pPr>
      <w:r w:rsidRPr="00D378FC">
        <w:rPr>
          <w:rStyle w:val="BodyTextChar"/>
        </w:rPr>
        <w:t>Most studies find that higher</w:t>
      </w:r>
      <w:r w:rsidRPr="00D378FC">
        <w:t xml:space="preserve"> levels of education</w:t>
      </w:r>
      <w:r w:rsidR="00727BE6">
        <w:t>al</w:t>
      </w:r>
      <w:r w:rsidRPr="00D378FC">
        <w:t xml:space="preserve"> attainment are associated with improved </w:t>
      </w:r>
      <w:r w:rsidR="00820356">
        <w:t>LMOs</w:t>
      </w:r>
      <w:r w:rsidRPr="00D378FC">
        <w:t>, holding other factors constant. This study examines the marginal effects of educational attainment relative to having complete</w:t>
      </w:r>
      <w:r w:rsidR="00ED02E3" w:rsidRPr="00D378FC">
        <w:t>d year 10 or 11</w:t>
      </w:r>
      <w:r w:rsidR="000463B1">
        <w:t xml:space="preserve"> and no non-school qualification</w:t>
      </w:r>
      <w:r w:rsidR="00ED02E3" w:rsidRPr="00D378FC">
        <w:t>. For this analysis</w:t>
      </w:r>
      <w:r w:rsidRPr="00D378FC">
        <w:t xml:space="preserve">, a ‘pathways’ approach was used to combine years of schooling with non-school qualifications, recognising that people may take different pathways through the education system. </w:t>
      </w:r>
      <w:r w:rsidR="00B027D4" w:rsidRPr="00D378FC">
        <w:t xml:space="preserve">This approach is particularly relevant to the way that Indigenous people tend to engage with the education system compared to non-Indigenous </w:t>
      </w:r>
      <w:r w:rsidR="00C10C89" w:rsidRPr="00D378FC">
        <w:t>people</w:t>
      </w:r>
      <w:r w:rsidR="00C10C89">
        <w:t> </w:t>
      </w:r>
      <w:r w:rsidR="00C10C89" w:rsidRPr="00D378FC">
        <w:t>—</w:t>
      </w:r>
      <w:r w:rsidR="00C10C89">
        <w:t> </w:t>
      </w:r>
      <w:r w:rsidR="00B027D4" w:rsidRPr="00D378FC">
        <w:t>on average, Indigenous people have lower levels of non-school qualifications and obtain them at a later age, often without having completed year 12.</w:t>
      </w:r>
    </w:p>
    <w:p w:rsidR="002163E2" w:rsidRDefault="00727BE6" w:rsidP="002163E2">
      <w:pPr>
        <w:pStyle w:val="BodyText"/>
      </w:pPr>
      <w:r>
        <w:t>T</w:t>
      </w:r>
      <w:r w:rsidR="00AE3750" w:rsidRPr="00D378FC">
        <w:t xml:space="preserve">he </w:t>
      </w:r>
      <w:r w:rsidR="001B40CC">
        <w:t>associations between</w:t>
      </w:r>
      <w:r w:rsidR="00AE3750" w:rsidRPr="00D378FC">
        <w:t xml:space="preserve"> having a non</w:t>
      </w:r>
      <w:r w:rsidR="00EA5553">
        <w:t>-school</w:t>
      </w:r>
      <w:r w:rsidR="00AE3750" w:rsidRPr="00D378FC">
        <w:t xml:space="preserve"> qualification was estimated separately for people who completed year 12, who completed year 10 or 11 only, and who had not completed year 10. The </w:t>
      </w:r>
      <w:r w:rsidR="001B40CC">
        <w:t>association between</w:t>
      </w:r>
      <w:r w:rsidR="00AE3750" w:rsidRPr="00D378FC">
        <w:t xml:space="preserve"> having a degree was estimated separately from t</w:t>
      </w:r>
      <w:r w:rsidR="002163E2" w:rsidRPr="00D378FC">
        <w:t xml:space="preserve">he other education categories. </w:t>
      </w:r>
      <w:r w:rsidR="00AE3750" w:rsidRPr="00D378FC">
        <w:t xml:space="preserve">The estimated </w:t>
      </w:r>
      <w:r w:rsidR="001B40CC">
        <w:t>associations between education, and</w:t>
      </w:r>
      <w:r w:rsidR="00AE3750" w:rsidRPr="00D378FC">
        <w:t xml:space="preserve"> the probability of being employed and not in the labour force are reported in figure </w:t>
      </w:r>
      <w:bookmarkStart w:id="5" w:name="_1376903682"/>
      <w:bookmarkStart w:id="6" w:name="_1376905122"/>
      <w:bookmarkEnd w:id="5"/>
      <w:bookmarkEnd w:id="6"/>
      <w:r w:rsidR="006050F6">
        <w:t>5.2</w:t>
      </w:r>
      <w:r w:rsidR="00AE3750" w:rsidRPr="00D378FC">
        <w:t xml:space="preserve">. </w:t>
      </w:r>
    </w:p>
    <w:p w:rsidR="0078255A" w:rsidRPr="00D378FC" w:rsidRDefault="00AE3750" w:rsidP="0078255A">
      <w:pPr>
        <w:pStyle w:val="ListBullet"/>
        <w:numPr>
          <w:ilvl w:val="0"/>
          <w:numId w:val="0"/>
        </w:numPr>
      </w:pPr>
      <w:r w:rsidRPr="00D378FC">
        <w:t xml:space="preserve">For </w:t>
      </w:r>
      <w:r w:rsidR="0078255A">
        <w:t xml:space="preserve">Indigenous </w:t>
      </w:r>
      <w:r w:rsidRPr="00D378FC">
        <w:t xml:space="preserve">women, </w:t>
      </w:r>
      <w:r w:rsidR="002163E2" w:rsidRPr="00D378FC">
        <w:t xml:space="preserve">the </w:t>
      </w:r>
      <w:r w:rsidR="001B40CC">
        <w:t>associations between</w:t>
      </w:r>
      <w:r w:rsidR="002163E2" w:rsidRPr="00D378FC">
        <w:t xml:space="preserve"> education</w:t>
      </w:r>
      <w:r w:rsidR="001B40CC">
        <w:t>,</w:t>
      </w:r>
      <w:r w:rsidR="002163E2" w:rsidRPr="00D378FC">
        <w:t xml:space="preserve"> </w:t>
      </w:r>
      <w:r w:rsidR="001B40CC">
        <w:t>and</w:t>
      </w:r>
      <w:r w:rsidR="002163E2" w:rsidRPr="00D378FC">
        <w:t xml:space="preserve"> employment and labour force participation were statistically significant and relatively large. Any education </w:t>
      </w:r>
      <w:r w:rsidR="00973891">
        <w:t xml:space="preserve">of year 10 or </w:t>
      </w:r>
      <w:r w:rsidR="002163E2" w:rsidRPr="00D378FC">
        <w:t>above was associated with an increased probability of being in the labour force and being employed</w:t>
      </w:r>
      <w:r w:rsidR="00973891">
        <w:t>, and</w:t>
      </w:r>
      <w:bookmarkStart w:id="7" w:name="_GoBack"/>
      <w:bookmarkEnd w:id="7"/>
      <w:r w:rsidR="00973891">
        <w:t xml:space="preserve"> having a non-school qualification without year 10 was also associated with increased probability of labour force participation</w:t>
      </w:r>
      <w:r w:rsidR="002163E2" w:rsidRPr="00D378FC">
        <w:t xml:space="preserve">. </w:t>
      </w:r>
      <w:r w:rsidR="0078255A">
        <w:t xml:space="preserve">Obtaining a degree had the largest positive </w:t>
      </w:r>
      <w:r w:rsidR="001B40CC">
        <w:t xml:space="preserve">association with </w:t>
      </w:r>
      <w:r w:rsidR="0078255A">
        <w:t>the probability of being in the labour force (</w:t>
      </w:r>
      <w:r w:rsidR="000A7FD5">
        <w:t>16</w:t>
      </w:r>
      <w:r w:rsidR="006D0C0B">
        <w:t> percentage points</w:t>
      </w:r>
      <w:r w:rsidR="0078255A">
        <w:t xml:space="preserve">) and </w:t>
      </w:r>
      <w:r w:rsidR="001B40CC">
        <w:t>with</w:t>
      </w:r>
      <w:r w:rsidR="0078255A">
        <w:t xml:space="preserve"> being employed </w:t>
      </w:r>
      <w:r w:rsidR="000A7FD5">
        <w:t>(19 percentage points)</w:t>
      </w:r>
      <w:r w:rsidR="0078255A" w:rsidRPr="00D378FC">
        <w:t xml:space="preserve"> compared to Indigenous women </w:t>
      </w:r>
      <w:r w:rsidR="00CA489C">
        <w:t>with year 10 or 11 schooling but no other</w:t>
      </w:r>
      <w:r w:rsidR="0078255A" w:rsidRPr="00D378FC">
        <w:t xml:space="preserve"> qualification. </w:t>
      </w:r>
      <w:r w:rsidR="009F558E">
        <w:t xml:space="preserve">The </w:t>
      </w:r>
      <w:r w:rsidR="002B1C8A">
        <w:t>increase in the probability</w:t>
      </w:r>
      <w:r w:rsidR="000A01F9">
        <w:t xml:space="preserve"> of being employed </w:t>
      </w:r>
      <w:r w:rsidR="002B1C8A">
        <w:t>associated with</w:t>
      </w:r>
      <w:r w:rsidR="000A01F9">
        <w:t xml:space="preserve"> having </w:t>
      </w:r>
      <w:r w:rsidR="002B1C8A">
        <w:t xml:space="preserve">a </w:t>
      </w:r>
      <w:r w:rsidR="000A01F9">
        <w:t>year 12 plus a non</w:t>
      </w:r>
      <w:r w:rsidR="00973891">
        <w:t>-</w:t>
      </w:r>
      <w:r w:rsidR="000A01F9">
        <w:t xml:space="preserve">school </w:t>
      </w:r>
      <w:r w:rsidR="00BA1781">
        <w:t>qualification</w:t>
      </w:r>
      <w:r w:rsidR="002B1C8A">
        <w:t xml:space="preserve">, compared to those with year 10 or 11 education only, </w:t>
      </w:r>
      <w:r w:rsidR="00BA1781">
        <w:t>was also</w:t>
      </w:r>
      <w:r w:rsidR="0084468B">
        <w:t xml:space="preserve"> </w:t>
      </w:r>
      <w:r w:rsidR="002B1C8A">
        <w:t>large</w:t>
      </w:r>
      <w:r w:rsidR="00BA1781">
        <w:t xml:space="preserve"> </w:t>
      </w:r>
      <w:r w:rsidR="002B1C8A">
        <w:t>(</w:t>
      </w:r>
      <w:r w:rsidR="00BA1781">
        <w:t>1</w:t>
      </w:r>
      <w:r w:rsidR="002B1C8A">
        <w:t>7 </w:t>
      </w:r>
      <w:r w:rsidR="00BA1781">
        <w:t>percentage points</w:t>
      </w:r>
      <w:r w:rsidR="002B1C8A">
        <w:t>)</w:t>
      </w:r>
      <w:r w:rsidR="00BA1781">
        <w:t>.</w:t>
      </w:r>
    </w:p>
    <w:p w:rsidR="00CA489C" w:rsidRDefault="00CA489C" w:rsidP="00CA489C">
      <w:pPr>
        <w:pStyle w:val="BodyText"/>
      </w:pPr>
      <w:r w:rsidRPr="00D378FC">
        <w:lastRenderedPageBreak/>
        <w:t xml:space="preserve">For </w:t>
      </w:r>
      <w:r>
        <w:t xml:space="preserve">Indigenous </w:t>
      </w:r>
      <w:r w:rsidRPr="00D378FC">
        <w:t>men, the results were more varied and relationship</w:t>
      </w:r>
      <w:r>
        <w:t>s</w:t>
      </w:r>
      <w:r w:rsidRPr="00D378FC">
        <w:t xml:space="preserve"> between some education variables and improved </w:t>
      </w:r>
      <w:proofErr w:type="spellStart"/>
      <w:r>
        <w:t>LMO</w:t>
      </w:r>
      <w:r w:rsidRPr="00D378FC">
        <w:t>s</w:t>
      </w:r>
      <w:proofErr w:type="spellEnd"/>
      <w:r w:rsidRPr="00D378FC">
        <w:t xml:space="preserve"> </w:t>
      </w:r>
      <w:r w:rsidR="002B1C8A">
        <w:t>were</w:t>
      </w:r>
      <w:r w:rsidR="002B1C8A" w:rsidRPr="00D378FC">
        <w:t xml:space="preserve"> </w:t>
      </w:r>
      <w:r w:rsidRPr="00D378FC">
        <w:t xml:space="preserve">weaker. </w:t>
      </w:r>
      <w:r>
        <w:t>C</w:t>
      </w:r>
      <w:r w:rsidRPr="00D378FC">
        <w:t>ompared t</w:t>
      </w:r>
      <w:r>
        <w:t xml:space="preserve">o Indigenous men with </w:t>
      </w:r>
      <w:r w:rsidRPr="00D378FC">
        <w:t>year 10</w:t>
      </w:r>
      <w:r>
        <w:t xml:space="preserve"> or 11</w:t>
      </w:r>
      <w:r w:rsidRPr="00D378FC">
        <w:t xml:space="preserve"> </w:t>
      </w:r>
      <w:r>
        <w:t>and no non-school qualification:</w:t>
      </w:r>
    </w:p>
    <w:p w:rsidR="00CA489C" w:rsidRDefault="00CA489C" w:rsidP="00CA489C">
      <w:pPr>
        <w:pStyle w:val="ListBullet"/>
      </w:pPr>
      <w:r>
        <w:t>Indigenous men</w:t>
      </w:r>
      <w:r w:rsidRPr="00D378FC">
        <w:t xml:space="preserve"> with</w:t>
      </w:r>
      <w:r>
        <w:t xml:space="preserve"> </w:t>
      </w:r>
      <w:r w:rsidRPr="00D378FC">
        <w:t>year 12 plus a</w:t>
      </w:r>
      <w:r>
        <w:t xml:space="preserve"> non</w:t>
      </w:r>
      <w:r>
        <w:noBreakHyphen/>
      </w:r>
      <w:r w:rsidRPr="00D378FC">
        <w:t>school qualific</w:t>
      </w:r>
      <w:r>
        <w:t>ation were 3</w:t>
      </w:r>
      <w:r w:rsidRPr="00D378FC">
        <w:t> percentage points more likely to be in the labo</w:t>
      </w:r>
      <w:r>
        <w:t>ur force, and 6</w:t>
      </w:r>
      <w:r w:rsidRPr="00D378FC">
        <w:t> percentage points more likely to be employed</w:t>
      </w:r>
    </w:p>
    <w:p w:rsidR="00317AFA" w:rsidRDefault="00317AFA" w:rsidP="00CA489C">
      <w:pPr>
        <w:pStyle w:val="ListBullet"/>
      </w:pPr>
      <w:r>
        <w:t>Indigenous men who did not complete year 10 and had no non-school qualification were 4 percentage points less likely to be employed and in the labour force.</w:t>
      </w:r>
    </w:p>
    <w:p w:rsidR="00CA489C" w:rsidRDefault="00BA1781" w:rsidP="00CA489C">
      <w:pPr>
        <w:pStyle w:val="BodyText"/>
      </w:pPr>
      <w:r>
        <w:t>T</w:t>
      </w:r>
      <w:r w:rsidR="00CA489C">
        <w:t xml:space="preserve">he </w:t>
      </w:r>
      <w:r w:rsidR="00215474">
        <w:t>results for</w:t>
      </w:r>
      <w:r w:rsidR="00CA489C">
        <w:t xml:space="preserve"> </w:t>
      </w:r>
      <w:r w:rsidR="005A0A7A">
        <w:t xml:space="preserve">other education outcomes </w:t>
      </w:r>
      <w:r w:rsidR="00CA489C">
        <w:t>were not statistically significant</w:t>
      </w:r>
      <w:r w:rsidR="005A0A7A">
        <w:t>ly different</w:t>
      </w:r>
      <w:r w:rsidR="00CA489C">
        <w:t xml:space="preserve"> </w:t>
      </w:r>
      <w:r w:rsidR="005A0A7A">
        <w:t>(</w:t>
      </w:r>
      <w:r w:rsidR="00CA489C">
        <w:t xml:space="preserve">at the </w:t>
      </w:r>
      <w:r w:rsidR="005A0A7A">
        <w:t>5</w:t>
      </w:r>
      <w:r w:rsidR="00CA489C">
        <w:t> per cent level</w:t>
      </w:r>
      <w:r w:rsidR="005A0A7A">
        <w:t xml:space="preserve">) from completing year 10 or 11. </w:t>
      </w:r>
      <w:r w:rsidR="00AF4293">
        <w:t>On the face of it, t</w:t>
      </w:r>
      <w:r w:rsidR="00CA489C">
        <w:t>hese results</w:t>
      </w:r>
      <w:r w:rsidR="00AF4293">
        <w:t xml:space="preserve"> </w:t>
      </w:r>
      <w:r w:rsidR="00CA489C">
        <w:t xml:space="preserve">suggest that </w:t>
      </w:r>
      <w:r w:rsidR="00AF4293">
        <w:t xml:space="preserve">there is weak evidence that higher levels of educational attainment affect </w:t>
      </w:r>
      <w:proofErr w:type="spellStart"/>
      <w:r w:rsidR="00AF4293">
        <w:t>LMOs</w:t>
      </w:r>
      <w:proofErr w:type="spellEnd"/>
      <w:r>
        <w:t xml:space="preserve"> for men</w:t>
      </w:r>
      <w:r w:rsidR="00AF4293">
        <w:t xml:space="preserve">, </w:t>
      </w:r>
      <w:r w:rsidR="001E02B9">
        <w:t>although the results</w:t>
      </w:r>
      <w:r w:rsidR="00AF4293">
        <w:t xml:space="preserve"> may be reflective of small subsample sizes (particularly for men with degrees), rather than the true relationship between educational attainment and LMOs. It may also indicate that </w:t>
      </w:r>
      <w:r w:rsidR="00CA489C">
        <w:t>other factors are important in determining</w:t>
      </w:r>
      <w:r w:rsidR="00AF4293">
        <w:t xml:space="preserve"> the</w:t>
      </w:r>
      <w:r w:rsidR="00CA489C">
        <w:t xml:space="preserve"> LMOs</w:t>
      </w:r>
      <w:r w:rsidR="00AF4293">
        <w:t xml:space="preserve"> of Indigenous men</w:t>
      </w:r>
      <w:r w:rsidR="00CA489C">
        <w:t>.</w:t>
      </w:r>
    </w:p>
    <w:p w:rsidR="001E02B9" w:rsidRPr="00AF4293" w:rsidRDefault="001E02B9" w:rsidP="001E02B9">
      <w:pPr>
        <w:pStyle w:val="BodyText"/>
      </w:pPr>
      <w:r w:rsidRPr="00D378FC">
        <w:t>There was generally no statistically significant relationship between education and both CDEP and unemployment outcomes for men and women (most likely due to high standard errors resulting from the small sample size for th</w:t>
      </w:r>
      <w:r>
        <w:t>ese</w:t>
      </w:r>
      <w:r w:rsidRPr="00D378FC">
        <w:t xml:space="preserve"> outcome</w:t>
      </w:r>
      <w:r>
        <w:t>s</w:t>
      </w:r>
      <w:r w:rsidRPr="00D378FC">
        <w:t>) (</w:t>
      </w:r>
      <w:r>
        <w:t>table A.4 and A.5</w:t>
      </w:r>
      <w:r w:rsidRPr="00D378FC">
        <w:t>).</w:t>
      </w:r>
    </w:p>
    <w:p w:rsidR="001E02B9" w:rsidRDefault="001E02B9" w:rsidP="001E02B9">
      <w:pPr>
        <w:pStyle w:val="BodyText"/>
        <w:rPr>
          <w:lang w:eastAsia="en-US"/>
        </w:rPr>
      </w:pPr>
      <w:r>
        <w:rPr>
          <w:lang w:eastAsia="en-US"/>
        </w:rPr>
        <w:t>Results in this analysis are broadly consistent with other similar studies. However, results vary depending on the education levels examined and the choice of reference category.</w:t>
      </w:r>
    </w:p>
    <w:p w:rsidR="001E02B9" w:rsidRPr="00D378FC" w:rsidRDefault="001E02B9" w:rsidP="001E02B9">
      <w:pPr>
        <w:pStyle w:val="BodyText"/>
        <w:rPr>
          <w:lang w:eastAsia="en-US"/>
        </w:rPr>
      </w:pPr>
      <w:r w:rsidRPr="00D378FC">
        <w:rPr>
          <w:lang w:eastAsia="en-US"/>
        </w:rPr>
        <w:t xml:space="preserve">Stephens (2010) </w:t>
      </w:r>
      <w:r>
        <w:rPr>
          <w:lang w:eastAsia="en-US"/>
        </w:rPr>
        <w:t>used a reference group which had</w:t>
      </w:r>
      <w:r w:rsidRPr="00D378FC">
        <w:rPr>
          <w:lang w:eastAsia="en-US"/>
        </w:rPr>
        <w:t xml:space="preserve"> completed year 10 but with no further qualifications and found that higher education levels were associated with a higher probability of employment and labour force participation. In particular, having a degree or certificate was associated with a 15</w:t>
      </w:r>
      <w:r>
        <w:rPr>
          <w:lang w:eastAsia="en-US"/>
        </w:rPr>
        <w:t> </w:t>
      </w:r>
      <w:r w:rsidRPr="00D378FC">
        <w:rPr>
          <w:lang w:eastAsia="en-US"/>
        </w:rPr>
        <w:t>percentage point increase in the probability of employment for Indigenous men and a 4</w:t>
      </w:r>
      <w:r>
        <w:rPr>
          <w:lang w:eastAsia="en-US"/>
        </w:rPr>
        <w:t>2 </w:t>
      </w:r>
      <w:r w:rsidRPr="00D378FC">
        <w:rPr>
          <w:lang w:eastAsia="en-US"/>
        </w:rPr>
        <w:t>percentage point</w:t>
      </w:r>
      <w:r>
        <w:rPr>
          <w:lang w:eastAsia="en-US"/>
        </w:rPr>
        <w:t xml:space="preserve"> </w:t>
      </w:r>
      <w:r w:rsidRPr="00D378FC">
        <w:rPr>
          <w:lang w:eastAsia="en-US"/>
        </w:rPr>
        <w:t xml:space="preserve"> increase for women. </w:t>
      </w:r>
      <w:r>
        <w:rPr>
          <w:lang w:eastAsia="en-US"/>
        </w:rPr>
        <w:t xml:space="preserve">Stephens (2010) also found </w:t>
      </w:r>
      <w:r w:rsidR="00215474" w:rsidRPr="00D378FC">
        <w:rPr>
          <w:lang w:eastAsia="en-US"/>
        </w:rPr>
        <w:t>negative associat</w:t>
      </w:r>
      <w:r w:rsidR="00215474">
        <w:rPr>
          <w:lang w:eastAsia="en-US"/>
        </w:rPr>
        <w:t>ions between</w:t>
      </w:r>
      <w:r w:rsidRPr="00D378FC">
        <w:rPr>
          <w:lang w:eastAsia="en-US"/>
        </w:rPr>
        <w:t xml:space="preserve"> education levels </w:t>
      </w:r>
      <w:r w:rsidR="003D4FC3">
        <w:rPr>
          <w:lang w:eastAsia="en-US"/>
        </w:rPr>
        <w:t>of</w:t>
      </w:r>
      <w:r>
        <w:rPr>
          <w:lang w:eastAsia="en-US"/>
        </w:rPr>
        <w:t xml:space="preserve"> </w:t>
      </w:r>
      <w:r w:rsidRPr="00D378FC">
        <w:rPr>
          <w:lang w:eastAsia="en-US"/>
        </w:rPr>
        <w:t xml:space="preserve">year 9 </w:t>
      </w:r>
      <w:r>
        <w:rPr>
          <w:lang w:eastAsia="en-US"/>
        </w:rPr>
        <w:t xml:space="preserve">and </w:t>
      </w:r>
      <w:r w:rsidRPr="00D378FC">
        <w:rPr>
          <w:lang w:eastAsia="en-US"/>
        </w:rPr>
        <w:t xml:space="preserve">below </w:t>
      </w:r>
      <w:r w:rsidR="003D4FC3">
        <w:rPr>
          <w:lang w:eastAsia="en-US"/>
        </w:rPr>
        <w:t>and</w:t>
      </w:r>
      <w:r w:rsidRPr="00D378FC">
        <w:rPr>
          <w:lang w:eastAsia="en-US"/>
        </w:rPr>
        <w:t xml:space="preserve"> </w:t>
      </w:r>
      <w:r>
        <w:rPr>
          <w:lang w:eastAsia="en-US"/>
        </w:rPr>
        <w:t xml:space="preserve">mainstream </w:t>
      </w:r>
      <w:r w:rsidRPr="00D378FC">
        <w:rPr>
          <w:lang w:eastAsia="en-US"/>
        </w:rPr>
        <w:t xml:space="preserve">employment. This might reflect other factors that affect </w:t>
      </w:r>
      <w:proofErr w:type="spellStart"/>
      <w:r>
        <w:rPr>
          <w:lang w:eastAsia="en-US"/>
        </w:rPr>
        <w:t>LMO</w:t>
      </w:r>
      <w:r w:rsidRPr="00D378FC">
        <w:rPr>
          <w:lang w:eastAsia="en-US"/>
        </w:rPr>
        <w:t>s</w:t>
      </w:r>
      <w:proofErr w:type="spellEnd"/>
      <w:r w:rsidRPr="00D378FC">
        <w:rPr>
          <w:lang w:eastAsia="en-US"/>
        </w:rPr>
        <w:t xml:space="preserve"> </w:t>
      </w:r>
      <w:r w:rsidR="003D4FC3">
        <w:rPr>
          <w:lang w:eastAsia="en-US"/>
        </w:rPr>
        <w:t>apart</w:t>
      </w:r>
      <w:r>
        <w:rPr>
          <w:lang w:eastAsia="en-US"/>
        </w:rPr>
        <w:t xml:space="preserve"> from </w:t>
      </w:r>
      <w:r w:rsidRPr="00D378FC">
        <w:rPr>
          <w:lang w:eastAsia="en-US"/>
        </w:rPr>
        <w:t>educational attainment, such as family dysfunction or social exclusion</w:t>
      </w:r>
      <w:r w:rsidR="004A4CEE">
        <w:rPr>
          <w:lang w:eastAsia="en-US"/>
        </w:rPr>
        <w:t xml:space="preserve"> (Stephens 2010)</w:t>
      </w:r>
      <w:r w:rsidRPr="00D378FC">
        <w:rPr>
          <w:lang w:eastAsia="en-US"/>
        </w:rPr>
        <w:t xml:space="preserve">. </w:t>
      </w:r>
    </w:p>
    <w:p w:rsidR="001E02B9" w:rsidRDefault="001E02B9" w:rsidP="00CA489C">
      <w:pPr>
        <w:pStyle w:val="BodyText"/>
      </w:pPr>
    </w:p>
    <w:p w:rsidR="00AE3750" w:rsidRPr="00D378FC" w:rsidRDefault="00F26BC5" w:rsidP="00F26BC5">
      <w:pPr>
        <w:pStyle w:val="FigureTitle"/>
      </w:pPr>
      <w:r w:rsidRPr="00D378FC">
        <w:rPr>
          <w:b w:val="0"/>
        </w:rPr>
        <w:lastRenderedPageBreak/>
        <w:t xml:space="preserve">Figure </w:t>
      </w:r>
      <w:bookmarkStart w:id="8" w:name="OLE_LINK2"/>
      <w:r w:rsidR="006050F6">
        <w:rPr>
          <w:b w:val="0"/>
        </w:rPr>
        <w:t>5.</w:t>
      </w:r>
      <w:r w:rsidRPr="00D378FC">
        <w:rPr>
          <w:b w:val="0"/>
        </w:rPr>
        <w:t>2</w:t>
      </w:r>
      <w:bookmarkEnd w:id="8"/>
      <w:r w:rsidRPr="00D378FC">
        <w:tab/>
      </w:r>
      <w:r w:rsidR="00AE3750" w:rsidRPr="00D378FC">
        <w:t xml:space="preserve">Marginal </w:t>
      </w:r>
      <w:r w:rsidR="003D17F3" w:rsidRPr="00D378FC">
        <w:t>effects of education</w:t>
      </w:r>
      <w:r w:rsidR="00AE3750" w:rsidRPr="00D378FC">
        <w:t>,</w:t>
      </w:r>
      <w:r w:rsidR="008B468C" w:rsidRPr="00D378FC">
        <w:t xml:space="preserve"> Indigenous people,</w:t>
      </w:r>
      <w:r w:rsidR="00AE3750" w:rsidRPr="00D378FC">
        <w:t xml:space="preserve"> 2008 </w:t>
      </w:r>
      <w:r w:rsidR="00AE3750" w:rsidRPr="00D378FC">
        <w:rPr>
          <w:rStyle w:val="NoteLabel"/>
        </w:rPr>
        <w:t>a,b,c</w:t>
      </w:r>
    </w:p>
    <w:tbl>
      <w:tblPr>
        <w:tblW w:w="0" w:type="auto"/>
        <w:tblInd w:w="11" w:type="dxa"/>
        <w:tblBorders>
          <w:top w:val="single" w:sz="6" w:space="0" w:color="auto"/>
          <w:bottom w:val="single" w:sz="6" w:space="0" w:color="auto"/>
        </w:tblBorders>
        <w:tblLayout w:type="fixed"/>
        <w:tblCellMar>
          <w:left w:w="0" w:type="dxa"/>
          <w:right w:w="0" w:type="dxa"/>
        </w:tblCellMar>
        <w:tblLook w:val="0000" w:firstRow="0" w:lastRow="0" w:firstColumn="0" w:lastColumn="0" w:noHBand="0" w:noVBand="0"/>
      </w:tblPr>
      <w:tblGrid>
        <w:gridCol w:w="8777"/>
      </w:tblGrid>
      <w:tr w:rsidR="00AE3750" w:rsidRPr="00D378FC">
        <w:tc>
          <w:tcPr>
            <w:tcW w:w="8777" w:type="dxa"/>
          </w:tcPr>
          <w:p w:rsidR="00AE3750" w:rsidRPr="00FA5D21" w:rsidRDefault="00EE2D31" w:rsidP="00F16BD5">
            <w:pPr>
              <w:pStyle w:val="Figure"/>
            </w:pPr>
            <w:r>
              <w:pict>
                <v:shape id="_x0000_i1027" type="#_x0000_t75" style="width:438pt;height:265.5pt">
                  <v:imagedata r:id="rId11" o:title=""/>
                </v:shape>
              </w:pict>
            </w:r>
            <w:r>
              <w:pict>
                <v:shape id="_x0000_i1028" type="#_x0000_t75" style="width:438pt;height:264pt">
                  <v:imagedata r:id="rId12" o:title=""/>
                </v:shape>
              </w:pict>
            </w:r>
          </w:p>
        </w:tc>
      </w:tr>
    </w:tbl>
    <w:p w:rsidR="00AE3750" w:rsidRPr="00D378FC" w:rsidRDefault="00AE3750" w:rsidP="00AE3750">
      <w:pPr>
        <w:pStyle w:val="Note"/>
      </w:pPr>
      <w:r w:rsidRPr="00D378FC">
        <w:rPr>
          <w:rStyle w:val="NoteLabel"/>
        </w:rPr>
        <w:t>a</w:t>
      </w:r>
      <w:r w:rsidRPr="00D378FC">
        <w:t xml:space="preserve"> Education variables reflect the combinations of years of secondary schooling and non</w:t>
      </w:r>
      <w:r w:rsidRPr="00D378FC">
        <w:noBreakHyphen/>
        <w:t>school qualifications.</w:t>
      </w:r>
      <w:r w:rsidRPr="00D378FC">
        <w:rPr>
          <w:rStyle w:val="NoteLabel"/>
        </w:rPr>
        <w:t xml:space="preserve"> </w:t>
      </w:r>
      <w:r w:rsidRPr="00D378FC">
        <w:t xml:space="preserve">The estimated marginal effect indicates the change in the predicted probability of a labour market outcome for a change from year 10 or 11 and no non-school qualification. </w:t>
      </w:r>
      <w:r w:rsidRPr="00D378FC">
        <w:rPr>
          <w:rStyle w:val="NoteLabel"/>
        </w:rPr>
        <w:t>b</w:t>
      </w:r>
      <w:r w:rsidRPr="00D378FC">
        <w:t xml:space="preserve"> </w:t>
      </w:r>
      <w:r w:rsidR="00A96732" w:rsidRPr="00D378FC">
        <w:t xml:space="preserve">The probability of the </w:t>
      </w:r>
      <w:r w:rsidR="00BB13DD">
        <w:t>base person being employed is 89 per cent for men and 6</w:t>
      </w:r>
      <w:r w:rsidR="000463B1">
        <w:t>7</w:t>
      </w:r>
      <w:r w:rsidR="00A96732" w:rsidRPr="00D378FC">
        <w:t> per cent for women. The probability of the base person not participating in the labour fo</w:t>
      </w:r>
      <w:r w:rsidR="006B5D6F">
        <w:t>rce is 4 per cent for men and 26</w:t>
      </w:r>
      <w:r w:rsidR="00A96732" w:rsidRPr="00D378FC">
        <w:t xml:space="preserve"> per cent for women.</w:t>
      </w:r>
      <w:r w:rsidR="00090B6F" w:rsidRPr="00D378FC">
        <w:t xml:space="preserve"> Definitions of all variables are in table </w:t>
      </w:r>
      <w:r w:rsidR="002F025B">
        <w:t>A.</w:t>
      </w:r>
      <w:r w:rsidR="00090B6F" w:rsidRPr="00D378FC">
        <w:t xml:space="preserve">1. </w:t>
      </w:r>
      <w:r w:rsidRPr="00D378FC">
        <w:rPr>
          <w:rStyle w:val="NoteLabel"/>
        </w:rPr>
        <w:t xml:space="preserve">c </w:t>
      </w:r>
      <w:r w:rsidRPr="00D378FC">
        <w:t xml:space="preserve">The bars attached to each estimate indicate the 95 per cent confidence interval of the estimate. </w:t>
      </w:r>
    </w:p>
    <w:p w:rsidR="00AE3750" w:rsidRPr="00D378FC" w:rsidRDefault="00AE3750" w:rsidP="00AE3750">
      <w:pPr>
        <w:pStyle w:val="Note"/>
      </w:pPr>
      <w:r w:rsidRPr="00D378FC">
        <w:rPr>
          <w:i/>
        </w:rPr>
        <w:t>Data</w:t>
      </w:r>
      <w:r w:rsidR="0039065A">
        <w:rPr>
          <w:i/>
        </w:rPr>
        <w:t xml:space="preserve"> source</w:t>
      </w:r>
      <w:r w:rsidRPr="00D378FC">
        <w:t>: Productivity Commission e</w:t>
      </w:r>
      <w:r w:rsidR="00BF74E6" w:rsidRPr="00D378FC">
        <w:t xml:space="preserve">stimates based on NATSISS </w:t>
      </w:r>
      <w:r w:rsidR="0039065A">
        <w:t>(</w:t>
      </w:r>
      <w:r w:rsidR="00BF74E6" w:rsidRPr="00D378FC">
        <w:t>2008</w:t>
      </w:r>
      <w:r w:rsidR="0039065A">
        <w:t>)</w:t>
      </w:r>
      <w:r w:rsidR="00BF74E6" w:rsidRPr="00D378FC">
        <w:t>.</w:t>
      </w:r>
    </w:p>
    <w:p w:rsidR="00AE3750" w:rsidRPr="00D378FC" w:rsidRDefault="006050F6" w:rsidP="006431AC">
      <w:pPr>
        <w:pStyle w:val="Heading2"/>
      </w:pPr>
      <w:r>
        <w:lastRenderedPageBreak/>
        <w:t>5.</w:t>
      </w:r>
      <w:r w:rsidR="002416C8">
        <w:rPr>
          <w:noProof/>
        </w:rPr>
        <w:t>3</w:t>
      </w:r>
      <w:r w:rsidR="00B11917" w:rsidRPr="00D378FC">
        <w:tab/>
      </w:r>
      <w:r w:rsidR="00EE2157">
        <w:t>Associations with p</w:t>
      </w:r>
      <w:r w:rsidR="00F83B56" w:rsidRPr="00D378FC">
        <w:t>ersonal and demographic characteristics</w:t>
      </w:r>
    </w:p>
    <w:p w:rsidR="00E931D1" w:rsidRPr="00D378FC" w:rsidRDefault="00AE3750" w:rsidP="00AE3750">
      <w:pPr>
        <w:pStyle w:val="BodyText"/>
      </w:pPr>
      <w:r w:rsidRPr="00D378FC">
        <w:t xml:space="preserve">The </w:t>
      </w:r>
      <w:r w:rsidR="00EE2157">
        <w:t>associations between</w:t>
      </w:r>
      <w:r w:rsidRPr="00D378FC">
        <w:t xml:space="preserve"> </w:t>
      </w:r>
      <w:r w:rsidR="00F83B56" w:rsidRPr="00D378FC">
        <w:t>a range of personal and</w:t>
      </w:r>
      <w:r w:rsidR="00EE2157">
        <w:t xml:space="preserve"> demographic characteristics, and </w:t>
      </w:r>
      <w:r w:rsidR="00F83B56" w:rsidRPr="00D378FC">
        <w:t>labour force participation and employment ar</w:t>
      </w:r>
      <w:r w:rsidR="0076078F">
        <w:t>e presented in table </w:t>
      </w:r>
      <w:r w:rsidR="006050F6">
        <w:t>5.</w:t>
      </w:r>
      <w:r w:rsidR="002416C8">
        <w:rPr>
          <w:noProof/>
        </w:rPr>
        <w:t>1</w:t>
      </w:r>
      <w:r w:rsidR="00F83B56" w:rsidRPr="00D378FC">
        <w:t xml:space="preserve">. These characteristics include </w:t>
      </w:r>
      <w:r w:rsidRPr="00D378FC">
        <w:t>years of w</w:t>
      </w:r>
      <w:r w:rsidR="00DE6331" w:rsidRPr="00D378FC">
        <w:t>ork experience</w:t>
      </w:r>
      <w:r w:rsidR="00D30F28" w:rsidRPr="00D378FC">
        <w:t>, location (remoteness</w:t>
      </w:r>
      <w:r w:rsidR="00176EB8">
        <w:t>, living in homelands</w:t>
      </w:r>
      <w:r w:rsidR="00D30F28" w:rsidRPr="00D378FC">
        <w:t xml:space="preserve"> and the Socio-Economic Index for Areas (SEIFA</w:t>
      </w:r>
      <w:r w:rsidR="00DE6331" w:rsidRPr="00D378FC">
        <w:t>)</w:t>
      </w:r>
      <w:r w:rsidR="008319C8" w:rsidRPr="00D378FC">
        <w:t>)</w:t>
      </w:r>
      <w:r w:rsidR="00D30F28" w:rsidRPr="00D378FC">
        <w:t>,</w:t>
      </w:r>
      <w:r w:rsidRPr="00D378FC">
        <w:t xml:space="preserve"> having difficulty with the English language, and history of arrest and imprisonment.</w:t>
      </w:r>
    </w:p>
    <w:p w:rsidR="00AE3750" w:rsidRDefault="003D17F3" w:rsidP="00AE3750">
      <w:pPr>
        <w:pStyle w:val="FigureTitle"/>
        <w:ind w:left="2160" w:hanging="2160"/>
      </w:pPr>
      <w:r w:rsidRPr="00D378FC">
        <w:rPr>
          <w:b w:val="0"/>
        </w:rPr>
        <w:t xml:space="preserve">Table </w:t>
      </w:r>
      <w:r w:rsidR="006050F6">
        <w:rPr>
          <w:b w:val="0"/>
        </w:rPr>
        <w:t>5.</w:t>
      </w:r>
      <w:r w:rsidR="00E931D1" w:rsidRPr="00D378FC">
        <w:rPr>
          <w:b w:val="0"/>
        </w:rPr>
        <w:t>1</w:t>
      </w:r>
      <w:r w:rsidRPr="00D378FC">
        <w:tab/>
      </w:r>
      <w:r w:rsidR="00AE3750" w:rsidRPr="00D378FC">
        <w:t xml:space="preserve">Marginal effects of </w:t>
      </w:r>
      <w:r w:rsidR="0046008B" w:rsidRPr="00D378FC">
        <w:t>selected personal and demographic characteristics</w:t>
      </w:r>
      <w:r w:rsidR="00AE3750" w:rsidRPr="00D378FC">
        <w:t>,</w:t>
      </w:r>
      <w:r w:rsidR="008B468C" w:rsidRPr="00D378FC">
        <w:t xml:space="preserve"> Indigenous people</w:t>
      </w:r>
      <w:r w:rsidR="00AE3750" w:rsidRPr="00D378FC">
        <w:t xml:space="preserve"> 2008 </w:t>
      </w:r>
      <w:r w:rsidR="00AE3750" w:rsidRPr="00D378FC">
        <w:rPr>
          <w:rStyle w:val="NoteLabel"/>
        </w:rPr>
        <w:t>a</w:t>
      </w:r>
      <w:r w:rsidR="00AE3750" w:rsidRPr="00D378FC">
        <w:t xml:space="preserve"> </w:t>
      </w:r>
    </w:p>
    <w:p w:rsidR="00662C0E" w:rsidRPr="00662C0E" w:rsidRDefault="001E02B9" w:rsidP="00662C0E">
      <w:pPr>
        <w:pStyle w:val="Subtitle"/>
      </w:pPr>
      <w:r>
        <w:tab/>
      </w:r>
      <w:r w:rsidRPr="00662C0E">
        <w:t>Percentage</w:t>
      </w:r>
      <w:r w:rsidR="00662C0E" w:rsidRPr="00662C0E">
        <w:t xml:space="preserve"> point change in predicted probability</w:t>
      </w:r>
    </w:p>
    <w:tbl>
      <w:tblPr>
        <w:tblW w:w="4917" w:type="pct"/>
        <w:tblCellMar>
          <w:left w:w="0" w:type="dxa"/>
          <w:right w:w="0" w:type="dxa"/>
        </w:tblCellMar>
        <w:tblLook w:val="0000" w:firstRow="0" w:lastRow="0" w:firstColumn="0" w:lastColumn="0" w:noHBand="0" w:noVBand="0"/>
      </w:tblPr>
      <w:tblGrid>
        <w:gridCol w:w="1774"/>
        <w:gridCol w:w="1272"/>
        <w:gridCol w:w="603"/>
        <w:gridCol w:w="714"/>
        <w:gridCol w:w="714"/>
        <w:gridCol w:w="700"/>
        <w:gridCol w:w="729"/>
        <w:gridCol w:w="716"/>
        <w:gridCol w:w="714"/>
        <w:gridCol w:w="707"/>
      </w:tblGrid>
      <w:tr w:rsidR="00AE3750" w:rsidRPr="00D378FC" w:rsidTr="001E02B9">
        <w:tc>
          <w:tcPr>
            <w:tcW w:w="1026" w:type="pct"/>
            <w:tcBorders>
              <w:top w:val="single" w:sz="4" w:space="0" w:color="auto"/>
            </w:tcBorders>
            <w:shd w:val="clear" w:color="auto" w:fill="auto"/>
          </w:tcPr>
          <w:p w:rsidR="00AE3750" w:rsidRPr="00D378FC" w:rsidRDefault="00AE3750" w:rsidP="00AE3750">
            <w:pPr>
              <w:pStyle w:val="TableColumnHeading"/>
            </w:pPr>
          </w:p>
        </w:tc>
        <w:tc>
          <w:tcPr>
            <w:tcW w:w="736" w:type="pct"/>
            <w:tcBorders>
              <w:top w:val="single" w:sz="4" w:space="0" w:color="auto"/>
            </w:tcBorders>
            <w:shd w:val="clear" w:color="auto" w:fill="auto"/>
          </w:tcPr>
          <w:p w:rsidR="00AE3750" w:rsidRPr="00D378FC" w:rsidRDefault="00AE3750" w:rsidP="00AE3750">
            <w:pPr>
              <w:pStyle w:val="TableColumnHeading"/>
            </w:pPr>
          </w:p>
        </w:tc>
        <w:tc>
          <w:tcPr>
            <w:tcW w:w="1580" w:type="pct"/>
            <w:gridSpan w:val="4"/>
            <w:tcBorders>
              <w:top w:val="single" w:sz="4" w:space="0" w:color="auto"/>
            </w:tcBorders>
            <w:shd w:val="clear" w:color="auto" w:fill="auto"/>
          </w:tcPr>
          <w:p w:rsidR="00AE3750" w:rsidRPr="00D378FC" w:rsidRDefault="00AE3750" w:rsidP="00AE3750">
            <w:pPr>
              <w:pStyle w:val="TableColumnHeading"/>
              <w:jc w:val="center"/>
            </w:pPr>
            <w:r w:rsidRPr="00D378FC">
              <w:t>Men</w:t>
            </w:r>
          </w:p>
        </w:tc>
        <w:tc>
          <w:tcPr>
            <w:tcW w:w="1658" w:type="pct"/>
            <w:gridSpan w:val="4"/>
            <w:tcBorders>
              <w:top w:val="single" w:sz="4" w:space="0" w:color="auto"/>
            </w:tcBorders>
            <w:shd w:val="clear" w:color="auto" w:fill="auto"/>
          </w:tcPr>
          <w:p w:rsidR="00AE3750" w:rsidRPr="00D378FC" w:rsidRDefault="00AE3750" w:rsidP="00AE3750">
            <w:pPr>
              <w:pStyle w:val="TableColumnHeading"/>
              <w:jc w:val="center"/>
            </w:pPr>
            <w:r w:rsidRPr="00D378FC">
              <w:t>Women</w:t>
            </w:r>
          </w:p>
        </w:tc>
      </w:tr>
      <w:tr w:rsidR="00AE3750" w:rsidRPr="00D378FC" w:rsidTr="001E02B9">
        <w:tc>
          <w:tcPr>
            <w:tcW w:w="1026" w:type="pct"/>
            <w:tcBorders>
              <w:bottom w:val="single" w:sz="4" w:space="0" w:color="auto"/>
            </w:tcBorders>
            <w:vAlign w:val="center"/>
          </w:tcPr>
          <w:p w:rsidR="00AE3750" w:rsidRPr="00D378FC" w:rsidRDefault="00AE3750" w:rsidP="00AE3750">
            <w:pPr>
              <w:pStyle w:val="TableColumnHeading"/>
              <w:jc w:val="left"/>
            </w:pPr>
            <w:r w:rsidRPr="00D378FC">
              <w:t>Explanatory variable</w:t>
            </w:r>
          </w:p>
        </w:tc>
        <w:tc>
          <w:tcPr>
            <w:tcW w:w="736" w:type="pct"/>
            <w:tcBorders>
              <w:bottom w:val="single" w:sz="4" w:space="0" w:color="auto"/>
            </w:tcBorders>
            <w:vAlign w:val="center"/>
          </w:tcPr>
          <w:p w:rsidR="00AE3750" w:rsidRPr="00D378FC" w:rsidRDefault="001E02B9" w:rsidP="00AE3750">
            <w:pPr>
              <w:pStyle w:val="TableColumnHeading"/>
            </w:pPr>
            <w:r>
              <w:t>Explanatory variable u</w:t>
            </w:r>
            <w:r w:rsidR="00AE3750" w:rsidRPr="00D378FC">
              <w:t>nit</w:t>
            </w:r>
          </w:p>
        </w:tc>
        <w:tc>
          <w:tcPr>
            <w:tcW w:w="762" w:type="pct"/>
            <w:gridSpan w:val="2"/>
            <w:tcBorders>
              <w:bottom w:val="single" w:sz="4" w:space="0" w:color="auto"/>
            </w:tcBorders>
            <w:vAlign w:val="center"/>
          </w:tcPr>
          <w:p w:rsidR="00AE3750" w:rsidRPr="00D378FC" w:rsidRDefault="00AE3750" w:rsidP="00AE3750">
            <w:pPr>
              <w:pStyle w:val="TableColumnHeading"/>
            </w:pPr>
            <w:r w:rsidRPr="00D378FC">
              <w:t>Employed</w:t>
            </w:r>
          </w:p>
        </w:tc>
        <w:tc>
          <w:tcPr>
            <w:tcW w:w="818" w:type="pct"/>
            <w:gridSpan w:val="2"/>
            <w:tcBorders>
              <w:bottom w:val="single" w:sz="4" w:space="0" w:color="auto"/>
            </w:tcBorders>
          </w:tcPr>
          <w:p w:rsidR="00AE3750" w:rsidRPr="00D378FC" w:rsidRDefault="00AE3750" w:rsidP="00AE3750">
            <w:pPr>
              <w:pStyle w:val="TableColumnHeading"/>
            </w:pPr>
            <w:r w:rsidRPr="00D378FC">
              <w:t xml:space="preserve">Not in the labour force </w:t>
            </w:r>
          </w:p>
        </w:tc>
        <w:tc>
          <w:tcPr>
            <w:tcW w:w="836" w:type="pct"/>
            <w:gridSpan w:val="2"/>
            <w:tcBorders>
              <w:bottom w:val="single" w:sz="4" w:space="0" w:color="auto"/>
            </w:tcBorders>
            <w:vAlign w:val="center"/>
          </w:tcPr>
          <w:p w:rsidR="00AE3750" w:rsidRPr="00D378FC" w:rsidRDefault="00AE3750" w:rsidP="00AE3750">
            <w:pPr>
              <w:pStyle w:val="TableColumnHeading"/>
            </w:pPr>
            <w:r w:rsidRPr="00D378FC">
              <w:t>Employed</w:t>
            </w:r>
          </w:p>
        </w:tc>
        <w:tc>
          <w:tcPr>
            <w:tcW w:w="822" w:type="pct"/>
            <w:gridSpan w:val="2"/>
            <w:tcBorders>
              <w:bottom w:val="single" w:sz="4" w:space="0" w:color="auto"/>
            </w:tcBorders>
          </w:tcPr>
          <w:p w:rsidR="00AE3750" w:rsidRPr="00D378FC" w:rsidRDefault="00AE3750" w:rsidP="00AE3750">
            <w:pPr>
              <w:pStyle w:val="TableColumnHeading"/>
            </w:pPr>
            <w:r w:rsidRPr="00D378FC">
              <w:t xml:space="preserve">Not in the labour force </w:t>
            </w:r>
          </w:p>
        </w:tc>
      </w:tr>
      <w:tr w:rsidR="001E02B9" w:rsidRPr="00D378FC" w:rsidTr="001E02B9">
        <w:tc>
          <w:tcPr>
            <w:tcW w:w="1026" w:type="pct"/>
            <w:tcBorders>
              <w:top w:val="single" w:sz="4" w:space="0" w:color="auto"/>
            </w:tcBorders>
            <w:vAlign w:val="center"/>
          </w:tcPr>
          <w:p w:rsidR="00AE3750" w:rsidRPr="00D378FC" w:rsidRDefault="00EE2157" w:rsidP="00AE3750">
            <w:pPr>
              <w:pStyle w:val="TableBodyText"/>
              <w:jc w:val="left"/>
              <w:rPr>
                <w:rStyle w:val="NoteLabel"/>
              </w:rPr>
            </w:pPr>
            <w:r>
              <w:t>Work e</w:t>
            </w:r>
            <w:r w:rsidR="00AE3750" w:rsidRPr="00D378FC">
              <w:t>xperience</w:t>
            </w:r>
            <w:r w:rsidR="00AE3750" w:rsidRPr="00D378FC">
              <w:rPr>
                <w:rStyle w:val="NoteLabel"/>
              </w:rPr>
              <w:t>b</w:t>
            </w:r>
          </w:p>
        </w:tc>
        <w:tc>
          <w:tcPr>
            <w:tcW w:w="736" w:type="pct"/>
            <w:tcBorders>
              <w:top w:val="single" w:sz="4" w:space="0" w:color="auto"/>
            </w:tcBorders>
            <w:vAlign w:val="center"/>
          </w:tcPr>
          <w:p w:rsidR="00AE3750" w:rsidRPr="00D378FC" w:rsidRDefault="00AE3750" w:rsidP="00AE3750">
            <w:pPr>
              <w:pStyle w:val="TableBodyText"/>
            </w:pPr>
            <w:r w:rsidRPr="00D378FC">
              <w:t>Years</w:t>
            </w:r>
          </w:p>
        </w:tc>
        <w:tc>
          <w:tcPr>
            <w:tcW w:w="349" w:type="pct"/>
            <w:tcBorders>
              <w:top w:val="single" w:sz="4" w:space="0" w:color="auto"/>
            </w:tcBorders>
            <w:vAlign w:val="center"/>
          </w:tcPr>
          <w:p w:rsidR="00AE3750" w:rsidRPr="00D378FC" w:rsidRDefault="00347CB7" w:rsidP="00AE3750">
            <w:pPr>
              <w:pStyle w:val="TableBodyText"/>
            </w:pPr>
            <w:r>
              <w:t>2</w:t>
            </w:r>
          </w:p>
        </w:tc>
        <w:tc>
          <w:tcPr>
            <w:tcW w:w="413" w:type="pct"/>
            <w:tcBorders>
              <w:top w:val="single" w:sz="4" w:space="0" w:color="auto"/>
            </w:tcBorders>
            <w:vAlign w:val="center"/>
          </w:tcPr>
          <w:p w:rsidR="00AE3750" w:rsidRPr="00D378FC" w:rsidRDefault="00793487" w:rsidP="00AE3750">
            <w:pPr>
              <w:pStyle w:val="TableBodyText"/>
              <w:jc w:val="left"/>
            </w:pPr>
            <w:r w:rsidRPr="00D378FC">
              <w:t>***</w:t>
            </w:r>
          </w:p>
        </w:tc>
        <w:tc>
          <w:tcPr>
            <w:tcW w:w="413" w:type="pct"/>
            <w:tcBorders>
              <w:top w:val="single" w:sz="4" w:space="0" w:color="auto"/>
            </w:tcBorders>
            <w:vAlign w:val="center"/>
          </w:tcPr>
          <w:p w:rsidR="00AE3750" w:rsidRPr="00D378FC" w:rsidRDefault="00347CB7" w:rsidP="00AE3750">
            <w:pPr>
              <w:pStyle w:val="TableBodyText"/>
            </w:pPr>
            <w:r>
              <w:t>-1</w:t>
            </w:r>
          </w:p>
        </w:tc>
        <w:tc>
          <w:tcPr>
            <w:tcW w:w="405" w:type="pct"/>
            <w:tcBorders>
              <w:top w:val="single" w:sz="4" w:space="0" w:color="auto"/>
            </w:tcBorders>
            <w:vAlign w:val="center"/>
          </w:tcPr>
          <w:p w:rsidR="00AE3750" w:rsidRPr="00D378FC" w:rsidRDefault="00793487" w:rsidP="00AE3750">
            <w:pPr>
              <w:pStyle w:val="TableBodyText"/>
              <w:jc w:val="left"/>
            </w:pPr>
            <w:r w:rsidRPr="00D378FC">
              <w:t>***</w:t>
            </w:r>
          </w:p>
        </w:tc>
        <w:tc>
          <w:tcPr>
            <w:tcW w:w="422" w:type="pct"/>
            <w:tcBorders>
              <w:top w:val="single" w:sz="4" w:space="0" w:color="auto"/>
            </w:tcBorders>
            <w:vAlign w:val="center"/>
          </w:tcPr>
          <w:p w:rsidR="00AE3750" w:rsidRPr="00D378FC" w:rsidRDefault="00347CB7" w:rsidP="00AE3750">
            <w:pPr>
              <w:pStyle w:val="TableBodyText"/>
            </w:pPr>
            <w:r>
              <w:t>4</w:t>
            </w:r>
          </w:p>
        </w:tc>
        <w:tc>
          <w:tcPr>
            <w:tcW w:w="414" w:type="pct"/>
            <w:tcBorders>
              <w:top w:val="single" w:sz="4" w:space="0" w:color="auto"/>
            </w:tcBorders>
            <w:vAlign w:val="center"/>
          </w:tcPr>
          <w:p w:rsidR="00AE3750" w:rsidRPr="00D378FC" w:rsidRDefault="00793487" w:rsidP="00AE3750">
            <w:pPr>
              <w:pStyle w:val="TableBodyText"/>
              <w:jc w:val="left"/>
            </w:pPr>
            <w:r w:rsidRPr="00D378FC">
              <w:t>***</w:t>
            </w:r>
          </w:p>
        </w:tc>
        <w:tc>
          <w:tcPr>
            <w:tcW w:w="413" w:type="pct"/>
            <w:tcBorders>
              <w:top w:val="single" w:sz="4" w:space="0" w:color="auto"/>
            </w:tcBorders>
            <w:vAlign w:val="center"/>
          </w:tcPr>
          <w:p w:rsidR="00AE3750" w:rsidRPr="00D378FC" w:rsidRDefault="00E460E6" w:rsidP="00AE3750">
            <w:pPr>
              <w:pStyle w:val="TableBodyText"/>
              <w:ind w:right="28"/>
            </w:pPr>
            <w:r>
              <w:t>-3</w:t>
            </w:r>
          </w:p>
        </w:tc>
        <w:tc>
          <w:tcPr>
            <w:tcW w:w="409" w:type="pct"/>
            <w:tcBorders>
              <w:top w:val="single" w:sz="4" w:space="0" w:color="auto"/>
            </w:tcBorders>
            <w:vAlign w:val="center"/>
          </w:tcPr>
          <w:p w:rsidR="00AE3750" w:rsidRPr="00D378FC" w:rsidRDefault="00793487" w:rsidP="00AE3750">
            <w:pPr>
              <w:pStyle w:val="TableBodyText"/>
              <w:ind w:right="28"/>
              <w:jc w:val="left"/>
            </w:pPr>
            <w:r w:rsidRPr="00D378FC">
              <w:t>***</w:t>
            </w:r>
          </w:p>
        </w:tc>
      </w:tr>
      <w:tr w:rsidR="001E02B9" w:rsidRPr="00D378FC" w:rsidTr="001E02B9">
        <w:tc>
          <w:tcPr>
            <w:tcW w:w="1026" w:type="pct"/>
            <w:vAlign w:val="center"/>
          </w:tcPr>
          <w:p w:rsidR="00EB2F0C" w:rsidRPr="00D378FC" w:rsidRDefault="00EB2F0C" w:rsidP="00AE3750">
            <w:pPr>
              <w:pStyle w:val="TableBodyText"/>
              <w:jc w:val="left"/>
            </w:pPr>
            <w:r>
              <w:t>Remoteness</w:t>
            </w:r>
          </w:p>
        </w:tc>
        <w:tc>
          <w:tcPr>
            <w:tcW w:w="736" w:type="pct"/>
            <w:vAlign w:val="center"/>
          </w:tcPr>
          <w:p w:rsidR="00EB2F0C" w:rsidRPr="00D378FC" w:rsidRDefault="00EB2F0C" w:rsidP="00AE3750">
            <w:pPr>
              <w:pStyle w:val="TableBodyText"/>
            </w:pPr>
            <w:r>
              <w:t>Binary</w:t>
            </w:r>
          </w:p>
        </w:tc>
        <w:tc>
          <w:tcPr>
            <w:tcW w:w="349" w:type="pct"/>
            <w:vAlign w:val="center"/>
          </w:tcPr>
          <w:p w:rsidR="00EB2F0C" w:rsidRPr="00D378FC" w:rsidRDefault="00EB2F0C" w:rsidP="00AE3750">
            <w:pPr>
              <w:pStyle w:val="TableBodyText"/>
            </w:pPr>
            <w:r>
              <w:t>-10</w:t>
            </w:r>
          </w:p>
        </w:tc>
        <w:tc>
          <w:tcPr>
            <w:tcW w:w="413" w:type="pct"/>
            <w:vAlign w:val="center"/>
          </w:tcPr>
          <w:p w:rsidR="00EB2F0C" w:rsidRPr="00D378FC" w:rsidRDefault="00EB2F0C" w:rsidP="00AE3750">
            <w:pPr>
              <w:pStyle w:val="TableBodyText"/>
              <w:ind w:left="0"/>
              <w:jc w:val="left"/>
            </w:pPr>
            <w:r>
              <w:t>***</w:t>
            </w:r>
          </w:p>
        </w:tc>
        <w:tc>
          <w:tcPr>
            <w:tcW w:w="413" w:type="pct"/>
            <w:vAlign w:val="center"/>
          </w:tcPr>
          <w:p w:rsidR="00EB2F0C" w:rsidRPr="00D378FC" w:rsidRDefault="009508A3" w:rsidP="00AE3750">
            <w:pPr>
              <w:pStyle w:val="TableBodyText"/>
            </w:pPr>
            <w:r>
              <w:t>-2</w:t>
            </w:r>
          </w:p>
        </w:tc>
        <w:tc>
          <w:tcPr>
            <w:tcW w:w="405" w:type="pct"/>
            <w:vAlign w:val="center"/>
          </w:tcPr>
          <w:p w:rsidR="00EB2F0C" w:rsidRPr="00D378FC" w:rsidRDefault="009508A3" w:rsidP="00AE3750">
            <w:pPr>
              <w:pStyle w:val="TableBodyText"/>
              <w:ind w:left="0"/>
              <w:jc w:val="left"/>
            </w:pPr>
            <w:r>
              <w:t>**</w:t>
            </w:r>
          </w:p>
        </w:tc>
        <w:tc>
          <w:tcPr>
            <w:tcW w:w="422" w:type="pct"/>
            <w:vAlign w:val="center"/>
          </w:tcPr>
          <w:p w:rsidR="00EB2F0C" w:rsidRPr="00D378FC" w:rsidRDefault="000178DC" w:rsidP="00AE3750">
            <w:pPr>
              <w:pStyle w:val="TableBodyText"/>
              <w:ind w:left="0"/>
            </w:pPr>
            <w:r>
              <w:t>-0.1</w:t>
            </w:r>
          </w:p>
        </w:tc>
        <w:tc>
          <w:tcPr>
            <w:tcW w:w="414" w:type="pct"/>
            <w:vAlign w:val="center"/>
          </w:tcPr>
          <w:p w:rsidR="00EB2F0C" w:rsidRPr="00D378FC" w:rsidRDefault="00EB2F0C" w:rsidP="00AE3750">
            <w:pPr>
              <w:pStyle w:val="TableBodyText"/>
              <w:ind w:left="0"/>
              <w:jc w:val="left"/>
            </w:pPr>
          </w:p>
        </w:tc>
        <w:tc>
          <w:tcPr>
            <w:tcW w:w="413" w:type="pct"/>
            <w:vAlign w:val="center"/>
          </w:tcPr>
          <w:p w:rsidR="00EB2F0C" w:rsidRPr="00D378FC" w:rsidRDefault="002434AE" w:rsidP="00AE3750">
            <w:pPr>
              <w:pStyle w:val="TableBodyText"/>
              <w:ind w:left="0" w:right="28"/>
            </w:pPr>
            <w:r>
              <w:t>-4</w:t>
            </w:r>
          </w:p>
        </w:tc>
        <w:tc>
          <w:tcPr>
            <w:tcW w:w="409" w:type="pct"/>
            <w:vAlign w:val="center"/>
          </w:tcPr>
          <w:p w:rsidR="00EB2F0C" w:rsidRPr="00D378FC" w:rsidRDefault="002434AE" w:rsidP="00AE3750">
            <w:pPr>
              <w:pStyle w:val="TableBodyText"/>
              <w:ind w:left="0" w:right="28"/>
              <w:jc w:val="left"/>
            </w:pPr>
            <w:r>
              <w:t>**</w:t>
            </w:r>
          </w:p>
        </w:tc>
      </w:tr>
      <w:tr w:rsidR="001E02B9" w:rsidRPr="00D378FC" w:rsidTr="001E02B9">
        <w:tc>
          <w:tcPr>
            <w:tcW w:w="1026" w:type="pct"/>
            <w:vAlign w:val="center"/>
          </w:tcPr>
          <w:p w:rsidR="00ED4DA2" w:rsidRPr="00D378FC" w:rsidRDefault="00ED4DA2" w:rsidP="00000ECC">
            <w:pPr>
              <w:pStyle w:val="TableBodyText"/>
              <w:jc w:val="left"/>
            </w:pPr>
            <w:r>
              <w:t xml:space="preserve">Lives in homelands </w:t>
            </w:r>
          </w:p>
        </w:tc>
        <w:tc>
          <w:tcPr>
            <w:tcW w:w="736" w:type="pct"/>
            <w:vAlign w:val="center"/>
          </w:tcPr>
          <w:p w:rsidR="00ED4DA2" w:rsidRPr="00D378FC" w:rsidRDefault="00ED4DA2" w:rsidP="00000ECC">
            <w:pPr>
              <w:pStyle w:val="TableBodyText"/>
            </w:pPr>
            <w:r>
              <w:t>Binary</w:t>
            </w:r>
          </w:p>
        </w:tc>
        <w:tc>
          <w:tcPr>
            <w:tcW w:w="349" w:type="pct"/>
            <w:vAlign w:val="center"/>
          </w:tcPr>
          <w:p w:rsidR="00ED4DA2" w:rsidRPr="00D378FC" w:rsidRDefault="00ED4DA2" w:rsidP="00000ECC">
            <w:pPr>
              <w:pStyle w:val="TableBodyText"/>
            </w:pPr>
            <w:r>
              <w:t>-3</w:t>
            </w:r>
          </w:p>
        </w:tc>
        <w:tc>
          <w:tcPr>
            <w:tcW w:w="413" w:type="pct"/>
            <w:vAlign w:val="center"/>
          </w:tcPr>
          <w:p w:rsidR="00ED4DA2" w:rsidRPr="00D378FC" w:rsidRDefault="00ED4DA2" w:rsidP="00000ECC">
            <w:pPr>
              <w:pStyle w:val="TableBodyText"/>
              <w:ind w:left="0"/>
              <w:jc w:val="left"/>
            </w:pPr>
            <w:r>
              <w:t>*</w:t>
            </w:r>
          </w:p>
        </w:tc>
        <w:tc>
          <w:tcPr>
            <w:tcW w:w="413" w:type="pct"/>
            <w:vAlign w:val="center"/>
          </w:tcPr>
          <w:p w:rsidR="00ED4DA2" w:rsidRPr="00D378FC" w:rsidRDefault="00ED4DA2" w:rsidP="00000ECC">
            <w:pPr>
              <w:pStyle w:val="TableBodyText"/>
              <w:ind w:left="0"/>
            </w:pPr>
            <w:r>
              <w:t>1</w:t>
            </w:r>
          </w:p>
        </w:tc>
        <w:tc>
          <w:tcPr>
            <w:tcW w:w="405" w:type="pct"/>
            <w:vAlign w:val="center"/>
          </w:tcPr>
          <w:p w:rsidR="00ED4DA2" w:rsidRPr="00D378FC" w:rsidRDefault="00ED4DA2" w:rsidP="00000ECC">
            <w:pPr>
              <w:pStyle w:val="TableBodyText"/>
              <w:ind w:left="0"/>
              <w:jc w:val="left"/>
            </w:pPr>
          </w:p>
        </w:tc>
        <w:tc>
          <w:tcPr>
            <w:tcW w:w="422" w:type="pct"/>
            <w:vAlign w:val="center"/>
          </w:tcPr>
          <w:p w:rsidR="00ED4DA2" w:rsidRPr="00D378FC" w:rsidRDefault="00ED4DA2" w:rsidP="00000ECC">
            <w:pPr>
              <w:pStyle w:val="TableBodyText"/>
              <w:ind w:left="0"/>
            </w:pPr>
            <w:r>
              <w:t>-7</w:t>
            </w:r>
          </w:p>
        </w:tc>
        <w:tc>
          <w:tcPr>
            <w:tcW w:w="414" w:type="pct"/>
            <w:vAlign w:val="center"/>
          </w:tcPr>
          <w:p w:rsidR="00ED4DA2" w:rsidRPr="00D378FC" w:rsidRDefault="00ED4DA2" w:rsidP="00000ECC">
            <w:pPr>
              <w:pStyle w:val="TableBodyText"/>
              <w:ind w:left="0"/>
              <w:jc w:val="left"/>
            </w:pPr>
            <w:r>
              <w:t>***</w:t>
            </w:r>
          </w:p>
        </w:tc>
        <w:tc>
          <w:tcPr>
            <w:tcW w:w="413" w:type="pct"/>
            <w:vAlign w:val="center"/>
          </w:tcPr>
          <w:p w:rsidR="00ED4DA2" w:rsidRPr="00D378FC" w:rsidRDefault="00ED4DA2" w:rsidP="00000ECC">
            <w:pPr>
              <w:pStyle w:val="TableBodyText"/>
              <w:ind w:left="0" w:right="28"/>
            </w:pPr>
            <w:r>
              <w:t>5</w:t>
            </w:r>
          </w:p>
        </w:tc>
        <w:tc>
          <w:tcPr>
            <w:tcW w:w="409" w:type="pct"/>
            <w:vAlign w:val="center"/>
          </w:tcPr>
          <w:p w:rsidR="00ED4DA2" w:rsidRPr="00D378FC" w:rsidRDefault="00ED4DA2" w:rsidP="00000ECC">
            <w:pPr>
              <w:pStyle w:val="TableBodyText"/>
              <w:ind w:left="0" w:right="28"/>
              <w:jc w:val="left"/>
            </w:pPr>
            <w:r>
              <w:t>**</w:t>
            </w:r>
          </w:p>
        </w:tc>
      </w:tr>
      <w:tr w:rsidR="001E02B9" w:rsidRPr="00D378FC" w:rsidTr="001E02B9">
        <w:tc>
          <w:tcPr>
            <w:tcW w:w="1026" w:type="pct"/>
            <w:vAlign w:val="center"/>
          </w:tcPr>
          <w:p w:rsidR="00ED4DA2" w:rsidRPr="00D378FC" w:rsidRDefault="00ED4DA2" w:rsidP="00AE3750">
            <w:pPr>
              <w:pStyle w:val="TableBodyText"/>
              <w:jc w:val="left"/>
            </w:pPr>
            <w:r w:rsidRPr="00D378FC">
              <w:t>SEIFA</w:t>
            </w:r>
            <w:r w:rsidRPr="00D378FC">
              <w:rPr>
                <w:rStyle w:val="NoteLabel"/>
              </w:rPr>
              <w:t>c</w:t>
            </w:r>
          </w:p>
        </w:tc>
        <w:tc>
          <w:tcPr>
            <w:tcW w:w="736" w:type="pct"/>
            <w:vAlign w:val="center"/>
          </w:tcPr>
          <w:p w:rsidR="00ED4DA2" w:rsidRPr="00D378FC" w:rsidRDefault="00ED4DA2" w:rsidP="00AE3750">
            <w:pPr>
              <w:pStyle w:val="TableBodyText"/>
            </w:pPr>
            <w:r w:rsidRPr="00D378FC">
              <w:t>No.</w:t>
            </w:r>
          </w:p>
        </w:tc>
        <w:tc>
          <w:tcPr>
            <w:tcW w:w="349" w:type="pct"/>
            <w:vAlign w:val="center"/>
          </w:tcPr>
          <w:p w:rsidR="00ED4DA2" w:rsidRPr="00D378FC" w:rsidRDefault="00ED4DA2" w:rsidP="00AE3750">
            <w:pPr>
              <w:pStyle w:val="TableBodyText"/>
            </w:pPr>
            <w:r>
              <w:t>2</w:t>
            </w:r>
          </w:p>
        </w:tc>
        <w:tc>
          <w:tcPr>
            <w:tcW w:w="413" w:type="pct"/>
            <w:vAlign w:val="center"/>
          </w:tcPr>
          <w:p w:rsidR="00ED4DA2" w:rsidRPr="00D378FC" w:rsidRDefault="00ED4DA2" w:rsidP="00AE3750">
            <w:pPr>
              <w:pStyle w:val="TableBodyText"/>
              <w:ind w:left="0"/>
              <w:jc w:val="left"/>
            </w:pPr>
            <w:r w:rsidRPr="00D378FC">
              <w:t>***</w:t>
            </w:r>
          </w:p>
        </w:tc>
        <w:tc>
          <w:tcPr>
            <w:tcW w:w="413" w:type="pct"/>
            <w:vAlign w:val="center"/>
          </w:tcPr>
          <w:p w:rsidR="00ED4DA2" w:rsidRPr="00D378FC" w:rsidRDefault="000178DC" w:rsidP="00AE3750">
            <w:pPr>
              <w:pStyle w:val="TableBodyText"/>
            </w:pPr>
            <w:r>
              <w:t>-</w:t>
            </w:r>
            <w:r w:rsidR="008C1E94">
              <w:t>0</w:t>
            </w:r>
            <w:r w:rsidR="00AD1562">
              <w:t>.4</w:t>
            </w:r>
          </w:p>
        </w:tc>
        <w:tc>
          <w:tcPr>
            <w:tcW w:w="405" w:type="pct"/>
            <w:vAlign w:val="center"/>
          </w:tcPr>
          <w:p w:rsidR="00ED4DA2" w:rsidRPr="00D378FC" w:rsidRDefault="00ED4DA2" w:rsidP="00AE3750">
            <w:pPr>
              <w:pStyle w:val="TableBodyText"/>
              <w:ind w:left="0"/>
              <w:jc w:val="left"/>
            </w:pPr>
            <w:r>
              <w:t>**</w:t>
            </w:r>
          </w:p>
        </w:tc>
        <w:tc>
          <w:tcPr>
            <w:tcW w:w="422" w:type="pct"/>
            <w:vAlign w:val="center"/>
          </w:tcPr>
          <w:p w:rsidR="00C342B3" w:rsidRPr="00D378FC" w:rsidRDefault="00C342B3" w:rsidP="00AE3750">
            <w:pPr>
              <w:pStyle w:val="TableBodyText"/>
              <w:ind w:left="0"/>
            </w:pPr>
            <w:r>
              <w:t>3</w:t>
            </w:r>
          </w:p>
        </w:tc>
        <w:tc>
          <w:tcPr>
            <w:tcW w:w="414" w:type="pct"/>
            <w:vAlign w:val="center"/>
          </w:tcPr>
          <w:p w:rsidR="00ED4DA2" w:rsidRPr="00D378FC" w:rsidRDefault="00ED4DA2" w:rsidP="00AE3750">
            <w:pPr>
              <w:pStyle w:val="TableBodyText"/>
              <w:ind w:left="0"/>
              <w:jc w:val="left"/>
            </w:pPr>
            <w:r w:rsidRPr="00D378FC">
              <w:t>***</w:t>
            </w:r>
          </w:p>
        </w:tc>
        <w:tc>
          <w:tcPr>
            <w:tcW w:w="413" w:type="pct"/>
            <w:vAlign w:val="center"/>
          </w:tcPr>
          <w:p w:rsidR="00ED4DA2" w:rsidRPr="00D378FC" w:rsidRDefault="00ED4DA2" w:rsidP="00AE3750">
            <w:pPr>
              <w:pStyle w:val="TableBodyText"/>
              <w:ind w:left="0" w:right="28"/>
            </w:pPr>
            <w:r>
              <w:t>-2</w:t>
            </w:r>
          </w:p>
        </w:tc>
        <w:tc>
          <w:tcPr>
            <w:tcW w:w="409" w:type="pct"/>
            <w:vAlign w:val="center"/>
          </w:tcPr>
          <w:p w:rsidR="00ED4DA2" w:rsidRPr="00D378FC" w:rsidRDefault="00ED4DA2" w:rsidP="00AE3750">
            <w:pPr>
              <w:pStyle w:val="TableBodyText"/>
              <w:ind w:left="0" w:right="28"/>
              <w:jc w:val="left"/>
            </w:pPr>
            <w:r w:rsidRPr="00D378FC">
              <w:t>***</w:t>
            </w:r>
          </w:p>
        </w:tc>
      </w:tr>
      <w:tr w:rsidR="001E02B9" w:rsidRPr="00D378FC" w:rsidTr="001E02B9">
        <w:tc>
          <w:tcPr>
            <w:tcW w:w="1026" w:type="pct"/>
            <w:vAlign w:val="center"/>
          </w:tcPr>
          <w:p w:rsidR="00ED4DA2" w:rsidRPr="00D378FC" w:rsidRDefault="00ED4DA2" w:rsidP="00AE3750">
            <w:pPr>
              <w:pStyle w:val="TableBodyText"/>
              <w:jc w:val="left"/>
            </w:pPr>
            <w:r w:rsidRPr="00D378FC">
              <w:t>Difficulty with English language</w:t>
            </w:r>
          </w:p>
        </w:tc>
        <w:tc>
          <w:tcPr>
            <w:tcW w:w="736" w:type="pct"/>
            <w:vAlign w:val="center"/>
          </w:tcPr>
          <w:p w:rsidR="00ED4DA2" w:rsidRPr="00D378FC" w:rsidRDefault="00ED4DA2" w:rsidP="00AE3750">
            <w:pPr>
              <w:pStyle w:val="TableBodyText"/>
            </w:pPr>
            <w:r w:rsidRPr="00D378FC">
              <w:t>Binary</w:t>
            </w:r>
          </w:p>
        </w:tc>
        <w:tc>
          <w:tcPr>
            <w:tcW w:w="349" w:type="pct"/>
            <w:vAlign w:val="center"/>
          </w:tcPr>
          <w:p w:rsidR="00ED4DA2" w:rsidRPr="00D378FC" w:rsidRDefault="00ED4DA2" w:rsidP="00AE3750">
            <w:pPr>
              <w:pStyle w:val="TableBodyText"/>
            </w:pPr>
            <w:r>
              <w:t>-4</w:t>
            </w:r>
          </w:p>
        </w:tc>
        <w:tc>
          <w:tcPr>
            <w:tcW w:w="413" w:type="pct"/>
            <w:vAlign w:val="center"/>
          </w:tcPr>
          <w:p w:rsidR="00ED4DA2" w:rsidRPr="00D378FC" w:rsidRDefault="00ED4DA2" w:rsidP="00AE3750">
            <w:pPr>
              <w:pStyle w:val="TableBodyText"/>
              <w:ind w:left="0"/>
              <w:jc w:val="left"/>
            </w:pPr>
          </w:p>
        </w:tc>
        <w:tc>
          <w:tcPr>
            <w:tcW w:w="413" w:type="pct"/>
            <w:vAlign w:val="center"/>
          </w:tcPr>
          <w:p w:rsidR="00ED4DA2" w:rsidRPr="00D378FC" w:rsidRDefault="00ED4DA2" w:rsidP="00AE3750">
            <w:pPr>
              <w:pStyle w:val="TableBodyText"/>
            </w:pPr>
            <w:r>
              <w:t>6</w:t>
            </w:r>
          </w:p>
        </w:tc>
        <w:tc>
          <w:tcPr>
            <w:tcW w:w="405" w:type="pct"/>
            <w:vAlign w:val="center"/>
          </w:tcPr>
          <w:p w:rsidR="00ED4DA2" w:rsidRPr="00D378FC" w:rsidRDefault="00ED4DA2" w:rsidP="00AE3750">
            <w:pPr>
              <w:pStyle w:val="TableBodyText"/>
              <w:ind w:left="0"/>
              <w:jc w:val="left"/>
            </w:pPr>
            <w:r>
              <w:t>*</w:t>
            </w:r>
          </w:p>
        </w:tc>
        <w:tc>
          <w:tcPr>
            <w:tcW w:w="422" w:type="pct"/>
            <w:vAlign w:val="center"/>
          </w:tcPr>
          <w:p w:rsidR="00ED4DA2" w:rsidRPr="00D378FC" w:rsidRDefault="00ED4DA2" w:rsidP="00AE3750">
            <w:pPr>
              <w:pStyle w:val="TableBodyText"/>
              <w:ind w:left="0"/>
            </w:pPr>
            <w:r>
              <w:t>-7</w:t>
            </w:r>
          </w:p>
        </w:tc>
        <w:tc>
          <w:tcPr>
            <w:tcW w:w="414" w:type="pct"/>
            <w:vAlign w:val="center"/>
          </w:tcPr>
          <w:p w:rsidR="00ED4DA2" w:rsidRPr="00D378FC" w:rsidRDefault="00ED4DA2" w:rsidP="00AE3750">
            <w:pPr>
              <w:pStyle w:val="TableBodyText"/>
              <w:ind w:left="0"/>
              <w:jc w:val="left"/>
            </w:pPr>
          </w:p>
        </w:tc>
        <w:tc>
          <w:tcPr>
            <w:tcW w:w="413" w:type="pct"/>
            <w:vAlign w:val="center"/>
          </w:tcPr>
          <w:p w:rsidR="00ED4DA2" w:rsidRPr="00D378FC" w:rsidRDefault="00ED4DA2" w:rsidP="00AE3750">
            <w:pPr>
              <w:pStyle w:val="TableBodyText"/>
              <w:ind w:left="0" w:right="28"/>
            </w:pPr>
            <w:r w:rsidRPr="00D378FC">
              <w:t>7</w:t>
            </w:r>
          </w:p>
        </w:tc>
        <w:tc>
          <w:tcPr>
            <w:tcW w:w="409" w:type="pct"/>
            <w:vAlign w:val="center"/>
          </w:tcPr>
          <w:p w:rsidR="00ED4DA2" w:rsidRPr="00D378FC" w:rsidRDefault="00ED4DA2" w:rsidP="00AE3750">
            <w:pPr>
              <w:pStyle w:val="TableBodyText"/>
              <w:ind w:left="0" w:right="28"/>
              <w:jc w:val="left"/>
            </w:pPr>
          </w:p>
        </w:tc>
      </w:tr>
      <w:tr w:rsidR="001E02B9" w:rsidRPr="00D378FC" w:rsidTr="001E02B9">
        <w:tc>
          <w:tcPr>
            <w:tcW w:w="1026" w:type="pct"/>
            <w:vAlign w:val="center"/>
          </w:tcPr>
          <w:p w:rsidR="00ED4DA2" w:rsidRPr="00D378FC" w:rsidRDefault="00ED4DA2" w:rsidP="00AE3750">
            <w:pPr>
              <w:pStyle w:val="TableBodyText"/>
              <w:jc w:val="left"/>
            </w:pPr>
            <w:r w:rsidRPr="00D378FC">
              <w:t>History of arrest</w:t>
            </w:r>
          </w:p>
        </w:tc>
        <w:tc>
          <w:tcPr>
            <w:tcW w:w="736" w:type="pct"/>
            <w:vAlign w:val="center"/>
          </w:tcPr>
          <w:p w:rsidR="00ED4DA2" w:rsidRPr="00D378FC" w:rsidRDefault="00ED4DA2" w:rsidP="00AE3750">
            <w:pPr>
              <w:pStyle w:val="TableBodyText"/>
            </w:pPr>
            <w:r w:rsidRPr="00D378FC">
              <w:t>Binary</w:t>
            </w:r>
          </w:p>
        </w:tc>
        <w:tc>
          <w:tcPr>
            <w:tcW w:w="349" w:type="pct"/>
            <w:vAlign w:val="center"/>
          </w:tcPr>
          <w:p w:rsidR="00ED4DA2" w:rsidRPr="00D378FC" w:rsidRDefault="00ED4DA2" w:rsidP="00AE3750">
            <w:pPr>
              <w:pStyle w:val="TableBodyText"/>
            </w:pPr>
            <w:r>
              <w:t>-8</w:t>
            </w:r>
          </w:p>
        </w:tc>
        <w:tc>
          <w:tcPr>
            <w:tcW w:w="413" w:type="pct"/>
            <w:vAlign w:val="center"/>
          </w:tcPr>
          <w:p w:rsidR="00ED4DA2" w:rsidRPr="00D378FC" w:rsidRDefault="00ED4DA2" w:rsidP="00AE3750">
            <w:pPr>
              <w:pStyle w:val="TableBodyText"/>
              <w:jc w:val="left"/>
            </w:pPr>
            <w:r w:rsidRPr="00D378FC">
              <w:t>***</w:t>
            </w:r>
          </w:p>
        </w:tc>
        <w:tc>
          <w:tcPr>
            <w:tcW w:w="413" w:type="pct"/>
            <w:vAlign w:val="center"/>
          </w:tcPr>
          <w:p w:rsidR="00ED4DA2" w:rsidRPr="00D378FC" w:rsidRDefault="00ED4DA2" w:rsidP="00AE3750">
            <w:pPr>
              <w:pStyle w:val="TableBodyText"/>
            </w:pPr>
            <w:r w:rsidRPr="00D378FC">
              <w:t>2</w:t>
            </w:r>
          </w:p>
        </w:tc>
        <w:tc>
          <w:tcPr>
            <w:tcW w:w="405" w:type="pct"/>
            <w:vAlign w:val="center"/>
          </w:tcPr>
          <w:p w:rsidR="00ED4DA2" w:rsidRPr="00D378FC" w:rsidRDefault="00ED4DA2" w:rsidP="00AE3750">
            <w:pPr>
              <w:pStyle w:val="TableBodyText"/>
              <w:jc w:val="left"/>
            </w:pPr>
            <w:r w:rsidRPr="00D378FC">
              <w:t>*</w:t>
            </w:r>
            <w:r>
              <w:t>*</w:t>
            </w:r>
          </w:p>
        </w:tc>
        <w:tc>
          <w:tcPr>
            <w:tcW w:w="422" w:type="pct"/>
            <w:vAlign w:val="center"/>
          </w:tcPr>
          <w:p w:rsidR="00ED4DA2" w:rsidRPr="00D378FC" w:rsidRDefault="00ED4DA2" w:rsidP="00AE3750">
            <w:pPr>
              <w:pStyle w:val="TableBodyText"/>
            </w:pPr>
            <w:r w:rsidRPr="00D378FC">
              <w:t>-1</w:t>
            </w:r>
            <w:r>
              <w:t>7</w:t>
            </w:r>
          </w:p>
        </w:tc>
        <w:tc>
          <w:tcPr>
            <w:tcW w:w="414" w:type="pct"/>
            <w:vAlign w:val="center"/>
          </w:tcPr>
          <w:p w:rsidR="00ED4DA2" w:rsidRPr="00D378FC" w:rsidRDefault="00ED4DA2" w:rsidP="00AE3750">
            <w:pPr>
              <w:pStyle w:val="TableBodyText"/>
              <w:jc w:val="left"/>
            </w:pPr>
            <w:r w:rsidRPr="00D378FC">
              <w:t>***</w:t>
            </w:r>
          </w:p>
        </w:tc>
        <w:tc>
          <w:tcPr>
            <w:tcW w:w="413" w:type="pct"/>
            <w:vAlign w:val="center"/>
          </w:tcPr>
          <w:p w:rsidR="00ED4DA2" w:rsidRPr="00D378FC" w:rsidRDefault="00ED4DA2" w:rsidP="00AE3750">
            <w:pPr>
              <w:pStyle w:val="TableBodyText"/>
              <w:ind w:right="28"/>
            </w:pPr>
            <w:r w:rsidRPr="00D378FC">
              <w:t>9</w:t>
            </w:r>
          </w:p>
        </w:tc>
        <w:tc>
          <w:tcPr>
            <w:tcW w:w="409" w:type="pct"/>
            <w:vAlign w:val="center"/>
          </w:tcPr>
          <w:p w:rsidR="00ED4DA2" w:rsidRPr="00D378FC" w:rsidRDefault="00ED4DA2" w:rsidP="00AE3750">
            <w:pPr>
              <w:pStyle w:val="TableBodyText"/>
              <w:ind w:right="28"/>
              <w:jc w:val="left"/>
            </w:pPr>
            <w:r w:rsidRPr="00D378FC">
              <w:t>**</w:t>
            </w:r>
            <w:r>
              <w:t>*</w:t>
            </w:r>
          </w:p>
        </w:tc>
      </w:tr>
      <w:tr w:rsidR="001E02B9" w:rsidRPr="00D378FC" w:rsidTr="001E02B9">
        <w:tc>
          <w:tcPr>
            <w:tcW w:w="1026" w:type="pct"/>
            <w:tcBorders>
              <w:bottom w:val="single" w:sz="4" w:space="0" w:color="auto"/>
            </w:tcBorders>
            <w:vAlign w:val="center"/>
          </w:tcPr>
          <w:p w:rsidR="00ED4DA2" w:rsidRPr="00D378FC" w:rsidRDefault="00ED4DA2" w:rsidP="00AE3750">
            <w:pPr>
              <w:pStyle w:val="TableBodyText"/>
              <w:jc w:val="left"/>
            </w:pPr>
            <w:r w:rsidRPr="00D378FC">
              <w:t>History of imprisonment</w:t>
            </w:r>
          </w:p>
        </w:tc>
        <w:tc>
          <w:tcPr>
            <w:tcW w:w="736" w:type="pct"/>
            <w:tcBorders>
              <w:bottom w:val="single" w:sz="4" w:space="0" w:color="auto"/>
            </w:tcBorders>
            <w:vAlign w:val="center"/>
          </w:tcPr>
          <w:p w:rsidR="00ED4DA2" w:rsidRPr="00D378FC" w:rsidRDefault="00ED4DA2" w:rsidP="00AE3750">
            <w:pPr>
              <w:pStyle w:val="TableBodyText"/>
            </w:pPr>
            <w:r w:rsidRPr="00D378FC">
              <w:t>Binary</w:t>
            </w:r>
          </w:p>
        </w:tc>
        <w:tc>
          <w:tcPr>
            <w:tcW w:w="349" w:type="pct"/>
            <w:tcBorders>
              <w:bottom w:val="single" w:sz="4" w:space="0" w:color="auto"/>
            </w:tcBorders>
            <w:vAlign w:val="center"/>
          </w:tcPr>
          <w:p w:rsidR="00ED4DA2" w:rsidRPr="00D378FC" w:rsidRDefault="00ED4DA2" w:rsidP="00AE3750">
            <w:pPr>
              <w:pStyle w:val="TableBodyText"/>
            </w:pPr>
            <w:r>
              <w:t>-8</w:t>
            </w:r>
          </w:p>
        </w:tc>
        <w:tc>
          <w:tcPr>
            <w:tcW w:w="413" w:type="pct"/>
            <w:tcBorders>
              <w:bottom w:val="single" w:sz="4" w:space="0" w:color="auto"/>
            </w:tcBorders>
            <w:vAlign w:val="center"/>
          </w:tcPr>
          <w:p w:rsidR="00ED4DA2" w:rsidRPr="00D378FC" w:rsidRDefault="00ED4DA2" w:rsidP="00AE3750">
            <w:pPr>
              <w:pStyle w:val="TableBodyText"/>
              <w:ind w:left="0"/>
              <w:jc w:val="left"/>
            </w:pPr>
            <w:r w:rsidRPr="00D378FC">
              <w:t>***</w:t>
            </w:r>
          </w:p>
        </w:tc>
        <w:tc>
          <w:tcPr>
            <w:tcW w:w="413" w:type="pct"/>
            <w:tcBorders>
              <w:bottom w:val="single" w:sz="4" w:space="0" w:color="auto"/>
            </w:tcBorders>
            <w:vAlign w:val="center"/>
          </w:tcPr>
          <w:p w:rsidR="00ED4DA2" w:rsidRPr="00D378FC" w:rsidRDefault="00ED4DA2" w:rsidP="00AE3750">
            <w:pPr>
              <w:pStyle w:val="TableBodyText"/>
              <w:ind w:left="0"/>
            </w:pPr>
            <w:r>
              <w:t>3</w:t>
            </w:r>
          </w:p>
        </w:tc>
        <w:tc>
          <w:tcPr>
            <w:tcW w:w="405" w:type="pct"/>
            <w:tcBorders>
              <w:bottom w:val="single" w:sz="4" w:space="0" w:color="auto"/>
            </w:tcBorders>
            <w:vAlign w:val="center"/>
          </w:tcPr>
          <w:p w:rsidR="00ED4DA2" w:rsidRPr="00D378FC" w:rsidRDefault="00ED4DA2" w:rsidP="00AE3750">
            <w:pPr>
              <w:pStyle w:val="TableBodyText"/>
              <w:ind w:left="0"/>
              <w:jc w:val="left"/>
            </w:pPr>
            <w:r w:rsidRPr="00D378FC">
              <w:t>*</w:t>
            </w:r>
            <w:r>
              <w:t>*</w:t>
            </w:r>
          </w:p>
        </w:tc>
        <w:tc>
          <w:tcPr>
            <w:tcW w:w="422" w:type="pct"/>
            <w:tcBorders>
              <w:bottom w:val="single" w:sz="4" w:space="0" w:color="auto"/>
            </w:tcBorders>
            <w:vAlign w:val="center"/>
          </w:tcPr>
          <w:p w:rsidR="00ED4DA2" w:rsidRPr="00D378FC" w:rsidRDefault="00ED4DA2" w:rsidP="00AE3750">
            <w:pPr>
              <w:pStyle w:val="TableBodyText"/>
              <w:ind w:left="0"/>
            </w:pPr>
            <w:r>
              <w:t>-1</w:t>
            </w:r>
          </w:p>
        </w:tc>
        <w:tc>
          <w:tcPr>
            <w:tcW w:w="414" w:type="pct"/>
            <w:tcBorders>
              <w:bottom w:val="single" w:sz="4" w:space="0" w:color="auto"/>
            </w:tcBorders>
            <w:vAlign w:val="center"/>
          </w:tcPr>
          <w:p w:rsidR="00ED4DA2" w:rsidRPr="00D378FC" w:rsidRDefault="00ED4DA2" w:rsidP="00AE3750">
            <w:pPr>
              <w:pStyle w:val="TableBodyText"/>
              <w:ind w:left="0"/>
              <w:jc w:val="left"/>
            </w:pPr>
          </w:p>
        </w:tc>
        <w:tc>
          <w:tcPr>
            <w:tcW w:w="413" w:type="pct"/>
            <w:tcBorders>
              <w:bottom w:val="single" w:sz="4" w:space="0" w:color="auto"/>
            </w:tcBorders>
            <w:vAlign w:val="center"/>
          </w:tcPr>
          <w:p w:rsidR="00ED4DA2" w:rsidRPr="00D378FC" w:rsidRDefault="00ED4DA2" w:rsidP="00AE3750">
            <w:pPr>
              <w:pStyle w:val="TableBodyText"/>
              <w:ind w:left="0" w:right="28"/>
            </w:pPr>
            <w:r>
              <w:t>3</w:t>
            </w:r>
          </w:p>
        </w:tc>
        <w:tc>
          <w:tcPr>
            <w:tcW w:w="409" w:type="pct"/>
            <w:tcBorders>
              <w:bottom w:val="single" w:sz="4" w:space="0" w:color="auto"/>
            </w:tcBorders>
            <w:vAlign w:val="center"/>
          </w:tcPr>
          <w:p w:rsidR="00ED4DA2" w:rsidRPr="00D378FC" w:rsidRDefault="00ED4DA2" w:rsidP="00AE3750">
            <w:pPr>
              <w:pStyle w:val="TableBodyText"/>
              <w:ind w:left="0" w:right="28"/>
              <w:jc w:val="left"/>
            </w:pPr>
          </w:p>
        </w:tc>
      </w:tr>
    </w:tbl>
    <w:p w:rsidR="00586FBA" w:rsidRPr="00D378FC" w:rsidRDefault="00AE3750" w:rsidP="00AE3750">
      <w:pPr>
        <w:pStyle w:val="Note"/>
        <w:rPr>
          <w:rStyle w:val="NoteLabel"/>
          <w:b w:val="0"/>
          <w:position w:val="0"/>
        </w:rPr>
      </w:pPr>
      <w:r w:rsidRPr="00D378FC">
        <w:t>*** = significant at 1 per cent level (a 1 in 100 possibility that the result is due to chance); ** = significant at 5</w:t>
      </w:r>
      <w:r w:rsidR="00EE2157">
        <w:t> </w:t>
      </w:r>
      <w:r w:rsidRPr="00D378FC">
        <w:t>per cent level (a 5 in 100 possibility that the result is due to chance); * = significant at 10 per cent level (a 10 in 100 possibility that the result is due to chance). No stars indicate that the variable is not statis</w:t>
      </w:r>
      <w:r w:rsidR="004B0473" w:rsidRPr="00D378FC">
        <w:t>tically significant</w:t>
      </w:r>
      <w:r w:rsidRPr="00D378FC">
        <w:t xml:space="preserve">. </w:t>
      </w:r>
      <w:r w:rsidR="00941FF6" w:rsidRPr="00D378FC">
        <w:rPr>
          <w:rStyle w:val="NoteLabel"/>
        </w:rPr>
        <w:t>a</w:t>
      </w:r>
      <w:r w:rsidR="00941FF6" w:rsidRPr="00D378FC">
        <w:t xml:space="preserve"> </w:t>
      </w:r>
      <w:r w:rsidR="00A96732" w:rsidRPr="00D378FC">
        <w:t xml:space="preserve">The probability of the </w:t>
      </w:r>
      <w:r w:rsidR="008C0878">
        <w:t>base person being employed is 89</w:t>
      </w:r>
      <w:r w:rsidR="00A96732" w:rsidRPr="00D378FC">
        <w:t xml:space="preserve"> per cent for me</w:t>
      </w:r>
      <w:r w:rsidR="008C0878">
        <w:t>n and 6</w:t>
      </w:r>
      <w:r w:rsidR="00EE2157">
        <w:t>7</w:t>
      </w:r>
      <w:r w:rsidR="00A96732" w:rsidRPr="00D378FC">
        <w:t> per cent for women. The probability of the base person not participating in the labour fo</w:t>
      </w:r>
      <w:r w:rsidR="008C0878">
        <w:t>rce is 4 per cent for men and 26</w:t>
      </w:r>
      <w:r w:rsidR="00EE2157">
        <w:t> </w:t>
      </w:r>
      <w:r w:rsidR="00A96732" w:rsidRPr="00D378FC">
        <w:t>per cent for women.</w:t>
      </w:r>
      <w:r w:rsidR="00941FF6" w:rsidRPr="00D378FC">
        <w:t xml:space="preserve"> </w:t>
      </w:r>
      <w:r w:rsidRPr="00D378FC">
        <w:t xml:space="preserve">Definitions of all variables are in </w:t>
      </w:r>
      <w:r w:rsidR="00793CD4">
        <w:t>attachment table</w:t>
      </w:r>
      <w:r w:rsidR="00433667" w:rsidRPr="00D378FC">
        <w:t xml:space="preserve"> 1</w:t>
      </w:r>
      <w:r w:rsidRPr="00D378FC">
        <w:t xml:space="preserve">. </w:t>
      </w:r>
      <w:r w:rsidR="00243FC4" w:rsidRPr="00D378FC">
        <w:rPr>
          <w:rFonts w:cs="Arial"/>
          <w:szCs w:val="18"/>
        </w:rPr>
        <w:t xml:space="preserve">The marginal effects of </w:t>
      </w:r>
      <w:r w:rsidR="00586FBA" w:rsidRPr="00D378FC">
        <w:rPr>
          <w:rFonts w:cs="Arial"/>
          <w:szCs w:val="18"/>
        </w:rPr>
        <w:t xml:space="preserve">binary </w:t>
      </w:r>
      <w:r w:rsidR="00243FC4" w:rsidRPr="00D378FC">
        <w:rPr>
          <w:rFonts w:cs="Arial"/>
          <w:szCs w:val="18"/>
        </w:rPr>
        <w:t>personal and demographic characteristics are measured relative to a person not having the characteri</w:t>
      </w:r>
      <w:r w:rsidR="00586FBA" w:rsidRPr="00D378FC">
        <w:rPr>
          <w:rFonts w:cs="Arial"/>
          <w:szCs w:val="18"/>
        </w:rPr>
        <w:t xml:space="preserve">stic. </w:t>
      </w:r>
      <w:r w:rsidR="00243FC4" w:rsidRPr="00D378FC">
        <w:rPr>
          <w:rFonts w:cs="Arial"/>
          <w:szCs w:val="18"/>
        </w:rPr>
        <w:t xml:space="preserve"> </w:t>
      </w:r>
      <w:r w:rsidR="00586FBA" w:rsidRPr="00D378FC">
        <w:rPr>
          <w:rFonts w:cs="Arial"/>
          <w:szCs w:val="18"/>
        </w:rPr>
        <w:t xml:space="preserve">For example, the estimated marginal effect for remoteness indicates the change in the predicted probability of a labour market outcome for changing from living in a non-remote area to living in a remote area. </w:t>
      </w:r>
      <w:r w:rsidR="00586FBA" w:rsidRPr="00D378FC">
        <w:rPr>
          <w:rStyle w:val="NoteLabel"/>
        </w:rPr>
        <w:t>b</w:t>
      </w:r>
      <w:r w:rsidR="00586FBA" w:rsidRPr="00D378FC">
        <w:t xml:space="preserve"> </w:t>
      </w:r>
      <w:r w:rsidRPr="001D2ED2">
        <w:t xml:space="preserve">The estimated </w:t>
      </w:r>
      <w:r w:rsidR="001D2ED2" w:rsidRPr="001D2ED2">
        <w:t xml:space="preserve">marginal </w:t>
      </w:r>
      <w:r w:rsidR="001D2ED2">
        <w:t>effect</w:t>
      </w:r>
      <w:r w:rsidR="001D2ED2" w:rsidRPr="001D2ED2">
        <w:t xml:space="preserve"> indicates the change in the predicted probability of a labour market outcome for a </w:t>
      </w:r>
      <w:r w:rsidR="00CA397E" w:rsidRPr="001D2ED2">
        <w:t xml:space="preserve">one year </w:t>
      </w:r>
      <w:r w:rsidR="001D2ED2" w:rsidRPr="001D2ED2">
        <w:t xml:space="preserve">increase in </w:t>
      </w:r>
      <w:r w:rsidR="00CA397E">
        <w:t>work</w:t>
      </w:r>
      <w:r w:rsidR="001D2ED2" w:rsidRPr="001D2ED2">
        <w:t xml:space="preserve"> experience over the average number of years of experience </w:t>
      </w:r>
      <w:r w:rsidRPr="001D2ED2">
        <w:t>(15 years</w:t>
      </w:r>
      <w:r w:rsidR="000A3892" w:rsidRPr="001D2ED2">
        <w:t xml:space="preserve"> for men and 11</w:t>
      </w:r>
      <w:r w:rsidR="00EE2157">
        <w:t> </w:t>
      </w:r>
      <w:r w:rsidR="000A3892" w:rsidRPr="001D2ED2">
        <w:t>years for women</w:t>
      </w:r>
      <w:r w:rsidRPr="001D2ED2">
        <w:t xml:space="preserve">). </w:t>
      </w:r>
      <w:r w:rsidR="00D859E8" w:rsidRPr="001D2ED2">
        <w:rPr>
          <w:rStyle w:val="NoteLabel"/>
        </w:rPr>
        <w:t>c</w:t>
      </w:r>
      <w:r w:rsidR="00D859E8" w:rsidRPr="001D2ED2">
        <w:t xml:space="preserve"> The estimated marginal effect for SEIFA indicates the change in the predicted probabilit</w:t>
      </w:r>
      <w:r w:rsidR="001D2ED2" w:rsidRPr="001D2ED2">
        <w:t>y of a labour market outcome associated with a</w:t>
      </w:r>
      <w:r w:rsidR="00D859E8" w:rsidRPr="001D2ED2">
        <w:t xml:space="preserve"> ch</w:t>
      </w:r>
      <w:r w:rsidR="001D2ED2" w:rsidRPr="001D2ED2">
        <w:t>ange from living in an area with a SEIFA score in decile</w:t>
      </w:r>
      <w:r w:rsidR="00D859E8" w:rsidRPr="001D2ED2">
        <w:t xml:space="preserve"> 3 to</w:t>
      </w:r>
      <w:r w:rsidR="00A80601">
        <w:t> </w:t>
      </w:r>
      <w:r w:rsidR="00D859E8" w:rsidRPr="001D2ED2">
        <w:t>4.</w:t>
      </w:r>
      <w:r w:rsidR="00D859E8" w:rsidRPr="00D378FC">
        <w:t xml:space="preserve"> </w:t>
      </w:r>
    </w:p>
    <w:p w:rsidR="00AE3750" w:rsidRPr="00D378FC" w:rsidRDefault="00AE3750" w:rsidP="00AE3750">
      <w:pPr>
        <w:pStyle w:val="Note"/>
      </w:pPr>
      <w:r w:rsidRPr="00D378FC">
        <w:rPr>
          <w:i/>
        </w:rPr>
        <w:t>Data</w:t>
      </w:r>
      <w:r w:rsidR="00433667" w:rsidRPr="00D378FC">
        <w:rPr>
          <w:i/>
        </w:rPr>
        <w:t xml:space="preserve"> source</w:t>
      </w:r>
      <w:r w:rsidRPr="00D378FC">
        <w:t>: Productivity Commission e</w:t>
      </w:r>
      <w:r w:rsidR="003F471B" w:rsidRPr="00D378FC">
        <w:t xml:space="preserve">stimates based on NATSISS </w:t>
      </w:r>
      <w:r w:rsidR="00662C0E">
        <w:t>(</w:t>
      </w:r>
      <w:r w:rsidR="003F471B" w:rsidRPr="00D378FC">
        <w:t>2008</w:t>
      </w:r>
      <w:r w:rsidR="00662C0E">
        <w:t>)</w:t>
      </w:r>
      <w:r w:rsidR="003F471B" w:rsidRPr="00D378FC">
        <w:t>.</w:t>
      </w:r>
    </w:p>
    <w:p w:rsidR="0046008B" w:rsidRPr="00D378FC" w:rsidRDefault="0046008B" w:rsidP="0046008B">
      <w:pPr>
        <w:pStyle w:val="Heading4"/>
      </w:pPr>
      <w:r w:rsidRPr="00D378FC">
        <w:t>Work experience</w:t>
      </w:r>
    </w:p>
    <w:p w:rsidR="00D30F28" w:rsidRDefault="00B95975" w:rsidP="00D30F28">
      <w:pPr>
        <w:pStyle w:val="BodyText"/>
      </w:pPr>
      <w:r>
        <w:t>An</w:t>
      </w:r>
      <w:r w:rsidR="00EA2EDE">
        <w:t xml:space="preserve"> </w:t>
      </w:r>
      <w:r w:rsidR="00AE3750" w:rsidRPr="00D378FC">
        <w:t>additional year</w:t>
      </w:r>
      <w:r>
        <w:t xml:space="preserve"> of</w:t>
      </w:r>
      <w:r w:rsidR="00A80601">
        <w:t xml:space="preserve"> work</w:t>
      </w:r>
      <w:r>
        <w:t xml:space="preserve"> experience </w:t>
      </w:r>
      <w:r w:rsidR="00AE3750" w:rsidRPr="00D378FC">
        <w:t>was associated with an increase in t</w:t>
      </w:r>
      <w:r w:rsidR="00347CB7">
        <w:t>he likelihood of employment of 2</w:t>
      </w:r>
      <w:r w:rsidR="009C2DCE">
        <w:t xml:space="preserve"> and 4</w:t>
      </w:r>
      <w:r w:rsidR="00AE3750" w:rsidRPr="00D378FC">
        <w:t xml:space="preserve"> percentage points for </w:t>
      </w:r>
      <w:r w:rsidR="00347CB7">
        <w:t xml:space="preserve">Indigenous </w:t>
      </w:r>
      <w:r w:rsidR="00EA2EDE">
        <w:t xml:space="preserve">men and </w:t>
      </w:r>
      <w:r w:rsidR="00EA2EDE">
        <w:lastRenderedPageBreak/>
        <w:t>women respectively</w:t>
      </w:r>
      <w:r>
        <w:t xml:space="preserve">, </w:t>
      </w:r>
      <w:r w:rsidRPr="00D378FC">
        <w:t>compared to someone with average years of experience (around 15 years for men and 11 years for women</w:t>
      </w:r>
      <w:r>
        <w:t>)</w:t>
      </w:r>
      <w:r w:rsidR="00AE3750" w:rsidRPr="00D378FC">
        <w:t xml:space="preserve">. For Indigenous </w:t>
      </w:r>
      <w:r w:rsidR="009C2DCE">
        <w:t>women, this was reflected in a 3</w:t>
      </w:r>
      <w:r w:rsidR="00AE3750" w:rsidRPr="00D378FC">
        <w:t xml:space="preserve"> percentage point increase in the probability of participating in the labour force. For men, the associated increase in the likelihood of labour force participation was around 1 percentage </w:t>
      </w:r>
      <w:r w:rsidR="006E66F2" w:rsidRPr="00D378FC">
        <w:t>point</w:t>
      </w:r>
      <w:r w:rsidR="00AE3750" w:rsidRPr="00D378FC">
        <w:t>.</w:t>
      </w:r>
    </w:p>
    <w:p w:rsidR="006B73DA" w:rsidRPr="00D378FC" w:rsidRDefault="0018328B" w:rsidP="00D30F28">
      <w:pPr>
        <w:pStyle w:val="BodyText"/>
      </w:pPr>
      <w:r>
        <w:t xml:space="preserve">The association between work experience and LMOs is not linear, that is, it is different depending on the number of years of work experience the respondent has. </w:t>
      </w:r>
      <w:r w:rsidR="00CD7E60">
        <w:t>T</w:t>
      </w:r>
      <w:r>
        <w:t xml:space="preserve">he </w:t>
      </w:r>
      <w:r w:rsidR="006B73DA">
        <w:t xml:space="preserve">increase in the </w:t>
      </w:r>
      <w:r>
        <w:t xml:space="preserve">predicted </w:t>
      </w:r>
      <w:r w:rsidR="006B73DA">
        <w:t xml:space="preserve">probability of mainstream employment </w:t>
      </w:r>
      <w:r>
        <w:t>from</w:t>
      </w:r>
      <w:r w:rsidR="006B73DA">
        <w:t xml:space="preserve"> an additional year of work experience is higher for those with fewer than average years of experience and lower for those with more than average years of experience.</w:t>
      </w:r>
      <w:r>
        <w:rPr>
          <w:rStyle w:val="FootnoteReference"/>
        </w:rPr>
        <w:footnoteReference w:id="3"/>
      </w:r>
      <w:r w:rsidR="006B73DA">
        <w:t xml:space="preserve"> </w:t>
      </w:r>
    </w:p>
    <w:p w:rsidR="00086694" w:rsidRPr="00D378FC" w:rsidRDefault="00B11917" w:rsidP="00086694">
      <w:pPr>
        <w:pStyle w:val="Heading4"/>
      </w:pPr>
      <w:r w:rsidRPr="00D378FC">
        <w:t>Location</w:t>
      </w:r>
    </w:p>
    <w:p w:rsidR="00086694" w:rsidRDefault="008A0E58" w:rsidP="0046008B">
      <w:pPr>
        <w:pStyle w:val="BodyText"/>
      </w:pPr>
      <w:r>
        <w:t xml:space="preserve">The remoteness of an Indigenous person’s place of residence can affect their </w:t>
      </w:r>
      <w:r w:rsidR="00CA397E">
        <w:t>LMOs for a number of reasons</w:t>
      </w:r>
      <w:r w:rsidR="00797F09">
        <w:t xml:space="preserve"> (</w:t>
      </w:r>
      <w:r w:rsidR="00CA397E">
        <w:t>chapter 4</w:t>
      </w:r>
      <w:r w:rsidR="00797F09">
        <w:t>)</w:t>
      </w:r>
      <w:r w:rsidR="00CA397E">
        <w:t xml:space="preserve">. </w:t>
      </w:r>
      <w:r w:rsidR="00086694" w:rsidRPr="00D378FC">
        <w:t xml:space="preserve">Remoteness </w:t>
      </w:r>
      <w:r w:rsidR="00797F09">
        <w:t>i</w:t>
      </w:r>
      <w:r w:rsidR="00797F09" w:rsidRPr="00D378FC">
        <w:t xml:space="preserve">s </w:t>
      </w:r>
      <w:r w:rsidR="00086694" w:rsidRPr="00D378FC">
        <w:t xml:space="preserve">associated with </w:t>
      </w:r>
      <w:r w:rsidR="00CD7E60">
        <w:t xml:space="preserve">an </w:t>
      </w:r>
      <w:r w:rsidR="00086694" w:rsidRPr="00D378FC">
        <w:t xml:space="preserve">increased probability of participating in the labour force of </w:t>
      </w:r>
      <w:r w:rsidR="002C11AB">
        <w:t>2</w:t>
      </w:r>
      <w:r w:rsidR="00C10C89">
        <w:t> </w:t>
      </w:r>
      <w:r w:rsidR="00086694" w:rsidRPr="00D378FC">
        <w:t>percentage p</w:t>
      </w:r>
      <w:r w:rsidR="00305C01" w:rsidRPr="00D378FC">
        <w:t xml:space="preserve">oints for Indigenous men and </w:t>
      </w:r>
      <w:r w:rsidR="002C11AB">
        <w:t>4</w:t>
      </w:r>
      <w:r w:rsidR="00C10C89">
        <w:t> </w:t>
      </w:r>
      <w:r w:rsidR="00086694" w:rsidRPr="00D378FC">
        <w:t>percenta</w:t>
      </w:r>
      <w:r w:rsidR="006E66F2" w:rsidRPr="00D378FC">
        <w:t>ge points for Indigenous women</w:t>
      </w:r>
      <w:r w:rsidR="002C11AB">
        <w:t xml:space="preserve">. </w:t>
      </w:r>
      <w:r w:rsidR="007C5A04">
        <w:t>For Indigenous men</w:t>
      </w:r>
      <w:r w:rsidR="00797F09">
        <w:t xml:space="preserve"> living in a remote area</w:t>
      </w:r>
      <w:r w:rsidR="007C5A04">
        <w:t xml:space="preserve">, </w:t>
      </w:r>
      <w:r w:rsidR="00797F09" w:rsidRPr="00D378FC">
        <w:t>the probability of CDEP participation</w:t>
      </w:r>
      <w:r w:rsidR="00797F09">
        <w:t xml:space="preserve"> increases</w:t>
      </w:r>
      <w:r w:rsidR="00797F09" w:rsidRPr="00D378FC">
        <w:t xml:space="preserve"> by </w:t>
      </w:r>
      <w:r w:rsidR="00797F09">
        <w:t>13 </w:t>
      </w:r>
      <w:r w:rsidR="00797F09" w:rsidRPr="00D378FC">
        <w:t>percentage</w:t>
      </w:r>
      <w:r w:rsidR="00797F09">
        <w:t xml:space="preserve"> points</w:t>
      </w:r>
      <w:r w:rsidR="00797F09" w:rsidRPr="00D378FC">
        <w:t xml:space="preserve">, relative to </w:t>
      </w:r>
      <w:r w:rsidR="00234E11">
        <w:t xml:space="preserve">Indigenous </w:t>
      </w:r>
      <w:r w:rsidR="00797F09">
        <w:t xml:space="preserve">men </w:t>
      </w:r>
      <w:r w:rsidR="00797F09" w:rsidRPr="00D378FC">
        <w:t>liv</w:t>
      </w:r>
      <w:r w:rsidR="00797F09">
        <w:t>ing</w:t>
      </w:r>
      <w:r w:rsidR="00797F09" w:rsidRPr="00D378FC">
        <w:t xml:space="preserve"> in a </w:t>
      </w:r>
      <w:r w:rsidR="00797F09">
        <w:t>non</w:t>
      </w:r>
      <w:r w:rsidR="00797F09">
        <w:noBreakHyphen/>
      </w:r>
      <w:r w:rsidR="00797F09" w:rsidRPr="00D378FC">
        <w:t>remote area</w:t>
      </w:r>
      <w:r w:rsidR="00797F09">
        <w:t xml:space="preserve"> (tables A.3 and A.4</w:t>
      </w:r>
      <w:r w:rsidR="00797F09" w:rsidRPr="00D378FC">
        <w:t>).</w:t>
      </w:r>
      <w:r w:rsidR="00797F09">
        <w:t xml:space="preserve"> T</w:t>
      </w:r>
      <w:r w:rsidR="007C5A04">
        <w:t xml:space="preserve">his </w:t>
      </w:r>
      <w:r w:rsidR="00086694" w:rsidRPr="00D378FC">
        <w:t>reflect</w:t>
      </w:r>
      <w:r w:rsidR="002C11AB">
        <w:t>s</w:t>
      </w:r>
      <w:r w:rsidR="00086694" w:rsidRPr="00D378FC">
        <w:t xml:space="preserve"> the strong association between re</w:t>
      </w:r>
      <w:r w:rsidR="007C5A04">
        <w:t xml:space="preserve">moteness and </w:t>
      </w:r>
      <w:r w:rsidR="00797F09">
        <w:t xml:space="preserve">the availability of </w:t>
      </w:r>
      <w:r w:rsidR="007C5A04">
        <w:t>CDEP</w:t>
      </w:r>
      <w:r w:rsidR="00797F09">
        <w:t xml:space="preserve">. </w:t>
      </w:r>
    </w:p>
    <w:p w:rsidR="00ED4DA2" w:rsidRDefault="00797F09" w:rsidP="00ED4DA2">
      <w:pPr>
        <w:pStyle w:val="ListBullet"/>
        <w:numPr>
          <w:ilvl w:val="0"/>
          <w:numId w:val="0"/>
        </w:numPr>
      </w:pPr>
      <w:r>
        <w:t xml:space="preserve">Separate from </w:t>
      </w:r>
      <w:r w:rsidR="006B655E">
        <w:t>any effects</w:t>
      </w:r>
      <w:r>
        <w:t xml:space="preserve"> </w:t>
      </w:r>
      <w:r w:rsidR="006B655E">
        <w:t xml:space="preserve">of </w:t>
      </w:r>
      <w:r>
        <w:t>remoteness</w:t>
      </w:r>
      <w:r w:rsidR="006B655E">
        <w:t xml:space="preserve"> on Indigenous LMOs</w:t>
      </w:r>
      <w:r>
        <w:t>, l</w:t>
      </w:r>
      <w:r w:rsidR="00ED4DA2" w:rsidRPr="00D378FC">
        <w:t>iv</w:t>
      </w:r>
      <w:r w:rsidR="005E6127">
        <w:t xml:space="preserve">ing in traditional homelands </w:t>
      </w:r>
      <w:r w:rsidR="006B655E">
        <w:t>i</w:t>
      </w:r>
      <w:r w:rsidR="005E6127">
        <w:t>s</w:t>
      </w:r>
      <w:r w:rsidR="00ED4DA2" w:rsidRPr="00D378FC">
        <w:t xml:space="preserve"> </w:t>
      </w:r>
      <w:r w:rsidR="006B655E">
        <w:t xml:space="preserve">associated </w:t>
      </w:r>
      <w:r w:rsidR="00ED4DA2" w:rsidRPr="00D378FC">
        <w:t>with a reduced probability of employment</w:t>
      </w:r>
      <w:r w:rsidR="00ED4DA2">
        <w:t xml:space="preserve"> for Indigenous men and women (3 and </w:t>
      </w:r>
      <w:r w:rsidR="000178DC">
        <w:t>7</w:t>
      </w:r>
      <w:r w:rsidR="00ED4DA2">
        <w:t> </w:t>
      </w:r>
      <w:r w:rsidR="00ED4DA2" w:rsidRPr="00D378FC">
        <w:t>percentage points</w:t>
      </w:r>
      <w:r w:rsidR="00ED4DA2">
        <w:t>, respectively</w:t>
      </w:r>
      <w:r w:rsidR="00ED4DA2" w:rsidRPr="00D378FC">
        <w:t>)</w:t>
      </w:r>
      <w:r w:rsidR="00ED4DA2">
        <w:t xml:space="preserve">. </w:t>
      </w:r>
      <w:r>
        <w:t xml:space="preserve">This </w:t>
      </w:r>
      <w:r w:rsidR="00000ECC">
        <w:t xml:space="preserve">may signal </w:t>
      </w:r>
      <w:r w:rsidR="00ED4DA2">
        <w:t>cultural attachment or a preference for living a traditional lifestyle</w:t>
      </w:r>
      <w:r>
        <w:t xml:space="preserve">, or more limited employment opportunities in traditional homelands. </w:t>
      </w:r>
      <w:r w:rsidR="00ED4DA2">
        <w:t xml:space="preserve"> </w:t>
      </w:r>
    </w:p>
    <w:p w:rsidR="00B11917" w:rsidRPr="00D378FC" w:rsidRDefault="008A0E58" w:rsidP="00B11917">
      <w:pPr>
        <w:pStyle w:val="BodyText"/>
      </w:pPr>
      <w:r>
        <w:t xml:space="preserve">The relative level of socioeconomic disadvantage of the region in which a person’s residence is located </w:t>
      </w:r>
      <w:r w:rsidR="00C077D9">
        <w:t>might be an indicator of labour demand</w:t>
      </w:r>
      <w:r w:rsidR="006B655E">
        <w:t xml:space="preserve">. It may </w:t>
      </w:r>
      <w:r w:rsidR="00C077D9">
        <w:t>also</w:t>
      </w:r>
      <w:r>
        <w:t xml:space="preserve"> </w:t>
      </w:r>
      <w:r w:rsidR="006B655E">
        <w:t xml:space="preserve">indicate </w:t>
      </w:r>
      <w:r>
        <w:t>access to material and social resources</w:t>
      </w:r>
      <w:r w:rsidR="006B655E">
        <w:t xml:space="preserve"> that might affect labour force participation</w:t>
      </w:r>
      <w:r>
        <w:t xml:space="preserve">, such as income, education and transport. </w:t>
      </w:r>
      <w:r w:rsidR="00B11917" w:rsidRPr="00D378FC">
        <w:t xml:space="preserve">Living in a relatively less disadvantaged </w:t>
      </w:r>
      <w:r w:rsidR="00B11917" w:rsidRPr="00D378FC">
        <w:lastRenderedPageBreak/>
        <w:t>area (as indicat</w:t>
      </w:r>
      <w:r w:rsidR="00305C01" w:rsidRPr="00D378FC">
        <w:t xml:space="preserve">ed by a high SEIFA score) </w:t>
      </w:r>
      <w:r w:rsidR="008724DF">
        <w:t>was found to increase</w:t>
      </w:r>
      <w:r w:rsidR="00B11917" w:rsidRPr="00D378FC">
        <w:t xml:space="preserve"> the probability of em</w:t>
      </w:r>
      <w:r w:rsidR="008724DF">
        <w:t>ployment</w:t>
      </w:r>
      <w:r w:rsidR="00305C01" w:rsidRPr="00D378FC">
        <w:t xml:space="preserve"> by </w:t>
      </w:r>
      <w:r w:rsidR="007C5A04">
        <w:t>2</w:t>
      </w:r>
      <w:r w:rsidR="00C10C89">
        <w:t> </w:t>
      </w:r>
      <w:r w:rsidR="00B11917" w:rsidRPr="00D378FC">
        <w:t>percentage point</w:t>
      </w:r>
      <w:r w:rsidR="008724DF">
        <w:t>s for Indigenous men</w:t>
      </w:r>
      <w:r w:rsidR="00B11917" w:rsidRPr="00D378FC">
        <w:t xml:space="preserve"> and </w:t>
      </w:r>
      <w:r w:rsidR="007C5A04">
        <w:t>3</w:t>
      </w:r>
      <w:r w:rsidR="00C10C89">
        <w:t> </w:t>
      </w:r>
      <w:r w:rsidR="00B11917" w:rsidRPr="00D378FC">
        <w:t xml:space="preserve">percentage points for Indigenous women, compared to those </w:t>
      </w:r>
      <w:r w:rsidR="006B655E">
        <w:t>living</w:t>
      </w:r>
      <w:r w:rsidR="00B11917" w:rsidRPr="00D378FC">
        <w:t xml:space="preserve"> in a relatively more disadvantaged area. </w:t>
      </w:r>
    </w:p>
    <w:p w:rsidR="0046008B" w:rsidRPr="00D378FC" w:rsidRDefault="00AA081E" w:rsidP="0046008B">
      <w:pPr>
        <w:pStyle w:val="Heading4"/>
      </w:pPr>
      <w:r>
        <w:t>Contact with the criminal justice system</w:t>
      </w:r>
    </w:p>
    <w:p w:rsidR="0005694B" w:rsidRDefault="008A0E58" w:rsidP="0046008B">
      <w:pPr>
        <w:pStyle w:val="BodyText"/>
      </w:pPr>
      <w:r>
        <w:t>A history of a</w:t>
      </w:r>
      <w:r w:rsidR="00AE3750" w:rsidRPr="00D378FC">
        <w:t>rrest in the last five years had a highly significant negative assoc</w:t>
      </w:r>
      <w:r w:rsidR="00CA397E">
        <w:t xml:space="preserve">iation with </w:t>
      </w:r>
      <w:r w:rsidR="00AE3750" w:rsidRPr="00D378FC">
        <w:t xml:space="preserve">employment. </w:t>
      </w:r>
      <w:r w:rsidR="00552A74">
        <w:t xml:space="preserve">The </w:t>
      </w:r>
      <w:r w:rsidR="003D4FC3">
        <w:t>association between</w:t>
      </w:r>
      <w:r w:rsidR="00552A74">
        <w:t xml:space="preserve"> </w:t>
      </w:r>
      <w:r w:rsidR="00AE3750" w:rsidRPr="00D378FC">
        <w:t>arrest</w:t>
      </w:r>
      <w:r w:rsidR="00552A74">
        <w:t xml:space="preserve"> </w:t>
      </w:r>
      <w:r w:rsidR="003D4FC3">
        <w:t>and</w:t>
      </w:r>
      <w:r w:rsidR="00552A74">
        <w:t xml:space="preserve"> the probability of employment </w:t>
      </w:r>
      <w:r w:rsidR="00F256AC">
        <w:t>were</w:t>
      </w:r>
      <w:r w:rsidR="00552A74">
        <w:t xml:space="preserve"> substantially larger for Indigenous women t</w:t>
      </w:r>
      <w:r w:rsidR="0005694B">
        <w:t>han men</w:t>
      </w:r>
      <w:r w:rsidR="00BA3AF1">
        <w:t xml:space="preserve"> </w:t>
      </w:r>
      <w:r w:rsidR="0005694B">
        <w:t>(</w:t>
      </w:r>
      <w:r w:rsidR="00552A74">
        <w:t>17</w:t>
      </w:r>
      <w:r w:rsidR="00AE3750" w:rsidRPr="00D378FC">
        <w:t xml:space="preserve"> percentage points </w:t>
      </w:r>
      <w:r w:rsidR="0005694B">
        <w:t>compared with</w:t>
      </w:r>
      <w:r w:rsidR="00552A74">
        <w:t xml:space="preserve"> 8</w:t>
      </w:r>
      <w:r w:rsidR="00AE3750" w:rsidRPr="00D378FC">
        <w:t> percentage points</w:t>
      </w:r>
      <w:r w:rsidR="0005694B">
        <w:t>)</w:t>
      </w:r>
      <w:r w:rsidR="00AE3750" w:rsidRPr="00D378FC">
        <w:t xml:space="preserve">. </w:t>
      </w:r>
    </w:p>
    <w:p w:rsidR="00BA3AF1" w:rsidRDefault="00AE3750" w:rsidP="0046008B">
      <w:pPr>
        <w:pStyle w:val="BodyText"/>
      </w:pPr>
      <w:r w:rsidRPr="00D378FC">
        <w:t xml:space="preserve">The </w:t>
      </w:r>
      <w:r w:rsidR="00222DF8">
        <w:t xml:space="preserve">negative </w:t>
      </w:r>
      <w:r w:rsidR="003D4FC3">
        <w:t xml:space="preserve">association between </w:t>
      </w:r>
      <w:r w:rsidR="00552A74">
        <w:t>a history of arrest</w:t>
      </w:r>
      <w:r w:rsidR="00222DF8">
        <w:t xml:space="preserve"> </w:t>
      </w:r>
      <w:r w:rsidR="003D4FC3">
        <w:t>and</w:t>
      </w:r>
      <w:r w:rsidR="00637CB5">
        <w:t xml:space="preserve"> </w:t>
      </w:r>
      <w:r w:rsidRPr="00D378FC">
        <w:t xml:space="preserve">labour force participation </w:t>
      </w:r>
      <w:r w:rsidR="00F256AC">
        <w:t>were</w:t>
      </w:r>
      <w:r w:rsidRPr="00D378FC">
        <w:t xml:space="preserve"> </w:t>
      </w:r>
      <w:r w:rsidR="00BA3AF1">
        <w:t xml:space="preserve">also larger for women compared with </w:t>
      </w:r>
      <w:r w:rsidR="00222DF8">
        <w:t>men</w:t>
      </w:r>
      <w:r w:rsidR="00086694" w:rsidRPr="00D378FC">
        <w:t xml:space="preserve"> (</w:t>
      </w:r>
      <w:r w:rsidR="00BA3AF1">
        <w:t xml:space="preserve">9 </w:t>
      </w:r>
      <w:r w:rsidRPr="00D378FC">
        <w:t>percentage point</w:t>
      </w:r>
      <w:r w:rsidR="00222DF8">
        <w:t>s</w:t>
      </w:r>
      <w:r w:rsidR="00BA3AF1">
        <w:t xml:space="preserve"> compared with 2</w:t>
      </w:r>
      <w:r w:rsidR="00CA397E">
        <w:t> </w:t>
      </w:r>
      <w:r w:rsidR="00BA3AF1">
        <w:t>percentage points</w:t>
      </w:r>
      <w:r w:rsidRPr="00D378FC">
        <w:t xml:space="preserve">). </w:t>
      </w:r>
      <w:r w:rsidR="00222DF8">
        <w:t xml:space="preserve">This is consistent with </w:t>
      </w:r>
      <w:r w:rsidR="00BA3AF1">
        <w:t xml:space="preserve">findings from </w:t>
      </w:r>
      <w:r w:rsidR="00222DF8">
        <w:t>Stephens (2010)</w:t>
      </w:r>
      <w:r w:rsidR="00D3588B">
        <w:t xml:space="preserve"> who also found larger negative </w:t>
      </w:r>
      <w:r w:rsidR="003D4FC3">
        <w:t>associations</w:t>
      </w:r>
      <w:r w:rsidR="00D3588B">
        <w:t xml:space="preserve"> for women</w:t>
      </w:r>
      <w:r w:rsidR="00222DF8">
        <w:t xml:space="preserve">. </w:t>
      </w:r>
    </w:p>
    <w:p w:rsidR="00AE3750" w:rsidRPr="00D378FC" w:rsidRDefault="002430D3" w:rsidP="0046008B">
      <w:pPr>
        <w:pStyle w:val="BodyText"/>
      </w:pPr>
      <w:r>
        <w:t xml:space="preserve">The relatively smaller </w:t>
      </w:r>
      <w:r w:rsidR="003D4FC3">
        <w:t>association between arrest and</w:t>
      </w:r>
      <w:r>
        <w:t xml:space="preserve"> labour force participation </w:t>
      </w:r>
      <w:r w:rsidR="00EF7EB3">
        <w:t xml:space="preserve">relative to </w:t>
      </w:r>
      <w:r>
        <w:t>employment</w:t>
      </w:r>
      <w:r w:rsidR="00C46E1B">
        <w:t xml:space="preserve"> (for both men and women)</w:t>
      </w:r>
      <w:r>
        <w:t xml:space="preserve"> </w:t>
      </w:r>
      <w:r w:rsidR="00CA397E">
        <w:t>might</w:t>
      </w:r>
      <w:r w:rsidR="00AE3750" w:rsidRPr="00D378FC">
        <w:t xml:space="preserve"> mean that arrest did not fully discourage labour force participation, but affected the</w:t>
      </w:r>
      <w:r w:rsidR="007376DF" w:rsidRPr="00D378FC">
        <w:t xml:space="preserve"> ability to obtain a job</w:t>
      </w:r>
      <w:r w:rsidR="00637CB5">
        <w:t xml:space="preserve">. The </w:t>
      </w:r>
      <w:r w:rsidR="003D4FC3">
        <w:t>association between</w:t>
      </w:r>
      <w:r w:rsidR="00637CB5">
        <w:t xml:space="preserve"> arrest </w:t>
      </w:r>
      <w:r w:rsidR="003D4FC3">
        <w:t>and</w:t>
      </w:r>
      <w:r w:rsidR="00637CB5">
        <w:t xml:space="preserve"> unemployment were significant for both Indigenous men and women (5 and </w:t>
      </w:r>
      <w:r w:rsidR="00AA081E">
        <w:t>6 </w:t>
      </w:r>
      <w:r w:rsidR="00637CB5">
        <w:t>percentage points respectively (tables</w:t>
      </w:r>
      <w:r w:rsidR="00CA397E">
        <w:t xml:space="preserve"> </w:t>
      </w:r>
      <w:proofErr w:type="spellStart"/>
      <w:r w:rsidR="00CA397E">
        <w:t>A.3</w:t>
      </w:r>
      <w:proofErr w:type="spellEnd"/>
      <w:r w:rsidR="00CA397E">
        <w:t xml:space="preserve"> and</w:t>
      </w:r>
      <w:r w:rsidR="003D4FC3">
        <w:t> </w:t>
      </w:r>
      <w:proofErr w:type="spellStart"/>
      <w:r w:rsidR="00CA397E">
        <w:t>A.4</w:t>
      </w:r>
      <w:proofErr w:type="spellEnd"/>
      <w:r w:rsidR="00637CB5">
        <w:t>)</w:t>
      </w:r>
      <w:r w:rsidR="006B655E">
        <w:t>)</w:t>
      </w:r>
      <w:r w:rsidR="00637CB5">
        <w:t xml:space="preserve">.  </w:t>
      </w:r>
    </w:p>
    <w:p w:rsidR="0046008B" w:rsidRDefault="00AE3750" w:rsidP="0046008B">
      <w:pPr>
        <w:pStyle w:val="BodyText"/>
      </w:pPr>
      <w:r w:rsidRPr="00D378FC">
        <w:t xml:space="preserve">After </w:t>
      </w:r>
      <w:r w:rsidR="00CA397E">
        <w:t>controlling</w:t>
      </w:r>
      <w:r w:rsidRPr="00D378FC">
        <w:t xml:space="preserve"> for other factors, including recent history of arrest, an Indigenous man who had been imprisoned in his lifetime had a reduced</w:t>
      </w:r>
      <w:r w:rsidR="007A5078">
        <w:t xml:space="preserve"> probability of employment of 8</w:t>
      </w:r>
      <w:r w:rsidRPr="00D378FC">
        <w:t> percentage points and a reduced probability of partic</w:t>
      </w:r>
      <w:r w:rsidR="007A5078">
        <w:t>ipation in the labour force of 3</w:t>
      </w:r>
      <w:r w:rsidRPr="00D378FC">
        <w:t> percentage points compared to an Indigenous man who h</w:t>
      </w:r>
      <w:r w:rsidR="007376DF" w:rsidRPr="00D378FC">
        <w:t>as never been imprisoned</w:t>
      </w:r>
      <w:r w:rsidRPr="00D378FC">
        <w:t xml:space="preserve">. The results indicate no significant </w:t>
      </w:r>
      <w:r w:rsidR="00CA397E">
        <w:t>association between</w:t>
      </w:r>
      <w:r w:rsidRPr="00D378FC">
        <w:t xml:space="preserve"> imprisonment </w:t>
      </w:r>
      <w:r w:rsidR="00CA397E">
        <w:t>and</w:t>
      </w:r>
      <w:r w:rsidRPr="00D378FC">
        <w:t xml:space="preserve"> LMOs for women, although this may reflect the small number of women in the sample who</w:t>
      </w:r>
      <w:r w:rsidR="00086694" w:rsidRPr="00D378FC">
        <w:t xml:space="preserve"> had </w:t>
      </w:r>
      <w:r w:rsidR="00AA081E">
        <w:t>been in jail</w:t>
      </w:r>
      <w:r w:rsidRPr="00D378FC">
        <w:t xml:space="preserve">. </w:t>
      </w:r>
    </w:p>
    <w:p w:rsidR="0016605C" w:rsidRDefault="0016605C" w:rsidP="0046008B">
      <w:pPr>
        <w:pStyle w:val="BodyText"/>
      </w:pPr>
      <w:r>
        <w:t>In interpreting these results, it is expected that the</w:t>
      </w:r>
      <w:r w:rsidRPr="000437EE">
        <w:t xml:space="preserve"> variable</w:t>
      </w:r>
      <w:r w:rsidR="0062496B">
        <w:t>s for arrest and imprisonment are collinear as</w:t>
      </w:r>
      <w:r w:rsidRPr="000437EE">
        <w:t xml:space="preserve"> generally people who have been in jail have also been arrested. However, </w:t>
      </w:r>
      <w:r>
        <w:t xml:space="preserve">it should be noted that </w:t>
      </w:r>
      <w:r w:rsidRPr="000437EE">
        <w:t>the NATSISS data includes observations for some people who have not been arrested in the last five years, but have been in jail in their lifetime, and others who have been in jail without being arrested for other reasons.</w:t>
      </w:r>
    </w:p>
    <w:p w:rsidR="0005694B" w:rsidRPr="00D378FC" w:rsidRDefault="00637CB5" w:rsidP="0046008B">
      <w:pPr>
        <w:pStyle w:val="BodyText"/>
      </w:pPr>
      <w:r>
        <w:t>The effects of a history of criminal activity on a person</w:t>
      </w:r>
      <w:r w:rsidR="00CA397E">
        <w:t>’</w:t>
      </w:r>
      <w:r>
        <w:t xml:space="preserve">s </w:t>
      </w:r>
      <w:r w:rsidR="006B655E">
        <w:t>LMO</w:t>
      </w:r>
      <w:r>
        <w:t xml:space="preserve"> are </w:t>
      </w:r>
      <w:r w:rsidR="0016605C">
        <w:t xml:space="preserve">also </w:t>
      </w:r>
      <w:r>
        <w:t xml:space="preserve">likely to be subject to </w:t>
      </w:r>
      <w:proofErr w:type="spellStart"/>
      <w:r>
        <w:t>endogeneity</w:t>
      </w:r>
      <w:proofErr w:type="spellEnd"/>
      <w:r>
        <w:t xml:space="preserve"> bias</w:t>
      </w:r>
      <w:r w:rsidR="00C46E1B">
        <w:t xml:space="preserve">. </w:t>
      </w:r>
      <w:r>
        <w:t xml:space="preserve">Previous studies show that people who are unemployed are more likely to </w:t>
      </w:r>
      <w:r w:rsidR="00BA3AF1">
        <w:t>commit crimes (Freeman 1999).</w:t>
      </w:r>
    </w:p>
    <w:p w:rsidR="0046008B" w:rsidRPr="00D378FC" w:rsidRDefault="006050F6" w:rsidP="0046008B">
      <w:pPr>
        <w:pStyle w:val="Heading2"/>
      </w:pPr>
      <w:r>
        <w:lastRenderedPageBreak/>
        <w:t>5.</w:t>
      </w:r>
      <w:r w:rsidR="002416C8">
        <w:rPr>
          <w:noProof/>
        </w:rPr>
        <w:t>4</w:t>
      </w:r>
      <w:r w:rsidR="00B11917" w:rsidRPr="00D378FC">
        <w:tab/>
      </w:r>
      <w:r w:rsidR="00CA397E">
        <w:t>Associations with s</w:t>
      </w:r>
      <w:r w:rsidR="003153D7" w:rsidRPr="00D378FC">
        <w:t>ocial</w:t>
      </w:r>
      <w:r w:rsidR="006431AC" w:rsidRPr="00D378FC">
        <w:t xml:space="preserve"> and cultural factors</w:t>
      </w:r>
    </w:p>
    <w:p w:rsidR="00680A86" w:rsidRPr="00D378FC" w:rsidRDefault="00EE0B4D" w:rsidP="00680A86">
      <w:pPr>
        <w:pStyle w:val="ListBullet"/>
        <w:numPr>
          <w:ilvl w:val="0"/>
          <w:numId w:val="0"/>
        </w:numPr>
      </w:pPr>
      <w:r>
        <w:t>As discussed in chapter 4, some attributes, such as the motivation</w:t>
      </w:r>
      <w:r w:rsidR="00C077D9">
        <w:t xml:space="preserve"> and ability</w:t>
      </w:r>
      <w:r>
        <w:t xml:space="preserve"> to obtain employment, and preferences for paid versus unpaid work, can be influenced by a person’s social and cultural environment. </w:t>
      </w:r>
      <w:r w:rsidR="0046008B" w:rsidRPr="00D378FC">
        <w:t xml:space="preserve">The marginal effects of </w:t>
      </w:r>
      <w:r w:rsidR="00DD2981" w:rsidRPr="00D378FC">
        <w:t>selected</w:t>
      </w:r>
      <w:r w:rsidR="0046008B" w:rsidRPr="00D378FC">
        <w:t xml:space="preserve"> </w:t>
      </w:r>
      <w:r w:rsidR="003153D7" w:rsidRPr="00D378FC">
        <w:t xml:space="preserve">social </w:t>
      </w:r>
      <w:r w:rsidR="0046008B" w:rsidRPr="00D378FC">
        <w:t>and cultural factors associated with labour force participation and employment are presented in table </w:t>
      </w:r>
      <w:r w:rsidR="006050F6">
        <w:t>5.</w:t>
      </w:r>
      <w:r w:rsidR="00243FC4" w:rsidRPr="00D378FC">
        <w:t>2</w:t>
      </w:r>
      <w:r w:rsidR="00BB52DA" w:rsidRPr="00D378FC">
        <w:t xml:space="preserve">. </w:t>
      </w:r>
      <w:r w:rsidR="00680A86">
        <w:t xml:space="preserve"> </w:t>
      </w:r>
    </w:p>
    <w:p w:rsidR="00B154B5" w:rsidRDefault="00B154B5" w:rsidP="00B154B5">
      <w:pPr>
        <w:pStyle w:val="TableTitle"/>
        <w:rPr>
          <w:rStyle w:val="NoteLabel"/>
        </w:rPr>
      </w:pPr>
      <w:r w:rsidRPr="00D378FC">
        <w:rPr>
          <w:b w:val="0"/>
        </w:rPr>
        <w:t xml:space="preserve">Table </w:t>
      </w:r>
      <w:r w:rsidR="006050F6">
        <w:rPr>
          <w:b w:val="0"/>
        </w:rPr>
        <w:t>5.</w:t>
      </w:r>
      <w:r w:rsidRPr="00D378FC">
        <w:rPr>
          <w:b w:val="0"/>
        </w:rPr>
        <w:t>2</w:t>
      </w:r>
      <w:r w:rsidRPr="00D378FC">
        <w:tab/>
        <w:t>Marginal effects of selected social and cultural factors, Indigenous people, 2008</w:t>
      </w:r>
      <w:r w:rsidRPr="00D378FC">
        <w:rPr>
          <w:rStyle w:val="NoteLabel"/>
        </w:rPr>
        <w:t xml:space="preserve"> a</w:t>
      </w:r>
      <w:r>
        <w:rPr>
          <w:rStyle w:val="NoteLabel"/>
        </w:rPr>
        <w:t>, b</w:t>
      </w:r>
    </w:p>
    <w:p w:rsidR="006B655E" w:rsidRPr="006B655E" w:rsidRDefault="00AC1284" w:rsidP="006B655E">
      <w:pPr>
        <w:pStyle w:val="Subtitle"/>
      </w:pPr>
      <w:r w:rsidRPr="00662C0E">
        <w:t>Percentage</w:t>
      </w:r>
      <w:r w:rsidR="006B655E" w:rsidRPr="00662C0E">
        <w:t xml:space="preserve"> point change in predicted probability</w:t>
      </w:r>
    </w:p>
    <w:tbl>
      <w:tblPr>
        <w:tblW w:w="4917" w:type="pct"/>
        <w:tblCellMar>
          <w:left w:w="0" w:type="dxa"/>
          <w:right w:w="0" w:type="dxa"/>
        </w:tblCellMar>
        <w:tblLook w:val="0000" w:firstRow="0" w:lastRow="0" w:firstColumn="0" w:lastColumn="0" w:noHBand="0" w:noVBand="0"/>
      </w:tblPr>
      <w:tblGrid>
        <w:gridCol w:w="2110"/>
        <w:gridCol w:w="1309"/>
        <w:gridCol w:w="524"/>
        <w:gridCol w:w="671"/>
        <w:gridCol w:w="671"/>
        <w:gridCol w:w="659"/>
        <w:gridCol w:w="686"/>
        <w:gridCol w:w="674"/>
        <w:gridCol w:w="672"/>
        <w:gridCol w:w="667"/>
      </w:tblGrid>
      <w:tr w:rsidR="00B154B5" w:rsidRPr="00D378FC" w:rsidTr="00AC1284">
        <w:tc>
          <w:tcPr>
            <w:tcW w:w="1221" w:type="pct"/>
            <w:tcBorders>
              <w:top w:val="single" w:sz="4" w:space="0" w:color="auto"/>
            </w:tcBorders>
            <w:shd w:val="clear" w:color="auto" w:fill="auto"/>
          </w:tcPr>
          <w:p w:rsidR="00B154B5" w:rsidRPr="00D378FC" w:rsidRDefault="00B154B5" w:rsidP="00B154B5">
            <w:pPr>
              <w:pStyle w:val="TableColumnHeading"/>
            </w:pPr>
          </w:p>
        </w:tc>
        <w:tc>
          <w:tcPr>
            <w:tcW w:w="757" w:type="pct"/>
            <w:tcBorders>
              <w:top w:val="single" w:sz="4" w:space="0" w:color="auto"/>
            </w:tcBorders>
            <w:shd w:val="clear" w:color="auto" w:fill="auto"/>
          </w:tcPr>
          <w:p w:rsidR="00B154B5" w:rsidRPr="00D378FC" w:rsidRDefault="00B154B5" w:rsidP="00B154B5">
            <w:pPr>
              <w:pStyle w:val="TableColumnHeading"/>
            </w:pPr>
          </w:p>
        </w:tc>
        <w:tc>
          <w:tcPr>
            <w:tcW w:w="1460" w:type="pct"/>
            <w:gridSpan w:val="4"/>
            <w:tcBorders>
              <w:top w:val="single" w:sz="4" w:space="0" w:color="auto"/>
            </w:tcBorders>
            <w:shd w:val="clear" w:color="auto" w:fill="auto"/>
          </w:tcPr>
          <w:p w:rsidR="00B154B5" w:rsidRPr="00D378FC" w:rsidRDefault="00B154B5" w:rsidP="00B154B5">
            <w:pPr>
              <w:pStyle w:val="TableColumnHeading"/>
              <w:jc w:val="center"/>
            </w:pPr>
            <w:r w:rsidRPr="00D378FC">
              <w:t>Men</w:t>
            </w:r>
          </w:p>
        </w:tc>
        <w:tc>
          <w:tcPr>
            <w:tcW w:w="1562" w:type="pct"/>
            <w:gridSpan w:val="4"/>
            <w:tcBorders>
              <w:top w:val="single" w:sz="4" w:space="0" w:color="auto"/>
            </w:tcBorders>
            <w:shd w:val="clear" w:color="auto" w:fill="auto"/>
          </w:tcPr>
          <w:p w:rsidR="00B154B5" w:rsidRPr="00D378FC" w:rsidRDefault="00B154B5" w:rsidP="00B154B5">
            <w:pPr>
              <w:pStyle w:val="TableColumnHeading"/>
              <w:jc w:val="center"/>
            </w:pPr>
            <w:r w:rsidRPr="00D378FC">
              <w:t>Women</w:t>
            </w:r>
          </w:p>
        </w:tc>
      </w:tr>
      <w:tr w:rsidR="00B154B5" w:rsidRPr="00D378FC" w:rsidTr="00AC1284">
        <w:tc>
          <w:tcPr>
            <w:tcW w:w="1221" w:type="pct"/>
            <w:tcBorders>
              <w:bottom w:val="single" w:sz="4" w:space="0" w:color="auto"/>
            </w:tcBorders>
            <w:vAlign w:val="center"/>
          </w:tcPr>
          <w:p w:rsidR="00B154B5" w:rsidRPr="00D378FC" w:rsidRDefault="00B154B5" w:rsidP="00B154B5">
            <w:pPr>
              <w:pStyle w:val="TableColumnHeading"/>
              <w:jc w:val="left"/>
            </w:pPr>
            <w:r w:rsidRPr="00D378FC">
              <w:t>Explanatory variable</w:t>
            </w:r>
          </w:p>
        </w:tc>
        <w:tc>
          <w:tcPr>
            <w:tcW w:w="757" w:type="pct"/>
            <w:tcBorders>
              <w:bottom w:val="single" w:sz="4" w:space="0" w:color="auto"/>
            </w:tcBorders>
            <w:vAlign w:val="center"/>
          </w:tcPr>
          <w:p w:rsidR="00B154B5" w:rsidRPr="00D378FC" w:rsidRDefault="00AC1284" w:rsidP="00B154B5">
            <w:pPr>
              <w:pStyle w:val="TableColumnHeading"/>
            </w:pPr>
            <w:r>
              <w:t>Explanatory variable u</w:t>
            </w:r>
            <w:r w:rsidR="00B154B5" w:rsidRPr="00D378FC">
              <w:t>nit</w:t>
            </w:r>
          </w:p>
        </w:tc>
        <w:tc>
          <w:tcPr>
            <w:tcW w:w="691" w:type="pct"/>
            <w:gridSpan w:val="2"/>
            <w:tcBorders>
              <w:bottom w:val="single" w:sz="4" w:space="0" w:color="auto"/>
            </w:tcBorders>
            <w:vAlign w:val="center"/>
          </w:tcPr>
          <w:p w:rsidR="00B154B5" w:rsidRPr="00D378FC" w:rsidRDefault="00B154B5" w:rsidP="00B154B5">
            <w:pPr>
              <w:pStyle w:val="TableColumnHeading"/>
            </w:pPr>
            <w:r w:rsidRPr="00D378FC">
              <w:t>Employed</w:t>
            </w:r>
          </w:p>
        </w:tc>
        <w:tc>
          <w:tcPr>
            <w:tcW w:w="768" w:type="pct"/>
            <w:gridSpan w:val="2"/>
            <w:tcBorders>
              <w:bottom w:val="single" w:sz="4" w:space="0" w:color="auto"/>
            </w:tcBorders>
          </w:tcPr>
          <w:p w:rsidR="00B154B5" w:rsidRPr="00D378FC" w:rsidRDefault="00B154B5" w:rsidP="00B154B5">
            <w:pPr>
              <w:pStyle w:val="TableColumnHeading"/>
            </w:pPr>
            <w:r w:rsidRPr="00D378FC">
              <w:t xml:space="preserve">Not in the labour force </w:t>
            </w:r>
          </w:p>
        </w:tc>
        <w:tc>
          <w:tcPr>
            <w:tcW w:w="787" w:type="pct"/>
            <w:gridSpan w:val="2"/>
            <w:tcBorders>
              <w:bottom w:val="single" w:sz="4" w:space="0" w:color="auto"/>
            </w:tcBorders>
            <w:vAlign w:val="center"/>
          </w:tcPr>
          <w:p w:rsidR="00B154B5" w:rsidRPr="00D378FC" w:rsidRDefault="00B154B5" w:rsidP="00B154B5">
            <w:pPr>
              <w:pStyle w:val="TableColumnHeading"/>
            </w:pPr>
            <w:r w:rsidRPr="00D378FC">
              <w:t>Employed</w:t>
            </w:r>
          </w:p>
        </w:tc>
        <w:tc>
          <w:tcPr>
            <w:tcW w:w="775" w:type="pct"/>
            <w:gridSpan w:val="2"/>
            <w:tcBorders>
              <w:bottom w:val="single" w:sz="4" w:space="0" w:color="auto"/>
            </w:tcBorders>
          </w:tcPr>
          <w:p w:rsidR="00B154B5" w:rsidRPr="00D378FC" w:rsidRDefault="00B154B5" w:rsidP="00B154B5">
            <w:pPr>
              <w:pStyle w:val="TableColumnHeading"/>
            </w:pPr>
            <w:r w:rsidRPr="00D378FC">
              <w:t xml:space="preserve">Not in the labour force </w:t>
            </w:r>
          </w:p>
        </w:tc>
      </w:tr>
      <w:tr w:rsidR="00AC1284" w:rsidRPr="00D378FC" w:rsidTr="00AC1284">
        <w:tc>
          <w:tcPr>
            <w:tcW w:w="1221" w:type="pct"/>
            <w:vAlign w:val="center"/>
          </w:tcPr>
          <w:p w:rsidR="00B154B5" w:rsidRPr="00D378FC" w:rsidRDefault="00B154B5" w:rsidP="00B154B5">
            <w:pPr>
              <w:pStyle w:val="TableBodyText"/>
              <w:jc w:val="left"/>
            </w:pPr>
            <w:r w:rsidRPr="00D378FC">
              <w:t>Does not provide support outside household</w:t>
            </w:r>
            <w:r>
              <w:t xml:space="preserve"> </w:t>
            </w:r>
          </w:p>
        </w:tc>
        <w:tc>
          <w:tcPr>
            <w:tcW w:w="757" w:type="pct"/>
            <w:vAlign w:val="center"/>
          </w:tcPr>
          <w:p w:rsidR="00B154B5" w:rsidRPr="00D378FC" w:rsidRDefault="00B154B5" w:rsidP="00B154B5">
            <w:pPr>
              <w:pStyle w:val="TableBodyText"/>
            </w:pPr>
            <w:r w:rsidRPr="00D378FC">
              <w:t>Binary</w:t>
            </w:r>
          </w:p>
        </w:tc>
        <w:tc>
          <w:tcPr>
            <w:tcW w:w="303" w:type="pct"/>
            <w:vAlign w:val="center"/>
          </w:tcPr>
          <w:p w:rsidR="00B154B5" w:rsidRPr="00D378FC" w:rsidRDefault="00B154B5" w:rsidP="00B154B5">
            <w:pPr>
              <w:pStyle w:val="TableBodyText"/>
            </w:pPr>
            <w:r>
              <w:t>-3</w:t>
            </w:r>
          </w:p>
        </w:tc>
        <w:tc>
          <w:tcPr>
            <w:tcW w:w="388" w:type="pct"/>
            <w:vAlign w:val="center"/>
          </w:tcPr>
          <w:p w:rsidR="00B154B5" w:rsidRPr="00D378FC" w:rsidRDefault="00B154B5" w:rsidP="00B154B5">
            <w:pPr>
              <w:pStyle w:val="TableBodyText"/>
              <w:ind w:left="0"/>
              <w:jc w:val="left"/>
            </w:pPr>
            <w:r>
              <w:t>*</w:t>
            </w:r>
          </w:p>
        </w:tc>
        <w:tc>
          <w:tcPr>
            <w:tcW w:w="388" w:type="pct"/>
            <w:vAlign w:val="center"/>
          </w:tcPr>
          <w:p w:rsidR="00B154B5" w:rsidRPr="00D378FC" w:rsidRDefault="00B154B5" w:rsidP="00B154B5">
            <w:pPr>
              <w:pStyle w:val="TableBodyText"/>
            </w:pPr>
            <w:r>
              <w:t>2</w:t>
            </w:r>
          </w:p>
        </w:tc>
        <w:tc>
          <w:tcPr>
            <w:tcW w:w="380" w:type="pct"/>
            <w:vAlign w:val="center"/>
          </w:tcPr>
          <w:p w:rsidR="00B154B5" w:rsidRPr="00D378FC" w:rsidRDefault="00B154B5" w:rsidP="00B154B5">
            <w:pPr>
              <w:pStyle w:val="TableBodyText"/>
              <w:ind w:left="0"/>
              <w:jc w:val="left"/>
            </w:pPr>
            <w:r>
              <w:t>*</w:t>
            </w:r>
          </w:p>
        </w:tc>
        <w:tc>
          <w:tcPr>
            <w:tcW w:w="397" w:type="pct"/>
            <w:vAlign w:val="center"/>
          </w:tcPr>
          <w:p w:rsidR="00B154B5" w:rsidRPr="00D378FC" w:rsidRDefault="00B154B5" w:rsidP="00B154B5">
            <w:pPr>
              <w:pStyle w:val="TableBodyText"/>
              <w:ind w:left="0"/>
            </w:pPr>
            <w:r>
              <w:t>-10</w:t>
            </w:r>
          </w:p>
        </w:tc>
        <w:tc>
          <w:tcPr>
            <w:tcW w:w="390" w:type="pct"/>
            <w:vAlign w:val="center"/>
          </w:tcPr>
          <w:p w:rsidR="00B154B5" w:rsidRPr="00D378FC" w:rsidRDefault="00B154B5" w:rsidP="00B154B5">
            <w:pPr>
              <w:pStyle w:val="TableBodyText"/>
              <w:ind w:left="0"/>
              <w:jc w:val="left"/>
            </w:pPr>
            <w:r w:rsidRPr="00D378FC">
              <w:t>***</w:t>
            </w:r>
          </w:p>
        </w:tc>
        <w:tc>
          <w:tcPr>
            <w:tcW w:w="389" w:type="pct"/>
            <w:vAlign w:val="center"/>
          </w:tcPr>
          <w:p w:rsidR="00B154B5" w:rsidRPr="00D378FC" w:rsidRDefault="00B154B5" w:rsidP="00B154B5">
            <w:pPr>
              <w:pStyle w:val="TableBodyText"/>
              <w:ind w:left="0" w:right="28"/>
            </w:pPr>
            <w:r>
              <w:t>10</w:t>
            </w:r>
          </w:p>
        </w:tc>
        <w:tc>
          <w:tcPr>
            <w:tcW w:w="386" w:type="pct"/>
            <w:vAlign w:val="center"/>
          </w:tcPr>
          <w:p w:rsidR="00B154B5" w:rsidRPr="00D378FC" w:rsidRDefault="00B154B5" w:rsidP="00B154B5">
            <w:pPr>
              <w:pStyle w:val="TableBodyText"/>
              <w:ind w:left="0" w:right="28"/>
              <w:jc w:val="left"/>
            </w:pPr>
            <w:r w:rsidRPr="00D378FC">
              <w:t>***</w:t>
            </w:r>
          </w:p>
        </w:tc>
      </w:tr>
      <w:tr w:rsidR="00AC1284" w:rsidRPr="00D378FC" w:rsidTr="00AC1284">
        <w:tc>
          <w:tcPr>
            <w:tcW w:w="1221" w:type="pct"/>
            <w:vAlign w:val="center"/>
          </w:tcPr>
          <w:p w:rsidR="00B154B5" w:rsidRPr="00D378FC" w:rsidRDefault="00B154B5" w:rsidP="00B154B5">
            <w:pPr>
              <w:pStyle w:val="TableBodyText"/>
              <w:jc w:val="left"/>
            </w:pPr>
            <w:r w:rsidRPr="00D378FC">
              <w:t>Lives in a multifamily household</w:t>
            </w:r>
          </w:p>
        </w:tc>
        <w:tc>
          <w:tcPr>
            <w:tcW w:w="757" w:type="pct"/>
            <w:vAlign w:val="center"/>
          </w:tcPr>
          <w:p w:rsidR="00B154B5" w:rsidRPr="00D378FC" w:rsidRDefault="00B154B5" w:rsidP="00B154B5">
            <w:pPr>
              <w:pStyle w:val="TableBodyText"/>
            </w:pPr>
            <w:r w:rsidRPr="00D378FC">
              <w:t>Binary</w:t>
            </w:r>
          </w:p>
        </w:tc>
        <w:tc>
          <w:tcPr>
            <w:tcW w:w="303" w:type="pct"/>
            <w:vAlign w:val="center"/>
          </w:tcPr>
          <w:p w:rsidR="00B154B5" w:rsidRPr="00D378FC" w:rsidRDefault="00B154B5" w:rsidP="00B154B5">
            <w:pPr>
              <w:pStyle w:val="TableBodyText"/>
            </w:pPr>
            <w:r w:rsidRPr="00D378FC">
              <w:t>-</w:t>
            </w:r>
            <w:r>
              <w:t>6</w:t>
            </w:r>
          </w:p>
        </w:tc>
        <w:tc>
          <w:tcPr>
            <w:tcW w:w="388" w:type="pct"/>
            <w:vAlign w:val="center"/>
          </w:tcPr>
          <w:p w:rsidR="00B154B5" w:rsidRPr="00D378FC" w:rsidRDefault="00B154B5" w:rsidP="00B154B5">
            <w:pPr>
              <w:pStyle w:val="TableBodyText"/>
              <w:ind w:left="0"/>
              <w:jc w:val="left"/>
            </w:pPr>
            <w:r w:rsidRPr="00D378FC">
              <w:t>***</w:t>
            </w:r>
          </w:p>
        </w:tc>
        <w:tc>
          <w:tcPr>
            <w:tcW w:w="388" w:type="pct"/>
            <w:vAlign w:val="center"/>
          </w:tcPr>
          <w:p w:rsidR="00B154B5" w:rsidRPr="00D378FC" w:rsidRDefault="00B154B5" w:rsidP="00B154B5">
            <w:pPr>
              <w:pStyle w:val="TableBodyText"/>
            </w:pPr>
            <w:r>
              <w:t>4</w:t>
            </w:r>
          </w:p>
        </w:tc>
        <w:tc>
          <w:tcPr>
            <w:tcW w:w="380" w:type="pct"/>
            <w:vAlign w:val="center"/>
          </w:tcPr>
          <w:p w:rsidR="00B154B5" w:rsidRPr="00D378FC" w:rsidRDefault="00B154B5" w:rsidP="00B154B5">
            <w:pPr>
              <w:pStyle w:val="TableBodyText"/>
              <w:ind w:left="0"/>
              <w:jc w:val="left"/>
            </w:pPr>
            <w:r w:rsidRPr="00D378FC">
              <w:t>*</w:t>
            </w:r>
            <w:r>
              <w:t>*</w:t>
            </w:r>
          </w:p>
        </w:tc>
        <w:tc>
          <w:tcPr>
            <w:tcW w:w="397" w:type="pct"/>
            <w:vAlign w:val="center"/>
          </w:tcPr>
          <w:p w:rsidR="00B154B5" w:rsidRPr="00D378FC" w:rsidRDefault="00B154B5" w:rsidP="00B154B5">
            <w:pPr>
              <w:pStyle w:val="TableBodyText"/>
              <w:ind w:left="0"/>
            </w:pPr>
            <w:r>
              <w:t>-6</w:t>
            </w:r>
          </w:p>
        </w:tc>
        <w:tc>
          <w:tcPr>
            <w:tcW w:w="390" w:type="pct"/>
            <w:vAlign w:val="center"/>
          </w:tcPr>
          <w:p w:rsidR="00B154B5" w:rsidRPr="00D378FC" w:rsidRDefault="00B154B5" w:rsidP="00B154B5">
            <w:pPr>
              <w:pStyle w:val="TableBodyText"/>
              <w:ind w:left="0"/>
              <w:jc w:val="left"/>
            </w:pPr>
            <w:r>
              <w:t>**</w:t>
            </w:r>
          </w:p>
        </w:tc>
        <w:tc>
          <w:tcPr>
            <w:tcW w:w="389" w:type="pct"/>
            <w:vAlign w:val="center"/>
          </w:tcPr>
          <w:p w:rsidR="00B154B5" w:rsidRPr="00D378FC" w:rsidRDefault="00B154B5" w:rsidP="00B154B5">
            <w:pPr>
              <w:pStyle w:val="TableBodyText"/>
              <w:ind w:left="0" w:right="28"/>
            </w:pPr>
            <w:r>
              <w:t>6</w:t>
            </w:r>
          </w:p>
        </w:tc>
        <w:tc>
          <w:tcPr>
            <w:tcW w:w="386" w:type="pct"/>
            <w:vAlign w:val="center"/>
          </w:tcPr>
          <w:p w:rsidR="00B154B5" w:rsidRPr="00D378FC" w:rsidRDefault="00B154B5" w:rsidP="00B154B5">
            <w:pPr>
              <w:pStyle w:val="TableBodyText"/>
              <w:ind w:left="0" w:right="28"/>
              <w:jc w:val="left"/>
            </w:pPr>
            <w:r w:rsidRPr="00D378FC">
              <w:t>**</w:t>
            </w:r>
          </w:p>
        </w:tc>
      </w:tr>
      <w:tr w:rsidR="00AC1284" w:rsidRPr="00D378FC" w:rsidTr="00AC1284">
        <w:tc>
          <w:tcPr>
            <w:tcW w:w="1221" w:type="pct"/>
            <w:vAlign w:val="center"/>
          </w:tcPr>
          <w:p w:rsidR="00B154B5" w:rsidRPr="00D378FC" w:rsidRDefault="00B154B5" w:rsidP="00B154B5">
            <w:pPr>
              <w:pStyle w:val="TableBodyText"/>
              <w:jc w:val="left"/>
            </w:pPr>
            <w:r w:rsidRPr="00D378FC">
              <w:t>Provides unpaid child care</w:t>
            </w:r>
          </w:p>
        </w:tc>
        <w:tc>
          <w:tcPr>
            <w:tcW w:w="757" w:type="pct"/>
            <w:vAlign w:val="center"/>
          </w:tcPr>
          <w:p w:rsidR="00B154B5" w:rsidRPr="00D378FC" w:rsidRDefault="00B154B5" w:rsidP="00B154B5">
            <w:pPr>
              <w:pStyle w:val="TableBodyText"/>
            </w:pPr>
            <w:r w:rsidRPr="00D378FC">
              <w:t>Binary</w:t>
            </w:r>
          </w:p>
        </w:tc>
        <w:tc>
          <w:tcPr>
            <w:tcW w:w="303" w:type="pct"/>
            <w:vAlign w:val="center"/>
          </w:tcPr>
          <w:p w:rsidR="00B154B5" w:rsidRPr="00D378FC" w:rsidRDefault="00B154B5" w:rsidP="00B154B5">
            <w:pPr>
              <w:pStyle w:val="TableBodyText"/>
            </w:pPr>
            <w:r w:rsidRPr="00D378FC">
              <w:t>-</w:t>
            </w:r>
            <w:r>
              <w:t>2</w:t>
            </w:r>
          </w:p>
        </w:tc>
        <w:tc>
          <w:tcPr>
            <w:tcW w:w="388" w:type="pct"/>
            <w:vAlign w:val="center"/>
          </w:tcPr>
          <w:p w:rsidR="00B154B5" w:rsidRPr="00D378FC" w:rsidRDefault="00B154B5" w:rsidP="00B154B5">
            <w:pPr>
              <w:pStyle w:val="TableBodyText"/>
              <w:ind w:left="0"/>
              <w:jc w:val="left"/>
            </w:pPr>
          </w:p>
        </w:tc>
        <w:tc>
          <w:tcPr>
            <w:tcW w:w="388" w:type="pct"/>
            <w:vAlign w:val="center"/>
          </w:tcPr>
          <w:p w:rsidR="00B154B5" w:rsidRPr="00D378FC" w:rsidRDefault="000178DC" w:rsidP="00B154B5">
            <w:pPr>
              <w:pStyle w:val="TableBodyText"/>
            </w:pPr>
            <w:r>
              <w:t>-</w:t>
            </w:r>
            <w:r w:rsidR="00CD3DA1">
              <w:t>0</w:t>
            </w:r>
            <w:r w:rsidR="00B154B5">
              <w:t>.3</w:t>
            </w:r>
          </w:p>
        </w:tc>
        <w:tc>
          <w:tcPr>
            <w:tcW w:w="380" w:type="pct"/>
            <w:vAlign w:val="center"/>
          </w:tcPr>
          <w:p w:rsidR="00B154B5" w:rsidRPr="00D378FC" w:rsidRDefault="00B154B5" w:rsidP="00B154B5">
            <w:pPr>
              <w:pStyle w:val="TableBodyText"/>
              <w:ind w:left="0"/>
              <w:jc w:val="left"/>
            </w:pPr>
          </w:p>
        </w:tc>
        <w:tc>
          <w:tcPr>
            <w:tcW w:w="397" w:type="pct"/>
            <w:vAlign w:val="center"/>
          </w:tcPr>
          <w:p w:rsidR="00B154B5" w:rsidRPr="00D378FC" w:rsidRDefault="00B154B5" w:rsidP="00B154B5">
            <w:pPr>
              <w:pStyle w:val="TableBodyText"/>
              <w:ind w:left="0"/>
            </w:pPr>
            <w:r w:rsidRPr="00D378FC">
              <w:t>-7</w:t>
            </w:r>
          </w:p>
        </w:tc>
        <w:tc>
          <w:tcPr>
            <w:tcW w:w="390" w:type="pct"/>
            <w:vAlign w:val="center"/>
          </w:tcPr>
          <w:p w:rsidR="00B154B5" w:rsidRPr="00D378FC" w:rsidRDefault="00B154B5" w:rsidP="00B154B5">
            <w:pPr>
              <w:pStyle w:val="TableBodyText"/>
              <w:ind w:left="0"/>
              <w:jc w:val="left"/>
            </w:pPr>
            <w:r w:rsidRPr="00D378FC">
              <w:t>***</w:t>
            </w:r>
          </w:p>
        </w:tc>
        <w:tc>
          <w:tcPr>
            <w:tcW w:w="389" w:type="pct"/>
            <w:vAlign w:val="center"/>
          </w:tcPr>
          <w:p w:rsidR="00B154B5" w:rsidRPr="00D378FC" w:rsidRDefault="00B154B5" w:rsidP="00B154B5">
            <w:pPr>
              <w:pStyle w:val="TableBodyText"/>
              <w:ind w:left="0" w:right="28"/>
            </w:pPr>
            <w:r w:rsidRPr="00D378FC">
              <w:t>4</w:t>
            </w:r>
          </w:p>
        </w:tc>
        <w:tc>
          <w:tcPr>
            <w:tcW w:w="386" w:type="pct"/>
            <w:vAlign w:val="center"/>
          </w:tcPr>
          <w:p w:rsidR="00B154B5" w:rsidRPr="00D378FC" w:rsidRDefault="00B154B5" w:rsidP="00B154B5">
            <w:pPr>
              <w:pStyle w:val="TableBodyText"/>
              <w:ind w:left="0" w:right="28"/>
              <w:jc w:val="left"/>
            </w:pPr>
            <w:r w:rsidRPr="00D378FC">
              <w:t>*</w:t>
            </w:r>
          </w:p>
        </w:tc>
      </w:tr>
      <w:tr w:rsidR="00AC1284" w:rsidRPr="00D378FC" w:rsidTr="00AC1284">
        <w:tc>
          <w:tcPr>
            <w:tcW w:w="1221" w:type="pct"/>
            <w:vAlign w:val="center"/>
          </w:tcPr>
          <w:p w:rsidR="00B154B5" w:rsidRDefault="00B154B5" w:rsidP="00B154B5">
            <w:pPr>
              <w:pStyle w:val="TableBodyText"/>
              <w:jc w:val="left"/>
            </w:pPr>
            <w:r>
              <w:t xml:space="preserve">Participation in </w:t>
            </w:r>
            <w:r w:rsidR="00C37CA9">
              <w:t xml:space="preserve">traditional </w:t>
            </w:r>
            <w:r>
              <w:t>cultural activities</w:t>
            </w:r>
          </w:p>
        </w:tc>
        <w:tc>
          <w:tcPr>
            <w:tcW w:w="757" w:type="pct"/>
            <w:vAlign w:val="center"/>
          </w:tcPr>
          <w:p w:rsidR="00B154B5" w:rsidRDefault="00B154B5" w:rsidP="00B154B5">
            <w:pPr>
              <w:pStyle w:val="TableBodyText"/>
            </w:pPr>
            <w:r>
              <w:t>Binary</w:t>
            </w:r>
          </w:p>
        </w:tc>
        <w:tc>
          <w:tcPr>
            <w:tcW w:w="303" w:type="pct"/>
            <w:vAlign w:val="center"/>
          </w:tcPr>
          <w:p w:rsidR="00B154B5" w:rsidRPr="00D378FC" w:rsidRDefault="00B154B5" w:rsidP="00B154B5">
            <w:pPr>
              <w:pStyle w:val="TableBodyText"/>
            </w:pPr>
            <w:r>
              <w:t>0</w:t>
            </w:r>
            <w:r w:rsidR="000178DC">
              <w:t>.2</w:t>
            </w:r>
          </w:p>
        </w:tc>
        <w:tc>
          <w:tcPr>
            <w:tcW w:w="388" w:type="pct"/>
            <w:vAlign w:val="center"/>
          </w:tcPr>
          <w:p w:rsidR="00B154B5" w:rsidRPr="00D378FC" w:rsidRDefault="00B154B5" w:rsidP="00B154B5">
            <w:pPr>
              <w:pStyle w:val="TableBodyText"/>
              <w:ind w:left="0"/>
              <w:jc w:val="left"/>
            </w:pPr>
          </w:p>
        </w:tc>
        <w:tc>
          <w:tcPr>
            <w:tcW w:w="388" w:type="pct"/>
            <w:vAlign w:val="center"/>
          </w:tcPr>
          <w:p w:rsidR="00B154B5" w:rsidRPr="00D378FC" w:rsidRDefault="00CD3DA1" w:rsidP="00B154B5">
            <w:pPr>
              <w:pStyle w:val="TableBodyText"/>
              <w:ind w:left="0"/>
            </w:pPr>
            <w:r>
              <w:t>0</w:t>
            </w:r>
            <w:r w:rsidR="00B154B5">
              <w:t>.5</w:t>
            </w:r>
          </w:p>
        </w:tc>
        <w:tc>
          <w:tcPr>
            <w:tcW w:w="380" w:type="pct"/>
            <w:vAlign w:val="center"/>
          </w:tcPr>
          <w:p w:rsidR="00B154B5" w:rsidRPr="00D378FC" w:rsidRDefault="00B154B5" w:rsidP="00B154B5">
            <w:pPr>
              <w:pStyle w:val="TableBodyText"/>
              <w:ind w:left="0"/>
              <w:jc w:val="left"/>
            </w:pPr>
          </w:p>
        </w:tc>
        <w:tc>
          <w:tcPr>
            <w:tcW w:w="397" w:type="pct"/>
            <w:vAlign w:val="center"/>
          </w:tcPr>
          <w:p w:rsidR="00B154B5" w:rsidRPr="00D378FC" w:rsidRDefault="00B154B5" w:rsidP="00B154B5">
            <w:pPr>
              <w:pStyle w:val="TableBodyText"/>
              <w:ind w:left="0"/>
            </w:pPr>
            <w:r>
              <w:t>-7</w:t>
            </w:r>
          </w:p>
        </w:tc>
        <w:tc>
          <w:tcPr>
            <w:tcW w:w="390" w:type="pct"/>
            <w:vAlign w:val="center"/>
          </w:tcPr>
          <w:p w:rsidR="00B154B5" w:rsidRPr="00D378FC" w:rsidRDefault="00B154B5" w:rsidP="00B154B5">
            <w:pPr>
              <w:pStyle w:val="TableBodyText"/>
              <w:ind w:left="0"/>
              <w:jc w:val="left"/>
            </w:pPr>
            <w:r>
              <w:t>**</w:t>
            </w:r>
          </w:p>
        </w:tc>
        <w:tc>
          <w:tcPr>
            <w:tcW w:w="389" w:type="pct"/>
            <w:vAlign w:val="center"/>
          </w:tcPr>
          <w:p w:rsidR="00B154B5" w:rsidRPr="00D378FC" w:rsidRDefault="00B154B5" w:rsidP="00B154B5">
            <w:pPr>
              <w:pStyle w:val="TableBodyText"/>
              <w:ind w:left="0" w:right="28"/>
            </w:pPr>
            <w:r>
              <w:t>3</w:t>
            </w:r>
          </w:p>
        </w:tc>
        <w:tc>
          <w:tcPr>
            <w:tcW w:w="386" w:type="pct"/>
            <w:vAlign w:val="center"/>
          </w:tcPr>
          <w:p w:rsidR="00B154B5" w:rsidRPr="00D378FC" w:rsidRDefault="00B154B5" w:rsidP="00B154B5">
            <w:pPr>
              <w:pStyle w:val="TableBodyText"/>
              <w:ind w:left="0" w:right="28"/>
              <w:jc w:val="left"/>
            </w:pPr>
          </w:p>
        </w:tc>
      </w:tr>
      <w:tr w:rsidR="00AC1284" w:rsidRPr="00D378FC" w:rsidTr="00AC1284">
        <w:tc>
          <w:tcPr>
            <w:tcW w:w="1221" w:type="pct"/>
            <w:tcBorders>
              <w:bottom w:val="single" w:sz="4" w:space="0" w:color="auto"/>
            </w:tcBorders>
            <w:vAlign w:val="center"/>
          </w:tcPr>
          <w:p w:rsidR="00B154B5" w:rsidRPr="00D378FC" w:rsidRDefault="00B154B5" w:rsidP="00B154B5">
            <w:pPr>
              <w:pStyle w:val="TableBodyText"/>
              <w:jc w:val="left"/>
            </w:pPr>
            <w:r w:rsidRPr="00D378FC">
              <w:t xml:space="preserve">Participation in </w:t>
            </w:r>
            <w:r w:rsidR="00C37CA9">
              <w:t xml:space="preserve">social </w:t>
            </w:r>
            <w:r w:rsidRPr="00D378FC">
              <w:t>cultural events</w:t>
            </w:r>
          </w:p>
        </w:tc>
        <w:tc>
          <w:tcPr>
            <w:tcW w:w="757" w:type="pct"/>
            <w:tcBorders>
              <w:bottom w:val="single" w:sz="4" w:space="0" w:color="auto"/>
            </w:tcBorders>
            <w:vAlign w:val="center"/>
          </w:tcPr>
          <w:p w:rsidR="00B154B5" w:rsidRPr="00D378FC" w:rsidRDefault="00B154B5" w:rsidP="00B154B5">
            <w:pPr>
              <w:pStyle w:val="TableBodyText"/>
            </w:pPr>
            <w:r w:rsidRPr="00D378FC">
              <w:t>Binary</w:t>
            </w:r>
          </w:p>
        </w:tc>
        <w:tc>
          <w:tcPr>
            <w:tcW w:w="303" w:type="pct"/>
            <w:tcBorders>
              <w:bottom w:val="single" w:sz="4" w:space="0" w:color="auto"/>
            </w:tcBorders>
            <w:vAlign w:val="center"/>
          </w:tcPr>
          <w:p w:rsidR="00B154B5" w:rsidRPr="00D378FC" w:rsidRDefault="00B154B5" w:rsidP="00B154B5">
            <w:pPr>
              <w:pStyle w:val="TableBodyText"/>
            </w:pPr>
            <w:r>
              <w:t>1</w:t>
            </w:r>
          </w:p>
        </w:tc>
        <w:tc>
          <w:tcPr>
            <w:tcW w:w="388" w:type="pct"/>
            <w:tcBorders>
              <w:bottom w:val="single" w:sz="4" w:space="0" w:color="auto"/>
            </w:tcBorders>
            <w:vAlign w:val="center"/>
          </w:tcPr>
          <w:p w:rsidR="00B154B5" w:rsidRPr="00D378FC" w:rsidRDefault="00B154B5" w:rsidP="00B154B5">
            <w:pPr>
              <w:pStyle w:val="TableBodyText"/>
              <w:ind w:left="0"/>
              <w:jc w:val="left"/>
            </w:pPr>
          </w:p>
        </w:tc>
        <w:tc>
          <w:tcPr>
            <w:tcW w:w="388" w:type="pct"/>
            <w:tcBorders>
              <w:bottom w:val="single" w:sz="4" w:space="0" w:color="auto"/>
            </w:tcBorders>
            <w:vAlign w:val="center"/>
          </w:tcPr>
          <w:p w:rsidR="00B154B5" w:rsidRPr="00D378FC" w:rsidRDefault="00B154B5" w:rsidP="00B154B5">
            <w:pPr>
              <w:pStyle w:val="TableBodyText"/>
            </w:pPr>
            <w:r>
              <w:t>-2</w:t>
            </w:r>
          </w:p>
        </w:tc>
        <w:tc>
          <w:tcPr>
            <w:tcW w:w="380" w:type="pct"/>
            <w:tcBorders>
              <w:bottom w:val="single" w:sz="4" w:space="0" w:color="auto"/>
            </w:tcBorders>
            <w:vAlign w:val="center"/>
          </w:tcPr>
          <w:p w:rsidR="00B154B5" w:rsidRPr="00D378FC" w:rsidRDefault="00B154B5" w:rsidP="00B154B5">
            <w:pPr>
              <w:pStyle w:val="TableBodyText"/>
              <w:ind w:left="0"/>
              <w:jc w:val="left"/>
            </w:pPr>
            <w:r>
              <w:t>**</w:t>
            </w:r>
          </w:p>
        </w:tc>
        <w:tc>
          <w:tcPr>
            <w:tcW w:w="397" w:type="pct"/>
            <w:tcBorders>
              <w:bottom w:val="single" w:sz="4" w:space="0" w:color="auto"/>
            </w:tcBorders>
            <w:vAlign w:val="center"/>
          </w:tcPr>
          <w:p w:rsidR="00B154B5" w:rsidRPr="00D378FC" w:rsidRDefault="00B154B5" w:rsidP="00B154B5">
            <w:pPr>
              <w:pStyle w:val="TableBodyText"/>
              <w:ind w:left="0"/>
            </w:pPr>
            <w:r>
              <w:t>10</w:t>
            </w:r>
          </w:p>
        </w:tc>
        <w:tc>
          <w:tcPr>
            <w:tcW w:w="390" w:type="pct"/>
            <w:tcBorders>
              <w:bottom w:val="single" w:sz="4" w:space="0" w:color="auto"/>
            </w:tcBorders>
            <w:vAlign w:val="center"/>
          </w:tcPr>
          <w:p w:rsidR="00B154B5" w:rsidRPr="00D378FC" w:rsidRDefault="00B154B5" w:rsidP="00B154B5">
            <w:pPr>
              <w:pStyle w:val="TableBodyText"/>
              <w:ind w:left="0"/>
              <w:jc w:val="left"/>
            </w:pPr>
            <w:r w:rsidRPr="00D378FC">
              <w:t>***</w:t>
            </w:r>
          </w:p>
        </w:tc>
        <w:tc>
          <w:tcPr>
            <w:tcW w:w="389" w:type="pct"/>
            <w:tcBorders>
              <w:bottom w:val="single" w:sz="4" w:space="0" w:color="auto"/>
            </w:tcBorders>
            <w:vAlign w:val="center"/>
          </w:tcPr>
          <w:p w:rsidR="00B154B5" w:rsidRPr="00D378FC" w:rsidRDefault="00B154B5" w:rsidP="00B154B5">
            <w:pPr>
              <w:pStyle w:val="TableBodyText"/>
              <w:ind w:left="0" w:right="28"/>
            </w:pPr>
            <w:r>
              <w:t>-8</w:t>
            </w:r>
          </w:p>
        </w:tc>
        <w:tc>
          <w:tcPr>
            <w:tcW w:w="386" w:type="pct"/>
            <w:tcBorders>
              <w:bottom w:val="single" w:sz="4" w:space="0" w:color="auto"/>
            </w:tcBorders>
            <w:vAlign w:val="center"/>
          </w:tcPr>
          <w:p w:rsidR="00B154B5" w:rsidRPr="00D378FC" w:rsidRDefault="00B154B5" w:rsidP="00B154B5">
            <w:pPr>
              <w:pStyle w:val="TableBodyText"/>
              <w:ind w:left="0" w:right="28"/>
              <w:jc w:val="left"/>
            </w:pPr>
            <w:r w:rsidRPr="00D378FC">
              <w:t>***</w:t>
            </w:r>
          </w:p>
        </w:tc>
      </w:tr>
    </w:tbl>
    <w:p w:rsidR="00B154B5" w:rsidRPr="004A1FE5" w:rsidRDefault="00B154B5" w:rsidP="00B154B5">
      <w:pPr>
        <w:pStyle w:val="Note"/>
      </w:pPr>
      <w:r w:rsidRPr="00D378FC">
        <w:t>*** = significant at 1 per cent level (a 1 in 100 possibility that the result is due to chance); ** = significant at 5</w:t>
      </w:r>
      <w:r>
        <w:t> </w:t>
      </w:r>
      <w:r w:rsidRPr="00D378FC">
        <w:t xml:space="preserve">per cent level (a 5 in 100 possibility that the result is due to chance); * = significant at 10 per cent level (a 10 in 100 possibility that the result is due to chance). No stars indicate that the variable is not statistically significant. </w:t>
      </w:r>
      <w:r w:rsidRPr="00D378FC">
        <w:rPr>
          <w:rStyle w:val="NoteLabel"/>
        </w:rPr>
        <w:t>a </w:t>
      </w:r>
      <w:r w:rsidRPr="00D378FC">
        <w:t xml:space="preserve">The probability of the </w:t>
      </w:r>
      <w:r>
        <w:t>base person being employed is 89 per cent for men and 67</w:t>
      </w:r>
      <w:r w:rsidRPr="00D378FC">
        <w:t> per cent for women. The probability of the base person not participating in the labour force is 4 per cent</w:t>
      </w:r>
      <w:r>
        <w:t xml:space="preserve"> for men and 26 </w:t>
      </w:r>
      <w:r w:rsidRPr="00D378FC">
        <w:t xml:space="preserve">per cent for women. Definitions of all variables are in </w:t>
      </w:r>
      <w:r>
        <w:t>table</w:t>
      </w:r>
      <w:r w:rsidRPr="00D378FC">
        <w:t xml:space="preserve"> </w:t>
      </w:r>
      <w:r>
        <w:t>A.</w:t>
      </w:r>
      <w:r w:rsidRPr="00D378FC">
        <w:t>1.</w:t>
      </w:r>
      <w:r w:rsidRPr="00A30D2F">
        <w:rPr>
          <w:rStyle w:val="NoteLabel"/>
        </w:rPr>
        <w:t xml:space="preserve"> </w:t>
      </w:r>
      <w:r>
        <w:rPr>
          <w:rStyle w:val="NoteLabel"/>
        </w:rPr>
        <w:t>b</w:t>
      </w:r>
      <w:r w:rsidRPr="00D378FC">
        <w:t xml:space="preserve"> </w:t>
      </w:r>
      <w:r w:rsidRPr="00D378FC">
        <w:rPr>
          <w:rFonts w:cs="Arial"/>
          <w:szCs w:val="18"/>
        </w:rPr>
        <w:t xml:space="preserve">The marginal effects of binary social and cultural characteristics are measured relative to a person not having the characteristic.  For example, the marginal effect for ‘lives in a multifamily household’ indicates the change in the predicted probability of a labour market outcome for changing from living in a </w:t>
      </w:r>
      <w:r>
        <w:rPr>
          <w:rFonts w:cs="Arial"/>
          <w:szCs w:val="18"/>
        </w:rPr>
        <w:t>single family</w:t>
      </w:r>
      <w:r w:rsidRPr="00D378FC">
        <w:rPr>
          <w:rFonts w:cs="Arial"/>
          <w:szCs w:val="18"/>
        </w:rPr>
        <w:t xml:space="preserve"> household to living in a multifamily household</w:t>
      </w:r>
      <w:r>
        <w:rPr>
          <w:rFonts w:cs="Arial"/>
          <w:szCs w:val="18"/>
        </w:rPr>
        <w:t>.</w:t>
      </w:r>
      <w:r>
        <w:rPr>
          <w:rStyle w:val="NoteLabel"/>
        </w:rPr>
        <w:t xml:space="preserve"> </w:t>
      </w:r>
    </w:p>
    <w:p w:rsidR="00B154B5" w:rsidRDefault="00B154B5" w:rsidP="00B154B5">
      <w:pPr>
        <w:pStyle w:val="Source"/>
      </w:pPr>
      <w:r w:rsidRPr="00D378FC">
        <w:rPr>
          <w:i/>
        </w:rPr>
        <w:t>Data source</w:t>
      </w:r>
      <w:r w:rsidRPr="00D378FC">
        <w:t xml:space="preserve">: Productivity Commission estimates based on NATSISS </w:t>
      </w:r>
      <w:r w:rsidR="006B655E">
        <w:t>(</w:t>
      </w:r>
      <w:r w:rsidRPr="00D378FC">
        <w:t>2008</w:t>
      </w:r>
      <w:r w:rsidR="006B655E">
        <w:t>)</w:t>
      </w:r>
      <w:r w:rsidRPr="00D378FC">
        <w:t>.</w:t>
      </w:r>
    </w:p>
    <w:p w:rsidR="00680A86" w:rsidRPr="00D378FC" w:rsidRDefault="00E06A63" w:rsidP="00DA6D9B">
      <w:pPr>
        <w:pStyle w:val="ListBullet"/>
        <w:numPr>
          <w:ilvl w:val="0"/>
          <w:numId w:val="0"/>
        </w:numPr>
      </w:pPr>
      <w:r>
        <w:t xml:space="preserve">For Indigenous women, the largest </w:t>
      </w:r>
      <w:r w:rsidR="003D4FC3">
        <w:t>associations</w:t>
      </w:r>
      <w:r>
        <w:t xml:space="preserve"> relate to providing support </w:t>
      </w:r>
      <w:r w:rsidR="006B655E">
        <w:t xml:space="preserve">(to relatives or others) </w:t>
      </w:r>
      <w:r>
        <w:t xml:space="preserve">outside the household and </w:t>
      </w:r>
      <w:r w:rsidR="00CD7E60">
        <w:t xml:space="preserve">to </w:t>
      </w:r>
      <w:r>
        <w:t xml:space="preserve">participating in </w:t>
      </w:r>
      <w:r w:rsidR="00C37CA9">
        <w:t xml:space="preserve">social </w:t>
      </w:r>
      <w:r>
        <w:t xml:space="preserve">cultural events. </w:t>
      </w:r>
      <w:r w:rsidR="00EE08C0">
        <w:t xml:space="preserve">Of the factors considered, </w:t>
      </w:r>
      <w:r w:rsidR="00447850">
        <w:t>only some</w:t>
      </w:r>
      <w:r w:rsidR="00EE08C0">
        <w:t xml:space="preserve"> have statistically significant </w:t>
      </w:r>
      <w:r w:rsidR="003D4FC3">
        <w:t xml:space="preserve">associations </w:t>
      </w:r>
      <w:r w:rsidR="00680A86">
        <w:t>for Indige</w:t>
      </w:r>
      <w:r w:rsidR="009C05A0">
        <w:t xml:space="preserve">nous men. </w:t>
      </w:r>
    </w:p>
    <w:p w:rsidR="009D1A3F" w:rsidRDefault="009D1A3F" w:rsidP="006530BB">
      <w:pPr>
        <w:pStyle w:val="ListBullet"/>
        <w:numPr>
          <w:ilvl w:val="0"/>
          <w:numId w:val="0"/>
        </w:numPr>
      </w:pPr>
      <w:r>
        <w:t xml:space="preserve">Indigenous men and women </w:t>
      </w:r>
      <w:r w:rsidR="00AD6D4E">
        <w:t xml:space="preserve">who </w:t>
      </w:r>
      <w:r w:rsidR="006530BB" w:rsidRPr="00D378FC">
        <w:t xml:space="preserve">provide support outside the household </w:t>
      </w:r>
      <w:r w:rsidR="00F256AC">
        <w:t>were</w:t>
      </w:r>
      <w:r w:rsidR="006530BB" w:rsidRPr="00D378FC">
        <w:t xml:space="preserve"> </w:t>
      </w:r>
      <w:r w:rsidR="005F1EFC">
        <w:t xml:space="preserve">more </w:t>
      </w:r>
      <w:r w:rsidR="006530BB" w:rsidRPr="00D378FC">
        <w:t xml:space="preserve">likely to be employed </w:t>
      </w:r>
      <w:r>
        <w:t>(3 and 10</w:t>
      </w:r>
      <w:r w:rsidR="00524572">
        <w:t> </w:t>
      </w:r>
      <w:r>
        <w:t xml:space="preserve">percentage points respectively) </w:t>
      </w:r>
      <w:r w:rsidR="006530BB" w:rsidRPr="00D378FC">
        <w:t>or in the labour force</w:t>
      </w:r>
      <w:r>
        <w:t xml:space="preserve"> (2 and </w:t>
      </w:r>
      <w:r w:rsidR="006B655E">
        <w:t>10 </w:t>
      </w:r>
      <w:r>
        <w:t>percentage points respectively)</w:t>
      </w:r>
      <w:r w:rsidR="006530BB" w:rsidRPr="00D378FC">
        <w:t xml:space="preserve">. </w:t>
      </w:r>
      <w:r w:rsidR="006B655E">
        <w:t>It</w:t>
      </w:r>
      <w:r w:rsidRPr="00D378FC">
        <w:t xml:space="preserve"> might be that providing support outside the household means that a person </w:t>
      </w:r>
      <w:r w:rsidR="00BD12A6">
        <w:t>has</w:t>
      </w:r>
      <w:r w:rsidRPr="00D378FC">
        <w:t xml:space="preserve"> greater exposure to social networks or groups that positively influence motivation</w:t>
      </w:r>
      <w:r>
        <w:t xml:space="preserve"> to participate in paid work or</w:t>
      </w:r>
      <w:r w:rsidRPr="00D378FC">
        <w:t xml:space="preserve"> lower </w:t>
      </w:r>
      <w:r w:rsidRPr="00D378FC">
        <w:lastRenderedPageBreak/>
        <w:t>job search costs (chapter</w:t>
      </w:r>
      <w:r>
        <w:t> </w:t>
      </w:r>
      <w:r w:rsidRPr="00D378FC">
        <w:t>4).</w:t>
      </w:r>
      <w:r w:rsidR="002430D3">
        <w:t xml:space="preserve"> </w:t>
      </w:r>
      <w:r w:rsidR="00CD7E60">
        <w:t>P</w:t>
      </w:r>
      <w:r w:rsidR="006B655E">
        <w:t xml:space="preserve">roviding support </w:t>
      </w:r>
      <w:r w:rsidR="00CD7E60">
        <w:t xml:space="preserve">could also </w:t>
      </w:r>
      <w:r w:rsidR="00D81D52">
        <w:t>constrain household members</w:t>
      </w:r>
      <w:r w:rsidR="006B655E">
        <w:t>’</w:t>
      </w:r>
      <w:r w:rsidR="00D81D52">
        <w:t xml:space="preserve"> </w:t>
      </w:r>
      <w:r w:rsidR="006B655E">
        <w:t xml:space="preserve">participation </w:t>
      </w:r>
      <w:r w:rsidR="00D81D52">
        <w:t xml:space="preserve">in the labour force. </w:t>
      </w:r>
      <w:r w:rsidR="00BD12A6">
        <w:t xml:space="preserve">The results suggest that the dominant association is the positive effect of enhanced networks and </w:t>
      </w:r>
      <w:r w:rsidR="003927D6">
        <w:t>motivation</w:t>
      </w:r>
      <w:r w:rsidR="00BD12A6">
        <w:t>.</w:t>
      </w:r>
    </w:p>
    <w:p w:rsidR="00DD5E63" w:rsidRDefault="00DD5E63" w:rsidP="00DD5E63">
      <w:pPr>
        <w:pStyle w:val="ListBullet"/>
        <w:numPr>
          <w:ilvl w:val="0"/>
          <w:numId w:val="0"/>
        </w:numPr>
      </w:pPr>
      <w:r w:rsidRPr="00D378FC">
        <w:t xml:space="preserve">Living in a multifamily household (as defined by two or more families) </w:t>
      </w:r>
      <w:r>
        <w:t xml:space="preserve">has a </w:t>
      </w:r>
      <w:r w:rsidRPr="00D378FC">
        <w:t>negative association with employment</w:t>
      </w:r>
      <w:r>
        <w:t xml:space="preserve"> (6 percentage points for both men and women)</w:t>
      </w:r>
      <w:r w:rsidRPr="00D378FC">
        <w:t xml:space="preserve"> and</w:t>
      </w:r>
      <w:r>
        <w:t xml:space="preserve"> </w:t>
      </w:r>
      <w:r w:rsidRPr="00D378FC">
        <w:t xml:space="preserve">labour force participation </w:t>
      </w:r>
      <w:r>
        <w:t>(4 and 6 percentage points for men and women, respectively).</w:t>
      </w:r>
      <w:r w:rsidRPr="00D378FC">
        <w:t xml:space="preserve"> </w:t>
      </w:r>
    </w:p>
    <w:p w:rsidR="00DD5E63" w:rsidRPr="00D378FC" w:rsidRDefault="00DD5E63" w:rsidP="00DD5E63">
      <w:pPr>
        <w:pStyle w:val="ListBullet"/>
        <w:numPr>
          <w:ilvl w:val="0"/>
          <w:numId w:val="0"/>
        </w:numPr>
      </w:pPr>
      <w:r w:rsidRPr="00D378FC">
        <w:t>Providing unpaid chi</w:t>
      </w:r>
      <w:r>
        <w:t>ldcare outside the household was found to have a</w:t>
      </w:r>
      <w:r w:rsidRPr="00D378FC">
        <w:t xml:space="preserve"> statistically significant </w:t>
      </w:r>
      <w:r>
        <w:t>association with</w:t>
      </w:r>
      <w:r w:rsidRPr="00D378FC">
        <w:t xml:space="preserve"> the probability of employment and labour force participation for Indigenous women but not for Indigenous men. Indigenous women who provide</w:t>
      </w:r>
      <w:r>
        <w:t>d</w:t>
      </w:r>
      <w:r w:rsidRPr="00D378FC">
        <w:t xml:space="preserve"> un</w:t>
      </w:r>
      <w:r>
        <w:t xml:space="preserve">paid childcare were </w:t>
      </w:r>
      <w:r w:rsidRPr="00D378FC">
        <w:t>7</w:t>
      </w:r>
      <w:r>
        <w:t> </w:t>
      </w:r>
      <w:r w:rsidRPr="00D378FC">
        <w:t>percentage points less likely to be employed and 4</w:t>
      </w:r>
      <w:r>
        <w:t> </w:t>
      </w:r>
      <w:r w:rsidRPr="00D378FC">
        <w:t xml:space="preserve">percentage points less likely to be in the labour force. </w:t>
      </w:r>
    </w:p>
    <w:p w:rsidR="00DD5E63" w:rsidRDefault="00DD5E63" w:rsidP="00DD5E63">
      <w:pPr>
        <w:pStyle w:val="ListBullet"/>
        <w:numPr>
          <w:ilvl w:val="0"/>
          <w:numId w:val="0"/>
        </w:numPr>
      </w:pPr>
      <w:r w:rsidRPr="00D378FC">
        <w:t xml:space="preserve">Participation in three or more </w:t>
      </w:r>
      <w:r>
        <w:t xml:space="preserve">types of </w:t>
      </w:r>
      <w:r w:rsidR="00C37CA9">
        <w:t xml:space="preserve">traditional </w:t>
      </w:r>
      <w:r w:rsidRPr="00D378FC">
        <w:t>cultural activities (such as hunting</w:t>
      </w:r>
      <w:r>
        <w:t>,</w:t>
      </w:r>
      <w:r w:rsidRPr="00D378FC">
        <w:t xml:space="preserve"> gathering o</w:t>
      </w:r>
      <w:r>
        <w:t>r making traditional crafts) was</w:t>
      </w:r>
      <w:r w:rsidRPr="00D378FC">
        <w:t xml:space="preserve"> associated with a reduced probability of employment of </w:t>
      </w:r>
      <w:r>
        <w:t>7 </w:t>
      </w:r>
      <w:r w:rsidRPr="00D378FC">
        <w:t xml:space="preserve">percentage points for Indigenous women. </w:t>
      </w:r>
      <w:r>
        <w:t xml:space="preserve">This suggests there might be some substitution between paid and unpaid work for Indigenous women. </w:t>
      </w:r>
    </w:p>
    <w:p w:rsidR="006530BB" w:rsidRPr="00155A5A" w:rsidRDefault="003D4FC3" w:rsidP="006530BB">
      <w:pPr>
        <w:pStyle w:val="ListBullet"/>
        <w:numPr>
          <w:ilvl w:val="0"/>
          <w:numId w:val="0"/>
        </w:numPr>
        <w:rPr>
          <w:b/>
        </w:rPr>
      </w:pPr>
      <w:r>
        <w:t>For Indigenous women, p</w:t>
      </w:r>
      <w:r w:rsidR="00CD2C48" w:rsidRPr="00D378FC">
        <w:t xml:space="preserve">articipation in three or more </w:t>
      </w:r>
      <w:r w:rsidR="00524572">
        <w:t xml:space="preserve">types of </w:t>
      </w:r>
      <w:r w:rsidR="00C37CA9">
        <w:t xml:space="preserve">social </w:t>
      </w:r>
      <w:r w:rsidR="00CD2C48" w:rsidRPr="00D378FC">
        <w:t>cultural events, ceremonies or organisations in the last 12</w:t>
      </w:r>
      <w:r w:rsidR="00CD2C48">
        <w:t xml:space="preserve"> months </w:t>
      </w:r>
      <w:r>
        <w:t xml:space="preserve">has a large positive </w:t>
      </w:r>
      <w:r w:rsidR="00CD2C48">
        <w:t>associat</w:t>
      </w:r>
      <w:r>
        <w:t>ion</w:t>
      </w:r>
      <w:r w:rsidR="00CD2C48">
        <w:t xml:space="preserve"> with </w:t>
      </w:r>
      <w:r>
        <w:t xml:space="preserve">the probability of employment </w:t>
      </w:r>
      <w:r w:rsidR="00CD2C48">
        <w:t xml:space="preserve">(10 percentage points) and labour force participation (8 percentage points). For Indigenous men, participation in these </w:t>
      </w:r>
      <w:r w:rsidR="00C37CA9">
        <w:t xml:space="preserve">social cultural </w:t>
      </w:r>
      <w:r w:rsidR="00CD2C48">
        <w:t xml:space="preserve">events has only a small </w:t>
      </w:r>
      <w:r w:rsidR="00BD12A6">
        <w:t>positive</w:t>
      </w:r>
      <w:r w:rsidR="00CD2C48">
        <w:t xml:space="preserve"> </w:t>
      </w:r>
      <w:r>
        <w:t>association with</w:t>
      </w:r>
      <w:r w:rsidR="00CD2C48">
        <w:t xml:space="preserve"> labour force participation.</w:t>
      </w:r>
      <w:r w:rsidR="00CD2C48" w:rsidRPr="00D378FC">
        <w:t xml:space="preserve"> </w:t>
      </w:r>
      <w:r w:rsidR="009D1A3F" w:rsidRPr="00D378FC">
        <w:t xml:space="preserve">These results suggest that </w:t>
      </w:r>
      <w:r w:rsidR="009D1A3F">
        <w:t>participation in such events could</w:t>
      </w:r>
      <w:r w:rsidR="009D1A3F" w:rsidRPr="00D378FC">
        <w:t xml:space="preserve"> signal engagement with positive social networks </w:t>
      </w:r>
      <w:r w:rsidR="00BD12A6">
        <w:t>and norms</w:t>
      </w:r>
      <w:r w:rsidR="009D1A3F" w:rsidRPr="006050F6">
        <w:t>.</w:t>
      </w:r>
      <w:r w:rsidR="00684B9F" w:rsidRPr="006050F6">
        <w:t xml:space="preserve"> </w:t>
      </w:r>
    </w:p>
    <w:p w:rsidR="00FD783B" w:rsidRDefault="008715DD" w:rsidP="00FD783B">
      <w:pPr>
        <w:pStyle w:val="BodyText"/>
      </w:pPr>
      <w:r w:rsidRPr="00D378FC">
        <w:rPr>
          <w:lang w:eastAsia="en-US"/>
        </w:rPr>
        <w:t>As discussed in chapter 4</w:t>
      </w:r>
      <w:r w:rsidR="00BD289B" w:rsidRPr="00D378FC">
        <w:rPr>
          <w:lang w:eastAsia="en-US"/>
        </w:rPr>
        <w:t>,</w:t>
      </w:r>
      <w:r w:rsidRPr="00D378FC">
        <w:rPr>
          <w:lang w:eastAsia="en-US"/>
        </w:rPr>
        <w:t xml:space="preserve"> there</w:t>
      </w:r>
      <w:r w:rsidRPr="00D378FC">
        <w:t xml:space="preserve"> are a few studi</w:t>
      </w:r>
      <w:r w:rsidR="00BD289B" w:rsidRPr="00D378FC">
        <w:t>es that examine the effects of social and cultural factors on</w:t>
      </w:r>
      <w:r w:rsidRPr="00D378FC">
        <w:t xml:space="preserve"> Indigenous </w:t>
      </w:r>
      <w:r w:rsidR="00D47C51">
        <w:t>LMOs</w:t>
      </w:r>
      <w:r w:rsidR="00BD289B" w:rsidRPr="00D378FC">
        <w:t xml:space="preserve">. </w:t>
      </w:r>
      <w:r w:rsidR="00EE08C0">
        <w:t xml:space="preserve">Consistent with this study, </w:t>
      </w:r>
      <w:r w:rsidR="004E6AA1" w:rsidRPr="00D378FC">
        <w:t>Stephens</w:t>
      </w:r>
      <w:r w:rsidR="00FE0981">
        <w:t> </w:t>
      </w:r>
      <w:r w:rsidR="000B1A66" w:rsidRPr="00D378FC">
        <w:t>(2010)</w:t>
      </w:r>
      <w:r w:rsidR="00EE08C0">
        <w:t xml:space="preserve"> </w:t>
      </w:r>
      <w:r w:rsidR="004E6AA1" w:rsidRPr="00D378FC">
        <w:t>found that l</w:t>
      </w:r>
      <w:r w:rsidR="003153D7" w:rsidRPr="00D378FC">
        <w:t>iving in homelands</w:t>
      </w:r>
      <w:r w:rsidR="00993F74" w:rsidRPr="00D378FC">
        <w:t xml:space="preserve"> </w:t>
      </w:r>
      <w:r w:rsidR="00D47C51">
        <w:t>ha</w:t>
      </w:r>
      <w:r w:rsidR="00E95340">
        <w:t>d</w:t>
      </w:r>
      <w:r w:rsidR="004E6AA1" w:rsidRPr="00D378FC">
        <w:t xml:space="preserve"> a</w:t>
      </w:r>
      <w:r w:rsidR="003153D7" w:rsidRPr="00D378FC">
        <w:t xml:space="preserve"> negative </w:t>
      </w:r>
      <w:r w:rsidR="003D4FC3">
        <w:t>association with</w:t>
      </w:r>
      <w:r w:rsidR="003153D7" w:rsidRPr="00D378FC">
        <w:t xml:space="preserve"> the probability of employment for Indigenous men in remote and non-remote areas</w:t>
      </w:r>
      <w:r w:rsidR="00C405D2">
        <w:t xml:space="preserve">, and a small negative </w:t>
      </w:r>
      <w:r w:rsidR="003D4FC3">
        <w:t>association</w:t>
      </w:r>
      <w:r w:rsidR="00C405D2">
        <w:t xml:space="preserve"> for Indigenous women in remote areas</w:t>
      </w:r>
      <w:r w:rsidR="003153D7" w:rsidRPr="00D378FC">
        <w:t xml:space="preserve">. </w:t>
      </w:r>
      <w:r w:rsidR="00993F74" w:rsidRPr="00D378FC">
        <w:t xml:space="preserve">In contrast to this study, Stephens found that participation in a ‘cultural event’ was negatively associated with the probability of employment for </w:t>
      </w:r>
      <w:r w:rsidR="000B1A66" w:rsidRPr="00D378FC">
        <w:t xml:space="preserve">Indigenous men and women. </w:t>
      </w:r>
      <w:r w:rsidR="003153D7" w:rsidRPr="00D378FC">
        <w:t xml:space="preserve">Hunter </w:t>
      </w:r>
      <w:r w:rsidR="00186F9F">
        <w:t xml:space="preserve">and Borland </w:t>
      </w:r>
      <w:r w:rsidR="003153D7" w:rsidRPr="00D378FC">
        <w:t>(</w:t>
      </w:r>
      <w:r w:rsidR="00FE0981">
        <w:t>1997</w:t>
      </w:r>
      <w:r w:rsidR="003153D7" w:rsidRPr="00D378FC">
        <w:t>) found that hunting, fishing and gathering activities had no effect on the probability of employment, suggesting there was little substitution between these traditional activities and market work.</w:t>
      </w:r>
      <w:r w:rsidR="00993F74" w:rsidRPr="00D378FC">
        <w:t xml:space="preserve"> </w:t>
      </w:r>
      <w:r w:rsidR="000B1A66" w:rsidRPr="00D378FC">
        <w:t>These inconsistencies might be explained by differences in the type of cultural participation variables used, as well as differences in modelling approaches and data sources.</w:t>
      </w:r>
    </w:p>
    <w:p w:rsidR="00F960A6" w:rsidRDefault="00F960A6">
      <w:pPr>
        <w:pStyle w:val="BoxSpace"/>
      </w:pPr>
    </w:p>
    <w:tbl>
      <w:tblPr>
        <w:tblW w:w="0" w:type="auto"/>
        <w:tblInd w:w="164" w:type="dxa"/>
        <w:tblBorders>
          <w:top w:val="single" w:sz="6" w:space="0" w:color="auto"/>
          <w:left w:val="single" w:sz="6" w:space="0" w:color="auto"/>
          <w:bottom w:val="single" w:sz="6" w:space="0" w:color="auto"/>
          <w:right w:val="single" w:sz="6" w:space="0" w:color="auto"/>
        </w:tblBorders>
        <w:tblLayout w:type="fixed"/>
        <w:tblCellMar>
          <w:left w:w="142" w:type="dxa"/>
          <w:right w:w="142" w:type="dxa"/>
        </w:tblCellMar>
        <w:tblLook w:val="0000" w:firstRow="0" w:lastRow="0" w:firstColumn="0" w:lastColumn="0" w:noHBand="0" w:noVBand="0"/>
      </w:tblPr>
      <w:tblGrid>
        <w:gridCol w:w="8771"/>
      </w:tblGrid>
      <w:tr w:rsidR="00F960A6">
        <w:tc>
          <w:tcPr>
            <w:tcW w:w="8771" w:type="dxa"/>
            <w:tcBorders>
              <w:top w:val="single" w:sz="6" w:space="0" w:color="auto"/>
              <w:bottom w:val="nil"/>
            </w:tcBorders>
          </w:tcPr>
          <w:p w:rsidR="00F960A6" w:rsidRDefault="00F960A6">
            <w:pPr>
              <w:pStyle w:val="BoxTitle"/>
            </w:pPr>
            <w:r>
              <w:rPr>
                <w:b w:val="0"/>
              </w:rPr>
              <w:t>Box 5.</w:t>
            </w:r>
            <w:r>
              <w:rPr>
                <w:b w:val="0"/>
                <w:noProof/>
              </w:rPr>
              <w:t>1</w:t>
            </w:r>
            <w:r>
              <w:tab/>
              <w:t>Summary of key findings</w:t>
            </w:r>
          </w:p>
        </w:tc>
      </w:tr>
      <w:tr w:rsidR="00F960A6">
        <w:trPr>
          <w:cantSplit/>
        </w:trPr>
        <w:tc>
          <w:tcPr>
            <w:tcW w:w="8771" w:type="dxa"/>
            <w:tcBorders>
              <w:top w:val="nil"/>
              <w:left w:val="single" w:sz="6" w:space="0" w:color="auto"/>
              <w:bottom w:val="nil"/>
              <w:right w:val="single" w:sz="6" w:space="0" w:color="auto"/>
            </w:tcBorders>
          </w:tcPr>
          <w:p w:rsidR="00F960A6" w:rsidRDefault="00F960A6" w:rsidP="00F960A6">
            <w:pPr>
              <w:pStyle w:val="BoxListBullet"/>
              <w:numPr>
                <w:ilvl w:val="0"/>
                <w:numId w:val="0"/>
              </w:numPr>
              <w:spacing w:before="80"/>
              <w:ind w:left="-22"/>
            </w:pPr>
            <w:r>
              <w:rPr>
                <w:b/>
              </w:rPr>
              <w:t>E</w:t>
            </w:r>
            <w:r w:rsidRPr="00891D01">
              <w:rPr>
                <w:b/>
              </w:rPr>
              <w:t>ducation</w:t>
            </w:r>
            <w:r>
              <w:rPr>
                <w:b/>
              </w:rPr>
              <w:t>al</w:t>
            </w:r>
            <w:r w:rsidRPr="00891D01">
              <w:rPr>
                <w:b/>
              </w:rPr>
              <w:t xml:space="preserve"> attainment </w:t>
            </w:r>
          </w:p>
          <w:p w:rsidR="00F960A6" w:rsidRDefault="00F960A6" w:rsidP="00F960A6">
            <w:pPr>
              <w:pStyle w:val="BoxListBullet"/>
              <w:spacing w:before="80"/>
            </w:pPr>
            <w:r>
              <w:t>This study demonstrates that there are statistically significant associations between education and labour market outcomes (</w:t>
            </w:r>
            <w:proofErr w:type="spellStart"/>
            <w:r>
              <w:t>LMOs</w:t>
            </w:r>
            <w:proofErr w:type="spellEnd"/>
            <w:r>
              <w:t xml:space="preserve">) for Indigenous Australians. This is consistent with human capital theory that improving education has the potential to improve </w:t>
            </w:r>
            <w:proofErr w:type="spellStart"/>
            <w:r>
              <w:t>LMOs</w:t>
            </w:r>
            <w:proofErr w:type="spellEnd"/>
            <w:r>
              <w:t>.</w:t>
            </w:r>
          </w:p>
          <w:p w:rsidR="00F960A6" w:rsidRDefault="00F960A6" w:rsidP="00F960A6">
            <w:pPr>
              <w:pStyle w:val="BoxListBullet"/>
              <w:spacing w:before="80"/>
            </w:pPr>
            <w:r>
              <w:t>Results indicate that higher levels of education have different outcomes for Indigenous women and men.</w:t>
            </w:r>
          </w:p>
          <w:p w:rsidR="00F960A6" w:rsidRDefault="00F960A6" w:rsidP="00F960A6">
            <w:pPr>
              <w:pStyle w:val="BoxListBullet2"/>
            </w:pPr>
            <w:r>
              <w:t>The association between employment and labour force participation (</w:t>
            </w:r>
            <w:proofErr w:type="spellStart"/>
            <w:r>
              <w:t>LFP</w:t>
            </w:r>
            <w:proofErr w:type="spellEnd"/>
            <w:r>
              <w:t xml:space="preserve">), and all levels of education at or above year 10 was statistically significant for women. </w:t>
            </w:r>
          </w:p>
          <w:p w:rsidR="00F960A6" w:rsidRDefault="00F960A6" w:rsidP="00F960A6">
            <w:pPr>
              <w:pStyle w:val="BoxListBullet2"/>
            </w:pPr>
            <w:r>
              <w:t xml:space="preserve">For men, having year 12 and a non-school qualification (other than a degree) has a statistically significant association with employment and </w:t>
            </w:r>
            <w:proofErr w:type="spellStart"/>
            <w:r>
              <w:t>LFP</w:t>
            </w:r>
            <w:proofErr w:type="spellEnd"/>
            <w:r>
              <w:t xml:space="preserve"> (compared to having only year 10 or 11). However, the associations between other levels of education and employment and </w:t>
            </w:r>
            <w:proofErr w:type="spellStart"/>
            <w:r>
              <w:t>LFP</w:t>
            </w:r>
            <w:proofErr w:type="spellEnd"/>
            <w:r>
              <w:t xml:space="preserve"> were not statistically significant.</w:t>
            </w:r>
          </w:p>
          <w:p w:rsidR="00F960A6" w:rsidRDefault="00F960A6" w:rsidP="00F960A6">
            <w:pPr>
              <w:pStyle w:val="BoxListBullet2"/>
              <w:numPr>
                <w:ilvl w:val="0"/>
                <w:numId w:val="0"/>
              </w:numPr>
              <w:spacing w:before="80"/>
              <w:ind w:left="-22"/>
            </w:pPr>
            <w:r>
              <w:rPr>
                <w:b/>
              </w:rPr>
              <w:t>Health and disability</w:t>
            </w:r>
          </w:p>
          <w:p w:rsidR="00F960A6" w:rsidRDefault="00F960A6" w:rsidP="00F960A6">
            <w:pPr>
              <w:pStyle w:val="BoxListBullet"/>
              <w:spacing w:before="80"/>
            </w:pPr>
            <w:r>
              <w:t xml:space="preserve">This study found statistically significant associations between employment and </w:t>
            </w:r>
            <w:proofErr w:type="spellStart"/>
            <w:r>
              <w:t>LFP</w:t>
            </w:r>
            <w:proofErr w:type="spellEnd"/>
            <w:r>
              <w:t xml:space="preserve">, and physical and mental health. It also found statistically significant (negative) associations between employment and </w:t>
            </w:r>
            <w:proofErr w:type="spellStart"/>
            <w:r>
              <w:t>LFP</w:t>
            </w:r>
            <w:proofErr w:type="spellEnd"/>
            <w:r>
              <w:t xml:space="preserve">, and severe or profound disability. </w:t>
            </w:r>
          </w:p>
          <w:p w:rsidR="00F960A6" w:rsidRDefault="00F960A6" w:rsidP="00F960A6">
            <w:pPr>
              <w:pStyle w:val="BoxListBullet"/>
              <w:spacing w:before="80"/>
            </w:pPr>
            <w:r>
              <w:t xml:space="preserve">The results in this study are consistent with the hypothesis that improving Indigenous health, and reducing disability, might improve </w:t>
            </w:r>
            <w:proofErr w:type="spellStart"/>
            <w:r>
              <w:t>LMOs</w:t>
            </w:r>
            <w:proofErr w:type="spellEnd"/>
            <w:r>
              <w:t>.</w:t>
            </w:r>
          </w:p>
          <w:p w:rsidR="00F960A6" w:rsidRDefault="00F960A6" w:rsidP="00F960A6">
            <w:pPr>
              <w:pStyle w:val="BoxListBullet"/>
              <w:numPr>
                <w:ilvl w:val="0"/>
                <w:numId w:val="0"/>
              </w:numPr>
              <w:spacing w:before="80"/>
              <w:ind w:left="-22"/>
              <w:rPr>
                <w:b/>
              </w:rPr>
            </w:pPr>
            <w:r>
              <w:rPr>
                <w:b/>
              </w:rPr>
              <w:t>Contact with the criminal justice system</w:t>
            </w:r>
          </w:p>
          <w:p w:rsidR="00F960A6" w:rsidRDefault="00F960A6" w:rsidP="00F960A6">
            <w:pPr>
              <w:pStyle w:val="BoxListBullet"/>
              <w:spacing w:before="80"/>
            </w:pPr>
            <w:r w:rsidRPr="00916B82">
              <w:t xml:space="preserve">There are statistically significant </w:t>
            </w:r>
            <w:r>
              <w:t xml:space="preserve">(negative) </w:t>
            </w:r>
            <w:r w:rsidRPr="00916B82">
              <w:t xml:space="preserve">associations between contact with the criminal justice system and Indigenous </w:t>
            </w:r>
            <w:proofErr w:type="spellStart"/>
            <w:r w:rsidRPr="00916B82">
              <w:t>LMOs</w:t>
            </w:r>
            <w:proofErr w:type="spellEnd"/>
            <w:r w:rsidRPr="00916B82">
              <w:t>.</w:t>
            </w:r>
            <w:r>
              <w:t xml:space="preserve"> Men who have been arrested or imprisoned, and women who have been arrested, are less likely to be in the labour force and employed than those who have not. </w:t>
            </w:r>
          </w:p>
          <w:p w:rsidR="00F960A6" w:rsidRDefault="00F960A6" w:rsidP="00F960A6">
            <w:pPr>
              <w:pStyle w:val="BoxListBullet"/>
              <w:spacing w:before="80"/>
            </w:pPr>
            <w:r>
              <w:t xml:space="preserve">These results are consistent with the </w:t>
            </w:r>
            <w:r w:rsidRPr="001909F1">
              <w:t>hypothes</w:t>
            </w:r>
            <w:r>
              <w:t>e</w:t>
            </w:r>
            <w:r w:rsidRPr="001909F1">
              <w:t>s from other researchers</w:t>
            </w:r>
            <w:r>
              <w:t xml:space="preserve"> that employers might use a person’s criminal record as a signal of their desirability as an employee and that contact with the criminal justice system might discourage people from participating in paid work. </w:t>
            </w:r>
          </w:p>
          <w:p w:rsidR="00F960A6" w:rsidRDefault="00F960A6" w:rsidP="00F960A6">
            <w:pPr>
              <w:pStyle w:val="BoxListBullet2"/>
              <w:numPr>
                <w:ilvl w:val="0"/>
                <w:numId w:val="0"/>
              </w:numPr>
              <w:tabs>
                <w:tab w:val="clear" w:pos="284"/>
                <w:tab w:val="left" w:pos="-22"/>
              </w:tabs>
              <w:spacing w:before="80"/>
              <w:rPr>
                <w:b/>
              </w:rPr>
            </w:pPr>
            <w:r>
              <w:rPr>
                <w:b/>
              </w:rPr>
              <w:t xml:space="preserve">Cultural and social engagement </w:t>
            </w:r>
          </w:p>
          <w:p w:rsidR="00F960A6" w:rsidRDefault="00F960A6" w:rsidP="00F960A6">
            <w:pPr>
              <w:pStyle w:val="BoxListBullet"/>
              <w:spacing w:before="80"/>
            </w:pPr>
            <w:r>
              <w:t xml:space="preserve">There were statistically significant associations, for women, between engagement with the community and culture, and employment and </w:t>
            </w:r>
            <w:proofErr w:type="spellStart"/>
            <w:r>
              <w:t>LFP</w:t>
            </w:r>
            <w:proofErr w:type="spellEnd"/>
            <w:r>
              <w:t>.</w:t>
            </w:r>
          </w:p>
          <w:p w:rsidR="00F960A6" w:rsidRDefault="00F960A6" w:rsidP="00F960A6">
            <w:pPr>
              <w:pStyle w:val="BoxListBullet2"/>
            </w:pPr>
            <w:r>
              <w:t>Women who participate in social cultural events (such as festivals and carnivals involving arts, music and dance) and provide support (other than unpaid childcare) outside their household are more likely to be employed and in the labour force than those who do not.</w:t>
            </w:r>
          </w:p>
          <w:p w:rsidR="00F960A6" w:rsidRDefault="00F960A6" w:rsidP="00F960A6">
            <w:pPr>
              <w:pStyle w:val="BoxListBullet2"/>
            </w:pPr>
            <w:r>
              <w:t>Women who undertake traditional cultural activities (such as hunting, and traditional arts and crafts) are less likely to be employed, although these activities might accrue other benefits to the participant or the community.</w:t>
            </w:r>
          </w:p>
          <w:p w:rsidR="00F960A6" w:rsidRDefault="00F960A6" w:rsidP="00F960A6">
            <w:pPr>
              <w:pStyle w:val="BoxListBullet"/>
              <w:spacing w:before="80"/>
            </w:pPr>
            <w:r>
              <w:t>For men, the equivalent associations were weak.</w:t>
            </w:r>
          </w:p>
        </w:tc>
      </w:tr>
      <w:tr w:rsidR="00F960A6">
        <w:trPr>
          <w:cantSplit/>
        </w:trPr>
        <w:tc>
          <w:tcPr>
            <w:tcW w:w="8771" w:type="dxa"/>
            <w:tcBorders>
              <w:top w:val="nil"/>
              <w:left w:val="single" w:sz="6" w:space="0" w:color="auto"/>
              <w:bottom w:val="single" w:sz="6" w:space="0" w:color="auto"/>
              <w:right w:val="single" w:sz="6" w:space="0" w:color="auto"/>
            </w:tcBorders>
          </w:tcPr>
          <w:p w:rsidR="00F960A6" w:rsidRDefault="00F960A6">
            <w:pPr>
              <w:pStyle w:val="Box"/>
              <w:spacing w:before="0" w:line="120" w:lineRule="exact"/>
            </w:pPr>
          </w:p>
        </w:tc>
      </w:tr>
    </w:tbl>
    <w:p w:rsidR="00F960A6" w:rsidRDefault="00F960A6" w:rsidP="00B90394">
      <w:pPr>
        <w:pStyle w:val="BodyText"/>
      </w:pPr>
    </w:p>
    <w:sectPr w:rsidR="00F960A6" w:rsidSect="00DC51C5">
      <w:headerReference w:type="even" r:id="rId13"/>
      <w:headerReference w:type="default" r:id="rId14"/>
      <w:footerReference w:type="even" r:id="rId15"/>
      <w:footerReference w:type="default" r:id="rId16"/>
      <w:pgSz w:w="11907" w:h="16840" w:code="9"/>
      <w:pgMar w:top="1985" w:right="1304" w:bottom="1418" w:left="1814" w:header="1701" w:footer="567" w:gutter="0"/>
      <w:pgNumType w:start="45" w:chapSep="period"/>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D783B" w:rsidRDefault="00FD783B">
      <w:r>
        <w:separator/>
      </w:r>
    </w:p>
  </w:endnote>
  <w:endnote w:type="continuationSeparator" w:id="0">
    <w:p w:rsidR="00FD783B" w:rsidRDefault="00FD783B">
      <w:r>
        <w:continuationSeparator/>
      </w:r>
    </w:p>
  </w:endnote>
  <w:endnote w:type="continuationNotice" w:id="1">
    <w:p w:rsidR="00FD783B" w:rsidRDefault="00FD783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T Extra">
    <w:panose1 w:val="05050102010205020202"/>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0" w:type="dxa"/>
        <w:right w:w="0" w:type="dxa"/>
      </w:tblCellMar>
      <w:tblLook w:val="0000" w:firstRow="0" w:lastRow="0" w:firstColumn="0" w:lastColumn="0" w:noHBand="0" w:noVBand="0"/>
    </w:tblPr>
    <w:tblGrid>
      <w:gridCol w:w="510"/>
      <w:gridCol w:w="1644"/>
      <w:gridCol w:w="6634"/>
    </w:tblGrid>
    <w:tr w:rsidR="00FD783B">
      <w:trPr>
        <w:trHeight w:hRule="exact" w:val="740"/>
      </w:trPr>
      <w:tc>
        <w:tcPr>
          <w:tcW w:w="510" w:type="dxa"/>
          <w:tcBorders>
            <w:top w:val="single" w:sz="6" w:space="0" w:color="auto"/>
          </w:tcBorders>
        </w:tcPr>
        <w:p w:rsidR="00FD783B" w:rsidRDefault="00FD783B" w:rsidP="0019293B">
          <w:pPr>
            <w:pStyle w:val="Footer"/>
            <w:tabs>
              <w:tab w:val="left" w:pos="0"/>
            </w:tabs>
            <w:ind w:right="0"/>
            <w:rPr>
              <w:rStyle w:val="PageNumber"/>
            </w:rPr>
          </w:pPr>
          <w:r>
            <w:rPr>
              <w:rStyle w:val="PageNumber"/>
            </w:rPr>
            <w:fldChar w:fldCharType="begin"/>
          </w:r>
          <w:r>
            <w:rPr>
              <w:rStyle w:val="PageNumber"/>
            </w:rPr>
            <w:instrText xml:space="preserve">PAGE  </w:instrText>
          </w:r>
          <w:r>
            <w:rPr>
              <w:rStyle w:val="PageNumber"/>
            </w:rPr>
            <w:fldChar w:fldCharType="separate"/>
          </w:r>
          <w:r w:rsidR="00D17E7E">
            <w:rPr>
              <w:rStyle w:val="PageNumber"/>
              <w:noProof/>
            </w:rPr>
            <w:t>56</w:t>
          </w:r>
          <w:r>
            <w:rPr>
              <w:rStyle w:val="PageNumber"/>
            </w:rPr>
            <w:fldChar w:fldCharType="end"/>
          </w:r>
        </w:p>
      </w:tc>
      <w:tc>
        <w:tcPr>
          <w:tcW w:w="1644" w:type="dxa"/>
          <w:tcBorders>
            <w:top w:val="single" w:sz="6" w:space="0" w:color="auto"/>
          </w:tcBorders>
        </w:tcPr>
        <w:p w:rsidR="00FD783B" w:rsidRDefault="00EE2D31" w:rsidP="001F7F6B">
          <w:pPr>
            <w:pStyle w:val="Footer"/>
          </w:pPr>
          <w:r>
            <w:t>INFLUENCES ON</w:t>
          </w:r>
          <w:r w:rsidR="00DC51C5">
            <w:t xml:space="preserve"> indigenous labour market outcomes</w:t>
          </w:r>
        </w:p>
      </w:tc>
      <w:tc>
        <w:tcPr>
          <w:tcW w:w="6634" w:type="dxa"/>
        </w:tcPr>
        <w:p w:rsidR="00FD783B" w:rsidRDefault="00FD783B" w:rsidP="0019293B">
          <w:pPr>
            <w:pStyle w:val="Footer"/>
          </w:pPr>
        </w:p>
      </w:tc>
    </w:tr>
  </w:tbl>
  <w:p w:rsidR="00FD783B" w:rsidRDefault="00FD783B" w:rsidP="0019293B">
    <w:pPr>
      <w:pStyle w:val="FooterEnd"/>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0" w:type="dxa"/>
        <w:right w:w="0" w:type="dxa"/>
      </w:tblCellMar>
      <w:tblLook w:val="0000" w:firstRow="0" w:lastRow="0" w:firstColumn="0" w:lastColumn="0" w:noHBand="0" w:noVBand="0"/>
    </w:tblPr>
    <w:tblGrid>
      <w:gridCol w:w="6634"/>
      <w:gridCol w:w="1644"/>
      <w:gridCol w:w="510"/>
    </w:tblGrid>
    <w:tr w:rsidR="00FD783B">
      <w:trPr>
        <w:trHeight w:hRule="exact" w:val="740"/>
      </w:trPr>
      <w:tc>
        <w:tcPr>
          <w:tcW w:w="6634" w:type="dxa"/>
        </w:tcPr>
        <w:p w:rsidR="00FD783B" w:rsidRDefault="00FD783B" w:rsidP="002917B1">
          <w:pPr>
            <w:pStyle w:val="Footer"/>
            <w:ind w:right="360" w:firstLine="360"/>
            <w:jc w:val="right"/>
          </w:pPr>
        </w:p>
      </w:tc>
      <w:tc>
        <w:tcPr>
          <w:tcW w:w="1644" w:type="dxa"/>
          <w:tcBorders>
            <w:top w:val="single" w:sz="6" w:space="0" w:color="auto"/>
          </w:tcBorders>
        </w:tcPr>
        <w:p w:rsidR="00FD783B" w:rsidRDefault="00D17E7E">
          <w:pPr>
            <w:pStyle w:val="Footer"/>
          </w:pPr>
          <w:r>
            <w:fldChar w:fldCharType="begin"/>
          </w:r>
          <w:r>
            <w:instrText xml:space="preserve"> TITLE  \* MERGEFORMAT </w:instrText>
          </w:r>
          <w:r>
            <w:fldChar w:fldCharType="separate"/>
          </w:r>
          <w:r>
            <w:t>Results and discussion</w:t>
          </w:r>
          <w:r>
            <w:fldChar w:fldCharType="end"/>
          </w:r>
        </w:p>
      </w:tc>
      <w:tc>
        <w:tcPr>
          <w:tcW w:w="510" w:type="dxa"/>
          <w:tcBorders>
            <w:top w:val="single" w:sz="6" w:space="0" w:color="auto"/>
          </w:tcBorders>
        </w:tcPr>
        <w:p w:rsidR="00FD783B" w:rsidRDefault="00FD783B">
          <w:pPr>
            <w:pStyle w:val="Footer"/>
            <w:jc w:val="right"/>
          </w:pPr>
          <w:r>
            <w:rPr>
              <w:rStyle w:val="PageNumber"/>
            </w:rPr>
            <w:fldChar w:fldCharType="begin"/>
          </w:r>
          <w:r>
            <w:rPr>
              <w:rStyle w:val="PageNumber"/>
            </w:rPr>
            <w:instrText xml:space="preserve">PAGE  </w:instrText>
          </w:r>
          <w:r>
            <w:rPr>
              <w:rStyle w:val="PageNumber"/>
            </w:rPr>
            <w:fldChar w:fldCharType="separate"/>
          </w:r>
          <w:r w:rsidR="00D17E7E">
            <w:rPr>
              <w:rStyle w:val="PageNumber"/>
              <w:noProof/>
            </w:rPr>
            <w:t>55</w:t>
          </w:r>
          <w:r>
            <w:rPr>
              <w:rStyle w:val="PageNumber"/>
            </w:rPr>
            <w:fldChar w:fldCharType="end"/>
          </w:r>
        </w:p>
      </w:tc>
    </w:tr>
  </w:tbl>
  <w:p w:rsidR="00FD783B" w:rsidRDefault="00FD783B">
    <w:pPr>
      <w:pStyle w:val="FooterEn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D783B" w:rsidRDefault="00FD783B">
      <w:r>
        <w:separator/>
      </w:r>
    </w:p>
  </w:footnote>
  <w:footnote w:type="continuationSeparator" w:id="0">
    <w:p w:rsidR="00FD783B" w:rsidRDefault="00FD783B">
      <w:r>
        <w:continuationSeparator/>
      </w:r>
    </w:p>
  </w:footnote>
  <w:footnote w:type="continuationNotice" w:id="1">
    <w:p w:rsidR="00FD783B" w:rsidRDefault="00FD783B"/>
  </w:footnote>
  <w:footnote w:id="2">
    <w:p w:rsidR="00FD783B" w:rsidRDefault="00FD783B">
      <w:pPr>
        <w:pStyle w:val="FootnoteText"/>
      </w:pPr>
      <w:r>
        <w:rPr>
          <w:rStyle w:val="FootnoteReference"/>
        </w:rPr>
        <w:footnoteRef/>
      </w:r>
      <w:r>
        <w:tab/>
      </w:r>
      <w:r w:rsidRPr="004F3CA5">
        <w:rPr>
          <w:rStyle w:val="FootnoteReference"/>
        </w:rPr>
        <w:t>Models were estimated with Stata and processed using the ABS’s Remote Access Data Laboratory (RADL).</w:t>
      </w:r>
    </w:p>
  </w:footnote>
  <w:footnote w:id="3">
    <w:p w:rsidR="00FD783B" w:rsidRDefault="00FD783B" w:rsidP="0018328B">
      <w:pPr>
        <w:pStyle w:val="FootnoteText"/>
      </w:pPr>
      <w:r>
        <w:rPr>
          <w:rStyle w:val="FootnoteReference"/>
        </w:rPr>
        <w:footnoteRef/>
      </w:r>
      <w:r>
        <w:tab/>
        <w:t>To illustrate this, the marginal effects were calculated at 25</w:t>
      </w:r>
      <w:r w:rsidRPr="006B73DA">
        <w:rPr>
          <w:vertAlign w:val="superscript"/>
        </w:rPr>
        <w:t>th</w:t>
      </w:r>
      <w:r>
        <w:t xml:space="preserve"> and 75</w:t>
      </w:r>
      <w:r w:rsidRPr="006B73DA">
        <w:rPr>
          <w:vertAlign w:val="superscript"/>
        </w:rPr>
        <w:t>th</w:t>
      </w:r>
      <w:r>
        <w:t xml:space="preserve"> percentile values of experience. Twenty five per cent of women have three or less years of work experience and 75 per cent have 18 years or less. Twenty five per cent of men have six years of work experience or less and 75 per cent have 25 years or less. For women with fewer years of work experience, the probability of mainstream employment increased by 6 percentage points, and for men increased by 7 percentage points. For men with more than average years of work experience, an additional year increases probability of mainstream employment by 0.3 percentage points, and for women increases by 1 percentage point.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0" w:type="dxa"/>
        <w:right w:w="0" w:type="dxa"/>
      </w:tblCellMar>
      <w:tblLook w:val="0000" w:firstRow="0" w:lastRow="0" w:firstColumn="0" w:lastColumn="0" w:noHBand="0" w:noVBand="0"/>
    </w:tblPr>
    <w:tblGrid>
      <w:gridCol w:w="2155"/>
      <w:gridCol w:w="6634"/>
    </w:tblGrid>
    <w:tr w:rsidR="00FD783B">
      <w:tc>
        <w:tcPr>
          <w:tcW w:w="2155" w:type="dxa"/>
          <w:tcBorders>
            <w:top w:val="single" w:sz="24" w:space="0" w:color="auto"/>
          </w:tcBorders>
        </w:tcPr>
        <w:p w:rsidR="00FD783B" w:rsidRDefault="00FD783B" w:rsidP="0019293B">
          <w:pPr>
            <w:pStyle w:val="HeaderEven"/>
          </w:pPr>
        </w:p>
      </w:tc>
      <w:tc>
        <w:tcPr>
          <w:tcW w:w="6634" w:type="dxa"/>
          <w:tcBorders>
            <w:top w:val="single" w:sz="6" w:space="0" w:color="auto"/>
          </w:tcBorders>
        </w:tcPr>
        <w:p w:rsidR="00FD783B" w:rsidRDefault="00FD783B" w:rsidP="0019293B">
          <w:pPr>
            <w:pStyle w:val="HeaderEven"/>
          </w:pPr>
        </w:p>
      </w:tc>
    </w:tr>
  </w:tbl>
  <w:p w:rsidR="00FD783B" w:rsidRDefault="00FD783B" w:rsidP="0019293B">
    <w:pPr>
      <w:pStyle w:val="HeaderEn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single" w:sz="6" w:space="0" w:color="auto"/>
      </w:tblBorders>
      <w:tblLayout w:type="fixed"/>
      <w:tblCellMar>
        <w:left w:w="0" w:type="dxa"/>
        <w:right w:w="0" w:type="dxa"/>
      </w:tblCellMar>
      <w:tblLook w:val="0000" w:firstRow="0" w:lastRow="0" w:firstColumn="0" w:lastColumn="0" w:noHBand="0" w:noVBand="0"/>
    </w:tblPr>
    <w:tblGrid>
      <w:gridCol w:w="6634"/>
      <w:gridCol w:w="2155"/>
    </w:tblGrid>
    <w:tr w:rsidR="00FD783B">
      <w:tc>
        <w:tcPr>
          <w:tcW w:w="6634" w:type="dxa"/>
          <w:tcBorders>
            <w:top w:val="single" w:sz="6" w:space="0" w:color="auto"/>
          </w:tcBorders>
        </w:tcPr>
        <w:p w:rsidR="00FD783B" w:rsidRDefault="00FD783B" w:rsidP="00E669E2">
          <w:pPr>
            <w:pStyle w:val="HeaderOdd"/>
          </w:pPr>
        </w:p>
      </w:tc>
      <w:tc>
        <w:tcPr>
          <w:tcW w:w="2155" w:type="dxa"/>
          <w:tcBorders>
            <w:top w:val="single" w:sz="24" w:space="0" w:color="auto"/>
          </w:tcBorders>
        </w:tcPr>
        <w:p w:rsidR="00FD783B" w:rsidRDefault="00FD783B" w:rsidP="00E669E2">
          <w:pPr>
            <w:pStyle w:val="HeaderOdd"/>
          </w:pPr>
        </w:p>
      </w:tc>
    </w:tr>
  </w:tbl>
  <w:p w:rsidR="00FD783B" w:rsidRDefault="00FD783B" w:rsidP="00E669E2">
    <w:pPr>
      <w:pStyle w:val="HeaderEnd"/>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ED98921A"/>
    <w:lvl w:ilvl="0">
      <w:start w:val="1"/>
      <w:numFmt w:val="decimal"/>
      <w:lvlText w:val="%1."/>
      <w:lvlJc w:val="left"/>
      <w:pPr>
        <w:tabs>
          <w:tab w:val="num" w:pos="926"/>
        </w:tabs>
        <w:ind w:left="926" w:hanging="360"/>
      </w:pPr>
    </w:lvl>
  </w:abstractNum>
  <w:abstractNum w:abstractNumId="1">
    <w:nsid w:val="FFFFFF7F"/>
    <w:multiLevelType w:val="singleLevel"/>
    <w:tmpl w:val="69042E6A"/>
    <w:lvl w:ilvl="0">
      <w:start w:val="1"/>
      <w:numFmt w:val="decimal"/>
      <w:lvlText w:val="%1."/>
      <w:lvlJc w:val="left"/>
      <w:pPr>
        <w:tabs>
          <w:tab w:val="num" w:pos="643"/>
        </w:tabs>
        <w:ind w:left="643" w:hanging="360"/>
      </w:pPr>
    </w:lvl>
  </w:abstractNum>
  <w:abstractNum w:abstractNumId="2">
    <w:nsid w:val="FFFFFF82"/>
    <w:multiLevelType w:val="singleLevel"/>
    <w:tmpl w:val="3A3A2F08"/>
    <w:lvl w:ilvl="0">
      <w:start w:val="1"/>
      <w:numFmt w:val="bullet"/>
      <w:lvlText w:val=""/>
      <w:lvlJc w:val="left"/>
      <w:pPr>
        <w:tabs>
          <w:tab w:val="num" w:pos="926"/>
        </w:tabs>
        <w:ind w:left="926" w:hanging="360"/>
      </w:pPr>
      <w:rPr>
        <w:rFonts w:ascii="Symbol" w:hAnsi="Symbol" w:hint="default"/>
      </w:rPr>
    </w:lvl>
  </w:abstractNum>
  <w:abstractNum w:abstractNumId="3">
    <w:nsid w:val="FFFFFF83"/>
    <w:multiLevelType w:val="singleLevel"/>
    <w:tmpl w:val="0BA2943E"/>
    <w:lvl w:ilvl="0">
      <w:start w:val="1"/>
      <w:numFmt w:val="bullet"/>
      <w:lvlText w:val=""/>
      <w:lvlJc w:val="left"/>
      <w:pPr>
        <w:tabs>
          <w:tab w:val="num" w:pos="643"/>
        </w:tabs>
        <w:ind w:left="643" w:hanging="360"/>
      </w:pPr>
      <w:rPr>
        <w:rFonts w:ascii="Symbol" w:hAnsi="Symbol" w:hint="default"/>
      </w:rPr>
    </w:lvl>
  </w:abstractNum>
  <w:abstractNum w:abstractNumId="4">
    <w:nsid w:val="FFFFFF88"/>
    <w:multiLevelType w:val="singleLevel"/>
    <w:tmpl w:val="93104AE2"/>
    <w:lvl w:ilvl="0">
      <w:start w:val="1"/>
      <w:numFmt w:val="decimal"/>
      <w:lvlText w:val="%1."/>
      <w:lvlJc w:val="left"/>
      <w:pPr>
        <w:tabs>
          <w:tab w:val="num" w:pos="360"/>
        </w:tabs>
        <w:ind w:left="360" w:hanging="360"/>
      </w:pPr>
    </w:lvl>
  </w:abstractNum>
  <w:abstractNum w:abstractNumId="5">
    <w:nsid w:val="FFFFFF89"/>
    <w:multiLevelType w:val="singleLevel"/>
    <w:tmpl w:val="0F36FBA8"/>
    <w:lvl w:ilvl="0">
      <w:start w:val="1"/>
      <w:numFmt w:val="bullet"/>
      <w:lvlText w:val=""/>
      <w:lvlJc w:val="left"/>
      <w:pPr>
        <w:tabs>
          <w:tab w:val="num" w:pos="360"/>
        </w:tabs>
        <w:ind w:left="360" w:hanging="360"/>
      </w:pPr>
      <w:rPr>
        <w:rFonts w:ascii="Symbol" w:hAnsi="Symbol" w:hint="default"/>
      </w:rPr>
    </w:lvl>
  </w:abstractNum>
  <w:abstractNum w:abstractNumId="6">
    <w:nsid w:val="02D84BB9"/>
    <w:multiLevelType w:val="hybridMultilevel"/>
    <w:tmpl w:val="5F24570C"/>
    <w:lvl w:ilvl="0" w:tplc="6C209310">
      <w:start w:val="1"/>
      <w:numFmt w:val="bullet"/>
      <w:pStyle w:val="Jurisdictioncommentslistbullet"/>
      <w:lvlText w:val=""/>
      <w:lvlJc w:val="left"/>
      <w:pPr>
        <w:tabs>
          <w:tab w:val="num" w:pos="318"/>
        </w:tabs>
        <w:ind w:left="318" w:hanging="318"/>
      </w:pPr>
      <w:rPr>
        <w:rFonts w:ascii="Symbol" w:hAnsi="Symbol" w:hint="default"/>
        <w:sz w:val="20"/>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7">
    <w:nsid w:val="033F2413"/>
    <w:multiLevelType w:val="multilevel"/>
    <w:tmpl w:val="8E3050E6"/>
    <w:lvl w:ilvl="0">
      <w:start w:val="1"/>
      <w:numFmt w:val="decimal"/>
      <w:lvlText w:val="%1)"/>
      <w:lvlJc w:val="left"/>
      <w:pPr>
        <w:tabs>
          <w:tab w:val="num" w:pos="340"/>
        </w:tabs>
        <w:ind w:left="340" w:hanging="340"/>
      </w:pPr>
      <w:rPr>
        <w:rFonts w:hint="default"/>
      </w:rPr>
    </w:lvl>
    <w:lvl w:ilvl="1">
      <w:start w:val="1"/>
      <w:numFmt w:val="lowerLetter"/>
      <w:lvlText w:val="%2)"/>
      <w:lvlJc w:val="left"/>
      <w:pPr>
        <w:tabs>
          <w:tab w:val="num" w:pos="794"/>
        </w:tabs>
        <w:ind w:left="794" w:hanging="454"/>
      </w:pPr>
      <w:rPr>
        <w:rFonts w:hint="default"/>
      </w:rPr>
    </w:lvl>
    <w:lvl w:ilvl="2">
      <w:start w:val="1"/>
      <w:numFmt w:val="lowerRoman"/>
      <w:lvlText w:val="%3)"/>
      <w:lvlJc w:val="left"/>
      <w:pPr>
        <w:tabs>
          <w:tab w:val="num" w:pos="1304"/>
        </w:tabs>
        <w:ind w:left="1304" w:hanging="51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8">
    <w:nsid w:val="047A7C39"/>
    <w:multiLevelType w:val="singleLevel"/>
    <w:tmpl w:val="080ADBB6"/>
    <w:lvl w:ilvl="0">
      <w:numFmt w:val="bullet"/>
      <w:pStyle w:val="ListBullet2"/>
      <w:lvlText w:val="–"/>
      <w:lvlJc w:val="left"/>
      <w:pPr>
        <w:tabs>
          <w:tab w:val="num" w:pos="680"/>
        </w:tabs>
        <w:ind w:left="680" w:hanging="340"/>
      </w:pPr>
      <w:rPr>
        <w:rFonts w:ascii="Times New Roman" w:hAnsi="Times New Roman" w:cs="Times New Roman" w:hint="default"/>
      </w:rPr>
    </w:lvl>
  </w:abstractNum>
  <w:abstractNum w:abstractNumId="9">
    <w:nsid w:val="06214B87"/>
    <w:multiLevelType w:val="singleLevel"/>
    <w:tmpl w:val="AB185BC4"/>
    <w:lvl w:ilvl="0">
      <w:numFmt w:val="bullet"/>
      <w:pStyle w:val="BoxListBullet2"/>
      <w:lvlText w:val="–"/>
      <w:lvlJc w:val="left"/>
      <w:pPr>
        <w:tabs>
          <w:tab w:val="num" w:pos="567"/>
        </w:tabs>
        <w:ind w:left="567" w:hanging="283"/>
      </w:pPr>
      <w:rPr>
        <w:rFonts w:ascii="Times New Roman" w:hAnsi="Times New Roman" w:cs="Times New Roman" w:hint="default"/>
      </w:rPr>
    </w:lvl>
  </w:abstractNum>
  <w:abstractNum w:abstractNumId="10">
    <w:nsid w:val="07057F34"/>
    <w:multiLevelType w:val="singleLevel"/>
    <w:tmpl w:val="ED98921A"/>
    <w:lvl w:ilvl="0">
      <w:start w:val="1"/>
      <w:numFmt w:val="decimal"/>
      <w:lvlText w:val="%1."/>
      <w:legacy w:legacy="1" w:legacySpace="0" w:legacyIndent="340"/>
      <w:lvlJc w:val="left"/>
      <w:pPr>
        <w:ind w:left="340" w:hanging="340"/>
      </w:pPr>
    </w:lvl>
  </w:abstractNum>
  <w:abstractNum w:abstractNumId="11">
    <w:nsid w:val="07405C8A"/>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nsid w:val="0E116344"/>
    <w:multiLevelType w:val="multilevel"/>
    <w:tmpl w:val="3B188B36"/>
    <w:lvl w:ilvl="0">
      <w:start w:val="1"/>
      <w:numFmt w:val="decimal"/>
      <w:pStyle w:val="BoxListNumber"/>
      <w:lvlText w:val="%1."/>
      <w:lvlJc w:val="left"/>
      <w:pPr>
        <w:tabs>
          <w:tab w:val="num" w:pos="284"/>
        </w:tabs>
        <w:ind w:left="284" w:hanging="284"/>
      </w:pPr>
      <w:rPr>
        <w:rFonts w:hint="default"/>
      </w:rPr>
    </w:lvl>
    <w:lvl w:ilvl="1">
      <w:start w:val="1"/>
      <w:numFmt w:val="lowerLetter"/>
      <w:pStyle w:val="BoxListNumber2"/>
      <w:lvlText w:val="(%2)"/>
      <w:lvlJc w:val="left"/>
      <w:pPr>
        <w:tabs>
          <w:tab w:val="num" w:pos="680"/>
        </w:tabs>
        <w:ind w:left="680" w:hanging="396"/>
      </w:pPr>
      <w:rPr>
        <w:rFonts w:hint="default"/>
      </w:rPr>
    </w:lvl>
    <w:lvl w:ilvl="2">
      <w:start w:val="1"/>
      <w:numFmt w:val="lowerRoman"/>
      <w:lvlText w:val="%3)"/>
      <w:lvlJc w:val="left"/>
      <w:pPr>
        <w:tabs>
          <w:tab w:val="num" w:pos="1304"/>
        </w:tabs>
        <w:ind w:left="1304" w:hanging="51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3">
    <w:nsid w:val="0ED95F65"/>
    <w:multiLevelType w:val="multilevel"/>
    <w:tmpl w:val="C444122C"/>
    <w:lvl w:ilvl="0">
      <w:start w:val="1"/>
      <w:numFmt w:val="decimal"/>
      <w:pStyle w:val="ListNumber"/>
      <w:lvlText w:val="%1."/>
      <w:lvlJc w:val="left"/>
      <w:pPr>
        <w:tabs>
          <w:tab w:val="num" w:pos="340"/>
        </w:tabs>
        <w:ind w:left="340" w:hanging="340"/>
      </w:pPr>
      <w:rPr>
        <w:rFonts w:hint="default"/>
      </w:rPr>
    </w:lvl>
    <w:lvl w:ilvl="1">
      <w:start w:val="1"/>
      <w:numFmt w:val="lowerLetter"/>
      <w:pStyle w:val="ListNumber2"/>
      <w:lvlText w:val="(%2)"/>
      <w:lvlJc w:val="left"/>
      <w:pPr>
        <w:tabs>
          <w:tab w:val="num" w:pos="794"/>
        </w:tabs>
        <w:ind w:left="794" w:hanging="454"/>
      </w:pPr>
      <w:rPr>
        <w:rFonts w:hint="default"/>
      </w:rPr>
    </w:lvl>
    <w:lvl w:ilvl="2">
      <w:start w:val="1"/>
      <w:numFmt w:val="lowerRoman"/>
      <w:pStyle w:val="ListNumber3"/>
      <w:lvlText w:val="(%3)"/>
      <w:lvlJc w:val="left"/>
      <w:pPr>
        <w:tabs>
          <w:tab w:val="num" w:pos="1304"/>
        </w:tabs>
        <w:ind w:left="1304" w:hanging="51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4">
    <w:nsid w:val="11CE45D8"/>
    <w:multiLevelType w:val="singleLevel"/>
    <w:tmpl w:val="650622E4"/>
    <w:lvl w:ilvl="0">
      <w:numFmt w:val="bullet"/>
      <w:pStyle w:val="SideNoteBullet"/>
      <w:lvlText w:val="–"/>
      <w:lvlJc w:val="left"/>
      <w:pPr>
        <w:tabs>
          <w:tab w:val="num" w:pos="360"/>
        </w:tabs>
        <w:ind w:left="227" w:hanging="227"/>
      </w:pPr>
      <w:rPr>
        <w:rFonts w:ascii="Times New Roman" w:hAnsi="Times New Roman" w:hint="default"/>
      </w:rPr>
    </w:lvl>
  </w:abstractNum>
  <w:abstractNum w:abstractNumId="15">
    <w:nsid w:val="23077DAF"/>
    <w:multiLevelType w:val="hybridMultilevel"/>
    <w:tmpl w:val="CE5670D0"/>
    <w:lvl w:ilvl="0" w:tplc="0C090001">
      <w:start w:val="1"/>
      <w:numFmt w:val="bullet"/>
      <w:lvlText w:val=""/>
      <w:lvlJc w:val="left"/>
      <w:pPr>
        <w:tabs>
          <w:tab w:val="num" w:pos="720"/>
        </w:tabs>
        <w:ind w:left="720" w:hanging="360"/>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6">
    <w:nsid w:val="23FF358D"/>
    <w:multiLevelType w:val="singleLevel"/>
    <w:tmpl w:val="2278E24C"/>
    <w:lvl w:ilvl="0">
      <w:start w:val="1"/>
      <w:numFmt w:val="bullet"/>
      <w:pStyle w:val="RecBBullet"/>
      <w:lvlText w:val=""/>
      <w:lvlJc w:val="left"/>
      <w:pPr>
        <w:tabs>
          <w:tab w:val="num" w:pos="340"/>
        </w:tabs>
        <w:ind w:left="340" w:hanging="340"/>
      </w:pPr>
      <w:rPr>
        <w:rFonts w:ascii="Symbol" w:hAnsi="Symbol" w:hint="default"/>
        <w:b w:val="0"/>
        <w:i w:val="0"/>
        <w:sz w:val="18"/>
      </w:rPr>
    </w:lvl>
  </w:abstractNum>
  <w:abstractNum w:abstractNumId="17">
    <w:nsid w:val="27371796"/>
    <w:multiLevelType w:val="multilevel"/>
    <w:tmpl w:val="8E3050E6"/>
    <w:lvl w:ilvl="0">
      <w:start w:val="1"/>
      <w:numFmt w:val="decimal"/>
      <w:lvlText w:val="%1)"/>
      <w:lvlJc w:val="left"/>
      <w:pPr>
        <w:tabs>
          <w:tab w:val="num" w:pos="340"/>
        </w:tabs>
        <w:ind w:left="340" w:hanging="340"/>
      </w:pPr>
      <w:rPr>
        <w:rFonts w:hint="default"/>
      </w:rPr>
    </w:lvl>
    <w:lvl w:ilvl="1">
      <w:start w:val="1"/>
      <w:numFmt w:val="lowerLetter"/>
      <w:lvlText w:val="%2)"/>
      <w:lvlJc w:val="left"/>
      <w:pPr>
        <w:tabs>
          <w:tab w:val="num" w:pos="794"/>
        </w:tabs>
        <w:ind w:left="794" w:hanging="454"/>
      </w:pPr>
      <w:rPr>
        <w:rFonts w:hint="default"/>
      </w:rPr>
    </w:lvl>
    <w:lvl w:ilvl="2">
      <w:start w:val="1"/>
      <w:numFmt w:val="lowerRoman"/>
      <w:lvlText w:val="%3)"/>
      <w:lvlJc w:val="left"/>
      <w:pPr>
        <w:tabs>
          <w:tab w:val="num" w:pos="1304"/>
        </w:tabs>
        <w:ind w:left="1304" w:hanging="51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8">
    <w:nsid w:val="30E90CE4"/>
    <w:multiLevelType w:val="singleLevel"/>
    <w:tmpl w:val="52F61D9A"/>
    <w:lvl w:ilvl="0">
      <w:start w:val="1"/>
      <w:numFmt w:val="bullet"/>
      <w:pStyle w:val="BoxListBullet"/>
      <w:lvlText w:val=""/>
      <w:lvlJc w:val="left"/>
      <w:pPr>
        <w:tabs>
          <w:tab w:val="num" w:pos="284"/>
        </w:tabs>
        <w:ind w:left="284" w:hanging="284"/>
      </w:pPr>
      <w:rPr>
        <w:rFonts w:ascii="Symbol" w:hAnsi="Symbol" w:hint="default"/>
        <w:sz w:val="18"/>
      </w:rPr>
    </w:lvl>
  </w:abstractNum>
  <w:abstractNum w:abstractNumId="19">
    <w:nsid w:val="39C335C1"/>
    <w:multiLevelType w:val="multilevel"/>
    <w:tmpl w:val="7DF6C670"/>
    <w:lvl w:ilvl="0">
      <w:start w:val="1"/>
      <w:numFmt w:val="decimal"/>
      <w:lvlText w:val="%1)"/>
      <w:lvlJc w:val="left"/>
      <w:pPr>
        <w:tabs>
          <w:tab w:val="num" w:pos="1134"/>
        </w:tabs>
        <w:ind w:left="1134" w:hanging="340"/>
      </w:pPr>
      <w:rPr>
        <w:rFonts w:hint="default"/>
      </w:rPr>
    </w:lvl>
    <w:lvl w:ilvl="1">
      <w:start w:val="1"/>
      <w:numFmt w:val="lowerLetter"/>
      <w:lvlText w:val="%2)"/>
      <w:lvlJc w:val="left"/>
      <w:pPr>
        <w:tabs>
          <w:tab w:val="num" w:pos="1588"/>
        </w:tabs>
        <w:ind w:left="1588" w:hanging="454"/>
      </w:pPr>
      <w:rPr>
        <w:rFonts w:hint="default"/>
      </w:rPr>
    </w:lvl>
    <w:lvl w:ilvl="2">
      <w:start w:val="1"/>
      <w:numFmt w:val="lowerRoman"/>
      <w:lvlText w:val="%3)"/>
      <w:lvlJc w:val="left"/>
      <w:pPr>
        <w:tabs>
          <w:tab w:val="num" w:pos="2098"/>
        </w:tabs>
        <w:ind w:left="2098" w:hanging="510"/>
      </w:pPr>
      <w:rPr>
        <w:rFonts w:hint="default"/>
      </w:rPr>
    </w:lvl>
    <w:lvl w:ilvl="3">
      <w:start w:val="1"/>
      <w:numFmt w:val="decimal"/>
      <w:lvlText w:val="(%4)"/>
      <w:lvlJc w:val="left"/>
      <w:pPr>
        <w:tabs>
          <w:tab w:val="num" w:pos="2234"/>
        </w:tabs>
        <w:ind w:left="2234" w:hanging="360"/>
      </w:pPr>
      <w:rPr>
        <w:rFonts w:hint="default"/>
      </w:rPr>
    </w:lvl>
    <w:lvl w:ilvl="4">
      <w:start w:val="1"/>
      <w:numFmt w:val="lowerLetter"/>
      <w:lvlText w:val="(%5)"/>
      <w:lvlJc w:val="left"/>
      <w:pPr>
        <w:tabs>
          <w:tab w:val="num" w:pos="2594"/>
        </w:tabs>
        <w:ind w:left="2594" w:hanging="360"/>
      </w:pPr>
      <w:rPr>
        <w:rFonts w:hint="default"/>
      </w:rPr>
    </w:lvl>
    <w:lvl w:ilvl="5">
      <w:start w:val="1"/>
      <w:numFmt w:val="lowerRoman"/>
      <w:lvlText w:val="(%6)"/>
      <w:lvlJc w:val="left"/>
      <w:pPr>
        <w:tabs>
          <w:tab w:val="num" w:pos="2954"/>
        </w:tabs>
        <w:ind w:left="2954" w:hanging="360"/>
      </w:pPr>
      <w:rPr>
        <w:rFonts w:hint="default"/>
      </w:rPr>
    </w:lvl>
    <w:lvl w:ilvl="6">
      <w:start w:val="1"/>
      <w:numFmt w:val="decimal"/>
      <w:lvlText w:val="%7."/>
      <w:lvlJc w:val="left"/>
      <w:pPr>
        <w:tabs>
          <w:tab w:val="num" w:pos="3314"/>
        </w:tabs>
        <w:ind w:left="3314" w:hanging="360"/>
      </w:pPr>
      <w:rPr>
        <w:rFonts w:hint="default"/>
      </w:rPr>
    </w:lvl>
    <w:lvl w:ilvl="7">
      <w:start w:val="1"/>
      <w:numFmt w:val="lowerLetter"/>
      <w:lvlText w:val="%8."/>
      <w:lvlJc w:val="left"/>
      <w:pPr>
        <w:tabs>
          <w:tab w:val="num" w:pos="3674"/>
        </w:tabs>
        <w:ind w:left="3674" w:hanging="360"/>
      </w:pPr>
      <w:rPr>
        <w:rFonts w:hint="default"/>
      </w:rPr>
    </w:lvl>
    <w:lvl w:ilvl="8">
      <w:start w:val="1"/>
      <w:numFmt w:val="lowerRoman"/>
      <w:lvlText w:val="%9."/>
      <w:lvlJc w:val="left"/>
      <w:pPr>
        <w:tabs>
          <w:tab w:val="num" w:pos="4034"/>
        </w:tabs>
        <w:ind w:left="4034" w:hanging="360"/>
      </w:pPr>
      <w:rPr>
        <w:rFonts w:hint="default"/>
      </w:rPr>
    </w:lvl>
  </w:abstractNum>
  <w:abstractNum w:abstractNumId="20">
    <w:nsid w:val="51F74561"/>
    <w:multiLevelType w:val="singleLevel"/>
    <w:tmpl w:val="ED98921A"/>
    <w:lvl w:ilvl="0">
      <w:start w:val="1"/>
      <w:numFmt w:val="decimal"/>
      <w:lvlText w:val="%1."/>
      <w:legacy w:legacy="1" w:legacySpace="0" w:legacyIndent="340"/>
      <w:lvlJc w:val="left"/>
      <w:pPr>
        <w:ind w:left="340" w:hanging="340"/>
      </w:pPr>
    </w:lvl>
  </w:abstractNum>
  <w:abstractNum w:abstractNumId="21">
    <w:nsid w:val="54382D6E"/>
    <w:multiLevelType w:val="singleLevel"/>
    <w:tmpl w:val="315ABD1E"/>
    <w:lvl w:ilvl="0">
      <w:numFmt w:val="bullet"/>
      <w:pStyle w:val="ListBullet"/>
      <w:lvlText w:val=""/>
      <w:lvlJc w:val="left"/>
      <w:pPr>
        <w:tabs>
          <w:tab w:val="num" w:pos="340"/>
        </w:tabs>
        <w:ind w:left="340" w:hanging="340"/>
      </w:pPr>
      <w:rPr>
        <w:rFonts w:ascii="Symbol" w:hAnsi="Symbol" w:hint="default"/>
        <w:sz w:val="18"/>
      </w:rPr>
    </w:lvl>
  </w:abstractNum>
  <w:abstractNum w:abstractNumId="22">
    <w:nsid w:val="543E1FD6"/>
    <w:multiLevelType w:val="singleLevel"/>
    <w:tmpl w:val="039AA380"/>
    <w:lvl w:ilvl="0">
      <w:start w:val="1"/>
      <w:numFmt w:val="bullet"/>
      <w:pStyle w:val="TableBullet"/>
      <w:lvlText w:val=""/>
      <w:lvlJc w:val="left"/>
      <w:pPr>
        <w:tabs>
          <w:tab w:val="num" w:pos="170"/>
        </w:tabs>
        <w:ind w:left="170" w:hanging="170"/>
      </w:pPr>
      <w:rPr>
        <w:rFonts w:ascii="Symbol" w:hAnsi="Symbol" w:hint="default"/>
        <w:b w:val="0"/>
        <w:i w:val="0"/>
        <w:sz w:val="18"/>
      </w:rPr>
    </w:lvl>
  </w:abstractNum>
  <w:abstractNum w:abstractNumId="23">
    <w:nsid w:val="55532592"/>
    <w:multiLevelType w:val="singleLevel"/>
    <w:tmpl w:val="AD60D3B8"/>
    <w:lvl w:ilvl="0">
      <w:start w:val="1"/>
      <w:numFmt w:val="lowerLetter"/>
      <w:lvlText w:val="(%1)"/>
      <w:legacy w:legacy="1" w:legacySpace="0" w:legacyIndent="340"/>
      <w:lvlJc w:val="left"/>
      <w:pPr>
        <w:ind w:left="680" w:hanging="340"/>
      </w:pPr>
    </w:lvl>
  </w:abstractNum>
  <w:abstractNum w:abstractNumId="24">
    <w:nsid w:val="56107838"/>
    <w:multiLevelType w:val="singleLevel"/>
    <w:tmpl w:val="775A3F3A"/>
    <w:lvl w:ilvl="0">
      <w:start w:val="1"/>
      <w:numFmt w:val="bullet"/>
      <w:pStyle w:val="QuoteBullet"/>
      <w:lvlText w:val=""/>
      <w:lvlJc w:val="left"/>
      <w:pPr>
        <w:tabs>
          <w:tab w:val="num" w:pos="680"/>
        </w:tabs>
        <w:ind w:left="680" w:hanging="340"/>
      </w:pPr>
      <w:rPr>
        <w:rFonts w:ascii="Symbol" w:hAnsi="Symbol" w:hint="default"/>
        <w:sz w:val="18"/>
      </w:rPr>
    </w:lvl>
  </w:abstractNum>
  <w:abstractNum w:abstractNumId="25">
    <w:nsid w:val="58A04AF2"/>
    <w:multiLevelType w:val="singleLevel"/>
    <w:tmpl w:val="E9806908"/>
    <w:lvl w:ilvl="0">
      <w:start w:val="1"/>
      <w:numFmt w:val="lowerRoman"/>
      <w:lvlText w:val="(%1)"/>
      <w:legacy w:legacy="1" w:legacySpace="0" w:legacyIndent="340"/>
      <w:lvlJc w:val="left"/>
      <w:pPr>
        <w:ind w:left="1134" w:hanging="340"/>
      </w:pPr>
    </w:lvl>
  </w:abstractNum>
  <w:abstractNum w:abstractNumId="26">
    <w:nsid w:val="5A096576"/>
    <w:multiLevelType w:val="singleLevel"/>
    <w:tmpl w:val="ED98921A"/>
    <w:lvl w:ilvl="0">
      <w:start w:val="1"/>
      <w:numFmt w:val="decimal"/>
      <w:lvlText w:val="%1."/>
      <w:legacy w:legacy="1" w:legacySpace="0" w:legacyIndent="340"/>
      <w:lvlJc w:val="left"/>
      <w:pPr>
        <w:ind w:left="340" w:hanging="340"/>
      </w:pPr>
    </w:lvl>
  </w:abstractNum>
  <w:abstractNum w:abstractNumId="27">
    <w:nsid w:val="5BB56A48"/>
    <w:multiLevelType w:val="multilevel"/>
    <w:tmpl w:val="6D248CEA"/>
    <w:lvl w:ilvl="0">
      <w:start w:val="1"/>
      <w:numFmt w:val="decimal"/>
      <w:lvlText w:val="%1)"/>
      <w:lvlJc w:val="left"/>
      <w:pPr>
        <w:tabs>
          <w:tab w:val="num" w:pos="340"/>
        </w:tabs>
        <w:ind w:left="340" w:hanging="340"/>
      </w:pPr>
      <w:rPr>
        <w:rFonts w:hint="default"/>
      </w:rPr>
    </w:lvl>
    <w:lvl w:ilvl="1">
      <w:start w:val="1"/>
      <w:numFmt w:val="lowerLetter"/>
      <w:lvlText w:val="%2)"/>
      <w:lvlJc w:val="left"/>
      <w:pPr>
        <w:tabs>
          <w:tab w:val="num" w:pos="794"/>
        </w:tabs>
        <w:ind w:left="794" w:hanging="454"/>
      </w:pPr>
      <w:rPr>
        <w:rFonts w:hint="default"/>
      </w:rPr>
    </w:lvl>
    <w:lvl w:ilvl="2">
      <w:start w:val="1"/>
      <w:numFmt w:val="lowerRoman"/>
      <w:lvlText w:val="%3)"/>
      <w:lvlJc w:val="left"/>
      <w:pPr>
        <w:tabs>
          <w:tab w:val="num" w:pos="1304"/>
        </w:tabs>
        <w:ind w:left="1304" w:hanging="51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8">
    <w:nsid w:val="60055F7F"/>
    <w:multiLevelType w:val="singleLevel"/>
    <w:tmpl w:val="ED98921A"/>
    <w:lvl w:ilvl="0">
      <w:start w:val="1"/>
      <w:numFmt w:val="decimal"/>
      <w:lvlText w:val="%1."/>
      <w:legacy w:legacy="1" w:legacySpace="0" w:legacyIndent="340"/>
      <w:lvlJc w:val="left"/>
      <w:pPr>
        <w:ind w:left="340" w:hanging="340"/>
      </w:pPr>
    </w:lvl>
  </w:abstractNum>
  <w:abstractNum w:abstractNumId="29">
    <w:nsid w:val="608E741E"/>
    <w:multiLevelType w:val="singleLevel"/>
    <w:tmpl w:val="ED98921A"/>
    <w:lvl w:ilvl="0">
      <w:start w:val="1"/>
      <w:numFmt w:val="decimal"/>
      <w:lvlText w:val="%1."/>
      <w:legacy w:legacy="1" w:legacySpace="0" w:legacyIndent="340"/>
      <w:lvlJc w:val="left"/>
      <w:pPr>
        <w:ind w:left="340" w:hanging="340"/>
      </w:pPr>
    </w:lvl>
  </w:abstractNum>
  <w:abstractNum w:abstractNumId="30">
    <w:nsid w:val="61320C1E"/>
    <w:multiLevelType w:val="singleLevel"/>
    <w:tmpl w:val="C444122C"/>
    <w:lvl w:ilvl="0">
      <w:start w:val="1"/>
      <w:numFmt w:val="decimal"/>
      <w:lvlText w:val="%1."/>
      <w:legacy w:legacy="1" w:legacySpace="0" w:legacyIndent="284"/>
      <w:lvlJc w:val="left"/>
      <w:pPr>
        <w:ind w:left="284" w:hanging="284"/>
      </w:pPr>
    </w:lvl>
  </w:abstractNum>
  <w:abstractNum w:abstractNumId="31">
    <w:nsid w:val="627154D2"/>
    <w:multiLevelType w:val="singleLevel"/>
    <w:tmpl w:val="AD60D3B8"/>
    <w:lvl w:ilvl="0">
      <w:start w:val="1"/>
      <w:numFmt w:val="lowerLetter"/>
      <w:lvlText w:val="(%1)"/>
      <w:legacy w:legacy="1" w:legacySpace="0" w:legacyIndent="340"/>
      <w:lvlJc w:val="left"/>
      <w:pPr>
        <w:ind w:left="680" w:hanging="340"/>
      </w:pPr>
    </w:lvl>
  </w:abstractNum>
  <w:abstractNum w:abstractNumId="32">
    <w:nsid w:val="643516F3"/>
    <w:multiLevelType w:val="singleLevel"/>
    <w:tmpl w:val="96689D62"/>
    <w:lvl w:ilvl="0">
      <w:start w:val="1"/>
      <w:numFmt w:val="bullet"/>
      <w:pStyle w:val="ListBullet3"/>
      <w:lvlText w:val=""/>
      <w:lvlJc w:val="left"/>
      <w:pPr>
        <w:tabs>
          <w:tab w:val="num" w:pos="1021"/>
        </w:tabs>
        <w:ind w:left="1021" w:hanging="341"/>
      </w:pPr>
      <w:rPr>
        <w:rFonts w:ascii="MT Extra" w:hAnsi="MT Extra" w:hint="default"/>
        <w:b w:val="0"/>
        <w:i w:val="0"/>
        <w:sz w:val="16"/>
      </w:rPr>
    </w:lvl>
  </w:abstractNum>
  <w:abstractNum w:abstractNumId="33">
    <w:nsid w:val="67806EB5"/>
    <w:multiLevelType w:val="singleLevel"/>
    <w:tmpl w:val="AD60D3B8"/>
    <w:lvl w:ilvl="0">
      <w:start w:val="1"/>
      <w:numFmt w:val="lowerLetter"/>
      <w:lvlText w:val="(%1)"/>
      <w:legacy w:legacy="1" w:legacySpace="0" w:legacyIndent="340"/>
      <w:lvlJc w:val="left"/>
      <w:pPr>
        <w:ind w:left="680" w:hanging="340"/>
      </w:pPr>
    </w:lvl>
  </w:abstractNum>
  <w:abstractNum w:abstractNumId="34">
    <w:nsid w:val="707E6FEC"/>
    <w:multiLevelType w:val="singleLevel"/>
    <w:tmpl w:val="E9806908"/>
    <w:lvl w:ilvl="0">
      <w:start w:val="1"/>
      <w:numFmt w:val="lowerRoman"/>
      <w:lvlText w:val="(%1)"/>
      <w:legacy w:legacy="1" w:legacySpace="0" w:legacyIndent="340"/>
      <w:lvlJc w:val="left"/>
      <w:pPr>
        <w:ind w:left="1134" w:hanging="340"/>
      </w:pPr>
    </w:lvl>
  </w:abstractNum>
  <w:abstractNum w:abstractNumId="35">
    <w:nsid w:val="746E6DCF"/>
    <w:multiLevelType w:val="multilevel"/>
    <w:tmpl w:val="8E3050E6"/>
    <w:lvl w:ilvl="0">
      <w:start w:val="1"/>
      <w:numFmt w:val="decimal"/>
      <w:lvlText w:val="%1)"/>
      <w:lvlJc w:val="left"/>
      <w:pPr>
        <w:tabs>
          <w:tab w:val="num" w:pos="340"/>
        </w:tabs>
        <w:ind w:left="340" w:hanging="340"/>
      </w:pPr>
      <w:rPr>
        <w:rFonts w:hint="default"/>
      </w:rPr>
    </w:lvl>
    <w:lvl w:ilvl="1">
      <w:start w:val="1"/>
      <w:numFmt w:val="lowerLetter"/>
      <w:lvlText w:val="%2)"/>
      <w:lvlJc w:val="left"/>
      <w:pPr>
        <w:tabs>
          <w:tab w:val="num" w:pos="794"/>
        </w:tabs>
        <w:ind w:left="794" w:hanging="454"/>
      </w:pPr>
      <w:rPr>
        <w:rFonts w:hint="default"/>
      </w:rPr>
    </w:lvl>
    <w:lvl w:ilvl="2">
      <w:start w:val="1"/>
      <w:numFmt w:val="lowerRoman"/>
      <w:lvlText w:val="%3)"/>
      <w:lvlJc w:val="left"/>
      <w:pPr>
        <w:tabs>
          <w:tab w:val="num" w:pos="1304"/>
        </w:tabs>
        <w:ind w:left="1304" w:hanging="51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6">
    <w:nsid w:val="74E25280"/>
    <w:multiLevelType w:val="singleLevel"/>
    <w:tmpl w:val="AD60D3B8"/>
    <w:lvl w:ilvl="0">
      <w:start w:val="1"/>
      <w:numFmt w:val="lowerLetter"/>
      <w:lvlText w:val="(%1)"/>
      <w:legacy w:legacy="1" w:legacySpace="0" w:legacyIndent="340"/>
      <w:lvlJc w:val="left"/>
      <w:pPr>
        <w:ind w:left="680" w:hanging="340"/>
      </w:pPr>
    </w:lvl>
  </w:abstractNum>
  <w:abstractNum w:abstractNumId="37">
    <w:nsid w:val="7A1373DF"/>
    <w:multiLevelType w:val="singleLevel"/>
    <w:tmpl w:val="66CC34AA"/>
    <w:lvl w:ilvl="0">
      <w:start w:val="1"/>
      <w:numFmt w:val="bullet"/>
      <w:pStyle w:val="FindingBullet"/>
      <w:lvlText w:val=""/>
      <w:lvlJc w:val="left"/>
      <w:pPr>
        <w:tabs>
          <w:tab w:val="num" w:pos="340"/>
        </w:tabs>
        <w:ind w:left="340" w:hanging="340"/>
      </w:pPr>
      <w:rPr>
        <w:rFonts w:ascii="Symbol" w:hAnsi="Symbol" w:hint="default"/>
        <w:b w:val="0"/>
        <w:i w:val="0"/>
        <w:sz w:val="18"/>
      </w:rPr>
    </w:lvl>
  </w:abstractNum>
  <w:abstractNum w:abstractNumId="38">
    <w:nsid w:val="7BFA7D75"/>
    <w:multiLevelType w:val="singleLevel"/>
    <w:tmpl w:val="B4C476FC"/>
    <w:lvl w:ilvl="0">
      <w:start w:val="1"/>
      <w:numFmt w:val="bullet"/>
      <w:pStyle w:val="RecBullet"/>
      <w:lvlText w:val=""/>
      <w:lvlJc w:val="left"/>
      <w:pPr>
        <w:tabs>
          <w:tab w:val="num" w:pos="340"/>
        </w:tabs>
        <w:ind w:left="340" w:hanging="340"/>
      </w:pPr>
      <w:rPr>
        <w:rFonts w:ascii="Symbol" w:hAnsi="Symbol" w:hint="default"/>
        <w:b w:val="0"/>
        <w:i w:val="0"/>
        <w:sz w:val="18"/>
      </w:rPr>
    </w:lvl>
  </w:abstractNum>
  <w:abstractNum w:abstractNumId="39">
    <w:nsid w:val="7F5B19CF"/>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18"/>
  </w:num>
  <w:num w:numId="2">
    <w:abstractNumId w:val="9"/>
  </w:num>
  <w:num w:numId="3">
    <w:abstractNumId w:val="37"/>
  </w:num>
  <w:num w:numId="4">
    <w:abstractNumId w:val="6"/>
  </w:num>
  <w:num w:numId="5">
    <w:abstractNumId w:val="5"/>
  </w:num>
  <w:num w:numId="6">
    <w:abstractNumId w:val="21"/>
  </w:num>
  <w:num w:numId="7">
    <w:abstractNumId w:val="3"/>
  </w:num>
  <w:num w:numId="8">
    <w:abstractNumId w:val="8"/>
  </w:num>
  <w:num w:numId="9">
    <w:abstractNumId w:val="2"/>
  </w:num>
  <w:num w:numId="10">
    <w:abstractNumId w:val="32"/>
  </w:num>
  <w:num w:numId="11">
    <w:abstractNumId w:val="4"/>
  </w:num>
  <w:num w:numId="12">
    <w:abstractNumId w:val="1"/>
  </w:num>
  <w:num w:numId="13">
    <w:abstractNumId w:val="0"/>
  </w:num>
  <w:num w:numId="14">
    <w:abstractNumId w:val="24"/>
  </w:num>
  <w:num w:numId="15">
    <w:abstractNumId w:val="38"/>
  </w:num>
  <w:num w:numId="16">
    <w:abstractNumId w:val="16"/>
  </w:num>
  <w:num w:numId="17">
    <w:abstractNumId w:val="14"/>
  </w:num>
  <w:num w:numId="18">
    <w:abstractNumId w:val="22"/>
  </w:num>
  <w:num w:numId="19">
    <w:abstractNumId w:val="10"/>
  </w:num>
  <w:num w:numId="20">
    <w:abstractNumId w:val="29"/>
  </w:num>
  <w:num w:numId="21">
    <w:abstractNumId w:val="31"/>
  </w:num>
  <w:num w:numId="22">
    <w:abstractNumId w:val="20"/>
  </w:num>
  <w:num w:numId="23">
    <w:abstractNumId w:val="23"/>
  </w:num>
  <w:num w:numId="24">
    <w:abstractNumId w:val="25"/>
  </w:num>
  <w:num w:numId="25">
    <w:abstractNumId w:val="36"/>
  </w:num>
  <w:num w:numId="26">
    <w:abstractNumId w:val="28"/>
  </w:num>
  <w:num w:numId="27">
    <w:abstractNumId w:val="33"/>
  </w:num>
  <w:num w:numId="28">
    <w:abstractNumId w:val="34"/>
  </w:num>
  <w:num w:numId="29">
    <w:abstractNumId w:val="26"/>
  </w:num>
  <w:num w:numId="30">
    <w:abstractNumId w:val="19"/>
  </w:num>
  <w:num w:numId="31">
    <w:abstractNumId w:val="39"/>
  </w:num>
  <w:num w:numId="32">
    <w:abstractNumId w:val="13"/>
  </w:num>
  <w:num w:numId="33">
    <w:abstractNumId w:val="7"/>
  </w:num>
  <w:num w:numId="34">
    <w:abstractNumId w:val="17"/>
  </w:num>
  <w:num w:numId="35">
    <w:abstractNumId w:val="35"/>
  </w:num>
  <w:num w:numId="36">
    <w:abstractNumId w:val="27"/>
  </w:num>
  <w:num w:numId="37">
    <w:abstractNumId w:val="11"/>
  </w:num>
  <w:num w:numId="38">
    <w:abstractNumId w:val="30"/>
  </w:num>
  <w:num w:numId="39">
    <w:abstractNumId w:val="12"/>
  </w:num>
  <w:num w:numId="40">
    <w:abstractNumId w:val="16"/>
  </w:num>
  <w:num w:numId="41">
    <w:abstractNumId w:val="15"/>
  </w:num>
  <w:num w:numId="42">
    <w:abstractNumId w:val="21"/>
  </w:num>
  <w:num w:numId="43">
    <w:abstractNumId w:val="21"/>
  </w:num>
  <w:num w:numId="44">
    <w:abstractNumId w:val="21"/>
  </w:num>
  <w:num w:numId="45">
    <w:abstractNumId w:val="21"/>
  </w:num>
  <w:num w:numId="46">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clickAndTypeStyle w:val="BodyText"/>
  <w:evenAndOddHeaders/>
  <w:characterSpacingControl w:val="doNotCompress"/>
  <w:hdrShapeDefaults>
    <o:shapedefaults v:ext="edit" spidmax="51201"/>
  </w:hdrShapeDefaults>
  <w:footnotePr>
    <w:footnote w:id="-1"/>
    <w:footnote w:id="0"/>
    <w:footnote w:id="1"/>
  </w:footnotePr>
  <w:endnotePr>
    <w:endnote w:id="-1"/>
    <w:endnote w:id="0"/>
    <w:endnote w:id="1"/>
  </w:endnotePr>
  <w:compat>
    <w:swapBordersFacingPages/>
    <w:doNotUseHTMLParagraphAutoSpacing/>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4"/>
  </w:compat>
  <w:docVars>
    <w:docVar w:name="FindingOptions" w:val="1"/>
    <w:docVar w:name="RecOptions" w:val="111"/>
    <w:docVar w:name="ShortChapterTitle" w:val="Results and discussion"/>
    <w:docVar w:name="ShortReportTitle" w:val="determinants of indigenous labour market outcomes"/>
  </w:docVars>
  <w:rsids>
    <w:rsidRoot w:val="002917B1"/>
    <w:rsid w:val="00000ECC"/>
    <w:rsid w:val="000021B1"/>
    <w:rsid w:val="00002D6C"/>
    <w:rsid w:val="00015AB2"/>
    <w:rsid w:val="000178DC"/>
    <w:rsid w:val="00026692"/>
    <w:rsid w:val="0002694B"/>
    <w:rsid w:val="0003664B"/>
    <w:rsid w:val="00036F84"/>
    <w:rsid w:val="0004111F"/>
    <w:rsid w:val="000437EE"/>
    <w:rsid w:val="000463B1"/>
    <w:rsid w:val="000564C5"/>
    <w:rsid w:val="0005694B"/>
    <w:rsid w:val="00062EFA"/>
    <w:rsid w:val="00063A7A"/>
    <w:rsid w:val="0007150B"/>
    <w:rsid w:val="00083989"/>
    <w:rsid w:val="00086694"/>
    <w:rsid w:val="00087755"/>
    <w:rsid w:val="0009072B"/>
    <w:rsid w:val="00090B6F"/>
    <w:rsid w:val="000928AF"/>
    <w:rsid w:val="000938F5"/>
    <w:rsid w:val="00096388"/>
    <w:rsid w:val="00097D96"/>
    <w:rsid w:val="000A01F9"/>
    <w:rsid w:val="000A2A19"/>
    <w:rsid w:val="000A3892"/>
    <w:rsid w:val="000A612A"/>
    <w:rsid w:val="000A7FD5"/>
    <w:rsid w:val="000B1A66"/>
    <w:rsid w:val="000B4560"/>
    <w:rsid w:val="000B601B"/>
    <w:rsid w:val="000B63C4"/>
    <w:rsid w:val="000C207E"/>
    <w:rsid w:val="000C6D62"/>
    <w:rsid w:val="000D06DF"/>
    <w:rsid w:val="000E599C"/>
    <w:rsid w:val="000F1556"/>
    <w:rsid w:val="000F1617"/>
    <w:rsid w:val="000F7A75"/>
    <w:rsid w:val="00106445"/>
    <w:rsid w:val="00110116"/>
    <w:rsid w:val="001158BC"/>
    <w:rsid w:val="0011705C"/>
    <w:rsid w:val="00126EB8"/>
    <w:rsid w:val="001363AA"/>
    <w:rsid w:val="00142BF8"/>
    <w:rsid w:val="00155A5A"/>
    <w:rsid w:val="0015602D"/>
    <w:rsid w:val="0016605C"/>
    <w:rsid w:val="00176EB8"/>
    <w:rsid w:val="0018328B"/>
    <w:rsid w:val="00184B53"/>
    <w:rsid w:val="00186F9F"/>
    <w:rsid w:val="0019293B"/>
    <w:rsid w:val="00192B6F"/>
    <w:rsid w:val="001943B7"/>
    <w:rsid w:val="00195CC1"/>
    <w:rsid w:val="001A0F48"/>
    <w:rsid w:val="001B40CC"/>
    <w:rsid w:val="001C0116"/>
    <w:rsid w:val="001C0865"/>
    <w:rsid w:val="001C1FA7"/>
    <w:rsid w:val="001C3ABA"/>
    <w:rsid w:val="001C6972"/>
    <w:rsid w:val="001C6AE4"/>
    <w:rsid w:val="001D2ED2"/>
    <w:rsid w:val="001D5564"/>
    <w:rsid w:val="001E02B9"/>
    <w:rsid w:val="001E7BE8"/>
    <w:rsid w:val="001F0248"/>
    <w:rsid w:val="001F79B3"/>
    <w:rsid w:val="001F7F6B"/>
    <w:rsid w:val="00202C2C"/>
    <w:rsid w:val="00206C0B"/>
    <w:rsid w:val="002079B7"/>
    <w:rsid w:val="002144E5"/>
    <w:rsid w:val="00215474"/>
    <w:rsid w:val="002163E2"/>
    <w:rsid w:val="0022035A"/>
    <w:rsid w:val="00222DF8"/>
    <w:rsid w:val="00234E11"/>
    <w:rsid w:val="002416C8"/>
    <w:rsid w:val="00242279"/>
    <w:rsid w:val="002430D3"/>
    <w:rsid w:val="002434AE"/>
    <w:rsid w:val="00243FC4"/>
    <w:rsid w:val="00255BCF"/>
    <w:rsid w:val="002566DB"/>
    <w:rsid w:val="002641AA"/>
    <w:rsid w:val="00266437"/>
    <w:rsid w:val="0027142E"/>
    <w:rsid w:val="002917B1"/>
    <w:rsid w:val="00291B40"/>
    <w:rsid w:val="002A287B"/>
    <w:rsid w:val="002A3C36"/>
    <w:rsid w:val="002B1BBF"/>
    <w:rsid w:val="002B1C8A"/>
    <w:rsid w:val="002B4008"/>
    <w:rsid w:val="002C11AB"/>
    <w:rsid w:val="002D0E8E"/>
    <w:rsid w:val="002D538B"/>
    <w:rsid w:val="002F025B"/>
    <w:rsid w:val="00301189"/>
    <w:rsid w:val="00305C01"/>
    <w:rsid w:val="00311B24"/>
    <w:rsid w:val="0031406D"/>
    <w:rsid w:val="003153D7"/>
    <w:rsid w:val="00317AFA"/>
    <w:rsid w:val="00320B1D"/>
    <w:rsid w:val="00323E09"/>
    <w:rsid w:val="00325D49"/>
    <w:rsid w:val="00332790"/>
    <w:rsid w:val="00333932"/>
    <w:rsid w:val="003361EA"/>
    <w:rsid w:val="003417AD"/>
    <w:rsid w:val="00347CB7"/>
    <w:rsid w:val="0035090A"/>
    <w:rsid w:val="003518AA"/>
    <w:rsid w:val="00353182"/>
    <w:rsid w:val="00353C1C"/>
    <w:rsid w:val="00357B94"/>
    <w:rsid w:val="003602E1"/>
    <w:rsid w:val="0036622D"/>
    <w:rsid w:val="00371240"/>
    <w:rsid w:val="00374731"/>
    <w:rsid w:val="0039065A"/>
    <w:rsid w:val="003927D6"/>
    <w:rsid w:val="003A2BD0"/>
    <w:rsid w:val="003B23C7"/>
    <w:rsid w:val="003B3669"/>
    <w:rsid w:val="003C38B5"/>
    <w:rsid w:val="003C5D99"/>
    <w:rsid w:val="003D17F3"/>
    <w:rsid w:val="003D1CC1"/>
    <w:rsid w:val="003D24BC"/>
    <w:rsid w:val="003D4378"/>
    <w:rsid w:val="003D4FC3"/>
    <w:rsid w:val="003F0789"/>
    <w:rsid w:val="003F471B"/>
    <w:rsid w:val="00401882"/>
    <w:rsid w:val="00402FB8"/>
    <w:rsid w:val="004100C8"/>
    <w:rsid w:val="00412ACE"/>
    <w:rsid w:val="00431249"/>
    <w:rsid w:val="00433667"/>
    <w:rsid w:val="00434C19"/>
    <w:rsid w:val="004379C2"/>
    <w:rsid w:val="00441402"/>
    <w:rsid w:val="00442D1F"/>
    <w:rsid w:val="00447850"/>
    <w:rsid w:val="00450810"/>
    <w:rsid w:val="00455438"/>
    <w:rsid w:val="0046008B"/>
    <w:rsid w:val="00462B41"/>
    <w:rsid w:val="00462FAD"/>
    <w:rsid w:val="00466C94"/>
    <w:rsid w:val="00475F01"/>
    <w:rsid w:val="00477144"/>
    <w:rsid w:val="00482D77"/>
    <w:rsid w:val="00487919"/>
    <w:rsid w:val="0049459F"/>
    <w:rsid w:val="004977A6"/>
    <w:rsid w:val="004A0668"/>
    <w:rsid w:val="004A1FE5"/>
    <w:rsid w:val="004A4CEE"/>
    <w:rsid w:val="004B0473"/>
    <w:rsid w:val="004B43AE"/>
    <w:rsid w:val="004C30ED"/>
    <w:rsid w:val="004C4331"/>
    <w:rsid w:val="004D47BF"/>
    <w:rsid w:val="004E0000"/>
    <w:rsid w:val="004E058D"/>
    <w:rsid w:val="004E6AA1"/>
    <w:rsid w:val="004F072E"/>
    <w:rsid w:val="004F3CA5"/>
    <w:rsid w:val="00503383"/>
    <w:rsid w:val="005067D0"/>
    <w:rsid w:val="00507836"/>
    <w:rsid w:val="00523639"/>
    <w:rsid w:val="00524572"/>
    <w:rsid w:val="0053033B"/>
    <w:rsid w:val="0054624B"/>
    <w:rsid w:val="00552A74"/>
    <w:rsid w:val="00572082"/>
    <w:rsid w:val="00583C39"/>
    <w:rsid w:val="00586FBA"/>
    <w:rsid w:val="00587C54"/>
    <w:rsid w:val="005909CF"/>
    <w:rsid w:val="00591E71"/>
    <w:rsid w:val="005A0A7A"/>
    <w:rsid w:val="005B4DC9"/>
    <w:rsid w:val="005C1BC4"/>
    <w:rsid w:val="005D7A08"/>
    <w:rsid w:val="005E424C"/>
    <w:rsid w:val="005E6127"/>
    <w:rsid w:val="005F1EFC"/>
    <w:rsid w:val="005F3ABC"/>
    <w:rsid w:val="005F7C69"/>
    <w:rsid w:val="006050F6"/>
    <w:rsid w:val="00607BF1"/>
    <w:rsid w:val="006109A8"/>
    <w:rsid w:val="00614925"/>
    <w:rsid w:val="00624312"/>
    <w:rsid w:val="0062496B"/>
    <w:rsid w:val="00630A23"/>
    <w:rsid w:val="00630D4D"/>
    <w:rsid w:val="00632A74"/>
    <w:rsid w:val="00637CB5"/>
    <w:rsid w:val="00642D56"/>
    <w:rsid w:val="006431AC"/>
    <w:rsid w:val="00643575"/>
    <w:rsid w:val="006530A5"/>
    <w:rsid w:val="006530BB"/>
    <w:rsid w:val="00662C0E"/>
    <w:rsid w:val="00665F5C"/>
    <w:rsid w:val="00675A5F"/>
    <w:rsid w:val="00675B07"/>
    <w:rsid w:val="00680A86"/>
    <w:rsid w:val="00684B9F"/>
    <w:rsid w:val="0068587D"/>
    <w:rsid w:val="006913C3"/>
    <w:rsid w:val="006A18B5"/>
    <w:rsid w:val="006A4655"/>
    <w:rsid w:val="006B5D6F"/>
    <w:rsid w:val="006B655E"/>
    <w:rsid w:val="006B73DA"/>
    <w:rsid w:val="006C44F9"/>
    <w:rsid w:val="006C6F79"/>
    <w:rsid w:val="006C7038"/>
    <w:rsid w:val="006D0C0B"/>
    <w:rsid w:val="006E0C0C"/>
    <w:rsid w:val="006E66F2"/>
    <w:rsid w:val="006E73EF"/>
    <w:rsid w:val="007001E1"/>
    <w:rsid w:val="00700597"/>
    <w:rsid w:val="007268A2"/>
    <w:rsid w:val="00727BE6"/>
    <w:rsid w:val="00730C58"/>
    <w:rsid w:val="007313B0"/>
    <w:rsid w:val="007376DF"/>
    <w:rsid w:val="0074573E"/>
    <w:rsid w:val="007559E3"/>
    <w:rsid w:val="007604BB"/>
    <w:rsid w:val="0076078F"/>
    <w:rsid w:val="00764CDD"/>
    <w:rsid w:val="007659CA"/>
    <w:rsid w:val="00766EE9"/>
    <w:rsid w:val="00775C10"/>
    <w:rsid w:val="0078255A"/>
    <w:rsid w:val="00793487"/>
    <w:rsid w:val="00793CD4"/>
    <w:rsid w:val="00793E2B"/>
    <w:rsid w:val="00797F09"/>
    <w:rsid w:val="007A1233"/>
    <w:rsid w:val="007A21EB"/>
    <w:rsid w:val="007A33CC"/>
    <w:rsid w:val="007A3F2C"/>
    <w:rsid w:val="007A5078"/>
    <w:rsid w:val="007B076E"/>
    <w:rsid w:val="007B50F5"/>
    <w:rsid w:val="007C36C9"/>
    <w:rsid w:val="007C5A04"/>
    <w:rsid w:val="007D044C"/>
    <w:rsid w:val="007D5AE8"/>
    <w:rsid w:val="007E01E4"/>
    <w:rsid w:val="007F06E7"/>
    <w:rsid w:val="007F7107"/>
    <w:rsid w:val="007F76E3"/>
    <w:rsid w:val="0081030F"/>
    <w:rsid w:val="0081484D"/>
    <w:rsid w:val="00820356"/>
    <w:rsid w:val="0082087D"/>
    <w:rsid w:val="00827406"/>
    <w:rsid w:val="008319C8"/>
    <w:rsid w:val="00833C48"/>
    <w:rsid w:val="008367A7"/>
    <w:rsid w:val="0084468B"/>
    <w:rsid w:val="008528CE"/>
    <w:rsid w:val="00855C3A"/>
    <w:rsid w:val="0085726B"/>
    <w:rsid w:val="0086082C"/>
    <w:rsid w:val="00864A3E"/>
    <w:rsid w:val="00864ADC"/>
    <w:rsid w:val="00867581"/>
    <w:rsid w:val="008715DD"/>
    <w:rsid w:val="008724DF"/>
    <w:rsid w:val="00880153"/>
    <w:rsid w:val="00880F97"/>
    <w:rsid w:val="0088133A"/>
    <w:rsid w:val="008878AB"/>
    <w:rsid w:val="0089240F"/>
    <w:rsid w:val="00892514"/>
    <w:rsid w:val="0089285E"/>
    <w:rsid w:val="0089436C"/>
    <w:rsid w:val="008A0E58"/>
    <w:rsid w:val="008B07AD"/>
    <w:rsid w:val="008B468C"/>
    <w:rsid w:val="008B6D3B"/>
    <w:rsid w:val="008C0878"/>
    <w:rsid w:val="008C1E94"/>
    <w:rsid w:val="008D4631"/>
    <w:rsid w:val="008D5090"/>
    <w:rsid w:val="008E17FA"/>
    <w:rsid w:val="008E273D"/>
    <w:rsid w:val="008E30DE"/>
    <w:rsid w:val="008E58A6"/>
    <w:rsid w:val="008F7FB6"/>
    <w:rsid w:val="009030BF"/>
    <w:rsid w:val="0090714B"/>
    <w:rsid w:val="00914368"/>
    <w:rsid w:val="00931076"/>
    <w:rsid w:val="009345D9"/>
    <w:rsid w:val="00934600"/>
    <w:rsid w:val="00934B15"/>
    <w:rsid w:val="00941FF6"/>
    <w:rsid w:val="00942B62"/>
    <w:rsid w:val="009508A3"/>
    <w:rsid w:val="009545D3"/>
    <w:rsid w:val="00954665"/>
    <w:rsid w:val="00955AB2"/>
    <w:rsid w:val="0095673A"/>
    <w:rsid w:val="00956A0C"/>
    <w:rsid w:val="00956BD9"/>
    <w:rsid w:val="00962489"/>
    <w:rsid w:val="009664C3"/>
    <w:rsid w:val="00967800"/>
    <w:rsid w:val="00973891"/>
    <w:rsid w:val="00993F74"/>
    <w:rsid w:val="009A7CB3"/>
    <w:rsid w:val="009B32C3"/>
    <w:rsid w:val="009B5F16"/>
    <w:rsid w:val="009B70A0"/>
    <w:rsid w:val="009C05A0"/>
    <w:rsid w:val="009C0876"/>
    <w:rsid w:val="009C2DCE"/>
    <w:rsid w:val="009D1A3F"/>
    <w:rsid w:val="009D6F1D"/>
    <w:rsid w:val="009E18C9"/>
    <w:rsid w:val="009E3287"/>
    <w:rsid w:val="009E608C"/>
    <w:rsid w:val="009F558E"/>
    <w:rsid w:val="009F696D"/>
    <w:rsid w:val="009F6BC6"/>
    <w:rsid w:val="00A01CE1"/>
    <w:rsid w:val="00A040DA"/>
    <w:rsid w:val="00A17328"/>
    <w:rsid w:val="00A20ED3"/>
    <w:rsid w:val="00A228E0"/>
    <w:rsid w:val="00A266AE"/>
    <w:rsid w:val="00A2703A"/>
    <w:rsid w:val="00A30053"/>
    <w:rsid w:val="00A30D2F"/>
    <w:rsid w:val="00A328A2"/>
    <w:rsid w:val="00A33DFF"/>
    <w:rsid w:val="00A34519"/>
    <w:rsid w:val="00A35115"/>
    <w:rsid w:val="00A35147"/>
    <w:rsid w:val="00A427C4"/>
    <w:rsid w:val="00A47FEF"/>
    <w:rsid w:val="00A554AB"/>
    <w:rsid w:val="00A7303E"/>
    <w:rsid w:val="00A753FE"/>
    <w:rsid w:val="00A80601"/>
    <w:rsid w:val="00A87422"/>
    <w:rsid w:val="00A9399F"/>
    <w:rsid w:val="00A94FA6"/>
    <w:rsid w:val="00A96732"/>
    <w:rsid w:val="00A97B5D"/>
    <w:rsid w:val="00AA081E"/>
    <w:rsid w:val="00AA6710"/>
    <w:rsid w:val="00AB0681"/>
    <w:rsid w:val="00AC1151"/>
    <w:rsid w:val="00AC1284"/>
    <w:rsid w:val="00AC6EFE"/>
    <w:rsid w:val="00AD1562"/>
    <w:rsid w:val="00AD2D3A"/>
    <w:rsid w:val="00AD31F9"/>
    <w:rsid w:val="00AD69AE"/>
    <w:rsid w:val="00AD6D4E"/>
    <w:rsid w:val="00AE3750"/>
    <w:rsid w:val="00AF40E2"/>
    <w:rsid w:val="00AF4293"/>
    <w:rsid w:val="00B027D4"/>
    <w:rsid w:val="00B10594"/>
    <w:rsid w:val="00B105D5"/>
    <w:rsid w:val="00B11316"/>
    <w:rsid w:val="00B11917"/>
    <w:rsid w:val="00B154B5"/>
    <w:rsid w:val="00B20CCD"/>
    <w:rsid w:val="00B22AB5"/>
    <w:rsid w:val="00B3058B"/>
    <w:rsid w:val="00B306B6"/>
    <w:rsid w:val="00B32D12"/>
    <w:rsid w:val="00B333D8"/>
    <w:rsid w:val="00B33C4A"/>
    <w:rsid w:val="00B346E8"/>
    <w:rsid w:val="00B35BE0"/>
    <w:rsid w:val="00B41A00"/>
    <w:rsid w:val="00B502FF"/>
    <w:rsid w:val="00B531C6"/>
    <w:rsid w:val="00B53E7E"/>
    <w:rsid w:val="00B56828"/>
    <w:rsid w:val="00B60061"/>
    <w:rsid w:val="00B6155C"/>
    <w:rsid w:val="00B6342E"/>
    <w:rsid w:val="00B70D67"/>
    <w:rsid w:val="00B7113F"/>
    <w:rsid w:val="00B80D80"/>
    <w:rsid w:val="00B822DB"/>
    <w:rsid w:val="00B8262A"/>
    <w:rsid w:val="00B855E6"/>
    <w:rsid w:val="00B86FBF"/>
    <w:rsid w:val="00B90394"/>
    <w:rsid w:val="00B94104"/>
    <w:rsid w:val="00B95264"/>
    <w:rsid w:val="00B95975"/>
    <w:rsid w:val="00BA1781"/>
    <w:rsid w:val="00BA3AF1"/>
    <w:rsid w:val="00BA73B6"/>
    <w:rsid w:val="00BB0088"/>
    <w:rsid w:val="00BB13DD"/>
    <w:rsid w:val="00BB4C39"/>
    <w:rsid w:val="00BB4FCD"/>
    <w:rsid w:val="00BB52DA"/>
    <w:rsid w:val="00BB5A63"/>
    <w:rsid w:val="00BC6D64"/>
    <w:rsid w:val="00BD12A6"/>
    <w:rsid w:val="00BD13EA"/>
    <w:rsid w:val="00BD289B"/>
    <w:rsid w:val="00BD55A5"/>
    <w:rsid w:val="00BE3192"/>
    <w:rsid w:val="00BE3808"/>
    <w:rsid w:val="00BE4C93"/>
    <w:rsid w:val="00BF4688"/>
    <w:rsid w:val="00BF74E6"/>
    <w:rsid w:val="00C062E9"/>
    <w:rsid w:val="00C077D9"/>
    <w:rsid w:val="00C10C89"/>
    <w:rsid w:val="00C13721"/>
    <w:rsid w:val="00C1458C"/>
    <w:rsid w:val="00C16BA6"/>
    <w:rsid w:val="00C20ACA"/>
    <w:rsid w:val="00C24290"/>
    <w:rsid w:val="00C253ED"/>
    <w:rsid w:val="00C342B3"/>
    <w:rsid w:val="00C37CA9"/>
    <w:rsid w:val="00C405D2"/>
    <w:rsid w:val="00C46E1B"/>
    <w:rsid w:val="00C50996"/>
    <w:rsid w:val="00C54317"/>
    <w:rsid w:val="00C543F4"/>
    <w:rsid w:val="00C5451E"/>
    <w:rsid w:val="00C6291C"/>
    <w:rsid w:val="00C633CB"/>
    <w:rsid w:val="00C72861"/>
    <w:rsid w:val="00C8762C"/>
    <w:rsid w:val="00CA00F9"/>
    <w:rsid w:val="00CA2961"/>
    <w:rsid w:val="00CA397E"/>
    <w:rsid w:val="00CA489C"/>
    <w:rsid w:val="00CB50D7"/>
    <w:rsid w:val="00CB7177"/>
    <w:rsid w:val="00CC1998"/>
    <w:rsid w:val="00CC4946"/>
    <w:rsid w:val="00CC6364"/>
    <w:rsid w:val="00CC7BD1"/>
    <w:rsid w:val="00CD0DB9"/>
    <w:rsid w:val="00CD2C48"/>
    <w:rsid w:val="00CD3DA1"/>
    <w:rsid w:val="00CD7E60"/>
    <w:rsid w:val="00CD7F2D"/>
    <w:rsid w:val="00CE629C"/>
    <w:rsid w:val="00CF6AB5"/>
    <w:rsid w:val="00D063BB"/>
    <w:rsid w:val="00D10F74"/>
    <w:rsid w:val="00D11A5E"/>
    <w:rsid w:val="00D1689D"/>
    <w:rsid w:val="00D17E7E"/>
    <w:rsid w:val="00D20CD0"/>
    <w:rsid w:val="00D26625"/>
    <w:rsid w:val="00D270A4"/>
    <w:rsid w:val="00D30F28"/>
    <w:rsid w:val="00D34E1B"/>
    <w:rsid w:val="00D3588B"/>
    <w:rsid w:val="00D378FC"/>
    <w:rsid w:val="00D44A1D"/>
    <w:rsid w:val="00D47C51"/>
    <w:rsid w:val="00D47D2B"/>
    <w:rsid w:val="00D47E76"/>
    <w:rsid w:val="00D63D73"/>
    <w:rsid w:val="00D646EE"/>
    <w:rsid w:val="00D66E1E"/>
    <w:rsid w:val="00D726B4"/>
    <w:rsid w:val="00D75722"/>
    <w:rsid w:val="00D81D52"/>
    <w:rsid w:val="00D83A9D"/>
    <w:rsid w:val="00D859E8"/>
    <w:rsid w:val="00D96151"/>
    <w:rsid w:val="00DA6251"/>
    <w:rsid w:val="00DA6D9B"/>
    <w:rsid w:val="00DB5812"/>
    <w:rsid w:val="00DB67C9"/>
    <w:rsid w:val="00DC0C95"/>
    <w:rsid w:val="00DC438F"/>
    <w:rsid w:val="00DC51C5"/>
    <w:rsid w:val="00DD1257"/>
    <w:rsid w:val="00DD2981"/>
    <w:rsid w:val="00DD5E63"/>
    <w:rsid w:val="00DD6580"/>
    <w:rsid w:val="00DE6331"/>
    <w:rsid w:val="00DF5056"/>
    <w:rsid w:val="00E0081A"/>
    <w:rsid w:val="00E06A63"/>
    <w:rsid w:val="00E07F17"/>
    <w:rsid w:val="00E10B98"/>
    <w:rsid w:val="00E17C72"/>
    <w:rsid w:val="00E460E6"/>
    <w:rsid w:val="00E6070C"/>
    <w:rsid w:val="00E669E2"/>
    <w:rsid w:val="00E707A5"/>
    <w:rsid w:val="00E76135"/>
    <w:rsid w:val="00E862A5"/>
    <w:rsid w:val="00E9289C"/>
    <w:rsid w:val="00E931D1"/>
    <w:rsid w:val="00E95340"/>
    <w:rsid w:val="00EA2EDE"/>
    <w:rsid w:val="00EA5553"/>
    <w:rsid w:val="00EB2CEC"/>
    <w:rsid w:val="00EB2F0C"/>
    <w:rsid w:val="00ED02E3"/>
    <w:rsid w:val="00ED3285"/>
    <w:rsid w:val="00ED4DA2"/>
    <w:rsid w:val="00EE08C0"/>
    <w:rsid w:val="00EE0B4D"/>
    <w:rsid w:val="00EE1047"/>
    <w:rsid w:val="00EE2157"/>
    <w:rsid w:val="00EE2D31"/>
    <w:rsid w:val="00EE2EBA"/>
    <w:rsid w:val="00EF09B2"/>
    <w:rsid w:val="00EF7EB3"/>
    <w:rsid w:val="00F02A02"/>
    <w:rsid w:val="00F056FC"/>
    <w:rsid w:val="00F13367"/>
    <w:rsid w:val="00F135D8"/>
    <w:rsid w:val="00F1492E"/>
    <w:rsid w:val="00F16BD5"/>
    <w:rsid w:val="00F205AD"/>
    <w:rsid w:val="00F256AC"/>
    <w:rsid w:val="00F26BC5"/>
    <w:rsid w:val="00F31299"/>
    <w:rsid w:val="00F3534A"/>
    <w:rsid w:val="00F36F38"/>
    <w:rsid w:val="00F47265"/>
    <w:rsid w:val="00F56F23"/>
    <w:rsid w:val="00F60C3E"/>
    <w:rsid w:val="00F61C03"/>
    <w:rsid w:val="00F64A33"/>
    <w:rsid w:val="00F67506"/>
    <w:rsid w:val="00F7393C"/>
    <w:rsid w:val="00F7618F"/>
    <w:rsid w:val="00F83B56"/>
    <w:rsid w:val="00F85325"/>
    <w:rsid w:val="00F874DD"/>
    <w:rsid w:val="00F9345E"/>
    <w:rsid w:val="00F960A6"/>
    <w:rsid w:val="00FA5D21"/>
    <w:rsid w:val="00FC3BD9"/>
    <w:rsid w:val="00FC3F35"/>
    <w:rsid w:val="00FC7382"/>
    <w:rsid w:val="00FD22B1"/>
    <w:rsid w:val="00FD783B"/>
    <w:rsid w:val="00FE0981"/>
    <w:rsid w:val="00FE3947"/>
    <w:rsid w:val="00FE4C00"/>
    <w:rsid w:val="00FF0AC1"/>
    <w:rsid w:val="00FF578E"/>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0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5602D"/>
    <w:rPr>
      <w:sz w:val="26"/>
      <w:szCs w:val="24"/>
    </w:rPr>
  </w:style>
  <w:style w:type="paragraph" w:styleId="Heading1">
    <w:name w:val="heading 1"/>
    <w:basedOn w:val="BodyText"/>
    <w:next w:val="BodyText"/>
    <w:qFormat/>
    <w:rsid w:val="00FD22B1"/>
    <w:pPr>
      <w:keepNext/>
      <w:spacing w:before="160" w:after="1360" w:line="600" w:lineRule="exact"/>
      <w:ind w:left="907" w:hanging="907"/>
      <w:jc w:val="left"/>
      <w:outlineLvl w:val="0"/>
    </w:pPr>
    <w:rPr>
      <w:sz w:val="52"/>
    </w:rPr>
  </w:style>
  <w:style w:type="paragraph" w:styleId="Heading2">
    <w:name w:val="heading 2"/>
    <w:basedOn w:val="Chapter"/>
    <w:next w:val="BodyText"/>
    <w:qFormat/>
    <w:rsid w:val="00A17328"/>
    <w:pPr>
      <w:spacing w:before="600" w:after="0" w:line="400" w:lineRule="exact"/>
      <w:ind w:left="907" w:hanging="907"/>
      <w:outlineLvl w:val="1"/>
    </w:pPr>
    <w:rPr>
      <w:rFonts w:ascii="Arial" w:hAnsi="Arial"/>
      <w:b/>
      <w:sz w:val="32"/>
    </w:rPr>
  </w:style>
  <w:style w:type="paragraph" w:styleId="Heading3">
    <w:name w:val="heading 3"/>
    <w:basedOn w:val="Heading2"/>
    <w:next w:val="BodyText"/>
    <w:qFormat/>
    <w:rsid w:val="00A17328"/>
    <w:pPr>
      <w:spacing w:before="560" w:line="320" w:lineRule="exact"/>
      <w:ind w:left="0" w:firstLine="0"/>
      <w:outlineLvl w:val="2"/>
    </w:pPr>
    <w:rPr>
      <w:sz w:val="26"/>
    </w:rPr>
  </w:style>
  <w:style w:type="paragraph" w:styleId="Heading4">
    <w:name w:val="heading 4"/>
    <w:basedOn w:val="Heading3"/>
    <w:next w:val="BodyText"/>
    <w:qFormat/>
    <w:rsid w:val="00A17328"/>
    <w:pPr>
      <w:spacing w:before="480"/>
      <w:outlineLvl w:val="3"/>
    </w:pPr>
    <w:rPr>
      <w:b w:val="0"/>
      <w:i/>
      <w:sz w:val="24"/>
    </w:rPr>
  </w:style>
  <w:style w:type="paragraph" w:styleId="Heading5">
    <w:name w:val="heading 5"/>
    <w:basedOn w:val="Heading4"/>
    <w:next w:val="BodyText"/>
    <w:qFormat/>
    <w:rsid w:val="00A17328"/>
    <w:pPr>
      <w:outlineLvl w:val="4"/>
    </w:pPr>
    <w:rPr>
      <w:rFonts w:ascii="Times New Roman" w:hAnsi="Times New Roman"/>
      <w:sz w:val="26"/>
    </w:rPr>
  </w:style>
  <w:style w:type="paragraph" w:styleId="Heading6">
    <w:name w:val="heading 6"/>
    <w:basedOn w:val="BodyText"/>
    <w:next w:val="BodyText"/>
    <w:qFormat/>
    <w:rsid w:val="00A17328"/>
    <w:pPr>
      <w:spacing w:after="60"/>
      <w:jc w:val="left"/>
      <w:outlineLvl w:val="5"/>
    </w:pPr>
    <w:rPr>
      <w:i/>
      <w:sz w:val="22"/>
    </w:rPr>
  </w:style>
  <w:style w:type="paragraph" w:styleId="Heading7">
    <w:name w:val="heading 7"/>
    <w:basedOn w:val="BodyText"/>
    <w:next w:val="BodyText"/>
    <w:qFormat/>
    <w:rsid w:val="00A17328"/>
    <w:pPr>
      <w:spacing w:after="60" w:line="240" w:lineRule="auto"/>
      <w:jc w:val="left"/>
      <w:outlineLvl w:val="6"/>
    </w:pPr>
    <w:rPr>
      <w:rFonts w:ascii="Arial" w:hAnsi="Arial"/>
      <w:sz w:val="20"/>
    </w:rPr>
  </w:style>
  <w:style w:type="paragraph" w:styleId="Heading8">
    <w:name w:val="heading 8"/>
    <w:basedOn w:val="BodyText"/>
    <w:next w:val="BodyText"/>
    <w:qFormat/>
    <w:rsid w:val="00A17328"/>
    <w:pPr>
      <w:spacing w:after="60" w:line="240" w:lineRule="auto"/>
      <w:jc w:val="left"/>
      <w:outlineLvl w:val="7"/>
    </w:pPr>
    <w:rPr>
      <w:rFonts w:ascii="Arial" w:hAnsi="Arial"/>
      <w:i/>
      <w:sz w:val="20"/>
    </w:rPr>
  </w:style>
  <w:style w:type="paragraph" w:styleId="Heading9">
    <w:name w:val="heading 9"/>
    <w:basedOn w:val="BodyText"/>
    <w:next w:val="BodyText"/>
    <w:qFormat/>
    <w:rsid w:val="00A17328"/>
    <w:pPr>
      <w:spacing w:after="60" w:line="240" w:lineRule="auto"/>
      <w:jc w:val="left"/>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new legislation style,Body Text Char1 Char,Body Text Char Char Char,Body Text Char1 Char Char Char,Body Text Char Char Char Char Char1,Body Text Char2 Char1 Char Char Char Char Char,Body Text Char2 Char,new legislation style Char1 Char"/>
    <w:link w:val="BodyTextChar"/>
    <w:rsid w:val="009345D9"/>
    <w:pPr>
      <w:spacing w:before="240" w:line="320" w:lineRule="atLeast"/>
      <w:jc w:val="both"/>
    </w:pPr>
    <w:rPr>
      <w:sz w:val="26"/>
    </w:rPr>
  </w:style>
  <w:style w:type="paragraph" w:styleId="Footer">
    <w:name w:val="footer"/>
    <w:basedOn w:val="BodyText"/>
    <w:semiHidden/>
    <w:rsid w:val="00A17328"/>
    <w:pPr>
      <w:spacing w:before="80" w:line="200" w:lineRule="exact"/>
      <w:ind w:right="6"/>
      <w:jc w:val="left"/>
    </w:pPr>
    <w:rPr>
      <w:caps/>
      <w:spacing w:val="-4"/>
      <w:sz w:val="16"/>
    </w:rPr>
  </w:style>
  <w:style w:type="paragraph" w:customStyle="1" w:styleId="FooterEnd">
    <w:name w:val="Footer End"/>
    <w:basedOn w:val="Footer"/>
    <w:rsid w:val="00A17328"/>
    <w:pPr>
      <w:spacing w:before="0" w:line="20" w:lineRule="exact"/>
    </w:pPr>
  </w:style>
  <w:style w:type="paragraph" w:styleId="Header">
    <w:name w:val="header"/>
    <w:basedOn w:val="BodyText"/>
    <w:rsid w:val="00A17328"/>
    <w:pPr>
      <w:tabs>
        <w:tab w:val="center" w:pos="4394"/>
        <w:tab w:val="right" w:pos="8789"/>
      </w:tabs>
      <w:spacing w:before="0" w:line="240" w:lineRule="atLeast"/>
      <w:jc w:val="left"/>
    </w:pPr>
    <w:rPr>
      <w:rFonts w:ascii="Arial" w:hAnsi="Arial"/>
      <w:caps/>
    </w:rPr>
  </w:style>
  <w:style w:type="paragraph" w:customStyle="1" w:styleId="HeaderEnd">
    <w:name w:val="Header End"/>
    <w:basedOn w:val="Header"/>
    <w:autoRedefine/>
    <w:rsid w:val="00914368"/>
    <w:pPr>
      <w:spacing w:line="20" w:lineRule="exact"/>
    </w:pPr>
    <w:rPr>
      <w:sz w:val="16"/>
    </w:rPr>
  </w:style>
  <w:style w:type="paragraph" w:customStyle="1" w:styleId="HeaderEven">
    <w:name w:val="Header Even"/>
    <w:basedOn w:val="Header"/>
    <w:semiHidden/>
    <w:rsid w:val="00C543F4"/>
  </w:style>
  <w:style w:type="paragraph" w:customStyle="1" w:styleId="HeaderOdd">
    <w:name w:val="Header Odd"/>
    <w:basedOn w:val="Header"/>
    <w:semiHidden/>
    <w:rsid w:val="00C543F4"/>
  </w:style>
  <w:style w:type="character" w:styleId="PageNumber">
    <w:name w:val="page number"/>
    <w:basedOn w:val="DefaultParagraphFont"/>
    <w:rsid w:val="00A17328"/>
    <w:rPr>
      <w:rFonts w:ascii="Arial" w:hAnsi="Arial"/>
      <w:b/>
      <w:sz w:val="16"/>
    </w:rPr>
  </w:style>
  <w:style w:type="paragraph" w:customStyle="1" w:styleId="Abbreviation">
    <w:name w:val="Abbreviation"/>
    <w:basedOn w:val="BodyText"/>
    <w:rsid w:val="00A17328"/>
    <w:pPr>
      <w:spacing w:before="120"/>
      <w:ind w:left="2381" w:hanging="2381"/>
      <w:jc w:val="left"/>
    </w:pPr>
  </w:style>
  <w:style w:type="paragraph" w:customStyle="1" w:styleId="Box">
    <w:name w:val="Box"/>
    <w:basedOn w:val="BodyText"/>
    <w:rsid w:val="00A17328"/>
    <w:pPr>
      <w:keepNext/>
      <w:spacing w:before="120" w:line="280" w:lineRule="atLeast"/>
    </w:pPr>
    <w:rPr>
      <w:rFonts w:ascii="Arial" w:hAnsi="Arial"/>
      <w:sz w:val="22"/>
    </w:rPr>
  </w:style>
  <w:style w:type="paragraph" w:customStyle="1" w:styleId="BoxContinued">
    <w:name w:val="Box Continued"/>
    <w:basedOn w:val="BodyText"/>
    <w:next w:val="BodyText"/>
    <w:semiHidden/>
    <w:rsid w:val="00A17328"/>
    <w:pPr>
      <w:spacing w:before="180" w:line="220" w:lineRule="exact"/>
      <w:jc w:val="right"/>
    </w:pPr>
    <w:rPr>
      <w:rFonts w:ascii="Arial" w:hAnsi="Arial"/>
      <w:sz w:val="18"/>
    </w:rPr>
  </w:style>
  <w:style w:type="paragraph" w:customStyle="1" w:styleId="BoxHeading1">
    <w:name w:val="Box Heading 1"/>
    <w:basedOn w:val="BodyText"/>
    <w:next w:val="Box"/>
    <w:rsid w:val="00A17328"/>
    <w:pPr>
      <w:keepNext/>
      <w:spacing w:before="200" w:line="280" w:lineRule="atLeast"/>
    </w:pPr>
    <w:rPr>
      <w:rFonts w:ascii="Arial" w:hAnsi="Arial"/>
      <w:b/>
      <w:sz w:val="22"/>
    </w:rPr>
  </w:style>
  <w:style w:type="paragraph" w:customStyle="1" w:styleId="BoxHeading2">
    <w:name w:val="Box Heading 2"/>
    <w:basedOn w:val="BoxHeading1"/>
    <w:next w:val="Normal"/>
    <w:rsid w:val="00A17328"/>
    <w:rPr>
      <w:b w:val="0"/>
      <w:i/>
    </w:rPr>
  </w:style>
  <w:style w:type="paragraph" w:customStyle="1" w:styleId="BoxListBullet">
    <w:name w:val="Box List Bullet"/>
    <w:basedOn w:val="BodyText"/>
    <w:rsid w:val="00DB67C9"/>
    <w:pPr>
      <w:keepNext/>
      <w:numPr>
        <w:numId w:val="1"/>
      </w:numPr>
      <w:spacing w:before="120" w:line="280" w:lineRule="atLeast"/>
    </w:pPr>
    <w:rPr>
      <w:rFonts w:ascii="Arial" w:hAnsi="Arial"/>
      <w:sz w:val="22"/>
    </w:rPr>
  </w:style>
  <w:style w:type="paragraph" w:customStyle="1" w:styleId="BoxListBullet2">
    <w:name w:val="Box List Bullet 2"/>
    <w:basedOn w:val="BodyText"/>
    <w:rsid w:val="00DB67C9"/>
    <w:pPr>
      <w:keepNext/>
      <w:numPr>
        <w:numId w:val="2"/>
      </w:numPr>
      <w:tabs>
        <w:tab w:val="left" w:pos="284"/>
      </w:tabs>
      <w:spacing w:before="60" w:line="280" w:lineRule="atLeast"/>
    </w:pPr>
    <w:rPr>
      <w:rFonts w:ascii="Arial" w:hAnsi="Arial"/>
      <w:sz w:val="22"/>
    </w:rPr>
  </w:style>
  <w:style w:type="paragraph" w:customStyle="1" w:styleId="BoxListNumber">
    <w:name w:val="Box List Number"/>
    <w:basedOn w:val="BodyText"/>
    <w:rsid w:val="00864ADC"/>
    <w:pPr>
      <w:keepNext/>
      <w:numPr>
        <w:numId w:val="39"/>
      </w:numPr>
      <w:spacing w:before="120" w:line="280" w:lineRule="atLeast"/>
    </w:pPr>
    <w:rPr>
      <w:rFonts w:ascii="Arial" w:hAnsi="Arial"/>
      <w:sz w:val="22"/>
    </w:rPr>
  </w:style>
  <w:style w:type="paragraph" w:customStyle="1" w:styleId="BoxListNumber2">
    <w:name w:val="Box List Number 2"/>
    <w:basedOn w:val="BoxListNumber"/>
    <w:rsid w:val="00864ADC"/>
    <w:pPr>
      <w:numPr>
        <w:ilvl w:val="1"/>
      </w:numPr>
      <w:spacing w:before="60"/>
    </w:pPr>
  </w:style>
  <w:style w:type="paragraph" w:customStyle="1" w:styleId="BoxQuote">
    <w:name w:val="Box Quote"/>
    <w:basedOn w:val="BodyText"/>
    <w:next w:val="Box"/>
    <w:rsid w:val="00A17328"/>
    <w:pPr>
      <w:keepNext/>
      <w:spacing w:before="60" w:line="260" w:lineRule="exact"/>
      <w:ind w:left="284"/>
    </w:pPr>
    <w:rPr>
      <w:rFonts w:ascii="Arial" w:hAnsi="Arial"/>
      <w:sz w:val="20"/>
    </w:rPr>
  </w:style>
  <w:style w:type="paragraph" w:customStyle="1" w:styleId="Note">
    <w:name w:val="Note"/>
    <w:basedOn w:val="BodyText"/>
    <w:next w:val="Normal"/>
    <w:rsid w:val="00A17328"/>
    <w:pPr>
      <w:keepLines/>
      <w:spacing w:before="80" w:line="220" w:lineRule="exact"/>
    </w:pPr>
    <w:rPr>
      <w:rFonts w:ascii="Arial" w:hAnsi="Arial"/>
      <w:sz w:val="18"/>
    </w:rPr>
  </w:style>
  <w:style w:type="paragraph" w:customStyle="1" w:styleId="Source">
    <w:name w:val="Source"/>
    <w:basedOn w:val="Note"/>
    <w:next w:val="BodyText"/>
    <w:rsid w:val="00A17328"/>
    <w:pPr>
      <w:spacing w:after="120"/>
    </w:pPr>
  </w:style>
  <w:style w:type="paragraph" w:customStyle="1" w:styleId="BoxSource">
    <w:name w:val="Box Source"/>
    <w:basedOn w:val="Source"/>
    <w:next w:val="BodyText"/>
    <w:rsid w:val="00A17328"/>
    <w:pPr>
      <w:spacing w:before="180" w:after="0"/>
    </w:pPr>
  </w:style>
  <w:style w:type="paragraph" w:customStyle="1" w:styleId="BoxSpace">
    <w:name w:val="Box Space"/>
    <w:basedOn w:val="BodyText"/>
    <w:rsid w:val="00A17328"/>
    <w:pPr>
      <w:keepNext/>
      <w:spacing w:before="360" w:line="80" w:lineRule="exact"/>
      <w:jc w:val="left"/>
    </w:pPr>
  </w:style>
  <w:style w:type="paragraph" w:styleId="Caption">
    <w:name w:val="caption"/>
    <w:basedOn w:val="Normal"/>
    <w:next w:val="BodyText"/>
    <w:qFormat/>
    <w:rsid w:val="00A17328"/>
    <w:pPr>
      <w:keepNext/>
      <w:keepLines/>
      <w:spacing w:before="360" w:after="80" w:line="280" w:lineRule="exact"/>
      <w:ind w:left="1474" w:hanging="1474"/>
    </w:pPr>
    <w:rPr>
      <w:rFonts w:ascii="Arial" w:hAnsi="Arial"/>
      <w:b/>
    </w:rPr>
  </w:style>
  <w:style w:type="paragraph" w:customStyle="1" w:styleId="BoxTitle">
    <w:name w:val="Box Title"/>
    <w:basedOn w:val="Caption"/>
    <w:next w:val="Normal"/>
    <w:rsid w:val="00A17328"/>
    <w:pPr>
      <w:spacing w:before="120" w:after="0"/>
      <w:ind w:left="1304" w:hanging="1304"/>
    </w:pPr>
  </w:style>
  <w:style w:type="paragraph" w:customStyle="1" w:styleId="BoxSubtitle">
    <w:name w:val="Box Subtitle"/>
    <w:basedOn w:val="BoxTitle"/>
    <w:next w:val="Normal"/>
    <w:rsid w:val="00A17328"/>
    <w:pPr>
      <w:spacing w:after="80" w:line="200" w:lineRule="exact"/>
      <w:ind w:firstLine="0"/>
    </w:pPr>
    <w:rPr>
      <w:b w:val="0"/>
      <w:sz w:val="20"/>
    </w:rPr>
  </w:style>
  <w:style w:type="paragraph" w:customStyle="1" w:styleId="Chapter">
    <w:name w:val="Chapter"/>
    <w:basedOn w:val="Heading1"/>
    <w:next w:val="BodyText"/>
    <w:semiHidden/>
    <w:rsid w:val="00A17328"/>
    <w:pPr>
      <w:ind w:left="0" w:firstLine="0"/>
      <w:outlineLvl w:val="9"/>
    </w:pPr>
  </w:style>
  <w:style w:type="paragraph" w:customStyle="1" w:styleId="ChapterSummary">
    <w:name w:val="Chapter Summary"/>
    <w:basedOn w:val="BodyText"/>
    <w:semiHidden/>
    <w:rsid w:val="00A17328"/>
    <w:pPr>
      <w:ind w:left="907"/>
    </w:pPr>
    <w:rPr>
      <w:rFonts w:ascii="Arial" w:hAnsi="Arial"/>
      <w:b/>
      <w:sz w:val="22"/>
    </w:rPr>
  </w:style>
  <w:style w:type="character" w:styleId="CommentReference">
    <w:name w:val="annotation reference"/>
    <w:basedOn w:val="DefaultParagraphFont"/>
    <w:semiHidden/>
    <w:rsid w:val="00A17328"/>
    <w:rPr>
      <w:b/>
      <w:vanish/>
      <w:color w:val="FF00FF"/>
      <w:sz w:val="20"/>
    </w:rPr>
  </w:style>
  <w:style w:type="paragraph" w:styleId="CommentText">
    <w:name w:val="annotation text"/>
    <w:basedOn w:val="Normal"/>
    <w:semiHidden/>
    <w:rsid w:val="00A17328"/>
    <w:pPr>
      <w:spacing w:before="120" w:line="240" w:lineRule="atLeast"/>
      <w:ind w:left="567" w:hanging="567"/>
    </w:pPr>
    <w:rPr>
      <w:sz w:val="20"/>
    </w:rPr>
  </w:style>
  <w:style w:type="paragraph" w:customStyle="1" w:styleId="Continued">
    <w:name w:val="Continued"/>
    <w:basedOn w:val="BoxContinued"/>
    <w:next w:val="BodyText"/>
    <w:rsid w:val="00A17328"/>
  </w:style>
  <w:style w:type="character" w:customStyle="1" w:styleId="DocumentInfo">
    <w:name w:val="Document Info"/>
    <w:basedOn w:val="DefaultParagraphFont"/>
    <w:semiHidden/>
    <w:rsid w:val="00A17328"/>
    <w:rPr>
      <w:rFonts w:ascii="Arial" w:hAnsi="Arial"/>
      <w:sz w:val="14"/>
    </w:rPr>
  </w:style>
  <w:style w:type="character" w:customStyle="1" w:styleId="DraftingNote">
    <w:name w:val="Drafting Note"/>
    <w:basedOn w:val="DefaultParagraphFont"/>
    <w:rsid w:val="00A17328"/>
    <w:rPr>
      <w:b/>
      <w:color w:val="FF0000"/>
      <w:sz w:val="24"/>
      <w:u w:val="dotted"/>
    </w:rPr>
  </w:style>
  <w:style w:type="paragraph" w:customStyle="1" w:styleId="Figure">
    <w:name w:val="Figure"/>
    <w:basedOn w:val="BodyText"/>
    <w:rsid w:val="00A17328"/>
    <w:pPr>
      <w:keepNext/>
      <w:spacing w:before="120" w:after="120" w:line="240" w:lineRule="atLeast"/>
      <w:jc w:val="center"/>
    </w:pPr>
  </w:style>
  <w:style w:type="paragraph" w:customStyle="1" w:styleId="FigureTitle">
    <w:name w:val="Figure Title"/>
    <w:basedOn w:val="Caption"/>
    <w:next w:val="Subtitle"/>
    <w:rsid w:val="00A17328"/>
  </w:style>
  <w:style w:type="paragraph" w:styleId="Subtitle">
    <w:name w:val="Subtitle"/>
    <w:basedOn w:val="Caption"/>
    <w:qFormat/>
    <w:rsid w:val="00A17328"/>
    <w:pPr>
      <w:spacing w:before="0" w:line="200" w:lineRule="exact"/>
      <w:ind w:firstLine="0"/>
    </w:pPr>
    <w:rPr>
      <w:b w:val="0"/>
      <w:sz w:val="20"/>
    </w:rPr>
  </w:style>
  <w:style w:type="paragraph" w:customStyle="1" w:styleId="Finding">
    <w:name w:val="Finding"/>
    <w:basedOn w:val="BodyText"/>
    <w:rsid w:val="001363AA"/>
    <w:pPr>
      <w:keepLines/>
      <w:spacing w:before="180"/>
    </w:pPr>
    <w:rPr>
      <w:i/>
    </w:rPr>
  </w:style>
  <w:style w:type="paragraph" w:customStyle="1" w:styleId="FindingBullet">
    <w:name w:val="Finding Bullet"/>
    <w:basedOn w:val="Finding"/>
    <w:rsid w:val="00AB0681"/>
    <w:pPr>
      <w:numPr>
        <w:numId w:val="3"/>
      </w:numPr>
      <w:spacing w:before="80"/>
    </w:pPr>
  </w:style>
  <w:style w:type="paragraph" w:customStyle="1" w:styleId="FindingNoTitle">
    <w:name w:val="Finding NoTitle"/>
    <w:basedOn w:val="Finding"/>
    <w:rsid w:val="00AB0681"/>
    <w:pPr>
      <w:spacing w:before="240"/>
    </w:pPr>
  </w:style>
  <w:style w:type="paragraph" w:customStyle="1" w:styleId="RecTitle">
    <w:name w:val="Rec Title"/>
    <w:basedOn w:val="BodyText"/>
    <w:next w:val="Normal"/>
    <w:rsid w:val="00A17328"/>
    <w:pPr>
      <w:keepNext/>
      <w:framePr w:hSpace="181" w:wrap="notBeside" w:vAnchor="text" w:hAnchor="text" w:xAlign="outside" w:y="1"/>
    </w:pPr>
    <w:rPr>
      <w:caps/>
      <w:sz w:val="16"/>
    </w:rPr>
  </w:style>
  <w:style w:type="paragraph" w:customStyle="1" w:styleId="FindingTitle">
    <w:name w:val="Finding Title"/>
    <w:basedOn w:val="RecTitle"/>
    <w:next w:val="Finding"/>
    <w:rsid w:val="00A17328"/>
    <w:pPr>
      <w:framePr w:wrap="notBeside"/>
    </w:pPr>
  </w:style>
  <w:style w:type="character" w:styleId="FootnoteReference">
    <w:name w:val="footnote reference"/>
    <w:basedOn w:val="DefaultParagraphFont"/>
    <w:semiHidden/>
    <w:rsid w:val="00A17328"/>
    <w:rPr>
      <w:rFonts w:ascii="Times New Roman" w:hAnsi="Times New Roman"/>
      <w:position w:val="6"/>
      <w:sz w:val="22"/>
      <w:vertAlign w:val="baseline"/>
    </w:rPr>
  </w:style>
  <w:style w:type="paragraph" w:styleId="FootnoteText">
    <w:name w:val="footnote text"/>
    <w:basedOn w:val="BodyText"/>
    <w:link w:val="FootnoteTextChar"/>
    <w:rsid w:val="00DC0C95"/>
    <w:pPr>
      <w:tabs>
        <w:tab w:val="left" w:pos="284"/>
      </w:tabs>
      <w:spacing w:before="80" w:line="260" w:lineRule="exact"/>
      <w:ind w:left="284" w:hanging="284"/>
    </w:pPr>
    <w:rPr>
      <w:sz w:val="22"/>
    </w:rPr>
  </w:style>
  <w:style w:type="paragraph" w:customStyle="1" w:styleId="InformationRequest">
    <w:name w:val="Information Request"/>
    <w:basedOn w:val="Finding"/>
    <w:next w:val="BodyText"/>
    <w:rsid w:val="00A17328"/>
    <w:pPr>
      <w:spacing w:before="360" w:after="120"/>
    </w:pPr>
    <w:rPr>
      <w:rFonts w:ascii="Arial" w:hAnsi="Arial"/>
      <w:sz w:val="24"/>
    </w:rPr>
  </w:style>
  <w:style w:type="paragraph" w:customStyle="1" w:styleId="Jurisdictioncommentsbodytext">
    <w:name w:val="Jurisdiction comments body text"/>
    <w:rsid w:val="00A17328"/>
    <w:pPr>
      <w:spacing w:after="140"/>
      <w:jc w:val="both"/>
    </w:pPr>
    <w:rPr>
      <w:rFonts w:ascii="Arial" w:hAnsi="Arial"/>
      <w:sz w:val="24"/>
      <w:lang w:eastAsia="en-US"/>
    </w:rPr>
  </w:style>
  <w:style w:type="paragraph" w:customStyle="1" w:styleId="Jurisdictioncommentsheading">
    <w:name w:val="Jurisdiction comments heading"/>
    <w:rsid w:val="00A17328"/>
    <w:pPr>
      <w:spacing w:after="140" w:line="320" w:lineRule="atLeast"/>
      <w:jc w:val="both"/>
    </w:pPr>
    <w:rPr>
      <w:rFonts w:ascii="Arial" w:hAnsi="Arial"/>
      <w:b/>
      <w:sz w:val="24"/>
      <w:lang w:eastAsia="en-US"/>
    </w:rPr>
  </w:style>
  <w:style w:type="paragraph" w:customStyle="1" w:styleId="Jurisdictioncommentslistbullet">
    <w:name w:val="Jurisdiction comments list bullet"/>
    <w:rsid w:val="00A17328"/>
    <w:pPr>
      <w:numPr>
        <w:numId w:val="4"/>
      </w:numPr>
      <w:spacing w:after="140"/>
      <w:jc w:val="both"/>
    </w:pPr>
    <w:rPr>
      <w:rFonts w:ascii="Arial" w:hAnsi="Arial"/>
      <w:sz w:val="24"/>
      <w:lang w:eastAsia="en-US"/>
    </w:rPr>
  </w:style>
  <w:style w:type="paragraph" w:styleId="ListBullet">
    <w:name w:val="List Bullet"/>
    <w:basedOn w:val="BodyText"/>
    <w:rsid w:val="00DB67C9"/>
    <w:pPr>
      <w:numPr>
        <w:numId w:val="6"/>
      </w:numPr>
      <w:spacing w:before="120"/>
    </w:pPr>
  </w:style>
  <w:style w:type="paragraph" w:styleId="ListBullet2">
    <w:name w:val="List Bullet 2"/>
    <w:basedOn w:val="BodyText"/>
    <w:rsid w:val="00DB67C9"/>
    <w:pPr>
      <w:numPr>
        <w:numId w:val="8"/>
      </w:numPr>
      <w:spacing w:before="120"/>
    </w:pPr>
  </w:style>
  <w:style w:type="paragraph" w:styleId="ListBullet3">
    <w:name w:val="List Bullet 3"/>
    <w:basedOn w:val="BodyText"/>
    <w:rsid w:val="00DB67C9"/>
    <w:pPr>
      <w:numPr>
        <w:numId w:val="10"/>
      </w:numPr>
      <w:spacing w:before="120"/>
    </w:pPr>
  </w:style>
  <w:style w:type="paragraph" w:styleId="ListNumber">
    <w:name w:val="List Number"/>
    <w:basedOn w:val="BodyText"/>
    <w:rsid w:val="00864ADC"/>
    <w:pPr>
      <w:numPr>
        <w:numId w:val="32"/>
      </w:numPr>
      <w:spacing w:before="120"/>
    </w:pPr>
  </w:style>
  <w:style w:type="paragraph" w:styleId="ListNumber2">
    <w:name w:val="List Number 2"/>
    <w:basedOn w:val="ListNumber"/>
    <w:rsid w:val="00864ADC"/>
    <w:pPr>
      <w:numPr>
        <w:ilvl w:val="1"/>
      </w:numPr>
    </w:pPr>
  </w:style>
  <w:style w:type="paragraph" w:styleId="ListNumber3">
    <w:name w:val="List Number 3"/>
    <w:basedOn w:val="ListNumber2"/>
    <w:rsid w:val="00864ADC"/>
    <w:pPr>
      <w:numPr>
        <w:ilvl w:val="2"/>
      </w:numPr>
    </w:pPr>
  </w:style>
  <w:style w:type="character" w:customStyle="1" w:styleId="NoteLabel">
    <w:name w:val="Note Label"/>
    <w:basedOn w:val="DefaultParagraphFont"/>
    <w:rsid w:val="00A17328"/>
    <w:rPr>
      <w:rFonts w:ascii="Arial" w:hAnsi="Arial"/>
      <w:b/>
      <w:position w:val="6"/>
      <w:sz w:val="18"/>
    </w:rPr>
  </w:style>
  <w:style w:type="paragraph" w:customStyle="1" w:styleId="PartDivider">
    <w:name w:val="Part Divider"/>
    <w:basedOn w:val="BodyText"/>
    <w:next w:val="BodyText"/>
    <w:semiHidden/>
    <w:rsid w:val="00A17328"/>
    <w:pPr>
      <w:spacing w:before="0" w:line="40" w:lineRule="exact"/>
      <w:jc w:val="right"/>
    </w:pPr>
    <w:rPr>
      <w:smallCaps/>
      <w:sz w:val="16"/>
    </w:rPr>
  </w:style>
  <w:style w:type="paragraph" w:customStyle="1" w:styleId="PartNumber">
    <w:name w:val="Part Number"/>
    <w:basedOn w:val="BodyText"/>
    <w:next w:val="BodyText"/>
    <w:semiHidden/>
    <w:rsid w:val="00A17328"/>
    <w:pPr>
      <w:spacing w:before="4000" w:line="320" w:lineRule="exact"/>
      <w:ind w:left="6634"/>
      <w:jc w:val="right"/>
    </w:pPr>
    <w:rPr>
      <w:smallCaps/>
      <w:spacing w:val="60"/>
      <w:sz w:val="32"/>
    </w:rPr>
  </w:style>
  <w:style w:type="paragraph" w:customStyle="1" w:styleId="PartTitle">
    <w:name w:val="Part Title"/>
    <w:basedOn w:val="BodyText"/>
    <w:semiHidden/>
    <w:rsid w:val="00A17328"/>
    <w:pPr>
      <w:spacing w:before="160" w:after="1360" w:line="520" w:lineRule="exact"/>
      <w:ind w:right="2381"/>
      <w:jc w:val="right"/>
    </w:pPr>
    <w:rPr>
      <w:smallCaps/>
      <w:sz w:val="52"/>
    </w:rPr>
  </w:style>
  <w:style w:type="paragraph" w:styleId="Quote">
    <w:name w:val="Quote"/>
    <w:basedOn w:val="BodyText"/>
    <w:next w:val="BodyText"/>
    <w:qFormat/>
    <w:rsid w:val="00A17328"/>
    <w:pPr>
      <w:spacing w:before="120" w:line="280" w:lineRule="exact"/>
      <w:ind w:left="340"/>
    </w:pPr>
    <w:rPr>
      <w:sz w:val="24"/>
    </w:rPr>
  </w:style>
  <w:style w:type="paragraph" w:customStyle="1" w:styleId="QuoteBullet">
    <w:name w:val="Quote Bullet"/>
    <w:basedOn w:val="Quote"/>
    <w:rsid w:val="00323E09"/>
    <w:pPr>
      <w:numPr>
        <w:numId w:val="14"/>
      </w:numPr>
    </w:pPr>
  </w:style>
  <w:style w:type="paragraph" w:customStyle="1" w:styleId="Rec">
    <w:name w:val="Rec"/>
    <w:basedOn w:val="BodyText"/>
    <w:rsid w:val="001363AA"/>
    <w:pPr>
      <w:keepLines/>
      <w:spacing w:before="180"/>
    </w:pPr>
    <w:rPr>
      <w:b/>
      <w:i/>
    </w:rPr>
  </w:style>
  <w:style w:type="paragraph" w:customStyle="1" w:styleId="RecBullet">
    <w:name w:val="Rec Bullet"/>
    <w:basedOn w:val="Rec"/>
    <w:rsid w:val="00323E09"/>
    <w:pPr>
      <w:numPr>
        <w:numId w:val="15"/>
      </w:numPr>
      <w:spacing w:before="80"/>
    </w:pPr>
  </w:style>
  <w:style w:type="paragraph" w:customStyle="1" w:styleId="RecB">
    <w:name w:val="RecB"/>
    <w:basedOn w:val="Normal"/>
    <w:rsid w:val="00F85325"/>
    <w:pPr>
      <w:keepLines/>
      <w:pBdr>
        <w:left w:val="single" w:sz="24" w:space="12" w:color="C0C0C0"/>
      </w:pBdr>
      <w:spacing w:before="180" w:line="320" w:lineRule="atLeast"/>
      <w:jc w:val="both"/>
    </w:pPr>
    <w:rPr>
      <w:b/>
      <w:i/>
      <w:szCs w:val="20"/>
    </w:rPr>
  </w:style>
  <w:style w:type="paragraph" w:customStyle="1" w:styleId="RecBBullet">
    <w:name w:val="RecB Bullet"/>
    <w:basedOn w:val="RecB"/>
    <w:rsid w:val="00F85325"/>
    <w:pPr>
      <w:numPr>
        <w:numId w:val="40"/>
      </w:numPr>
      <w:spacing w:before="80"/>
    </w:pPr>
  </w:style>
  <w:style w:type="paragraph" w:customStyle="1" w:styleId="RecBNoTitle">
    <w:name w:val="RecB NoTitle"/>
    <w:basedOn w:val="RecB"/>
    <w:rsid w:val="00F85325"/>
    <w:pPr>
      <w:spacing w:before="240"/>
    </w:pPr>
  </w:style>
  <w:style w:type="paragraph" w:customStyle="1" w:styleId="Reference">
    <w:name w:val="Reference"/>
    <w:basedOn w:val="BodyText"/>
    <w:rsid w:val="00A17328"/>
    <w:pPr>
      <w:spacing w:before="120"/>
      <w:ind w:left="340" w:hanging="340"/>
    </w:pPr>
  </w:style>
  <w:style w:type="paragraph" w:customStyle="1" w:styleId="SequenceInfo">
    <w:name w:val="Sequence Info"/>
    <w:basedOn w:val="BodyText"/>
    <w:semiHidden/>
    <w:rsid w:val="00A17328"/>
    <w:rPr>
      <w:vanish/>
      <w:sz w:val="16"/>
    </w:rPr>
  </w:style>
  <w:style w:type="paragraph" w:customStyle="1" w:styleId="SideNote">
    <w:name w:val="Side Note"/>
    <w:basedOn w:val="BodyText"/>
    <w:next w:val="BodyText"/>
    <w:semiHidden/>
    <w:rsid w:val="00A17328"/>
    <w:pPr>
      <w:keepNext/>
      <w:keepLines/>
      <w:framePr w:w="2155" w:hSpace="227" w:vSpace="181" w:wrap="around" w:vAnchor="text" w:hAnchor="page" w:xAlign="outside" w:y="1"/>
      <w:jc w:val="left"/>
    </w:pPr>
    <w:rPr>
      <w:i/>
      <w:sz w:val="24"/>
    </w:rPr>
  </w:style>
  <w:style w:type="paragraph" w:customStyle="1" w:styleId="SideNoteBullet">
    <w:name w:val="Side Note Bullet"/>
    <w:basedOn w:val="SideNote"/>
    <w:next w:val="BodyText"/>
    <w:semiHidden/>
    <w:rsid w:val="00A17328"/>
    <w:pPr>
      <w:framePr w:wrap="around"/>
      <w:numPr>
        <w:numId w:val="17"/>
      </w:numPr>
      <w:tabs>
        <w:tab w:val="left" w:pos="227"/>
      </w:tabs>
    </w:pPr>
  </w:style>
  <w:style w:type="paragraph" w:customStyle="1" w:styleId="SideNoteGraphic">
    <w:name w:val="Side Note Graphic"/>
    <w:basedOn w:val="SideNote"/>
    <w:next w:val="BodyText"/>
    <w:semiHidden/>
    <w:rsid w:val="00A17328"/>
    <w:pPr>
      <w:framePr w:wrap="around"/>
    </w:pPr>
  </w:style>
  <w:style w:type="paragraph" w:customStyle="1" w:styleId="TableBodyText">
    <w:name w:val="Table Body Text"/>
    <w:basedOn w:val="BodyText"/>
    <w:rsid w:val="00A17328"/>
    <w:pPr>
      <w:keepNext/>
      <w:keepLines/>
      <w:spacing w:before="0" w:after="40" w:line="220" w:lineRule="atLeast"/>
      <w:ind w:left="6" w:right="113"/>
      <w:jc w:val="right"/>
    </w:pPr>
    <w:rPr>
      <w:rFonts w:ascii="Arial" w:hAnsi="Arial"/>
      <w:sz w:val="20"/>
    </w:rPr>
  </w:style>
  <w:style w:type="paragraph" w:customStyle="1" w:styleId="TableBullet">
    <w:name w:val="Table Bullet"/>
    <w:basedOn w:val="TableBodyText"/>
    <w:rsid w:val="00323E09"/>
    <w:pPr>
      <w:numPr>
        <w:numId w:val="18"/>
      </w:numPr>
      <w:jc w:val="left"/>
    </w:pPr>
  </w:style>
  <w:style w:type="paragraph" w:customStyle="1" w:styleId="TableColumnHeading">
    <w:name w:val="Table Column Heading"/>
    <w:basedOn w:val="TableBodyText"/>
    <w:rsid w:val="00A17328"/>
    <w:pPr>
      <w:spacing w:before="80" w:after="80"/>
    </w:pPr>
    <w:rPr>
      <w:i/>
    </w:rPr>
  </w:style>
  <w:style w:type="paragraph" w:styleId="TOC2">
    <w:name w:val="toc 2"/>
    <w:basedOn w:val="BodyText"/>
    <w:semiHidden/>
    <w:rsid w:val="00A17328"/>
    <w:pPr>
      <w:tabs>
        <w:tab w:val="right" w:pos="8789"/>
      </w:tabs>
      <w:ind w:left="510" w:right="851" w:hanging="510"/>
      <w:jc w:val="left"/>
    </w:pPr>
    <w:rPr>
      <w:b/>
    </w:rPr>
  </w:style>
  <w:style w:type="paragraph" w:styleId="TOC3">
    <w:name w:val="toc 3"/>
    <w:basedOn w:val="TOC2"/>
    <w:semiHidden/>
    <w:rsid w:val="00A17328"/>
    <w:pPr>
      <w:spacing w:before="60"/>
      <w:ind w:left="1190" w:hanging="680"/>
    </w:pPr>
    <w:rPr>
      <w:b w:val="0"/>
    </w:rPr>
  </w:style>
  <w:style w:type="paragraph" w:styleId="TableofFigures">
    <w:name w:val="table of figures"/>
    <w:basedOn w:val="TOC3"/>
    <w:next w:val="BodyText"/>
    <w:semiHidden/>
    <w:rsid w:val="00A17328"/>
    <w:pPr>
      <w:ind w:left="737" w:hanging="737"/>
    </w:pPr>
  </w:style>
  <w:style w:type="paragraph" w:customStyle="1" w:styleId="TableTitle">
    <w:name w:val="Table Title"/>
    <w:basedOn w:val="Caption"/>
    <w:next w:val="Subtitle"/>
    <w:rsid w:val="00A17328"/>
  </w:style>
  <w:style w:type="paragraph" w:customStyle="1" w:styleId="TableUnitsRow">
    <w:name w:val="Table Units Row"/>
    <w:basedOn w:val="TableBodyText"/>
    <w:rsid w:val="00A17328"/>
    <w:pPr>
      <w:spacing w:before="80" w:after="80"/>
    </w:pPr>
  </w:style>
  <w:style w:type="paragraph" w:styleId="TOC1">
    <w:name w:val="toc 1"/>
    <w:basedOn w:val="Normal"/>
    <w:next w:val="TOC2"/>
    <w:semiHidden/>
    <w:rsid w:val="00A17328"/>
    <w:pPr>
      <w:tabs>
        <w:tab w:val="right" w:pos="8789"/>
      </w:tabs>
      <w:spacing w:before="480" w:after="60" w:line="320" w:lineRule="exact"/>
      <w:ind w:left="1191" w:right="851" w:hanging="1191"/>
    </w:pPr>
    <w:rPr>
      <w:b/>
      <w:caps/>
    </w:rPr>
  </w:style>
  <w:style w:type="paragraph" w:styleId="TOC4">
    <w:name w:val="toc 4"/>
    <w:basedOn w:val="TOC3"/>
    <w:semiHidden/>
    <w:rsid w:val="00A17328"/>
    <w:pPr>
      <w:ind w:left="1191" w:firstLine="0"/>
    </w:pPr>
  </w:style>
  <w:style w:type="character" w:customStyle="1" w:styleId="BodyTextChar">
    <w:name w:val="Body Text Char"/>
    <w:aliases w:val="new legislation style Char1,Body Text Char1 Char Char1,Body Text Char Char Char Char1,Body Text Char1 Char Char Char Char1,Body Text Char Char Char Char Char1 Char1,Body Text Char2 Char1 Char Char Char Char Char Char1"/>
    <w:basedOn w:val="DefaultParagraphFont"/>
    <w:link w:val="BodyText"/>
    <w:rsid w:val="00AE3750"/>
    <w:rPr>
      <w:sz w:val="26"/>
      <w:lang w:val="en-AU" w:eastAsia="en-AU" w:bidi="ar-SA"/>
    </w:rPr>
  </w:style>
  <w:style w:type="character" w:customStyle="1" w:styleId="FootnoteTextChar">
    <w:name w:val="Footnote Text Char"/>
    <w:basedOn w:val="BodyTextChar"/>
    <w:link w:val="FootnoteText"/>
    <w:rsid w:val="007376DF"/>
    <w:rPr>
      <w:sz w:val="22"/>
      <w:lang w:val="en-AU" w:eastAsia="en-AU" w:bidi="ar-SA"/>
    </w:rPr>
  </w:style>
  <w:style w:type="paragraph" w:styleId="CommentSubject">
    <w:name w:val="annotation subject"/>
    <w:basedOn w:val="CommentText"/>
    <w:next w:val="CommentText"/>
    <w:semiHidden/>
    <w:rsid w:val="005C1BC4"/>
    <w:pPr>
      <w:spacing w:before="0" w:line="240" w:lineRule="auto"/>
      <w:ind w:left="0" w:firstLine="0"/>
    </w:pPr>
    <w:rPr>
      <w:b/>
      <w:bCs/>
      <w:szCs w:val="20"/>
    </w:rPr>
  </w:style>
  <w:style w:type="paragraph" w:styleId="BalloonText">
    <w:name w:val="Balloon Text"/>
    <w:basedOn w:val="Normal"/>
    <w:semiHidden/>
    <w:rsid w:val="005C1BC4"/>
    <w:rPr>
      <w:rFonts w:ascii="Tahoma" w:hAnsi="Tahoma" w:cs="Tahoma"/>
      <w:sz w:val="16"/>
      <w:szCs w:val="16"/>
    </w:rPr>
  </w:style>
  <w:style w:type="character" w:customStyle="1" w:styleId="newlegislationstyleChar">
    <w:name w:val="new legislation style Char"/>
    <w:aliases w:val="Body Text Char1 Char Char,Body Text Char Char Char Char,Body Text Char1 Char Char Char Char,Body Text Char Char Char Char Char1 Char,Body Text Char2 Char1 Char Char Char Char Char Char,Body Text Char2 Char Char"/>
    <w:basedOn w:val="DefaultParagraphFont"/>
    <w:rsid w:val="00195CC1"/>
    <w:rPr>
      <w:sz w:val="26"/>
      <w:lang w:val="en-AU" w:eastAsia="en-AU" w:bidi="ar-SA"/>
    </w:rPr>
  </w:style>
  <w:style w:type="paragraph" w:styleId="Revision">
    <w:name w:val="Revision"/>
    <w:hidden/>
    <w:uiPriority w:val="99"/>
    <w:semiHidden/>
    <w:rsid w:val="00002D6C"/>
    <w:rPr>
      <w:sz w:val="26"/>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5602D"/>
    <w:rPr>
      <w:sz w:val="26"/>
      <w:szCs w:val="24"/>
    </w:rPr>
  </w:style>
  <w:style w:type="paragraph" w:styleId="Heading1">
    <w:name w:val="heading 1"/>
    <w:basedOn w:val="BodyText"/>
    <w:next w:val="BodyText"/>
    <w:qFormat/>
    <w:rsid w:val="00FD22B1"/>
    <w:pPr>
      <w:keepNext/>
      <w:spacing w:before="160" w:after="1360" w:line="600" w:lineRule="exact"/>
      <w:ind w:left="907" w:hanging="907"/>
      <w:jc w:val="left"/>
      <w:outlineLvl w:val="0"/>
    </w:pPr>
    <w:rPr>
      <w:sz w:val="52"/>
    </w:rPr>
  </w:style>
  <w:style w:type="paragraph" w:styleId="Heading2">
    <w:name w:val="heading 2"/>
    <w:basedOn w:val="Chapter"/>
    <w:next w:val="BodyText"/>
    <w:qFormat/>
    <w:rsid w:val="00A17328"/>
    <w:pPr>
      <w:spacing w:before="600" w:after="0" w:line="400" w:lineRule="exact"/>
      <w:ind w:left="907" w:hanging="907"/>
      <w:outlineLvl w:val="1"/>
    </w:pPr>
    <w:rPr>
      <w:rFonts w:ascii="Arial" w:hAnsi="Arial"/>
      <w:b/>
      <w:sz w:val="32"/>
    </w:rPr>
  </w:style>
  <w:style w:type="paragraph" w:styleId="Heading3">
    <w:name w:val="heading 3"/>
    <w:basedOn w:val="Heading2"/>
    <w:next w:val="BodyText"/>
    <w:qFormat/>
    <w:rsid w:val="00A17328"/>
    <w:pPr>
      <w:spacing w:before="560" w:line="320" w:lineRule="exact"/>
      <w:ind w:left="0" w:firstLine="0"/>
      <w:outlineLvl w:val="2"/>
    </w:pPr>
    <w:rPr>
      <w:sz w:val="26"/>
    </w:rPr>
  </w:style>
  <w:style w:type="paragraph" w:styleId="Heading4">
    <w:name w:val="heading 4"/>
    <w:basedOn w:val="Heading3"/>
    <w:next w:val="BodyText"/>
    <w:qFormat/>
    <w:rsid w:val="00A17328"/>
    <w:pPr>
      <w:spacing w:before="480"/>
      <w:outlineLvl w:val="3"/>
    </w:pPr>
    <w:rPr>
      <w:b w:val="0"/>
      <w:i/>
      <w:sz w:val="24"/>
    </w:rPr>
  </w:style>
  <w:style w:type="paragraph" w:styleId="Heading5">
    <w:name w:val="heading 5"/>
    <w:basedOn w:val="Heading4"/>
    <w:next w:val="BodyText"/>
    <w:qFormat/>
    <w:rsid w:val="00A17328"/>
    <w:pPr>
      <w:outlineLvl w:val="4"/>
    </w:pPr>
    <w:rPr>
      <w:rFonts w:ascii="Times New Roman" w:hAnsi="Times New Roman"/>
      <w:sz w:val="26"/>
    </w:rPr>
  </w:style>
  <w:style w:type="paragraph" w:styleId="Heading6">
    <w:name w:val="heading 6"/>
    <w:basedOn w:val="BodyText"/>
    <w:next w:val="BodyText"/>
    <w:qFormat/>
    <w:rsid w:val="00A17328"/>
    <w:pPr>
      <w:spacing w:after="60"/>
      <w:jc w:val="left"/>
      <w:outlineLvl w:val="5"/>
    </w:pPr>
    <w:rPr>
      <w:i/>
      <w:sz w:val="22"/>
    </w:rPr>
  </w:style>
  <w:style w:type="paragraph" w:styleId="Heading7">
    <w:name w:val="heading 7"/>
    <w:basedOn w:val="BodyText"/>
    <w:next w:val="BodyText"/>
    <w:qFormat/>
    <w:rsid w:val="00A17328"/>
    <w:pPr>
      <w:spacing w:after="60" w:line="240" w:lineRule="auto"/>
      <w:jc w:val="left"/>
      <w:outlineLvl w:val="6"/>
    </w:pPr>
    <w:rPr>
      <w:rFonts w:ascii="Arial" w:hAnsi="Arial"/>
      <w:sz w:val="20"/>
    </w:rPr>
  </w:style>
  <w:style w:type="paragraph" w:styleId="Heading8">
    <w:name w:val="heading 8"/>
    <w:basedOn w:val="BodyText"/>
    <w:next w:val="BodyText"/>
    <w:qFormat/>
    <w:rsid w:val="00A17328"/>
    <w:pPr>
      <w:spacing w:after="60" w:line="240" w:lineRule="auto"/>
      <w:jc w:val="left"/>
      <w:outlineLvl w:val="7"/>
    </w:pPr>
    <w:rPr>
      <w:rFonts w:ascii="Arial" w:hAnsi="Arial"/>
      <w:i/>
      <w:sz w:val="20"/>
    </w:rPr>
  </w:style>
  <w:style w:type="paragraph" w:styleId="Heading9">
    <w:name w:val="heading 9"/>
    <w:basedOn w:val="BodyText"/>
    <w:next w:val="BodyText"/>
    <w:qFormat/>
    <w:rsid w:val="00A17328"/>
    <w:pPr>
      <w:spacing w:after="60" w:line="240" w:lineRule="auto"/>
      <w:jc w:val="left"/>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new legislation style,Body Text Char1 Char,Body Text Char Char Char,Body Text Char1 Char Char Char,Body Text Char Char Char Char Char1,Body Text Char2 Char1 Char Char Char Char Char,Body Text Char2 Char,new legislation style Char1 Char"/>
    <w:link w:val="BodyTextChar"/>
    <w:rsid w:val="009345D9"/>
    <w:pPr>
      <w:spacing w:before="240" w:line="320" w:lineRule="atLeast"/>
      <w:jc w:val="both"/>
    </w:pPr>
    <w:rPr>
      <w:sz w:val="26"/>
    </w:rPr>
  </w:style>
  <w:style w:type="paragraph" w:styleId="Footer">
    <w:name w:val="footer"/>
    <w:basedOn w:val="BodyText"/>
    <w:semiHidden/>
    <w:rsid w:val="00A17328"/>
    <w:pPr>
      <w:spacing w:before="80" w:line="200" w:lineRule="exact"/>
      <w:ind w:right="6"/>
      <w:jc w:val="left"/>
    </w:pPr>
    <w:rPr>
      <w:caps/>
      <w:spacing w:val="-4"/>
      <w:sz w:val="16"/>
    </w:rPr>
  </w:style>
  <w:style w:type="paragraph" w:customStyle="1" w:styleId="FooterEnd">
    <w:name w:val="Footer End"/>
    <w:basedOn w:val="Footer"/>
    <w:rsid w:val="00A17328"/>
    <w:pPr>
      <w:spacing w:before="0" w:line="20" w:lineRule="exact"/>
    </w:pPr>
  </w:style>
  <w:style w:type="paragraph" w:styleId="Header">
    <w:name w:val="header"/>
    <w:basedOn w:val="BodyText"/>
    <w:rsid w:val="00A17328"/>
    <w:pPr>
      <w:tabs>
        <w:tab w:val="center" w:pos="4394"/>
        <w:tab w:val="right" w:pos="8789"/>
      </w:tabs>
      <w:spacing w:before="0" w:line="240" w:lineRule="atLeast"/>
      <w:jc w:val="left"/>
    </w:pPr>
    <w:rPr>
      <w:rFonts w:ascii="Arial" w:hAnsi="Arial"/>
      <w:caps/>
    </w:rPr>
  </w:style>
  <w:style w:type="paragraph" w:customStyle="1" w:styleId="HeaderEnd">
    <w:name w:val="Header End"/>
    <w:basedOn w:val="Header"/>
    <w:autoRedefine/>
    <w:rsid w:val="00914368"/>
    <w:pPr>
      <w:spacing w:line="20" w:lineRule="exact"/>
    </w:pPr>
    <w:rPr>
      <w:sz w:val="16"/>
    </w:rPr>
  </w:style>
  <w:style w:type="paragraph" w:customStyle="1" w:styleId="HeaderEven">
    <w:name w:val="Header Even"/>
    <w:basedOn w:val="Header"/>
    <w:semiHidden/>
    <w:rsid w:val="00C543F4"/>
  </w:style>
  <w:style w:type="paragraph" w:customStyle="1" w:styleId="HeaderOdd">
    <w:name w:val="Header Odd"/>
    <w:basedOn w:val="Header"/>
    <w:semiHidden/>
    <w:rsid w:val="00C543F4"/>
  </w:style>
  <w:style w:type="character" w:styleId="PageNumber">
    <w:name w:val="page number"/>
    <w:basedOn w:val="DefaultParagraphFont"/>
    <w:rsid w:val="00A17328"/>
    <w:rPr>
      <w:rFonts w:ascii="Arial" w:hAnsi="Arial"/>
      <w:b/>
      <w:sz w:val="16"/>
    </w:rPr>
  </w:style>
  <w:style w:type="paragraph" w:customStyle="1" w:styleId="Abbreviation">
    <w:name w:val="Abbreviation"/>
    <w:basedOn w:val="BodyText"/>
    <w:rsid w:val="00A17328"/>
    <w:pPr>
      <w:spacing w:before="120"/>
      <w:ind w:left="2381" w:hanging="2381"/>
      <w:jc w:val="left"/>
    </w:pPr>
  </w:style>
  <w:style w:type="paragraph" w:customStyle="1" w:styleId="Box">
    <w:name w:val="Box"/>
    <w:basedOn w:val="BodyText"/>
    <w:rsid w:val="00A17328"/>
    <w:pPr>
      <w:keepNext/>
      <w:spacing w:before="120" w:line="280" w:lineRule="atLeast"/>
    </w:pPr>
    <w:rPr>
      <w:rFonts w:ascii="Arial" w:hAnsi="Arial"/>
      <w:sz w:val="22"/>
    </w:rPr>
  </w:style>
  <w:style w:type="paragraph" w:customStyle="1" w:styleId="BoxContinued">
    <w:name w:val="Box Continued"/>
    <w:basedOn w:val="BodyText"/>
    <w:next w:val="BodyText"/>
    <w:semiHidden/>
    <w:rsid w:val="00A17328"/>
    <w:pPr>
      <w:spacing w:before="180" w:line="220" w:lineRule="exact"/>
      <w:jc w:val="right"/>
    </w:pPr>
    <w:rPr>
      <w:rFonts w:ascii="Arial" w:hAnsi="Arial"/>
      <w:sz w:val="18"/>
    </w:rPr>
  </w:style>
  <w:style w:type="paragraph" w:customStyle="1" w:styleId="BoxHeading1">
    <w:name w:val="Box Heading 1"/>
    <w:basedOn w:val="BodyText"/>
    <w:next w:val="Box"/>
    <w:rsid w:val="00A17328"/>
    <w:pPr>
      <w:keepNext/>
      <w:spacing w:before="200" w:line="280" w:lineRule="atLeast"/>
    </w:pPr>
    <w:rPr>
      <w:rFonts w:ascii="Arial" w:hAnsi="Arial"/>
      <w:b/>
      <w:sz w:val="22"/>
    </w:rPr>
  </w:style>
  <w:style w:type="paragraph" w:customStyle="1" w:styleId="BoxHeading2">
    <w:name w:val="Box Heading 2"/>
    <w:basedOn w:val="BoxHeading1"/>
    <w:next w:val="Normal"/>
    <w:rsid w:val="00A17328"/>
    <w:rPr>
      <w:b w:val="0"/>
      <w:i/>
    </w:rPr>
  </w:style>
  <w:style w:type="paragraph" w:customStyle="1" w:styleId="BoxListBullet">
    <w:name w:val="Box List Bullet"/>
    <w:basedOn w:val="BodyText"/>
    <w:rsid w:val="00DB67C9"/>
    <w:pPr>
      <w:keepNext/>
      <w:numPr>
        <w:numId w:val="1"/>
      </w:numPr>
      <w:spacing w:before="120" w:line="280" w:lineRule="atLeast"/>
    </w:pPr>
    <w:rPr>
      <w:rFonts w:ascii="Arial" w:hAnsi="Arial"/>
      <w:sz w:val="22"/>
    </w:rPr>
  </w:style>
  <w:style w:type="paragraph" w:customStyle="1" w:styleId="BoxListBullet2">
    <w:name w:val="Box List Bullet 2"/>
    <w:basedOn w:val="BodyText"/>
    <w:rsid w:val="00DB67C9"/>
    <w:pPr>
      <w:keepNext/>
      <w:numPr>
        <w:numId w:val="2"/>
      </w:numPr>
      <w:tabs>
        <w:tab w:val="left" w:pos="284"/>
      </w:tabs>
      <w:spacing w:before="60" w:line="280" w:lineRule="atLeast"/>
    </w:pPr>
    <w:rPr>
      <w:rFonts w:ascii="Arial" w:hAnsi="Arial"/>
      <w:sz w:val="22"/>
    </w:rPr>
  </w:style>
  <w:style w:type="paragraph" w:customStyle="1" w:styleId="BoxListNumber">
    <w:name w:val="Box List Number"/>
    <w:basedOn w:val="BodyText"/>
    <w:rsid w:val="00864ADC"/>
    <w:pPr>
      <w:keepNext/>
      <w:numPr>
        <w:numId w:val="39"/>
      </w:numPr>
      <w:spacing w:before="120" w:line="280" w:lineRule="atLeast"/>
    </w:pPr>
    <w:rPr>
      <w:rFonts w:ascii="Arial" w:hAnsi="Arial"/>
      <w:sz w:val="22"/>
    </w:rPr>
  </w:style>
  <w:style w:type="paragraph" w:customStyle="1" w:styleId="BoxListNumber2">
    <w:name w:val="Box List Number 2"/>
    <w:basedOn w:val="BoxListNumber"/>
    <w:rsid w:val="00864ADC"/>
    <w:pPr>
      <w:numPr>
        <w:ilvl w:val="1"/>
      </w:numPr>
      <w:spacing w:before="60"/>
    </w:pPr>
  </w:style>
  <w:style w:type="paragraph" w:customStyle="1" w:styleId="BoxQuote">
    <w:name w:val="Box Quote"/>
    <w:basedOn w:val="BodyText"/>
    <w:next w:val="Box"/>
    <w:rsid w:val="00A17328"/>
    <w:pPr>
      <w:keepNext/>
      <w:spacing w:before="60" w:line="260" w:lineRule="exact"/>
      <w:ind w:left="284"/>
    </w:pPr>
    <w:rPr>
      <w:rFonts w:ascii="Arial" w:hAnsi="Arial"/>
      <w:sz w:val="20"/>
    </w:rPr>
  </w:style>
  <w:style w:type="paragraph" w:customStyle="1" w:styleId="Note">
    <w:name w:val="Note"/>
    <w:basedOn w:val="BodyText"/>
    <w:next w:val="Normal"/>
    <w:rsid w:val="00A17328"/>
    <w:pPr>
      <w:keepLines/>
      <w:spacing w:before="80" w:line="220" w:lineRule="exact"/>
    </w:pPr>
    <w:rPr>
      <w:rFonts w:ascii="Arial" w:hAnsi="Arial"/>
      <w:sz w:val="18"/>
    </w:rPr>
  </w:style>
  <w:style w:type="paragraph" w:customStyle="1" w:styleId="Source">
    <w:name w:val="Source"/>
    <w:basedOn w:val="Note"/>
    <w:next w:val="BodyText"/>
    <w:rsid w:val="00A17328"/>
    <w:pPr>
      <w:spacing w:after="120"/>
    </w:pPr>
  </w:style>
  <w:style w:type="paragraph" w:customStyle="1" w:styleId="BoxSource">
    <w:name w:val="Box Source"/>
    <w:basedOn w:val="Source"/>
    <w:next w:val="BodyText"/>
    <w:rsid w:val="00A17328"/>
    <w:pPr>
      <w:spacing w:before="180" w:after="0"/>
    </w:pPr>
  </w:style>
  <w:style w:type="paragraph" w:customStyle="1" w:styleId="BoxSpace">
    <w:name w:val="Box Space"/>
    <w:basedOn w:val="BodyText"/>
    <w:rsid w:val="00A17328"/>
    <w:pPr>
      <w:keepNext/>
      <w:spacing w:before="360" w:line="80" w:lineRule="exact"/>
      <w:jc w:val="left"/>
    </w:pPr>
  </w:style>
  <w:style w:type="paragraph" w:styleId="Caption">
    <w:name w:val="caption"/>
    <w:basedOn w:val="Normal"/>
    <w:next w:val="BodyText"/>
    <w:qFormat/>
    <w:rsid w:val="00A17328"/>
    <w:pPr>
      <w:keepNext/>
      <w:keepLines/>
      <w:spacing w:before="360" w:after="80" w:line="280" w:lineRule="exact"/>
      <w:ind w:left="1474" w:hanging="1474"/>
    </w:pPr>
    <w:rPr>
      <w:rFonts w:ascii="Arial" w:hAnsi="Arial"/>
      <w:b/>
    </w:rPr>
  </w:style>
  <w:style w:type="paragraph" w:customStyle="1" w:styleId="BoxTitle">
    <w:name w:val="Box Title"/>
    <w:basedOn w:val="Caption"/>
    <w:next w:val="Normal"/>
    <w:rsid w:val="00A17328"/>
    <w:pPr>
      <w:spacing w:before="120" w:after="0"/>
      <w:ind w:left="1304" w:hanging="1304"/>
    </w:pPr>
  </w:style>
  <w:style w:type="paragraph" w:customStyle="1" w:styleId="BoxSubtitle">
    <w:name w:val="Box Subtitle"/>
    <w:basedOn w:val="BoxTitle"/>
    <w:next w:val="Normal"/>
    <w:rsid w:val="00A17328"/>
    <w:pPr>
      <w:spacing w:after="80" w:line="200" w:lineRule="exact"/>
      <w:ind w:firstLine="0"/>
    </w:pPr>
    <w:rPr>
      <w:b w:val="0"/>
      <w:sz w:val="20"/>
    </w:rPr>
  </w:style>
  <w:style w:type="paragraph" w:customStyle="1" w:styleId="Chapter">
    <w:name w:val="Chapter"/>
    <w:basedOn w:val="Heading1"/>
    <w:next w:val="BodyText"/>
    <w:semiHidden/>
    <w:rsid w:val="00A17328"/>
    <w:pPr>
      <w:ind w:left="0" w:firstLine="0"/>
      <w:outlineLvl w:val="9"/>
    </w:pPr>
  </w:style>
  <w:style w:type="paragraph" w:customStyle="1" w:styleId="ChapterSummary">
    <w:name w:val="Chapter Summary"/>
    <w:basedOn w:val="BodyText"/>
    <w:semiHidden/>
    <w:rsid w:val="00A17328"/>
    <w:pPr>
      <w:ind w:left="907"/>
    </w:pPr>
    <w:rPr>
      <w:rFonts w:ascii="Arial" w:hAnsi="Arial"/>
      <w:b/>
      <w:sz w:val="22"/>
    </w:rPr>
  </w:style>
  <w:style w:type="character" w:styleId="CommentReference">
    <w:name w:val="annotation reference"/>
    <w:basedOn w:val="DefaultParagraphFont"/>
    <w:semiHidden/>
    <w:rsid w:val="00A17328"/>
    <w:rPr>
      <w:b/>
      <w:vanish/>
      <w:color w:val="FF00FF"/>
      <w:sz w:val="20"/>
    </w:rPr>
  </w:style>
  <w:style w:type="paragraph" w:styleId="CommentText">
    <w:name w:val="annotation text"/>
    <w:basedOn w:val="Normal"/>
    <w:semiHidden/>
    <w:rsid w:val="00A17328"/>
    <w:pPr>
      <w:spacing w:before="120" w:line="240" w:lineRule="atLeast"/>
      <w:ind w:left="567" w:hanging="567"/>
    </w:pPr>
    <w:rPr>
      <w:sz w:val="20"/>
    </w:rPr>
  </w:style>
  <w:style w:type="paragraph" w:customStyle="1" w:styleId="Continued">
    <w:name w:val="Continued"/>
    <w:basedOn w:val="BoxContinued"/>
    <w:next w:val="BodyText"/>
    <w:rsid w:val="00A17328"/>
  </w:style>
  <w:style w:type="character" w:customStyle="1" w:styleId="DocumentInfo">
    <w:name w:val="Document Info"/>
    <w:basedOn w:val="DefaultParagraphFont"/>
    <w:semiHidden/>
    <w:rsid w:val="00A17328"/>
    <w:rPr>
      <w:rFonts w:ascii="Arial" w:hAnsi="Arial"/>
      <w:sz w:val="14"/>
    </w:rPr>
  </w:style>
  <w:style w:type="character" w:customStyle="1" w:styleId="DraftingNote">
    <w:name w:val="Drafting Note"/>
    <w:basedOn w:val="DefaultParagraphFont"/>
    <w:rsid w:val="00A17328"/>
    <w:rPr>
      <w:b/>
      <w:color w:val="FF0000"/>
      <w:sz w:val="24"/>
      <w:u w:val="dotted"/>
    </w:rPr>
  </w:style>
  <w:style w:type="paragraph" w:customStyle="1" w:styleId="Figure">
    <w:name w:val="Figure"/>
    <w:basedOn w:val="BodyText"/>
    <w:rsid w:val="00A17328"/>
    <w:pPr>
      <w:keepNext/>
      <w:spacing w:before="120" w:after="120" w:line="240" w:lineRule="atLeast"/>
      <w:jc w:val="center"/>
    </w:pPr>
  </w:style>
  <w:style w:type="paragraph" w:customStyle="1" w:styleId="FigureTitle">
    <w:name w:val="Figure Title"/>
    <w:basedOn w:val="Caption"/>
    <w:next w:val="Subtitle"/>
    <w:rsid w:val="00A17328"/>
  </w:style>
  <w:style w:type="paragraph" w:styleId="Subtitle">
    <w:name w:val="Subtitle"/>
    <w:basedOn w:val="Caption"/>
    <w:qFormat/>
    <w:rsid w:val="00A17328"/>
    <w:pPr>
      <w:spacing w:before="0" w:line="200" w:lineRule="exact"/>
      <w:ind w:firstLine="0"/>
    </w:pPr>
    <w:rPr>
      <w:b w:val="0"/>
      <w:sz w:val="20"/>
    </w:rPr>
  </w:style>
  <w:style w:type="paragraph" w:customStyle="1" w:styleId="Finding">
    <w:name w:val="Finding"/>
    <w:basedOn w:val="BodyText"/>
    <w:rsid w:val="001363AA"/>
    <w:pPr>
      <w:keepLines/>
      <w:spacing w:before="180"/>
    </w:pPr>
    <w:rPr>
      <w:i/>
    </w:rPr>
  </w:style>
  <w:style w:type="paragraph" w:customStyle="1" w:styleId="FindingBullet">
    <w:name w:val="Finding Bullet"/>
    <w:basedOn w:val="Finding"/>
    <w:rsid w:val="00AB0681"/>
    <w:pPr>
      <w:numPr>
        <w:numId w:val="3"/>
      </w:numPr>
      <w:spacing w:before="80"/>
    </w:pPr>
  </w:style>
  <w:style w:type="paragraph" w:customStyle="1" w:styleId="FindingNoTitle">
    <w:name w:val="Finding NoTitle"/>
    <w:basedOn w:val="Finding"/>
    <w:rsid w:val="00AB0681"/>
    <w:pPr>
      <w:spacing w:before="240"/>
    </w:pPr>
  </w:style>
  <w:style w:type="paragraph" w:customStyle="1" w:styleId="RecTitle">
    <w:name w:val="Rec Title"/>
    <w:basedOn w:val="BodyText"/>
    <w:next w:val="Normal"/>
    <w:rsid w:val="00A17328"/>
    <w:pPr>
      <w:keepNext/>
      <w:framePr w:hSpace="181" w:wrap="notBeside" w:vAnchor="text" w:hAnchor="text" w:xAlign="outside" w:y="1"/>
    </w:pPr>
    <w:rPr>
      <w:caps/>
      <w:sz w:val="16"/>
    </w:rPr>
  </w:style>
  <w:style w:type="paragraph" w:customStyle="1" w:styleId="FindingTitle">
    <w:name w:val="Finding Title"/>
    <w:basedOn w:val="RecTitle"/>
    <w:next w:val="Finding"/>
    <w:rsid w:val="00A17328"/>
    <w:pPr>
      <w:framePr w:wrap="notBeside"/>
    </w:pPr>
  </w:style>
  <w:style w:type="character" w:styleId="FootnoteReference">
    <w:name w:val="footnote reference"/>
    <w:basedOn w:val="DefaultParagraphFont"/>
    <w:semiHidden/>
    <w:rsid w:val="00A17328"/>
    <w:rPr>
      <w:rFonts w:ascii="Times New Roman" w:hAnsi="Times New Roman"/>
      <w:position w:val="6"/>
      <w:sz w:val="22"/>
      <w:vertAlign w:val="baseline"/>
    </w:rPr>
  </w:style>
  <w:style w:type="paragraph" w:styleId="FootnoteText">
    <w:name w:val="footnote text"/>
    <w:basedOn w:val="BodyText"/>
    <w:link w:val="FootnoteTextChar"/>
    <w:rsid w:val="00DC0C95"/>
    <w:pPr>
      <w:tabs>
        <w:tab w:val="left" w:pos="284"/>
      </w:tabs>
      <w:spacing w:before="80" w:line="260" w:lineRule="exact"/>
      <w:ind w:left="284" w:hanging="284"/>
    </w:pPr>
    <w:rPr>
      <w:sz w:val="22"/>
    </w:rPr>
  </w:style>
  <w:style w:type="paragraph" w:customStyle="1" w:styleId="InformationRequest">
    <w:name w:val="Information Request"/>
    <w:basedOn w:val="Finding"/>
    <w:next w:val="BodyText"/>
    <w:rsid w:val="00A17328"/>
    <w:pPr>
      <w:spacing w:before="360" w:after="120"/>
    </w:pPr>
    <w:rPr>
      <w:rFonts w:ascii="Arial" w:hAnsi="Arial"/>
      <w:sz w:val="24"/>
    </w:rPr>
  </w:style>
  <w:style w:type="paragraph" w:customStyle="1" w:styleId="Jurisdictioncommentsbodytext">
    <w:name w:val="Jurisdiction comments body text"/>
    <w:rsid w:val="00A17328"/>
    <w:pPr>
      <w:spacing w:after="140"/>
      <w:jc w:val="both"/>
    </w:pPr>
    <w:rPr>
      <w:rFonts w:ascii="Arial" w:hAnsi="Arial"/>
      <w:sz w:val="24"/>
      <w:lang w:eastAsia="en-US"/>
    </w:rPr>
  </w:style>
  <w:style w:type="paragraph" w:customStyle="1" w:styleId="Jurisdictioncommentsheading">
    <w:name w:val="Jurisdiction comments heading"/>
    <w:rsid w:val="00A17328"/>
    <w:pPr>
      <w:spacing w:after="140" w:line="320" w:lineRule="atLeast"/>
      <w:jc w:val="both"/>
    </w:pPr>
    <w:rPr>
      <w:rFonts w:ascii="Arial" w:hAnsi="Arial"/>
      <w:b/>
      <w:sz w:val="24"/>
      <w:lang w:eastAsia="en-US"/>
    </w:rPr>
  </w:style>
  <w:style w:type="paragraph" w:customStyle="1" w:styleId="Jurisdictioncommentslistbullet">
    <w:name w:val="Jurisdiction comments list bullet"/>
    <w:rsid w:val="00A17328"/>
    <w:pPr>
      <w:numPr>
        <w:numId w:val="4"/>
      </w:numPr>
      <w:spacing w:after="140"/>
      <w:jc w:val="both"/>
    </w:pPr>
    <w:rPr>
      <w:rFonts w:ascii="Arial" w:hAnsi="Arial"/>
      <w:sz w:val="24"/>
      <w:lang w:eastAsia="en-US"/>
    </w:rPr>
  </w:style>
  <w:style w:type="paragraph" w:styleId="ListBullet">
    <w:name w:val="List Bullet"/>
    <w:basedOn w:val="BodyText"/>
    <w:rsid w:val="00DB67C9"/>
    <w:pPr>
      <w:numPr>
        <w:numId w:val="6"/>
      </w:numPr>
      <w:spacing w:before="120"/>
    </w:pPr>
  </w:style>
  <w:style w:type="paragraph" w:styleId="ListBullet2">
    <w:name w:val="List Bullet 2"/>
    <w:basedOn w:val="BodyText"/>
    <w:rsid w:val="00DB67C9"/>
    <w:pPr>
      <w:numPr>
        <w:numId w:val="8"/>
      </w:numPr>
      <w:spacing w:before="120"/>
    </w:pPr>
  </w:style>
  <w:style w:type="paragraph" w:styleId="ListBullet3">
    <w:name w:val="List Bullet 3"/>
    <w:basedOn w:val="BodyText"/>
    <w:rsid w:val="00DB67C9"/>
    <w:pPr>
      <w:numPr>
        <w:numId w:val="10"/>
      </w:numPr>
      <w:spacing w:before="120"/>
    </w:pPr>
  </w:style>
  <w:style w:type="paragraph" w:styleId="ListNumber">
    <w:name w:val="List Number"/>
    <w:basedOn w:val="BodyText"/>
    <w:rsid w:val="00864ADC"/>
    <w:pPr>
      <w:numPr>
        <w:numId w:val="32"/>
      </w:numPr>
      <w:spacing w:before="120"/>
    </w:pPr>
  </w:style>
  <w:style w:type="paragraph" w:styleId="ListNumber2">
    <w:name w:val="List Number 2"/>
    <w:basedOn w:val="ListNumber"/>
    <w:rsid w:val="00864ADC"/>
    <w:pPr>
      <w:numPr>
        <w:ilvl w:val="1"/>
      </w:numPr>
    </w:pPr>
  </w:style>
  <w:style w:type="paragraph" w:styleId="ListNumber3">
    <w:name w:val="List Number 3"/>
    <w:basedOn w:val="ListNumber2"/>
    <w:rsid w:val="00864ADC"/>
    <w:pPr>
      <w:numPr>
        <w:ilvl w:val="2"/>
      </w:numPr>
    </w:pPr>
  </w:style>
  <w:style w:type="character" w:customStyle="1" w:styleId="NoteLabel">
    <w:name w:val="Note Label"/>
    <w:basedOn w:val="DefaultParagraphFont"/>
    <w:rsid w:val="00A17328"/>
    <w:rPr>
      <w:rFonts w:ascii="Arial" w:hAnsi="Arial"/>
      <w:b/>
      <w:position w:val="6"/>
      <w:sz w:val="18"/>
    </w:rPr>
  </w:style>
  <w:style w:type="paragraph" w:customStyle="1" w:styleId="PartDivider">
    <w:name w:val="Part Divider"/>
    <w:basedOn w:val="BodyText"/>
    <w:next w:val="BodyText"/>
    <w:semiHidden/>
    <w:rsid w:val="00A17328"/>
    <w:pPr>
      <w:spacing w:before="0" w:line="40" w:lineRule="exact"/>
      <w:jc w:val="right"/>
    </w:pPr>
    <w:rPr>
      <w:smallCaps/>
      <w:sz w:val="16"/>
    </w:rPr>
  </w:style>
  <w:style w:type="paragraph" w:customStyle="1" w:styleId="PartNumber">
    <w:name w:val="Part Number"/>
    <w:basedOn w:val="BodyText"/>
    <w:next w:val="BodyText"/>
    <w:semiHidden/>
    <w:rsid w:val="00A17328"/>
    <w:pPr>
      <w:spacing w:before="4000" w:line="320" w:lineRule="exact"/>
      <w:ind w:left="6634"/>
      <w:jc w:val="right"/>
    </w:pPr>
    <w:rPr>
      <w:smallCaps/>
      <w:spacing w:val="60"/>
      <w:sz w:val="32"/>
    </w:rPr>
  </w:style>
  <w:style w:type="paragraph" w:customStyle="1" w:styleId="PartTitle">
    <w:name w:val="Part Title"/>
    <w:basedOn w:val="BodyText"/>
    <w:semiHidden/>
    <w:rsid w:val="00A17328"/>
    <w:pPr>
      <w:spacing w:before="160" w:after="1360" w:line="520" w:lineRule="exact"/>
      <w:ind w:right="2381"/>
      <w:jc w:val="right"/>
    </w:pPr>
    <w:rPr>
      <w:smallCaps/>
      <w:sz w:val="52"/>
    </w:rPr>
  </w:style>
  <w:style w:type="paragraph" w:styleId="Quote">
    <w:name w:val="Quote"/>
    <w:basedOn w:val="BodyText"/>
    <w:next w:val="BodyText"/>
    <w:qFormat/>
    <w:rsid w:val="00A17328"/>
    <w:pPr>
      <w:spacing w:before="120" w:line="280" w:lineRule="exact"/>
      <w:ind w:left="340"/>
    </w:pPr>
    <w:rPr>
      <w:sz w:val="24"/>
    </w:rPr>
  </w:style>
  <w:style w:type="paragraph" w:customStyle="1" w:styleId="QuoteBullet">
    <w:name w:val="Quote Bullet"/>
    <w:basedOn w:val="Quote"/>
    <w:rsid w:val="00323E09"/>
    <w:pPr>
      <w:numPr>
        <w:numId w:val="14"/>
      </w:numPr>
    </w:pPr>
  </w:style>
  <w:style w:type="paragraph" w:customStyle="1" w:styleId="Rec">
    <w:name w:val="Rec"/>
    <w:basedOn w:val="BodyText"/>
    <w:rsid w:val="001363AA"/>
    <w:pPr>
      <w:keepLines/>
      <w:spacing w:before="180"/>
    </w:pPr>
    <w:rPr>
      <w:b/>
      <w:i/>
    </w:rPr>
  </w:style>
  <w:style w:type="paragraph" w:customStyle="1" w:styleId="RecBullet">
    <w:name w:val="Rec Bullet"/>
    <w:basedOn w:val="Rec"/>
    <w:rsid w:val="00323E09"/>
    <w:pPr>
      <w:numPr>
        <w:numId w:val="15"/>
      </w:numPr>
      <w:spacing w:before="80"/>
    </w:pPr>
  </w:style>
  <w:style w:type="paragraph" w:customStyle="1" w:styleId="RecB">
    <w:name w:val="RecB"/>
    <w:basedOn w:val="Normal"/>
    <w:rsid w:val="00F85325"/>
    <w:pPr>
      <w:keepLines/>
      <w:pBdr>
        <w:left w:val="single" w:sz="24" w:space="12" w:color="C0C0C0"/>
      </w:pBdr>
      <w:spacing w:before="180" w:line="320" w:lineRule="atLeast"/>
      <w:jc w:val="both"/>
    </w:pPr>
    <w:rPr>
      <w:b/>
      <w:i/>
      <w:szCs w:val="20"/>
    </w:rPr>
  </w:style>
  <w:style w:type="paragraph" w:customStyle="1" w:styleId="RecBBullet">
    <w:name w:val="RecB Bullet"/>
    <w:basedOn w:val="RecB"/>
    <w:rsid w:val="00F85325"/>
    <w:pPr>
      <w:numPr>
        <w:numId w:val="40"/>
      </w:numPr>
      <w:spacing w:before="80"/>
    </w:pPr>
  </w:style>
  <w:style w:type="paragraph" w:customStyle="1" w:styleId="RecBNoTitle">
    <w:name w:val="RecB NoTitle"/>
    <w:basedOn w:val="RecB"/>
    <w:rsid w:val="00F85325"/>
    <w:pPr>
      <w:spacing w:before="240"/>
    </w:pPr>
  </w:style>
  <w:style w:type="paragraph" w:customStyle="1" w:styleId="Reference">
    <w:name w:val="Reference"/>
    <w:basedOn w:val="BodyText"/>
    <w:rsid w:val="00A17328"/>
    <w:pPr>
      <w:spacing w:before="120"/>
      <w:ind w:left="340" w:hanging="340"/>
    </w:pPr>
  </w:style>
  <w:style w:type="paragraph" w:customStyle="1" w:styleId="SequenceInfo">
    <w:name w:val="Sequence Info"/>
    <w:basedOn w:val="BodyText"/>
    <w:semiHidden/>
    <w:rsid w:val="00A17328"/>
    <w:rPr>
      <w:vanish/>
      <w:sz w:val="16"/>
    </w:rPr>
  </w:style>
  <w:style w:type="paragraph" w:customStyle="1" w:styleId="SideNote">
    <w:name w:val="Side Note"/>
    <w:basedOn w:val="BodyText"/>
    <w:next w:val="BodyText"/>
    <w:semiHidden/>
    <w:rsid w:val="00A17328"/>
    <w:pPr>
      <w:keepNext/>
      <w:keepLines/>
      <w:framePr w:w="2155" w:hSpace="227" w:vSpace="181" w:wrap="around" w:vAnchor="text" w:hAnchor="page" w:xAlign="outside" w:y="1"/>
      <w:jc w:val="left"/>
    </w:pPr>
    <w:rPr>
      <w:i/>
      <w:sz w:val="24"/>
    </w:rPr>
  </w:style>
  <w:style w:type="paragraph" w:customStyle="1" w:styleId="SideNoteBullet">
    <w:name w:val="Side Note Bullet"/>
    <w:basedOn w:val="SideNote"/>
    <w:next w:val="BodyText"/>
    <w:semiHidden/>
    <w:rsid w:val="00A17328"/>
    <w:pPr>
      <w:framePr w:wrap="around"/>
      <w:numPr>
        <w:numId w:val="17"/>
      </w:numPr>
      <w:tabs>
        <w:tab w:val="left" w:pos="227"/>
      </w:tabs>
    </w:pPr>
  </w:style>
  <w:style w:type="paragraph" w:customStyle="1" w:styleId="SideNoteGraphic">
    <w:name w:val="Side Note Graphic"/>
    <w:basedOn w:val="SideNote"/>
    <w:next w:val="BodyText"/>
    <w:semiHidden/>
    <w:rsid w:val="00A17328"/>
    <w:pPr>
      <w:framePr w:wrap="around"/>
    </w:pPr>
  </w:style>
  <w:style w:type="paragraph" w:customStyle="1" w:styleId="TableBodyText">
    <w:name w:val="Table Body Text"/>
    <w:basedOn w:val="BodyText"/>
    <w:rsid w:val="00A17328"/>
    <w:pPr>
      <w:keepNext/>
      <w:keepLines/>
      <w:spacing w:before="0" w:after="40" w:line="220" w:lineRule="atLeast"/>
      <w:ind w:left="6" w:right="113"/>
      <w:jc w:val="right"/>
    </w:pPr>
    <w:rPr>
      <w:rFonts w:ascii="Arial" w:hAnsi="Arial"/>
      <w:sz w:val="20"/>
    </w:rPr>
  </w:style>
  <w:style w:type="paragraph" w:customStyle="1" w:styleId="TableBullet">
    <w:name w:val="Table Bullet"/>
    <w:basedOn w:val="TableBodyText"/>
    <w:rsid w:val="00323E09"/>
    <w:pPr>
      <w:numPr>
        <w:numId w:val="18"/>
      </w:numPr>
      <w:jc w:val="left"/>
    </w:pPr>
  </w:style>
  <w:style w:type="paragraph" w:customStyle="1" w:styleId="TableColumnHeading">
    <w:name w:val="Table Column Heading"/>
    <w:basedOn w:val="TableBodyText"/>
    <w:rsid w:val="00A17328"/>
    <w:pPr>
      <w:spacing w:before="80" w:after="80"/>
    </w:pPr>
    <w:rPr>
      <w:i/>
    </w:rPr>
  </w:style>
  <w:style w:type="paragraph" w:styleId="TOC2">
    <w:name w:val="toc 2"/>
    <w:basedOn w:val="BodyText"/>
    <w:semiHidden/>
    <w:rsid w:val="00A17328"/>
    <w:pPr>
      <w:tabs>
        <w:tab w:val="right" w:pos="8789"/>
      </w:tabs>
      <w:ind w:left="510" w:right="851" w:hanging="510"/>
      <w:jc w:val="left"/>
    </w:pPr>
    <w:rPr>
      <w:b/>
    </w:rPr>
  </w:style>
  <w:style w:type="paragraph" w:styleId="TOC3">
    <w:name w:val="toc 3"/>
    <w:basedOn w:val="TOC2"/>
    <w:semiHidden/>
    <w:rsid w:val="00A17328"/>
    <w:pPr>
      <w:spacing w:before="60"/>
      <w:ind w:left="1190" w:hanging="680"/>
    </w:pPr>
    <w:rPr>
      <w:b w:val="0"/>
    </w:rPr>
  </w:style>
  <w:style w:type="paragraph" w:styleId="TableofFigures">
    <w:name w:val="table of figures"/>
    <w:basedOn w:val="TOC3"/>
    <w:next w:val="BodyText"/>
    <w:semiHidden/>
    <w:rsid w:val="00A17328"/>
    <w:pPr>
      <w:ind w:left="737" w:hanging="737"/>
    </w:pPr>
  </w:style>
  <w:style w:type="paragraph" w:customStyle="1" w:styleId="TableTitle">
    <w:name w:val="Table Title"/>
    <w:basedOn w:val="Caption"/>
    <w:next w:val="Subtitle"/>
    <w:rsid w:val="00A17328"/>
  </w:style>
  <w:style w:type="paragraph" w:customStyle="1" w:styleId="TableUnitsRow">
    <w:name w:val="Table Units Row"/>
    <w:basedOn w:val="TableBodyText"/>
    <w:rsid w:val="00A17328"/>
    <w:pPr>
      <w:spacing w:before="80" w:after="80"/>
    </w:pPr>
  </w:style>
  <w:style w:type="paragraph" w:styleId="TOC1">
    <w:name w:val="toc 1"/>
    <w:basedOn w:val="Normal"/>
    <w:next w:val="TOC2"/>
    <w:semiHidden/>
    <w:rsid w:val="00A17328"/>
    <w:pPr>
      <w:tabs>
        <w:tab w:val="right" w:pos="8789"/>
      </w:tabs>
      <w:spacing w:before="480" w:after="60" w:line="320" w:lineRule="exact"/>
      <w:ind w:left="1191" w:right="851" w:hanging="1191"/>
    </w:pPr>
    <w:rPr>
      <w:b/>
      <w:caps/>
    </w:rPr>
  </w:style>
  <w:style w:type="paragraph" w:styleId="TOC4">
    <w:name w:val="toc 4"/>
    <w:basedOn w:val="TOC3"/>
    <w:semiHidden/>
    <w:rsid w:val="00A17328"/>
    <w:pPr>
      <w:ind w:left="1191" w:firstLine="0"/>
    </w:pPr>
  </w:style>
  <w:style w:type="character" w:customStyle="1" w:styleId="BodyTextChar">
    <w:name w:val="Body Text Char"/>
    <w:aliases w:val="new legislation style Char1,Body Text Char1 Char Char1,Body Text Char Char Char Char1,Body Text Char1 Char Char Char Char1,Body Text Char Char Char Char Char1 Char1,Body Text Char2 Char1 Char Char Char Char Char Char1"/>
    <w:basedOn w:val="DefaultParagraphFont"/>
    <w:link w:val="BodyText"/>
    <w:rsid w:val="00AE3750"/>
    <w:rPr>
      <w:sz w:val="26"/>
      <w:lang w:val="en-AU" w:eastAsia="en-AU" w:bidi="ar-SA"/>
    </w:rPr>
  </w:style>
  <w:style w:type="character" w:customStyle="1" w:styleId="FootnoteTextChar">
    <w:name w:val="Footnote Text Char"/>
    <w:basedOn w:val="BodyTextChar"/>
    <w:link w:val="FootnoteText"/>
    <w:rsid w:val="007376DF"/>
    <w:rPr>
      <w:sz w:val="22"/>
      <w:lang w:val="en-AU" w:eastAsia="en-AU" w:bidi="ar-SA"/>
    </w:rPr>
  </w:style>
  <w:style w:type="paragraph" w:styleId="CommentSubject">
    <w:name w:val="annotation subject"/>
    <w:basedOn w:val="CommentText"/>
    <w:next w:val="CommentText"/>
    <w:semiHidden/>
    <w:rsid w:val="005C1BC4"/>
    <w:pPr>
      <w:spacing w:before="0" w:line="240" w:lineRule="auto"/>
      <w:ind w:left="0" w:firstLine="0"/>
    </w:pPr>
    <w:rPr>
      <w:b/>
      <w:bCs/>
      <w:szCs w:val="20"/>
    </w:rPr>
  </w:style>
  <w:style w:type="paragraph" w:styleId="BalloonText">
    <w:name w:val="Balloon Text"/>
    <w:basedOn w:val="Normal"/>
    <w:semiHidden/>
    <w:rsid w:val="005C1BC4"/>
    <w:rPr>
      <w:rFonts w:ascii="Tahoma" w:hAnsi="Tahoma" w:cs="Tahoma"/>
      <w:sz w:val="16"/>
      <w:szCs w:val="16"/>
    </w:rPr>
  </w:style>
  <w:style w:type="character" w:customStyle="1" w:styleId="newlegislationstyleChar">
    <w:name w:val="new legislation style Char"/>
    <w:aliases w:val="Body Text Char1 Char Char,Body Text Char Char Char Char,Body Text Char1 Char Char Char Char,Body Text Char Char Char Char Char1 Char,Body Text Char2 Char1 Char Char Char Char Char Char,Body Text Char2 Char Char"/>
    <w:basedOn w:val="DefaultParagraphFont"/>
    <w:rsid w:val="00195CC1"/>
    <w:rPr>
      <w:sz w:val="26"/>
      <w:lang w:val="en-AU" w:eastAsia="en-AU" w:bidi="ar-SA"/>
    </w:rPr>
  </w:style>
  <w:style w:type="paragraph" w:styleId="Revision">
    <w:name w:val="Revision"/>
    <w:hidden/>
    <w:uiPriority w:val="99"/>
    <w:semiHidden/>
    <w:rsid w:val="00002D6C"/>
    <w:rPr>
      <w:sz w:val="26"/>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c%20template\Chapter.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EA19F6-A509-4D2E-97DD-086DDBC391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Chapter</Template>
  <TotalTime>325</TotalTime>
  <Pages>12</Pages>
  <Words>4070</Words>
  <Characters>22188</Characters>
  <Application>Microsoft Office Word</Application>
  <DocSecurity>0</DocSecurity>
  <Lines>184</Lines>
  <Paragraphs>52</Paragraphs>
  <ScaleCrop>false</ScaleCrop>
  <HeadingPairs>
    <vt:vector size="2" baseType="variant">
      <vt:variant>
        <vt:lpstr>Title</vt:lpstr>
      </vt:variant>
      <vt:variant>
        <vt:i4>1</vt:i4>
      </vt:variant>
    </vt:vector>
  </HeadingPairs>
  <TitlesOfParts>
    <vt:vector size="1" baseType="lpstr">
      <vt:lpstr>Results and discussion</vt:lpstr>
    </vt:vector>
  </TitlesOfParts>
  <Company>Productivity Commission</Company>
  <LinksUpToDate>false</LinksUpToDate>
  <CharactersWithSpaces>26206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Results and discussion</dc:title>
  <dc:subject>determinants of indigenous labour market outcomes</dc:subject>
  <dc:creator>cboulton</dc:creator>
  <cp:keywords/>
  <dc:description>5.</dc:description>
  <cp:lastModifiedBy>Louise Jordan</cp:lastModifiedBy>
  <cp:revision>42</cp:revision>
  <cp:lastPrinted>2011-11-23T05:48:00Z</cp:lastPrinted>
  <dcterms:created xsi:type="dcterms:W3CDTF">2011-09-07T07:23:00Z</dcterms:created>
  <dcterms:modified xsi:type="dcterms:W3CDTF">2011-11-23T05:50:00Z</dcterms:modified>
</cp:coreProperties>
</file>