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6D341C" w14:textId="2B86D293" w:rsidR="00DE723D" w:rsidRDefault="00DE723D" w:rsidP="00DE723D">
      <w:pPr>
        <w:pStyle w:val="Heading1"/>
        <w:spacing w:before="0"/>
      </w:pPr>
      <w:bookmarkStart w:id="0" w:name="ChapterNumber"/>
      <w:bookmarkStart w:id="1" w:name="_GoBack"/>
      <w:bookmarkEnd w:id="1"/>
      <w:r>
        <w:t>6</w:t>
      </w:r>
      <w:bookmarkEnd w:id="0"/>
      <w:r>
        <w:tab/>
      </w:r>
      <w:r w:rsidR="008D7D90">
        <w:t>Conclusion</w:t>
      </w:r>
    </w:p>
    <w:p w14:paraId="28750943" w14:textId="72927D04" w:rsidR="00DE723D" w:rsidRDefault="00DE723D" w:rsidP="00DE723D">
      <w:pPr>
        <w:pStyle w:val="BodyText"/>
      </w:pPr>
      <w:bookmarkStart w:id="2" w:name="begin"/>
      <w:bookmarkEnd w:id="2"/>
      <w:r>
        <w:t xml:space="preserve">This paper has examined the relationships between Indigenous </w:t>
      </w:r>
      <w:r w:rsidR="00673B9B">
        <w:t>labour market outcomes (</w:t>
      </w:r>
      <w:proofErr w:type="spellStart"/>
      <w:r>
        <w:t>LMOs</w:t>
      </w:r>
      <w:proofErr w:type="spellEnd"/>
      <w:r w:rsidR="00673B9B">
        <w:t>)</w:t>
      </w:r>
      <w:r>
        <w:t xml:space="preserve"> and selected variables using 2008 </w:t>
      </w:r>
      <w:r w:rsidR="00573900">
        <w:t>National Aboriginal and Torres Strait Islander Social Survey (</w:t>
      </w:r>
      <w:proofErr w:type="spellStart"/>
      <w:r>
        <w:t>NATSISS</w:t>
      </w:r>
      <w:proofErr w:type="spellEnd"/>
      <w:r w:rsidR="00573900">
        <w:t>)</w:t>
      </w:r>
      <w:r>
        <w:t xml:space="preserve"> data. </w:t>
      </w:r>
      <w:r w:rsidR="003937A7">
        <w:t xml:space="preserve">It </w:t>
      </w:r>
      <w:r w:rsidR="00673B9B">
        <w:t>is</w:t>
      </w:r>
      <w:r w:rsidR="0034087E">
        <w:t xml:space="preserve"> a companion to section </w:t>
      </w:r>
      <w:r>
        <w:t>13.</w:t>
      </w:r>
      <w:r w:rsidR="00CA6FAF">
        <w:t>2</w:t>
      </w:r>
      <w:r>
        <w:t xml:space="preserve"> </w:t>
      </w:r>
      <w:r w:rsidR="003937A7">
        <w:t xml:space="preserve">of </w:t>
      </w:r>
      <w:r w:rsidR="00573900" w:rsidRPr="00573900">
        <w:rPr>
          <w:i/>
        </w:rPr>
        <w:t>Overcoming Indigenous Disadvantage</w:t>
      </w:r>
      <w:r w:rsidR="00AB3CF2">
        <w:rPr>
          <w:i/>
        </w:rPr>
        <w:t>: Key Indicators</w:t>
      </w:r>
      <w:r w:rsidR="00573900">
        <w:t xml:space="preserve"> </w:t>
      </w:r>
      <w:r w:rsidR="006F19E3" w:rsidRPr="0017107A">
        <w:rPr>
          <w:i/>
        </w:rPr>
        <w:t>2011</w:t>
      </w:r>
      <w:r w:rsidR="006F19E3">
        <w:t xml:space="preserve"> </w:t>
      </w:r>
      <w:r w:rsidR="00573900">
        <w:t>(OID</w:t>
      </w:r>
      <w:r w:rsidR="006F19E3">
        <w:t xml:space="preserve"> </w:t>
      </w:r>
      <w:r w:rsidR="0017107A">
        <w:t>R</w:t>
      </w:r>
      <w:r w:rsidR="006F19E3">
        <w:t>eport</w:t>
      </w:r>
      <w:r w:rsidR="00573900">
        <w:t>) (</w:t>
      </w:r>
      <w:proofErr w:type="spellStart"/>
      <w:r w:rsidR="0017107A">
        <w:t>SCRGSP</w:t>
      </w:r>
      <w:proofErr w:type="spellEnd"/>
      <w:r w:rsidR="0017107A">
        <w:t> </w:t>
      </w:r>
      <w:r w:rsidR="00573900">
        <w:t>2011)</w:t>
      </w:r>
      <w:r w:rsidR="003937A7">
        <w:t xml:space="preserve">, </w:t>
      </w:r>
      <w:r w:rsidR="00673B9B">
        <w:t>provid</w:t>
      </w:r>
      <w:r w:rsidR="003937A7">
        <w:t>ing</w:t>
      </w:r>
      <w:r w:rsidR="00673B9B">
        <w:t xml:space="preserve"> some</w:t>
      </w:r>
      <w:r>
        <w:t xml:space="preserve"> policy </w:t>
      </w:r>
      <w:r w:rsidR="00673B9B">
        <w:t>context for the analysis,</w:t>
      </w:r>
      <w:r w:rsidR="00573900">
        <w:t xml:space="preserve"> </w:t>
      </w:r>
      <w:r w:rsidR="003937A7">
        <w:t xml:space="preserve">an explanation of the </w:t>
      </w:r>
      <w:r>
        <w:t>theory underpinning variable selection,</w:t>
      </w:r>
      <w:r w:rsidR="00573900">
        <w:t xml:space="preserve"> an</w:t>
      </w:r>
      <w:r w:rsidR="003937A7">
        <w:t xml:space="preserve">d an </w:t>
      </w:r>
      <w:r>
        <w:t>interpret</w:t>
      </w:r>
      <w:r w:rsidR="003937A7">
        <w:t xml:space="preserve">ation of the </w:t>
      </w:r>
      <w:r>
        <w:t>results</w:t>
      </w:r>
      <w:r w:rsidR="00EB1A98">
        <w:t xml:space="preserve"> (a summary of the key findings can be found </w:t>
      </w:r>
      <w:r w:rsidR="002C4093">
        <w:t>in box 5.1</w:t>
      </w:r>
      <w:r w:rsidR="00EB1A98">
        <w:t>)</w:t>
      </w:r>
      <w:r w:rsidR="003937A7">
        <w:t xml:space="preserve">. </w:t>
      </w:r>
      <w:r>
        <w:t xml:space="preserve">It </w:t>
      </w:r>
      <w:r w:rsidR="00673B9B">
        <w:t xml:space="preserve">extends the analysis used in the OID </w:t>
      </w:r>
      <w:r w:rsidR="0017107A">
        <w:t xml:space="preserve">Report </w:t>
      </w:r>
      <w:r w:rsidR="00673B9B">
        <w:t>to examine the effect of</w:t>
      </w:r>
      <w:r>
        <w:t xml:space="preserve"> additional variables to control for social and cultural influences. </w:t>
      </w:r>
    </w:p>
    <w:p w14:paraId="01FCC0D3" w14:textId="59A5B800" w:rsidR="00DE723D" w:rsidRDefault="00DE723D">
      <w:pPr>
        <w:pStyle w:val="BodyText"/>
      </w:pPr>
      <w:r>
        <w:t xml:space="preserve">The main benefit of using </w:t>
      </w:r>
      <w:r w:rsidR="00673B9B">
        <w:t>data obtained from the</w:t>
      </w:r>
      <w:r>
        <w:t xml:space="preserve"> </w:t>
      </w:r>
      <w:proofErr w:type="spellStart"/>
      <w:r>
        <w:t>NATSISS</w:t>
      </w:r>
      <w:proofErr w:type="spellEnd"/>
      <w:r>
        <w:t xml:space="preserve">, compared to the Census, is that the </w:t>
      </w:r>
      <w:proofErr w:type="spellStart"/>
      <w:r>
        <w:t>NATSISS</w:t>
      </w:r>
      <w:proofErr w:type="spellEnd"/>
      <w:r>
        <w:t xml:space="preserve"> allows examination of </w:t>
      </w:r>
      <w:r w:rsidR="008E2DAB">
        <w:t xml:space="preserve">Indigenous </w:t>
      </w:r>
      <w:r>
        <w:t>health</w:t>
      </w:r>
      <w:r w:rsidR="008E2DAB">
        <w:t xml:space="preserve"> status and criminal history</w:t>
      </w:r>
      <w:r>
        <w:t xml:space="preserve">, as well as social and cultural factors, which are not available in the Census. Controlling for these factors improves the estimated marginal effects because it reduces the omitted variable bias in the model. It also confirms that a broad range of factors </w:t>
      </w:r>
      <w:r w:rsidR="006F2065">
        <w:t xml:space="preserve">is </w:t>
      </w:r>
      <w:r>
        <w:t xml:space="preserve">likely to </w:t>
      </w:r>
      <w:r w:rsidR="003937A7">
        <w:t xml:space="preserve">be associated with </w:t>
      </w:r>
      <w:r>
        <w:t xml:space="preserve">Indigenous </w:t>
      </w:r>
      <w:proofErr w:type="spellStart"/>
      <w:r>
        <w:t>LMOs</w:t>
      </w:r>
      <w:proofErr w:type="spellEnd"/>
      <w:r w:rsidR="003937A7">
        <w:t xml:space="preserve">. </w:t>
      </w:r>
      <w:r>
        <w:t xml:space="preserve">The </w:t>
      </w:r>
      <w:proofErr w:type="spellStart"/>
      <w:r>
        <w:t>NATSISS</w:t>
      </w:r>
      <w:proofErr w:type="spellEnd"/>
      <w:r>
        <w:t xml:space="preserve"> also allows examination of </w:t>
      </w:r>
      <w:r w:rsidR="00673B9B">
        <w:t xml:space="preserve"> participation in the Community Development Employment Project (</w:t>
      </w:r>
      <w:proofErr w:type="spellStart"/>
      <w:r w:rsidR="00673B9B">
        <w:t>CDEP</w:t>
      </w:r>
      <w:proofErr w:type="spellEnd"/>
      <w:r w:rsidR="00673B9B">
        <w:t>) Scheme</w:t>
      </w:r>
      <w:r>
        <w:t xml:space="preserve">, which has been an important component of Indigenous employment in some areas, although its importance is expected to reduce in coming years. </w:t>
      </w:r>
    </w:p>
    <w:p w14:paraId="75BE70B9" w14:textId="77777777" w:rsidR="00DE723D" w:rsidRPr="00847C85" w:rsidRDefault="00DE723D" w:rsidP="00DE723D">
      <w:pPr>
        <w:pStyle w:val="BodyText"/>
      </w:pPr>
      <w:r>
        <w:t xml:space="preserve">The findings of this study have some implications for </w:t>
      </w:r>
      <w:r w:rsidR="00AA1DF2">
        <w:t xml:space="preserve">further </w:t>
      </w:r>
      <w:r>
        <w:t>research in terms of other areas for study, modelling approaches and data collection.</w:t>
      </w:r>
    </w:p>
    <w:p w14:paraId="25F76B6F" w14:textId="77777777" w:rsidR="00DE723D" w:rsidRDefault="000121A2" w:rsidP="00DE723D">
      <w:pPr>
        <w:pStyle w:val="Heading3"/>
      </w:pPr>
      <w:r>
        <w:t>Alternative m</w:t>
      </w:r>
      <w:r w:rsidR="00DE723D" w:rsidRPr="00F16A68">
        <w:t>odelling</w:t>
      </w:r>
      <w:r w:rsidR="000A246E">
        <w:t xml:space="preserve"> approaches</w:t>
      </w:r>
    </w:p>
    <w:p w14:paraId="1FE14F54" w14:textId="77777777" w:rsidR="00C77F1C" w:rsidRDefault="00DE723D" w:rsidP="00DE723D">
      <w:pPr>
        <w:pStyle w:val="BodyText"/>
      </w:pPr>
      <w:r>
        <w:t xml:space="preserve">This paper provides an interpretation of the results of </w:t>
      </w:r>
      <w:r w:rsidR="00C77F1C">
        <w:t>a multivariate</w:t>
      </w:r>
      <w:r>
        <w:t xml:space="preserve"> model </w:t>
      </w:r>
      <w:r w:rsidR="00C77F1C">
        <w:t xml:space="preserve">which has greater explanatory power than bivariate analysis in examining </w:t>
      </w:r>
      <w:proofErr w:type="spellStart"/>
      <w:r w:rsidR="00C77F1C">
        <w:t>LMOs</w:t>
      </w:r>
      <w:proofErr w:type="spellEnd"/>
      <w:r w:rsidR="00C77F1C">
        <w:t xml:space="preserve">. </w:t>
      </w:r>
      <w:r w:rsidR="000A246E">
        <w:t xml:space="preserve">The paper examines the advantages and disadvantages of using a multinomial </w:t>
      </w:r>
      <w:proofErr w:type="spellStart"/>
      <w:r w:rsidR="000A246E">
        <w:t>probit</w:t>
      </w:r>
      <w:proofErr w:type="spellEnd"/>
      <w:r w:rsidR="000A246E">
        <w:t xml:space="preserve"> (rather than </w:t>
      </w:r>
      <w:proofErr w:type="spellStart"/>
      <w:r w:rsidR="000A246E">
        <w:t>logit</w:t>
      </w:r>
      <w:proofErr w:type="spellEnd"/>
      <w:r w:rsidR="000A246E">
        <w:t xml:space="preserve">) model and unweighted (rather than weighted) data. It also sets out </w:t>
      </w:r>
      <w:r w:rsidR="00AA1DF2">
        <w:t xml:space="preserve">some </w:t>
      </w:r>
      <w:r w:rsidR="000A246E">
        <w:t xml:space="preserve">qualifications </w:t>
      </w:r>
      <w:r w:rsidR="00AA1DF2">
        <w:t>to the results</w:t>
      </w:r>
      <w:r w:rsidR="000A246E">
        <w:t xml:space="preserve">, and provides an extensive set of results for potential use in further analysis. </w:t>
      </w:r>
    </w:p>
    <w:p w14:paraId="21AD005E" w14:textId="77777777" w:rsidR="00B92585" w:rsidRDefault="00AA1DF2" w:rsidP="007C701F">
      <w:pPr>
        <w:pStyle w:val="BodyText"/>
      </w:pPr>
      <w:r>
        <w:t>As discussed, s</w:t>
      </w:r>
      <w:r w:rsidR="007C701F">
        <w:t xml:space="preserve">tudies of this </w:t>
      </w:r>
      <w:r>
        <w:t xml:space="preserve">type </w:t>
      </w:r>
      <w:r w:rsidR="007C701F">
        <w:t xml:space="preserve">suffer from numerous potential sources of </w:t>
      </w:r>
      <w:proofErr w:type="spellStart"/>
      <w:r w:rsidR="007C701F">
        <w:t>endogeneity</w:t>
      </w:r>
      <w:proofErr w:type="spellEnd"/>
      <w:r w:rsidR="007C701F">
        <w:t xml:space="preserve">, meaning that the results are best interpreted as associations. More </w:t>
      </w:r>
      <w:r w:rsidR="007C701F">
        <w:lastRenderedPageBreak/>
        <w:t xml:space="preserve">research could be undertaken to develop statistical models to allow for the causality that is implied by theory to be tested. </w:t>
      </w:r>
    </w:p>
    <w:p w14:paraId="04F3C821" w14:textId="77777777" w:rsidR="000A246E" w:rsidRDefault="000A246E" w:rsidP="00DE723D">
      <w:pPr>
        <w:pStyle w:val="BodyText"/>
      </w:pPr>
      <w:r>
        <w:t>The analysis provides a basis for future research using alternative model specifications and can</w:t>
      </w:r>
      <w:r w:rsidR="00C77F1C">
        <w:t xml:space="preserve"> be extended to other issues of interest. </w:t>
      </w:r>
      <w:r>
        <w:t xml:space="preserve">The technique could be applied to investigate relationships between individuals’ characteristics and factors that may be associated with outcomes of interest other than </w:t>
      </w:r>
      <w:proofErr w:type="spellStart"/>
      <w:r>
        <w:t>LMOs</w:t>
      </w:r>
      <w:proofErr w:type="spellEnd"/>
      <w:r>
        <w:t xml:space="preserve">, for example, year 12 attainment, which is another COAG performance benchmark. </w:t>
      </w:r>
    </w:p>
    <w:p w14:paraId="17515363" w14:textId="77777777" w:rsidR="000121A2" w:rsidRDefault="00C77F1C" w:rsidP="00DE723D">
      <w:pPr>
        <w:pStyle w:val="BodyText"/>
      </w:pPr>
      <w:r>
        <w:t xml:space="preserve">Some studies have explored other </w:t>
      </w:r>
      <w:proofErr w:type="spellStart"/>
      <w:r>
        <w:t>LMOs</w:t>
      </w:r>
      <w:proofErr w:type="spellEnd"/>
      <w:r>
        <w:t xml:space="preserve">, such as discouraged worker effects. Others have used different modelling approaches, such as interaction terms, binary models, two-stage estimation and simultaneous equation models. </w:t>
      </w:r>
    </w:p>
    <w:p w14:paraId="25F8B5B0" w14:textId="2BEE658B" w:rsidR="00C77F1C" w:rsidRDefault="00A637CE" w:rsidP="00DE723D">
      <w:pPr>
        <w:pStyle w:val="BodyText"/>
      </w:pPr>
      <w:r>
        <w:t>Another area of potential further study is</w:t>
      </w:r>
      <w:r w:rsidR="00553882">
        <w:t xml:space="preserve"> in</w:t>
      </w:r>
      <w:r>
        <w:t xml:space="preserve"> analysing </w:t>
      </w:r>
      <w:r w:rsidR="00553882">
        <w:t xml:space="preserve">the </w:t>
      </w:r>
      <w:r>
        <w:t>variation in determinants of Indigenous</w:t>
      </w:r>
      <w:r w:rsidR="00346FE0">
        <w:t xml:space="preserve"> labour market outcomes between </w:t>
      </w:r>
      <w:r>
        <w:t>remote and non-remote areas, given the heterogeneity of Indigenous populations across regions. T</w:t>
      </w:r>
      <w:r w:rsidR="00346FE0">
        <w:t>his could involve</w:t>
      </w:r>
      <w:r w:rsidR="00C77F1C">
        <w:t xml:space="preserve"> </w:t>
      </w:r>
      <w:r w:rsidR="00346FE0">
        <w:t xml:space="preserve">the estimation of </w:t>
      </w:r>
      <w:r w:rsidR="00C77F1C">
        <w:t xml:space="preserve">separate models </w:t>
      </w:r>
      <w:r w:rsidR="00346FE0">
        <w:t xml:space="preserve">based on disaggregated samples of </w:t>
      </w:r>
      <w:r w:rsidR="00AA1DF2">
        <w:t xml:space="preserve">Indigenous </w:t>
      </w:r>
      <w:r w:rsidR="00346FE0">
        <w:t>people</w:t>
      </w:r>
      <w:r w:rsidR="00AA1DF2">
        <w:t xml:space="preserve"> </w:t>
      </w:r>
      <w:r w:rsidR="00346FE0">
        <w:t xml:space="preserve">in </w:t>
      </w:r>
      <w:r w:rsidR="00C77F1C">
        <w:t>remote and non-remote</w:t>
      </w:r>
      <w:r w:rsidR="00AA1DF2">
        <w:t xml:space="preserve"> </w:t>
      </w:r>
      <w:r w:rsidR="00346FE0">
        <w:t>areas</w:t>
      </w:r>
      <w:r w:rsidR="00C77F1C">
        <w:t xml:space="preserve"> (as was done </w:t>
      </w:r>
      <w:r>
        <w:t>by</w:t>
      </w:r>
      <w:r w:rsidR="00C77F1C">
        <w:t xml:space="preserve"> Stephens (2010)).  </w:t>
      </w:r>
    </w:p>
    <w:p w14:paraId="515EE7AB" w14:textId="77777777" w:rsidR="00B92585" w:rsidRDefault="00B92585" w:rsidP="00B92585">
      <w:pPr>
        <w:pStyle w:val="BodyText"/>
      </w:pPr>
      <w:r>
        <w:t xml:space="preserve">Despite the many caveats, the comparison of results from alternative model specifications has shown that the conclusions are robust to modelling choices. That said, there might be benefit developing an agreed methodology for future studies, especially if results are to be comparable over time. </w:t>
      </w:r>
    </w:p>
    <w:p w14:paraId="40EA76F1" w14:textId="77777777" w:rsidR="00DE723D" w:rsidRPr="00D328EE" w:rsidRDefault="00573339" w:rsidP="00DE723D">
      <w:pPr>
        <w:pStyle w:val="Heading3"/>
      </w:pPr>
      <w:r>
        <w:t>Overcoming d</w:t>
      </w:r>
      <w:r w:rsidR="00DE723D" w:rsidRPr="00D328EE">
        <w:t>ata</w:t>
      </w:r>
      <w:r>
        <w:t xml:space="preserve"> limitations</w:t>
      </w:r>
      <w:r w:rsidR="00DE723D" w:rsidRPr="00D328EE">
        <w:t xml:space="preserve"> </w:t>
      </w:r>
    </w:p>
    <w:p w14:paraId="7DE1E3FF" w14:textId="77777777" w:rsidR="00573339" w:rsidRDefault="00DE723D" w:rsidP="00DE723D">
      <w:pPr>
        <w:pStyle w:val="BodyText"/>
      </w:pPr>
      <w:r>
        <w:t xml:space="preserve">While the </w:t>
      </w:r>
      <w:proofErr w:type="spellStart"/>
      <w:r>
        <w:t>NATSISS</w:t>
      </w:r>
      <w:proofErr w:type="spellEnd"/>
      <w:r>
        <w:t xml:space="preserve"> </w:t>
      </w:r>
      <w:r w:rsidR="00A637CE">
        <w:t>provides</w:t>
      </w:r>
      <w:r>
        <w:t xml:space="preserve"> a wealth of information about Indigenous people that</w:t>
      </w:r>
      <w:r w:rsidR="00A637CE">
        <w:t xml:space="preserve"> can be used to research a broad range of subject areas related to</w:t>
      </w:r>
      <w:r w:rsidR="00EE5698">
        <w:t xml:space="preserve"> the wellb</w:t>
      </w:r>
      <w:r w:rsidR="00B92585">
        <w:t>e</w:t>
      </w:r>
      <w:r w:rsidR="00EE5698">
        <w:t xml:space="preserve">ing of </w:t>
      </w:r>
      <w:r w:rsidR="00A637CE">
        <w:t>Indigenous Australians</w:t>
      </w:r>
      <w:r>
        <w:t xml:space="preserve">, </w:t>
      </w:r>
      <w:r w:rsidR="00573339">
        <w:t xml:space="preserve">changes to data collection could improve its application to </w:t>
      </w:r>
      <w:r>
        <w:t xml:space="preserve">labour market research. </w:t>
      </w:r>
    </w:p>
    <w:p w14:paraId="5DF4B5C8" w14:textId="20038662" w:rsidR="00573339" w:rsidRDefault="00573339" w:rsidP="00DE723D">
      <w:pPr>
        <w:pStyle w:val="BodyText"/>
      </w:pPr>
      <w:r>
        <w:t xml:space="preserve">A major limitation of the </w:t>
      </w:r>
      <w:proofErr w:type="spellStart"/>
      <w:r>
        <w:t>NATSISS</w:t>
      </w:r>
      <w:proofErr w:type="spellEnd"/>
      <w:r>
        <w:t xml:space="preserve"> data is the lack of indicators of labour demand across different geographic areas.</w:t>
      </w:r>
      <w:r w:rsidRPr="00573339">
        <w:t xml:space="preserve"> </w:t>
      </w:r>
      <w:r>
        <w:t xml:space="preserve">Remoteness is a variable that </w:t>
      </w:r>
      <w:r w:rsidR="00A637CE">
        <w:t>partly</w:t>
      </w:r>
      <w:r>
        <w:t xml:space="preserve"> controls for labour demand. </w:t>
      </w:r>
      <w:r w:rsidR="00F86C9C">
        <w:t>A more direct indicator</w:t>
      </w:r>
      <w:r w:rsidR="00A637CE">
        <w:t xml:space="preserve"> of </w:t>
      </w:r>
      <w:r w:rsidR="00F86C9C">
        <w:t>labour demand would</w:t>
      </w:r>
      <w:r w:rsidR="00061400">
        <w:t xml:space="preserve"> be</w:t>
      </w:r>
      <w:r w:rsidR="00F86C9C">
        <w:t xml:space="preserve"> related to </w:t>
      </w:r>
      <w:r w:rsidR="00A637CE">
        <w:t>the level of economic activity and labour market conditions</w:t>
      </w:r>
      <w:r w:rsidR="00E479FE">
        <w:t>.</w:t>
      </w:r>
      <w:r w:rsidR="00A637CE">
        <w:t xml:space="preserve"> </w:t>
      </w:r>
      <w:r w:rsidR="00F86C9C">
        <w:t xml:space="preserve">Potential indicators of local labour market conditions could include local employment to population ratios or unemployment rates </w:t>
      </w:r>
      <w:r w:rsidR="00B92585">
        <w:t>disaggregated</w:t>
      </w:r>
      <w:r w:rsidR="00F86C9C">
        <w:t xml:space="preserve"> by regions such as Census Collection Districts. The inclusion of more direct indicators is likely to improve the explanatory power of the model  in estimating </w:t>
      </w:r>
      <w:r>
        <w:t xml:space="preserve">the effects of the economic variables, especially if the latter are defined over large </w:t>
      </w:r>
      <w:r w:rsidR="00B77E9A">
        <w:t>heterogeneous</w:t>
      </w:r>
      <w:r>
        <w:t xml:space="preserve"> regions. </w:t>
      </w:r>
    </w:p>
    <w:p w14:paraId="0FEE9526" w14:textId="7805FA22" w:rsidR="00DE723D" w:rsidRDefault="00DE723D" w:rsidP="00DE723D">
      <w:pPr>
        <w:pStyle w:val="BodyText"/>
      </w:pPr>
      <w:r>
        <w:lastRenderedPageBreak/>
        <w:t xml:space="preserve">This study examined a subset of </w:t>
      </w:r>
      <w:proofErr w:type="spellStart"/>
      <w:r>
        <w:t>LMOs</w:t>
      </w:r>
      <w:proofErr w:type="spellEnd"/>
      <w:r>
        <w:t xml:space="preserve"> related to labour force status</w:t>
      </w:r>
      <w:r w:rsidR="00F86C9C">
        <w:t>.</w:t>
      </w:r>
      <w:r>
        <w:t xml:space="preserve"> </w:t>
      </w:r>
      <w:r w:rsidR="00F86C9C">
        <w:t>A</w:t>
      </w:r>
      <w:r>
        <w:t xml:space="preserve">n important extension would be to examine </w:t>
      </w:r>
      <w:r w:rsidR="007C701F">
        <w:t xml:space="preserve">the relationships between various factors and Indigenous wages </w:t>
      </w:r>
      <w:r w:rsidR="00F86C9C">
        <w:t>(which can be interpreted as an indicator of</w:t>
      </w:r>
      <w:r w:rsidR="007C701F">
        <w:t xml:space="preserve"> productivity</w:t>
      </w:r>
      <w:r w:rsidR="00F86C9C">
        <w:t>)</w:t>
      </w:r>
      <w:r>
        <w:t xml:space="preserve">. However, the </w:t>
      </w:r>
      <w:proofErr w:type="spellStart"/>
      <w:r w:rsidR="00F86C9C">
        <w:t>NATSISS</w:t>
      </w:r>
      <w:proofErr w:type="spellEnd"/>
      <w:r w:rsidR="00F86C9C">
        <w:t xml:space="preserve"> data </w:t>
      </w:r>
      <w:r>
        <w:t>do not</w:t>
      </w:r>
      <w:r w:rsidR="00F86C9C">
        <w:t xml:space="preserve"> allow for the identification of</w:t>
      </w:r>
      <w:r>
        <w:t xml:space="preserve"> income</w:t>
      </w:r>
      <w:r w:rsidR="00F86C9C">
        <w:t xml:space="preserve"> earned </w:t>
      </w:r>
      <w:r w:rsidR="00DC2028">
        <w:t>from wages and salar</w:t>
      </w:r>
      <w:r w:rsidR="00553882">
        <w:t>ies</w:t>
      </w:r>
      <w:r w:rsidR="00DC2028">
        <w:t xml:space="preserve"> separate from other income sources</w:t>
      </w:r>
      <w:r w:rsidR="00B92585">
        <w:t>,</w:t>
      </w:r>
      <w:r w:rsidR="00DC2028">
        <w:t xml:space="preserve"> including government pensions and allowances</w:t>
      </w:r>
      <w:r w:rsidR="00DF43FD">
        <w:t xml:space="preserve">, </w:t>
      </w:r>
      <w:r w:rsidR="00B92585">
        <w:t>disaggregated</w:t>
      </w:r>
      <w:r w:rsidR="00DF43FD">
        <w:t xml:space="preserve"> by remoteness area</w:t>
      </w:r>
      <w:r w:rsidR="00DC2028">
        <w:t>. These data limitation</w:t>
      </w:r>
      <w:r w:rsidR="00DF43FD">
        <w:t xml:space="preserve">s </w:t>
      </w:r>
      <w:r>
        <w:t xml:space="preserve">constrain the ability to undertake research in this area. </w:t>
      </w:r>
    </w:p>
    <w:p w14:paraId="4EDC7DF6" w14:textId="77777777" w:rsidR="00DE723D" w:rsidRDefault="00DE723D" w:rsidP="00DE723D">
      <w:pPr>
        <w:pStyle w:val="BodyText"/>
      </w:pPr>
      <w:r>
        <w:t xml:space="preserve">The variables used to represent social and cultural factors would also benefit from information about the extent and quality of social networks, with a view to identifying whether they might reduce job search costs and improve </w:t>
      </w:r>
      <w:proofErr w:type="spellStart"/>
      <w:r>
        <w:t>LMOs</w:t>
      </w:r>
      <w:proofErr w:type="spellEnd"/>
      <w:r>
        <w:t xml:space="preserve">. While the dataset includes information on participation in cultural events and activities and whether the respondent provides support outside the household, there is no information </w:t>
      </w:r>
      <w:r w:rsidR="00DF43FD">
        <w:t>indicating</w:t>
      </w:r>
      <w:r w:rsidR="00F44C69">
        <w:t xml:space="preserve"> whether </w:t>
      </w:r>
      <w:r>
        <w:t xml:space="preserve">these activities </w:t>
      </w:r>
      <w:r w:rsidR="00F44C69">
        <w:t xml:space="preserve">are </w:t>
      </w:r>
      <w:r>
        <w:t xml:space="preserve">likely to compete with or complement participation in the paid labour market. </w:t>
      </w:r>
    </w:p>
    <w:p w14:paraId="7BD9382E" w14:textId="77777777" w:rsidR="00DE723D" w:rsidRDefault="00DE723D" w:rsidP="00DE723D">
      <w:pPr>
        <w:pStyle w:val="BodyText"/>
      </w:pPr>
      <w:r>
        <w:t xml:space="preserve">The dataset also </w:t>
      </w:r>
      <w:r w:rsidR="007C701F">
        <w:t xml:space="preserve">includes </w:t>
      </w:r>
      <w:r>
        <w:t>information on the age, education level and Indigenous status of the respondent’s friends</w:t>
      </w:r>
      <w:r w:rsidR="007C701F">
        <w:t>.</w:t>
      </w:r>
      <w:r>
        <w:t xml:space="preserve"> </w:t>
      </w:r>
      <w:r w:rsidR="007C701F">
        <w:t>This provides an indication of the</w:t>
      </w:r>
      <w:r>
        <w:t xml:space="preserve"> diversity of their social network</w:t>
      </w:r>
      <w:r w:rsidR="00383338">
        <w:t>,</w:t>
      </w:r>
      <w:r>
        <w:t xml:space="preserve"> </w:t>
      </w:r>
      <w:r w:rsidR="007C701F">
        <w:t>but not whether it</w:t>
      </w:r>
      <w:r w:rsidR="00F44C69">
        <w:t xml:space="preserve"> positively or negatively influences motivations to participate in the labour force</w:t>
      </w:r>
      <w:r>
        <w:t xml:space="preserve">. </w:t>
      </w:r>
    </w:p>
    <w:p w14:paraId="574D398A" w14:textId="77777777" w:rsidR="00DE723D" w:rsidRDefault="00DE723D" w:rsidP="00DE723D">
      <w:pPr>
        <w:pStyle w:val="BodyText"/>
      </w:pPr>
      <w:r>
        <w:t xml:space="preserve">Further research into labour market </w:t>
      </w:r>
      <w:r w:rsidR="006344C4">
        <w:t xml:space="preserve">outcomes </w:t>
      </w:r>
      <w:r>
        <w:t xml:space="preserve">would also benefit from information on the education level and employment status of other household members and close family, as these might influence </w:t>
      </w:r>
      <w:r w:rsidR="007C701F">
        <w:t>motivations to participate in the labour force and preferences for paid work compared to unpaid work</w:t>
      </w:r>
      <w:r>
        <w:t xml:space="preserve">. </w:t>
      </w:r>
    </w:p>
    <w:p w14:paraId="48A55480" w14:textId="77777777" w:rsidR="00DE723D" w:rsidRDefault="00DE723D" w:rsidP="00DE723D">
      <w:pPr>
        <w:pStyle w:val="BodyText"/>
      </w:pPr>
      <w:r>
        <w:t xml:space="preserve">One of the conclusions from modelling exercises of this </w:t>
      </w:r>
      <w:r w:rsidR="00DF43FD">
        <w:t xml:space="preserve">type </w:t>
      </w:r>
      <w:r>
        <w:t xml:space="preserve">is the importance of controlling for unobservable factors such as innate ability and motivation, which reduces omitted variable bias. One way of doing this is to conduct </w:t>
      </w:r>
      <w:r w:rsidR="007C701F">
        <w:t xml:space="preserve">longitudinal </w:t>
      </w:r>
      <w:r>
        <w:t>surveys of Indigenous people or link data across multiple datasets. Governments are examining opportunities for developing linked datasets.</w:t>
      </w:r>
      <w:r>
        <w:rPr>
          <w:rStyle w:val="FootnoteReference"/>
        </w:rPr>
        <w:footnoteReference w:id="2"/>
      </w:r>
      <w:r>
        <w:t xml:space="preserve"> </w:t>
      </w:r>
    </w:p>
    <w:p w14:paraId="09A78586" w14:textId="77777777" w:rsidR="00DE723D" w:rsidRDefault="006971F3" w:rsidP="00DE723D">
      <w:pPr>
        <w:pStyle w:val="BodyText"/>
      </w:pPr>
      <w:r>
        <w:t>The modelling in this</w:t>
      </w:r>
      <w:r w:rsidR="00DE723D">
        <w:t xml:space="preserve"> study does </w:t>
      </w:r>
      <w:r w:rsidR="00EE5698">
        <w:t xml:space="preserve">not </w:t>
      </w:r>
      <w:r w:rsidR="00DF43FD">
        <w:t>allow for</w:t>
      </w:r>
      <w:r w:rsidR="00DE723D">
        <w:t xml:space="preserve"> comparisons between Indigenous and non-Indigenous </w:t>
      </w:r>
      <w:proofErr w:type="spellStart"/>
      <w:r w:rsidR="00DF43FD">
        <w:t>LMOs</w:t>
      </w:r>
      <w:proofErr w:type="spellEnd"/>
      <w:r w:rsidR="00DE723D">
        <w:t>. It is expected that many of the results of th</w:t>
      </w:r>
      <w:r>
        <w:t>is</w:t>
      </w:r>
      <w:r w:rsidR="00DE723D">
        <w:t xml:space="preserve"> study would be similar for non-Indigenous people, but empirical analysis of the differences in outcomes between Indigenous and non-Indigenous people is an important priority </w:t>
      </w:r>
      <w:r w:rsidR="00DE723D">
        <w:lastRenderedPageBreak/>
        <w:t xml:space="preserve">for government. Comparisons of Indigenous and non-Indigenous outcomes </w:t>
      </w:r>
      <w:r w:rsidR="00DF43FD">
        <w:t>are made in the 2011 OID</w:t>
      </w:r>
      <w:r w:rsidR="00DE723D">
        <w:t xml:space="preserve"> using</w:t>
      </w:r>
      <w:r w:rsidR="00DF43FD">
        <w:t xml:space="preserve"> data from</w:t>
      </w:r>
      <w:r w:rsidR="00DE723D">
        <w:t xml:space="preserve"> the National Health Survey (</w:t>
      </w:r>
      <w:proofErr w:type="spellStart"/>
      <w:r w:rsidR="00DE723D">
        <w:t>NHS</w:t>
      </w:r>
      <w:proofErr w:type="spellEnd"/>
      <w:r w:rsidR="00DE723D">
        <w:t>)</w:t>
      </w:r>
      <w:r w:rsidR="00383338">
        <w:t>.</w:t>
      </w:r>
      <w:r w:rsidR="00DE723D">
        <w:rPr>
          <w:rStyle w:val="FootnoteReference"/>
        </w:rPr>
        <w:footnoteReference w:id="3"/>
      </w:r>
      <w:r w:rsidR="00DE723D">
        <w:t xml:space="preserve"> However </w:t>
      </w:r>
      <w:r w:rsidR="00DF43FD">
        <w:t xml:space="preserve">previous </w:t>
      </w:r>
      <w:proofErr w:type="spellStart"/>
      <w:r w:rsidR="00DE723D">
        <w:t>NHS</w:t>
      </w:r>
      <w:proofErr w:type="spellEnd"/>
      <w:r w:rsidR="00DE723D">
        <w:t xml:space="preserve"> </w:t>
      </w:r>
      <w:r w:rsidR="00DF43FD">
        <w:t xml:space="preserve">collections do </w:t>
      </w:r>
      <w:r w:rsidR="00DE723D">
        <w:t xml:space="preserve">not provide information on arrest and imprisonment, or the social and cultural elements that have been examined by this study. Governments may wish to examine the feasibility of collecting this information to allow the gap between Indigenous and non-Indigenous </w:t>
      </w:r>
      <w:r w:rsidR="00DF43FD">
        <w:t xml:space="preserve">labour market outcomes </w:t>
      </w:r>
      <w:r w:rsidR="00DE723D">
        <w:t>to be more rigorously examined.</w:t>
      </w:r>
    </w:p>
    <w:p w14:paraId="7ABA230B" w14:textId="7A1E1069" w:rsidR="00DE723D" w:rsidRDefault="00DE723D" w:rsidP="00DF43FD">
      <w:pPr>
        <w:pStyle w:val="BodyText"/>
      </w:pPr>
      <w:r>
        <w:t xml:space="preserve">Comparisons with non-Indigenous people </w:t>
      </w:r>
      <w:r w:rsidR="00DF43FD">
        <w:t xml:space="preserve">could potentially </w:t>
      </w:r>
      <w:r>
        <w:t xml:space="preserve">also be </w:t>
      </w:r>
      <w:r w:rsidR="00314DCE">
        <w:t>undertaken</w:t>
      </w:r>
      <w:r>
        <w:t xml:space="preserve"> using the Census, which was conducted on 9 August 2011, in a similar manner to the work done using 2006 Census data for the 2009 OID</w:t>
      </w:r>
      <w:r w:rsidR="00472465">
        <w:t xml:space="preserve"> Report</w:t>
      </w:r>
      <w:r>
        <w:t xml:space="preserve"> (</w:t>
      </w:r>
      <w:proofErr w:type="spellStart"/>
      <w:r>
        <w:t>SCRGSP</w:t>
      </w:r>
      <w:proofErr w:type="spellEnd"/>
      <w:r>
        <w:t xml:space="preserve"> 2009). </w:t>
      </w:r>
    </w:p>
    <w:sectPr w:rsidR="00DE723D" w:rsidSect="00896231">
      <w:headerReference w:type="even" r:id="rId9"/>
      <w:headerReference w:type="default" r:id="rId10"/>
      <w:footerReference w:type="even" r:id="rId11"/>
      <w:footerReference w:type="default" r:id="rId12"/>
      <w:pgSz w:w="11907" w:h="16840" w:code="9"/>
      <w:pgMar w:top="1985" w:right="1304" w:bottom="1418" w:left="1814" w:header="1701" w:footer="567" w:gutter="0"/>
      <w:pgNumType w:start="57"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8ACB13" w14:textId="77777777" w:rsidR="00A430AA" w:rsidRDefault="00A430AA">
      <w:r>
        <w:separator/>
      </w:r>
    </w:p>
  </w:endnote>
  <w:endnote w:type="continuationSeparator" w:id="0">
    <w:p w14:paraId="11D8F867" w14:textId="77777777" w:rsidR="00A430AA" w:rsidRDefault="00A430AA">
      <w:r>
        <w:continuationSeparator/>
      </w:r>
    </w:p>
  </w:endnote>
  <w:endnote w:type="continuationNotice" w:id="1">
    <w:p w14:paraId="6ABBADF2" w14:textId="77777777" w:rsidR="00A430AA" w:rsidRDefault="00A43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A430AA" w14:paraId="68DAB30B" w14:textId="77777777">
      <w:trPr>
        <w:trHeight w:hRule="exact" w:val="740"/>
      </w:trPr>
      <w:tc>
        <w:tcPr>
          <w:tcW w:w="510" w:type="dxa"/>
          <w:tcBorders>
            <w:top w:val="single" w:sz="6" w:space="0" w:color="auto"/>
          </w:tcBorders>
        </w:tcPr>
        <w:p w14:paraId="2C325E4D" w14:textId="77777777" w:rsidR="00A430AA" w:rsidRDefault="00A430AA" w:rsidP="00DE723D">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BB3971">
            <w:rPr>
              <w:rStyle w:val="PageNumber"/>
              <w:noProof/>
            </w:rPr>
            <w:t>60</w:t>
          </w:r>
          <w:r>
            <w:rPr>
              <w:rStyle w:val="PageNumber"/>
            </w:rPr>
            <w:fldChar w:fldCharType="end"/>
          </w:r>
        </w:p>
      </w:tc>
      <w:tc>
        <w:tcPr>
          <w:tcW w:w="1644" w:type="dxa"/>
          <w:tcBorders>
            <w:top w:val="single" w:sz="6" w:space="0" w:color="auto"/>
          </w:tcBorders>
        </w:tcPr>
        <w:p w14:paraId="235867A5" w14:textId="2B806C3B" w:rsidR="00A430AA" w:rsidRDefault="00586D77" w:rsidP="00E15B96">
          <w:pPr>
            <w:pStyle w:val="Footer"/>
          </w:pPr>
          <w:r>
            <w:t xml:space="preserve">INFLUENCES ON </w:t>
          </w:r>
          <w:r w:rsidR="00896231">
            <w:t>indigenous labour market outcomes</w:t>
          </w:r>
        </w:p>
      </w:tc>
      <w:tc>
        <w:tcPr>
          <w:tcW w:w="6634" w:type="dxa"/>
        </w:tcPr>
        <w:p w14:paraId="118CFD36" w14:textId="77777777" w:rsidR="00A430AA" w:rsidRDefault="00A430AA" w:rsidP="00DE723D">
          <w:pPr>
            <w:pStyle w:val="Footer"/>
          </w:pPr>
        </w:p>
      </w:tc>
    </w:tr>
  </w:tbl>
  <w:p w14:paraId="29139034" w14:textId="77777777" w:rsidR="00A430AA" w:rsidRDefault="00A430AA" w:rsidP="00DE723D">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A430AA" w14:paraId="10D79C6E" w14:textId="77777777">
      <w:trPr>
        <w:trHeight w:hRule="exact" w:val="740"/>
      </w:trPr>
      <w:tc>
        <w:tcPr>
          <w:tcW w:w="6634" w:type="dxa"/>
        </w:tcPr>
        <w:p w14:paraId="20C11D3B" w14:textId="77777777" w:rsidR="00A430AA" w:rsidRDefault="00A430AA">
          <w:pPr>
            <w:pStyle w:val="Footer"/>
            <w:ind w:right="360" w:firstLine="360"/>
          </w:pPr>
        </w:p>
      </w:tc>
      <w:tc>
        <w:tcPr>
          <w:tcW w:w="1644" w:type="dxa"/>
          <w:tcBorders>
            <w:top w:val="single" w:sz="6" w:space="0" w:color="auto"/>
          </w:tcBorders>
        </w:tcPr>
        <w:p w14:paraId="2B8B3721" w14:textId="77777777" w:rsidR="00A430AA" w:rsidRDefault="00896231">
          <w:pPr>
            <w:pStyle w:val="Footer"/>
          </w:pPr>
          <w:fldSimple w:instr=" TITLE  \* MERGEFORMAT ">
            <w:r w:rsidR="00BB3971">
              <w:t>conclusion</w:t>
            </w:r>
          </w:fldSimple>
        </w:p>
      </w:tc>
      <w:tc>
        <w:tcPr>
          <w:tcW w:w="510" w:type="dxa"/>
          <w:tcBorders>
            <w:top w:val="single" w:sz="6" w:space="0" w:color="auto"/>
          </w:tcBorders>
        </w:tcPr>
        <w:p w14:paraId="16CEA689" w14:textId="77777777" w:rsidR="00A430AA" w:rsidRDefault="00A430AA">
          <w:pPr>
            <w:pStyle w:val="Footer"/>
            <w:jc w:val="right"/>
          </w:pPr>
          <w:r>
            <w:rPr>
              <w:rStyle w:val="PageNumber"/>
            </w:rPr>
            <w:fldChar w:fldCharType="begin"/>
          </w:r>
          <w:r>
            <w:rPr>
              <w:rStyle w:val="PageNumber"/>
            </w:rPr>
            <w:instrText xml:space="preserve">PAGE  </w:instrText>
          </w:r>
          <w:r>
            <w:rPr>
              <w:rStyle w:val="PageNumber"/>
            </w:rPr>
            <w:fldChar w:fldCharType="separate"/>
          </w:r>
          <w:r w:rsidR="00BB3971">
            <w:rPr>
              <w:rStyle w:val="PageNumber"/>
              <w:noProof/>
            </w:rPr>
            <w:t>59</w:t>
          </w:r>
          <w:r>
            <w:rPr>
              <w:rStyle w:val="PageNumber"/>
            </w:rPr>
            <w:fldChar w:fldCharType="end"/>
          </w:r>
        </w:p>
      </w:tc>
    </w:tr>
  </w:tbl>
  <w:p w14:paraId="3A98E674" w14:textId="77777777" w:rsidR="00A430AA" w:rsidRDefault="00A430AA">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407297" w14:textId="77777777" w:rsidR="00A430AA" w:rsidRDefault="00A430AA">
      <w:r>
        <w:separator/>
      </w:r>
    </w:p>
  </w:footnote>
  <w:footnote w:type="continuationSeparator" w:id="0">
    <w:p w14:paraId="1B0ACA77" w14:textId="77777777" w:rsidR="00A430AA" w:rsidRDefault="00A430AA">
      <w:r>
        <w:continuationSeparator/>
      </w:r>
    </w:p>
  </w:footnote>
  <w:footnote w:type="continuationNotice" w:id="1">
    <w:p w14:paraId="3E975936" w14:textId="77777777" w:rsidR="00A430AA" w:rsidRDefault="00A430AA"/>
  </w:footnote>
  <w:footnote w:id="2">
    <w:p w14:paraId="44EDF169" w14:textId="7EE68B81" w:rsidR="00A430AA" w:rsidRDefault="00A430AA">
      <w:pPr>
        <w:pStyle w:val="FootnoteText"/>
      </w:pPr>
      <w:r>
        <w:rPr>
          <w:rStyle w:val="FootnoteReference"/>
        </w:rPr>
        <w:footnoteRef/>
      </w:r>
      <w:r>
        <w:t xml:space="preserve"> </w:t>
      </w:r>
      <w:r>
        <w:tab/>
      </w:r>
      <w:r w:rsidRPr="007C1145">
        <w:t>During consultations</w:t>
      </w:r>
      <w:r>
        <w:t xml:space="preserve"> for the 2011 OID </w:t>
      </w:r>
      <w:r w:rsidR="00876905">
        <w:t>Report</w:t>
      </w:r>
      <w:r w:rsidRPr="007C1145">
        <w:t>, government agencies advised the Steering Committee that they are examin</w:t>
      </w:r>
      <w:r>
        <w:t>ing</w:t>
      </w:r>
      <w:r w:rsidRPr="007C1145">
        <w:t xml:space="preserve"> opportunities for linking data across multiple administrative data sets. Knowing the relationships between factors such as health, education, income and housing could help governments to develop more effective policies and programs. However, the practical application of data linkage may take several years, because of the technical challenges in linking data and the need to address concerns about privacy that </w:t>
      </w:r>
      <w:r>
        <w:t xml:space="preserve">might </w:t>
      </w:r>
      <w:r w:rsidRPr="007C1145">
        <w:t xml:space="preserve">arise </w:t>
      </w:r>
      <w:r>
        <w:t>(</w:t>
      </w:r>
      <w:proofErr w:type="spellStart"/>
      <w:r>
        <w:t>SCRGSP</w:t>
      </w:r>
      <w:proofErr w:type="spellEnd"/>
      <w:r>
        <w:t xml:space="preserve"> 2011). </w:t>
      </w:r>
    </w:p>
  </w:footnote>
  <w:footnote w:id="3">
    <w:p w14:paraId="7753296D" w14:textId="77777777" w:rsidR="00A430AA" w:rsidRDefault="00A430AA">
      <w:pPr>
        <w:pStyle w:val="FootnoteText"/>
      </w:pPr>
      <w:r>
        <w:rPr>
          <w:rStyle w:val="FootnoteReference"/>
        </w:rPr>
        <w:footnoteRef/>
      </w:r>
      <w:r>
        <w:tab/>
        <w:t xml:space="preserve">The </w:t>
      </w:r>
      <w:proofErr w:type="spellStart"/>
      <w:r>
        <w:t>NHS</w:t>
      </w:r>
      <w:proofErr w:type="spellEnd"/>
      <w:r>
        <w:t xml:space="preserve"> has education and labour market information, as well as health conditions and self</w:t>
      </w:r>
      <w:r>
        <w:noBreakHyphen/>
        <w:t>assessed health status.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A430AA" w14:paraId="5F78BBF5" w14:textId="77777777">
      <w:tc>
        <w:tcPr>
          <w:tcW w:w="2155" w:type="dxa"/>
          <w:tcBorders>
            <w:top w:val="single" w:sz="24" w:space="0" w:color="auto"/>
          </w:tcBorders>
        </w:tcPr>
        <w:p w14:paraId="4C692419" w14:textId="77777777" w:rsidR="00A430AA" w:rsidRDefault="00A430AA" w:rsidP="00DE723D">
          <w:pPr>
            <w:pStyle w:val="HeaderEven"/>
          </w:pPr>
        </w:p>
      </w:tc>
      <w:tc>
        <w:tcPr>
          <w:tcW w:w="6634" w:type="dxa"/>
          <w:tcBorders>
            <w:top w:val="single" w:sz="6" w:space="0" w:color="auto"/>
          </w:tcBorders>
        </w:tcPr>
        <w:p w14:paraId="789AA354" w14:textId="77777777" w:rsidR="00A430AA" w:rsidRDefault="00A430AA" w:rsidP="00DE723D">
          <w:pPr>
            <w:pStyle w:val="HeaderEven"/>
          </w:pPr>
        </w:p>
      </w:tc>
    </w:tr>
  </w:tbl>
  <w:p w14:paraId="35CF9C2B" w14:textId="77777777" w:rsidR="00A430AA" w:rsidRDefault="00A430AA" w:rsidP="00DE723D">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A430AA" w14:paraId="7BAC7764" w14:textId="77777777">
      <w:tc>
        <w:tcPr>
          <w:tcW w:w="6634" w:type="dxa"/>
          <w:tcBorders>
            <w:top w:val="single" w:sz="6" w:space="0" w:color="auto"/>
          </w:tcBorders>
        </w:tcPr>
        <w:p w14:paraId="3542C024" w14:textId="77777777" w:rsidR="00A430AA" w:rsidRDefault="00A430AA" w:rsidP="00DE723D">
          <w:pPr>
            <w:pStyle w:val="HeaderOdd"/>
          </w:pPr>
        </w:p>
      </w:tc>
      <w:tc>
        <w:tcPr>
          <w:tcW w:w="2155" w:type="dxa"/>
          <w:tcBorders>
            <w:top w:val="single" w:sz="24" w:space="0" w:color="auto"/>
          </w:tcBorders>
        </w:tcPr>
        <w:p w14:paraId="5CD1E78A" w14:textId="77777777" w:rsidR="00A430AA" w:rsidRDefault="00A430AA" w:rsidP="00DE723D">
          <w:pPr>
            <w:pStyle w:val="HeaderOdd"/>
          </w:pPr>
        </w:p>
      </w:tc>
    </w:tr>
  </w:tbl>
  <w:p w14:paraId="226D2480" w14:textId="77777777" w:rsidR="00A430AA" w:rsidRDefault="00A430AA" w:rsidP="00DE723D">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Tahoma"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Tahoma"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Tahoma"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047A7C39"/>
    <w:multiLevelType w:val="singleLevel"/>
    <w:tmpl w:val="080ADBB6"/>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9">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0">
    <w:nsid w:val="07057F34"/>
    <w:multiLevelType w:val="singleLevel"/>
    <w:tmpl w:val="ED98921A"/>
    <w:lvl w:ilvl="0">
      <w:start w:val="1"/>
      <w:numFmt w:val="decimal"/>
      <w:lvlText w:val="%1."/>
      <w:legacy w:legacy="1" w:legacySpace="0" w:legacyIndent="340"/>
      <w:lvlJc w:val="left"/>
      <w:pPr>
        <w:ind w:left="340" w:hanging="340"/>
      </w:pPr>
    </w:lvl>
  </w:abstractNum>
  <w:abstractNum w:abstractNumId="11">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5">
    <w:nsid w:val="23FF358D"/>
    <w:multiLevelType w:val="singleLevel"/>
    <w:tmpl w:val="2278E24C"/>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6">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8">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9">
    <w:nsid w:val="45C60527"/>
    <w:multiLevelType w:val="hybridMultilevel"/>
    <w:tmpl w:val="DDA839A2"/>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Tahoma"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Tahoma"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Tahoma"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nsid w:val="51F74561"/>
    <w:multiLevelType w:val="singleLevel"/>
    <w:tmpl w:val="ED98921A"/>
    <w:lvl w:ilvl="0">
      <w:start w:val="1"/>
      <w:numFmt w:val="decimal"/>
      <w:lvlText w:val="%1."/>
      <w:legacy w:legacy="1" w:legacySpace="0" w:legacyIndent="340"/>
      <w:lvlJc w:val="left"/>
      <w:pPr>
        <w:ind w:left="340" w:hanging="340"/>
      </w:pPr>
    </w:lvl>
  </w:abstractNum>
  <w:abstractNum w:abstractNumId="21">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2">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3">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4">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5">
    <w:nsid w:val="56A37DCE"/>
    <w:multiLevelType w:val="hybridMultilevel"/>
    <w:tmpl w:val="3C0C0810"/>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Tahoma"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Tahoma"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Tahoma"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6">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27">
    <w:nsid w:val="5A096576"/>
    <w:multiLevelType w:val="singleLevel"/>
    <w:tmpl w:val="ED98921A"/>
    <w:lvl w:ilvl="0">
      <w:start w:val="1"/>
      <w:numFmt w:val="decimal"/>
      <w:lvlText w:val="%1."/>
      <w:legacy w:legacy="1" w:legacySpace="0" w:legacyIndent="340"/>
      <w:lvlJc w:val="left"/>
      <w:pPr>
        <w:ind w:left="340" w:hanging="340"/>
      </w:pPr>
    </w:lvl>
  </w:abstractNum>
  <w:abstractNum w:abstractNumId="28">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60055F7F"/>
    <w:multiLevelType w:val="singleLevel"/>
    <w:tmpl w:val="ED98921A"/>
    <w:lvl w:ilvl="0">
      <w:start w:val="1"/>
      <w:numFmt w:val="decimal"/>
      <w:lvlText w:val="%1."/>
      <w:legacy w:legacy="1" w:legacySpace="0" w:legacyIndent="340"/>
      <w:lvlJc w:val="left"/>
      <w:pPr>
        <w:ind w:left="340" w:hanging="340"/>
      </w:pPr>
    </w:lvl>
  </w:abstractNum>
  <w:abstractNum w:abstractNumId="30">
    <w:nsid w:val="608E741E"/>
    <w:multiLevelType w:val="singleLevel"/>
    <w:tmpl w:val="ED98921A"/>
    <w:lvl w:ilvl="0">
      <w:start w:val="1"/>
      <w:numFmt w:val="decimal"/>
      <w:lvlText w:val="%1."/>
      <w:legacy w:legacy="1" w:legacySpace="0" w:legacyIndent="340"/>
      <w:lvlJc w:val="left"/>
      <w:pPr>
        <w:ind w:left="340" w:hanging="340"/>
      </w:pPr>
    </w:lvl>
  </w:abstractNum>
  <w:abstractNum w:abstractNumId="31">
    <w:nsid w:val="61320C1E"/>
    <w:multiLevelType w:val="singleLevel"/>
    <w:tmpl w:val="C444122C"/>
    <w:lvl w:ilvl="0">
      <w:start w:val="1"/>
      <w:numFmt w:val="decimal"/>
      <w:lvlText w:val="%1."/>
      <w:legacy w:legacy="1" w:legacySpace="0" w:legacyIndent="284"/>
      <w:lvlJc w:val="left"/>
      <w:pPr>
        <w:ind w:left="284" w:hanging="284"/>
      </w:pPr>
    </w:lvl>
  </w:abstractNum>
  <w:abstractNum w:abstractNumId="32">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3">
    <w:nsid w:val="643516F3"/>
    <w:multiLevelType w:val="singleLevel"/>
    <w:tmpl w:val="96689D62"/>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4">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5">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36">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38">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39">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0">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9"/>
  </w:num>
  <w:num w:numId="3">
    <w:abstractNumId w:val="38"/>
  </w:num>
  <w:num w:numId="4">
    <w:abstractNumId w:val="6"/>
  </w:num>
  <w:num w:numId="5">
    <w:abstractNumId w:val="5"/>
  </w:num>
  <w:num w:numId="6">
    <w:abstractNumId w:val="21"/>
  </w:num>
  <w:num w:numId="7">
    <w:abstractNumId w:val="3"/>
  </w:num>
  <w:num w:numId="8">
    <w:abstractNumId w:val="8"/>
  </w:num>
  <w:num w:numId="9">
    <w:abstractNumId w:val="2"/>
  </w:num>
  <w:num w:numId="10">
    <w:abstractNumId w:val="33"/>
  </w:num>
  <w:num w:numId="11">
    <w:abstractNumId w:val="4"/>
  </w:num>
  <w:num w:numId="12">
    <w:abstractNumId w:val="1"/>
  </w:num>
  <w:num w:numId="13">
    <w:abstractNumId w:val="0"/>
  </w:num>
  <w:num w:numId="14">
    <w:abstractNumId w:val="24"/>
  </w:num>
  <w:num w:numId="15">
    <w:abstractNumId w:val="39"/>
  </w:num>
  <w:num w:numId="16">
    <w:abstractNumId w:val="15"/>
  </w:num>
  <w:num w:numId="17">
    <w:abstractNumId w:val="14"/>
  </w:num>
  <w:num w:numId="18">
    <w:abstractNumId w:val="22"/>
  </w:num>
  <w:num w:numId="19">
    <w:abstractNumId w:val="10"/>
  </w:num>
  <w:num w:numId="20">
    <w:abstractNumId w:val="30"/>
  </w:num>
  <w:num w:numId="21">
    <w:abstractNumId w:val="32"/>
  </w:num>
  <w:num w:numId="22">
    <w:abstractNumId w:val="20"/>
  </w:num>
  <w:num w:numId="23">
    <w:abstractNumId w:val="23"/>
  </w:num>
  <w:num w:numId="24">
    <w:abstractNumId w:val="26"/>
  </w:num>
  <w:num w:numId="25">
    <w:abstractNumId w:val="37"/>
  </w:num>
  <w:num w:numId="26">
    <w:abstractNumId w:val="29"/>
  </w:num>
  <w:num w:numId="27">
    <w:abstractNumId w:val="34"/>
  </w:num>
  <w:num w:numId="28">
    <w:abstractNumId w:val="35"/>
  </w:num>
  <w:num w:numId="29">
    <w:abstractNumId w:val="27"/>
  </w:num>
  <w:num w:numId="30">
    <w:abstractNumId w:val="18"/>
  </w:num>
  <w:num w:numId="31">
    <w:abstractNumId w:val="40"/>
  </w:num>
  <w:num w:numId="32">
    <w:abstractNumId w:val="13"/>
  </w:num>
  <w:num w:numId="33">
    <w:abstractNumId w:val="7"/>
  </w:num>
  <w:num w:numId="34">
    <w:abstractNumId w:val="16"/>
  </w:num>
  <w:num w:numId="35">
    <w:abstractNumId w:val="36"/>
  </w:num>
  <w:num w:numId="36">
    <w:abstractNumId w:val="28"/>
  </w:num>
  <w:num w:numId="37">
    <w:abstractNumId w:val="11"/>
  </w:num>
  <w:num w:numId="38">
    <w:abstractNumId w:val="31"/>
  </w:num>
  <w:num w:numId="39">
    <w:abstractNumId w:val="12"/>
  </w:num>
  <w:num w:numId="40">
    <w:abstractNumId w:val="15"/>
  </w:num>
  <w:num w:numId="41">
    <w:abstractNumId w:val="25"/>
  </w:num>
  <w:num w:numId="42">
    <w:abstractNumId w:val="19"/>
  </w:num>
  <w:num w:numId="43">
    <w:abstractNumId w:val="21"/>
  </w:num>
  <w:num w:numId="44">
    <w:abstractNumId w:val="21"/>
  </w:num>
  <w:num w:numId="45">
    <w:abstractNumId w:val="21"/>
  </w:num>
  <w:num w:numId="46">
    <w:abstractNumId w:val="21"/>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lickAndTypeStyle w:val="BodyText"/>
  <w:evenAndOddHeaders/>
  <w:characterSpacingControl w:val="doNotCompress"/>
  <w:hdrShapeDefaults>
    <o:shapedefaults v:ext="edit" spidmax="34817"/>
  </w:hdrShapeDefaults>
  <w:footnotePr>
    <w:footnote w:id="-1"/>
    <w:footnote w:id="0"/>
    <w:footnote w:id="1"/>
  </w:footnotePr>
  <w:endnotePr>
    <w:endnote w:id="-1"/>
    <w:endnote w:id="0"/>
    <w:endnote w:id="1"/>
  </w:endnotePr>
  <w:compat>
    <w:swapBordersFacingPages/>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docVars>
    <w:docVar w:name="FindingOptions" w:val="1"/>
    <w:docVar w:name="RecOptions" w:val="111"/>
    <w:docVar w:name="ShortChapterTitle" w:val="conclusion"/>
    <w:docVar w:name="ShortReportTitle" w:val="determinants of indigenous labour market outcomes"/>
  </w:docVars>
  <w:rsids>
    <w:rsidRoot w:val="00A95FC5"/>
    <w:rsid w:val="000121A2"/>
    <w:rsid w:val="00061400"/>
    <w:rsid w:val="000A246E"/>
    <w:rsid w:val="000F6C08"/>
    <w:rsid w:val="00134EFE"/>
    <w:rsid w:val="0013722D"/>
    <w:rsid w:val="0017107A"/>
    <w:rsid w:val="001F3394"/>
    <w:rsid w:val="001F64C6"/>
    <w:rsid w:val="00246183"/>
    <w:rsid w:val="00275A96"/>
    <w:rsid w:val="002A4037"/>
    <w:rsid w:val="002C4093"/>
    <w:rsid w:val="002F6A04"/>
    <w:rsid w:val="00314DCE"/>
    <w:rsid w:val="0034087E"/>
    <w:rsid w:val="00346FE0"/>
    <w:rsid w:val="003508F3"/>
    <w:rsid w:val="00383338"/>
    <w:rsid w:val="003937A7"/>
    <w:rsid w:val="003F6709"/>
    <w:rsid w:val="00454F81"/>
    <w:rsid w:val="00472465"/>
    <w:rsid w:val="005226C5"/>
    <w:rsid w:val="00553882"/>
    <w:rsid w:val="00573339"/>
    <w:rsid w:val="00573900"/>
    <w:rsid w:val="00586D77"/>
    <w:rsid w:val="005A2E51"/>
    <w:rsid w:val="005D79BA"/>
    <w:rsid w:val="00616F7C"/>
    <w:rsid w:val="006245FE"/>
    <w:rsid w:val="006344C4"/>
    <w:rsid w:val="00661B3C"/>
    <w:rsid w:val="00673B9B"/>
    <w:rsid w:val="00675AE7"/>
    <w:rsid w:val="006971F3"/>
    <w:rsid w:val="006B197E"/>
    <w:rsid w:val="006B3E6F"/>
    <w:rsid w:val="006C5C8F"/>
    <w:rsid w:val="006F19E3"/>
    <w:rsid w:val="006F2065"/>
    <w:rsid w:val="00797F48"/>
    <w:rsid w:val="007C4A05"/>
    <w:rsid w:val="007C701F"/>
    <w:rsid w:val="00876905"/>
    <w:rsid w:val="00896231"/>
    <w:rsid w:val="008A4119"/>
    <w:rsid w:val="008D7D90"/>
    <w:rsid w:val="008E2DAB"/>
    <w:rsid w:val="0093130C"/>
    <w:rsid w:val="009B432B"/>
    <w:rsid w:val="00A32463"/>
    <w:rsid w:val="00A430AA"/>
    <w:rsid w:val="00A637CE"/>
    <w:rsid w:val="00A66BB8"/>
    <w:rsid w:val="00A6706B"/>
    <w:rsid w:val="00A95FC5"/>
    <w:rsid w:val="00AA1DF2"/>
    <w:rsid w:val="00AB3CF2"/>
    <w:rsid w:val="00AE0F07"/>
    <w:rsid w:val="00B53ADD"/>
    <w:rsid w:val="00B65BF8"/>
    <w:rsid w:val="00B77E9A"/>
    <w:rsid w:val="00B84D38"/>
    <w:rsid w:val="00B92585"/>
    <w:rsid w:val="00BA7853"/>
    <w:rsid w:val="00BB3971"/>
    <w:rsid w:val="00BD4252"/>
    <w:rsid w:val="00BE5811"/>
    <w:rsid w:val="00C77F1C"/>
    <w:rsid w:val="00CA6FAF"/>
    <w:rsid w:val="00D44CCA"/>
    <w:rsid w:val="00D74313"/>
    <w:rsid w:val="00D87C65"/>
    <w:rsid w:val="00DA11BF"/>
    <w:rsid w:val="00DB207A"/>
    <w:rsid w:val="00DC2028"/>
    <w:rsid w:val="00DE723D"/>
    <w:rsid w:val="00DF43FD"/>
    <w:rsid w:val="00E15B96"/>
    <w:rsid w:val="00E479FE"/>
    <w:rsid w:val="00E771B3"/>
    <w:rsid w:val="00EB1A98"/>
    <w:rsid w:val="00ED5297"/>
    <w:rsid w:val="00EE5698"/>
    <w:rsid w:val="00F44486"/>
    <w:rsid w:val="00F44C69"/>
    <w:rsid w:val="00F61635"/>
    <w:rsid w:val="00F67C7D"/>
    <w:rsid w:val="00F86C9C"/>
    <w:rsid w:val="00FD050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B474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5FC5"/>
    <w:rPr>
      <w:sz w:val="24"/>
      <w:szCs w:val="24"/>
    </w:rPr>
  </w:style>
  <w:style w:type="paragraph" w:styleId="Heading1">
    <w:name w:val="heading 1"/>
    <w:basedOn w:val="BodyText"/>
    <w:next w:val="BodyText"/>
    <w:qForma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qFormat/>
    <w:rsid w:val="00A17328"/>
    <w:pPr>
      <w:spacing w:after="60"/>
      <w:jc w:val="left"/>
      <w:outlineLvl w:val="5"/>
    </w:pPr>
    <w:rPr>
      <w:i/>
      <w:sz w:val="22"/>
    </w:rPr>
  </w:style>
  <w:style w:type="paragraph" w:styleId="Heading7">
    <w:name w:val="heading 7"/>
    <w:basedOn w:val="BodyText"/>
    <w:next w:val="BodyText"/>
    <w:qFormat/>
    <w:rsid w:val="00A17328"/>
    <w:pPr>
      <w:spacing w:after="60" w:line="240" w:lineRule="auto"/>
      <w:jc w:val="left"/>
      <w:outlineLvl w:val="6"/>
    </w:pPr>
    <w:rPr>
      <w:rFonts w:ascii="Arial" w:hAnsi="Arial"/>
      <w:sz w:val="20"/>
    </w:rPr>
  </w:style>
  <w:style w:type="paragraph" w:styleId="Heading8">
    <w:name w:val="heading 8"/>
    <w:basedOn w:val="BodyText"/>
    <w:next w:val="BodyText"/>
    <w:qFormat/>
    <w:rsid w:val="00A17328"/>
    <w:pPr>
      <w:spacing w:after="60" w:line="240" w:lineRule="auto"/>
      <w:jc w:val="left"/>
      <w:outlineLvl w:val="7"/>
    </w:pPr>
    <w:rPr>
      <w:rFonts w:ascii="Arial" w:hAnsi="Arial"/>
      <w:i/>
      <w:sz w:val="20"/>
    </w:rPr>
  </w:style>
  <w:style w:type="paragraph" w:styleId="Heading9">
    <w:name w:val="heading 9"/>
    <w:basedOn w:val="BodyText"/>
    <w:next w:val="BodyText"/>
    <w:qForma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new legislation style,Body Text Char1 Char,Body Text Char Char Char,Body Text Char1 Char Char Char,Body Text Char Char Char Char Char1,Body Text Char2 Char1 Char Char Char Char Char,Body Text Char2 Char,new legislation style Char1 Char"/>
    <w:link w:val="BodyTextChar"/>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link w:val="BoxChar"/>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39"/>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qForma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aliases w:val="List Bullet Char"/>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customStyle="1" w:styleId="ColorfulGrid-Accent11">
    <w:name w:val="Colorful Grid - Accent 11"/>
    <w:basedOn w:val="BodyText"/>
    <w:next w:val="BodyText"/>
    <w:qFormat/>
    <w:rsid w:val="00A17328"/>
    <w:pPr>
      <w:spacing w:before="120" w:line="280" w:lineRule="exact"/>
      <w:ind w:left="340"/>
    </w:pPr>
    <w:rPr>
      <w:sz w:val="24"/>
    </w:rPr>
  </w:style>
  <w:style w:type="paragraph" w:customStyle="1" w:styleId="QuoteBullet">
    <w:name w:val="Quote Bullet"/>
    <w:basedOn w:val="ColorfulGrid-Accent11"/>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40"/>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styleId="BalloonText">
    <w:name w:val="Balloon Text"/>
    <w:basedOn w:val="Normal"/>
    <w:semiHidden/>
    <w:rsid w:val="00A95FC5"/>
    <w:rPr>
      <w:rFonts w:ascii="Tahoma" w:hAnsi="Tahoma" w:cs="Tahoma"/>
      <w:sz w:val="16"/>
      <w:szCs w:val="16"/>
    </w:rPr>
  </w:style>
  <w:style w:type="character" w:customStyle="1" w:styleId="BodyTextChar">
    <w:name w:val="Body Text Char"/>
    <w:aliases w:val="new legislation style Char,Body Text Char1 Char Char,Body Text Char Char Char Char,Body Text Char1 Char Char Char Char,Body Text Char Char Char Char Char1 Char,Body Text Char2 Char1 Char Char Char Char Char Char,Body Text Char2 Char Char"/>
    <w:basedOn w:val="DefaultParagraphFont"/>
    <w:link w:val="BodyText"/>
    <w:rsid w:val="0093157E"/>
    <w:rPr>
      <w:sz w:val="26"/>
      <w:lang w:val="en-AU" w:eastAsia="en-AU" w:bidi="ar-SA"/>
    </w:rPr>
  </w:style>
  <w:style w:type="character" w:customStyle="1" w:styleId="CommentTextChar">
    <w:name w:val="Comment Text Char"/>
    <w:basedOn w:val="DefaultParagraphFont"/>
    <w:link w:val="CommentText"/>
    <w:semiHidden/>
    <w:rsid w:val="00C66DD9"/>
    <w:rPr>
      <w:szCs w:val="24"/>
      <w:lang w:val="en-AU" w:eastAsia="en-AU" w:bidi="ar-SA"/>
    </w:rPr>
  </w:style>
  <w:style w:type="paragraph" w:styleId="CommentSubject">
    <w:name w:val="annotation subject"/>
    <w:basedOn w:val="CommentText"/>
    <w:next w:val="CommentText"/>
    <w:link w:val="CommentSubjectChar"/>
    <w:rsid w:val="00C85E7D"/>
    <w:pPr>
      <w:spacing w:before="0" w:line="240" w:lineRule="auto"/>
      <w:ind w:left="0" w:firstLine="0"/>
    </w:pPr>
    <w:rPr>
      <w:b/>
      <w:bCs/>
      <w:szCs w:val="20"/>
    </w:rPr>
  </w:style>
  <w:style w:type="character" w:customStyle="1" w:styleId="CommentSubjectChar">
    <w:name w:val="Comment Subject Char"/>
    <w:basedOn w:val="CommentTextChar"/>
    <w:link w:val="CommentSubject"/>
    <w:rsid w:val="00C85E7D"/>
    <w:rPr>
      <w:b/>
      <w:bCs/>
      <w:szCs w:val="24"/>
      <w:lang w:val="en-AU" w:eastAsia="en-AU" w:bidi="ar-SA"/>
    </w:rPr>
  </w:style>
  <w:style w:type="character" w:customStyle="1" w:styleId="BoxChar">
    <w:name w:val="Box Char"/>
    <w:basedOn w:val="DefaultParagraphFont"/>
    <w:link w:val="Box"/>
    <w:rsid w:val="00043672"/>
    <w:rPr>
      <w:rFonts w:ascii="Arial" w:hAnsi="Arial"/>
      <w:sz w:val="22"/>
      <w:lang w:val="en-AU" w:eastAsia="en-AU" w:bidi="ar-SA"/>
    </w:rPr>
  </w:style>
  <w:style w:type="paragraph" w:styleId="Revision">
    <w:name w:val="Revision"/>
    <w:hidden/>
    <w:uiPriority w:val="99"/>
    <w:semiHidden/>
    <w:rsid w:val="00DA11B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5FC5"/>
    <w:rPr>
      <w:sz w:val="24"/>
      <w:szCs w:val="24"/>
    </w:rPr>
  </w:style>
  <w:style w:type="paragraph" w:styleId="Heading1">
    <w:name w:val="heading 1"/>
    <w:basedOn w:val="BodyText"/>
    <w:next w:val="BodyText"/>
    <w:qForma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qFormat/>
    <w:rsid w:val="00A17328"/>
    <w:pPr>
      <w:spacing w:after="60"/>
      <w:jc w:val="left"/>
      <w:outlineLvl w:val="5"/>
    </w:pPr>
    <w:rPr>
      <w:i/>
      <w:sz w:val="22"/>
    </w:rPr>
  </w:style>
  <w:style w:type="paragraph" w:styleId="Heading7">
    <w:name w:val="heading 7"/>
    <w:basedOn w:val="BodyText"/>
    <w:next w:val="BodyText"/>
    <w:qFormat/>
    <w:rsid w:val="00A17328"/>
    <w:pPr>
      <w:spacing w:after="60" w:line="240" w:lineRule="auto"/>
      <w:jc w:val="left"/>
      <w:outlineLvl w:val="6"/>
    </w:pPr>
    <w:rPr>
      <w:rFonts w:ascii="Arial" w:hAnsi="Arial"/>
      <w:sz w:val="20"/>
    </w:rPr>
  </w:style>
  <w:style w:type="paragraph" w:styleId="Heading8">
    <w:name w:val="heading 8"/>
    <w:basedOn w:val="BodyText"/>
    <w:next w:val="BodyText"/>
    <w:qFormat/>
    <w:rsid w:val="00A17328"/>
    <w:pPr>
      <w:spacing w:after="60" w:line="240" w:lineRule="auto"/>
      <w:jc w:val="left"/>
      <w:outlineLvl w:val="7"/>
    </w:pPr>
    <w:rPr>
      <w:rFonts w:ascii="Arial" w:hAnsi="Arial"/>
      <w:i/>
      <w:sz w:val="20"/>
    </w:rPr>
  </w:style>
  <w:style w:type="paragraph" w:styleId="Heading9">
    <w:name w:val="heading 9"/>
    <w:basedOn w:val="BodyText"/>
    <w:next w:val="BodyText"/>
    <w:qForma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new legislation style,Body Text Char1 Char,Body Text Char Char Char,Body Text Char1 Char Char Char,Body Text Char Char Char Char Char1,Body Text Char2 Char1 Char Char Char Char Char,Body Text Char2 Char,new legislation style Char1 Char"/>
    <w:link w:val="BodyTextChar"/>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link w:val="BoxChar"/>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39"/>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qForma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aliases w:val="List Bullet Char"/>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customStyle="1" w:styleId="ColorfulGrid-Accent11">
    <w:name w:val="Colorful Grid - Accent 11"/>
    <w:basedOn w:val="BodyText"/>
    <w:next w:val="BodyText"/>
    <w:qFormat/>
    <w:rsid w:val="00A17328"/>
    <w:pPr>
      <w:spacing w:before="120" w:line="280" w:lineRule="exact"/>
      <w:ind w:left="340"/>
    </w:pPr>
    <w:rPr>
      <w:sz w:val="24"/>
    </w:rPr>
  </w:style>
  <w:style w:type="paragraph" w:customStyle="1" w:styleId="QuoteBullet">
    <w:name w:val="Quote Bullet"/>
    <w:basedOn w:val="ColorfulGrid-Accent11"/>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40"/>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styleId="BalloonText">
    <w:name w:val="Balloon Text"/>
    <w:basedOn w:val="Normal"/>
    <w:semiHidden/>
    <w:rsid w:val="00A95FC5"/>
    <w:rPr>
      <w:rFonts w:ascii="Tahoma" w:hAnsi="Tahoma" w:cs="Tahoma"/>
      <w:sz w:val="16"/>
      <w:szCs w:val="16"/>
    </w:rPr>
  </w:style>
  <w:style w:type="character" w:customStyle="1" w:styleId="BodyTextChar">
    <w:name w:val="Body Text Char"/>
    <w:aliases w:val="new legislation style Char,Body Text Char1 Char Char,Body Text Char Char Char Char,Body Text Char1 Char Char Char Char,Body Text Char Char Char Char Char1 Char,Body Text Char2 Char1 Char Char Char Char Char Char,Body Text Char2 Char Char"/>
    <w:basedOn w:val="DefaultParagraphFont"/>
    <w:link w:val="BodyText"/>
    <w:rsid w:val="0093157E"/>
    <w:rPr>
      <w:sz w:val="26"/>
      <w:lang w:val="en-AU" w:eastAsia="en-AU" w:bidi="ar-SA"/>
    </w:rPr>
  </w:style>
  <w:style w:type="character" w:customStyle="1" w:styleId="CommentTextChar">
    <w:name w:val="Comment Text Char"/>
    <w:basedOn w:val="DefaultParagraphFont"/>
    <w:link w:val="CommentText"/>
    <w:semiHidden/>
    <w:rsid w:val="00C66DD9"/>
    <w:rPr>
      <w:szCs w:val="24"/>
      <w:lang w:val="en-AU" w:eastAsia="en-AU" w:bidi="ar-SA"/>
    </w:rPr>
  </w:style>
  <w:style w:type="paragraph" w:styleId="CommentSubject">
    <w:name w:val="annotation subject"/>
    <w:basedOn w:val="CommentText"/>
    <w:next w:val="CommentText"/>
    <w:link w:val="CommentSubjectChar"/>
    <w:rsid w:val="00C85E7D"/>
    <w:pPr>
      <w:spacing w:before="0" w:line="240" w:lineRule="auto"/>
      <w:ind w:left="0" w:firstLine="0"/>
    </w:pPr>
    <w:rPr>
      <w:b/>
      <w:bCs/>
      <w:szCs w:val="20"/>
    </w:rPr>
  </w:style>
  <w:style w:type="character" w:customStyle="1" w:styleId="CommentSubjectChar">
    <w:name w:val="Comment Subject Char"/>
    <w:basedOn w:val="CommentTextChar"/>
    <w:link w:val="CommentSubject"/>
    <w:rsid w:val="00C85E7D"/>
    <w:rPr>
      <w:b/>
      <w:bCs/>
      <w:szCs w:val="24"/>
      <w:lang w:val="en-AU" w:eastAsia="en-AU" w:bidi="ar-SA"/>
    </w:rPr>
  </w:style>
  <w:style w:type="character" w:customStyle="1" w:styleId="BoxChar">
    <w:name w:val="Box Char"/>
    <w:basedOn w:val="DefaultParagraphFont"/>
    <w:link w:val="Box"/>
    <w:rsid w:val="00043672"/>
    <w:rPr>
      <w:rFonts w:ascii="Arial" w:hAnsi="Arial"/>
      <w:sz w:val="22"/>
      <w:lang w:val="en-AU" w:eastAsia="en-AU" w:bidi="ar-SA"/>
    </w:rPr>
  </w:style>
  <w:style w:type="paragraph" w:styleId="Revision">
    <w:name w:val="Revision"/>
    <w:hidden/>
    <w:uiPriority w:val="99"/>
    <w:semiHidden/>
    <w:rsid w:val="00DA11B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c%20template\Chap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2C2EB-4315-4808-BE33-8A6CC53FF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Template>
  <TotalTime>103</TotalTime>
  <Pages>4</Pages>
  <Words>1156</Words>
  <Characters>6593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conclusion</vt:lpstr>
    </vt:vector>
  </TitlesOfParts>
  <Company>Productivity Commission</Company>
  <LinksUpToDate>false</LinksUpToDate>
  <CharactersWithSpaces>7734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conclusion</dc:title>
  <dc:subject>determinants of indigenous labour market outcomes</dc:subject>
  <dc:creator>asavvas</dc:creator>
  <dc:description>6.</dc:description>
  <cp:lastModifiedBy>Louise Jordan</cp:lastModifiedBy>
  <cp:revision>20</cp:revision>
  <cp:lastPrinted>2011-11-23T05:57:00Z</cp:lastPrinted>
  <dcterms:created xsi:type="dcterms:W3CDTF">2011-09-07T07:26:00Z</dcterms:created>
  <dcterms:modified xsi:type="dcterms:W3CDTF">2011-11-23T06:01:00Z</dcterms:modified>
</cp:coreProperties>
</file>