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75F" w:rsidRDefault="0021121A">
      <w:bookmarkStart w:id="0" w:name="ChapterTitle"/>
      <w:r>
        <w:rPr>
          <w:noProof/>
        </w:rPr>
        <w:drawing>
          <wp:anchor distT="0" distB="0" distL="114300" distR="114300" simplePos="0" relativeHeight="251658240" behindDoc="0" locked="0" layoutInCell="1" allowOverlap="1" wp14:anchorId="09A65EB5" wp14:editId="4E8C0AC3">
            <wp:simplePos x="822960" y="1310640"/>
            <wp:positionH relativeFrom="page">
              <wp:align>center</wp:align>
            </wp:positionH>
            <wp:positionV relativeFrom="page">
              <wp:align>center</wp:align>
            </wp:positionV>
            <wp:extent cx="7588799" cy="10737018"/>
            <wp:effectExtent l="0" t="0" r="0" b="7620"/>
            <wp:wrapNone/>
            <wp:docPr id="1" name="Picture 1" descr="Cover for: A rationale for developing a Linked Employer-Employee Dataset for policy research. Productivity Commission Staff Research Note. Matthew Forbes and Patrick Jomini.&#10;The views expressed in this research note are those of the&#10;staff involved and do not necessarily reflect the views of the&#10;Productiv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research-note-cover-LEED.png"/>
                    <pic:cNvPicPr/>
                  </pic:nvPicPr>
                  <pic:blipFill>
                    <a:blip r:embed="rId9">
                      <a:extLst>
                        <a:ext uri="{28A0092B-C50C-407E-A947-70E740481C1C}">
                          <a14:useLocalDpi xmlns:a14="http://schemas.microsoft.com/office/drawing/2010/main" val="0"/>
                        </a:ext>
                      </a:extLst>
                    </a:blip>
                    <a:stretch>
                      <a:fillRect/>
                    </a:stretch>
                  </pic:blipFill>
                  <pic:spPr>
                    <a:xfrm>
                      <a:off x="0" y="0"/>
                      <a:ext cx="7588799" cy="10737018"/>
                    </a:xfrm>
                    <a:prstGeom prst="rect">
                      <a:avLst/>
                    </a:prstGeom>
                  </pic:spPr>
                </pic:pic>
              </a:graphicData>
            </a:graphic>
            <wp14:sizeRelH relativeFrom="margin">
              <wp14:pctWidth>0</wp14:pctWidth>
            </wp14:sizeRelH>
            <wp14:sizeRelV relativeFrom="margin">
              <wp14:pctHeight>0</wp14:pctHeight>
            </wp14:sizeRelV>
          </wp:anchor>
        </w:drawing>
      </w:r>
      <w:r w:rsidR="001E475F">
        <w:br w:type="page"/>
      </w:r>
    </w:p>
    <w:p w:rsidR="001E475F" w:rsidRDefault="001E475F" w:rsidP="001E475F">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2016</w:t>
      </w:r>
    </w:p>
    <w:p w:rsidR="001E475F" w:rsidRDefault="001E475F" w:rsidP="001E475F">
      <w:pPr>
        <w:pStyle w:val="BodyText"/>
        <w:spacing w:after="120"/>
      </w:pPr>
      <w:bookmarkStart w:id="1" w:name="ISSN"/>
      <w:bookmarkEnd w:id="1"/>
      <w:r w:rsidRPr="00862D8F">
        <w:rPr>
          <w:noProof/>
          <w:sz w:val="22"/>
          <w:szCs w:val="22"/>
        </w:rPr>
        <w:drawing>
          <wp:inline distT="0" distB="0" distL="0" distR="0" wp14:anchorId="7B2B1696" wp14:editId="3F0E60DE">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1E475F" w:rsidRPr="008A3857" w:rsidRDefault="001E475F" w:rsidP="001E475F">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1" w:history="1">
        <w:hyperlink r:id="rId12"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rsidR="001E475F" w:rsidRPr="008A3857" w:rsidRDefault="001E475F" w:rsidP="001E475F">
      <w:pPr>
        <w:pStyle w:val="Copyrightsubtitle"/>
      </w:pPr>
      <w:r w:rsidRPr="008A3857">
        <w:t>Use of the Commonwealth Coat of Arms</w:t>
      </w:r>
    </w:p>
    <w:p w:rsidR="001E475F" w:rsidRPr="008A3857" w:rsidRDefault="001E475F" w:rsidP="001E475F">
      <w:pPr>
        <w:pStyle w:val="Copyrightbodytext"/>
      </w:pPr>
      <w:r w:rsidRPr="008A3857">
        <w:t>For terms of use of the Coat of Arms visit the ‘</w:t>
      </w:r>
      <w:hyperlink r:id="rId13" w:history="1">
        <w:r w:rsidRPr="00805FD7">
          <w:t>It’s an Honour</w:t>
        </w:r>
      </w:hyperlink>
      <w:r w:rsidRPr="008A3857">
        <w:t>’ website</w:t>
      </w:r>
      <w:r w:rsidRPr="00BA0B81">
        <w:t xml:space="preserve">: </w:t>
      </w:r>
      <w:hyperlink r:id="rId14" w:history="1">
        <w:r w:rsidRPr="00805FD7">
          <w:t>http://</w:t>
        </w:r>
        <w:proofErr w:type="spellStart"/>
        <w:r w:rsidRPr="00805FD7">
          <w:t>www.itsanhonour.gov.au</w:t>
        </w:r>
        <w:proofErr w:type="spellEnd"/>
      </w:hyperlink>
    </w:p>
    <w:p w:rsidR="001E475F" w:rsidRPr="008A3857" w:rsidRDefault="001E475F" w:rsidP="001E475F">
      <w:pPr>
        <w:pStyle w:val="Copyrightsubtitle"/>
      </w:pPr>
      <w:r w:rsidRPr="008A3857">
        <w:t>Third party copyright</w:t>
      </w:r>
    </w:p>
    <w:p w:rsidR="001E475F" w:rsidRPr="008A3857" w:rsidRDefault="001E475F" w:rsidP="001E475F">
      <w:pPr>
        <w:pStyle w:val="Copyrightbodytext"/>
      </w:pPr>
      <w:r w:rsidRPr="008A3857">
        <w:t>Wherever a third party holds copyright in this material, the copyright remains with that party. Their permission may be required to use the material, please contact them directly.</w:t>
      </w:r>
    </w:p>
    <w:p w:rsidR="001E475F" w:rsidRPr="008A3857" w:rsidRDefault="001E475F" w:rsidP="001E475F">
      <w:pPr>
        <w:pStyle w:val="Copyrightsubtitle"/>
      </w:pPr>
      <w:r w:rsidRPr="008A3857">
        <w:t xml:space="preserve">An appropriate </w:t>
      </w:r>
      <w:r>
        <w:t>reference</w:t>
      </w:r>
      <w:r w:rsidRPr="008A3857">
        <w:t xml:space="preserve"> for this publication is:</w:t>
      </w:r>
    </w:p>
    <w:p w:rsidR="001E475F" w:rsidRPr="008A3857" w:rsidRDefault="001E475F" w:rsidP="001E475F">
      <w:pPr>
        <w:pStyle w:val="Copyrightbodytext"/>
      </w:pPr>
      <w:r>
        <w:t xml:space="preserve">Forbes, M. </w:t>
      </w:r>
      <w:r w:rsidR="00D63914">
        <w:t xml:space="preserve">and Jomini, P. </w:t>
      </w:r>
      <w:r>
        <w:t>2016, A rationale for developing a Linked Employer-Employee Dataset for policy research, Productivity Commission Staff Research Note, Canberra, July.</w:t>
      </w:r>
    </w:p>
    <w:p w:rsidR="001E475F" w:rsidRPr="008A3857" w:rsidRDefault="001E475F" w:rsidP="001E475F">
      <w:pPr>
        <w:pStyle w:val="Copyrightsubtitle"/>
      </w:pPr>
      <w:bookmarkStart w:id="2" w:name="JEL"/>
      <w:bookmarkEnd w:id="2"/>
      <w:r w:rsidRPr="008A3857">
        <w:t>Publications enquiries</w:t>
      </w:r>
    </w:p>
    <w:p w:rsidR="001E475F" w:rsidRDefault="001E475F" w:rsidP="001E475F">
      <w:pPr>
        <w:pStyle w:val="Copyrightbodytext"/>
      </w:pPr>
      <w:r w:rsidRPr="008A3857">
        <w:t xml:space="preserve">Media and Publications, </w:t>
      </w:r>
      <w:r>
        <w:rPr>
          <w:szCs w:val="24"/>
        </w:rPr>
        <w:t>phone:</w:t>
      </w:r>
      <w:r w:rsidRPr="00BB5DCF">
        <w:rPr>
          <w:szCs w:val="24"/>
        </w:rPr>
        <w:t xml:space="preserve"> (03) 9653 2244 or email: </w:t>
      </w:r>
      <w:proofErr w:type="spellStart"/>
      <w:r w:rsidRPr="00BB5DCF">
        <w:rPr>
          <w:szCs w:val="24"/>
        </w:rPr>
        <w:t>maps@pc.gov.au</w:t>
      </w:r>
      <w:proofErr w:type="spellEnd"/>
    </w:p>
    <w:p w:rsidR="001E475F" w:rsidRDefault="001E475F" w:rsidP="001E475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1E475F" w:rsidTr="0044435B">
        <w:tc>
          <w:tcPr>
            <w:tcW w:w="8771" w:type="dxa"/>
            <w:tcBorders>
              <w:top w:val="single" w:sz="6" w:space="0" w:color="78A22F"/>
              <w:left w:val="nil"/>
              <w:bottom w:val="nil"/>
              <w:right w:val="nil"/>
            </w:tcBorders>
            <w:shd w:val="clear" w:color="auto" w:fill="F2F2F2" w:themeFill="background1" w:themeFillShade="F2"/>
          </w:tcPr>
          <w:p w:rsidR="001E475F" w:rsidRPr="008A3857" w:rsidRDefault="001E475F" w:rsidP="0044435B">
            <w:pPr>
              <w:pStyle w:val="BoxTitle"/>
              <w:rPr>
                <w:sz w:val="22"/>
                <w:szCs w:val="22"/>
              </w:rPr>
            </w:pPr>
            <w:r w:rsidRPr="008A3857">
              <w:rPr>
                <w:sz w:val="22"/>
                <w:szCs w:val="22"/>
              </w:rPr>
              <w:t>The Productivity Commission</w:t>
            </w:r>
          </w:p>
        </w:tc>
      </w:tr>
      <w:tr w:rsidR="001E475F" w:rsidTr="0044435B">
        <w:tc>
          <w:tcPr>
            <w:tcW w:w="8771" w:type="dxa"/>
            <w:tcBorders>
              <w:top w:val="nil"/>
              <w:left w:val="nil"/>
              <w:bottom w:val="nil"/>
              <w:right w:val="nil"/>
            </w:tcBorders>
            <w:shd w:val="clear" w:color="auto" w:fill="F2F2F2" w:themeFill="background1" w:themeFillShade="F2"/>
          </w:tcPr>
          <w:p w:rsidR="001E475F" w:rsidRDefault="001E475F" w:rsidP="0044435B">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1E475F" w:rsidRDefault="001E475F" w:rsidP="0044435B">
            <w:pPr>
              <w:pStyle w:val="Box"/>
            </w:pPr>
            <w:r w:rsidRPr="00BB5DCF">
              <w:t>The Commission’s independence is underpinned by an Act of Parliament. Its processes and outputs are open to public scrutiny and are driven by concern for the wellbeing of the community as a whole.</w:t>
            </w:r>
          </w:p>
          <w:p w:rsidR="001E475F" w:rsidRDefault="001E475F" w:rsidP="0044435B">
            <w:pPr>
              <w:pStyle w:val="Box"/>
            </w:pPr>
            <w:r w:rsidRPr="00BB5DCF">
              <w:rPr>
                <w:szCs w:val="24"/>
              </w:rPr>
              <w:t>Further information on the Productivity Commission can be obtained from the Commission’s website (</w:t>
            </w:r>
            <w:proofErr w:type="spellStart"/>
            <w:r w:rsidR="002F44E0">
              <w:fldChar w:fldCharType="begin"/>
            </w:r>
            <w:r w:rsidR="002F44E0">
              <w:instrText xml:space="preserve"> HYPERLINK "http://www.pc.gov.au/" </w:instrText>
            </w:r>
            <w:r w:rsidR="002F44E0">
              <w:fldChar w:fldCharType="separate"/>
            </w:r>
            <w:r w:rsidRPr="00805FD7">
              <w:t>www.pc.gov.au</w:t>
            </w:r>
            <w:proofErr w:type="spellEnd"/>
            <w:r w:rsidR="002F44E0">
              <w:fldChar w:fldCharType="end"/>
            </w:r>
            <w:r w:rsidRPr="00BB5DCF">
              <w:rPr>
                <w:szCs w:val="24"/>
              </w:rPr>
              <w:t>)</w:t>
            </w:r>
            <w:r>
              <w:rPr>
                <w:szCs w:val="24"/>
              </w:rPr>
              <w:t>.</w:t>
            </w:r>
          </w:p>
        </w:tc>
      </w:tr>
      <w:tr w:rsidR="001E475F" w:rsidTr="0044435B">
        <w:tc>
          <w:tcPr>
            <w:tcW w:w="8771" w:type="dxa"/>
            <w:tcBorders>
              <w:top w:val="nil"/>
              <w:left w:val="nil"/>
              <w:bottom w:val="single" w:sz="6" w:space="0" w:color="78A22F"/>
              <w:right w:val="nil"/>
            </w:tcBorders>
            <w:shd w:val="clear" w:color="auto" w:fill="F2F2F2" w:themeFill="background1" w:themeFillShade="F2"/>
          </w:tcPr>
          <w:p w:rsidR="001E475F" w:rsidRDefault="001E475F" w:rsidP="0044435B">
            <w:pPr>
              <w:pStyle w:val="Box"/>
              <w:spacing w:before="0" w:line="120" w:lineRule="exact"/>
            </w:pPr>
          </w:p>
        </w:tc>
      </w:tr>
    </w:tbl>
    <w:p w:rsidR="001E475F" w:rsidRDefault="001E475F">
      <w:pPr>
        <w:rPr>
          <w:sz w:val="52"/>
          <w:szCs w:val="20"/>
        </w:rPr>
      </w:pPr>
    </w:p>
    <w:p w:rsidR="001E475F" w:rsidRDefault="001E475F" w:rsidP="005039B1">
      <w:pPr>
        <w:pStyle w:val="Heading1"/>
        <w:spacing w:before="0" w:after="960"/>
        <w:ind w:left="0" w:firstLine="0"/>
        <w:sectPr w:rsidR="001E475F" w:rsidSect="00B019CF">
          <w:headerReference w:type="default" r:id="rId15"/>
          <w:footerReference w:type="default" r:id="rId16"/>
          <w:pgSz w:w="11907" w:h="16840" w:code="9"/>
          <w:pgMar w:top="1985" w:right="1304" w:bottom="1247" w:left="1814" w:header="1701" w:footer="397" w:gutter="0"/>
          <w:pgNumType w:fmt="lowerRoman" w:chapSep="period"/>
          <w:cols w:space="720"/>
          <w:titlePg/>
        </w:sectPr>
      </w:pPr>
    </w:p>
    <w:p w:rsidR="00A33DFF" w:rsidRDefault="006B4808" w:rsidP="005039B1">
      <w:pPr>
        <w:pStyle w:val="Heading1"/>
        <w:spacing w:before="0" w:after="960"/>
        <w:ind w:left="0" w:firstLine="0"/>
      </w:pPr>
      <w:r>
        <w:lastRenderedPageBreak/>
        <w:t xml:space="preserve">A rationale for developing a </w:t>
      </w:r>
      <w:r w:rsidR="00DE0129">
        <w:t>Linked Employer-Employee Data</w:t>
      </w:r>
      <w:bookmarkEnd w:id="0"/>
      <w:r>
        <w:t>set for policy research</w:t>
      </w:r>
    </w:p>
    <w:p w:rsidR="00F15387" w:rsidRDefault="00F15387">
      <w:pPr>
        <w:pStyle w:val="BoxSpaceAbove"/>
      </w:pPr>
      <w:bookmarkStart w:id="4" w:name="begin"/>
      <w:bookmarkEnd w:id="4"/>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15387" w:rsidTr="00735BF3">
        <w:tc>
          <w:tcPr>
            <w:tcW w:w="8771" w:type="dxa"/>
            <w:tcBorders>
              <w:top w:val="single" w:sz="6" w:space="0" w:color="78A22F"/>
              <w:left w:val="nil"/>
              <w:bottom w:val="nil"/>
              <w:right w:val="nil"/>
            </w:tcBorders>
            <w:shd w:val="clear" w:color="auto" w:fill="F2F2F2"/>
          </w:tcPr>
          <w:p w:rsidR="00F15387" w:rsidRDefault="00F15387" w:rsidP="004B2AFA">
            <w:pPr>
              <w:pStyle w:val="BoxTitle"/>
            </w:pPr>
            <w:r>
              <w:t>Key points</w:t>
            </w:r>
          </w:p>
        </w:tc>
      </w:tr>
      <w:tr w:rsidR="00F15387" w:rsidTr="00735BF3">
        <w:trPr>
          <w:cantSplit/>
        </w:trPr>
        <w:tc>
          <w:tcPr>
            <w:tcW w:w="8771" w:type="dxa"/>
            <w:tcBorders>
              <w:top w:val="nil"/>
              <w:left w:val="nil"/>
              <w:bottom w:val="nil"/>
              <w:right w:val="nil"/>
            </w:tcBorders>
            <w:shd w:val="clear" w:color="auto" w:fill="F2F2F2"/>
          </w:tcPr>
          <w:p w:rsidR="004B2AFA" w:rsidRDefault="004B2AFA" w:rsidP="004B2AFA">
            <w:pPr>
              <w:pStyle w:val="BoxListBullet"/>
            </w:pPr>
            <w:r>
              <w:t>Linked employer-employee datasets (</w:t>
            </w:r>
            <w:proofErr w:type="spellStart"/>
            <w:r>
              <w:t>LEEDs</w:t>
            </w:r>
            <w:proofErr w:type="spellEnd"/>
            <w:r>
              <w:t xml:space="preserve">) have been used to study labour productivity, firm profitability, job creation, wage determination, </w:t>
            </w:r>
            <w:r w:rsidR="00D0748E">
              <w:t>and</w:t>
            </w:r>
            <w:r>
              <w:t xml:space="preserve"> the effects of policies </w:t>
            </w:r>
            <w:r w:rsidR="00D0748E">
              <w:t xml:space="preserve">and </w:t>
            </w:r>
            <w:r>
              <w:t>business practices on employees and on firms.</w:t>
            </w:r>
          </w:p>
          <w:p w:rsidR="004B2AFA" w:rsidRDefault="004B2AFA" w:rsidP="004B2AFA">
            <w:pPr>
              <w:pStyle w:val="BoxListBullet2"/>
            </w:pPr>
            <w:proofErr w:type="spellStart"/>
            <w:r>
              <w:t>LEEDs</w:t>
            </w:r>
            <w:proofErr w:type="spellEnd"/>
            <w:r>
              <w:t xml:space="preserve"> combine information about employees, their jobs and their employers in a consistent framework.</w:t>
            </w:r>
          </w:p>
          <w:p w:rsidR="004B2AFA" w:rsidRDefault="004B2AFA" w:rsidP="004B2AFA">
            <w:pPr>
              <w:pStyle w:val="BoxListBullet2"/>
            </w:pPr>
            <w:proofErr w:type="spellStart"/>
            <w:r>
              <w:t>LEED</w:t>
            </w:r>
            <w:r w:rsidR="00AC2FB5">
              <w:t>s</w:t>
            </w:r>
            <w:proofErr w:type="spellEnd"/>
            <w:r>
              <w:t xml:space="preserve"> allow researchers to separate effects associated with employees from those associated with employers.</w:t>
            </w:r>
          </w:p>
          <w:p w:rsidR="004B2AFA" w:rsidRDefault="004B2AFA" w:rsidP="004B2AFA">
            <w:pPr>
              <w:pStyle w:val="BoxListBullet2"/>
            </w:pPr>
            <w:r>
              <w:t xml:space="preserve">Longitudinal </w:t>
            </w:r>
            <w:proofErr w:type="spellStart"/>
            <w:r>
              <w:t>LEED</w:t>
            </w:r>
            <w:r w:rsidR="00AC2FB5">
              <w:t>s</w:t>
            </w:r>
            <w:proofErr w:type="spellEnd"/>
            <w:r>
              <w:t xml:space="preserve"> can be used to make causal inferences about </w:t>
            </w:r>
            <w:r w:rsidR="00D0748E">
              <w:t xml:space="preserve">the effects of </w:t>
            </w:r>
            <w:r>
              <w:t>policy change, study employment transitions and business growth.</w:t>
            </w:r>
          </w:p>
          <w:p w:rsidR="004B2AFA" w:rsidRDefault="004B2AFA" w:rsidP="004B2AFA">
            <w:pPr>
              <w:pStyle w:val="BoxListBullet"/>
            </w:pPr>
            <w:r>
              <w:t xml:space="preserve">The ABS Foundation </w:t>
            </w:r>
            <w:proofErr w:type="spellStart"/>
            <w:r>
              <w:t>LEED</w:t>
            </w:r>
            <w:proofErr w:type="spellEnd"/>
            <w:r>
              <w:t xml:space="preserve"> is a prototype </w:t>
            </w:r>
            <w:proofErr w:type="spellStart"/>
            <w:r>
              <w:t>LEED</w:t>
            </w:r>
            <w:proofErr w:type="spellEnd"/>
            <w:r>
              <w:t xml:space="preserve"> based on personal income and business tax records for 2011-12.</w:t>
            </w:r>
          </w:p>
          <w:p w:rsidR="004B2AFA" w:rsidRDefault="004B2AFA" w:rsidP="004B2AFA">
            <w:pPr>
              <w:pStyle w:val="BoxListBullet2"/>
            </w:pPr>
            <w:r>
              <w:t xml:space="preserve">The Foundation </w:t>
            </w:r>
            <w:proofErr w:type="spellStart"/>
            <w:r>
              <w:t>LEED</w:t>
            </w:r>
            <w:proofErr w:type="spellEnd"/>
            <w:r>
              <w:t xml:space="preserve"> contains </w:t>
            </w:r>
            <w:r w:rsidR="003B6F29">
              <w:t>few</w:t>
            </w:r>
            <w:r>
              <w:t xml:space="preserve"> variables, which limits its use for policy analysis.</w:t>
            </w:r>
          </w:p>
          <w:p w:rsidR="004B2AFA" w:rsidRPr="00C916D5" w:rsidRDefault="00CB462D" w:rsidP="00147111">
            <w:pPr>
              <w:pStyle w:val="BoxListBullet"/>
            </w:pPr>
            <w:r>
              <w:t xml:space="preserve">A </w:t>
            </w:r>
            <w:proofErr w:type="spellStart"/>
            <w:r w:rsidR="004B2AFA">
              <w:t>LEED</w:t>
            </w:r>
            <w:proofErr w:type="spellEnd"/>
            <w:r w:rsidR="004B2AFA">
              <w:t xml:space="preserve"> could be a primary source of information about business and labour markets in Australia. </w:t>
            </w:r>
            <w:r w:rsidR="003B6F29">
              <w:t>A</w:t>
            </w:r>
            <w:r w:rsidR="004B2AFA">
              <w:t xml:space="preserve"> </w:t>
            </w:r>
            <w:proofErr w:type="spellStart"/>
            <w:r w:rsidR="004B2AFA">
              <w:t>LEED</w:t>
            </w:r>
            <w:proofErr w:type="spellEnd"/>
            <w:r w:rsidR="004B2AFA">
              <w:t xml:space="preserve"> </w:t>
            </w:r>
            <w:r>
              <w:t>that covered</w:t>
            </w:r>
            <w:r w:rsidRPr="00C916D5">
              <w:t xml:space="preserve"> </w:t>
            </w:r>
            <w:r w:rsidR="004B2AFA" w:rsidRPr="00C916D5">
              <w:t xml:space="preserve">all businesses and individuals paying tax </w:t>
            </w:r>
            <w:r w:rsidR="003B6F29">
              <w:t>would support</w:t>
            </w:r>
            <w:r w:rsidR="004B2AFA" w:rsidRPr="00C916D5">
              <w:t xml:space="preserve"> analyses </w:t>
            </w:r>
            <w:r w:rsidR="003B6F29">
              <w:t>at</w:t>
            </w:r>
            <w:r w:rsidR="004B2AFA" w:rsidRPr="00C916D5">
              <w:t xml:space="preserve"> </w:t>
            </w:r>
            <w:r w:rsidR="003B6F29" w:rsidRPr="00C916D5">
              <w:t xml:space="preserve">detailed </w:t>
            </w:r>
            <w:r w:rsidR="00147111" w:rsidRPr="00C916D5">
              <w:t>industr</w:t>
            </w:r>
            <w:r w:rsidR="00147111">
              <w:t>y</w:t>
            </w:r>
            <w:r w:rsidR="00147111" w:rsidRPr="00C916D5">
              <w:t xml:space="preserve"> </w:t>
            </w:r>
            <w:r w:rsidR="003B6F29">
              <w:t xml:space="preserve">and </w:t>
            </w:r>
            <w:r w:rsidR="004B2AFA" w:rsidRPr="00C916D5">
              <w:t>occupation</w:t>
            </w:r>
            <w:r w:rsidR="003B6F29">
              <w:t>al levels</w:t>
            </w:r>
            <w:r w:rsidR="004B2AFA" w:rsidRPr="00C916D5">
              <w:t>.</w:t>
            </w:r>
          </w:p>
          <w:p w:rsidR="004B2AFA" w:rsidRDefault="003B6F29" w:rsidP="004B2AFA">
            <w:pPr>
              <w:pStyle w:val="BoxListBullet"/>
            </w:pPr>
            <w:r>
              <w:t>Producing</w:t>
            </w:r>
            <w:r w:rsidR="004B2AFA">
              <w:t xml:space="preserve"> a </w:t>
            </w:r>
            <w:proofErr w:type="spellStart"/>
            <w:r w:rsidR="004B2AFA">
              <w:t>LEED</w:t>
            </w:r>
            <w:proofErr w:type="spellEnd"/>
            <w:r w:rsidR="004B2AFA">
              <w:t xml:space="preserve"> for policy research, require</w:t>
            </w:r>
            <w:r>
              <w:t>s</w:t>
            </w:r>
            <w:r w:rsidR="004B2AFA">
              <w:t xml:space="preserve"> that the Foundation </w:t>
            </w:r>
            <w:proofErr w:type="spellStart"/>
            <w:r w:rsidR="004B2AFA">
              <w:t>LEED</w:t>
            </w:r>
            <w:proofErr w:type="spellEnd"/>
            <w:r w:rsidR="004B2AFA">
              <w:t>:</w:t>
            </w:r>
          </w:p>
          <w:p w:rsidR="004B2AFA" w:rsidRDefault="006D3E21" w:rsidP="004B2AFA">
            <w:pPr>
              <w:pStyle w:val="BoxListBullet2"/>
            </w:pPr>
            <w:r>
              <w:t xml:space="preserve">make </w:t>
            </w:r>
            <w:r w:rsidR="004B2AFA">
              <w:t>better use of existing source data</w:t>
            </w:r>
            <w:r w:rsidR="003B6F29">
              <w:t xml:space="preserve"> by i</w:t>
            </w:r>
            <w:r w:rsidR="00104928">
              <w:t xml:space="preserve">ncluding </w:t>
            </w:r>
            <w:r w:rsidR="003B6F29">
              <w:t xml:space="preserve">more variables and reporting </w:t>
            </w:r>
            <w:r w:rsidR="00104928">
              <w:t xml:space="preserve">continuous </w:t>
            </w:r>
            <w:r w:rsidR="003B6F29">
              <w:t>values where possible</w:t>
            </w:r>
            <w:r w:rsidR="00104928">
              <w:t xml:space="preserve"> </w:t>
            </w:r>
          </w:p>
          <w:p w:rsidR="004B2AFA" w:rsidRDefault="00632FE9" w:rsidP="004B2AFA">
            <w:pPr>
              <w:pStyle w:val="BoxListBullet2"/>
            </w:pPr>
            <w:r>
              <w:t>use existing source data to produce a longitudinal series</w:t>
            </w:r>
          </w:p>
          <w:p w:rsidR="00C916D5" w:rsidRDefault="004B2AFA" w:rsidP="004B2AFA">
            <w:pPr>
              <w:pStyle w:val="BoxListBullet2"/>
            </w:pPr>
            <w:r>
              <w:t>be accessible to researchers outside government.</w:t>
            </w:r>
          </w:p>
          <w:p w:rsidR="00B42F04" w:rsidRDefault="00B42F04" w:rsidP="006D3E21">
            <w:pPr>
              <w:pStyle w:val="BoxListBullet"/>
            </w:pPr>
            <w:r>
              <w:t xml:space="preserve">The lessons learned from producing the Foundation </w:t>
            </w:r>
            <w:proofErr w:type="spellStart"/>
            <w:r>
              <w:t>LEED</w:t>
            </w:r>
            <w:proofErr w:type="spellEnd"/>
            <w:r>
              <w:t xml:space="preserve"> will provide valuable guidance in producing a longitudinal </w:t>
            </w:r>
            <w:r w:rsidR="0071692C">
              <w:t xml:space="preserve">Australian </w:t>
            </w:r>
            <w:proofErr w:type="spellStart"/>
            <w:r>
              <w:t>LEED</w:t>
            </w:r>
            <w:proofErr w:type="spellEnd"/>
            <w:r>
              <w:t>.</w:t>
            </w:r>
          </w:p>
          <w:p w:rsidR="006D3E21" w:rsidRDefault="004B2AFA" w:rsidP="006D3E21">
            <w:pPr>
              <w:pStyle w:val="BoxListBullet"/>
            </w:pPr>
            <w:r>
              <w:t>In the long</w:t>
            </w:r>
            <w:r w:rsidR="002C5F29">
              <w:t>er</w:t>
            </w:r>
            <w:r>
              <w:t xml:space="preserve"> term, it would be </w:t>
            </w:r>
            <w:r w:rsidR="002C5F29">
              <w:t>desirable to incorporate</w:t>
            </w:r>
            <w:r>
              <w:t xml:space="preserve"> information </w:t>
            </w:r>
            <w:r w:rsidR="006D3E21">
              <w:t xml:space="preserve">that is not currently collected as part of the taxation system </w:t>
            </w:r>
            <w:r>
              <w:t xml:space="preserve">in the </w:t>
            </w:r>
            <w:proofErr w:type="spellStart"/>
            <w:r>
              <w:t>LEED</w:t>
            </w:r>
            <w:proofErr w:type="spellEnd"/>
            <w:r w:rsidR="006D3E21">
              <w:t>. This would ideally</w:t>
            </w:r>
            <w:r w:rsidR="00AE0872">
              <w:t xml:space="preserve"> includ</w:t>
            </w:r>
            <w:r w:rsidR="006D3E21">
              <w:t>e:</w:t>
            </w:r>
            <w:r>
              <w:t xml:space="preserve"> </w:t>
            </w:r>
          </w:p>
          <w:p w:rsidR="006D3E21" w:rsidRDefault="002C5F29" w:rsidP="00102A69">
            <w:pPr>
              <w:pStyle w:val="BoxListBullet2"/>
              <w:rPr>
                <w:szCs w:val="24"/>
              </w:rPr>
            </w:pPr>
            <w:r>
              <w:t xml:space="preserve">employee </w:t>
            </w:r>
            <w:r w:rsidR="004B2AFA">
              <w:t>hours</w:t>
            </w:r>
            <w:r w:rsidR="006D3E21">
              <w:t xml:space="preserve"> (which </w:t>
            </w:r>
            <w:r w:rsidR="00CA1353">
              <w:t xml:space="preserve">might </w:t>
            </w:r>
            <w:r w:rsidR="006D3E21">
              <w:t xml:space="preserve">be collected with the shift to </w:t>
            </w:r>
            <w:r w:rsidR="00CA1353">
              <w:t>Single Touch Payroll</w:t>
            </w:r>
            <w:r w:rsidR="006D3E21">
              <w:t>)</w:t>
            </w:r>
          </w:p>
          <w:p w:rsidR="006D3E21" w:rsidRDefault="002C5F29" w:rsidP="00102A69">
            <w:pPr>
              <w:pStyle w:val="BoxListBullet2"/>
              <w:rPr>
                <w:szCs w:val="24"/>
              </w:rPr>
            </w:pPr>
            <w:r>
              <w:t xml:space="preserve">the </w:t>
            </w:r>
            <w:r w:rsidR="004B2AFA">
              <w:t>education levels</w:t>
            </w:r>
            <w:r w:rsidR="006D3E21">
              <w:t xml:space="preserve"> of employees (which </w:t>
            </w:r>
            <w:r w:rsidR="00102A69">
              <w:t>could be</w:t>
            </w:r>
            <w:r w:rsidR="006D3E21">
              <w:t xml:space="preserve"> </w:t>
            </w:r>
            <w:r w:rsidR="00CA1353">
              <w:t xml:space="preserve">obtained by linking with </w:t>
            </w:r>
            <w:r w:rsidR="006D3E21">
              <w:t xml:space="preserve">Commonwealth </w:t>
            </w:r>
            <w:r w:rsidR="00B82AD7" w:rsidRPr="00B82AD7">
              <w:t>h</w:t>
            </w:r>
            <w:r w:rsidR="006D3E21" w:rsidRPr="00B82AD7">
              <w:t xml:space="preserve">igher </w:t>
            </w:r>
            <w:r w:rsidR="00B82AD7" w:rsidRPr="00B82AD7">
              <w:t>e</w:t>
            </w:r>
            <w:r w:rsidR="006D3E21" w:rsidRPr="00B82AD7">
              <w:t xml:space="preserve">ducation </w:t>
            </w:r>
            <w:r w:rsidR="00B82AD7" w:rsidRPr="00B82AD7">
              <w:t>s</w:t>
            </w:r>
            <w:r w:rsidR="006D3E21" w:rsidRPr="00B82AD7">
              <w:t>tudent</w:t>
            </w:r>
            <w:r w:rsidR="006D3E21">
              <w:t xml:space="preserve"> records)</w:t>
            </w:r>
          </w:p>
          <w:p w:rsidR="006D3E21" w:rsidRPr="00102A69" w:rsidRDefault="004B2AFA" w:rsidP="00102A69">
            <w:pPr>
              <w:pStyle w:val="BoxListBullet2"/>
              <w:ind w:left="568" w:hanging="284"/>
            </w:pPr>
            <w:r>
              <w:t>the method used to set pay</w:t>
            </w:r>
            <w:r w:rsidR="006D3E21">
              <w:t xml:space="preserve"> (which </w:t>
            </w:r>
            <w:r w:rsidR="00CA1353">
              <w:t>might be collected through Single Touch Payroll)</w:t>
            </w:r>
          </w:p>
          <w:p w:rsidR="004B2AFA" w:rsidRDefault="002C5F29" w:rsidP="005366AD">
            <w:pPr>
              <w:pStyle w:val="BoxListBullet2"/>
              <w:rPr>
                <w:szCs w:val="24"/>
              </w:rPr>
            </w:pPr>
            <w:r>
              <w:t>a measure of capital stock</w:t>
            </w:r>
            <w:r w:rsidR="006D3E21">
              <w:t xml:space="preserve"> (</w:t>
            </w:r>
            <w:r w:rsidR="005366AD">
              <w:t>which would require further investigation</w:t>
            </w:r>
            <w:r w:rsidR="006D3E21">
              <w:t>)</w:t>
            </w:r>
            <w:r w:rsidR="00104928">
              <w:t>.</w:t>
            </w:r>
          </w:p>
        </w:tc>
      </w:tr>
      <w:tr w:rsidR="00F15387" w:rsidTr="00735BF3">
        <w:trPr>
          <w:cantSplit/>
        </w:trPr>
        <w:tc>
          <w:tcPr>
            <w:tcW w:w="8771" w:type="dxa"/>
            <w:tcBorders>
              <w:top w:val="nil"/>
              <w:left w:val="nil"/>
              <w:bottom w:val="single" w:sz="6" w:space="0" w:color="78A22F"/>
              <w:right w:val="nil"/>
            </w:tcBorders>
            <w:shd w:val="clear" w:color="auto" w:fill="F2F2F2"/>
          </w:tcPr>
          <w:p w:rsidR="00F15387" w:rsidRDefault="00F15387">
            <w:pPr>
              <w:pStyle w:val="Box"/>
              <w:spacing w:before="0" w:line="120" w:lineRule="exact"/>
            </w:pPr>
          </w:p>
        </w:tc>
      </w:tr>
      <w:tr w:rsidR="00F15387" w:rsidRPr="000863A5" w:rsidTr="00735BF3">
        <w:tc>
          <w:tcPr>
            <w:tcW w:w="8771" w:type="dxa"/>
            <w:tcBorders>
              <w:top w:val="single" w:sz="6" w:space="0" w:color="78A22F"/>
              <w:left w:val="nil"/>
              <w:bottom w:val="nil"/>
              <w:right w:val="nil"/>
            </w:tcBorders>
          </w:tcPr>
          <w:p w:rsidR="00F15387" w:rsidRPr="00626D32" w:rsidRDefault="00F15387" w:rsidP="00735BF3">
            <w:pPr>
              <w:pStyle w:val="BoxSpaceBelow"/>
            </w:pPr>
          </w:p>
        </w:tc>
      </w:tr>
    </w:tbl>
    <w:p w:rsidR="000B0B73" w:rsidRDefault="000B0B73" w:rsidP="000B0B73">
      <w:pPr>
        <w:pStyle w:val="BodyText"/>
      </w:pPr>
      <w:r>
        <w:lastRenderedPageBreak/>
        <w:t>The ABS Foundation Linked Employer-Employee Dataset (</w:t>
      </w:r>
      <w:r w:rsidR="0014570A">
        <w:t xml:space="preserve">Foundation </w:t>
      </w:r>
      <w:proofErr w:type="spellStart"/>
      <w:r>
        <w:t>LEED</w:t>
      </w:r>
      <w:proofErr w:type="spellEnd"/>
      <w:r>
        <w:t xml:space="preserve">) is an experimental dataset that seeks to remedy the absence of a </w:t>
      </w:r>
      <w:r w:rsidRPr="00290742">
        <w:t>representative</w:t>
      </w:r>
      <w:r>
        <w:t xml:space="preserve"> Australian </w:t>
      </w:r>
      <w:proofErr w:type="spellStart"/>
      <w:r>
        <w:t>LEED</w:t>
      </w:r>
      <w:proofErr w:type="spellEnd"/>
      <w:r>
        <w:t xml:space="preserve">. This research note provides an overview of how a </w:t>
      </w:r>
      <w:proofErr w:type="spellStart"/>
      <w:r>
        <w:t>LEED</w:t>
      </w:r>
      <w:proofErr w:type="spellEnd"/>
      <w:r>
        <w:t xml:space="preserve"> can be used to better inform policy.</w:t>
      </w:r>
      <w:r w:rsidR="002A43F7">
        <w:rPr>
          <w:rStyle w:val="FootnoteReference"/>
        </w:rPr>
        <w:footnoteReference w:id="1"/>
      </w:r>
      <w:r>
        <w:t xml:space="preserve"> It then describes the Foundation </w:t>
      </w:r>
      <w:proofErr w:type="spellStart"/>
      <w:r>
        <w:t>LEED</w:t>
      </w:r>
      <w:proofErr w:type="spellEnd"/>
      <w:r>
        <w:t xml:space="preserve"> in its current form, and provides suggestions to develop it into a tool for policy research.</w:t>
      </w:r>
    </w:p>
    <w:p w:rsidR="000B0B73" w:rsidRDefault="000B0B73" w:rsidP="000B0B73">
      <w:pPr>
        <w:pStyle w:val="BodyText"/>
      </w:pPr>
      <w:r w:rsidRPr="0014570A">
        <w:t xml:space="preserve">The </w:t>
      </w:r>
      <w:proofErr w:type="spellStart"/>
      <w:r w:rsidRPr="0014570A">
        <w:t>ATO</w:t>
      </w:r>
      <w:proofErr w:type="spellEnd"/>
      <w:r w:rsidRPr="0014570A">
        <w:t xml:space="preserve"> and the ABS are to be congratulated for making </w:t>
      </w:r>
      <w:r w:rsidR="00B64C23" w:rsidRPr="0014570A">
        <w:t xml:space="preserve">the </w:t>
      </w:r>
      <w:r w:rsidRPr="0014570A">
        <w:t xml:space="preserve">data available and pursuing the development of an Australian </w:t>
      </w:r>
      <w:proofErr w:type="spellStart"/>
      <w:r w:rsidRPr="0014570A">
        <w:t>LEED</w:t>
      </w:r>
      <w:proofErr w:type="spellEnd"/>
      <w:r w:rsidRPr="0014570A">
        <w:t xml:space="preserve">. </w:t>
      </w:r>
      <w:r w:rsidR="0014570A" w:rsidRPr="00290742">
        <w:t xml:space="preserve">Collating information </w:t>
      </w:r>
      <w:r w:rsidR="0014570A" w:rsidRPr="00660FD4">
        <w:t xml:space="preserve">about both labour supply and demand in a single dataset will allow improved analysis of the factors affecting labour market outcomes. </w:t>
      </w:r>
      <w:r w:rsidR="00B64C23" w:rsidRPr="0014570A">
        <w:t>That said</w:t>
      </w:r>
      <w:r w:rsidRPr="0014570A">
        <w:t xml:space="preserve">, more effort is required to transform the Foundation </w:t>
      </w:r>
      <w:proofErr w:type="spellStart"/>
      <w:r w:rsidRPr="0014570A">
        <w:t>LEED</w:t>
      </w:r>
      <w:proofErr w:type="spellEnd"/>
      <w:r w:rsidRPr="0014570A">
        <w:t xml:space="preserve"> into a dataset tha</w:t>
      </w:r>
      <w:r>
        <w:t xml:space="preserve">t </w:t>
      </w:r>
      <w:r w:rsidR="00B64C23">
        <w:t xml:space="preserve">can </w:t>
      </w:r>
      <w:r>
        <w:t>be use</w:t>
      </w:r>
      <w:r w:rsidR="00B64C23">
        <w:t>d</w:t>
      </w:r>
      <w:r>
        <w:t xml:space="preserve"> for policy analysis. The Commission would encourage the ABS to </w:t>
      </w:r>
      <w:r w:rsidR="00B64C23">
        <w:t>further</w:t>
      </w:r>
      <w:r>
        <w:t xml:space="preserve"> develop the Foundation </w:t>
      </w:r>
      <w:proofErr w:type="spellStart"/>
      <w:r>
        <w:t>LEED</w:t>
      </w:r>
      <w:proofErr w:type="spellEnd"/>
      <w:r>
        <w:t xml:space="preserve"> as it could become a very important resource for understanding labour </w:t>
      </w:r>
      <w:r w:rsidR="00B64C23">
        <w:t xml:space="preserve">market </w:t>
      </w:r>
      <w:r>
        <w:t>and business dynamics</w:t>
      </w:r>
      <w:r w:rsidR="00685D32">
        <w:t xml:space="preserve">, </w:t>
      </w:r>
      <w:r>
        <w:t>and designing better policy interventions over time.</w:t>
      </w:r>
    </w:p>
    <w:p w:rsidR="000B0B73" w:rsidRDefault="002A43F7" w:rsidP="00B1417B">
      <w:pPr>
        <w:pStyle w:val="Heading2"/>
      </w:pPr>
      <w:fldSimple w:instr=" SEQ Heading2 ">
        <w:r w:rsidR="00E10287">
          <w:rPr>
            <w:noProof/>
          </w:rPr>
          <w:t>1</w:t>
        </w:r>
      </w:fldSimple>
      <w:r w:rsidR="000B0B73">
        <w:tab/>
        <w:t>What is a Linked Employer-Employee Dataset?</w:t>
      </w:r>
    </w:p>
    <w:p w:rsidR="00AB4E32" w:rsidRDefault="00823E00" w:rsidP="007C61AC">
      <w:pPr>
        <w:pStyle w:val="BodyText"/>
      </w:pPr>
      <w:r>
        <w:t>M</w:t>
      </w:r>
      <w:r w:rsidR="00105EC8">
        <w:t xml:space="preserve">atched </w:t>
      </w:r>
      <w:r>
        <w:t xml:space="preserve">data </w:t>
      </w:r>
      <w:r w:rsidR="00105EC8">
        <w:t xml:space="preserve">about employees and employers provide opportunities </w:t>
      </w:r>
      <w:r w:rsidR="004F2212">
        <w:t xml:space="preserve">to analyse </w:t>
      </w:r>
      <w:r w:rsidR="00105EC8">
        <w:t>the effect</w:t>
      </w:r>
      <w:r>
        <w:t>s</w:t>
      </w:r>
      <w:r w:rsidR="00105EC8">
        <w:t xml:space="preserve"> of policies </w:t>
      </w:r>
      <w:r w:rsidR="008169EF">
        <w:t>o</w:t>
      </w:r>
      <w:r w:rsidR="00105EC8">
        <w:t xml:space="preserve">n labour productivity, job </w:t>
      </w:r>
      <w:r w:rsidR="008169EF">
        <w:t xml:space="preserve">creation and </w:t>
      </w:r>
      <w:r w:rsidR="00B64C23">
        <w:t xml:space="preserve">the </w:t>
      </w:r>
      <w:r w:rsidR="008169EF">
        <w:t>determinants</w:t>
      </w:r>
      <w:r w:rsidR="00B64C23">
        <w:t xml:space="preserve"> of wage and employment outcomes</w:t>
      </w:r>
      <w:r w:rsidR="008169EF">
        <w:t>.</w:t>
      </w:r>
      <w:r w:rsidR="0094058E">
        <w:t xml:space="preserve"> </w:t>
      </w:r>
      <w:r w:rsidR="004F2212">
        <w:t>The linked information on the labour market and business performance is needed</w:t>
      </w:r>
      <w:r w:rsidR="0094058E">
        <w:t xml:space="preserve"> because </w:t>
      </w:r>
      <w:r w:rsidR="007C61AC">
        <w:t>‘the outcomes of interest in every one of these areas are jointly determined by workers’ and employers’ behaviour’ (</w:t>
      </w:r>
      <w:proofErr w:type="spellStart"/>
      <w:r w:rsidR="007C61AC">
        <w:t>Hamermesh</w:t>
      </w:r>
      <w:proofErr w:type="spellEnd"/>
      <w:r w:rsidR="00AE0872">
        <w:t> </w:t>
      </w:r>
      <w:r w:rsidR="007C61AC">
        <w:t>1999,</w:t>
      </w:r>
      <w:r w:rsidR="00AE0872">
        <w:t> </w:t>
      </w:r>
      <w:r w:rsidR="0010036F">
        <w:t>p.</w:t>
      </w:r>
      <w:r>
        <w:t> </w:t>
      </w:r>
      <w:r w:rsidR="0010036F">
        <w:t>38</w:t>
      </w:r>
      <w:r w:rsidR="007C61AC">
        <w:t xml:space="preserve">). </w:t>
      </w:r>
    </w:p>
    <w:p w:rsidR="00AB4E32" w:rsidRDefault="00680D07" w:rsidP="00AB4E32">
      <w:pPr>
        <w:pStyle w:val="BodyText"/>
      </w:pPr>
      <w:proofErr w:type="spellStart"/>
      <w:r>
        <w:t>LEEDs</w:t>
      </w:r>
      <w:proofErr w:type="spellEnd"/>
      <w:r>
        <w:t xml:space="preserve"> </w:t>
      </w:r>
      <w:r w:rsidR="00823E00">
        <w:t xml:space="preserve">are superior to </w:t>
      </w:r>
      <w:r>
        <w:t xml:space="preserve">datasets that provide </w:t>
      </w:r>
      <w:r w:rsidR="004F2212">
        <w:t xml:space="preserve">separate </w:t>
      </w:r>
      <w:r>
        <w:t>information about employee</w:t>
      </w:r>
      <w:r w:rsidR="004F2212">
        <w:t xml:space="preserve"> behaviour and outcomes</w:t>
      </w:r>
      <w:r w:rsidR="00C62456">
        <w:t>,</w:t>
      </w:r>
      <w:r>
        <w:t xml:space="preserve"> </w:t>
      </w:r>
      <w:r w:rsidR="004F2212">
        <w:t>and about</w:t>
      </w:r>
      <w:r>
        <w:t xml:space="preserve"> the performance of businesses</w:t>
      </w:r>
      <w:r w:rsidR="004A4298">
        <w:t xml:space="preserve"> (box 1)</w:t>
      </w:r>
      <w:r w:rsidR="004F2212">
        <w:t xml:space="preserve">. This is because </w:t>
      </w:r>
      <w:proofErr w:type="spellStart"/>
      <w:r>
        <w:t>LEEDs</w:t>
      </w:r>
      <w:proofErr w:type="spellEnd"/>
      <w:r>
        <w:t xml:space="preserve"> </w:t>
      </w:r>
      <w:r w:rsidR="004F2212">
        <w:t xml:space="preserve">allow </w:t>
      </w:r>
      <w:r w:rsidR="00947A8F">
        <w:t xml:space="preserve">researchers to </w:t>
      </w:r>
      <w:r w:rsidR="00823E00">
        <w:t xml:space="preserve">identify the effects of policy changes </w:t>
      </w:r>
      <w:r w:rsidR="004F2212">
        <w:t xml:space="preserve">on both sides of the labour market — </w:t>
      </w:r>
      <w:r w:rsidR="00823E00">
        <w:t xml:space="preserve">on </w:t>
      </w:r>
      <w:r w:rsidR="00105EC8">
        <w:t xml:space="preserve">employees </w:t>
      </w:r>
      <w:r w:rsidR="00823E00">
        <w:t xml:space="preserve">(labour supply) </w:t>
      </w:r>
      <w:r w:rsidR="00105EC8">
        <w:t xml:space="preserve">and employers </w:t>
      </w:r>
      <w:r w:rsidR="00823E00">
        <w:t>(labour demand)</w:t>
      </w:r>
      <w:r w:rsidR="00947A8F">
        <w:t>.</w:t>
      </w:r>
      <w:r w:rsidR="00AB4E32">
        <w:t xml:space="preserve"> Wi</w:t>
      </w:r>
      <w:r w:rsidR="0094058E">
        <w:t xml:space="preserve">thout linked data, analysis of labour market outcomes </w:t>
      </w:r>
      <w:r w:rsidR="007A38D9">
        <w:t>can</w:t>
      </w:r>
      <w:r w:rsidR="00AB4E32">
        <w:t xml:space="preserve">not account for the role of </w:t>
      </w:r>
      <w:r w:rsidR="00AB4E32" w:rsidRPr="0027628B">
        <w:rPr>
          <w:i/>
        </w:rPr>
        <w:t>both</w:t>
      </w:r>
      <w:r w:rsidR="00AB4E32">
        <w:t xml:space="preserve"> employee and employer characteristics in explaining </w:t>
      </w:r>
      <w:r w:rsidR="00823E00">
        <w:t xml:space="preserve">these </w:t>
      </w:r>
      <w:r w:rsidR="00AB4E32">
        <w:t xml:space="preserve">outcomes </w:t>
      </w:r>
      <w:r w:rsidR="00593F87" w:rsidRPr="00593F87">
        <w:rPr>
          <w:szCs w:val="24"/>
        </w:rPr>
        <w:t>(Jensen 2010, p. 209)</w:t>
      </w:r>
      <w:r w:rsidR="00AB4E32">
        <w:t xml:space="preserve">. For example, using </w:t>
      </w:r>
      <w:r w:rsidR="00823E00">
        <w:t xml:space="preserve">the </w:t>
      </w:r>
      <w:r w:rsidR="00AB4E32">
        <w:t xml:space="preserve">Housing, Income and Labour Dynamics of Australia survey to examine </w:t>
      </w:r>
      <w:r w:rsidR="00AE0872">
        <w:t xml:space="preserve">the determinants of </w:t>
      </w:r>
      <w:r w:rsidR="00AB4E32">
        <w:t xml:space="preserve">wages does not account for the profitability of the </w:t>
      </w:r>
      <w:r w:rsidR="00DE5800">
        <w:t>employer</w:t>
      </w:r>
      <w:r>
        <w:t xml:space="preserve">, </w:t>
      </w:r>
      <w:r w:rsidR="00592FDC">
        <w:t xml:space="preserve">its investment and capital stock, </w:t>
      </w:r>
      <w:r>
        <w:t xml:space="preserve">or the </w:t>
      </w:r>
      <w:r w:rsidR="00823E00">
        <w:t xml:space="preserve">degree of competition in </w:t>
      </w:r>
      <w:r>
        <w:t xml:space="preserve">the markets in which </w:t>
      </w:r>
      <w:r w:rsidR="00823E00">
        <w:t xml:space="preserve">it </w:t>
      </w:r>
      <w:r>
        <w:t>operate</w:t>
      </w:r>
      <w:r w:rsidR="00823E00">
        <w:t>s</w:t>
      </w:r>
      <w:r w:rsidR="00F4527B">
        <w:t xml:space="preserve">. </w:t>
      </w:r>
      <w:r w:rsidR="00592FDC">
        <w:t xml:space="preserve">All </w:t>
      </w:r>
      <w:r w:rsidR="00F4527B">
        <w:t xml:space="preserve">of these factors </w:t>
      </w:r>
      <w:r w:rsidR="00823E00">
        <w:t>affect wages</w:t>
      </w:r>
      <w:r w:rsidR="00592FDC">
        <w:t xml:space="preserve"> and employment</w:t>
      </w:r>
      <w:r w:rsidR="00AB4E32">
        <w:t>.</w:t>
      </w:r>
      <w:r>
        <w:t xml:space="preserve"> Similarly, examining </w:t>
      </w:r>
      <w:r w:rsidR="00F4527B">
        <w:t>firm productivity</w:t>
      </w:r>
      <w:r>
        <w:t xml:space="preserve"> using </w:t>
      </w:r>
      <w:r w:rsidR="0000078D">
        <w:t xml:space="preserve">the </w:t>
      </w:r>
      <w:r>
        <w:t xml:space="preserve">Business Longitudinal Database does not account for the composition and characteristics of </w:t>
      </w:r>
      <w:r w:rsidR="00DE5800">
        <w:t xml:space="preserve">firms’ </w:t>
      </w:r>
      <w:r>
        <w:t>workforce</w:t>
      </w:r>
      <w:r w:rsidR="00DE5800">
        <w:t xml:space="preserve">s, which affect </w:t>
      </w:r>
      <w:r w:rsidR="00F4527B">
        <w:t>this</w:t>
      </w:r>
      <w:r w:rsidR="00DE5800">
        <w:t xml:space="preserve"> outcome</w:t>
      </w:r>
      <w:r>
        <w:t xml:space="preserve">. </w:t>
      </w:r>
    </w:p>
    <w:p w:rsidR="0094058E" w:rsidRDefault="0094058E" w:rsidP="00AB4E32">
      <w:pPr>
        <w:pStyle w:val="BodyText"/>
      </w:pPr>
      <w:r>
        <w:t xml:space="preserve">As noted by </w:t>
      </w:r>
      <w:proofErr w:type="spellStart"/>
      <w:r>
        <w:t>Hamermesh</w:t>
      </w:r>
      <w:proofErr w:type="spellEnd"/>
      <w:r>
        <w:t xml:space="preserve">, the fundamental justification for linking employer and employee data stems from the fact that ‘most </w:t>
      </w:r>
      <w:proofErr w:type="spellStart"/>
      <w:r>
        <w:t>labo</w:t>
      </w:r>
      <w:proofErr w:type="spellEnd"/>
      <w:r>
        <w:t xml:space="preserve">[u]r market outcomes result from activities on both sides of the market’ </w:t>
      </w:r>
      <w:r w:rsidRPr="0094058E">
        <w:rPr>
          <w:szCs w:val="24"/>
        </w:rPr>
        <w:t>(1999, p. 26)</w:t>
      </w:r>
      <w:r w:rsidR="00EF6775">
        <w:t xml:space="preserve">. A failure to consider firm effects when looking at </w:t>
      </w:r>
      <w:r w:rsidR="00CA14EE">
        <w:t xml:space="preserve">the determinants of labour market outcomes </w:t>
      </w:r>
      <w:r w:rsidR="00D7122E">
        <w:t xml:space="preserve">can result in </w:t>
      </w:r>
      <w:r w:rsidR="00CA14EE">
        <w:t>omitted variable bias</w:t>
      </w:r>
      <w:r w:rsidR="00F4527B">
        <w:t>, which can lead to inaccurate or misleading conclusions</w:t>
      </w:r>
      <w:r w:rsidR="00CA14EE">
        <w:t xml:space="preserve"> </w:t>
      </w:r>
      <w:r w:rsidR="00F4527B" w:rsidRPr="00F4527B">
        <w:rPr>
          <w:szCs w:val="24"/>
        </w:rPr>
        <w:t>(</w:t>
      </w:r>
      <w:proofErr w:type="spellStart"/>
      <w:r w:rsidR="00F4527B" w:rsidRPr="00F4527B">
        <w:rPr>
          <w:szCs w:val="24"/>
        </w:rPr>
        <w:t>Abowd</w:t>
      </w:r>
      <w:proofErr w:type="spellEnd"/>
      <w:r w:rsidR="00F4527B" w:rsidRPr="00F4527B">
        <w:rPr>
          <w:szCs w:val="24"/>
        </w:rPr>
        <w:t xml:space="preserve"> and </w:t>
      </w:r>
      <w:proofErr w:type="spellStart"/>
      <w:r w:rsidR="00F4527B" w:rsidRPr="00F4527B">
        <w:rPr>
          <w:szCs w:val="24"/>
        </w:rPr>
        <w:t>Kramarz</w:t>
      </w:r>
      <w:proofErr w:type="spellEnd"/>
      <w:r w:rsidR="00F4527B" w:rsidRPr="00F4527B">
        <w:rPr>
          <w:szCs w:val="24"/>
        </w:rPr>
        <w:t> 1999, p. 23)</w:t>
      </w:r>
      <w:r w:rsidR="00CA14EE">
        <w:t xml:space="preserve">. </w:t>
      </w:r>
      <w:r>
        <w:t xml:space="preserve">It is similarly </w:t>
      </w:r>
      <w:r>
        <w:lastRenderedPageBreak/>
        <w:t xml:space="preserve">important to </w:t>
      </w:r>
      <w:r w:rsidR="00CA14EE">
        <w:t>account</w:t>
      </w:r>
      <w:r>
        <w:t xml:space="preserve"> </w:t>
      </w:r>
      <w:r w:rsidR="00DE5800">
        <w:t xml:space="preserve">for </w:t>
      </w:r>
      <w:r>
        <w:t xml:space="preserve">workforce characteristics </w:t>
      </w:r>
      <w:r w:rsidR="00D7122E">
        <w:t xml:space="preserve">(such as education and experience of the workers) </w:t>
      </w:r>
      <w:r>
        <w:t xml:space="preserve">when considering </w:t>
      </w:r>
      <w:r w:rsidR="00DE5800">
        <w:t xml:space="preserve">business </w:t>
      </w:r>
      <w:r>
        <w:t>outcomes.</w:t>
      </w:r>
    </w:p>
    <w:p w:rsidR="00A06195" w:rsidRDefault="00A06195" w:rsidP="00A0619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06195" w:rsidTr="0087071E">
        <w:tc>
          <w:tcPr>
            <w:tcW w:w="8771" w:type="dxa"/>
            <w:tcBorders>
              <w:top w:val="single" w:sz="6" w:space="0" w:color="78A22F"/>
              <w:left w:val="nil"/>
              <w:bottom w:val="nil"/>
              <w:right w:val="nil"/>
            </w:tcBorders>
            <w:shd w:val="clear" w:color="auto" w:fill="F2F2F2"/>
          </w:tcPr>
          <w:p w:rsidR="00A06195" w:rsidRDefault="00A06195" w:rsidP="0087071E">
            <w:pPr>
              <w:pStyle w:val="BoxTitle"/>
            </w:pPr>
            <w:r>
              <w:rPr>
                <w:b w:val="0"/>
              </w:rPr>
              <w:t xml:space="preserve">Box </w:t>
            </w:r>
            <w:r>
              <w:rPr>
                <w:b w:val="0"/>
              </w:rPr>
              <w:fldChar w:fldCharType="begin"/>
            </w:r>
            <w:r>
              <w:rPr>
                <w:b w:val="0"/>
              </w:rPr>
              <w:instrText xml:space="preserve"> SEQ Box \* ARABIC </w:instrText>
            </w:r>
            <w:r>
              <w:rPr>
                <w:b w:val="0"/>
              </w:rPr>
              <w:fldChar w:fldCharType="separate"/>
            </w:r>
            <w:r>
              <w:rPr>
                <w:b w:val="0"/>
                <w:noProof/>
              </w:rPr>
              <w:t>1</w:t>
            </w:r>
            <w:r>
              <w:rPr>
                <w:b w:val="0"/>
              </w:rPr>
              <w:fldChar w:fldCharType="end"/>
            </w:r>
            <w:r>
              <w:tab/>
              <w:t>Types of Linked Employer-Employee Datasets</w:t>
            </w:r>
          </w:p>
        </w:tc>
      </w:tr>
      <w:tr w:rsidR="00A06195" w:rsidTr="0087071E">
        <w:trPr>
          <w:cantSplit/>
        </w:trPr>
        <w:tc>
          <w:tcPr>
            <w:tcW w:w="8771" w:type="dxa"/>
            <w:tcBorders>
              <w:top w:val="nil"/>
              <w:left w:val="nil"/>
              <w:bottom w:val="nil"/>
              <w:right w:val="nil"/>
            </w:tcBorders>
            <w:shd w:val="clear" w:color="auto" w:fill="F2F2F2"/>
          </w:tcPr>
          <w:p w:rsidR="00A06195" w:rsidRPr="001721F9" w:rsidRDefault="00A06195" w:rsidP="0087071E">
            <w:pPr>
              <w:pStyle w:val="Box"/>
            </w:pPr>
            <w:r>
              <w:t xml:space="preserve">There are two main types of </w:t>
            </w:r>
            <w:proofErr w:type="spellStart"/>
            <w:r>
              <w:t>LEEDs</w:t>
            </w:r>
            <w:proofErr w:type="spellEnd"/>
            <w:r>
              <w:t>:</w:t>
            </w:r>
          </w:p>
          <w:p w:rsidR="00A06195" w:rsidRDefault="00A06195" w:rsidP="0087071E">
            <w:pPr>
              <w:pStyle w:val="BoxListBullet"/>
            </w:pPr>
            <w:r w:rsidRPr="008169EF">
              <w:t xml:space="preserve">Cross-sectional LEEDS </w:t>
            </w:r>
            <w:r>
              <w:t xml:space="preserve">include a broad range of covariates at a point in time, including detailed information about workplace policies and practices, and human capital characteristics. Cross-sectional </w:t>
            </w:r>
            <w:proofErr w:type="spellStart"/>
            <w:r>
              <w:t>LEEDs</w:t>
            </w:r>
            <w:proofErr w:type="spellEnd"/>
            <w:r>
              <w:t xml:space="preserve"> are typically survey based. </w:t>
            </w:r>
          </w:p>
          <w:p w:rsidR="00A06195" w:rsidRDefault="00A06195" w:rsidP="0087071E">
            <w:pPr>
              <w:pStyle w:val="BoxListBullet"/>
            </w:pPr>
            <w:r w:rsidRPr="00EF77A0">
              <w:t>Longitudinal</w:t>
            </w:r>
            <w:r w:rsidRPr="001721F9">
              <w:rPr>
                <w:i/>
              </w:rPr>
              <w:t xml:space="preserve"> </w:t>
            </w:r>
            <w:proofErr w:type="spellStart"/>
            <w:r w:rsidRPr="00EF77A0">
              <w:t>LEEDs</w:t>
            </w:r>
            <w:proofErr w:type="spellEnd"/>
            <w:r>
              <w:t xml:space="preserve"> track employees and firms over time, and are well-suited to analysing the relationship between the progress of the firm (labour productivity, growth in employment, firm survival) and that of its employees (wages, tenure). Longitudinal </w:t>
            </w:r>
            <w:proofErr w:type="spellStart"/>
            <w:r>
              <w:t>LEEDs</w:t>
            </w:r>
            <w:proofErr w:type="spellEnd"/>
            <w:r>
              <w:t xml:space="preserve"> are often based on administrative data sources. The time dimension can allow causal inferences about the effects of changes. It also allows some fundamental questions, such as whether productivity change can be attributed to a stable set of firms or to a process of creative destruction, to be examined.</w:t>
            </w:r>
          </w:p>
          <w:p w:rsidR="00A06195" w:rsidRDefault="00A06195" w:rsidP="0087071E">
            <w:pPr>
              <w:pStyle w:val="Box"/>
            </w:pPr>
            <w:r w:rsidRPr="00781241">
              <w:t xml:space="preserve">The source of data for the </w:t>
            </w:r>
            <w:proofErr w:type="spellStart"/>
            <w:r w:rsidRPr="00781241">
              <w:t>LEED</w:t>
            </w:r>
            <w:proofErr w:type="spellEnd"/>
            <w:r w:rsidRPr="00781241">
              <w:t xml:space="preserve"> will affect the type of information included as well as the coverage of the dataset. A </w:t>
            </w:r>
            <w:proofErr w:type="spellStart"/>
            <w:r w:rsidRPr="00781241">
              <w:t>LEED</w:t>
            </w:r>
            <w:proofErr w:type="spellEnd"/>
            <w:r w:rsidRPr="00781241">
              <w:t xml:space="preserve"> derived from administrative data sources is likely to be limited by the purpose for which the data was originally collected, but may have a broad or even comprehensive coverage. An administrative </w:t>
            </w:r>
            <w:proofErr w:type="spellStart"/>
            <w:r w:rsidRPr="00781241">
              <w:t>LEED</w:t>
            </w:r>
            <w:proofErr w:type="spellEnd"/>
            <w:r w:rsidRPr="00781241">
              <w:t xml:space="preserve"> </w:t>
            </w:r>
            <w:r>
              <w:t xml:space="preserve">consisting of routinely collected data </w:t>
            </w:r>
            <w:r w:rsidRPr="00781241">
              <w:t xml:space="preserve">can be made into a longitudinal dataset more easily than a survey-based </w:t>
            </w:r>
            <w:proofErr w:type="spellStart"/>
            <w:r w:rsidRPr="00781241">
              <w:t>LEED</w:t>
            </w:r>
            <w:proofErr w:type="spellEnd"/>
            <w:r w:rsidRPr="00781241">
              <w:t xml:space="preserve">. Conversely, a </w:t>
            </w:r>
            <w:proofErr w:type="spellStart"/>
            <w:r w:rsidRPr="00781241">
              <w:t>LEED</w:t>
            </w:r>
            <w:proofErr w:type="spellEnd"/>
            <w:r w:rsidRPr="00781241">
              <w:t xml:space="preserve"> derived from a survey is likely to have more limited coverage, but </w:t>
            </w:r>
            <w:r>
              <w:t xml:space="preserve">may </w:t>
            </w:r>
            <w:r w:rsidRPr="00781241">
              <w:t>include a richer source of information about workplace practices and outcomes.</w:t>
            </w:r>
            <w:r>
              <w:t xml:space="preserve"> Survey-based </w:t>
            </w:r>
            <w:proofErr w:type="spellStart"/>
            <w:r>
              <w:t>LEEDs</w:t>
            </w:r>
            <w:proofErr w:type="spellEnd"/>
            <w:r>
              <w:t xml:space="preserve"> can contain specifically tailored questions that allow analysis of workplace practices (for example, details of workplace agreements) that are not be documented in administrative datasets.</w:t>
            </w:r>
          </w:p>
          <w:p w:rsidR="00A06195" w:rsidRDefault="00A06195" w:rsidP="0087071E">
            <w:pPr>
              <w:pStyle w:val="Box"/>
            </w:pPr>
            <w:r w:rsidRPr="001721F9">
              <w:t xml:space="preserve">It is possible to produce mixed </w:t>
            </w:r>
            <w:proofErr w:type="spellStart"/>
            <w:r w:rsidRPr="001721F9">
              <w:t>LEEDs</w:t>
            </w:r>
            <w:proofErr w:type="spellEnd"/>
            <w:r w:rsidRPr="001721F9">
              <w:t xml:space="preserve"> which combine administrative </w:t>
            </w:r>
            <w:r>
              <w:t>data with</w:t>
            </w:r>
            <w:r w:rsidRPr="001721F9">
              <w:t xml:space="preserve"> survey data</w:t>
            </w:r>
            <w:r>
              <w:t>, although data compiled from multiple sources can be difficult to use and interpret. This can</w:t>
            </w:r>
            <w:r w:rsidRPr="001721F9">
              <w:t xml:space="preserve"> allow longer-term analysis of the effects of </w:t>
            </w:r>
            <w:r>
              <w:t xml:space="preserve">changes in </w:t>
            </w:r>
            <w:r w:rsidRPr="001721F9">
              <w:t xml:space="preserve">workplace </w:t>
            </w:r>
            <w:r>
              <w:t xml:space="preserve">practices (recorded in survey data) </w:t>
            </w:r>
            <w:r w:rsidRPr="001721F9">
              <w:t>on firm and employee outcomes</w:t>
            </w:r>
            <w:r>
              <w:t xml:space="preserve"> that are collected in longitudinal administrative data</w:t>
            </w:r>
            <w:r w:rsidRPr="001721F9">
              <w:t>.</w:t>
            </w:r>
            <w:r>
              <w:t xml:space="preserve"> </w:t>
            </w:r>
            <w:proofErr w:type="spellStart"/>
            <w:r>
              <w:t>LEEDs</w:t>
            </w:r>
            <w:proofErr w:type="spellEnd"/>
            <w:r>
              <w:t xml:space="preserve"> ideally distinguish between firms and workplaces, with the latter having a geographic location that allows location based policies to be analysed.</w:t>
            </w:r>
          </w:p>
          <w:p w:rsidR="00A06195" w:rsidRDefault="00A06195" w:rsidP="0087071E">
            <w:pPr>
              <w:pStyle w:val="Box"/>
            </w:pPr>
            <w:r>
              <w:t xml:space="preserve">At the firm or activity/workplace level, </w:t>
            </w:r>
            <w:proofErr w:type="spellStart"/>
            <w:r>
              <w:t>LEEDs</w:t>
            </w:r>
            <w:proofErr w:type="spellEnd"/>
            <w:r>
              <w:t xml:space="preserve"> can include information about firm outputs, profitability, capital investment, revenue, workforce size and characteristics, location, industry, workplace policies and practices, adoption of new technologies, and workplace education and training. At the employee level, </w:t>
            </w:r>
            <w:proofErr w:type="spellStart"/>
            <w:r>
              <w:t>LEEDs</w:t>
            </w:r>
            <w:proofErr w:type="spellEnd"/>
            <w:r>
              <w:t xml:space="preserve"> can include variables describing workers’ age, sex, labour market experience, education levels, occupation, wages earned, hours worked, job tenure and method of pay determination. </w:t>
            </w:r>
            <w:proofErr w:type="spellStart"/>
            <w:r>
              <w:t>LEEDs</w:t>
            </w:r>
            <w:proofErr w:type="spellEnd"/>
            <w:r>
              <w:t xml:space="preserve"> may also include information about the different jobs held by an individual.</w:t>
            </w:r>
          </w:p>
        </w:tc>
      </w:tr>
      <w:tr w:rsidR="00A06195" w:rsidTr="0087071E">
        <w:trPr>
          <w:cantSplit/>
        </w:trPr>
        <w:tc>
          <w:tcPr>
            <w:tcW w:w="8771" w:type="dxa"/>
            <w:tcBorders>
              <w:top w:val="nil"/>
              <w:left w:val="nil"/>
              <w:bottom w:val="nil"/>
              <w:right w:val="nil"/>
            </w:tcBorders>
            <w:shd w:val="clear" w:color="auto" w:fill="F2F2F2"/>
          </w:tcPr>
          <w:p w:rsidR="00A06195" w:rsidRPr="001721F9" w:rsidRDefault="00A06195" w:rsidP="0087071E">
            <w:pPr>
              <w:pStyle w:val="Box"/>
            </w:pPr>
            <w:r>
              <w:rPr>
                <w:i/>
              </w:rPr>
              <w:t>Source</w:t>
            </w:r>
            <w:r w:rsidRPr="00167F06">
              <w:t xml:space="preserve">: </w:t>
            </w:r>
            <w:r>
              <w:t xml:space="preserve">Bryson and Forth </w:t>
            </w:r>
            <w:r w:rsidRPr="008169EF">
              <w:rPr>
                <w:rFonts w:cs="Arial"/>
              </w:rPr>
              <w:t>(2006)</w:t>
            </w:r>
            <w:r>
              <w:rPr>
                <w:rFonts w:cs="Arial"/>
              </w:rPr>
              <w:t>.</w:t>
            </w:r>
          </w:p>
        </w:tc>
      </w:tr>
      <w:tr w:rsidR="00A06195" w:rsidTr="0087071E">
        <w:trPr>
          <w:cantSplit/>
        </w:trPr>
        <w:tc>
          <w:tcPr>
            <w:tcW w:w="8771" w:type="dxa"/>
            <w:tcBorders>
              <w:top w:val="nil"/>
              <w:left w:val="nil"/>
              <w:bottom w:val="single" w:sz="6" w:space="0" w:color="78A22F"/>
              <w:right w:val="nil"/>
            </w:tcBorders>
            <w:shd w:val="clear" w:color="auto" w:fill="F2F2F2"/>
          </w:tcPr>
          <w:p w:rsidR="00A06195" w:rsidRDefault="00A06195" w:rsidP="0087071E">
            <w:pPr>
              <w:pStyle w:val="Box"/>
              <w:spacing w:before="0" w:line="120" w:lineRule="exact"/>
            </w:pPr>
          </w:p>
        </w:tc>
      </w:tr>
      <w:tr w:rsidR="00A06195" w:rsidRPr="000863A5" w:rsidTr="0087071E">
        <w:tc>
          <w:tcPr>
            <w:tcW w:w="8771" w:type="dxa"/>
            <w:tcBorders>
              <w:top w:val="single" w:sz="6" w:space="0" w:color="78A22F"/>
              <w:left w:val="nil"/>
              <w:bottom w:val="nil"/>
              <w:right w:val="nil"/>
            </w:tcBorders>
          </w:tcPr>
          <w:p w:rsidR="00A06195" w:rsidRPr="00626D32" w:rsidRDefault="00A06195" w:rsidP="0087071E">
            <w:pPr>
              <w:pStyle w:val="BoxSpaceBelow"/>
            </w:pPr>
          </w:p>
        </w:tc>
      </w:tr>
    </w:tbl>
    <w:p w:rsidR="005052CD" w:rsidRDefault="00AB4E32" w:rsidP="00391218">
      <w:pPr>
        <w:pStyle w:val="BodyText"/>
      </w:pPr>
      <w:r>
        <w:t>Collating and linking information about employers and employees over time</w:t>
      </w:r>
      <w:r w:rsidR="00685D32">
        <w:t>,</w:t>
      </w:r>
      <w:r>
        <w:t xml:space="preserve"> </w:t>
      </w:r>
      <w:r w:rsidR="00E11737">
        <w:t>in a longitudinal dataset</w:t>
      </w:r>
      <w:r w:rsidR="00685D32">
        <w:t>,</w:t>
      </w:r>
      <w:r w:rsidR="00E11737">
        <w:t xml:space="preserve"> </w:t>
      </w:r>
      <w:r>
        <w:t xml:space="preserve">allows causal inferences to be made about factors that </w:t>
      </w:r>
      <w:r w:rsidR="00D7122E">
        <w:t xml:space="preserve">are </w:t>
      </w:r>
      <w:r>
        <w:t xml:space="preserve">associated with changes in either firm or employee outcomes </w:t>
      </w:r>
      <w:r w:rsidR="00F4527B" w:rsidRPr="00F4527B">
        <w:rPr>
          <w:szCs w:val="24"/>
        </w:rPr>
        <w:t>(Bryson and Forth 2006, p. 2)</w:t>
      </w:r>
      <w:r>
        <w:t xml:space="preserve">. </w:t>
      </w:r>
      <w:r w:rsidR="008169EF">
        <w:t>A</w:t>
      </w:r>
      <w:r w:rsidR="00D7122E">
        <w:t>s a</w:t>
      </w:r>
      <w:r w:rsidR="008169EF">
        <w:t xml:space="preserve"> </w:t>
      </w:r>
      <w:r w:rsidR="00DE5800">
        <w:t xml:space="preserve">longitudinal </w:t>
      </w:r>
      <w:proofErr w:type="spellStart"/>
      <w:r w:rsidR="008169EF">
        <w:t>LEED</w:t>
      </w:r>
      <w:proofErr w:type="spellEnd"/>
      <w:r w:rsidR="008169EF">
        <w:t xml:space="preserve"> </w:t>
      </w:r>
      <w:r w:rsidR="00D7122E">
        <w:t xml:space="preserve">tracks firms and </w:t>
      </w:r>
      <w:r w:rsidR="004A4298">
        <w:t xml:space="preserve">employees </w:t>
      </w:r>
      <w:r w:rsidR="00D7122E">
        <w:t xml:space="preserve">over time, it can </w:t>
      </w:r>
      <w:r w:rsidR="00AC2B11">
        <w:t xml:space="preserve">be used to identify whether a policy </w:t>
      </w:r>
      <w:r w:rsidR="00391218">
        <w:t xml:space="preserve">shift </w:t>
      </w:r>
      <w:r w:rsidR="00AC2B11">
        <w:t>precedes or follows</w:t>
      </w:r>
      <w:r w:rsidR="00391218">
        <w:t xml:space="preserve"> a change in</w:t>
      </w:r>
      <w:r w:rsidR="00AC2B11">
        <w:t xml:space="preserve"> </w:t>
      </w:r>
      <w:r w:rsidR="004A4298">
        <w:t xml:space="preserve">employee </w:t>
      </w:r>
      <w:r w:rsidR="00D7122E">
        <w:t>o</w:t>
      </w:r>
      <w:r w:rsidR="00AC2B11">
        <w:t>r</w:t>
      </w:r>
      <w:r w:rsidR="00D7122E">
        <w:t xml:space="preserve"> business outcomes</w:t>
      </w:r>
      <w:r w:rsidR="008169EF">
        <w:t xml:space="preserve">. </w:t>
      </w:r>
      <w:r w:rsidR="00E11737">
        <w:t xml:space="preserve">A longitudinal </w:t>
      </w:r>
      <w:proofErr w:type="spellStart"/>
      <w:r w:rsidR="00E11737">
        <w:t>LEED</w:t>
      </w:r>
      <w:proofErr w:type="spellEnd"/>
      <w:r w:rsidR="00E11737">
        <w:t xml:space="preserve"> </w:t>
      </w:r>
      <w:r w:rsidR="00D7122E">
        <w:t>also allow</w:t>
      </w:r>
      <w:r w:rsidR="00E11737">
        <w:t>s</w:t>
      </w:r>
      <w:r w:rsidR="00D7122E">
        <w:t xml:space="preserve"> for more sophisticated analytical techniques where </w:t>
      </w:r>
      <w:r w:rsidR="00D7122E">
        <w:lastRenderedPageBreak/>
        <w:t>unobserved variables, such as worker</w:t>
      </w:r>
      <w:r w:rsidR="005052CD">
        <w:t>s</w:t>
      </w:r>
      <w:r w:rsidR="00592FDC">
        <w:t>’</w:t>
      </w:r>
      <w:r w:rsidR="005052CD">
        <w:t xml:space="preserve"> cognitive skills, or a firm’s entrepreneurial spirit can be </w:t>
      </w:r>
      <w:r w:rsidR="00B42F04">
        <w:t xml:space="preserve">taken into </w:t>
      </w:r>
      <w:r w:rsidR="005052CD">
        <w:t xml:space="preserve">account. </w:t>
      </w:r>
    </w:p>
    <w:p w:rsidR="003C0A77" w:rsidRDefault="005052CD" w:rsidP="0023539C">
      <w:pPr>
        <w:pStyle w:val="BodyText"/>
      </w:pPr>
      <w:r>
        <w:t xml:space="preserve">A longitudinal </w:t>
      </w:r>
      <w:proofErr w:type="spellStart"/>
      <w:r>
        <w:t>LEED</w:t>
      </w:r>
      <w:proofErr w:type="spellEnd"/>
      <w:r>
        <w:t xml:space="preserve"> allow</w:t>
      </w:r>
      <w:r w:rsidR="00E11737">
        <w:t>s firm dynamics to be analysed.</w:t>
      </w:r>
      <w:r>
        <w:t xml:space="preserve"> </w:t>
      </w:r>
      <w:r w:rsidR="00E11737">
        <w:t>C</w:t>
      </w:r>
      <w:r w:rsidR="00AB4E32">
        <w:t xml:space="preserve">hanges at the firm level </w:t>
      </w:r>
      <w:r w:rsidR="00E11737">
        <w:t xml:space="preserve">can </w:t>
      </w:r>
      <w:r>
        <w:t xml:space="preserve">be identified, </w:t>
      </w:r>
      <w:r w:rsidR="00AB4E32">
        <w:t>includ</w:t>
      </w:r>
      <w:r>
        <w:t>ing</w:t>
      </w:r>
      <w:r w:rsidR="00AB4E32">
        <w:t xml:space="preserve"> firm entry and exit, growth </w:t>
      </w:r>
      <w:r w:rsidR="00DE5800">
        <w:t xml:space="preserve">and </w:t>
      </w:r>
      <w:r w:rsidR="00AB4E32">
        <w:t xml:space="preserve">decline, mergers and acquisitions, </w:t>
      </w:r>
      <w:r>
        <w:t>and</w:t>
      </w:r>
      <w:r w:rsidR="00AB4E32">
        <w:t xml:space="preserve"> changes in workplace practices. Employment dynamics include transitions between </w:t>
      </w:r>
      <w:r w:rsidR="00CA14EE">
        <w:t xml:space="preserve">jobs, </w:t>
      </w:r>
      <w:r w:rsidR="00DE5800">
        <w:t>wage changes</w:t>
      </w:r>
      <w:r w:rsidR="00AB4E32">
        <w:t xml:space="preserve">, </w:t>
      </w:r>
      <w:r w:rsidR="00CA14EE">
        <w:t xml:space="preserve">geographical </w:t>
      </w:r>
      <w:r w:rsidR="00AB4E32">
        <w:t>m</w:t>
      </w:r>
      <w:r w:rsidR="008169EF">
        <w:t xml:space="preserve">obility, </w:t>
      </w:r>
      <w:r w:rsidR="00F15387">
        <w:t>and</w:t>
      </w:r>
      <w:r w:rsidR="00DE5800">
        <w:t xml:space="preserve"> </w:t>
      </w:r>
      <w:r w:rsidR="00F4527B">
        <w:t>movement in and out of the labour force</w:t>
      </w:r>
      <w:r w:rsidR="00F4527B" w:rsidRPr="001803F7">
        <w:t>.</w:t>
      </w:r>
      <w:r w:rsidR="001803F7" w:rsidRPr="001803F7">
        <w:t xml:space="preserve"> </w:t>
      </w:r>
      <w:r w:rsidR="001803F7" w:rsidRPr="004052DD">
        <w:t>Where employee data is linked to transfer payment data, such as C</w:t>
      </w:r>
      <w:r w:rsidR="001803F7" w:rsidRPr="00E85027">
        <w:t xml:space="preserve">entrelink payment records, it also becomes possible to analyse transitions between employment and unemployment </w:t>
      </w:r>
      <w:r w:rsidR="001803F7" w:rsidRPr="009A3CAB">
        <w:t>(</w:t>
      </w:r>
      <w:proofErr w:type="spellStart"/>
      <w:r w:rsidR="001803F7" w:rsidRPr="009A3CAB">
        <w:t>Hildreth</w:t>
      </w:r>
      <w:proofErr w:type="spellEnd"/>
      <w:r w:rsidR="001803F7" w:rsidRPr="009A3CAB">
        <w:t xml:space="preserve"> and </w:t>
      </w:r>
      <w:proofErr w:type="spellStart"/>
      <w:r w:rsidR="001803F7" w:rsidRPr="009A3CAB">
        <w:t>Pudney</w:t>
      </w:r>
      <w:proofErr w:type="spellEnd"/>
      <w:r w:rsidR="001803F7" w:rsidRPr="009A3CAB">
        <w:t> 1999, p. 3)</w:t>
      </w:r>
      <w:r w:rsidR="001803F7" w:rsidRPr="00E85027">
        <w:t>.</w:t>
      </w:r>
    </w:p>
    <w:p w:rsidR="00E85027" w:rsidRDefault="005052CD" w:rsidP="00A43C67">
      <w:pPr>
        <w:pStyle w:val="BodyText"/>
      </w:pPr>
      <w:r>
        <w:t>The use of administrative data is a</w:t>
      </w:r>
      <w:r w:rsidR="00BD661E">
        <w:t xml:space="preserve"> critic</w:t>
      </w:r>
      <w:r>
        <w:t xml:space="preserve">al factor in creating a successful </w:t>
      </w:r>
      <w:proofErr w:type="spellStart"/>
      <w:r>
        <w:t>LEED</w:t>
      </w:r>
      <w:proofErr w:type="spellEnd"/>
      <w:r>
        <w:t>.</w:t>
      </w:r>
      <w:r w:rsidR="00EA2AF0">
        <w:t xml:space="preserve"> </w:t>
      </w:r>
      <w:r w:rsidR="00DE5800">
        <w:t>I</w:t>
      </w:r>
      <w:r w:rsidR="003C0A77">
        <w:t xml:space="preserve">t is difficult </w:t>
      </w:r>
      <w:r>
        <w:t xml:space="preserve">in a survey </w:t>
      </w:r>
      <w:r w:rsidR="003C0A77">
        <w:t xml:space="preserve">to ensure that both the employer and employee levels are </w:t>
      </w:r>
      <w:r w:rsidR="003C0A77" w:rsidRPr="001C77AF">
        <w:rPr>
          <w:i/>
        </w:rPr>
        <w:t>representative</w:t>
      </w:r>
      <w:r w:rsidR="0023539C">
        <w:t xml:space="preserve"> of their </w:t>
      </w:r>
      <w:r w:rsidR="001051E6">
        <w:t xml:space="preserve">respective </w:t>
      </w:r>
      <w:r w:rsidR="0023539C">
        <w:t>populations. A non-representative sample</w:t>
      </w:r>
      <w:r w:rsidR="003C0A77">
        <w:t xml:space="preserve"> </w:t>
      </w:r>
      <w:r w:rsidR="001051E6">
        <w:t>means that</w:t>
      </w:r>
      <w:r w:rsidR="003C0A77">
        <w:t xml:space="preserve"> </w:t>
      </w:r>
      <w:r w:rsidR="001051E6">
        <w:t xml:space="preserve">any </w:t>
      </w:r>
      <w:r w:rsidR="003C0A77">
        <w:t xml:space="preserve">conclusions </w:t>
      </w:r>
      <w:r w:rsidR="001051E6">
        <w:t xml:space="preserve">only apply to the sample and inferences about a policy change cannot be </w:t>
      </w:r>
      <w:r w:rsidR="004052DD">
        <w:t xml:space="preserve">applied </w:t>
      </w:r>
      <w:r w:rsidR="001051E6">
        <w:t>more broadly</w:t>
      </w:r>
      <w:r w:rsidR="00ED54FA">
        <w:t xml:space="preserve">. This is likely to be a problem with </w:t>
      </w:r>
      <w:proofErr w:type="spellStart"/>
      <w:r w:rsidR="00ED54FA">
        <w:t>LEEDs</w:t>
      </w:r>
      <w:proofErr w:type="spellEnd"/>
      <w:r w:rsidR="00ED54FA">
        <w:t xml:space="preserve"> </w:t>
      </w:r>
      <w:r w:rsidR="00E11737">
        <w:t>drawn from surveys where there are</w:t>
      </w:r>
      <w:r w:rsidR="00E85027">
        <w:t xml:space="preserve"> difficulties eliciting responses from businesses or their employees.</w:t>
      </w:r>
      <w:r w:rsidR="006707CE">
        <w:t xml:space="preserve"> </w:t>
      </w:r>
      <w:r w:rsidR="000A416C">
        <w:t>S</w:t>
      </w:r>
      <w:r w:rsidR="006707CE">
        <w:t>urvey</w:t>
      </w:r>
      <w:r w:rsidR="000A416C">
        <w:t xml:space="preserve">-based </w:t>
      </w:r>
      <w:proofErr w:type="spellStart"/>
      <w:r w:rsidR="006707CE">
        <w:t>LEEDs</w:t>
      </w:r>
      <w:proofErr w:type="spellEnd"/>
      <w:r w:rsidR="006707CE">
        <w:t>, such as the 2014 Australian Workplace Relations Survey</w:t>
      </w:r>
      <w:r w:rsidR="00D676E0">
        <w:t xml:space="preserve"> </w:t>
      </w:r>
      <w:r w:rsidR="00D676E0" w:rsidRPr="00D676E0">
        <w:rPr>
          <w:szCs w:val="24"/>
        </w:rPr>
        <w:t>(</w:t>
      </w:r>
      <w:proofErr w:type="spellStart"/>
      <w:r w:rsidR="00D676E0" w:rsidRPr="00D676E0">
        <w:rPr>
          <w:szCs w:val="24"/>
        </w:rPr>
        <w:t>FWC</w:t>
      </w:r>
      <w:proofErr w:type="spellEnd"/>
      <w:r w:rsidR="00D676E0" w:rsidRPr="00D676E0">
        <w:rPr>
          <w:szCs w:val="24"/>
        </w:rPr>
        <w:t> 2015)</w:t>
      </w:r>
      <w:r w:rsidR="006707CE">
        <w:t xml:space="preserve">, can </w:t>
      </w:r>
      <w:r w:rsidR="000A416C">
        <w:t>suffer from</w:t>
      </w:r>
      <w:r w:rsidR="006707CE">
        <w:t xml:space="preserve"> low employer response rates.</w:t>
      </w:r>
    </w:p>
    <w:p w:rsidR="00E85027" w:rsidRDefault="00E85027" w:rsidP="00E85027">
      <w:pPr>
        <w:pStyle w:val="BodyText"/>
      </w:pPr>
      <w:r>
        <w:t xml:space="preserve">To avoid sampling problems, </w:t>
      </w:r>
      <w:proofErr w:type="spellStart"/>
      <w:r>
        <w:t>LEEDs</w:t>
      </w:r>
      <w:proofErr w:type="spellEnd"/>
      <w:r>
        <w:t xml:space="preserve"> can be sourced from administrative data, which typically include records for an entire population. But it can be difficult to obtain appropriate economic variables from administrative sources </w:t>
      </w:r>
      <w:r w:rsidRPr="00E85027">
        <w:rPr>
          <w:szCs w:val="24"/>
        </w:rPr>
        <w:t>(</w:t>
      </w:r>
      <w:proofErr w:type="spellStart"/>
      <w:r w:rsidRPr="00E85027">
        <w:rPr>
          <w:szCs w:val="24"/>
        </w:rPr>
        <w:t>Hildreth</w:t>
      </w:r>
      <w:proofErr w:type="spellEnd"/>
      <w:r w:rsidRPr="00E85027">
        <w:rPr>
          <w:szCs w:val="24"/>
        </w:rPr>
        <w:t xml:space="preserve"> and </w:t>
      </w:r>
      <w:proofErr w:type="spellStart"/>
      <w:r w:rsidRPr="00E85027">
        <w:rPr>
          <w:szCs w:val="24"/>
        </w:rPr>
        <w:t>Pudney</w:t>
      </w:r>
      <w:proofErr w:type="spellEnd"/>
      <w:r w:rsidRPr="00E85027">
        <w:rPr>
          <w:szCs w:val="24"/>
        </w:rPr>
        <w:t> 1999, p. 3)</w:t>
      </w:r>
      <w:r>
        <w:t xml:space="preserve">. For example, </w:t>
      </w:r>
      <w:proofErr w:type="spellStart"/>
      <w:r>
        <w:t>Chien</w:t>
      </w:r>
      <w:proofErr w:type="spellEnd"/>
      <w:r>
        <w:t xml:space="preserve"> and Mayer </w:t>
      </w:r>
      <w:r w:rsidRPr="00EA2AF0">
        <w:t>(2015)</w:t>
      </w:r>
      <w:r>
        <w:t xml:space="preserve"> use</w:t>
      </w:r>
      <w:r w:rsidR="00A4797E">
        <w:t xml:space="preserve"> a precursor to the ABS Foundation</w:t>
      </w:r>
      <w:r>
        <w:t xml:space="preserve"> </w:t>
      </w:r>
      <w:proofErr w:type="spellStart"/>
      <w:r>
        <w:t>LEED</w:t>
      </w:r>
      <w:proofErr w:type="spellEnd"/>
      <w:r>
        <w:t xml:space="preserve"> to describe Australian firms. They note that the absence of key measures of labour inputs such as hours worked, educational attainment and experience, and the absence of information about capital stock</w:t>
      </w:r>
      <w:r w:rsidR="00A4797E">
        <w:t>s</w:t>
      </w:r>
      <w:r>
        <w:t>, limits their ability to examine labour productivity.</w:t>
      </w:r>
    </w:p>
    <w:p w:rsidR="003F699D" w:rsidRDefault="002A43F7" w:rsidP="003F699D">
      <w:pPr>
        <w:pStyle w:val="Heading2"/>
      </w:pPr>
      <w:fldSimple w:instr=" SEQ Heading2 ">
        <w:r w:rsidR="00E10287">
          <w:rPr>
            <w:noProof/>
          </w:rPr>
          <w:t>2</w:t>
        </w:r>
      </w:fldSimple>
      <w:r w:rsidR="003F699D">
        <w:tab/>
      </w:r>
      <w:r w:rsidR="005E7406">
        <w:t xml:space="preserve">How does a </w:t>
      </w:r>
      <w:proofErr w:type="spellStart"/>
      <w:r w:rsidR="005E7406">
        <w:t>LEED</w:t>
      </w:r>
      <w:proofErr w:type="spellEnd"/>
      <w:r w:rsidR="005E7406">
        <w:t xml:space="preserve"> assist in </w:t>
      </w:r>
      <w:r w:rsidR="00981760">
        <w:t xml:space="preserve">policy </w:t>
      </w:r>
      <w:r w:rsidR="005E7406">
        <w:t>research?</w:t>
      </w:r>
    </w:p>
    <w:p w:rsidR="00A4797E" w:rsidRDefault="00F530A3" w:rsidP="00365A5B">
      <w:pPr>
        <w:pStyle w:val="BodyText"/>
      </w:pPr>
      <w:r>
        <w:t xml:space="preserve">A </w:t>
      </w:r>
      <w:proofErr w:type="spellStart"/>
      <w:r>
        <w:t>LEED</w:t>
      </w:r>
      <w:proofErr w:type="spellEnd"/>
      <w:r>
        <w:t xml:space="preserve"> </w:t>
      </w:r>
      <w:r w:rsidR="005E7406">
        <w:t>provide</w:t>
      </w:r>
      <w:r>
        <w:t>s</w:t>
      </w:r>
      <w:r w:rsidR="005E7406">
        <w:t xml:space="preserve"> a unique perspective on the performance and outcomes of employers and employees</w:t>
      </w:r>
      <w:r w:rsidR="002625DA">
        <w:t>. From a policy perspective</w:t>
      </w:r>
      <w:r w:rsidR="00686E49">
        <w:t>,</w:t>
      </w:r>
      <w:r w:rsidR="002625DA">
        <w:t xml:space="preserve"> this</w:t>
      </w:r>
      <w:r w:rsidR="005E7406">
        <w:t xml:space="preserve"> </w:t>
      </w:r>
      <w:r w:rsidR="002625DA">
        <w:t>includes</w:t>
      </w:r>
      <w:r w:rsidR="005E7406">
        <w:t xml:space="preserve"> an opportunity </w:t>
      </w:r>
      <w:r w:rsidR="003E5461">
        <w:t xml:space="preserve">to identify and test what </w:t>
      </w:r>
      <w:r w:rsidR="00E84C78">
        <w:t>factors affect</w:t>
      </w:r>
      <w:r w:rsidR="00A4797E">
        <w:t>:</w:t>
      </w:r>
    </w:p>
    <w:p w:rsidR="00A4797E" w:rsidRDefault="00E84C78" w:rsidP="00A4797E">
      <w:pPr>
        <w:pStyle w:val="ListBullet"/>
      </w:pPr>
      <w:r>
        <w:t>labour market outcomes</w:t>
      </w:r>
    </w:p>
    <w:p w:rsidR="00E84C78" w:rsidRDefault="00E84C78" w:rsidP="00A4797E">
      <w:pPr>
        <w:pStyle w:val="ListBullet"/>
      </w:pPr>
      <w:r>
        <w:t>productivity at the firm</w:t>
      </w:r>
      <w:r w:rsidR="002625DA">
        <w:t>, industry and aggregate</w:t>
      </w:r>
      <w:r>
        <w:t xml:space="preserve"> levels. </w:t>
      </w:r>
    </w:p>
    <w:p w:rsidR="00E84C78" w:rsidRPr="00446AA5" w:rsidRDefault="00E84C78" w:rsidP="00E84C78">
      <w:pPr>
        <w:pStyle w:val="Heading3"/>
      </w:pPr>
      <w:r w:rsidRPr="00446AA5">
        <w:t>Determinants of labour market outcomes</w:t>
      </w:r>
    </w:p>
    <w:p w:rsidR="0086399E" w:rsidRPr="00446AA5" w:rsidRDefault="00E84C78" w:rsidP="009264CB">
      <w:pPr>
        <w:pStyle w:val="BodyText"/>
      </w:pPr>
      <w:r w:rsidRPr="00446AA5">
        <w:t>Labour market outcomes such as employment, tenure, worker displacement</w:t>
      </w:r>
      <w:r w:rsidR="009264CB" w:rsidRPr="00446AA5">
        <w:t xml:space="preserve"> and wages are affected by a multitude of policies that influence both the behaviour of employees and the firms that employ them. </w:t>
      </w:r>
      <w:r w:rsidR="00F530A3">
        <w:t>M</w:t>
      </w:r>
      <w:r w:rsidR="003C4063" w:rsidRPr="00446AA5">
        <w:t xml:space="preserve">uch of the </w:t>
      </w:r>
      <w:r w:rsidRPr="00446AA5">
        <w:t xml:space="preserve">research into the determinants of labour market outcomes focuses </w:t>
      </w:r>
      <w:r w:rsidR="009264CB" w:rsidRPr="00446AA5">
        <w:t xml:space="preserve">solely </w:t>
      </w:r>
      <w:r w:rsidRPr="00446AA5">
        <w:t xml:space="preserve">on </w:t>
      </w:r>
      <w:r w:rsidR="008D11FB" w:rsidRPr="00446AA5">
        <w:t>the supply of labour</w:t>
      </w:r>
      <w:r w:rsidR="00B6736C">
        <w:t xml:space="preserve"> —</w:t>
      </w:r>
      <w:r w:rsidR="008D11FB" w:rsidRPr="00446AA5">
        <w:t xml:space="preserve"> </w:t>
      </w:r>
      <w:r w:rsidRPr="00446AA5">
        <w:t>individual employees and their characteristics</w:t>
      </w:r>
      <w:r w:rsidR="009264CB" w:rsidRPr="00446AA5">
        <w:t>. L</w:t>
      </w:r>
      <w:r w:rsidRPr="00446AA5">
        <w:t xml:space="preserve">ittle attention </w:t>
      </w:r>
      <w:r w:rsidR="009264CB" w:rsidRPr="00446AA5">
        <w:t>is paid to</w:t>
      </w:r>
      <w:r w:rsidR="008D11FB" w:rsidRPr="00446AA5">
        <w:t xml:space="preserve"> labour demand</w:t>
      </w:r>
      <w:r w:rsidR="00B6736C">
        <w:t>. T</w:t>
      </w:r>
      <w:r w:rsidR="008D11FB" w:rsidRPr="00446AA5">
        <w:t>he role of employers</w:t>
      </w:r>
      <w:r w:rsidR="003C4063" w:rsidRPr="00446AA5">
        <w:t xml:space="preserve"> in </w:t>
      </w:r>
      <w:r w:rsidR="003C4063" w:rsidRPr="00446AA5">
        <w:lastRenderedPageBreak/>
        <w:t>determining labour market outcomes</w:t>
      </w:r>
      <w:r w:rsidR="008D11FB" w:rsidRPr="00446AA5">
        <w:t xml:space="preserve">, </w:t>
      </w:r>
      <w:r w:rsidR="009264CB" w:rsidRPr="00446AA5">
        <w:t xml:space="preserve">other than possibly the industry in which they operate, </w:t>
      </w:r>
      <w:r w:rsidR="003C4063" w:rsidRPr="00446AA5">
        <w:t xml:space="preserve">is </w:t>
      </w:r>
      <w:r w:rsidR="009264CB" w:rsidRPr="00446AA5">
        <w:t xml:space="preserve">largely </w:t>
      </w:r>
      <w:r w:rsidR="003C4063" w:rsidRPr="00446AA5">
        <w:t xml:space="preserve">ignored. </w:t>
      </w:r>
      <w:r w:rsidR="003E5461">
        <w:t>This is because the data is rarely available.</w:t>
      </w:r>
    </w:p>
    <w:p w:rsidR="003C4063" w:rsidRPr="00446AA5" w:rsidRDefault="003E5461" w:rsidP="009264CB">
      <w:pPr>
        <w:pStyle w:val="BodyText"/>
      </w:pPr>
      <w:r>
        <w:t>I</w:t>
      </w:r>
      <w:r w:rsidR="0086399E" w:rsidRPr="00446AA5">
        <w:t xml:space="preserve">gnoring the demand side </w:t>
      </w:r>
      <w:r w:rsidR="00B95879" w:rsidRPr="00446AA5">
        <w:t>is detrimental to</w:t>
      </w:r>
      <w:r w:rsidR="0086399E" w:rsidRPr="00446AA5">
        <w:t xml:space="preserve"> analyses that seek to explain differences in labour market outcomes:</w:t>
      </w:r>
    </w:p>
    <w:p w:rsidR="0086399E" w:rsidRPr="00446AA5" w:rsidRDefault="0086399E" w:rsidP="0086399E">
      <w:pPr>
        <w:pStyle w:val="Quote"/>
      </w:pPr>
      <w:r w:rsidRPr="00446AA5">
        <w:t>[B]</w:t>
      </w:r>
      <w:proofErr w:type="spellStart"/>
      <w:r w:rsidRPr="00446AA5">
        <w:t>oth</w:t>
      </w:r>
      <w:proofErr w:type="spellEnd"/>
      <w:r w:rsidRPr="00446AA5">
        <w:t xml:space="preserve"> firms </w:t>
      </w:r>
      <w:r w:rsidRPr="00446AA5">
        <w:rPr>
          <w:i/>
        </w:rPr>
        <w:t xml:space="preserve">and </w:t>
      </w:r>
      <w:r w:rsidRPr="00446AA5">
        <w:t xml:space="preserve">workers play important roles in explaining observed differences in the earnings and productivity of individual workers; to ignore the effects of one would be to overstate the effects of the other. </w:t>
      </w:r>
      <w:r w:rsidRPr="00446AA5">
        <w:rPr>
          <w:szCs w:val="24"/>
        </w:rPr>
        <w:t>(Jensen 2010, p. 210)</w:t>
      </w:r>
    </w:p>
    <w:p w:rsidR="00B95879" w:rsidRPr="00446AA5" w:rsidRDefault="00B95879" w:rsidP="009264CB">
      <w:pPr>
        <w:pStyle w:val="BodyText"/>
      </w:pPr>
      <w:r w:rsidRPr="00446AA5">
        <w:t xml:space="preserve">By bringing together information about both labour supply and demand, linked data allows a </w:t>
      </w:r>
      <w:r w:rsidR="001C77AF">
        <w:t xml:space="preserve">more accurate analysis </w:t>
      </w:r>
      <w:r w:rsidRPr="00446AA5">
        <w:t xml:space="preserve">of factors affecting labour market outcomes. For example, this provides the opportunity to look at </w:t>
      </w:r>
      <w:r w:rsidR="001F3A81" w:rsidRPr="00446AA5">
        <w:t xml:space="preserve">drivers of </w:t>
      </w:r>
      <w:r w:rsidRPr="00446AA5">
        <w:t xml:space="preserve">wage differences </w:t>
      </w:r>
      <w:r w:rsidRPr="00446AA5">
        <w:rPr>
          <w:i/>
        </w:rPr>
        <w:t>within</w:t>
      </w:r>
      <w:r w:rsidRPr="00446AA5">
        <w:t xml:space="preserve"> firms, as well as across the labour market</w:t>
      </w:r>
      <w:r w:rsidR="001F3A81" w:rsidRPr="00446AA5">
        <w:t xml:space="preserve"> as a whole </w:t>
      </w:r>
      <w:r w:rsidR="001F3A81" w:rsidRPr="00446AA5">
        <w:rPr>
          <w:szCs w:val="24"/>
        </w:rPr>
        <w:t>(</w:t>
      </w:r>
      <w:proofErr w:type="spellStart"/>
      <w:r w:rsidR="001F3A81" w:rsidRPr="00446AA5">
        <w:rPr>
          <w:szCs w:val="24"/>
        </w:rPr>
        <w:t>Heinze</w:t>
      </w:r>
      <w:proofErr w:type="spellEnd"/>
      <w:r w:rsidR="001F3A81" w:rsidRPr="00446AA5">
        <w:rPr>
          <w:szCs w:val="24"/>
        </w:rPr>
        <w:t xml:space="preserve"> and Wolf 2010)</w:t>
      </w:r>
      <w:r w:rsidRPr="00446AA5">
        <w:t>.</w:t>
      </w:r>
      <w:r w:rsidR="001C77AF">
        <w:t xml:space="preserve"> By taking into account firm factors, </w:t>
      </w:r>
      <w:proofErr w:type="spellStart"/>
      <w:r w:rsidR="001C77AF">
        <w:t>Heinze</w:t>
      </w:r>
      <w:proofErr w:type="spellEnd"/>
      <w:r w:rsidR="001C77AF">
        <w:t xml:space="preserve"> and Wolf (2010) find that the gender wage gap</w:t>
      </w:r>
      <w:r w:rsidR="000A416C">
        <w:t>s</w:t>
      </w:r>
      <w:r w:rsidR="001C77AF">
        <w:t xml:space="preserve"> </w:t>
      </w:r>
      <w:r w:rsidR="000A416C">
        <w:t>differ</w:t>
      </w:r>
      <w:r w:rsidR="001C77AF">
        <w:t xml:space="preserve"> across </w:t>
      </w:r>
      <w:r w:rsidR="000A416C">
        <w:t xml:space="preserve">sectors in </w:t>
      </w:r>
      <w:r w:rsidR="001C77AF">
        <w:t>German</w:t>
      </w:r>
      <w:r w:rsidR="000A416C">
        <w:t>y</w:t>
      </w:r>
      <w:r w:rsidR="001C77AF">
        <w:t>. This type of evidence can be used to inform policies</w:t>
      </w:r>
      <w:r w:rsidR="003E5461">
        <w:t xml:space="preserve"> that seek to reduce pay inequality</w:t>
      </w:r>
      <w:r w:rsidR="001C77AF">
        <w:t>.</w:t>
      </w:r>
    </w:p>
    <w:p w:rsidR="001702BF" w:rsidRDefault="00432F80" w:rsidP="00E84C78">
      <w:pPr>
        <w:pStyle w:val="BodyText"/>
      </w:pPr>
      <w:r>
        <w:t>With a</w:t>
      </w:r>
      <w:r w:rsidRPr="00446AA5">
        <w:t xml:space="preserve"> </w:t>
      </w:r>
      <w:r w:rsidR="001F3A81" w:rsidRPr="00446AA5">
        <w:t xml:space="preserve">longitudinal </w:t>
      </w:r>
      <w:proofErr w:type="spellStart"/>
      <w:r>
        <w:t>LEED</w:t>
      </w:r>
      <w:proofErr w:type="spellEnd"/>
      <w:r>
        <w:t xml:space="preserve">, </w:t>
      </w:r>
      <w:r w:rsidR="00E84C78" w:rsidRPr="00446AA5">
        <w:t xml:space="preserve">it </w:t>
      </w:r>
      <w:r w:rsidR="001F3A81" w:rsidRPr="00446AA5">
        <w:t xml:space="preserve">is </w:t>
      </w:r>
      <w:r w:rsidR="00E84C78" w:rsidRPr="00446AA5">
        <w:t xml:space="preserve">possible to examine </w:t>
      </w:r>
      <w:r w:rsidR="001F3A81" w:rsidRPr="00446AA5">
        <w:t>job creation and job destruction across the economy</w:t>
      </w:r>
      <w:r w:rsidR="00E84C78" w:rsidRPr="00446AA5">
        <w:t xml:space="preserve">. </w:t>
      </w:r>
      <w:r w:rsidR="00A4797E">
        <w:t>Further</w:t>
      </w:r>
      <w:r w:rsidR="001702BF" w:rsidRPr="00BB0D98">
        <w:t xml:space="preserve">, </w:t>
      </w:r>
      <w:proofErr w:type="spellStart"/>
      <w:r w:rsidR="001702BF" w:rsidRPr="00BB0D98">
        <w:t>LEEDs</w:t>
      </w:r>
      <w:proofErr w:type="spellEnd"/>
      <w:r w:rsidR="001702BF" w:rsidRPr="00BB0D98">
        <w:t xml:space="preserve"> can be used to examine costs associated with business closure, the results of which would be used to guide industry assistance policy </w:t>
      </w:r>
      <w:r w:rsidR="001702BF" w:rsidRPr="00BB0D98">
        <w:rPr>
          <w:szCs w:val="24"/>
        </w:rPr>
        <w:t>(</w:t>
      </w:r>
      <w:proofErr w:type="spellStart"/>
      <w:r w:rsidR="001702BF" w:rsidRPr="00BB0D98">
        <w:rPr>
          <w:szCs w:val="24"/>
        </w:rPr>
        <w:t>Hijzen</w:t>
      </w:r>
      <w:proofErr w:type="spellEnd"/>
      <w:r w:rsidR="001702BF" w:rsidRPr="00BB0D98">
        <w:rPr>
          <w:szCs w:val="24"/>
        </w:rPr>
        <w:t>, Upward and Wright 2006)</w:t>
      </w:r>
      <w:r w:rsidR="001702BF" w:rsidRPr="00BB0D98">
        <w:t xml:space="preserve">. </w:t>
      </w:r>
    </w:p>
    <w:p w:rsidR="00E84C78" w:rsidRPr="00446AA5" w:rsidRDefault="00432F80" w:rsidP="00E84C78">
      <w:pPr>
        <w:pStyle w:val="BodyText"/>
      </w:pPr>
      <w:r>
        <w:t xml:space="preserve">A </w:t>
      </w:r>
      <w:proofErr w:type="spellStart"/>
      <w:r w:rsidR="00E84C78" w:rsidRPr="00446AA5">
        <w:t>LEED</w:t>
      </w:r>
      <w:proofErr w:type="spellEnd"/>
      <w:r>
        <w:t xml:space="preserve"> that covers</w:t>
      </w:r>
      <w:r w:rsidR="00E84C78" w:rsidRPr="00446AA5">
        <w:t xml:space="preserve"> </w:t>
      </w:r>
      <w:r w:rsidRPr="00446AA5">
        <w:t xml:space="preserve">all firms and employees </w:t>
      </w:r>
      <w:r w:rsidR="00E84C78" w:rsidRPr="00446AA5">
        <w:t xml:space="preserve">can be used to </w:t>
      </w:r>
      <w:r>
        <w:t>explain how</w:t>
      </w:r>
      <w:r w:rsidRPr="00446AA5">
        <w:t xml:space="preserve"> </w:t>
      </w:r>
      <w:r w:rsidR="00E84C78" w:rsidRPr="00446AA5">
        <w:t xml:space="preserve">employment change </w:t>
      </w:r>
      <w:r w:rsidR="00A4797E">
        <w:t>occurs across</w:t>
      </w:r>
      <w:r w:rsidR="00E84C78" w:rsidRPr="00446AA5">
        <w:t xml:space="preserve"> industr</w:t>
      </w:r>
      <w:r w:rsidR="00A4797E">
        <w:t>ies</w:t>
      </w:r>
      <w:r w:rsidR="00E84C78" w:rsidRPr="00446AA5">
        <w:t>, occupation</w:t>
      </w:r>
      <w:r w:rsidR="00A4797E">
        <w:t>s</w:t>
      </w:r>
      <w:r>
        <w:t xml:space="preserve"> or</w:t>
      </w:r>
      <w:r w:rsidR="00E84C78" w:rsidRPr="00446AA5">
        <w:t xml:space="preserve"> geography. </w:t>
      </w:r>
      <w:r w:rsidR="00C3492E">
        <w:t>For example, it could be</w:t>
      </w:r>
      <w:r>
        <w:t xml:space="preserve"> used to </w:t>
      </w:r>
      <w:r w:rsidR="00E84C78" w:rsidRPr="00446AA5">
        <w:t xml:space="preserve">understand how </w:t>
      </w:r>
      <w:r w:rsidR="00C3492E">
        <w:t xml:space="preserve">changes to the Automotive Transformation Scheme and other forms of assistance </w:t>
      </w:r>
      <w:r w:rsidR="00E84C78" w:rsidRPr="00446AA5">
        <w:t xml:space="preserve">affect </w:t>
      </w:r>
      <w:r w:rsidR="00C3492E">
        <w:t xml:space="preserve">automotive manufacturing </w:t>
      </w:r>
      <w:r w:rsidR="00E84C78" w:rsidRPr="00446AA5">
        <w:t>business</w:t>
      </w:r>
      <w:r w:rsidR="008B7807">
        <w:t>es</w:t>
      </w:r>
      <w:r w:rsidR="00E84C78" w:rsidRPr="00446AA5">
        <w:t xml:space="preserve"> or </w:t>
      </w:r>
      <w:r w:rsidR="00C3492E">
        <w:t>employees</w:t>
      </w:r>
      <w:r w:rsidR="00B6736C">
        <w:t>.</w:t>
      </w:r>
    </w:p>
    <w:p w:rsidR="001702BF" w:rsidRDefault="001702BF" w:rsidP="001702BF">
      <w:pPr>
        <w:pStyle w:val="BodyText"/>
      </w:pPr>
      <w:r w:rsidRPr="00BB0D98">
        <w:t xml:space="preserve">Similarly </w:t>
      </w:r>
      <w:proofErr w:type="spellStart"/>
      <w:r w:rsidRPr="00BB0D98">
        <w:t>LEEDs</w:t>
      </w:r>
      <w:proofErr w:type="spellEnd"/>
      <w:r w:rsidRPr="00BB0D98">
        <w:t xml:space="preserve"> can be used to analyse the effects of firm closure on displaced employees. For example, Margolis (2006) uses a French </w:t>
      </w:r>
      <w:proofErr w:type="spellStart"/>
      <w:r w:rsidRPr="00BB0D98">
        <w:t>LEED</w:t>
      </w:r>
      <w:proofErr w:type="spellEnd"/>
      <w:r w:rsidRPr="00BB0D98">
        <w:t xml:space="preserve"> to find that workers who </w:t>
      </w:r>
      <w:r>
        <w:t>experience unemployment</w:t>
      </w:r>
      <w:r w:rsidRPr="00BB0D98">
        <w:t xml:space="preserve"> following mergers or acquisitions often find employment relatively easily. This suggests that employment services </w:t>
      </w:r>
      <w:r>
        <w:t>do</w:t>
      </w:r>
      <w:r w:rsidRPr="00BB0D98">
        <w:t xml:space="preserve"> not need to target workers</w:t>
      </w:r>
      <w:r>
        <w:t xml:space="preserve"> made redundant as a result of mergers and acquisitions</w:t>
      </w:r>
      <w:r w:rsidRPr="00BB0D98">
        <w:t>.</w:t>
      </w:r>
    </w:p>
    <w:p w:rsidR="00E84C78" w:rsidRPr="00446AA5" w:rsidRDefault="00E84C78" w:rsidP="001F3A81">
      <w:pPr>
        <w:pStyle w:val="BodyText"/>
      </w:pPr>
      <w:r w:rsidRPr="00446AA5">
        <w:t xml:space="preserve">In order to </w:t>
      </w:r>
      <w:r w:rsidR="001F3A81" w:rsidRPr="00446AA5">
        <w:t xml:space="preserve">examine </w:t>
      </w:r>
      <w:r w:rsidRPr="00446AA5">
        <w:t xml:space="preserve">labour market transitions (from </w:t>
      </w:r>
      <w:r w:rsidR="003E5089">
        <w:t xml:space="preserve">one job to another, or from </w:t>
      </w:r>
      <w:r w:rsidRPr="00446AA5">
        <w:t xml:space="preserve">low to higher paid employment, for example) it is necessary </w:t>
      </w:r>
      <w:r w:rsidR="00080621">
        <w:t xml:space="preserve">to </w:t>
      </w:r>
      <w:r w:rsidRPr="00446AA5">
        <w:t>follow employees over at least two periods to see how many remain employed and how many move to other firms</w:t>
      </w:r>
      <w:r w:rsidR="001F3A81" w:rsidRPr="00446AA5">
        <w:t xml:space="preserve"> or to other jobs</w:t>
      </w:r>
      <w:r w:rsidRPr="00446AA5">
        <w:t xml:space="preserve">. </w:t>
      </w:r>
      <w:r w:rsidR="003E5461">
        <w:t xml:space="preserve">This is of particular interest for evaluating whether structural adjustment packages achieve their desired outcome. </w:t>
      </w:r>
      <w:r w:rsidR="003E5089">
        <w:t>A</w:t>
      </w:r>
      <w:r w:rsidR="001F3A81" w:rsidRPr="00446AA5">
        <w:t xml:space="preserve"> longitudinal </w:t>
      </w:r>
      <w:proofErr w:type="spellStart"/>
      <w:r w:rsidR="001F3A81" w:rsidRPr="00446AA5">
        <w:t>LEED</w:t>
      </w:r>
      <w:proofErr w:type="spellEnd"/>
      <w:r w:rsidR="001F3A81" w:rsidRPr="00446AA5">
        <w:t xml:space="preserve"> that includes information about employee education, can be </w:t>
      </w:r>
      <w:r w:rsidRPr="00446AA5">
        <w:t xml:space="preserve">used to evaluate how education, employment and industry policy changes </w:t>
      </w:r>
      <w:r w:rsidR="003E5089">
        <w:t>might</w:t>
      </w:r>
      <w:r w:rsidR="003E5089" w:rsidRPr="00446AA5">
        <w:t xml:space="preserve"> </w:t>
      </w:r>
      <w:r w:rsidRPr="00446AA5">
        <w:t xml:space="preserve">affect employer and employee outcomes over time. For example, it </w:t>
      </w:r>
      <w:r w:rsidR="003E5089">
        <w:t>c</w:t>
      </w:r>
      <w:r w:rsidRPr="00446AA5">
        <w:t>ould allow an analysis of the career progression of graduates, and an assessment of returns to investment in higher education.</w:t>
      </w:r>
    </w:p>
    <w:p w:rsidR="003F699D" w:rsidRPr="00080621" w:rsidRDefault="00E35E82" w:rsidP="003F699D">
      <w:pPr>
        <w:pStyle w:val="Heading3"/>
      </w:pPr>
      <w:r w:rsidRPr="00080621">
        <w:lastRenderedPageBreak/>
        <w:t>P</w:t>
      </w:r>
      <w:r w:rsidR="003F699D" w:rsidRPr="00080621">
        <w:t>roductivity</w:t>
      </w:r>
      <w:r w:rsidR="00080621">
        <w:t xml:space="preserve"> </w:t>
      </w:r>
      <w:r w:rsidR="00E94698">
        <w:t>outcomes</w:t>
      </w:r>
    </w:p>
    <w:p w:rsidR="00953D3B" w:rsidRDefault="00040418" w:rsidP="00040418">
      <w:pPr>
        <w:pStyle w:val="BodyText"/>
      </w:pPr>
      <w:r w:rsidRPr="00080621">
        <w:t xml:space="preserve">Productivity at the firm, industry and economy-wide levels is </w:t>
      </w:r>
      <w:r w:rsidR="003E5089">
        <w:t>affected by</w:t>
      </w:r>
      <w:r w:rsidRPr="00080621">
        <w:t xml:space="preserve"> the characteristics </w:t>
      </w:r>
      <w:r w:rsidR="00427569" w:rsidRPr="00080621">
        <w:t xml:space="preserve">of both </w:t>
      </w:r>
      <w:r w:rsidR="00452449">
        <w:t>workers</w:t>
      </w:r>
      <w:r w:rsidR="00452449" w:rsidRPr="00080621">
        <w:t xml:space="preserve"> </w:t>
      </w:r>
      <w:r w:rsidR="00427569" w:rsidRPr="00080621">
        <w:t xml:space="preserve">and employers. </w:t>
      </w:r>
      <w:r w:rsidRPr="00080621">
        <w:t xml:space="preserve">A </w:t>
      </w:r>
      <w:proofErr w:type="spellStart"/>
      <w:r w:rsidRPr="00080621">
        <w:t>LEED</w:t>
      </w:r>
      <w:proofErr w:type="spellEnd"/>
      <w:r w:rsidRPr="00080621">
        <w:t xml:space="preserve"> that provides info</w:t>
      </w:r>
      <w:r w:rsidR="00E84C78" w:rsidRPr="00080621">
        <w:t xml:space="preserve">rmation about business outcomes, </w:t>
      </w:r>
      <w:r w:rsidRPr="00080621">
        <w:t xml:space="preserve">and capital and labour inputs over time </w:t>
      </w:r>
      <w:r w:rsidR="001A3F84">
        <w:t>c</w:t>
      </w:r>
      <w:r w:rsidRPr="00080621">
        <w:t xml:space="preserve">ould </w:t>
      </w:r>
      <w:r w:rsidR="001A3F84">
        <w:t xml:space="preserve">be used to provide </w:t>
      </w:r>
      <w:r w:rsidRPr="00080621">
        <w:t xml:space="preserve">insights into how </w:t>
      </w:r>
      <w:r w:rsidR="001A3F84">
        <w:t xml:space="preserve">policy changes, combined with </w:t>
      </w:r>
      <w:r w:rsidRPr="00080621">
        <w:t xml:space="preserve">firm </w:t>
      </w:r>
      <w:r w:rsidR="001A3F84">
        <w:t xml:space="preserve">and </w:t>
      </w:r>
      <w:r w:rsidRPr="00080621">
        <w:t>employee characteristics</w:t>
      </w:r>
      <w:r w:rsidR="00953D3B">
        <w:t>,</w:t>
      </w:r>
      <w:r w:rsidRPr="00080621">
        <w:t xml:space="preserve"> </w:t>
      </w:r>
      <w:r w:rsidR="001A3F84">
        <w:t xml:space="preserve">might </w:t>
      </w:r>
      <w:r w:rsidRPr="00080621">
        <w:t xml:space="preserve">relate to </w:t>
      </w:r>
      <w:r w:rsidR="001A3F84">
        <w:t xml:space="preserve">changes in </w:t>
      </w:r>
      <w:r w:rsidRPr="00080621">
        <w:t xml:space="preserve">productivity. </w:t>
      </w:r>
    </w:p>
    <w:p w:rsidR="00C3492E" w:rsidRDefault="00B6736C" w:rsidP="00040418">
      <w:pPr>
        <w:pStyle w:val="BodyText"/>
      </w:pPr>
      <w:r>
        <w:t xml:space="preserve">A </w:t>
      </w:r>
      <w:proofErr w:type="spellStart"/>
      <w:r>
        <w:t>LEED</w:t>
      </w:r>
      <w:proofErr w:type="spellEnd"/>
      <w:r w:rsidR="0092415F">
        <w:t xml:space="preserve"> could</w:t>
      </w:r>
      <w:r w:rsidR="00A55A53">
        <w:t>, for example,</w:t>
      </w:r>
      <w:r w:rsidR="0092415F">
        <w:t xml:space="preserve"> assist in unpacking why leading firms can achieve high rates of productivity growth, while the overall average performance is underwhelming</w:t>
      </w:r>
      <w:r w:rsidR="00897AFA">
        <w:t>, as the OECD (2015)</w:t>
      </w:r>
      <w:r w:rsidR="0092415F">
        <w:t xml:space="preserve"> </w:t>
      </w:r>
      <w:r w:rsidR="00897AFA">
        <w:t>observed (</w:t>
      </w:r>
      <w:r w:rsidR="00C3492E">
        <w:t>figure 1</w:t>
      </w:r>
      <w:r w:rsidR="00897AFA">
        <w:t>)</w:t>
      </w:r>
      <w:r w:rsidR="00C3492E">
        <w:t xml:space="preserve">. </w:t>
      </w:r>
      <w:r w:rsidR="00953D3B">
        <w:t xml:space="preserve">In this manner, </w:t>
      </w:r>
      <w:proofErr w:type="spellStart"/>
      <w:r w:rsidR="001702BF">
        <w:t>Chien</w:t>
      </w:r>
      <w:proofErr w:type="spellEnd"/>
      <w:r w:rsidR="001702BF">
        <w:t xml:space="preserve"> and</w:t>
      </w:r>
      <w:r w:rsidR="001702BF" w:rsidRPr="00BB0D98">
        <w:t xml:space="preserve"> </w:t>
      </w:r>
      <w:r w:rsidR="001702BF">
        <w:t xml:space="preserve">Mayer </w:t>
      </w:r>
      <w:r w:rsidR="001702BF" w:rsidRPr="001702BF">
        <w:t>(2015)</w:t>
      </w:r>
      <w:r w:rsidR="001702BF">
        <w:t xml:space="preserve"> use a precursor of the ABS Foundation </w:t>
      </w:r>
      <w:proofErr w:type="spellStart"/>
      <w:r w:rsidR="001702BF">
        <w:t>LEED</w:t>
      </w:r>
      <w:proofErr w:type="spellEnd"/>
      <w:r w:rsidR="001702BF">
        <w:t xml:space="preserve"> to </w:t>
      </w:r>
      <w:r w:rsidR="001702BF" w:rsidRPr="00BB0D98">
        <w:t xml:space="preserve">describe characteristics of </w:t>
      </w:r>
      <w:r w:rsidR="001702BF">
        <w:t xml:space="preserve">the most productive Australian </w:t>
      </w:r>
      <w:r w:rsidR="001702BF" w:rsidRPr="00BB0D98">
        <w:t>firms</w:t>
      </w:r>
      <w:r w:rsidR="001702BF">
        <w:t>.</w:t>
      </w:r>
    </w:p>
    <w:p w:rsidR="00C3492E" w:rsidRDefault="00C3492E" w:rsidP="00A4797E">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3492E" w:rsidTr="00A4797E">
        <w:tc>
          <w:tcPr>
            <w:tcW w:w="8771" w:type="dxa"/>
            <w:tcBorders>
              <w:top w:val="single" w:sz="6" w:space="0" w:color="78A22F"/>
              <w:left w:val="nil"/>
              <w:bottom w:val="nil"/>
              <w:right w:val="nil"/>
            </w:tcBorders>
            <w:shd w:val="clear" w:color="auto" w:fill="auto"/>
          </w:tcPr>
          <w:p w:rsidR="00C3492E" w:rsidRDefault="00C3492E" w:rsidP="00A4797E">
            <w:pPr>
              <w:pStyle w:val="FigureTitle"/>
            </w:pPr>
            <w:r w:rsidRPr="00784A05">
              <w:rPr>
                <w:b w:val="0"/>
              </w:rPr>
              <w:t xml:space="preserve">Figure </w:t>
            </w:r>
            <w:r w:rsidR="008D4612">
              <w:rPr>
                <w:b w:val="0"/>
              </w:rPr>
              <w:t>1</w:t>
            </w:r>
            <w:r>
              <w:tab/>
            </w:r>
            <w:r w:rsidR="00FD22E1">
              <w:t>Productivity increases at the global productivity frontier</w:t>
            </w:r>
            <w:r w:rsidR="00392700" w:rsidRPr="00392700">
              <w:rPr>
                <w:rStyle w:val="NoteLabel"/>
                <w:b/>
              </w:rPr>
              <w:t>a</w:t>
            </w:r>
          </w:p>
          <w:p w:rsidR="00C3492E" w:rsidRPr="006B4808" w:rsidRDefault="006B4808" w:rsidP="006B4808">
            <w:pPr>
              <w:pStyle w:val="Subtitle"/>
            </w:pPr>
            <w:r>
              <w:t>Change in l</w:t>
            </w:r>
            <w:r w:rsidR="00C3492E" w:rsidRPr="006B4808">
              <w:t xml:space="preserve">abour productivity </w:t>
            </w:r>
            <w:r w:rsidRPr="006B4808">
              <w:t>(percentage difference from 2001 values</w:t>
            </w:r>
            <w:r>
              <w:t>)</w:t>
            </w:r>
          </w:p>
        </w:tc>
      </w:tr>
      <w:tr w:rsidR="00C3492E" w:rsidTr="00A4797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4D7BC8" w:rsidTr="0045026A">
              <w:trPr>
                <w:jc w:val="center"/>
              </w:trPr>
              <w:tc>
                <w:tcPr>
                  <w:tcW w:w="2500" w:type="pct"/>
                  <w:tcBorders>
                    <w:top w:val="nil"/>
                    <w:bottom w:val="nil"/>
                  </w:tcBorders>
                  <w:vAlign w:val="center"/>
                </w:tcPr>
                <w:p w:rsidR="004D7BC8" w:rsidRPr="0045026A" w:rsidRDefault="004D7BC8" w:rsidP="0045026A">
                  <w:pPr>
                    <w:pStyle w:val="Figure"/>
                    <w:tabs>
                      <w:tab w:val="left" w:pos="1425"/>
                      <w:tab w:val="left" w:pos="2534"/>
                    </w:tabs>
                    <w:spacing w:before="60" w:after="60"/>
                    <w:rPr>
                      <w:rFonts w:asciiTheme="minorHAnsi" w:hAnsiTheme="minorHAnsi" w:cstheme="minorHAnsi"/>
                      <w:b/>
                      <w:sz w:val="18"/>
                      <w:szCs w:val="18"/>
                    </w:rPr>
                  </w:pPr>
                  <w:r w:rsidRPr="0045026A">
                    <w:rPr>
                      <w:rFonts w:asciiTheme="minorHAnsi" w:hAnsiTheme="minorHAnsi" w:cstheme="minorHAnsi"/>
                      <w:b/>
                      <w:sz w:val="18"/>
                      <w:szCs w:val="18"/>
                    </w:rPr>
                    <w:t>Manufacturing</w:t>
                  </w:r>
                </w:p>
              </w:tc>
              <w:tc>
                <w:tcPr>
                  <w:tcW w:w="2500" w:type="pct"/>
                  <w:tcBorders>
                    <w:top w:val="nil"/>
                    <w:bottom w:val="nil"/>
                  </w:tcBorders>
                  <w:vAlign w:val="center"/>
                </w:tcPr>
                <w:p w:rsidR="004D7BC8" w:rsidRPr="0045026A" w:rsidRDefault="004D7BC8" w:rsidP="004D7BC8">
                  <w:pPr>
                    <w:pStyle w:val="Figure"/>
                    <w:tabs>
                      <w:tab w:val="left" w:pos="2534"/>
                    </w:tabs>
                    <w:spacing w:before="60" w:after="60"/>
                    <w:rPr>
                      <w:rFonts w:asciiTheme="minorHAnsi" w:hAnsiTheme="minorHAnsi" w:cstheme="minorHAnsi"/>
                      <w:b/>
                      <w:sz w:val="18"/>
                      <w:szCs w:val="18"/>
                    </w:rPr>
                  </w:pPr>
                  <w:r w:rsidRPr="0045026A">
                    <w:rPr>
                      <w:rFonts w:asciiTheme="minorHAnsi" w:hAnsiTheme="minorHAnsi" w:cstheme="minorHAnsi"/>
                      <w:b/>
                      <w:sz w:val="18"/>
                      <w:szCs w:val="18"/>
                    </w:rPr>
                    <w:t>Services</w:t>
                  </w:r>
                </w:p>
              </w:tc>
            </w:tr>
            <w:tr w:rsidR="004D7BC8" w:rsidTr="00AE33E1">
              <w:tblPrEx>
                <w:tblCellMar>
                  <w:left w:w="108" w:type="dxa"/>
                  <w:right w:w="108" w:type="dxa"/>
                </w:tblCellMar>
              </w:tblPrEx>
              <w:trPr>
                <w:jc w:val="center"/>
              </w:trPr>
              <w:tc>
                <w:tcPr>
                  <w:tcW w:w="2500" w:type="pct"/>
                  <w:tcBorders>
                    <w:top w:val="nil"/>
                    <w:bottom w:val="nil"/>
                  </w:tcBorders>
                </w:tcPr>
                <w:p w:rsidR="004D7BC8" w:rsidRDefault="00E10287" w:rsidP="0045026A">
                  <w:pPr>
                    <w:pStyle w:val="Figure"/>
                    <w:tabs>
                      <w:tab w:val="left" w:pos="1425"/>
                      <w:tab w:val="left" w:pos="2534"/>
                    </w:tabs>
                    <w:spacing w:before="60" w:after="60"/>
                    <w:jc w:val="left"/>
                  </w:pPr>
                  <w:r>
                    <w:rPr>
                      <w:noProof/>
                    </w:rPr>
                    <w:drawing>
                      <wp:inline distT="0" distB="0" distL="0" distR="0" wp14:anchorId="56F6F828" wp14:editId="5B9B0B0B">
                        <wp:extent cx="2562225" cy="2847975"/>
                        <wp:effectExtent l="0" t="0" r="9525" b="9525"/>
                        <wp:docPr id="7" name="Picture 7" descr="The left frame of the figure shows the change in productivity for frontier firms, non-frontier firms and all firms in the global manufacturing sector. Between 2001 and 2009, productivity of frontier firms increases at an average of 3.5 per cent per annum, while the productivity of non-frontier firms increases by an average of 0.5 per cent. Overall productivity increases at around 1.7 per cent per annum. " title="Productivity increases in the manufacturing sector, at the firm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2225" cy="2847975"/>
                                </a:xfrm>
                                <a:prstGeom prst="rect">
                                  <a:avLst/>
                                </a:prstGeom>
                                <a:noFill/>
                                <a:ln>
                                  <a:noFill/>
                                </a:ln>
                              </pic:spPr>
                            </pic:pic>
                          </a:graphicData>
                        </a:graphic>
                      </wp:inline>
                    </w:drawing>
                  </w:r>
                </w:p>
              </w:tc>
              <w:tc>
                <w:tcPr>
                  <w:tcW w:w="2500" w:type="pct"/>
                  <w:tcBorders>
                    <w:top w:val="nil"/>
                    <w:bottom w:val="nil"/>
                  </w:tcBorders>
                </w:tcPr>
                <w:p w:rsidR="004D7BC8" w:rsidRDefault="006B4808" w:rsidP="0045026A">
                  <w:pPr>
                    <w:pStyle w:val="Figure"/>
                    <w:tabs>
                      <w:tab w:val="left" w:pos="2534"/>
                    </w:tabs>
                    <w:spacing w:before="60" w:after="60"/>
                  </w:pPr>
                  <w:r>
                    <w:rPr>
                      <w:noProof/>
                    </w:rPr>
                    <w:drawing>
                      <wp:inline distT="0" distB="0" distL="0" distR="0" wp14:anchorId="66039024" wp14:editId="31BDAB8A">
                        <wp:extent cx="2562225" cy="2847975"/>
                        <wp:effectExtent l="0" t="0" r="9525" b="9525"/>
                        <wp:docPr id="3" name="Picture 3" descr="The right frame of the figure shows the change in productivity for frontier firms, non-frontier firms and all firms in the global services sector. Between 2001 and 2009, productivity of frontier firms increases at an average of 5 per cent per annum, while the productivity of non-frontier firms declined by an average of 0.1 per cent per year. Overall productivity increases at around 1.3 per cent per annum. " title="Productivity increases inthe services sector, at the firm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62225" cy="2847975"/>
                                </a:xfrm>
                                <a:prstGeom prst="rect">
                                  <a:avLst/>
                                </a:prstGeom>
                                <a:noFill/>
                                <a:ln>
                                  <a:noFill/>
                                </a:ln>
                              </pic:spPr>
                            </pic:pic>
                          </a:graphicData>
                        </a:graphic>
                      </wp:inline>
                    </w:drawing>
                  </w:r>
                </w:p>
              </w:tc>
            </w:tr>
          </w:tbl>
          <w:p w:rsidR="00C3492E" w:rsidRDefault="00C3492E" w:rsidP="00A4797E">
            <w:pPr>
              <w:pStyle w:val="Figure"/>
            </w:pPr>
          </w:p>
        </w:tc>
      </w:tr>
      <w:tr w:rsidR="00B1417B" w:rsidRPr="00176D3F" w:rsidTr="00A4797E">
        <w:tc>
          <w:tcPr>
            <w:tcW w:w="8771" w:type="dxa"/>
            <w:tcBorders>
              <w:top w:val="nil"/>
              <w:left w:val="nil"/>
              <w:bottom w:val="nil"/>
              <w:right w:val="nil"/>
            </w:tcBorders>
            <w:shd w:val="clear" w:color="auto" w:fill="auto"/>
          </w:tcPr>
          <w:p w:rsidR="00B1417B" w:rsidRPr="0045026A" w:rsidRDefault="00B1417B" w:rsidP="0045026A">
            <w:pPr>
              <w:pStyle w:val="Note"/>
              <w:rPr>
                <w:rStyle w:val="NoteLabel"/>
                <w:b w:val="0"/>
                <w:position w:val="0"/>
              </w:rPr>
            </w:pPr>
            <w:proofErr w:type="spellStart"/>
            <w:r w:rsidRPr="0045026A">
              <w:rPr>
                <w:rStyle w:val="NoteLabel"/>
              </w:rPr>
              <w:t>a</w:t>
            </w:r>
            <w:proofErr w:type="spellEnd"/>
            <w:r>
              <w:rPr>
                <w:rStyle w:val="NoteLabel"/>
              </w:rPr>
              <w:t xml:space="preserve"> </w:t>
            </w:r>
            <w:r w:rsidR="004D7BC8">
              <w:t>The 100 firms with the highest average labour productivity in each 2-digit sector are considered frontier firms.</w:t>
            </w:r>
            <w:r w:rsidR="00FD22E1">
              <w:t xml:space="preserve"> All other firms are ‘non-frontier’ firms. </w:t>
            </w:r>
          </w:p>
        </w:tc>
      </w:tr>
      <w:tr w:rsidR="00C3492E" w:rsidRPr="00176D3F" w:rsidTr="00A4797E">
        <w:tc>
          <w:tcPr>
            <w:tcW w:w="8771" w:type="dxa"/>
            <w:tcBorders>
              <w:top w:val="nil"/>
              <w:left w:val="nil"/>
              <w:bottom w:val="nil"/>
              <w:right w:val="nil"/>
            </w:tcBorders>
            <w:shd w:val="clear" w:color="auto" w:fill="auto"/>
          </w:tcPr>
          <w:p w:rsidR="00C3492E" w:rsidRPr="00176D3F" w:rsidRDefault="00C3492E" w:rsidP="00A4797E">
            <w:pPr>
              <w:pStyle w:val="Source"/>
            </w:pPr>
            <w:r w:rsidRPr="00784A05">
              <w:rPr>
                <w:i/>
              </w:rPr>
              <w:t>Data source</w:t>
            </w:r>
            <w:r w:rsidRPr="00176D3F">
              <w:t xml:space="preserve">: </w:t>
            </w:r>
            <w:r w:rsidR="004D7BC8">
              <w:t xml:space="preserve">Figure 2.2, </w:t>
            </w:r>
            <w:r w:rsidR="00570A1F">
              <w:t xml:space="preserve">OECD </w:t>
            </w:r>
            <w:r w:rsidR="00570A1F" w:rsidRPr="00570A1F">
              <w:rPr>
                <w:rFonts w:cs="Arial"/>
              </w:rPr>
              <w:t>(2015)</w:t>
            </w:r>
            <w:r w:rsidR="00B1417B">
              <w:t>.</w:t>
            </w:r>
          </w:p>
        </w:tc>
      </w:tr>
      <w:tr w:rsidR="00C3492E" w:rsidTr="00A4797E">
        <w:tc>
          <w:tcPr>
            <w:tcW w:w="8771" w:type="dxa"/>
            <w:tcBorders>
              <w:top w:val="nil"/>
              <w:left w:val="nil"/>
              <w:bottom w:val="single" w:sz="6" w:space="0" w:color="78A22F"/>
              <w:right w:val="nil"/>
            </w:tcBorders>
            <w:shd w:val="clear" w:color="auto" w:fill="auto"/>
          </w:tcPr>
          <w:p w:rsidR="00C3492E" w:rsidRDefault="00C3492E" w:rsidP="00A4797E">
            <w:pPr>
              <w:pStyle w:val="Figurespace"/>
            </w:pPr>
          </w:p>
        </w:tc>
      </w:tr>
      <w:tr w:rsidR="00C3492E" w:rsidRPr="000863A5" w:rsidTr="00A4797E">
        <w:tc>
          <w:tcPr>
            <w:tcW w:w="8771" w:type="dxa"/>
            <w:tcBorders>
              <w:top w:val="single" w:sz="6" w:space="0" w:color="78A22F"/>
              <w:left w:val="nil"/>
              <w:bottom w:val="nil"/>
              <w:right w:val="nil"/>
            </w:tcBorders>
          </w:tcPr>
          <w:p w:rsidR="00C3492E" w:rsidRPr="00626D32" w:rsidRDefault="00C3492E" w:rsidP="00A4797E">
            <w:pPr>
              <w:pStyle w:val="BoxSpaceBelow"/>
            </w:pPr>
          </w:p>
        </w:tc>
      </w:tr>
    </w:tbl>
    <w:p w:rsidR="00953D3B" w:rsidRPr="00080621" w:rsidRDefault="00953D3B" w:rsidP="00953D3B">
      <w:pPr>
        <w:pStyle w:val="BodyText"/>
      </w:pPr>
      <w:r w:rsidRPr="00080621">
        <w:t xml:space="preserve">At the firm level, productivity is likely to be affected not only by the characteristics of the firm and the fortunes of the industry in which it operates, but also the characteristics of its employees </w:t>
      </w:r>
      <w:r w:rsidRPr="00080621">
        <w:rPr>
          <w:szCs w:val="24"/>
        </w:rPr>
        <w:t>(Guest and Stewart 2011)</w:t>
      </w:r>
      <w:r w:rsidRPr="00080621">
        <w:t xml:space="preserve">. For example, causal inferences about </w:t>
      </w:r>
      <w:r w:rsidR="00B6736C">
        <w:t xml:space="preserve">the effects of </w:t>
      </w:r>
      <w:r w:rsidRPr="00080621">
        <w:t>human resource management</w:t>
      </w:r>
      <w:r>
        <w:t xml:space="preserve"> practices</w:t>
      </w:r>
      <w:r w:rsidRPr="00080621">
        <w:t xml:space="preserve"> on firm and workplace-level productivity and performance</w:t>
      </w:r>
      <w:r w:rsidRPr="00A55A53">
        <w:t xml:space="preserve"> </w:t>
      </w:r>
      <w:r w:rsidR="00B6736C">
        <w:t xml:space="preserve">can be tested </w:t>
      </w:r>
      <w:r w:rsidRPr="00080621">
        <w:t xml:space="preserve">with longitudinal </w:t>
      </w:r>
      <w:proofErr w:type="spellStart"/>
      <w:r w:rsidRPr="00080621">
        <w:t>LEED</w:t>
      </w:r>
      <w:proofErr w:type="spellEnd"/>
      <w:r w:rsidRPr="00080621">
        <w:t xml:space="preserve"> data </w:t>
      </w:r>
      <w:r w:rsidRPr="00080621">
        <w:rPr>
          <w:szCs w:val="24"/>
        </w:rPr>
        <w:t>(Anderson et al. 2007)</w:t>
      </w:r>
      <w:r w:rsidRPr="00080621">
        <w:t xml:space="preserve">. </w:t>
      </w:r>
    </w:p>
    <w:p w:rsidR="001702BF" w:rsidRDefault="00953D3B" w:rsidP="00080621">
      <w:pPr>
        <w:pStyle w:val="BodyText"/>
      </w:pPr>
      <w:r>
        <w:lastRenderedPageBreak/>
        <w:t xml:space="preserve">The applications of </w:t>
      </w:r>
      <w:proofErr w:type="spellStart"/>
      <w:r>
        <w:t>LEEDs</w:t>
      </w:r>
      <w:proofErr w:type="spellEnd"/>
      <w:r>
        <w:t xml:space="preserve"> in this way are numerous. </w:t>
      </w:r>
      <w:r w:rsidR="001702BF" w:rsidRPr="00BB0D98">
        <w:t xml:space="preserve">Where </w:t>
      </w:r>
      <w:proofErr w:type="spellStart"/>
      <w:r w:rsidR="001702BF" w:rsidRPr="00BB0D98">
        <w:t>LEEDs</w:t>
      </w:r>
      <w:proofErr w:type="spellEnd"/>
      <w:r w:rsidR="001702BF" w:rsidRPr="00BB0D98">
        <w:t xml:space="preserve"> incorporate information about workplace practices, technology use, industry regulation and research and development, they </w:t>
      </w:r>
      <w:r w:rsidR="001702BF">
        <w:t>have been</w:t>
      </w:r>
      <w:r w:rsidR="001702BF" w:rsidRPr="00BB0D98">
        <w:t xml:space="preserve"> used to </w:t>
      </w:r>
      <w:r w:rsidR="001702BF">
        <w:t>identify</w:t>
      </w:r>
      <w:r w:rsidR="001702BF" w:rsidRPr="00BB0D98">
        <w:t xml:space="preserve"> the association of these factors with productivity</w:t>
      </w:r>
      <w:r>
        <w:t xml:space="preserve"> at the firm level</w:t>
      </w:r>
      <w:r w:rsidR="001702BF" w:rsidRPr="00BB0D98">
        <w:t xml:space="preserve"> </w:t>
      </w:r>
      <w:r w:rsidR="001702BF" w:rsidRPr="00BB0D98">
        <w:rPr>
          <w:szCs w:val="24"/>
        </w:rPr>
        <w:t xml:space="preserve">(Andersson et al. 2008; </w:t>
      </w:r>
      <w:proofErr w:type="spellStart"/>
      <w:r w:rsidR="001702BF" w:rsidRPr="00BB0D98">
        <w:rPr>
          <w:szCs w:val="24"/>
        </w:rPr>
        <w:t>Cottini</w:t>
      </w:r>
      <w:proofErr w:type="spellEnd"/>
      <w:r w:rsidR="001702BF" w:rsidRPr="00BB0D98">
        <w:rPr>
          <w:szCs w:val="24"/>
        </w:rPr>
        <w:t xml:space="preserve">, Kato and </w:t>
      </w:r>
      <w:proofErr w:type="spellStart"/>
      <w:r w:rsidR="001702BF" w:rsidRPr="00BB0D98">
        <w:rPr>
          <w:szCs w:val="24"/>
        </w:rPr>
        <w:t>Westergaard</w:t>
      </w:r>
      <w:proofErr w:type="spellEnd"/>
      <w:r w:rsidR="001702BF" w:rsidRPr="00BB0D98">
        <w:rPr>
          <w:szCs w:val="24"/>
        </w:rPr>
        <w:t xml:space="preserve">-Nielsen 2011; </w:t>
      </w:r>
      <w:proofErr w:type="spellStart"/>
      <w:r w:rsidR="001702BF" w:rsidRPr="00BB0D98">
        <w:rPr>
          <w:szCs w:val="24"/>
        </w:rPr>
        <w:t>Haltiwanger</w:t>
      </w:r>
      <w:proofErr w:type="spellEnd"/>
      <w:r w:rsidR="001702BF" w:rsidRPr="00BB0D98">
        <w:rPr>
          <w:szCs w:val="24"/>
        </w:rPr>
        <w:t xml:space="preserve">, Lane and </w:t>
      </w:r>
      <w:proofErr w:type="spellStart"/>
      <w:r w:rsidR="001702BF" w:rsidRPr="00BB0D98">
        <w:rPr>
          <w:szCs w:val="24"/>
        </w:rPr>
        <w:t>Spletzer</w:t>
      </w:r>
      <w:proofErr w:type="spellEnd"/>
      <w:r w:rsidR="001702BF" w:rsidRPr="00BB0D98">
        <w:rPr>
          <w:szCs w:val="24"/>
        </w:rPr>
        <w:t xml:space="preserve"> 1999; </w:t>
      </w:r>
      <w:proofErr w:type="spellStart"/>
      <w:r w:rsidR="001702BF" w:rsidRPr="00BB0D98">
        <w:rPr>
          <w:szCs w:val="24"/>
        </w:rPr>
        <w:t>Mahlberg</w:t>
      </w:r>
      <w:proofErr w:type="spellEnd"/>
      <w:r w:rsidR="001702BF" w:rsidRPr="00BB0D98">
        <w:rPr>
          <w:szCs w:val="24"/>
        </w:rPr>
        <w:t xml:space="preserve"> et al. 2013; </w:t>
      </w:r>
      <w:proofErr w:type="spellStart"/>
      <w:r w:rsidR="001702BF" w:rsidRPr="00BB0D98">
        <w:rPr>
          <w:szCs w:val="24"/>
        </w:rPr>
        <w:t>Parrotta</w:t>
      </w:r>
      <w:proofErr w:type="spellEnd"/>
      <w:r w:rsidR="001702BF" w:rsidRPr="00BB0D98">
        <w:rPr>
          <w:szCs w:val="24"/>
        </w:rPr>
        <w:t xml:space="preserve">, </w:t>
      </w:r>
      <w:proofErr w:type="spellStart"/>
      <w:r w:rsidR="001702BF" w:rsidRPr="00BB0D98">
        <w:rPr>
          <w:szCs w:val="24"/>
        </w:rPr>
        <w:t>Pozzoli</w:t>
      </w:r>
      <w:proofErr w:type="spellEnd"/>
      <w:r w:rsidR="001702BF" w:rsidRPr="00BB0D98">
        <w:rPr>
          <w:szCs w:val="24"/>
        </w:rPr>
        <w:t xml:space="preserve"> and </w:t>
      </w:r>
      <w:proofErr w:type="spellStart"/>
      <w:r w:rsidR="001702BF" w:rsidRPr="00BB0D98">
        <w:rPr>
          <w:szCs w:val="24"/>
        </w:rPr>
        <w:t>Pytlikova</w:t>
      </w:r>
      <w:proofErr w:type="spellEnd"/>
      <w:r w:rsidR="001702BF" w:rsidRPr="00BB0D98">
        <w:rPr>
          <w:szCs w:val="24"/>
        </w:rPr>
        <w:t xml:space="preserve"> 2012; </w:t>
      </w:r>
      <w:proofErr w:type="spellStart"/>
      <w:r w:rsidR="001702BF" w:rsidRPr="00BB0D98">
        <w:rPr>
          <w:szCs w:val="24"/>
        </w:rPr>
        <w:t>Turcotte</w:t>
      </w:r>
      <w:proofErr w:type="spellEnd"/>
      <w:r w:rsidR="001702BF" w:rsidRPr="00BB0D98">
        <w:rPr>
          <w:szCs w:val="24"/>
        </w:rPr>
        <w:t xml:space="preserve"> and </w:t>
      </w:r>
      <w:proofErr w:type="spellStart"/>
      <w:r w:rsidR="001702BF" w:rsidRPr="00BB0D98">
        <w:rPr>
          <w:szCs w:val="24"/>
        </w:rPr>
        <w:t>Rennison</w:t>
      </w:r>
      <w:proofErr w:type="spellEnd"/>
      <w:r w:rsidR="001702BF" w:rsidRPr="00BB0D98">
        <w:rPr>
          <w:szCs w:val="24"/>
        </w:rPr>
        <w:t> 2004)</w:t>
      </w:r>
      <w:r>
        <w:t>.</w:t>
      </w:r>
    </w:p>
    <w:p w:rsidR="00C12B10" w:rsidRPr="00BB0D98" w:rsidDel="001702BF" w:rsidRDefault="00040418" w:rsidP="00735BF3">
      <w:pPr>
        <w:pStyle w:val="BodyText"/>
      </w:pPr>
      <w:r w:rsidRPr="00080621">
        <w:t>Further, a</w:t>
      </w:r>
      <w:r w:rsidR="006D62C4" w:rsidRPr="00080621">
        <w:t xml:space="preserve"> </w:t>
      </w:r>
      <w:proofErr w:type="spellStart"/>
      <w:r w:rsidR="006D62C4" w:rsidRPr="00080621">
        <w:t>LEED</w:t>
      </w:r>
      <w:proofErr w:type="spellEnd"/>
      <w:r w:rsidR="006D62C4" w:rsidRPr="00080621">
        <w:t xml:space="preserve"> provide</w:t>
      </w:r>
      <w:r w:rsidRPr="00080621">
        <w:t>s</w:t>
      </w:r>
      <w:r w:rsidR="006D62C4" w:rsidRPr="00080621">
        <w:t xml:space="preserve"> an opportunity to estimate productivity figures from the same</w:t>
      </w:r>
      <w:r w:rsidR="00772F8D" w:rsidRPr="00080621">
        <w:t xml:space="preserve"> </w:t>
      </w:r>
      <w:r w:rsidR="006D62C4" w:rsidRPr="00080621">
        <w:t>data source</w:t>
      </w:r>
      <w:r w:rsidR="00080621" w:rsidRPr="00080621">
        <w:t xml:space="preserve"> — currently </w:t>
      </w:r>
      <w:r w:rsidR="00772F8D" w:rsidRPr="00080621">
        <w:t>productivity estimates in the ABS’ National Accounts are computed using estimates from separate surveys.</w:t>
      </w:r>
      <w:r w:rsidR="00C45EAF" w:rsidRPr="00080621">
        <w:t xml:space="preserve"> If </w:t>
      </w:r>
      <w:r w:rsidR="00503320">
        <w:t>a</w:t>
      </w:r>
      <w:r w:rsidR="00503320" w:rsidRPr="00080621">
        <w:t xml:space="preserve"> </w:t>
      </w:r>
      <w:proofErr w:type="spellStart"/>
      <w:r w:rsidR="00C45EAF" w:rsidRPr="00080621">
        <w:t>LEED</w:t>
      </w:r>
      <w:proofErr w:type="spellEnd"/>
      <w:r w:rsidR="00C45EAF" w:rsidRPr="00080621">
        <w:t xml:space="preserve"> </w:t>
      </w:r>
      <w:r w:rsidR="00503320">
        <w:t>included</w:t>
      </w:r>
      <w:r w:rsidR="00503320" w:rsidRPr="00080621">
        <w:t xml:space="preserve"> </w:t>
      </w:r>
      <w:r w:rsidR="00C45EAF" w:rsidRPr="00080621">
        <w:t>detailed information on labour</w:t>
      </w:r>
      <w:r w:rsidR="00E94698">
        <w:t xml:space="preserve"> and capital</w:t>
      </w:r>
      <w:r w:rsidR="00C45EAF" w:rsidRPr="00080621">
        <w:t xml:space="preserve"> inputs, it would be possible to calculate </w:t>
      </w:r>
      <w:r w:rsidR="00E94698">
        <w:t xml:space="preserve">labour </w:t>
      </w:r>
      <w:r w:rsidR="008A46E2">
        <w:t xml:space="preserve">productivity </w:t>
      </w:r>
      <w:r w:rsidR="00E94698">
        <w:t>and multifactor</w:t>
      </w:r>
      <w:r w:rsidR="00E94698" w:rsidRPr="00080621">
        <w:t xml:space="preserve"> </w:t>
      </w:r>
      <w:r w:rsidR="00C45EAF" w:rsidRPr="00080621">
        <w:t xml:space="preserve">productivity estimates </w:t>
      </w:r>
      <w:r w:rsidR="00A458D1">
        <w:t>in greater detail</w:t>
      </w:r>
      <w:r w:rsidR="000D4AA6">
        <w:t xml:space="preserve"> — including at the firm level —</w:t>
      </w:r>
      <w:r w:rsidR="00A458D1">
        <w:t xml:space="preserve"> than currently possible with the National Accounts</w:t>
      </w:r>
      <w:r w:rsidR="00C45EAF" w:rsidRPr="00080621">
        <w:t>.</w:t>
      </w:r>
      <w:r w:rsidR="000D4AA6">
        <w:t xml:space="preserve"> If the </w:t>
      </w:r>
      <w:proofErr w:type="spellStart"/>
      <w:r w:rsidR="000D4AA6">
        <w:t>LEED</w:t>
      </w:r>
      <w:proofErr w:type="spellEnd"/>
      <w:r w:rsidR="000D4AA6">
        <w:t xml:space="preserve"> were to become part of the National Accounts in the future, National Accounts estimates would become consistent with those derived from the </w:t>
      </w:r>
      <w:proofErr w:type="spellStart"/>
      <w:r w:rsidR="000D4AA6">
        <w:t>LEED</w:t>
      </w:r>
      <w:proofErr w:type="spellEnd"/>
      <w:r w:rsidR="000D4AA6">
        <w:t>.</w:t>
      </w:r>
    </w:p>
    <w:p w:rsidR="003F699D" w:rsidRDefault="002A43F7" w:rsidP="003F699D">
      <w:pPr>
        <w:pStyle w:val="Heading2"/>
      </w:pPr>
      <w:fldSimple w:instr=" SEQ Heading2 ">
        <w:r w:rsidR="00E10287">
          <w:rPr>
            <w:noProof/>
          </w:rPr>
          <w:t>3</w:t>
        </w:r>
      </w:fldSimple>
      <w:r w:rsidR="003F699D">
        <w:tab/>
        <w:t xml:space="preserve">The ABS Foundation </w:t>
      </w:r>
      <w:proofErr w:type="spellStart"/>
      <w:r w:rsidR="003F699D">
        <w:t>LEED</w:t>
      </w:r>
      <w:proofErr w:type="spellEnd"/>
    </w:p>
    <w:p w:rsidR="00990068" w:rsidRDefault="00FD2641" w:rsidP="00FD2641">
      <w:pPr>
        <w:pStyle w:val="BodyText"/>
      </w:pPr>
      <w:r>
        <w:t xml:space="preserve">The ABS has recently constructed an experimental </w:t>
      </w:r>
      <w:proofErr w:type="spellStart"/>
      <w:r>
        <w:t>LEED</w:t>
      </w:r>
      <w:proofErr w:type="spellEnd"/>
      <w:r>
        <w:t xml:space="preserve"> that provides information on employees, their earnings, their jobs and the businesses that employ them. </w:t>
      </w:r>
      <w:r w:rsidR="00392700">
        <w:t xml:space="preserve">Referred to as the </w:t>
      </w:r>
      <w:r>
        <w:t>‘Foundation</w:t>
      </w:r>
      <w:r w:rsidRPr="00146A0A">
        <w:t xml:space="preserve"> </w:t>
      </w:r>
      <w:proofErr w:type="spellStart"/>
      <w:r w:rsidRPr="00146A0A">
        <w:t>LEED</w:t>
      </w:r>
      <w:proofErr w:type="spellEnd"/>
      <w:r>
        <w:t>’</w:t>
      </w:r>
      <w:r w:rsidR="00392700">
        <w:t xml:space="preserve">, it </w:t>
      </w:r>
      <w:r w:rsidRPr="00146A0A">
        <w:t xml:space="preserve">is a prototype dataset </w:t>
      </w:r>
      <w:r>
        <w:t>built from</w:t>
      </w:r>
      <w:r w:rsidRPr="00146A0A">
        <w:t xml:space="preserve"> </w:t>
      </w:r>
      <w:r w:rsidR="0038620B">
        <w:t xml:space="preserve">2011-12 </w:t>
      </w:r>
      <w:r w:rsidRPr="00146A0A">
        <w:t xml:space="preserve">personal income tax and business tax data from the </w:t>
      </w:r>
      <w:r w:rsidR="00247EA0">
        <w:t>Australian Taxation Office (</w:t>
      </w:r>
      <w:proofErr w:type="spellStart"/>
      <w:r w:rsidRPr="00146A0A">
        <w:t>ATO</w:t>
      </w:r>
      <w:proofErr w:type="spellEnd"/>
      <w:r w:rsidR="00247EA0">
        <w:t>)</w:t>
      </w:r>
      <w:r w:rsidR="002A43F7">
        <w:t>.</w:t>
      </w:r>
      <w:r w:rsidR="000520B0">
        <w:rPr>
          <w:rStyle w:val="FootnoteReference"/>
        </w:rPr>
        <w:footnoteReference w:id="2"/>
      </w:r>
      <w:r>
        <w:t xml:space="preserve"> </w:t>
      </w:r>
      <w:r w:rsidR="002B34F1">
        <w:t xml:space="preserve">It was </w:t>
      </w:r>
      <w:r>
        <w:t>intended to demonstrate that constructing such an integrated dataset was both feasible and useful</w:t>
      </w:r>
      <w:r w:rsidR="00247EA0">
        <w:t xml:space="preserve"> </w:t>
      </w:r>
      <w:r w:rsidR="000050EE" w:rsidRPr="000050EE">
        <w:rPr>
          <w:szCs w:val="24"/>
        </w:rPr>
        <w:t>(ABS </w:t>
      </w:r>
      <w:proofErr w:type="spellStart"/>
      <w:r w:rsidR="000050EE" w:rsidRPr="000050EE">
        <w:rPr>
          <w:szCs w:val="24"/>
        </w:rPr>
        <w:t>2015a</w:t>
      </w:r>
      <w:proofErr w:type="spellEnd"/>
      <w:r w:rsidR="000050EE" w:rsidRPr="000050EE">
        <w:rPr>
          <w:szCs w:val="24"/>
        </w:rPr>
        <w:t>)</w:t>
      </w:r>
      <w:r w:rsidR="004921D6">
        <w:t>.</w:t>
      </w:r>
      <w:r w:rsidR="0038620B">
        <w:t xml:space="preserve"> </w:t>
      </w:r>
    </w:p>
    <w:p w:rsidR="00FD2641" w:rsidRPr="00664EC1" w:rsidRDefault="00990068" w:rsidP="00FD2641">
      <w:pPr>
        <w:pStyle w:val="BodyText"/>
        <w:rPr>
          <w:spacing w:val="-2"/>
        </w:rPr>
      </w:pPr>
      <w:r w:rsidRPr="00664EC1">
        <w:rPr>
          <w:spacing w:val="-2"/>
        </w:rPr>
        <w:t xml:space="preserve">The Foundation </w:t>
      </w:r>
      <w:proofErr w:type="spellStart"/>
      <w:r w:rsidRPr="00664EC1">
        <w:rPr>
          <w:spacing w:val="-2"/>
        </w:rPr>
        <w:t>LEED</w:t>
      </w:r>
      <w:proofErr w:type="spellEnd"/>
      <w:r w:rsidRPr="00664EC1">
        <w:rPr>
          <w:spacing w:val="-2"/>
        </w:rPr>
        <w:t xml:space="preserve"> consists of separate employee, job and business files. Entries in the jobs file can be linked to both businesses and employees, with  individual employees able to have multiple jobs, and be employed by multiple businesses. It includes information about</w:t>
      </w:r>
      <w:r w:rsidR="0038620B" w:rsidRPr="00664EC1">
        <w:rPr>
          <w:spacing w:val="-2"/>
        </w:rPr>
        <w:t xml:space="preserve"> </w:t>
      </w:r>
      <w:r w:rsidR="00B210C4" w:rsidRPr="00664EC1">
        <w:rPr>
          <w:spacing w:val="-2"/>
        </w:rPr>
        <w:t>10.3</w:t>
      </w:r>
      <w:r w:rsidR="0038620B" w:rsidRPr="00664EC1">
        <w:rPr>
          <w:spacing w:val="-2"/>
        </w:rPr>
        <w:t xml:space="preserve"> million individual employees who </w:t>
      </w:r>
      <w:r w:rsidR="00B210C4" w:rsidRPr="00664EC1">
        <w:rPr>
          <w:spacing w:val="-2"/>
        </w:rPr>
        <w:t>held</w:t>
      </w:r>
      <w:r w:rsidR="0038620B" w:rsidRPr="00664EC1">
        <w:rPr>
          <w:spacing w:val="-2"/>
        </w:rPr>
        <w:t xml:space="preserve"> </w:t>
      </w:r>
      <w:r w:rsidR="00B210C4" w:rsidRPr="00664EC1">
        <w:rPr>
          <w:spacing w:val="-2"/>
        </w:rPr>
        <w:t>13.3</w:t>
      </w:r>
      <w:r w:rsidR="0038620B" w:rsidRPr="00664EC1">
        <w:rPr>
          <w:spacing w:val="-2"/>
        </w:rPr>
        <w:t xml:space="preserve"> million jobs at about 68</w:t>
      </w:r>
      <w:r w:rsidR="00B210C4" w:rsidRPr="00664EC1">
        <w:rPr>
          <w:spacing w:val="-2"/>
        </w:rPr>
        <w:t>3,000 businesses.</w:t>
      </w:r>
      <w:r w:rsidR="00156C02" w:rsidRPr="00664EC1">
        <w:rPr>
          <w:rStyle w:val="FootnoteReference"/>
          <w:spacing w:val="-2"/>
        </w:rPr>
        <w:footnoteReference w:id="3"/>
      </w:r>
    </w:p>
    <w:p w:rsidR="004921D6" w:rsidRDefault="00FF0300" w:rsidP="00565C0F">
      <w:pPr>
        <w:pStyle w:val="Heading3"/>
      </w:pPr>
      <w:r>
        <w:t xml:space="preserve">Foundation </w:t>
      </w:r>
      <w:proofErr w:type="spellStart"/>
      <w:r>
        <w:t>LEED</w:t>
      </w:r>
      <w:proofErr w:type="spellEnd"/>
      <w:r>
        <w:t xml:space="preserve"> s</w:t>
      </w:r>
      <w:r w:rsidR="004921D6">
        <w:t>ource data</w:t>
      </w:r>
    </w:p>
    <w:p w:rsidR="00565C0F" w:rsidRDefault="00565C0F" w:rsidP="00565C0F">
      <w:pPr>
        <w:pStyle w:val="BodyText"/>
      </w:pPr>
      <w:r>
        <w:t xml:space="preserve">The Foundation </w:t>
      </w:r>
      <w:proofErr w:type="spellStart"/>
      <w:r>
        <w:t>LEED</w:t>
      </w:r>
      <w:proofErr w:type="spellEnd"/>
      <w:r>
        <w:t xml:space="preserve"> is </w:t>
      </w:r>
      <w:r w:rsidR="00FF0300">
        <w:t>comprised of information</w:t>
      </w:r>
      <w:r>
        <w:t xml:space="preserve"> from </w:t>
      </w:r>
      <w:r w:rsidR="00FF0300">
        <w:t xml:space="preserve">the </w:t>
      </w:r>
      <w:r>
        <w:t>Personal Income Tax (PIT) data</w:t>
      </w:r>
      <w:r w:rsidR="00431026">
        <w:t>set</w:t>
      </w:r>
      <w:r>
        <w:t>, and the Expanded Analytical Business Longitudinal Database (</w:t>
      </w:r>
      <w:proofErr w:type="spellStart"/>
      <w:r>
        <w:t>EABLD</w:t>
      </w:r>
      <w:proofErr w:type="spellEnd"/>
      <w:r>
        <w:t>)</w:t>
      </w:r>
      <w:r w:rsidR="00FF0300">
        <w:t xml:space="preserve"> </w:t>
      </w:r>
      <w:r w:rsidR="000050EE" w:rsidRPr="000050EE">
        <w:rPr>
          <w:szCs w:val="24"/>
        </w:rPr>
        <w:t>(ABS </w:t>
      </w:r>
      <w:proofErr w:type="spellStart"/>
      <w:r w:rsidR="000050EE" w:rsidRPr="000050EE">
        <w:rPr>
          <w:szCs w:val="24"/>
        </w:rPr>
        <w:t>2015a</w:t>
      </w:r>
      <w:proofErr w:type="spellEnd"/>
      <w:r w:rsidR="000050EE" w:rsidRPr="000050EE">
        <w:rPr>
          <w:szCs w:val="24"/>
        </w:rPr>
        <w:t>)</w:t>
      </w:r>
      <w:r w:rsidR="00FF0300">
        <w:t>.</w:t>
      </w:r>
    </w:p>
    <w:p w:rsidR="00565C0F" w:rsidRDefault="00565C0F" w:rsidP="00565C0F">
      <w:pPr>
        <w:pStyle w:val="BodyText"/>
      </w:pPr>
      <w:r>
        <w:lastRenderedPageBreak/>
        <w:t xml:space="preserve">The PIT dataset </w:t>
      </w:r>
      <w:r w:rsidR="002B34F1">
        <w:t xml:space="preserve">consists of </w:t>
      </w:r>
      <w:r>
        <w:t xml:space="preserve">person-level income tax data compiled for each individual who filed an income tax return with the </w:t>
      </w:r>
      <w:proofErr w:type="spellStart"/>
      <w:r>
        <w:t>ATO</w:t>
      </w:r>
      <w:proofErr w:type="spellEnd"/>
      <w:r>
        <w:t xml:space="preserve"> in 2011-12. Data items extracted from the PIT data </w:t>
      </w:r>
      <w:r w:rsidR="00772442">
        <w:t xml:space="preserve">for inclusion in the </w:t>
      </w:r>
      <w:proofErr w:type="spellStart"/>
      <w:r w:rsidR="00772442">
        <w:t>LEED</w:t>
      </w:r>
      <w:proofErr w:type="spellEnd"/>
      <w:r w:rsidR="00772442">
        <w:t xml:space="preserve"> </w:t>
      </w:r>
      <w:r>
        <w:t>include sex; age; occupation in main job; salary or wages; allowances, earnings, tips or director’s fees; employer lump sum payments; attributed personal services income; employee share schemes data; fringe benefits; and employer superannuation contributions. The PIT data also includes an individual identifier that is used to link to other source data.</w:t>
      </w:r>
    </w:p>
    <w:p w:rsidR="00FF0300" w:rsidRDefault="00FF0300" w:rsidP="00565C0F">
      <w:pPr>
        <w:pStyle w:val="BodyText"/>
      </w:pPr>
      <w:r>
        <w:t xml:space="preserve">The </w:t>
      </w:r>
      <w:proofErr w:type="spellStart"/>
      <w:r>
        <w:t>EABLD</w:t>
      </w:r>
      <w:proofErr w:type="spellEnd"/>
      <w:r>
        <w:t xml:space="preserve"> </w:t>
      </w:r>
      <w:r w:rsidR="00431026">
        <w:t xml:space="preserve">includes financial </w:t>
      </w:r>
      <w:r w:rsidR="002B34F1">
        <w:t xml:space="preserve">information </w:t>
      </w:r>
      <w:r w:rsidR="00431026">
        <w:t>and business characteristics for all businesses active in the Australian economy in 2011-12</w:t>
      </w:r>
      <w:r w:rsidR="000050EE">
        <w:t xml:space="preserve"> </w:t>
      </w:r>
      <w:r w:rsidR="000050EE" w:rsidRPr="000050EE">
        <w:rPr>
          <w:szCs w:val="24"/>
        </w:rPr>
        <w:t>(ABS </w:t>
      </w:r>
      <w:proofErr w:type="spellStart"/>
      <w:r w:rsidR="000050EE" w:rsidRPr="000050EE">
        <w:rPr>
          <w:szCs w:val="24"/>
        </w:rPr>
        <w:t>2015b</w:t>
      </w:r>
      <w:proofErr w:type="spellEnd"/>
      <w:r w:rsidR="000050EE" w:rsidRPr="000050EE">
        <w:rPr>
          <w:szCs w:val="24"/>
        </w:rPr>
        <w:t>)</w:t>
      </w:r>
      <w:r w:rsidR="00431026">
        <w:t xml:space="preserve">. It is based on the Australian Business Register, and includes data from three administrative </w:t>
      </w:r>
      <w:proofErr w:type="spellStart"/>
      <w:r w:rsidR="00431026">
        <w:t>ATO</w:t>
      </w:r>
      <w:proofErr w:type="spellEnd"/>
      <w:r w:rsidR="00431026">
        <w:t xml:space="preserve"> sources:</w:t>
      </w:r>
    </w:p>
    <w:p w:rsidR="00431026" w:rsidRDefault="00431026" w:rsidP="00431026">
      <w:pPr>
        <w:pStyle w:val="ListBullet"/>
      </w:pPr>
      <w:r w:rsidRPr="00431026">
        <w:rPr>
          <w:i/>
        </w:rPr>
        <w:t>Business Activity Statements</w:t>
      </w:r>
      <w:r w:rsidR="004D7A8B">
        <w:t>,</w:t>
      </w:r>
      <w:r>
        <w:t xml:space="preserve"> which report Goods and Services Tax obligations</w:t>
      </w:r>
    </w:p>
    <w:p w:rsidR="00431026" w:rsidRDefault="00431026" w:rsidP="00431026">
      <w:pPr>
        <w:pStyle w:val="ListBullet"/>
      </w:pPr>
      <w:r w:rsidRPr="00431026">
        <w:rPr>
          <w:i/>
        </w:rPr>
        <w:t>Business Income Taxation</w:t>
      </w:r>
      <w:r>
        <w:t xml:space="preserve"> forms, which report taxable income or loss</w:t>
      </w:r>
    </w:p>
    <w:p w:rsidR="00431026" w:rsidRDefault="00431026" w:rsidP="00431026">
      <w:pPr>
        <w:pStyle w:val="ListBullet"/>
      </w:pPr>
      <w:r>
        <w:rPr>
          <w:i/>
        </w:rPr>
        <w:t xml:space="preserve">Pay As You Go </w:t>
      </w:r>
      <w:r>
        <w:t>(</w:t>
      </w:r>
      <w:proofErr w:type="spellStart"/>
      <w:r>
        <w:t>PAYG</w:t>
      </w:r>
      <w:proofErr w:type="spellEnd"/>
      <w:r>
        <w:t xml:space="preserve">) data, which includes job-level information reported by employers about payments made to individual employees. In addition to gross payment amounts and information about dates of employment, the </w:t>
      </w:r>
      <w:proofErr w:type="spellStart"/>
      <w:r>
        <w:t>PAYG</w:t>
      </w:r>
      <w:proofErr w:type="spellEnd"/>
      <w:r>
        <w:t xml:space="preserve"> dataset includes </w:t>
      </w:r>
      <w:r w:rsidR="004D7A8B">
        <w:t xml:space="preserve">employer and </w:t>
      </w:r>
      <w:r>
        <w:t>individual employee identifier</w:t>
      </w:r>
      <w:r w:rsidR="00392700">
        <w:t>s</w:t>
      </w:r>
      <w:r>
        <w:t xml:space="preserve">, which allows </w:t>
      </w:r>
      <w:r w:rsidR="004D7A8B">
        <w:t>data fr</w:t>
      </w:r>
      <w:r w:rsidR="00650C79">
        <w:t>o</w:t>
      </w:r>
      <w:r w:rsidR="004D7A8B">
        <w:t xml:space="preserve">m </w:t>
      </w:r>
      <w:r>
        <w:t xml:space="preserve">the </w:t>
      </w:r>
      <w:proofErr w:type="spellStart"/>
      <w:r>
        <w:t>EABLD</w:t>
      </w:r>
      <w:proofErr w:type="spellEnd"/>
      <w:r>
        <w:t xml:space="preserve"> </w:t>
      </w:r>
      <w:r w:rsidR="004D7A8B">
        <w:t xml:space="preserve">and from the PIT </w:t>
      </w:r>
      <w:r>
        <w:t>to be linked.</w:t>
      </w:r>
    </w:p>
    <w:p w:rsidR="002D72AA" w:rsidRDefault="00FF0300" w:rsidP="00565C0F">
      <w:pPr>
        <w:pStyle w:val="BodyText"/>
      </w:pPr>
      <w:r>
        <w:t xml:space="preserve">Variables </w:t>
      </w:r>
      <w:r w:rsidR="00772442">
        <w:t xml:space="preserve">extracted </w:t>
      </w:r>
      <w:r>
        <w:t xml:space="preserve">from the </w:t>
      </w:r>
      <w:proofErr w:type="spellStart"/>
      <w:r>
        <w:t>EABLD</w:t>
      </w:r>
      <w:proofErr w:type="spellEnd"/>
      <w:r>
        <w:t xml:space="preserve"> for use in the Foundation </w:t>
      </w:r>
      <w:proofErr w:type="spellStart"/>
      <w:r>
        <w:t>LEED</w:t>
      </w:r>
      <w:proofErr w:type="spellEnd"/>
      <w:r>
        <w:t xml:space="preserve"> include information on the type of legal organisation, economic sector, industry, employment size and business turnover</w:t>
      </w:r>
      <w:r w:rsidR="00565EA6">
        <w:t xml:space="preserve"> </w:t>
      </w:r>
      <w:r w:rsidR="00565EA6" w:rsidRPr="000050EE">
        <w:rPr>
          <w:szCs w:val="24"/>
        </w:rPr>
        <w:t>(ABS </w:t>
      </w:r>
      <w:proofErr w:type="spellStart"/>
      <w:r w:rsidR="00565EA6" w:rsidRPr="000050EE">
        <w:rPr>
          <w:szCs w:val="24"/>
        </w:rPr>
        <w:t>2015a</w:t>
      </w:r>
      <w:proofErr w:type="spellEnd"/>
      <w:r w:rsidR="00565EA6" w:rsidRPr="000050EE">
        <w:rPr>
          <w:szCs w:val="24"/>
        </w:rPr>
        <w:t>)</w:t>
      </w:r>
      <w:r w:rsidR="00565EA6">
        <w:t>.</w:t>
      </w:r>
      <w:r w:rsidR="00565EA6">
        <w:rPr>
          <w:rStyle w:val="FootnoteReference"/>
        </w:rPr>
        <w:footnoteReference w:id="4"/>
      </w:r>
      <w:r w:rsidR="00772442">
        <w:t xml:space="preserve"> However, the </w:t>
      </w:r>
      <w:proofErr w:type="spellStart"/>
      <w:r w:rsidR="00772442">
        <w:t>EABLD</w:t>
      </w:r>
      <w:proofErr w:type="spellEnd"/>
      <w:r w:rsidR="00772442">
        <w:t xml:space="preserve"> is a very rich and detailed data source, </w:t>
      </w:r>
      <w:r w:rsidR="00B6736C">
        <w:t xml:space="preserve">and </w:t>
      </w:r>
      <w:r w:rsidR="00772442">
        <w:t xml:space="preserve">could be used to provide a more detailed picture of </w:t>
      </w:r>
      <w:r w:rsidR="00392700">
        <w:t>business activities.</w:t>
      </w:r>
    </w:p>
    <w:p w:rsidR="002D72AA" w:rsidRDefault="002D72AA" w:rsidP="002D72AA">
      <w:pPr>
        <w:pStyle w:val="Heading3"/>
      </w:pPr>
      <w:r>
        <w:t xml:space="preserve">Limitations of the Foundation </w:t>
      </w:r>
      <w:proofErr w:type="spellStart"/>
      <w:r>
        <w:t>LEED</w:t>
      </w:r>
      <w:proofErr w:type="spellEnd"/>
    </w:p>
    <w:p w:rsidR="00565EA6" w:rsidRDefault="002D72AA" w:rsidP="002D72AA">
      <w:pPr>
        <w:pStyle w:val="BodyText"/>
      </w:pPr>
      <w:r>
        <w:t xml:space="preserve">Despite being a </w:t>
      </w:r>
      <w:r w:rsidR="0053700F">
        <w:t>useful</w:t>
      </w:r>
      <w:r>
        <w:t xml:space="preserve"> source of descriptive data, in its current form the Foundation </w:t>
      </w:r>
      <w:proofErr w:type="spellStart"/>
      <w:r>
        <w:t>LEED</w:t>
      </w:r>
      <w:proofErr w:type="spellEnd"/>
      <w:r>
        <w:t xml:space="preserve"> has </w:t>
      </w:r>
      <w:r w:rsidR="0053700F">
        <w:t>two main</w:t>
      </w:r>
      <w:r w:rsidR="00565EA6">
        <w:t xml:space="preserve"> limitations:</w:t>
      </w:r>
      <w:r>
        <w:t xml:space="preserve"> </w:t>
      </w:r>
    </w:p>
    <w:p w:rsidR="00565EA6" w:rsidRDefault="00565EA6" w:rsidP="002D72AA">
      <w:pPr>
        <w:pStyle w:val="ListBullet"/>
      </w:pPr>
      <w:r>
        <w:t>A</w:t>
      </w:r>
      <w:r w:rsidR="0053700F">
        <w:t xml:space="preserve">s a cross-sectional dataset, the Foundation </w:t>
      </w:r>
      <w:proofErr w:type="spellStart"/>
      <w:r w:rsidR="0053700F">
        <w:t>LEED</w:t>
      </w:r>
      <w:proofErr w:type="spellEnd"/>
      <w:r w:rsidR="0053700F">
        <w:t xml:space="preserve"> cannot be used to examine trends over time, </w:t>
      </w:r>
      <w:r w:rsidR="007F23AC">
        <w:t>or</w:t>
      </w:r>
      <w:r w:rsidR="0053700F">
        <w:t xml:space="preserve"> to infer causal effects of policy change.</w:t>
      </w:r>
    </w:p>
    <w:p w:rsidR="00565EA6" w:rsidRDefault="00565EA6" w:rsidP="00565EA6">
      <w:pPr>
        <w:pStyle w:val="ListBullet"/>
      </w:pPr>
      <w:r>
        <w:t>T</w:t>
      </w:r>
      <w:r w:rsidR="0053700F">
        <w:t xml:space="preserve">he list of variables included in the Foundation is </w:t>
      </w:r>
      <w:r w:rsidR="0026790E">
        <w:t xml:space="preserve">very </w:t>
      </w:r>
      <w:r w:rsidR="0053700F">
        <w:t>limited (table 1).</w:t>
      </w:r>
    </w:p>
    <w:p w:rsidR="000520B0" w:rsidRDefault="000520B0" w:rsidP="000520B0">
      <w:pPr>
        <w:pStyle w:val="BodyText"/>
      </w:pPr>
      <w:r>
        <w:t xml:space="preserve">A lot of important information, some of which is readily available from the administrative data sources, </w:t>
      </w:r>
      <w:r w:rsidR="00B6736C">
        <w:t>has not been included in</w:t>
      </w:r>
      <w:r>
        <w:t xml:space="preserve"> the Foundation </w:t>
      </w:r>
      <w:proofErr w:type="spellStart"/>
      <w:r>
        <w:t>LEED</w:t>
      </w:r>
      <w:proofErr w:type="spellEnd"/>
      <w:r>
        <w:t>.</w:t>
      </w:r>
      <w:r>
        <w:rPr>
          <w:rStyle w:val="FootnoteReference"/>
        </w:rPr>
        <w:footnoteReference w:id="5"/>
      </w:r>
    </w:p>
    <w:p w:rsidR="000520B0" w:rsidRDefault="00650C79" w:rsidP="000520B0">
      <w:pPr>
        <w:pStyle w:val="ListBullet"/>
      </w:pPr>
      <w:r>
        <w:t>T</w:t>
      </w:r>
      <w:r w:rsidR="000520B0">
        <w:t>he business file presents annual turnover and employment size variables as categorical variables. Converting continuous variables into categorical variables makes poor use of existing information, and limits their usefulness in quantitative analysis.</w:t>
      </w:r>
      <w:r>
        <w:t xml:space="preserve"> The reasons </w:t>
      </w:r>
      <w:r>
        <w:lastRenderedPageBreak/>
        <w:t xml:space="preserve">for using categories are uncertain, but if for privacy reasons, then such concerns are unwarranted as there are a variety of </w:t>
      </w:r>
      <w:r w:rsidR="00A1686C">
        <w:t xml:space="preserve">other </w:t>
      </w:r>
      <w:r>
        <w:t>ways to ensure confidentiality without sacrificing the quality of the data.</w:t>
      </w:r>
    </w:p>
    <w:p w:rsidR="000520B0" w:rsidRDefault="00650C79" w:rsidP="000520B0">
      <w:pPr>
        <w:pStyle w:val="ListBullet"/>
      </w:pPr>
      <w:r>
        <w:t>T</w:t>
      </w:r>
      <w:r w:rsidR="000520B0">
        <w:t>he business file excludes information about the legal status of the business, information required for the calculation of profits, expenditure data (including depreciation which could be used to estimate capital stock), research and development offsets, and tax paid.</w:t>
      </w:r>
      <w:r>
        <w:t xml:space="preserve"> If there are concerns about the quality of these data, then including them for analysis would assist the </w:t>
      </w:r>
      <w:proofErr w:type="spellStart"/>
      <w:r>
        <w:t>ATO</w:t>
      </w:r>
      <w:proofErr w:type="spellEnd"/>
      <w:r>
        <w:t xml:space="preserve"> as researchers can </w:t>
      </w:r>
      <w:r w:rsidR="00145CFF">
        <w:t xml:space="preserve">utilise </w:t>
      </w:r>
      <w:r>
        <w:t xml:space="preserve">their skills to identify records where the data accuracy is uncertain. This </w:t>
      </w:r>
      <w:r w:rsidR="00852EF4">
        <w:t xml:space="preserve">means ensuring that researchers have a means to report back on the data issues they </w:t>
      </w:r>
      <w:r w:rsidR="00145CFF">
        <w:t>encounter</w:t>
      </w:r>
      <w:r w:rsidR="00852EF4">
        <w:t>. Such</w:t>
      </w:r>
      <w:r w:rsidR="00145CFF">
        <w:t xml:space="preserve"> a</w:t>
      </w:r>
      <w:r w:rsidR="00852EF4">
        <w:t xml:space="preserve"> feedback mechanism can assist both collectors and users of administrative data.</w:t>
      </w:r>
    </w:p>
    <w:p w:rsidR="000520B0" w:rsidRDefault="00852EF4" w:rsidP="000F0B7E">
      <w:pPr>
        <w:pStyle w:val="ListBullet"/>
      </w:pPr>
      <w:r>
        <w:t>T</w:t>
      </w:r>
      <w:r w:rsidR="000520B0">
        <w:t>he employee file excludes demographic information such as resident status, partner status, partner’s income, superannuation contributions, different forms of income, information about tax offsets, deductions and expenses</w:t>
      </w:r>
      <w:r w:rsidR="00990068">
        <w:t xml:space="preserve">, </w:t>
      </w:r>
      <w:r w:rsidR="000520B0">
        <w:t>and taxes paid.</w:t>
      </w:r>
      <w:r>
        <w:t xml:space="preserve"> If the exclusion is for privacy or data quality reason</w:t>
      </w:r>
      <w:r w:rsidR="00916DF3">
        <w:t xml:space="preserve">s these issues should be addressed directly. If the aim is </w:t>
      </w:r>
      <w:r>
        <w:t xml:space="preserve">to keep the </w:t>
      </w:r>
      <w:proofErr w:type="spellStart"/>
      <w:r>
        <w:t>LEED</w:t>
      </w:r>
      <w:proofErr w:type="spellEnd"/>
      <w:r>
        <w:t xml:space="preserve"> to a manageable size, then attention is needed to identifying the </w:t>
      </w:r>
      <w:r w:rsidR="00916DF3">
        <w:t xml:space="preserve">most </w:t>
      </w:r>
      <w:r>
        <w:t>useful of the variables that are collected for administrative purposes</w:t>
      </w:r>
      <w:r w:rsidR="00512E53">
        <w:t xml:space="preserve">. Usefulness should be assessed against the criteria of policy relevance </w:t>
      </w:r>
      <w:r w:rsidR="00916DF3">
        <w:t>—</w:t>
      </w:r>
      <w:r w:rsidR="00512E53">
        <w:t xml:space="preserve"> if a change in the variable is associated with different labour market or business  behaviour, it should be included. Given the advances in storage, retrieval, and analytical methods, the  number of variables should not need to be limited for technical reasons.</w:t>
      </w:r>
    </w:p>
    <w:p w:rsidR="00565EA6" w:rsidRDefault="00565EA6" w:rsidP="00565EA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565EA6" w:rsidTr="001051E6">
        <w:tc>
          <w:tcPr>
            <w:tcW w:w="8909" w:type="dxa"/>
            <w:tcBorders>
              <w:top w:val="single" w:sz="6" w:space="0" w:color="78A22F"/>
              <w:left w:val="nil"/>
              <w:bottom w:val="nil"/>
              <w:right w:val="nil"/>
            </w:tcBorders>
            <w:shd w:val="clear" w:color="auto" w:fill="auto"/>
          </w:tcPr>
          <w:p w:rsidR="00565EA6" w:rsidRPr="00784A05" w:rsidRDefault="00565EA6" w:rsidP="001051E6">
            <w:pPr>
              <w:pStyle w:val="TableTitle"/>
            </w:pPr>
            <w:r>
              <w:rPr>
                <w:b w:val="0"/>
              </w:rPr>
              <w:t xml:space="preserve">Table </w:t>
            </w:r>
            <w:r>
              <w:rPr>
                <w:b w:val="0"/>
              </w:rPr>
              <w:fldChar w:fldCharType="begin"/>
            </w:r>
            <w:r>
              <w:rPr>
                <w:b w:val="0"/>
              </w:rPr>
              <w:instrText xml:space="preserve"> SEQ Table \* ARABIC </w:instrText>
            </w:r>
            <w:r>
              <w:rPr>
                <w:b w:val="0"/>
              </w:rPr>
              <w:fldChar w:fldCharType="separate"/>
            </w:r>
            <w:r w:rsidR="00E10287">
              <w:rPr>
                <w:b w:val="0"/>
                <w:noProof/>
              </w:rPr>
              <w:t>1</w:t>
            </w:r>
            <w:r>
              <w:rPr>
                <w:b w:val="0"/>
              </w:rPr>
              <w:fldChar w:fldCharType="end"/>
            </w:r>
            <w:r>
              <w:tab/>
              <w:t xml:space="preserve">Foundation </w:t>
            </w:r>
            <w:proofErr w:type="spellStart"/>
            <w:r>
              <w:t>LEED</w:t>
            </w:r>
            <w:proofErr w:type="spellEnd"/>
            <w:r>
              <w:t xml:space="preserve"> variables</w:t>
            </w:r>
            <w:bookmarkStart w:id="5" w:name="_GoBack"/>
            <w:r w:rsidRPr="00F8389C">
              <w:rPr>
                <w:rStyle w:val="NoteLabel"/>
                <w:rFonts w:eastAsiaTheme="majorEastAsia"/>
                <w:b/>
              </w:rPr>
              <w:t>a</w:t>
            </w:r>
            <w:bookmarkEnd w:id="5"/>
          </w:p>
        </w:tc>
      </w:tr>
      <w:tr w:rsidR="00565EA6" w:rsidTr="001051E6">
        <w:trPr>
          <w:cantSplit/>
        </w:trPr>
        <w:tc>
          <w:tcPr>
            <w:tcW w:w="890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097"/>
              <w:gridCol w:w="2835"/>
              <w:gridCol w:w="2693"/>
            </w:tblGrid>
            <w:tr w:rsidR="00565EA6" w:rsidTr="001051E6">
              <w:tc>
                <w:tcPr>
                  <w:tcW w:w="1795" w:type="pct"/>
                  <w:tcBorders>
                    <w:top w:val="single" w:sz="6" w:space="0" w:color="BFBFBF"/>
                    <w:bottom w:val="single" w:sz="6" w:space="0" w:color="BFBFBF"/>
                  </w:tcBorders>
                  <w:shd w:val="clear" w:color="auto" w:fill="auto"/>
                  <w:tcMar>
                    <w:top w:w="28" w:type="dxa"/>
                  </w:tcMar>
                </w:tcPr>
                <w:p w:rsidR="00565EA6" w:rsidRDefault="00565EA6" w:rsidP="001051E6">
                  <w:pPr>
                    <w:pStyle w:val="TableColumnHeading"/>
                    <w:jc w:val="left"/>
                  </w:pPr>
                  <w:r>
                    <w:t>Employee file</w:t>
                  </w:r>
                </w:p>
              </w:tc>
              <w:tc>
                <w:tcPr>
                  <w:tcW w:w="1643" w:type="pct"/>
                  <w:tcBorders>
                    <w:top w:val="single" w:sz="6" w:space="0" w:color="BFBFBF"/>
                    <w:bottom w:val="single" w:sz="6" w:space="0" w:color="BFBFBF"/>
                  </w:tcBorders>
                  <w:shd w:val="clear" w:color="auto" w:fill="auto"/>
                  <w:tcMar>
                    <w:top w:w="28" w:type="dxa"/>
                  </w:tcMar>
                </w:tcPr>
                <w:p w:rsidR="00565EA6" w:rsidRDefault="00565EA6" w:rsidP="001051E6">
                  <w:pPr>
                    <w:pStyle w:val="TableColumnHeading"/>
                    <w:jc w:val="left"/>
                  </w:pPr>
                  <w:r>
                    <w:t>Job file</w:t>
                  </w:r>
                </w:p>
              </w:tc>
              <w:tc>
                <w:tcPr>
                  <w:tcW w:w="1561" w:type="pct"/>
                  <w:tcBorders>
                    <w:top w:val="single" w:sz="6" w:space="0" w:color="BFBFBF"/>
                    <w:bottom w:val="single" w:sz="6" w:space="0" w:color="BFBFBF"/>
                  </w:tcBorders>
                  <w:shd w:val="clear" w:color="auto" w:fill="auto"/>
                  <w:tcMar>
                    <w:top w:w="28" w:type="dxa"/>
                  </w:tcMar>
                </w:tcPr>
                <w:p w:rsidR="00565EA6" w:rsidRDefault="00990068" w:rsidP="001051E6">
                  <w:pPr>
                    <w:pStyle w:val="TableColumnHeading"/>
                    <w:ind w:right="28"/>
                    <w:jc w:val="left"/>
                  </w:pPr>
                  <w:r>
                    <w:t xml:space="preserve">Business </w:t>
                  </w:r>
                  <w:r w:rsidR="00565EA6">
                    <w:t xml:space="preserve">file </w:t>
                  </w:r>
                </w:p>
              </w:tc>
            </w:tr>
            <w:tr w:rsidR="00565EA6" w:rsidTr="001051E6">
              <w:tc>
                <w:tcPr>
                  <w:tcW w:w="1795" w:type="pct"/>
                  <w:tcBorders>
                    <w:top w:val="single" w:sz="6" w:space="0" w:color="BFBFBF"/>
                  </w:tcBorders>
                </w:tcPr>
                <w:p w:rsidR="00565EA6" w:rsidRDefault="00565EA6" w:rsidP="00A06195">
                  <w:pPr>
                    <w:pStyle w:val="TableBodyText"/>
                    <w:spacing w:before="80"/>
                    <w:jc w:val="left"/>
                  </w:pPr>
                  <w:r>
                    <w:t>Age (years)</w:t>
                  </w:r>
                </w:p>
              </w:tc>
              <w:tc>
                <w:tcPr>
                  <w:tcW w:w="1643" w:type="pct"/>
                  <w:tcBorders>
                    <w:top w:val="single" w:sz="6" w:space="0" w:color="BFBFBF"/>
                  </w:tcBorders>
                </w:tcPr>
                <w:p w:rsidR="00565EA6" w:rsidRDefault="00565EA6" w:rsidP="00A06195">
                  <w:pPr>
                    <w:pStyle w:val="TableBodyText"/>
                    <w:spacing w:before="80"/>
                    <w:jc w:val="left"/>
                  </w:pPr>
                  <w:r>
                    <w:t>Gross payment amount per job held during the reference period ($)</w:t>
                  </w:r>
                </w:p>
              </w:tc>
              <w:tc>
                <w:tcPr>
                  <w:tcW w:w="1561" w:type="pct"/>
                  <w:tcBorders>
                    <w:top w:val="single" w:sz="6" w:space="0" w:color="BFBFBF"/>
                  </w:tcBorders>
                </w:tcPr>
                <w:p w:rsidR="00565EA6" w:rsidRDefault="00565EA6" w:rsidP="00A06195">
                  <w:pPr>
                    <w:pStyle w:val="TableBodyText"/>
                    <w:spacing w:before="80"/>
                    <w:jc w:val="left"/>
                  </w:pPr>
                  <w:r>
                    <w:t>Annual business turnover ($) (categorical variable:  $0-$49,999; $50,000-$199,999; $200,000</w:t>
                  </w:r>
                  <w:r>
                    <w:noBreakHyphen/>
                    <w:t xml:space="preserve">$1,999,999; </w:t>
                  </w:r>
                  <w:r>
                    <w:rPr>
                      <w:rFonts w:ascii="Times New Roman" w:hAnsi="Times New Roman"/>
                    </w:rPr>
                    <w:t>≥ </w:t>
                  </w:r>
                  <w:r>
                    <w:t>2,000,000; Not known)</w:t>
                  </w:r>
                </w:p>
              </w:tc>
            </w:tr>
            <w:tr w:rsidR="00565EA6" w:rsidTr="001051E6">
              <w:tc>
                <w:tcPr>
                  <w:tcW w:w="1795" w:type="pct"/>
                </w:tcPr>
                <w:p w:rsidR="00565EA6" w:rsidRDefault="00565EA6" w:rsidP="001051E6">
                  <w:pPr>
                    <w:pStyle w:val="TableBodyText"/>
                    <w:jc w:val="left"/>
                  </w:pPr>
                  <w:r>
                    <w:t>Gender</w:t>
                  </w:r>
                </w:p>
              </w:tc>
              <w:tc>
                <w:tcPr>
                  <w:tcW w:w="1643" w:type="pct"/>
                </w:tcPr>
                <w:p w:rsidR="00565EA6" w:rsidRDefault="00565EA6" w:rsidP="001051E6">
                  <w:pPr>
                    <w:pStyle w:val="TableBodyText"/>
                    <w:jc w:val="left"/>
                  </w:pPr>
                  <w:r>
                    <w:t>Other jobs with which a job was held concurrently</w:t>
                  </w:r>
                </w:p>
              </w:tc>
              <w:tc>
                <w:tcPr>
                  <w:tcW w:w="1561" w:type="pct"/>
                </w:tcPr>
                <w:p w:rsidR="00565EA6" w:rsidRDefault="00565EA6" w:rsidP="001051E6">
                  <w:pPr>
                    <w:pStyle w:val="TableBodyText"/>
                    <w:jc w:val="left"/>
                  </w:pPr>
                  <w:r>
                    <w:t xml:space="preserve">Employment size (no.) </w:t>
                  </w:r>
                  <w:r>
                    <w:br/>
                    <w:t>(categories: 0-4; 5-19; 20</w:t>
                  </w:r>
                  <w:r>
                    <w:noBreakHyphen/>
                    <w:t xml:space="preserve">199; </w:t>
                  </w:r>
                  <w:r>
                    <w:rPr>
                      <w:rFonts w:ascii="Times New Roman" w:hAnsi="Times New Roman"/>
                    </w:rPr>
                    <w:t>≥ </w:t>
                  </w:r>
                  <w:r>
                    <w:t>200; Not known)</w:t>
                  </w:r>
                </w:p>
              </w:tc>
            </w:tr>
            <w:tr w:rsidR="00565EA6" w:rsidTr="001051E6">
              <w:tc>
                <w:tcPr>
                  <w:tcW w:w="1795" w:type="pct"/>
                </w:tcPr>
                <w:p w:rsidR="00565EA6" w:rsidRDefault="00565EA6" w:rsidP="001051E6">
                  <w:pPr>
                    <w:pStyle w:val="TableBodyText"/>
                    <w:jc w:val="left"/>
                  </w:pPr>
                  <w:r>
                    <w:t>Total earnings from all jobs, in reference period ($)</w:t>
                  </w:r>
                </w:p>
              </w:tc>
              <w:tc>
                <w:tcPr>
                  <w:tcW w:w="1643" w:type="pct"/>
                </w:tcPr>
                <w:p w:rsidR="00565EA6" w:rsidRDefault="00565EA6" w:rsidP="001051E6">
                  <w:pPr>
                    <w:pStyle w:val="TableBodyText"/>
                    <w:jc w:val="left"/>
                  </w:pPr>
                  <w:r>
                    <w:t xml:space="preserve">Duration of job in reference period (weeks) </w:t>
                  </w:r>
                </w:p>
              </w:tc>
              <w:tc>
                <w:tcPr>
                  <w:tcW w:w="1561" w:type="pct"/>
                </w:tcPr>
                <w:p w:rsidR="00565EA6" w:rsidRDefault="00565EA6" w:rsidP="001051E6">
                  <w:pPr>
                    <w:pStyle w:val="TableBodyText"/>
                    <w:jc w:val="left"/>
                  </w:pPr>
                  <w:r>
                    <w:t xml:space="preserve">Industry (1 digit </w:t>
                  </w:r>
                  <w:proofErr w:type="spellStart"/>
                  <w:r>
                    <w:t>ANZSIC</w:t>
                  </w:r>
                  <w:proofErr w:type="spellEnd"/>
                  <w:r>
                    <w:t>)</w:t>
                  </w:r>
                </w:p>
              </w:tc>
            </w:tr>
            <w:tr w:rsidR="00565EA6" w:rsidTr="001051E6">
              <w:tc>
                <w:tcPr>
                  <w:tcW w:w="1795" w:type="pct"/>
                </w:tcPr>
                <w:p w:rsidR="00565EA6" w:rsidRDefault="00565EA6" w:rsidP="001051E6">
                  <w:pPr>
                    <w:pStyle w:val="TableBodyText"/>
                    <w:jc w:val="left"/>
                  </w:pPr>
                  <w:r>
                    <w:t>Number of jobs held in reference period (no.)</w:t>
                  </w:r>
                </w:p>
              </w:tc>
              <w:tc>
                <w:tcPr>
                  <w:tcW w:w="1643" w:type="pct"/>
                </w:tcPr>
                <w:p w:rsidR="00565EA6" w:rsidRDefault="00565EA6" w:rsidP="001051E6">
                  <w:pPr>
                    <w:pStyle w:val="TableBodyText"/>
                    <w:jc w:val="left"/>
                  </w:pPr>
                </w:p>
              </w:tc>
              <w:tc>
                <w:tcPr>
                  <w:tcW w:w="1561" w:type="pct"/>
                </w:tcPr>
                <w:p w:rsidR="00565EA6" w:rsidRDefault="00565EA6" w:rsidP="001051E6">
                  <w:pPr>
                    <w:pStyle w:val="TableBodyText"/>
                    <w:jc w:val="left"/>
                  </w:pPr>
                  <w:r>
                    <w:t>No business data available flag</w:t>
                  </w:r>
                  <w:r>
                    <w:rPr>
                      <w:rFonts w:ascii="Calibri" w:hAnsi="Calibri"/>
                    </w:rPr>
                    <w:t xml:space="preserve"> </w:t>
                  </w:r>
                </w:p>
              </w:tc>
            </w:tr>
            <w:tr w:rsidR="00565EA6" w:rsidTr="001051E6">
              <w:tc>
                <w:tcPr>
                  <w:tcW w:w="1795" w:type="pct"/>
                </w:tcPr>
                <w:p w:rsidR="00565EA6" w:rsidRDefault="00565EA6" w:rsidP="001051E6">
                  <w:pPr>
                    <w:pStyle w:val="TableBodyText"/>
                    <w:jc w:val="left"/>
                  </w:pPr>
                  <w:r>
                    <w:t>Multiple jobs at the same time in reference period</w:t>
                  </w:r>
                </w:p>
              </w:tc>
              <w:tc>
                <w:tcPr>
                  <w:tcW w:w="1643" w:type="pct"/>
                </w:tcPr>
                <w:p w:rsidR="00565EA6" w:rsidRDefault="00565EA6" w:rsidP="001051E6">
                  <w:pPr>
                    <w:pStyle w:val="TableBodyText"/>
                    <w:jc w:val="left"/>
                  </w:pPr>
                </w:p>
              </w:tc>
              <w:tc>
                <w:tcPr>
                  <w:tcW w:w="1561" w:type="pct"/>
                </w:tcPr>
                <w:p w:rsidR="00565EA6" w:rsidRDefault="00565EA6" w:rsidP="001051E6">
                  <w:pPr>
                    <w:pStyle w:val="TableBodyText"/>
                    <w:jc w:val="left"/>
                  </w:pPr>
                </w:p>
              </w:tc>
            </w:tr>
            <w:tr w:rsidR="00565EA6" w:rsidTr="001051E6">
              <w:tc>
                <w:tcPr>
                  <w:tcW w:w="1795" w:type="pct"/>
                </w:tcPr>
                <w:p w:rsidR="00565EA6" w:rsidRDefault="00565EA6" w:rsidP="001051E6">
                  <w:pPr>
                    <w:pStyle w:val="TableBodyText"/>
                    <w:jc w:val="left"/>
                  </w:pPr>
                  <w:r>
                    <w:t>Occupation in main job (2</w:t>
                  </w:r>
                  <w:r>
                    <w:noBreakHyphen/>
                    <w:t>digit </w:t>
                  </w:r>
                  <w:proofErr w:type="spellStart"/>
                  <w:r>
                    <w:t>ANZSCO</w:t>
                  </w:r>
                  <w:proofErr w:type="spellEnd"/>
                  <w:r>
                    <w:t>)</w:t>
                  </w:r>
                  <w:r>
                    <w:rPr>
                      <w:rStyle w:val="NoteLabel"/>
                      <w:rFonts w:eastAsiaTheme="majorEastAsia"/>
                    </w:rPr>
                    <w:t>b</w:t>
                  </w:r>
                </w:p>
              </w:tc>
              <w:tc>
                <w:tcPr>
                  <w:tcW w:w="1643" w:type="pct"/>
                </w:tcPr>
                <w:p w:rsidR="00565EA6" w:rsidRDefault="00565EA6" w:rsidP="001051E6">
                  <w:pPr>
                    <w:pStyle w:val="TableBodyText"/>
                    <w:jc w:val="left"/>
                  </w:pPr>
                </w:p>
              </w:tc>
              <w:tc>
                <w:tcPr>
                  <w:tcW w:w="1561" w:type="pct"/>
                </w:tcPr>
                <w:p w:rsidR="00565EA6" w:rsidRDefault="00565EA6" w:rsidP="001051E6">
                  <w:pPr>
                    <w:pStyle w:val="TableBodyText"/>
                    <w:jc w:val="left"/>
                  </w:pPr>
                </w:p>
              </w:tc>
            </w:tr>
            <w:tr w:rsidR="00565EA6" w:rsidTr="001051E6">
              <w:tc>
                <w:tcPr>
                  <w:tcW w:w="1795" w:type="pct"/>
                  <w:tcBorders>
                    <w:bottom w:val="single" w:sz="6" w:space="0" w:color="BFBFBF"/>
                  </w:tcBorders>
                  <w:shd w:val="clear" w:color="auto" w:fill="auto"/>
                </w:tcPr>
                <w:p w:rsidR="00565EA6" w:rsidRDefault="00565EA6" w:rsidP="001051E6">
                  <w:pPr>
                    <w:pStyle w:val="TableBodyText"/>
                    <w:jc w:val="left"/>
                  </w:pPr>
                  <w:r>
                    <w:t>Geography (Statistical Area Level 4)</w:t>
                  </w:r>
                </w:p>
              </w:tc>
              <w:tc>
                <w:tcPr>
                  <w:tcW w:w="1643" w:type="pct"/>
                  <w:tcBorders>
                    <w:bottom w:val="single" w:sz="6" w:space="0" w:color="BFBFBF"/>
                  </w:tcBorders>
                  <w:shd w:val="clear" w:color="auto" w:fill="auto"/>
                </w:tcPr>
                <w:p w:rsidR="00565EA6" w:rsidRDefault="00565EA6" w:rsidP="001051E6">
                  <w:pPr>
                    <w:pStyle w:val="TableBodyText"/>
                    <w:jc w:val="left"/>
                  </w:pPr>
                </w:p>
              </w:tc>
              <w:tc>
                <w:tcPr>
                  <w:tcW w:w="1561" w:type="pct"/>
                  <w:tcBorders>
                    <w:bottom w:val="single" w:sz="6" w:space="0" w:color="BFBFBF"/>
                  </w:tcBorders>
                  <w:shd w:val="clear" w:color="auto" w:fill="auto"/>
                </w:tcPr>
                <w:p w:rsidR="00565EA6" w:rsidRDefault="00565EA6" w:rsidP="001051E6">
                  <w:pPr>
                    <w:pStyle w:val="TableBodyText"/>
                    <w:jc w:val="left"/>
                  </w:pPr>
                </w:p>
              </w:tc>
            </w:tr>
          </w:tbl>
          <w:p w:rsidR="00565EA6" w:rsidRDefault="00565EA6" w:rsidP="001051E6">
            <w:pPr>
              <w:pStyle w:val="Box"/>
            </w:pPr>
          </w:p>
        </w:tc>
      </w:tr>
      <w:tr w:rsidR="00565EA6" w:rsidTr="001051E6">
        <w:trPr>
          <w:cantSplit/>
        </w:trPr>
        <w:tc>
          <w:tcPr>
            <w:tcW w:w="8909" w:type="dxa"/>
            <w:tcBorders>
              <w:top w:val="nil"/>
              <w:left w:val="nil"/>
              <w:bottom w:val="nil"/>
              <w:right w:val="nil"/>
            </w:tcBorders>
            <w:shd w:val="clear" w:color="auto" w:fill="auto"/>
          </w:tcPr>
          <w:p w:rsidR="00565EA6" w:rsidRPr="001B4F07" w:rsidRDefault="00565EA6" w:rsidP="00C62456">
            <w:pPr>
              <w:pStyle w:val="Note"/>
            </w:pPr>
            <w:r w:rsidRPr="001B4F07">
              <w:rPr>
                <w:rStyle w:val="NoteLabel"/>
                <w:rFonts w:eastAsiaTheme="majorEastAsia"/>
              </w:rPr>
              <w:t>a</w:t>
            </w:r>
            <w:r>
              <w:rPr>
                <w:rStyle w:val="NoteLabel"/>
                <w:rFonts w:eastAsiaTheme="majorEastAsia"/>
              </w:rPr>
              <w:t xml:space="preserve"> </w:t>
            </w:r>
            <w:r>
              <w:t xml:space="preserve">Files include identifiers to allow researchers to merge observations across the files. </w:t>
            </w:r>
            <w:r>
              <w:rPr>
                <w:rStyle w:val="NoteLabel"/>
                <w:rFonts w:eastAsiaTheme="majorEastAsia"/>
              </w:rPr>
              <w:t xml:space="preserve">b </w:t>
            </w:r>
            <w:r w:rsidRPr="001B4F07">
              <w:t>An</w:t>
            </w:r>
            <w:r>
              <w:t xml:space="preserve"> employee’s main job is the job from which they reported the greatest earnings.</w:t>
            </w:r>
          </w:p>
        </w:tc>
      </w:tr>
      <w:tr w:rsidR="00565EA6" w:rsidTr="001051E6">
        <w:trPr>
          <w:cantSplit/>
        </w:trPr>
        <w:tc>
          <w:tcPr>
            <w:tcW w:w="8909" w:type="dxa"/>
            <w:tcBorders>
              <w:top w:val="nil"/>
              <w:left w:val="nil"/>
              <w:bottom w:val="nil"/>
              <w:right w:val="nil"/>
            </w:tcBorders>
            <w:shd w:val="clear" w:color="auto" w:fill="auto"/>
          </w:tcPr>
          <w:p w:rsidR="00565EA6" w:rsidRDefault="00565EA6" w:rsidP="001051E6">
            <w:pPr>
              <w:pStyle w:val="Source"/>
            </w:pPr>
            <w:r>
              <w:rPr>
                <w:i/>
              </w:rPr>
              <w:t>Sources</w:t>
            </w:r>
            <w:r w:rsidRPr="00167F06">
              <w:t xml:space="preserve">: </w:t>
            </w:r>
            <w:r>
              <w:t xml:space="preserve">ABS </w:t>
            </w:r>
            <w:r w:rsidRPr="005E14F7">
              <w:t xml:space="preserve">cat. </w:t>
            </w:r>
            <w:r>
              <w:t>no. 6311.0.55.001.</w:t>
            </w:r>
          </w:p>
        </w:tc>
      </w:tr>
      <w:tr w:rsidR="00565EA6" w:rsidTr="001051E6">
        <w:trPr>
          <w:cantSplit/>
        </w:trPr>
        <w:tc>
          <w:tcPr>
            <w:tcW w:w="8909" w:type="dxa"/>
            <w:tcBorders>
              <w:top w:val="nil"/>
              <w:left w:val="nil"/>
              <w:bottom w:val="single" w:sz="6" w:space="0" w:color="78A22F"/>
              <w:right w:val="nil"/>
            </w:tcBorders>
            <w:shd w:val="clear" w:color="auto" w:fill="auto"/>
          </w:tcPr>
          <w:p w:rsidR="00565EA6" w:rsidRDefault="00565EA6" w:rsidP="001051E6">
            <w:pPr>
              <w:pStyle w:val="Box"/>
              <w:spacing w:before="0" w:line="120" w:lineRule="exact"/>
            </w:pPr>
          </w:p>
        </w:tc>
      </w:tr>
      <w:tr w:rsidR="00565EA6" w:rsidRPr="000863A5" w:rsidTr="001051E6">
        <w:tc>
          <w:tcPr>
            <w:tcW w:w="8909" w:type="dxa"/>
            <w:tcBorders>
              <w:top w:val="single" w:sz="6" w:space="0" w:color="78A22F"/>
              <w:left w:val="nil"/>
              <w:bottom w:val="nil"/>
              <w:right w:val="nil"/>
            </w:tcBorders>
          </w:tcPr>
          <w:p w:rsidR="00565EA6" w:rsidRPr="00626D32" w:rsidRDefault="00565EA6" w:rsidP="001051E6">
            <w:pPr>
              <w:pStyle w:val="BoxSpaceBelow"/>
            </w:pPr>
          </w:p>
        </w:tc>
      </w:tr>
    </w:tbl>
    <w:p w:rsidR="003F699D" w:rsidRDefault="00BA6BAE" w:rsidP="00BA6BAE">
      <w:pPr>
        <w:pStyle w:val="Heading3"/>
      </w:pPr>
      <w:r>
        <w:lastRenderedPageBreak/>
        <w:t>H</w:t>
      </w:r>
      <w:r w:rsidR="003F699D">
        <w:t xml:space="preserve">ow to make the Foundation </w:t>
      </w:r>
      <w:proofErr w:type="spellStart"/>
      <w:r w:rsidR="003F699D">
        <w:t>LEED</w:t>
      </w:r>
      <w:proofErr w:type="spellEnd"/>
      <w:r w:rsidR="003F699D">
        <w:t xml:space="preserve"> more policy relevant?</w:t>
      </w:r>
    </w:p>
    <w:p w:rsidR="00C2167F" w:rsidRDefault="001236B4" w:rsidP="00664EC1">
      <w:pPr>
        <w:pStyle w:val="BodyText"/>
        <w:widowControl w:val="0"/>
      </w:pPr>
      <w:r>
        <w:t>D</w:t>
      </w:r>
      <w:r w:rsidR="003F699D">
        <w:t xml:space="preserve">iscussions were held internally </w:t>
      </w:r>
      <w:r w:rsidR="00A72716">
        <w:t xml:space="preserve">at the Productivity Commission </w:t>
      </w:r>
      <w:r w:rsidR="003F699D">
        <w:t xml:space="preserve">and </w:t>
      </w:r>
      <w:r>
        <w:t xml:space="preserve">with </w:t>
      </w:r>
      <w:r w:rsidR="003F699D">
        <w:t>external</w:t>
      </w:r>
      <w:r>
        <w:t xml:space="preserve"> interested parties</w:t>
      </w:r>
      <w:r w:rsidR="003F699D">
        <w:t xml:space="preserve"> to consider what is </w:t>
      </w:r>
      <w:r w:rsidR="0038620B">
        <w:t>necessary</w:t>
      </w:r>
      <w:r w:rsidR="003F699D">
        <w:t xml:space="preserve"> to improve the policy relevance of the Foundation </w:t>
      </w:r>
      <w:proofErr w:type="spellStart"/>
      <w:r w:rsidR="003F699D">
        <w:t>LEED</w:t>
      </w:r>
      <w:proofErr w:type="spellEnd"/>
      <w:r w:rsidR="00927C63">
        <w:t xml:space="preserve">. </w:t>
      </w:r>
      <w:r w:rsidR="00C01EBE">
        <w:t xml:space="preserve">Arguably the </w:t>
      </w:r>
      <w:r w:rsidR="00C2167F">
        <w:t xml:space="preserve">most important variable </w:t>
      </w:r>
      <w:r w:rsidR="00C01EBE">
        <w:t xml:space="preserve">missing from the </w:t>
      </w:r>
      <w:r w:rsidR="008E7746">
        <w:t xml:space="preserve">Foundation </w:t>
      </w:r>
      <w:proofErr w:type="spellStart"/>
      <w:r w:rsidR="00C01EBE">
        <w:t>LEED</w:t>
      </w:r>
      <w:proofErr w:type="spellEnd"/>
      <w:r w:rsidR="00C01EBE">
        <w:t xml:space="preserve"> is the </w:t>
      </w:r>
      <w:r w:rsidR="00C2167F">
        <w:t>number of hours worked</w:t>
      </w:r>
      <w:r w:rsidR="00C01EBE">
        <w:t xml:space="preserve"> by employees in their respective jobs</w:t>
      </w:r>
      <w:r w:rsidR="00C2167F">
        <w:t xml:space="preserve">. Without this information it isn’t possible to quantify labour inputs, making it very difficult to use the </w:t>
      </w:r>
      <w:r w:rsidR="008E7746">
        <w:t xml:space="preserve">Foundation </w:t>
      </w:r>
      <w:proofErr w:type="spellStart"/>
      <w:r w:rsidR="00C2167F">
        <w:t>LEED</w:t>
      </w:r>
      <w:proofErr w:type="spellEnd"/>
      <w:r w:rsidR="00C2167F">
        <w:t xml:space="preserve"> for labour productivity analysis or to work out any measure of hourly wages or labour income.</w:t>
      </w:r>
      <w:r w:rsidR="000F2FD0">
        <w:t xml:space="preserve"> The challenge with including hours worked is that this data is not currently collected by the </w:t>
      </w:r>
      <w:proofErr w:type="spellStart"/>
      <w:r w:rsidR="000F2FD0">
        <w:t>ATO</w:t>
      </w:r>
      <w:proofErr w:type="spellEnd"/>
      <w:r w:rsidR="000F2FD0">
        <w:t xml:space="preserve">. There are also a number of other variables that are highly desirable to make the </w:t>
      </w:r>
      <w:r w:rsidR="008E7746">
        <w:t xml:space="preserve">Foundation </w:t>
      </w:r>
      <w:proofErr w:type="spellStart"/>
      <w:r w:rsidR="000F2FD0">
        <w:t>LEED</w:t>
      </w:r>
      <w:proofErr w:type="spellEnd"/>
      <w:r w:rsidR="000F2FD0">
        <w:t xml:space="preserve"> useful for policy analysis.</w:t>
      </w:r>
    </w:p>
    <w:p w:rsidR="00927C63" w:rsidRDefault="000F2FD0" w:rsidP="00664EC1">
      <w:pPr>
        <w:pStyle w:val="BodyText"/>
        <w:widowControl w:val="0"/>
      </w:pPr>
      <w:r>
        <w:t xml:space="preserve">The Commission </w:t>
      </w:r>
      <w:r w:rsidR="00A1686C">
        <w:t xml:space="preserve">has compiled </w:t>
      </w:r>
      <w:r>
        <w:t>a</w:t>
      </w:r>
      <w:r w:rsidR="000A6265">
        <w:t xml:space="preserve"> list of possible improvements </w:t>
      </w:r>
      <w:r>
        <w:t>(t</w:t>
      </w:r>
      <w:r w:rsidR="000A6265">
        <w:t>able 2</w:t>
      </w:r>
      <w:r>
        <w:t>)</w:t>
      </w:r>
      <w:r w:rsidR="000A6265">
        <w:t xml:space="preserve">. </w:t>
      </w:r>
      <w:r>
        <w:t xml:space="preserve">In </w:t>
      </w:r>
      <w:r w:rsidR="00A1686C">
        <w:t xml:space="preserve">compiling </w:t>
      </w:r>
      <w:r>
        <w:t>this list</w:t>
      </w:r>
      <w:r w:rsidR="00A1686C">
        <w:t xml:space="preserve">, the </w:t>
      </w:r>
      <w:r>
        <w:t xml:space="preserve">Commission </w:t>
      </w:r>
      <w:r w:rsidR="00D132DD">
        <w:t xml:space="preserve">has </w:t>
      </w:r>
      <w:r>
        <w:t>dr</w:t>
      </w:r>
      <w:r w:rsidR="00D132DD">
        <w:t>awn</w:t>
      </w:r>
      <w:r>
        <w:t xml:space="preserve"> on internal expertise and </w:t>
      </w:r>
      <w:r w:rsidR="00D132DD">
        <w:t xml:space="preserve">on </w:t>
      </w:r>
      <w:r>
        <w:t>staff in a number of policy departments (</w:t>
      </w:r>
      <w:r w:rsidR="002D72AA">
        <w:t>attachment A</w:t>
      </w:r>
      <w:r>
        <w:t>)</w:t>
      </w:r>
      <w:r w:rsidR="003F699D">
        <w:t>.</w:t>
      </w:r>
      <w:r>
        <w:t xml:space="preserve"> The list identifies the variables that are available from the current data sources, and data sources for additional variables that meet the criteria for policy usefulness.</w:t>
      </w:r>
      <w:r w:rsidR="00406C03">
        <w:t xml:space="preserve"> There are, no doubt, other variables that could be accessed and would prove useful, but this list is a good place to start.</w:t>
      </w:r>
    </w:p>
    <w:p w:rsidR="00A06195" w:rsidRDefault="00A06195" w:rsidP="00664EC1">
      <w:pPr>
        <w:pStyle w:val="BodyText"/>
        <w:widowControl w:val="0"/>
      </w:pPr>
      <w:r>
        <w:t xml:space="preserve">There was a consensus among those consulted that it is imperative that the Foundation </w:t>
      </w:r>
      <w:proofErr w:type="spellStart"/>
      <w:r>
        <w:t>LEED</w:t>
      </w:r>
      <w:proofErr w:type="spellEnd"/>
      <w:r>
        <w:t xml:space="preserve"> be extended longitudinally. Even if additional variables cannot be added, having longitudinal data will facilitate analysis of transitions and the labour market effects of some policy changes. A historical dataset going back a decade would be very valuable, but failing this it is imperative for policy usefulness that the dataset be built over time as a longitudinal product.</w:t>
      </w:r>
    </w:p>
    <w:p w:rsidR="00A06195" w:rsidRDefault="00A06195" w:rsidP="00664EC1">
      <w:pPr>
        <w:pStyle w:val="BodyText"/>
        <w:widowControl w:val="0"/>
      </w:pPr>
      <w:r>
        <w:t xml:space="preserve">The use of actual rather than categorical values for variables was also viewed as important. The Department of Industry, Innovation and Science, the Department of Employment and the Fair Work Commission supported retaining values rather than making ranges available. Not only are continuous variable more informative, but many policies apply thresholds on income or activity for access to a policy treatment, so actual values are required to be able to consider behaviour of employees and firms around these thresholds. </w:t>
      </w:r>
    </w:p>
    <w:p w:rsidR="00A06195" w:rsidRDefault="00A06195" w:rsidP="00664EC1">
      <w:pPr>
        <w:pStyle w:val="BodyText"/>
        <w:widowControl w:val="0"/>
      </w:pPr>
      <w:r>
        <w:t xml:space="preserve">Other improvements to the Foundation </w:t>
      </w:r>
      <w:proofErr w:type="spellStart"/>
      <w:r>
        <w:t>LEED</w:t>
      </w:r>
      <w:proofErr w:type="spellEnd"/>
      <w:r>
        <w:t xml:space="preserve"> require access to further data, either by linking to other data sources or by conducting surveys that use the Foundation </w:t>
      </w:r>
      <w:proofErr w:type="spellStart"/>
      <w:r>
        <w:t>LEED</w:t>
      </w:r>
      <w:proofErr w:type="spellEnd"/>
      <w:r>
        <w:t xml:space="preserve"> as a sampling frame. Those consulted differed in the prioritisation of what they were interested in seeing in a developed </w:t>
      </w:r>
      <w:proofErr w:type="spellStart"/>
      <w:r>
        <w:t>LEED</w:t>
      </w:r>
      <w:proofErr w:type="spellEnd"/>
      <w:r>
        <w:t>. However, there was substantial agreement about the need for a measure of ‘hours worked’ to be included, in order to:</w:t>
      </w:r>
    </w:p>
    <w:p w:rsidR="00A06195" w:rsidRDefault="00A06195" w:rsidP="00A06195">
      <w:pPr>
        <w:pStyle w:val="ListBullet"/>
      </w:pPr>
      <w:r>
        <w:t>be able to calculate hourly wages</w:t>
      </w:r>
    </w:p>
    <w:p w:rsidR="00A06195" w:rsidRDefault="00A06195" w:rsidP="00A06195">
      <w:pPr>
        <w:pStyle w:val="ListBullet"/>
      </w:pPr>
      <w:r>
        <w:t>better quantify labour inputs in productivity estimates (as opposed to using employee head counts or wage bills).</w:t>
      </w:r>
    </w:p>
    <w:p w:rsidR="00664EC1" w:rsidRDefault="00664EC1" w:rsidP="00664EC1">
      <w:pPr>
        <w:pStyle w:val="BodyText"/>
        <w:widowControl w:val="0"/>
        <w:spacing w:before="220"/>
      </w:pPr>
      <w:r>
        <w:br w:type="page"/>
      </w:r>
    </w:p>
    <w:p w:rsidR="00A06195" w:rsidRDefault="00A06195" w:rsidP="00664EC1">
      <w:pPr>
        <w:pStyle w:val="BodyText"/>
        <w:widowControl w:val="0"/>
        <w:spacing w:before="220"/>
      </w:pPr>
      <w:r w:rsidRPr="00A06195">
        <w:lastRenderedPageBreak/>
        <w:t xml:space="preserve">It is possible that hours worked by employees will be routinely collected by the </w:t>
      </w:r>
      <w:proofErr w:type="spellStart"/>
      <w:r w:rsidRPr="00A06195">
        <w:t>ATO</w:t>
      </w:r>
      <w:proofErr w:type="spellEnd"/>
      <w:r w:rsidRPr="00A06195">
        <w:t xml:space="preserve"> in the future. The </w:t>
      </w:r>
      <w:proofErr w:type="spellStart"/>
      <w:r w:rsidRPr="00A06195">
        <w:t>ATO</w:t>
      </w:r>
      <w:proofErr w:type="spellEnd"/>
      <w:r w:rsidRPr="00A06195">
        <w:t xml:space="preserve"> is conducting a pilot program in 2017 to test the implementation of a Single Touch Payroll (</w:t>
      </w:r>
      <w:proofErr w:type="spellStart"/>
      <w:r w:rsidRPr="00A06195">
        <w:t>STP</w:t>
      </w:r>
      <w:proofErr w:type="spellEnd"/>
      <w:r w:rsidRPr="00A06195">
        <w:t>) system (</w:t>
      </w:r>
      <w:proofErr w:type="spellStart"/>
      <w:r w:rsidRPr="00A06195">
        <w:t>ATO</w:t>
      </w:r>
      <w:proofErr w:type="spellEnd"/>
      <w:r w:rsidRPr="00A06195">
        <w:t xml:space="preserve"> 2015) (box 2). If </w:t>
      </w:r>
      <w:proofErr w:type="spellStart"/>
      <w:r w:rsidRPr="00A06195">
        <w:t>STP</w:t>
      </w:r>
      <w:proofErr w:type="spellEnd"/>
      <w:r w:rsidRPr="00A06195">
        <w:t xml:space="preserve"> were to report hours worked as part of the payroll data, this variable could be included in a future </w:t>
      </w:r>
      <w:proofErr w:type="spellStart"/>
      <w:r w:rsidRPr="00A06195">
        <w:t>LEED</w:t>
      </w:r>
      <w:proofErr w:type="spellEnd"/>
      <w:r w:rsidRPr="00A06195">
        <w:t>.</w:t>
      </w:r>
    </w:p>
    <w:p w:rsidR="000A6265" w:rsidRDefault="000A6265" w:rsidP="000A626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0A6265" w:rsidTr="001051E6">
        <w:tc>
          <w:tcPr>
            <w:tcW w:w="8771" w:type="dxa"/>
            <w:tcBorders>
              <w:top w:val="single" w:sz="6" w:space="0" w:color="78A22F"/>
              <w:left w:val="nil"/>
              <w:bottom w:val="nil"/>
              <w:right w:val="nil"/>
            </w:tcBorders>
            <w:shd w:val="clear" w:color="auto" w:fill="auto"/>
          </w:tcPr>
          <w:p w:rsidR="000A6265" w:rsidRPr="00784A05" w:rsidRDefault="000A6265" w:rsidP="001051E6">
            <w:pPr>
              <w:pStyle w:val="TableTitle"/>
            </w:pPr>
            <w:r>
              <w:rPr>
                <w:b w:val="0"/>
              </w:rPr>
              <w:t xml:space="preserve">Table </w:t>
            </w:r>
            <w:r>
              <w:rPr>
                <w:b w:val="0"/>
              </w:rPr>
              <w:fldChar w:fldCharType="begin"/>
            </w:r>
            <w:r>
              <w:rPr>
                <w:b w:val="0"/>
              </w:rPr>
              <w:instrText xml:space="preserve"> SEQ Table \* ARABIC </w:instrText>
            </w:r>
            <w:r>
              <w:rPr>
                <w:b w:val="0"/>
              </w:rPr>
              <w:fldChar w:fldCharType="separate"/>
            </w:r>
            <w:r w:rsidR="00E10287">
              <w:rPr>
                <w:b w:val="0"/>
                <w:noProof/>
              </w:rPr>
              <w:t>2</w:t>
            </w:r>
            <w:r>
              <w:rPr>
                <w:b w:val="0"/>
              </w:rPr>
              <w:fldChar w:fldCharType="end"/>
            </w:r>
            <w:r>
              <w:tab/>
              <w:t xml:space="preserve">Possible improvements to the Foundation </w:t>
            </w:r>
            <w:proofErr w:type="spellStart"/>
            <w:r>
              <w:t>LEED</w:t>
            </w:r>
            <w:proofErr w:type="spellEnd"/>
          </w:p>
        </w:tc>
      </w:tr>
      <w:tr w:rsidR="000A6265" w:rsidTr="001051E6">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29"/>
              <w:gridCol w:w="2830"/>
              <w:gridCol w:w="2828"/>
            </w:tblGrid>
            <w:tr w:rsidR="000A6265" w:rsidTr="001051E6">
              <w:tc>
                <w:tcPr>
                  <w:tcW w:w="1667" w:type="pct"/>
                  <w:tcBorders>
                    <w:top w:val="single" w:sz="6" w:space="0" w:color="BFBFBF"/>
                    <w:bottom w:val="single" w:sz="6" w:space="0" w:color="BFBFBF"/>
                  </w:tcBorders>
                  <w:shd w:val="clear" w:color="auto" w:fill="auto"/>
                  <w:tcMar>
                    <w:top w:w="28" w:type="dxa"/>
                  </w:tcMar>
                </w:tcPr>
                <w:p w:rsidR="000A6265" w:rsidRDefault="000A6265" w:rsidP="001051E6">
                  <w:pPr>
                    <w:pStyle w:val="TableColumnHeading"/>
                    <w:jc w:val="left"/>
                  </w:pPr>
                  <w:r>
                    <w:t>Change</w:t>
                  </w:r>
                </w:p>
              </w:tc>
              <w:tc>
                <w:tcPr>
                  <w:tcW w:w="1667" w:type="pct"/>
                  <w:tcBorders>
                    <w:top w:val="single" w:sz="6" w:space="0" w:color="BFBFBF"/>
                    <w:bottom w:val="single" w:sz="6" w:space="0" w:color="BFBFBF"/>
                  </w:tcBorders>
                  <w:shd w:val="clear" w:color="auto" w:fill="auto"/>
                  <w:tcMar>
                    <w:top w:w="28" w:type="dxa"/>
                  </w:tcMar>
                </w:tcPr>
                <w:p w:rsidR="000A6265" w:rsidRDefault="000A6265" w:rsidP="001051E6">
                  <w:pPr>
                    <w:pStyle w:val="TableColumnHeading"/>
                    <w:jc w:val="left"/>
                  </w:pPr>
                  <w:r>
                    <w:t>Possible data source</w:t>
                  </w:r>
                </w:p>
              </w:tc>
              <w:tc>
                <w:tcPr>
                  <w:tcW w:w="1666" w:type="pct"/>
                  <w:tcBorders>
                    <w:top w:val="single" w:sz="6" w:space="0" w:color="BFBFBF"/>
                    <w:bottom w:val="single" w:sz="6" w:space="0" w:color="BFBFBF"/>
                  </w:tcBorders>
                  <w:shd w:val="clear" w:color="auto" w:fill="auto"/>
                  <w:tcMar>
                    <w:top w:w="28" w:type="dxa"/>
                  </w:tcMar>
                </w:tcPr>
                <w:p w:rsidR="000A6265" w:rsidRDefault="000A6265" w:rsidP="001051E6">
                  <w:pPr>
                    <w:pStyle w:val="TableColumnHeading"/>
                    <w:ind w:right="28"/>
                    <w:jc w:val="left"/>
                  </w:pPr>
                  <w:r>
                    <w:t>Potential uses</w:t>
                  </w:r>
                </w:p>
              </w:tc>
            </w:tr>
            <w:tr w:rsidR="00A1686C" w:rsidTr="0083690A">
              <w:tc>
                <w:tcPr>
                  <w:tcW w:w="3334" w:type="pct"/>
                  <w:gridSpan w:val="2"/>
                  <w:tcBorders>
                    <w:top w:val="single" w:sz="6" w:space="0" w:color="BFBFBF"/>
                  </w:tcBorders>
                </w:tcPr>
                <w:p w:rsidR="00A1686C" w:rsidRPr="0083690A" w:rsidRDefault="00A1686C" w:rsidP="0083690A">
                  <w:pPr>
                    <w:pStyle w:val="TableColumnHeading"/>
                    <w:jc w:val="left"/>
                    <w:rPr>
                      <w:b/>
                      <w:i w:val="0"/>
                    </w:rPr>
                  </w:pPr>
                  <w:r w:rsidRPr="0083690A">
                    <w:rPr>
                      <w:b/>
                      <w:i w:val="0"/>
                    </w:rPr>
                    <w:t>Pol</w:t>
                  </w:r>
                  <w:r w:rsidR="00953D3B" w:rsidRPr="0083690A">
                    <w:rPr>
                      <w:b/>
                      <w:i w:val="0"/>
                    </w:rPr>
                    <w:t>i</w:t>
                  </w:r>
                  <w:r w:rsidRPr="0083690A">
                    <w:rPr>
                      <w:b/>
                      <w:i w:val="0"/>
                    </w:rPr>
                    <w:t>cy relevant and available from current  sources</w:t>
                  </w:r>
                </w:p>
              </w:tc>
              <w:tc>
                <w:tcPr>
                  <w:tcW w:w="1666" w:type="pct"/>
                  <w:tcBorders>
                    <w:top w:val="single" w:sz="6" w:space="0" w:color="BFBFBF"/>
                  </w:tcBorders>
                </w:tcPr>
                <w:p w:rsidR="00A1686C" w:rsidRPr="0083690A" w:rsidRDefault="00A1686C" w:rsidP="0083690A">
                  <w:pPr>
                    <w:pStyle w:val="TableColumnHeading"/>
                    <w:jc w:val="left"/>
                    <w:rPr>
                      <w:b/>
                      <w:i w:val="0"/>
                    </w:rPr>
                  </w:pPr>
                </w:p>
              </w:tc>
            </w:tr>
            <w:tr w:rsidR="000A6265" w:rsidTr="0083690A">
              <w:tc>
                <w:tcPr>
                  <w:tcW w:w="1667" w:type="pct"/>
                </w:tcPr>
                <w:p w:rsidR="000A6265" w:rsidRPr="00AF5159" w:rsidRDefault="000A6265" w:rsidP="001051E6">
                  <w:pPr>
                    <w:pStyle w:val="TableBodyText"/>
                    <w:jc w:val="left"/>
                  </w:pPr>
                  <w:r w:rsidRPr="00AF5159">
                    <w:t xml:space="preserve">Expand into longitudinal </w:t>
                  </w:r>
                  <w:proofErr w:type="spellStart"/>
                  <w:r w:rsidRPr="00AF5159">
                    <w:t>LEED</w:t>
                  </w:r>
                  <w:proofErr w:type="spellEnd"/>
                </w:p>
              </w:tc>
              <w:tc>
                <w:tcPr>
                  <w:tcW w:w="1667" w:type="pct"/>
                </w:tcPr>
                <w:p w:rsidR="000A6265" w:rsidRPr="00AF5159" w:rsidRDefault="000A6265" w:rsidP="001051E6">
                  <w:pPr>
                    <w:pStyle w:val="TableBodyText"/>
                    <w:jc w:val="left"/>
                  </w:pPr>
                  <w:r w:rsidRPr="00AF5159">
                    <w:t xml:space="preserve">Existing </w:t>
                  </w:r>
                  <w:proofErr w:type="spellStart"/>
                  <w:r w:rsidRPr="00AF5159">
                    <w:t>ATO</w:t>
                  </w:r>
                  <w:proofErr w:type="spellEnd"/>
                  <w:r w:rsidRPr="00AF5159">
                    <w:t xml:space="preserve"> source data</w:t>
                  </w:r>
                </w:p>
              </w:tc>
              <w:tc>
                <w:tcPr>
                  <w:tcW w:w="1666" w:type="pct"/>
                </w:tcPr>
                <w:p w:rsidR="000A6265" w:rsidRPr="00AF5159" w:rsidRDefault="000A6265" w:rsidP="00C63C5D">
                  <w:pPr>
                    <w:pStyle w:val="TableBodyText"/>
                    <w:jc w:val="left"/>
                  </w:pPr>
                  <w:r w:rsidRPr="00AF5159">
                    <w:t>Policy evaluation; employee mobility and transitions analysis; job creation and destruction analysis; industry-level time series analyses; effect of skill diversification on productivity</w:t>
                  </w:r>
                  <w:r w:rsidR="0047367F">
                    <w:t>.</w:t>
                  </w:r>
                </w:p>
              </w:tc>
            </w:tr>
            <w:tr w:rsidR="000A6265" w:rsidTr="00330A1C">
              <w:tc>
                <w:tcPr>
                  <w:tcW w:w="1667" w:type="pct"/>
                </w:tcPr>
                <w:p w:rsidR="000A6265" w:rsidRPr="00485CA6" w:rsidRDefault="000A6265" w:rsidP="00485CA6">
                  <w:pPr>
                    <w:pStyle w:val="TableBodyText"/>
                    <w:jc w:val="left"/>
                  </w:pPr>
                  <w:r w:rsidRPr="00485CA6">
                    <w:t xml:space="preserve">Include more variables from </w:t>
                  </w:r>
                  <w:proofErr w:type="spellStart"/>
                  <w:r w:rsidRPr="00485CA6">
                    <w:t>ATO</w:t>
                  </w:r>
                  <w:proofErr w:type="spellEnd"/>
                  <w:r w:rsidRPr="00485CA6">
                    <w:t xml:space="preserve"> source data</w:t>
                  </w:r>
                  <w:r w:rsidR="00156C02" w:rsidRPr="00485CA6">
                    <w:t>, for example:</w:t>
                  </w:r>
                </w:p>
              </w:tc>
              <w:tc>
                <w:tcPr>
                  <w:tcW w:w="1667" w:type="pct"/>
                </w:tcPr>
                <w:p w:rsidR="000A6265" w:rsidRPr="00485CA6" w:rsidRDefault="000A6265" w:rsidP="00330A1C">
                  <w:pPr>
                    <w:pStyle w:val="TableBodyText"/>
                    <w:jc w:val="left"/>
                  </w:pPr>
                  <w:r w:rsidRPr="00485CA6">
                    <w:t xml:space="preserve">Existing </w:t>
                  </w:r>
                  <w:proofErr w:type="spellStart"/>
                  <w:r w:rsidRPr="00485CA6">
                    <w:t>ATO</w:t>
                  </w:r>
                  <w:proofErr w:type="spellEnd"/>
                  <w:r w:rsidRPr="00485CA6">
                    <w:t xml:space="preserve"> source data</w:t>
                  </w:r>
                </w:p>
              </w:tc>
              <w:tc>
                <w:tcPr>
                  <w:tcW w:w="1666" w:type="pct"/>
                </w:tcPr>
                <w:p w:rsidR="000A6265" w:rsidRPr="00485CA6" w:rsidRDefault="000A6265" w:rsidP="00330A1C">
                  <w:pPr>
                    <w:pStyle w:val="TableBodyText"/>
                    <w:jc w:val="left"/>
                  </w:pPr>
                </w:p>
              </w:tc>
            </w:tr>
            <w:tr w:rsidR="00156C02" w:rsidTr="00330A1C">
              <w:tc>
                <w:tcPr>
                  <w:tcW w:w="1667" w:type="pct"/>
                </w:tcPr>
                <w:p w:rsidR="00156C02" w:rsidRPr="00485CA6" w:rsidRDefault="000A416C" w:rsidP="0047367F">
                  <w:pPr>
                    <w:pStyle w:val="TableBodyText"/>
                    <w:numPr>
                      <w:ilvl w:val="0"/>
                      <w:numId w:val="26"/>
                    </w:numPr>
                    <w:jc w:val="left"/>
                  </w:pPr>
                  <w:r>
                    <w:t>s</w:t>
                  </w:r>
                  <w:r w:rsidR="00156C02" w:rsidRPr="00485CA6">
                    <w:t>pousal income</w:t>
                  </w:r>
                </w:p>
              </w:tc>
              <w:tc>
                <w:tcPr>
                  <w:tcW w:w="1667" w:type="pct"/>
                </w:tcPr>
                <w:p w:rsidR="00156C02" w:rsidRPr="00485CA6" w:rsidRDefault="00156C02" w:rsidP="00330A1C">
                  <w:pPr>
                    <w:pStyle w:val="TableBodyText"/>
                    <w:jc w:val="left"/>
                  </w:pPr>
                </w:p>
              </w:tc>
              <w:tc>
                <w:tcPr>
                  <w:tcW w:w="1666" w:type="pct"/>
                </w:tcPr>
                <w:p w:rsidR="00156C02" w:rsidRPr="00485CA6" w:rsidRDefault="00485CA6" w:rsidP="00485CA6">
                  <w:pPr>
                    <w:pStyle w:val="TableBodyText"/>
                    <w:jc w:val="left"/>
                  </w:pPr>
                  <w:r w:rsidRPr="00485CA6">
                    <w:t>Information about household income</w:t>
                  </w:r>
                  <w:r w:rsidR="0047367F">
                    <w:t>.</w:t>
                  </w:r>
                </w:p>
              </w:tc>
            </w:tr>
            <w:tr w:rsidR="00156C02" w:rsidTr="00330A1C">
              <w:tc>
                <w:tcPr>
                  <w:tcW w:w="1667" w:type="pct"/>
                </w:tcPr>
                <w:p w:rsidR="00156C02" w:rsidRPr="00485CA6" w:rsidRDefault="000A416C" w:rsidP="0047367F">
                  <w:pPr>
                    <w:pStyle w:val="TableBodyText"/>
                    <w:numPr>
                      <w:ilvl w:val="0"/>
                      <w:numId w:val="26"/>
                    </w:numPr>
                    <w:jc w:val="left"/>
                  </w:pPr>
                  <w:r>
                    <w:t>s</w:t>
                  </w:r>
                  <w:r w:rsidR="00156C02" w:rsidRPr="00485CA6">
                    <w:t>uperannuation contributions</w:t>
                  </w:r>
                </w:p>
              </w:tc>
              <w:tc>
                <w:tcPr>
                  <w:tcW w:w="1667" w:type="pct"/>
                </w:tcPr>
                <w:p w:rsidR="00156C02" w:rsidRPr="00485CA6" w:rsidRDefault="00156C02" w:rsidP="00330A1C">
                  <w:pPr>
                    <w:pStyle w:val="TableBodyText"/>
                    <w:jc w:val="left"/>
                  </w:pPr>
                </w:p>
              </w:tc>
              <w:tc>
                <w:tcPr>
                  <w:tcW w:w="1666" w:type="pct"/>
                </w:tcPr>
                <w:p w:rsidR="00156C02" w:rsidRPr="00485CA6" w:rsidRDefault="00485CA6" w:rsidP="00330A1C">
                  <w:pPr>
                    <w:pStyle w:val="TableBodyText"/>
                    <w:jc w:val="left"/>
                  </w:pPr>
                  <w:r w:rsidRPr="00485CA6">
                    <w:t>Information about expected retirement incomes</w:t>
                  </w:r>
                  <w:r w:rsidR="0047367F">
                    <w:t>.</w:t>
                  </w:r>
                </w:p>
              </w:tc>
            </w:tr>
            <w:tr w:rsidR="00485CA6" w:rsidTr="00330A1C">
              <w:tc>
                <w:tcPr>
                  <w:tcW w:w="1667" w:type="pct"/>
                </w:tcPr>
                <w:p w:rsidR="00485CA6" w:rsidRPr="00485CA6" w:rsidRDefault="000A416C" w:rsidP="0047367F">
                  <w:pPr>
                    <w:pStyle w:val="TableBodyText"/>
                    <w:numPr>
                      <w:ilvl w:val="0"/>
                      <w:numId w:val="26"/>
                    </w:numPr>
                    <w:jc w:val="left"/>
                  </w:pPr>
                  <w:r>
                    <w:t>c</w:t>
                  </w:r>
                  <w:r w:rsidR="00485CA6" w:rsidRPr="00485CA6">
                    <w:t>ompany debt</w:t>
                  </w:r>
                </w:p>
              </w:tc>
              <w:tc>
                <w:tcPr>
                  <w:tcW w:w="1667" w:type="pct"/>
                </w:tcPr>
                <w:p w:rsidR="00485CA6" w:rsidRPr="00485CA6" w:rsidRDefault="00485CA6" w:rsidP="00330A1C">
                  <w:pPr>
                    <w:pStyle w:val="TableBodyText"/>
                    <w:jc w:val="left"/>
                  </w:pPr>
                </w:p>
              </w:tc>
              <w:tc>
                <w:tcPr>
                  <w:tcW w:w="1666" w:type="pct"/>
                </w:tcPr>
                <w:p w:rsidR="00485CA6" w:rsidRPr="00485CA6" w:rsidRDefault="000A416C" w:rsidP="000A416C">
                  <w:pPr>
                    <w:pStyle w:val="TableBodyText"/>
                    <w:jc w:val="left"/>
                  </w:pPr>
                  <w:r>
                    <w:t>Financing structure</w:t>
                  </w:r>
                  <w:r w:rsidR="0047367F">
                    <w:t xml:space="preserve"> can </w:t>
                  </w:r>
                  <w:r>
                    <w:t>relate</w:t>
                  </w:r>
                  <w:r w:rsidR="0047367F">
                    <w:t xml:space="preserve"> to labour market </w:t>
                  </w:r>
                  <w:r>
                    <w:t>and</w:t>
                  </w:r>
                  <w:r w:rsidR="0047367F">
                    <w:t xml:space="preserve"> firm outcomes.</w:t>
                  </w:r>
                </w:p>
              </w:tc>
            </w:tr>
            <w:tr w:rsidR="00A1686C" w:rsidTr="00A1686C">
              <w:tc>
                <w:tcPr>
                  <w:tcW w:w="3334" w:type="pct"/>
                  <w:gridSpan w:val="2"/>
                </w:tcPr>
                <w:p w:rsidR="00A1686C" w:rsidRPr="00AF5159" w:rsidRDefault="00A1686C" w:rsidP="0083690A">
                  <w:pPr>
                    <w:pStyle w:val="TableColumnHeading"/>
                    <w:jc w:val="left"/>
                  </w:pPr>
                  <w:r w:rsidRPr="0083690A">
                    <w:rPr>
                      <w:b/>
                      <w:i w:val="0"/>
                    </w:rPr>
                    <w:t>Policy relevant  and available  from other  sources</w:t>
                  </w:r>
                </w:p>
              </w:tc>
              <w:tc>
                <w:tcPr>
                  <w:tcW w:w="1666" w:type="pct"/>
                </w:tcPr>
                <w:p w:rsidR="00A1686C" w:rsidRPr="00AF5159" w:rsidRDefault="00A1686C" w:rsidP="00330A1C">
                  <w:pPr>
                    <w:pStyle w:val="TableBodyText"/>
                    <w:jc w:val="left"/>
                  </w:pPr>
                </w:p>
              </w:tc>
            </w:tr>
            <w:tr w:rsidR="000A6265" w:rsidTr="00330A1C">
              <w:tc>
                <w:tcPr>
                  <w:tcW w:w="1667" w:type="pct"/>
                </w:tcPr>
                <w:p w:rsidR="000A6265" w:rsidRPr="00AF5159" w:rsidRDefault="000A6265" w:rsidP="00330A1C">
                  <w:pPr>
                    <w:pStyle w:val="TableBodyText"/>
                    <w:jc w:val="left"/>
                  </w:pPr>
                  <w:r w:rsidRPr="00AF5159">
                    <w:t>Educational attainment (employee</w:t>
                  </w:r>
                  <w:r>
                    <w:t xml:space="preserve"> variable</w:t>
                  </w:r>
                  <w:r w:rsidRPr="00AF5159">
                    <w:t>)</w:t>
                  </w:r>
                </w:p>
              </w:tc>
              <w:tc>
                <w:tcPr>
                  <w:tcW w:w="1667" w:type="pct"/>
                </w:tcPr>
                <w:p w:rsidR="000A6265" w:rsidRPr="00AF5159" w:rsidRDefault="000A6265" w:rsidP="00330A1C">
                  <w:pPr>
                    <w:pStyle w:val="TableBodyText"/>
                    <w:jc w:val="left"/>
                  </w:pPr>
                  <w:proofErr w:type="spellStart"/>
                  <w:r w:rsidRPr="00AF5159">
                    <w:t>HECS</w:t>
                  </w:r>
                  <w:proofErr w:type="spellEnd"/>
                  <w:r w:rsidRPr="00AF5159">
                    <w:t>/FEE HELP data</w:t>
                  </w:r>
                  <w:r>
                    <w:t>; or employee survey.</w:t>
                  </w:r>
                </w:p>
              </w:tc>
              <w:tc>
                <w:tcPr>
                  <w:tcW w:w="1666" w:type="pct"/>
                </w:tcPr>
                <w:p w:rsidR="000A6265" w:rsidRPr="00AF5159" w:rsidRDefault="000A6265" w:rsidP="00330A1C">
                  <w:pPr>
                    <w:pStyle w:val="TableBodyText"/>
                    <w:jc w:val="left"/>
                  </w:pPr>
                  <w:r>
                    <w:t>Estimate r</w:t>
                  </w:r>
                  <w:r w:rsidRPr="00AF5159">
                    <w:t>eturns to human capital</w:t>
                  </w:r>
                  <w:r w:rsidR="00103DAA">
                    <w:t>;</w:t>
                  </w:r>
                  <w:r>
                    <w:t xml:space="preserve"> </w:t>
                  </w:r>
                  <w:r w:rsidRPr="00AF5159">
                    <w:t>productivity effects of education</w:t>
                  </w:r>
                  <w:r w:rsidR="00103DAA">
                    <w:t>;</w:t>
                  </w:r>
                  <w:r>
                    <w:t xml:space="preserve"> </w:t>
                  </w:r>
                  <w:r w:rsidRPr="00AF5159">
                    <w:t>gender wage differentials</w:t>
                  </w:r>
                  <w:r>
                    <w:t>.</w:t>
                  </w:r>
                </w:p>
              </w:tc>
            </w:tr>
            <w:tr w:rsidR="000A6265" w:rsidTr="00330A1C">
              <w:tc>
                <w:tcPr>
                  <w:tcW w:w="1667" w:type="pct"/>
                </w:tcPr>
                <w:p w:rsidR="000A6265" w:rsidRPr="00AF5159" w:rsidRDefault="000A6265" w:rsidP="00330A1C">
                  <w:pPr>
                    <w:pStyle w:val="TableBodyText"/>
                    <w:jc w:val="left"/>
                  </w:pPr>
                  <w:r w:rsidRPr="00AF5159">
                    <w:t>Hours worked (employee</w:t>
                  </w:r>
                  <w:r>
                    <w:t xml:space="preserve"> variable</w:t>
                  </w:r>
                  <w:r w:rsidRPr="00AF5159">
                    <w:t>)</w:t>
                  </w:r>
                </w:p>
              </w:tc>
              <w:tc>
                <w:tcPr>
                  <w:tcW w:w="1667" w:type="pct"/>
                </w:tcPr>
                <w:p w:rsidR="000A6265" w:rsidRPr="00AF5159" w:rsidRDefault="00332D4B" w:rsidP="00330A1C">
                  <w:pPr>
                    <w:pStyle w:val="TableBodyText"/>
                    <w:jc w:val="left"/>
                  </w:pPr>
                  <w:r>
                    <w:t>S</w:t>
                  </w:r>
                  <w:r w:rsidR="000A6265" w:rsidRPr="00AF5159">
                    <w:t xml:space="preserve">urvey </w:t>
                  </w:r>
                  <w:r>
                    <w:t>(</w:t>
                  </w:r>
                  <w:r w:rsidR="000A6265" w:rsidRPr="00AF5159">
                    <w:t>or single-touch payroll in future</w:t>
                  </w:r>
                  <w:r>
                    <w:t>)</w:t>
                  </w:r>
                </w:p>
              </w:tc>
              <w:tc>
                <w:tcPr>
                  <w:tcW w:w="1666" w:type="pct"/>
                </w:tcPr>
                <w:p w:rsidR="000A6265" w:rsidRPr="00AF5159" w:rsidRDefault="00103DAA" w:rsidP="00330A1C">
                  <w:pPr>
                    <w:pStyle w:val="TableBodyText"/>
                    <w:jc w:val="left"/>
                  </w:pPr>
                  <w:r>
                    <w:t>C</w:t>
                  </w:r>
                  <w:r w:rsidR="000A6265" w:rsidRPr="00AF5159">
                    <w:t>alculation of hourly wages</w:t>
                  </w:r>
                  <w:r>
                    <w:t>;</w:t>
                  </w:r>
                  <w:r w:rsidR="000A6265" w:rsidRPr="00AF5159">
                    <w:t xml:space="preserve"> labour productivity analysis</w:t>
                  </w:r>
                  <w:r>
                    <w:t>;</w:t>
                  </w:r>
                  <w:r w:rsidR="000A6265" w:rsidRPr="00AF5159">
                    <w:t xml:space="preserve"> returns to education</w:t>
                  </w:r>
                  <w:r w:rsidR="000A6265">
                    <w:t xml:space="preserve"> </w:t>
                  </w:r>
                  <w:r w:rsidR="000A6265" w:rsidRPr="00AF5159">
                    <w:t>identification of low paid workers.</w:t>
                  </w:r>
                </w:p>
              </w:tc>
            </w:tr>
            <w:tr w:rsidR="000A6265" w:rsidTr="00330A1C">
              <w:tc>
                <w:tcPr>
                  <w:tcW w:w="1667" w:type="pct"/>
                </w:tcPr>
                <w:p w:rsidR="000A6265" w:rsidRPr="00AF5159" w:rsidRDefault="000A6265" w:rsidP="00330A1C">
                  <w:pPr>
                    <w:pStyle w:val="TableBodyText"/>
                    <w:jc w:val="left"/>
                  </w:pPr>
                  <w:r w:rsidRPr="00AF5159">
                    <w:t>Method of determining pay (employee</w:t>
                  </w:r>
                  <w:r>
                    <w:t xml:space="preserve"> variable</w:t>
                  </w:r>
                  <w:r w:rsidRPr="00AF5159">
                    <w:t>)</w:t>
                  </w:r>
                </w:p>
              </w:tc>
              <w:tc>
                <w:tcPr>
                  <w:tcW w:w="1667" w:type="pct"/>
                </w:tcPr>
                <w:p w:rsidR="000A6265" w:rsidRPr="00AF5159" w:rsidRDefault="00332D4B" w:rsidP="00330A1C">
                  <w:pPr>
                    <w:pStyle w:val="TableBodyText"/>
                    <w:jc w:val="left"/>
                  </w:pPr>
                  <w:r>
                    <w:t>S</w:t>
                  </w:r>
                  <w:r w:rsidR="000A6265" w:rsidRPr="00AF5159">
                    <w:t xml:space="preserve">urvey </w:t>
                  </w:r>
                  <w:r>
                    <w:t>(</w:t>
                  </w:r>
                  <w:r w:rsidR="000A6265" w:rsidRPr="00AF5159">
                    <w:t>or single-touch payroll in future</w:t>
                  </w:r>
                  <w:r>
                    <w:t>)</w:t>
                  </w:r>
                </w:p>
              </w:tc>
              <w:tc>
                <w:tcPr>
                  <w:tcW w:w="1666" w:type="pct"/>
                </w:tcPr>
                <w:p w:rsidR="000A6265" w:rsidRPr="00AF5159" w:rsidRDefault="00332D4B" w:rsidP="00330A1C">
                  <w:pPr>
                    <w:pStyle w:val="TableBodyText"/>
                    <w:jc w:val="left"/>
                  </w:pPr>
                  <w:r>
                    <w:t>Estimate</w:t>
                  </w:r>
                  <w:r w:rsidR="000A6265">
                    <w:t xml:space="preserve"> e</w:t>
                  </w:r>
                  <w:r w:rsidR="000A6265" w:rsidRPr="00AF5159">
                    <w:t xml:space="preserve">mployment and income effects of </w:t>
                  </w:r>
                  <w:r>
                    <w:t>changes to m</w:t>
                  </w:r>
                  <w:r w:rsidR="000A6265" w:rsidRPr="00AF5159">
                    <w:t xml:space="preserve">inimum </w:t>
                  </w:r>
                  <w:r>
                    <w:t>w</w:t>
                  </w:r>
                  <w:r w:rsidR="000A6265" w:rsidRPr="00AF5159">
                    <w:t>age</w:t>
                  </w:r>
                  <w:r>
                    <w:t>s and</w:t>
                  </w:r>
                  <w:r w:rsidR="000A6265" w:rsidRPr="00AF5159">
                    <w:t xml:space="preserve"> </w:t>
                  </w:r>
                  <w:r>
                    <w:t>a</w:t>
                  </w:r>
                  <w:r w:rsidR="000A6265" w:rsidRPr="00AF5159">
                    <w:t>ward</w:t>
                  </w:r>
                  <w:r>
                    <w:t>s</w:t>
                  </w:r>
                  <w:r w:rsidR="0047367F">
                    <w:t>.</w:t>
                  </w:r>
                </w:p>
              </w:tc>
            </w:tr>
            <w:tr w:rsidR="000A6265" w:rsidTr="00A06195">
              <w:tc>
                <w:tcPr>
                  <w:tcW w:w="1667" w:type="pct"/>
                </w:tcPr>
                <w:p w:rsidR="000A6265" w:rsidRPr="00AF5159" w:rsidRDefault="000A6265" w:rsidP="00330A1C">
                  <w:pPr>
                    <w:pStyle w:val="TableBodyText"/>
                    <w:jc w:val="left"/>
                  </w:pPr>
                  <w:r w:rsidRPr="00AF5159">
                    <w:t>Transfer payments, job services data (employee</w:t>
                  </w:r>
                  <w:r>
                    <w:t xml:space="preserve"> variable</w:t>
                  </w:r>
                  <w:r w:rsidRPr="00AF5159">
                    <w:t>)</w:t>
                  </w:r>
                </w:p>
              </w:tc>
              <w:tc>
                <w:tcPr>
                  <w:tcW w:w="1667" w:type="pct"/>
                </w:tcPr>
                <w:p w:rsidR="000A6265" w:rsidRPr="00AF5159" w:rsidRDefault="000A6265" w:rsidP="00330A1C">
                  <w:pPr>
                    <w:pStyle w:val="TableBodyText"/>
                    <w:jc w:val="left"/>
                  </w:pPr>
                  <w:r w:rsidRPr="00AF5159">
                    <w:t xml:space="preserve">Link </w:t>
                  </w:r>
                  <w:proofErr w:type="spellStart"/>
                  <w:r>
                    <w:t>LEED</w:t>
                  </w:r>
                  <w:proofErr w:type="spellEnd"/>
                  <w:r>
                    <w:t xml:space="preserve"> </w:t>
                  </w:r>
                  <w:r w:rsidRPr="00AF5159">
                    <w:t xml:space="preserve">with </w:t>
                  </w:r>
                  <w:proofErr w:type="spellStart"/>
                  <w:r w:rsidRPr="00AF5159">
                    <w:t>DSS</w:t>
                  </w:r>
                  <w:proofErr w:type="spellEnd"/>
                  <w:r w:rsidRPr="00AF5159">
                    <w:t xml:space="preserve"> Research Evaluation Database</w:t>
                  </w:r>
                  <w:r w:rsidR="00CA06E7" w:rsidRPr="00FE0C5C">
                    <w:rPr>
                      <w:rStyle w:val="NoteLabel"/>
                    </w:rPr>
                    <w:t>a</w:t>
                  </w:r>
                </w:p>
              </w:tc>
              <w:tc>
                <w:tcPr>
                  <w:tcW w:w="1666" w:type="pct"/>
                </w:tcPr>
                <w:p w:rsidR="000A6265" w:rsidRPr="00AF5159" w:rsidRDefault="000A6265" w:rsidP="00330A1C">
                  <w:pPr>
                    <w:pStyle w:val="TableBodyText"/>
                    <w:jc w:val="left"/>
                  </w:pPr>
                  <w:r>
                    <w:t>Social p</w:t>
                  </w:r>
                  <w:r w:rsidRPr="00AF5159">
                    <w:t>olicy and program evaluation (</w:t>
                  </w:r>
                  <w:proofErr w:type="spellStart"/>
                  <w:r w:rsidRPr="00AF5159">
                    <w:t>eg</w:t>
                  </w:r>
                  <w:proofErr w:type="spellEnd"/>
                  <w:r w:rsidRPr="00AF5159">
                    <w:t>. How effective is job search assista</w:t>
                  </w:r>
                  <w:r>
                    <w:t xml:space="preserve">nce in helping people to achieve ongoing/ meaningful </w:t>
                  </w:r>
                  <w:r w:rsidRPr="00AF5159">
                    <w:t>employment?)</w:t>
                  </w:r>
                  <w:r w:rsidR="0047367F">
                    <w:t>.</w:t>
                  </w:r>
                </w:p>
              </w:tc>
            </w:tr>
            <w:tr w:rsidR="000A6265" w:rsidTr="00A06195">
              <w:tc>
                <w:tcPr>
                  <w:tcW w:w="1667" w:type="pct"/>
                  <w:tcBorders>
                    <w:bottom w:val="single" w:sz="6" w:space="0" w:color="BFBFBF"/>
                  </w:tcBorders>
                </w:tcPr>
                <w:p w:rsidR="000A6265" w:rsidRPr="00AF5159" w:rsidRDefault="00330A1C" w:rsidP="00330A1C">
                  <w:pPr>
                    <w:pStyle w:val="TableBodyText"/>
                    <w:jc w:val="left"/>
                  </w:pPr>
                  <w:r>
                    <w:t>Variable identifying new companies that arise through either mergers or acquisitions</w:t>
                  </w:r>
                </w:p>
              </w:tc>
              <w:tc>
                <w:tcPr>
                  <w:tcW w:w="1667" w:type="pct"/>
                  <w:tcBorders>
                    <w:bottom w:val="single" w:sz="6" w:space="0" w:color="BFBFBF"/>
                  </w:tcBorders>
                </w:tcPr>
                <w:p w:rsidR="000A6265" w:rsidRPr="00AF5159" w:rsidRDefault="000A6265" w:rsidP="00330A1C">
                  <w:pPr>
                    <w:pStyle w:val="TableBodyText"/>
                    <w:jc w:val="left"/>
                  </w:pPr>
                  <w:r w:rsidRPr="00AF5159">
                    <w:t>Integrat</w:t>
                  </w:r>
                  <w:r w:rsidR="00C6589A">
                    <w:t xml:space="preserve">e with </w:t>
                  </w:r>
                  <w:proofErr w:type="spellStart"/>
                  <w:r w:rsidRPr="00AF5159">
                    <w:t>ASIC</w:t>
                  </w:r>
                  <w:proofErr w:type="spellEnd"/>
                  <w:r w:rsidRPr="00AF5159">
                    <w:t xml:space="preserve"> mergers and acquisitions data </w:t>
                  </w:r>
                </w:p>
              </w:tc>
              <w:tc>
                <w:tcPr>
                  <w:tcW w:w="1666" w:type="pct"/>
                  <w:tcBorders>
                    <w:bottom w:val="single" w:sz="6" w:space="0" w:color="BFBFBF"/>
                  </w:tcBorders>
                </w:tcPr>
                <w:p w:rsidR="000A6265" w:rsidRPr="00AF5159" w:rsidRDefault="000A6265" w:rsidP="00330A1C">
                  <w:pPr>
                    <w:pStyle w:val="TableBodyText"/>
                    <w:jc w:val="left"/>
                  </w:pPr>
                  <w:r w:rsidRPr="00AF5159">
                    <w:t xml:space="preserve">Identify sources of </w:t>
                  </w:r>
                  <w:r>
                    <w:t xml:space="preserve">business and employment </w:t>
                  </w:r>
                  <w:r w:rsidRPr="00AF5159">
                    <w:t>growth</w:t>
                  </w:r>
                  <w:r w:rsidR="0047367F">
                    <w:t>.</w:t>
                  </w:r>
                </w:p>
              </w:tc>
            </w:tr>
          </w:tbl>
          <w:p w:rsidR="000A6265" w:rsidRDefault="000A6265" w:rsidP="001051E6">
            <w:pPr>
              <w:pStyle w:val="Box"/>
            </w:pPr>
          </w:p>
        </w:tc>
      </w:tr>
      <w:tr w:rsidR="00330A1C" w:rsidTr="001051E6">
        <w:trPr>
          <w:cantSplit/>
        </w:trPr>
        <w:tc>
          <w:tcPr>
            <w:tcW w:w="8771" w:type="dxa"/>
            <w:tcBorders>
              <w:top w:val="nil"/>
              <w:left w:val="nil"/>
              <w:bottom w:val="nil"/>
              <w:right w:val="nil"/>
            </w:tcBorders>
            <w:shd w:val="clear" w:color="auto" w:fill="auto"/>
          </w:tcPr>
          <w:p w:rsidR="00330A1C" w:rsidRPr="00CA06E7" w:rsidRDefault="00330A1C" w:rsidP="005039B1">
            <w:pPr>
              <w:pStyle w:val="Note"/>
              <w:rPr>
                <w:rStyle w:val="NoteLabel"/>
                <w:b w:val="0"/>
                <w:position w:val="0"/>
              </w:rPr>
            </w:pPr>
            <w:r w:rsidRPr="00CA06E7">
              <w:rPr>
                <w:rStyle w:val="NoteLabel"/>
              </w:rPr>
              <w:t>a</w:t>
            </w:r>
            <w:r w:rsidRPr="00330A1C">
              <w:t xml:space="preserve"> </w:t>
            </w:r>
            <w:r>
              <w:t>Personal income tax data is supplied to the ABS with a Scrambled Tax File Number (</w:t>
            </w:r>
            <w:proofErr w:type="spellStart"/>
            <w:r>
              <w:t>STFN</w:t>
            </w:r>
            <w:proofErr w:type="spellEnd"/>
            <w:r>
              <w:t xml:space="preserve">), </w:t>
            </w:r>
            <w:r w:rsidR="009753AB">
              <w:t>which uniquely identifies</w:t>
            </w:r>
            <w:r>
              <w:t xml:space="preserve"> employees. </w:t>
            </w:r>
            <w:r w:rsidR="00CA06E7">
              <w:t xml:space="preserve">The </w:t>
            </w:r>
            <w:proofErr w:type="spellStart"/>
            <w:r w:rsidR="00CA06E7">
              <w:t>STFN</w:t>
            </w:r>
            <w:proofErr w:type="spellEnd"/>
            <w:r w:rsidR="00CA06E7">
              <w:t xml:space="preserve"> is generated by the </w:t>
            </w:r>
            <w:proofErr w:type="spellStart"/>
            <w:r w:rsidR="00CA06E7">
              <w:t>ATO</w:t>
            </w:r>
            <w:proofErr w:type="spellEnd"/>
            <w:r w:rsidR="00CA06E7">
              <w:t xml:space="preserve"> before the PIT data is provided to the ABS. </w:t>
            </w:r>
            <w:r w:rsidR="002454B5">
              <w:t>Deterministically l</w:t>
            </w:r>
            <w:r>
              <w:t xml:space="preserve">inking the Foundation </w:t>
            </w:r>
            <w:proofErr w:type="spellStart"/>
            <w:r>
              <w:t>LEED</w:t>
            </w:r>
            <w:proofErr w:type="spellEnd"/>
            <w:r>
              <w:t xml:space="preserve"> data with other employee-level data would require that the </w:t>
            </w:r>
            <w:proofErr w:type="spellStart"/>
            <w:r>
              <w:t>ATO</w:t>
            </w:r>
            <w:proofErr w:type="spellEnd"/>
            <w:r>
              <w:t xml:space="preserve"> </w:t>
            </w:r>
            <w:r w:rsidR="009753AB">
              <w:t>reproduce the</w:t>
            </w:r>
            <w:r>
              <w:t xml:space="preserve"> </w:t>
            </w:r>
            <w:proofErr w:type="spellStart"/>
            <w:r>
              <w:t>STFN</w:t>
            </w:r>
            <w:proofErr w:type="spellEnd"/>
            <w:r>
              <w:t xml:space="preserve"> for these other data</w:t>
            </w:r>
            <w:r w:rsidR="00CA06E7">
              <w:t xml:space="preserve"> sources</w:t>
            </w:r>
            <w:r>
              <w:t>.</w:t>
            </w:r>
            <w:r w:rsidR="0071692C">
              <w:t xml:space="preserve"> Probabilistic linking of records is possible, but is likely to be less robust, and more expensive.</w:t>
            </w:r>
          </w:p>
        </w:tc>
      </w:tr>
      <w:tr w:rsidR="000A6265" w:rsidTr="001051E6">
        <w:trPr>
          <w:cantSplit/>
        </w:trPr>
        <w:tc>
          <w:tcPr>
            <w:tcW w:w="8771" w:type="dxa"/>
            <w:tcBorders>
              <w:top w:val="nil"/>
              <w:left w:val="nil"/>
              <w:bottom w:val="single" w:sz="6" w:space="0" w:color="78A22F"/>
              <w:right w:val="nil"/>
            </w:tcBorders>
            <w:shd w:val="clear" w:color="auto" w:fill="auto"/>
          </w:tcPr>
          <w:p w:rsidR="000A6265" w:rsidRDefault="000A6265" w:rsidP="001051E6">
            <w:pPr>
              <w:pStyle w:val="Box"/>
              <w:spacing w:before="0" w:line="120" w:lineRule="exact"/>
            </w:pPr>
          </w:p>
        </w:tc>
      </w:tr>
      <w:tr w:rsidR="000A6265" w:rsidRPr="000863A5" w:rsidTr="001051E6">
        <w:tc>
          <w:tcPr>
            <w:tcW w:w="8771" w:type="dxa"/>
            <w:tcBorders>
              <w:top w:val="single" w:sz="6" w:space="0" w:color="78A22F"/>
              <w:left w:val="nil"/>
              <w:bottom w:val="nil"/>
              <w:right w:val="nil"/>
            </w:tcBorders>
          </w:tcPr>
          <w:p w:rsidR="000A6265" w:rsidRPr="00626D32" w:rsidRDefault="000A6265" w:rsidP="001051E6">
            <w:pPr>
              <w:pStyle w:val="BoxSpaceBelow"/>
            </w:pPr>
          </w:p>
        </w:tc>
      </w:tr>
    </w:tbl>
    <w:p w:rsidR="004A4298" w:rsidRDefault="004A4298">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A4298" w:rsidTr="00916DF3">
        <w:tc>
          <w:tcPr>
            <w:tcW w:w="8771" w:type="dxa"/>
            <w:tcBorders>
              <w:top w:val="single" w:sz="6" w:space="0" w:color="78A22F"/>
              <w:left w:val="nil"/>
              <w:bottom w:val="nil"/>
              <w:right w:val="nil"/>
            </w:tcBorders>
            <w:shd w:val="clear" w:color="auto" w:fill="F2F2F2"/>
          </w:tcPr>
          <w:p w:rsidR="004A4298" w:rsidRDefault="004A4298" w:rsidP="00210BA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E10287">
              <w:rPr>
                <w:b w:val="0"/>
                <w:noProof/>
              </w:rPr>
              <w:t>2</w:t>
            </w:r>
            <w:r>
              <w:rPr>
                <w:b w:val="0"/>
              </w:rPr>
              <w:fldChar w:fldCharType="end"/>
            </w:r>
            <w:r>
              <w:tab/>
            </w:r>
            <w:r w:rsidR="00210BAE">
              <w:t xml:space="preserve">The potential of </w:t>
            </w:r>
            <w:r>
              <w:t>Single Touch Payroll</w:t>
            </w:r>
          </w:p>
        </w:tc>
      </w:tr>
      <w:tr w:rsidR="004A4298" w:rsidTr="00916DF3">
        <w:trPr>
          <w:cantSplit/>
        </w:trPr>
        <w:tc>
          <w:tcPr>
            <w:tcW w:w="8771" w:type="dxa"/>
            <w:tcBorders>
              <w:top w:val="nil"/>
              <w:left w:val="nil"/>
              <w:bottom w:val="nil"/>
              <w:right w:val="nil"/>
            </w:tcBorders>
            <w:shd w:val="clear" w:color="auto" w:fill="F2F2F2"/>
          </w:tcPr>
          <w:p w:rsidR="00210BAE" w:rsidRDefault="009F02C4" w:rsidP="000F55DC">
            <w:pPr>
              <w:pStyle w:val="Box"/>
              <w:tabs>
                <w:tab w:val="left" w:pos="1002"/>
              </w:tabs>
            </w:pPr>
            <w:r>
              <w:t xml:space="preserve">The </w:t>
            </w:r>
            <w:r w:rsidR="00210BAE">
              <w:t>Single Touch Payroll (</w:t>
            </w:r>
            <w:proofErr w:type="spellStart"/>
            <w:r w:rsidR="00210BAE">
              <w:t>STP</w:t>
            </w:r>
            <w:proofErr w:type="spellEnd"/>
            <w:r w:rsidR="00210BAE">
              <w:t xml:space="preserve">) </w:t>
            </w:r>
            <w:r>
              <w:t xml:space="preserve">initiative </w:t>
            </w:r>
            <w:r w:rsidR="00210BAE">
              <w:t xml:space="preserve">is </w:t>
            </w:r>
            <w:r>
              <w:t xml:space="preserve">a proposed reform to the way businesses report </w:t>
            </w:r>
            <w:r w:rsidR="003352DD">
              <w:t xml:space="preserve">their </w:t>
            </w:r>
            <w:r>
              <w:t xml:space="preserve">tax and superannuation obligations to the </w:t>
            </w:r>
            <w:proofErr w:type="spellStart"/>
            <w:r>
              <w:t>ATO</w:t>
            </w:r>
            <w:proofErr w:type="spellEnd"/>
            <w:r>
              <w:t xml:space="preserve">. By integrating tax and superannuation reporting with </w:t>
            </w:r>
            <w:r w:rsidR="003352DD">
              <w:t xml:space="preserve">standard business reporting </w:t>
            </w:r>
            <w:r>
              <w:t>software</w:t>
            </w:r>
            <w:r w:rsidR="003352DD">
              <w:t xml:space="preserve">, </w:t>
            </w:r>
            <w:proofErr w:type="spellStart"/>
            <w:r w:rsidR="003352DD">
              <w:t>STP</w:t>
            </w:r>
            <w:proofErr w:type="spellEnd"/>
            <w:r w:rsidR="003352DD">
              <w:t xml:space="preserve"> is expected to substantially reduce duplication and record-keeping requirements faced by businesses</w:t>
            </w:r>
            <w:r w:rsidR="001C6A55">
              <w:t>. In turn, this is expected to ultimately lead to real-time reporting of payroll data</w:t>
            </w:r>
            <w:r w:rsidR="000F55DC">
              <w:t>:</w:t>
            </w:r>
          </w:p>
          <w:p w:rsidR="004A4298" w:rsidRDefault="00210BAE" w:rsidP="000F55DC">
            <w:pPr>
              <w:pStyle w:val="Quote"/>
              <w:rPr>
                <w:rFonts w:asciiTheme="minorHAnsi" w:hAnsiTheme="minorHAnsi" w:cstheme="minorHAnsi"/>
                <w:sz w:val="20"/>
              </w:rPr>
            </w:pPr>
            <w:r w:rsidRPr="000F55DC">
              <w:rPr>
                <w:rFonts w:asciiTheme="minorHAnsi" w:hAnsiTheme="minorHAnsi" w:cstheme="minorHAnsi"/>
                <w:sz w:val="20"/>
              </w:rPr>
              <w:t>Under Single Touch Payroll, employers’ accounting software will automatically report payroll information to the Australian Taxation Office (</w:t>
            </w:r>
            <w:proofErr w:type="spellStart"/>
            <w:r w:rsidRPr="000F55DC">
              <w:rPr>
                <w:rFonts w:asciiTheme="minorHAnsi" w:hAnsiTheme="minorHAnsi" w:cstheme="minorHAnsi"/>
                <w:sz w:val="20"/>
              </w:rPr>
              <w:t>ATO</w:t>
            </w:r>
            <w:proofErr w:type="spellEnd"/>
            <w:r w:rsidRPr="000F55DC">
              <w:rPr>
                <w:rFonts w:asciiTheme="minorHAnsi" w:hAnsiTheme="minorHAnsi" w:cstheme="minorHAnsi"/>
                <w:sz w:val="20"/>
              </w:rPr>
              <w:t>) when employees are paid.</w:t>
            </w:r>
            <w:r w:rsidR="003352DD">
              <w:rPr>
                <w:rFonts w:asciiTheme="minorHAnsi" w:hAnsiTheme="minorHAnsi" w:cstheme="minorHAnsi"/>
                <w:sz w:val="20"/>
              </w:rPr>
              <w:t xml:space="preserve"> </w:t>
            </w:r>
            <w:r w:rsidR="007F4943" w:rsidRPr="00D676E0">
              <w:rPr>
                <w:rFonts w:ascii="Arial" w:hAnsi="Arial" w:cs="Arial"/>
                <w:sz w:val="20"/>
                <w:szCs w:val="24"/>
              </w:rPr>
              <w:t>(Billson 2015)</w:t>
            </w:r>
          </w:p>
          <w:p w:rsidR="00B7476B" w:rsidRDefault="001C6A55" w:rsidP="000F55DC">
            <w:pPr>
              <w:pStyle w:val="Box"/>
            </w:pPr>
            <w:proofErr w:type="spellStart"/>
            <w:r w:rsidRPr="001C6A55">
              <w:t>STP</w:t>
            </w:r>
            <w:proofErr w:type="spellEnd"/>
            <w:r w:rsidRPr="001C6A55">
              <w:t xml:space="preserve"> </w:t>
            </w:r>
            <w:r>
              <w:t xml:space="preserve">has tremendous potential as a source of </w:t>
            </w:r>
            <w:r w:rsidRPr="001C6A55">
              <w:t>employment-related data</w:t>
            </w:r>
            <w:r w:rsidR="007A3F8F">
              <w:t xml:space="preserve">. </w:t>
            </w:r>
            <w:r w:rsidR="00876E70">
              <w:t xml:space="preserve">As noted in the </w:t>
            </w:r>
            <w:proofErr w:type="spellStart"/>
            <w:r w:rsidR="00876E70">
              <w:t>STP</w:t>
            </w:r>
            <w:proofErr w:type="spellEnd"/>
            <w:r w:rsidR="00876E70">
              <w:t xml:space="preserve"> Regulation Impact Statement, the</w:t>
            </w:r>
            <w:r w:rsidR="007A3F8F">
              <w:t xml:space="preserve"> ABS has already recognised that </w:t>
            </w:r>
            <w:proofErr w:type="spellStart"/>
            <w:r w:rsidR="007A3F8F">
              <w:t>STP</w:t>
            </w:r>
            <w:proofErr w:type="spellEnd"/>
            <w:r w:rsidR="007A3F8F">
              <w:t xml:space="preserve"> could be used to identify turning points in the business cycle, and as a way of benchmarking employment survey data </w:t>
            </w:r>
            <w:r w:rsidR="007A3F8F" w:rsidRPr="000F55DC">
              <w:rPr>
                <w:rFonts w:cs="Arial"/>
                <w:szCs w:val="24"/>
              </w:rPr>
              <w:t>(</w:t>
            </w:r>
            <w:proofErr w:type="spellStart"/>
            <w:r w:rsidR="007A3F8F" w:rsidRPr="000F55DC">
              <w:rPr>
                <w:rFonts w:cs="Arial"/>
                <w:szCs w:val="24"/>
              </w:rPr>
              <w:t>ATO</w:t>
            </w:r>
            <w:proofErr w:type="spellEnd"/>
            <w:r w:rsidR="007A3F8F" w:rsidRPr="000F55DC">
              <w:rPr>
                <w:rFonts w:cs="Arial"/>
                <w:szCs w:val="24"/>
              </w:rPr>
              <w:t> 2015, p. 30)</w:t>
            </w:r>
            <w:r w:rsidR="007A3F8F">
              <w:t>.</w:t>
            </w:r>
          </w:p>
          <w:p w:rsidR="003352DD" w:rsidRPr="001C6A55" w:rsidRDefault="00B7476B" w:rsidP="00406C03">
            <w:pPr>
              <w:pStyle w:val="Box"/>
            </w:pPr>
            <w:proofErr w:type="spellStart"/>
            <w:r>
              <w:t>STP</w:t>
            </w:r>
            <w:proofErr w:type="spellEnd"/>
            <w:r>
              <w:t xml:space="preserve"> also </w:t>
            </w:r>
            <w:r w:rsidR="009D29BA">
              <w:t xml:space="preserve">offers </w:t>
            </w:r>
            <w:r w:rsidR="00406C03">
              <w:t>opportunities to improve</w:t>
            </w:r>
            <w:r>
              <w:t xml:space="preserve"> </w:t>
            </w:r>
            <w:r w:rsidR="009027B4">
              <w:t xml:space="preserve">future iterations of an Australian </w:t>
            </w:r>
            <w:proofErr w:type="spellStart"/>
            <w:r w:rsidR="000F55DC">
              <w:t>LEED</w:t>
            </w:r>
            <w:proofErr w:type="spellEnd"/>
            <w:r w:rsidR="000F55DC">
              <w:t>, given that it is closely linked to systems used to generate payslips for employees. Automated</w:t>
            </w:r>
            <w:r w:rsidR="001C6A55">
              <w:t xml:space="preserve"> collection of payroll data raises the possibility that </w:t>
            </w:r>
            <w:proofErr w:type="spellStart"/>
            <w:r w:rsidR="001C6A55">
              <w:t>STP</w:t>
            </w:r>
            <w:proofErr w:type="spellEnd"/>
            <w:r w:rsidR="001C6A55">
              <w:t xml:space="preserve"> could be </w:t>
            </w:r>
            <w:r w:rsidR="00876E70">
              <w:t xml:space="preserve">a valuable </w:t>
            </w:r>
            <w:r w:rsidR="001C6A55">
              <w:t xml:space="preserve">source of information about the hours individual employees work, </w:t>
            </w:r>
            <w:r>
              <w:t xml:space="preserve">whether they are casual or ongoing, </w:t>
            </w:r>
            <w:r w:rsidR="001C6A55">
              <w:t xml:space="preserve">and the </w:t>
            </w:r>
            <w:r w:rsidR="00897AFA">
              <w:t xml:space="preserve">industrial instruments </w:t>
            </w:r>
            <w:r>
              <w:t>by which their pay is set.</w:t>
            </w:r>
          </w:p>
        </w:tc>
      </w:tr>
      <w:tr w:rsidR="004A4298" w:rsidTr="00916DF3">
        <w:trPr>
          <w:cantSplit/>
        </w:trPr>
        <w:tc>
          <w:tcPr>
            <w:tcW w:w="8771" w:type="dxa"/>
            <w:tcBorders>
              <w:top w:val="nil"/>
              <w:left w:val="nil"/>
              <w:bottom w:val="single" w:sz="6" w:space="0" w:color="78A22F"/>
              <w:right w:val="nil"/>
            </w:tcBorders>
            <w:shd w:val="clear" w:color="auto" w:fill="F2F2F2"/>
          </w:tcPr>
          <w:p w:rsidR="004A4298" w:rsidRDefault="004A4298">
            <w:pPr>
              <w:pStyle w:val="Box"/>
              <w:spacing w:before="0" w:line="120" w:lineRule="exact"/>
            </w:pPr>
          </w:p>
        </w:tc>
      </w:tr>
      <w:tr w:rsidR="004A4298" w:rsidRPr="000863A5" w:rsidTr="00916DF3">
        <w:tc>
          <w:tcPr>
            <w:tcW w:w="8771" w:type="dxa"/>
            <w:tcBorders>
              <w:top w:val="single" w:sz="6" w:space="0" w:color="78A22F"/>
              <w:left w:val="nil"/>
              <w:bottom w:val="nil"/>
              <w:right w:val="nil"/>
            </w:tcBorders>
          </w:tcPr>
          <w:p w:rsidR="004A4298" w:rsidRPr="00626D32" w:rsidRDefault="004A4298" w:rsidP="00916DF3">
            <w:pPr>
              <w:pStyle w:val="BoxSpaceBelow"/>
            </w:pPr>
          </w:p>
        </w:tc>
      </w:tr>
    </w:tbl>
    <w:p w:rsidR="00927C63" w:rsidRDefault="00927C63" w:rsidP="00927C63">
      <w:pPr>
        <w:pStyle w:val="BodyText"/>
      </w:pPr>
      <w:r>
        <w:t>Other variables considered important on the employee side</w:t>
      </w:r>
      <w:r w:rsidR="00814345">
        <w:t xml:space="preserve"> are as follows</w:t>
      </w:r>
      <w:r>
        <w:t>:</w:t>
      </w:r>
    </w:p>
    <w:p w:rsidR="00927C63" w:rsidRDefault="00927C63" w:rsidP="00927C63">
      <w:pPr>
        <w:pStyle w:val="ListBullet"/>
      </w:pPr>
      <w:r>
        <w:t>A measure of highest e</w:t>
      </w:r>
      <w:r w:rsidR="000A6265">
        <w:t xml:space="preserve">ducational attainment and skill would provide </w:t>
      </w:r>
      <w:r w:rsidR="00814345">
        <w:t>a measure</w:t>
      </w:r>
      <w:r w:rsidR="000A6265">
        <w:t xml:space="preserve"> of employee human capital.</w:t>
      </w:r>
      <w:r>
        <w:t xml:space="preserve"> </w:t>
      </w:r>
      <w:r w:rsidR="00814345">
        <w:t>The</w:t>
      </w:r>
      <w:r>
        <w:t xml:space="preserve"> </w:t>
      </w:r>
      <w:proofErr w:type="spellStart"/>
      <w:r>
        <w:t>HECS</w:t>
      </w:r>
      <w:proofErr w:type="spellEnd"/>
      <w:r>
        <w:t xml:space="preserve">/FEE HELP data </w:t>
      </w:r>
      <w:r w:rsidR="00814345">
        <w:t>provides a source of this data for a substantial share of the workforce. A linked education-employment dataset</w:t>
      </w:r>
      <w:r w:rsidR="00136B0E">
        <w:t xml:space="preserve"> </w:t>
      </w:r>
      <w:r w:rsidR="00814345">
        <w:t>has value in its own right as it supports</w:t>
      </w:r>
      <w:r>
        <w:t xml:space="preserve"> assess</w:t>
      </w:r>
      <w:r w:rsidR="00814345">
        <w:t>ment of the</w:t>
      </w:r>
      <w:r>
        <w:t xml:space="preserve"> returns to public investments in tertiary education.</w:t>
      </w:r>
    </w:p>
    <w:p w:rsidR="000A6265" w:rsidRPr="00446AA5" w:rsidRDefault="000A6265" w:rsidP="000A6265">
      <w:pPr>
        <w:pStyle w:val="ListBullet"/>
      </w:pPr>
      <w:r w:rsidRPr="00446AA5">
        <w:t xml:space="preserve">Information about the </w:t>
      </w:r>
      <w:r>
        <w:t>method by which an</w:t>
      </w:r>
      <w:r w:rsidRPr="00446AA5">
        <w:t xml:space="preserve"> individual’s pay is determined would allow detailed examination of any association between </w:t>
      </w:r>
      <w:r w:rsidR="00814345">
        <w:t xml:space="preserve">the </w:t>
      </w:r>
      <w:r w:rsidRPr="00446AA5">
        <w:t>method of setting pay (</w:t>
      </w:r>
      <w:r w:rsidR="0026790E">
        <w:t xml:space="preserve">such as, </w:t>
      </w:r>
      <w:r w:rsidRPr="00446AA5">
        <w:t>National Minimum Wage, Mod</w:t>
      </w:r>
      <w:r w:rsidR="0026790E">
        <w:t xml:space="preserve">ern Award, Enterprise Agreement or </w:t>
      </w:r>
      <w:r w:rsidRPr="00446AA5">
        <w:t xml:space="preserve">Individual contract) and </w:t>
      </w:r>
      <w:r w:rsidR="007D1357">
        <w:t>employee</w:t>
      </w:r>
      <w:r w:rsidR="007D1357" w:rsidRPr="00446AA5">
        <w:t xml:space="preserve"> </w:t>
      </w:r>
      <w:r w:rsidRPr="00446AA5">
        <w:t xml:space="preserve">and firm outcomes. This would </w:t>
      </w:r>
      <w:r w:rsidR="00814345">
        <w:t xml:space="preserve">assist </w:t>
      </w:r>
      <w:r w:rsidR="00102A69">
        <w:t>i</w:t>
      </w:r>
      <w:r w:rsidR="00814345">
        <w:t>n the analysis of</w:t>
      </w:r>
      <w:r w:rsidR="00814345" w:rsidRPr="00446AA5">
        <w:t xml:space="preserve"> </w:t>
      </w:r>
      <w:r w:rsidRPr="00446AA5">
        <w:t xml:space="preserve">the employment effects of </w:t>
      </w:r>
      <w:r w:rsidR="00AF3381">
        <w:t xml:space="preserve">changes to the National Minimum Wage and </w:t>
      </w:r>
      <w:r w:rsidR="00BC71D2">
        <w:t xml:space="preserve">to </w:t>
      </w:r>
      <w:r w:rsidR="00AF3381">
        <w:t>Modern Awards, as reflected in the Fair Work Commission’s Annual Wage Review</w:t>
      </w:r>
      <w:r w:rsidR="00406C03">
        <w:t xml:space="preserve">. Such information </w:t>
      </w:r>
      <w:r w:rsidR="007D1357">
        <w:t>c</w:t>
      </w:r>
      <w:r w:rsidRPr="00446AA5">
        <w:t xml:space="preserve">ould </w:t>
      </w:r>
      <w:r w:rsidR="00406C03">
        <w:t>assist in the</w:t>
      </w:r>
      <w:r w:rsidRPr="00446AA5">
        <w:t xml:space="preserve"> </w:t>
      </w:r>
      <w:r w:rsidR="007D1357">
        <w:t xml:space="preserve">design </w:t>
      </w:r>
      <w:r w:rsidR="00406C03">
        <w:t xml:space="preserve">of future </w:t>
      </w:r>
      <w:r w:rsidRPr="00446AA5">
        <w:t>industrial relations policy.</w:t>
      </w:r>
      <w:r w:rsidRPr="000A6265">
        <w:t xml:space="preserve"> </w:t>
      </w:r>
      <w:r w:rsidR="00406C03">
        <w:t xml:space="preserve">Information on the nature of wage setting </w:t>
      </w:r>
      <w:r>
        <w:t xml:space="preserve">could be integrated with </w:t>
      </w:r>
      <w:proofErr w:type="spellStart"/>
      <w:r>
        <w:t>ATO</w:t>
      </w:r>
      <w:proofErr w:type="spellEnd"/>
      <w:r>
        <w:t xml:space="preserve"> data collections in the future with </w:t>
      </w:r>
      <w:r w:rsidR="007D1357">
        <w:t xml:space="preserve">the </w:t>
      </w:r>
      <w:r>
        <w:t xml:space="preserve">advent of </w:t>
      </w:r>
      <w:proofErr w:type="spellStart"/>
      <w:r w:rsidR="00A97E40">
        <w:t>STP</w:t>
      </w:r>
      <w:proofErr w:type="spellEnd"/>
      <w:r>
        <w:t xml:space="preserve"> </w:t>
      </w:r>
      <w:r w:rsidR="007F4943" w:rsidRPr="007F4943">
        <w:rPr>
          <w:szCs w:val="24"/>
        </w:rPr>
        <w:t>(Billson</w:t>
      </w:r>
      <w:r w:rsidR="007F4943" w:rsidRPr="007E2AA4">
        <w:rPr>
          <w:szCs w:val="24"/>
        </w:rPr>
        <w:t> 2015)</w:t>
      </w:r>
      <w:r>
        <w:t>.</w:t>
      </w:r>
    </w:p>
    <w:p w:rsidR="000A6265" w:rsidRPr="00446AA5" w:rsidRDefault="00786514" w:rsidP="000A6265">
      <w:pPr>
        <w:pStyle w:val="ListBullet"/>
      </w:pPr>
      <w:r>
        <w:t>Information about</w:t>
      </w:r>
      <w:r w:rsidR="000A6265" w:rsidRPr="00446AA5">
        <w:t xml:space="preserve"> transfer payment</w:t>
      </w:r>
      <w:r>
        <w:t>s</w:t>
      </w:r>
      <w:r w:rsidR="000A6265" w:rsidRPr="00446AA5">
        <w:t xml:space="preserve"> (such as </w:t>
      </w:r>
      <w:r w:rsidR="007D7646">
        <w:t xml:space="preserve">those </w:t>
      </w:r>
      <w:r w:rsidR="00710588">
        <w:t>included in the Research Evaluation Database</w:t>
      </w:r>
      <w:r w:rsidR="008509F5">
        <w:rPr>
          <w:rStyle w:val="FootnoteReference"/>
        </w:rPr>
        <w:footnoteReference w:id="6"/>
      </w:r>
      <w:r w:rsidR="000A6265" w:rsidRPr="00446AA5">
        <w:t>) would allow a better understanding of factors affecting transitions</w:t>
      </w:r>
      <w:r>
        <w:t xml:space="preserve"> between welfare and employment</w:t>
      </w:r>
      <w:r w:rsidR="000A6265" w:rsidRPr="00446AA5">
        <w:t xml:space="preserve">. In particular, it would be useful to see how clients of job </w:t>
      </w:r>
      <w:r w:rsidR="000A6265" w:rsidRPr="00446AA5">
        <w:lastRenderedPageBreak/>
        <w:t xml:space="preserve">search assistance services fare over time. This would allow the identification of circumstances when low paid employment serves as a ‘stepping stone’ to higher incomes, </w:t>
      </w:r>
      <w:r w:rsidR="007D1357">
        <w:t>and</w:t>
      </w:r>
      <w:r w:rsidR="007D1357" w:rsidRPr="00446AA5">
        <w:t xml:space="preserve"> </w:t>
      </w:r>
      <w:r w:rsidR="000A6265" w:rsidRPr="00446AA5">
        <w:t>when ‘cycling’ in and out of welfare payments is the result.</w:t>
      </w:r>
      <w:r w:rsidR="00485CA6">
        <w:t xml:space="preserve"> A </w:t>
      </w:r>
      <w:proofErr w:type="spellStart"/>
      <w:r w:rsidR="00485CA6">
        <w:t>LEED</w:t>
      </w:r>
      <w:proofErr w:type="spellEnd"/>
      <w:r w:rsidR="00485CA6">
        <w:t xml:space="preserve"> </w:t>
      </w:r>
      <w:r w:rsidR="00406C03">
        <w:t xml:space="preserve">would also </w:t>
      </w:r>
      <w:r w:rsidR="00485CA6">
        <w:t xml:space="preserve">allow </w:t>
      </w:r>
      <w:r w:rsidR="009D29BA">
        <w:t xml:space="preserve">the </w:t>
      </w:r>
      <w:r w:rsidR="00485CA6">
        <w:t xml:space="preserve">identification of </w:t>
      </w:r>
      <w:r w:rsidR="007D7646">
        <w:t xml:space="preserve">the </w:t>
      </w:r>
      <w:r w:rsidR="00485CA6">
        <w:t>characteristics of firms where career progression is/is not occurring.</w:t>
      </w:r>
      <w:r w:rsidR="00406C03">
        <w:t xml:space="preserve"> It would be an ideal tool for evaluating the effectiveness of the current proposals to address youth unemployment through subsidised work placement schemes.</w:t>
      </w:r>
    </w:p>
    <w:p w:rsidR="000A6265" w:rsidRPr="00446AA5" w:rsidRDefault="00786514" w:rsidP="000A6265">
      <w:pPr>
        <w:pStyle w:val="ListBullet"/>
      </w:pPr>
      <w:r>
        <w:t>I</w:t>
      </w:r>
      <w:r w:rsidR="000A6265" w:rsidRPr="00446AA5">
        <w:t xml:space="preserve">nformation about employer and employee superannuation contributions would facilitate </w:t>
      </w:r>
      <w:r w:rsidR="007D1357">
        <w:t xml:space="preserve">the analysis of </w:t>
      </w:r>
      <w:r w:rsidR="000A6265" w:rsidRPr="00446AA5">
        <w:t>the effects of change</w:t>
      </w:r>
      <w:r w:rsidR="007D1357">
        <w:t>s in superannuation policy</w:t>
      </w:r>
      <w:r w:rsidR="000A6265" w:rsidRPr="00446AA5">
        <w:t xml:space="preserve"> on worker behaviour and expected retirement incomes.</w:t>
      </w:r>
    </w:p>
    <w:p w:rsidR="00CE66DF" w:rsidRPr="005E18D7" w:rsidRDefault="00CE66DF" w:rsidP="00CE66DF">
      <w:pPr>
        <w:pStyle w:val="BodyText"/>
        <w:rPr>
          <w:spacing w:val="-2"/>
        </w:rPr>
      </w:pPr>
      <w:r w:rsidRPr="005E18D7">
        <w:rPr>
          <w:spacing w:val="-2"/>
        </w:rPr>
        <w:t xml:space="preserve">On the employer side, more information about the dynamics of firm creation and destruction </w:t>
      </w:r>
      <w:r w:rsidR="00710588" w:rsidRPr="005E18D7">
        <w:rPr>
          <w:spacing w:val="-2"/>
        </w:rPr>
        <w:t xml:space="preserve">is </w:t>
      </w:r>
      <w:r w:rsidRPr="005E18D7">
        <w:rPr>
          <w:spacing w:val="-2"/>
        </w:rPr>
        <w:t>considered important</w:t>
      </w:r>
      <w:r w:rsidR="00710588" w:rsidRPr="005E18D7">
        <w:rPr>
          <w:spacing w:val="-2"/>
        </w:rPr>
        <w:t xml:space="preserve"> by </w:t>
      </w:r>
      <w:proofErr w:type="spellStart"/>
      <w:r w:rsidR="00710588" w:rsidRPr="005E18D7">
        <w:rPr>
          <w:spacing w:val="-2"/>
        </w:rPr>
        <w:t>DIIS</w:t>
      </w:r>
      <w:proofErr w:type="spellEnd"/>
      <w:r w:rsidRPr="005E18D7">
        <w:rPr>
          <w:spacing w:val="-2"/>
        </w:rPr>
        <w:t>. At present it is not possible to distinguish between new firms that are the result of mergers</w:t>
      </w:r>
      <w:r w:rsidR="007D7646" w:rsidRPr="005E18D7">
        <w:rPr>
          <w:spacing w:val="-2"/>
        </w:rPr>
        <w:t>,</w:t>
      </w:r>
      <w:r w:rsidRPr="005E18D7">
        <w:rPr>
          <w:spacing w:val="-2"/>
        </w:rPr>
        <w:t xml:space="preserve"> acquisitions</w:t>
      </w:r>
      <w:r w:rsidR="007D7646" w:rsidRPr="005E18D7">
        <w:rPr>
          <w:spacing w:val="-2"/>
        </w:rPr>
        <w:t>, spin-offs or franchises</w:t>
      </w:r>
      <w:r w:rsidRPr="005E18D7">
        <w:rPr>
          <w:spacing w:val="-2"/>
        </w:rPr>
        <w:t xml:space="preserve"> </w:t>
      </w:r>
      <w:r w:rsidR="00D6441A" w:rsidRPr="005E18D7">
        <w:rPr>
          <w:spacing w:val="-2"/>
        </w:rPr>
        <w:t xml:space="preserve">and those </w:t>
      </w:r>
      <w:r w:rsidRPr="005E18D7">
        <w:rPr>
          <w:spacing w:val="-2"/>
        </w:rPr>
        <w:t xml:space="preserve">new firms that </w:t>
      </w:r>
      <w:r w:rsidR="007D7646" w:rsidRPr="005E18D7">
        <w:rPr>
          <w:spacing w:val="-2"/>
        </w:rPr>
        <w:t>might challenge incumbents, or that are innovative start-ups</w:t>
      </w:r>
      <w:r w:rsidRPr="005E18D7">
        <w:rPr>
          <w:spacing w:val="-2"/>
        </w:rPr>
        <w:t xml:space="preserve">. </w:t>
      </w:r>
      <w:r w:rsidR="007D7646" w:rsidRPr="005E18D7">
        <w:rPr>
          <w:spacing w:val="-2"/>
        </w:rPr>
        <w:t>T</w:t>
      </w:r>
      <w:r w:rsidRPr="005E18D7">
        <w:rPr>
          <w:spacing w:val="-2"/>
        </w:rPr>
        <w:t>h</w:t>
      </w:r>
      <w:r w:rsidR="007D7646" w:rsidRPr="005E18D7">
        <w:rPr>
          <w:spacing w:val="-2"/>
        </w:rPr>
        <w:t>ese</w:t>
      </w:r>
      <w:r w:rsidRPr="005E18D7">
        <w:rPr>
          <w:spacing w:val="-2"/>
        </w:rPr>
        <w:t xml:space="preserve"> distinction</w:t>
      </w:r>
      <w:r w:rsidR="007D7646" w:rsidRPr="005E18D7">
        <w:rPr>
          <w:spacing w:val="-2"/>
        </w:rPr>
        <w:t>s</w:t>
      </w:r>
      <w:r w:rsidRPr="005E18D7">
        <w:rPr>
          <w:spacing w:val="-2"/>
        </w:rPr>
        <w:t xml:space="preserve"> would also assist in the identification of</w:t>
      </w:r>
      <w:r w:rsidR="007D7646" w:rsidRPr="005E18D7">
        <w:rPr>
          <w:spacing w:val="-2"/>
        </w:rPr>
        <w:t xml:space="preserve"> where</w:t>
      </w:r>
      <w:r w:rsidRPr="005E18D7">
        <w:rPr>
          <w:spacing w:val="-2"/>
        </w:rPr>
        <w:t xml:space="preserve"> new jobs</w:t>
      </w:r>
      <w:r w:rsidR="007D7646" w:rsidRPr="005E18D7">
        <w:rPr>
          <w:spacing w:val="-2"/>
        </w:rPr>
        <w:t xml:space="preserve"> are emerging in the economy</w:t>
      </w:r>
      <w:r w:rsidRPr="005E18D7">
        <w:rPr>
          <w:spacing w:val="-2"/>
        </w:rPr>
        <w:t>.</w:t>
      </w:r>
    </w:p>
    <w:p w:rsidR="00CE66DF" w:rsidRPr="005E18D7" w:rsidRDefault="00CE66DF" w:rsidP="00CE66DF">
      <w:pPr>
        <w:pStyle w:val="BodyText"/>
        <w:rPr>
          <w:spacing w:val="-2"/>
        </w:rPr>
      </w:pPr>
      <w:r w:rsidRPr="005E18D7">
        <w:rPr>
          <w:spacing w:val="-2"/>
        </w:rPr>
        <w:t xml:space="preserve">Better use of the information already included in the </w:t>
      </w:r>
      <w:proofErr w:type="spellStart"/>
      <w:r w:rsidRPr="005E18D7">
        <w:rPr>
          <w:spacing w:val="-2"/>
        </w:rPr>
        <w:t>EABLD</w:t>
      </w:r>
      <w:proofErr w:type="spellEnd"/>
      <w:r w:rsidRPr="005E18D7">
        <w:rPr>
          <w:spacing w:val="-2"/>
        </w:rPr>
        <w:t xml:space="preserve"> would </w:t>
      </w:r>
      <w:r w:rsidR="00CB7C4D" w:rsidRPr="005E18D7">
        <w:rPr>
          <w:spacing w:val="-2"/>
        </w:rPr>
        <w:t xml:space="preserve">also </w:t>
      </w:r>
      <w:r w:rsidRPr="005E18D7">
        <w:rPr>
          <w:spacing w:val="-2"/>
        </w:rPr>
        <w:t xml:space="preserve">improve the applications of the </w:t>
      </w:r>
      <w:r w:rsidR="008E7746" w:rsidRPr="005E18D7">
        <w:rPr>
          <w:spacing w:val="-2"/>
        </w:rPr>
        <w:t xml:space="preserve">Foundation </w:t>
      </w:r>
      <w:proofErr w:type="spellStart"/>
      <w:r w:rsidRPr="005E18D7">
        <w:rPr>
          <w:spacing w:val="-2"/>
        </w:rPr>
        <w:t>LEED</w:t>
      </w:r>
      <w:proofErr w:type="spellEnd"/>
      <w:r w:rsidRPr="005E18D7">
        <w:rPr>
          <w:spacing w:val="-2"/>
        </w:rPr>
        <w:t xml:space="preserve">. For example, the </w:t>
      </w:r>
      <w:proofErr w:type="spellStart"/>
      <w:r w:rsidRPr="005E18D7">
        <w:rPr>
          <w:spacing w:val="-2"/>
        </w:rPr>
        <w:t>EABLD</w:t>
      </w:r>
      <w:proofErr w:type="spellEnd"/>
      <w:r w:rsidRPr="005E18D7">
        <w:rPr>
          <w:spacing w:val="-2"/>
        </w:rPr>
        <w:t xml:space="preserve"> includes detailed information about investment. </w:t>
      </w:r>
      <w:proofErr w:type="spellStart"/>
      <w:r w:rsidRPr="005E18D7">
        <w:rPr>
          <w:spacing w:val="-2"/>
        </w:rPr>
        <w:t>DIIS</w:t>
      </w:r>
      <w:proofErr w:type="spellEnd"/>
      <w:r w:rsidRPr="005E18D7">
        <w:rPr>
          <w:spacing w:val="-2"/>
        </w:rPr>
        <w:t xml:space="preserve"> note however, that the </w:t>
      </w:r>
      <w:proofErr w:type="spellStart"/>
      <w:r w:rsidRPr="005E18D7">
        <w:rPr>
          <w:spacing w:val="-2"/>
        </w:rPr>
        <w:t>EABLD</w:t>
      </w:r>
      <w:proofErr w:type="spellEnd"/>
      <w:r w:rsidRPr="005E18D7">
        <w:rPr>
          <w:spacing w:val="-2"/>
        </w:rPr>
        <w:t xml:space="preserve"> </w:t>
      </w:r>
      <w:r w:rsidR="002D5821" w:rsidRPr="005E18D7">
        <w:rPr>
          <w:spacing w:val="-2"/>
        </w:rPr>
        <w:t xml:space="preserve">does not include information about whether investment is financed by </w:t>
      </w:r>
      <w:r w:rsidRPr="005E18D7">
        <w:rPr>
          <w:spacing w:val="-2"/>
        </w:rPr>
        <w:t xml:space="preserve">debt </w:t>
      </w:r>
      <w:r w:rsidR="002D5821" w:rsidRPr="005E18D7">
        <w:rPr>
          <w:spacing w:val="-2"/>
        </w:rPr>
        <w:t xml:space="preserve">or </w:t>
      </w:r>
      <w:r w:rsidRPr="005E18D7">
        <w:rPr>
          <w:spacing w:val="-2"/>
        </w:rPr>
        <w:t>equity.</w:t>
      </w:r>
      <w:r w:rsidR="00CB7C4D" w:rsidRPr="005E18D7">
        <w:rPr>
          <w:spacing w:val="-2"/>
        </w:rPr>
        <w:t xml:space="preserve"> Further, </w:t>
      </w:r>
      <w:proofErr w:type="spellStart"/>
      <w:r w:rsidR="00CB7C4D" w:rsidRPr="005E18D7">
        <w:rPr>
          <w:spacing w:val="-2"/>
        </w:rPr>
        <w:t>Chien</w:t>
      </w:r>
      <w:proofErr w:type="spellEnd"/>
      <w:r w:rsidR="00CB7C4D" w:rsidRPr="005E18D7">
        <w:rPr>
          <w:spacing w:val="-2"/>
        </w:rPr>
        <w:t xml:space="preserve"> and Mayer (2015) note that the development of a measure of capital stock would be a us</w:t>
      </w:r>
      <w:r w:rsidR="00C50C12" w:rsidRPr="005E18D7">
        <w:rPr>
          <w:spacing w:val="-2"/>
        </w:rPr>
        <w:t xml:space="preserve">eful </w:t>
      </w:r>
      <w:r w:rsidR="002D5821" w:rsidRPr="005E18D7">
        <w:rPr>
          <w:spacing w:val="-2"/>
        </w:rPr>
        <w:t>addition</w:t>
      </w:r>
      <w:r w:rsidR="00CB7C4D" w:rsidRPr="005E18D7">
        <w:rPr>
          <w:spacing w:val="-2"/>
        </w:rPr>
        <w:t>.</w:t>
      </w:r>
    </w:p>
    <w:p w:rsidR="00062B6E" w:rsidRDefault="005253BE" w:rsidP="0010344D">
      <w:pPr>
        <w:pStyle w:val="BodyText"/>
      </w:pPr>
      <w:r w:rsidRPr="002B1F95">
        <w:t xml:space="preserve">In </w:t>
      </w:r>
      <w:r w:rsidR="00CB7C4D">
        <w:t xml:space="preserve">addition to developing the </w:t>
      </w:r>
      <w:r w:rsidR="008E7746">
        <w:t xml:space="preserve">Foundation </w:t>
      </w:r>
      <w:proofErr w:type="spellStart"/>
      <w:r w:rsidR="00CB7C4D">
        <w:t>LEED</w:t>
      </w:r>
      <w:proofErr w:type="spellEnd"/>
      <w:r w:rsidR="00CB7C4D">
        <w:t xml:space="preserve"> by extending it longitudinally and expanding the number of variables included, it is important </w:t>
      </w:r>
      <w:r w:rsidR="002D5821">
        <w:t xml:space="preserve">to make unit record data available to a broad set of </w:t>
      </w:r>
      <w:r w:rsidR="00CB7C4D">
        <w:t>researchers</w:t>
      </w:r>
      <w:r w:rsidR="002D5821">
        <w:t>, including non-government researchers</w:t>
      </w:r>
      <w:r w:rsidRPr="002B1F95">
        <w:t xml:space="preserve">. </w:t>
      </w:r>
      <w:r w:rsidR="000E3F0E">
        <w:t>Appropriate access</w:t>
      </w:r>
      <w:r w:rsidR="00062B6E">
        <w:t xml:space="preserve"> requires that unit record data is made available in a secure manner that allows the datasets to be examined in a flexible way, as required by the researcher. Existing ABS data laboratory conditions where all outputs are vetted by ABS staff</w:t>
      </w:r>
      <w:r w:rsidR="000E3F0E">
        <w:t xml:space="preserve"> </w:t>
      </w:r>
      <w:r w:rsidR="00062B6E">
        <w:t>can facilitate this access</w:t>
      </w:r>
      <w:r w:rsidR="000E3F0E">
        <w:t xml:space="preserve">. However, given the </w:t>
      </w:r>
      <w:r w:rsidR="00C01EBE">
        <w:t xml:space="preserve">rapid </w:t>
      </w:r>
      <w:r w:rsidR="000E3F0E">
        <w:t>progress of data analysis techniques</w:t>
      </w:r>
      <w:r w:rsidR="00C01EBE">
        <w:t xml:space="preserve"> in recent years</w:t>
      </w:r>
      <w:r w:rsidR="00062B6E">
        <w:t>, it is important that:</w:t>
      </w:r>
    </w:p>
    <w:p w:rsidR="00062B6E" w:rsidRDefault="00062B6E" w:rsidP="00BA3190">
      <w:pPr>
        <w:pStyle w:val="ListBullet"/>
      </w:pPr>
      <w:r>
        <w:t>the functionality of software not be limited beyond restrictions on networked communications.</w:t>
      </w:r>
    </w:p>
    <w:p w:rsidR="008B7807" w:rsidRDefault="00062B6E" w:rsidP="00BA3190">
      <w:pPr>
        <w:pStyle w:val="ListBullet"/>
      </w:pPr>
      <w:r>
        <w:t xml:space="preserve">researchers be able to access open source </w:t>
      </w:r>
      <w:r w:rsidR="00BA3190">
        <w:t xml:space="preserve">software </w:t>
      </w:r>
      <w:r>
        <w:t>and user-written software libraries.</w:t>
      </w:r>
    </w:p>
    <w:p w:rsidR="00CE400B" w:rsidRPr="005039B1" w:rsidRDefault="00C149B7" w:rsidP="005039B1">
      <w:pPr>
        <w:pStyle w:val="BodyText"/>
        <w:rPr>
          <w:szCs w:val="24"/>
        </w:rPr>
      </w:pPr>
      <w:r>
        <w:t>In a</w:t>
      </w:r>
      <w:r w:rsidR="00A44752" w:rsidRPr="002B1F95">
        <w:t xml:space="preserve">llowing access to </w:t>
      </w:r>
      <w:r w:rsidR="00A44752">
        <w:t xml:space="preserve">administrative data for research purposes other than those directly related to the administration of government programs or regulations, such as </w:t>
      </w:r>
      <w:r w:rsidR="00A44752" w:rsidRPr="002B1F95">
        <w:t>business tax</w:t>
      </w:r>
      <w:r w:rsidR="00A44752">
        <w:t>es,</w:t>
      </w:r>
      <w:r w:rsidR="00A44752" w:rsidRPr="002B1F95">
        <w:t xml:space="preserve"> </w:t>
      </w:r>
      <w:r w:rsidR="00D676E0">
        <w:t>agencies</w:t>
      </w:r>
      <w:r>
        <w:t xml:space="preserve"> </w:t>
      </w:r>
      <w:r w:rsidR="00A44752">
        <w:t xml:space="preserve">may face legislative barriers. However, the </w:t>
      </w:r>
      <w:r w:rsidR="00A44752" w:rsidRPr="002B1F95">
        <w:t xml:space="preserve">benefits </w:t>
      </w:r>
      <w:r w:rsidR="00A44752">
        <w:t>of research that can look at policy questions in a more complete way</w:t>
      </w:r>
      <w:r w:rsidR="00885B73">
        <w:t>,</w:t>
      </w:r>
      <w:r w:rsidR="00A44752">
        <w:t xml:space="preserve"> as is possible with a rich longitudinal </w:t>
      </w:r>
      <w:proofErr w:type="spellStart"/>
      <w:r w:rsidR="00A44752">
        <w:t>LEED</w:t>
      </w:r>
      <w:proofErr w:type="spellEnd"/>
      <w:r w:rsidR="00885B73">
        <w:t>,</w:t>
      </w:r>
      <w:r w:rsidR="00A44752">
        <w:t xml:space="preserve"> go well beyond the specific program areas that collect the data. The data </w:t>
      </w:r>
      <w:r w:rsidR="004E42EC">
        <w:t xml:space="preserve">availability </w:t>
      </w:r>
      <w:r w:rsidR="00A44752">
        <w:t xml:space="preserve">and use inquiry will be considering how best to address the legislative barriers to using administrative data for research purposes, as well as practical issues of </w:t>
      </w:r>
      <w:r w:rsidR="00885B73">
        <w:t>extraction, compilation</w:t>
      </w:r>
      <w:r w:rsidR="00A44752">
        <w:t xml:space="preserve">, curation and </w:t>
      </w:r>
      <w:r w:rsidR="00885B73">
        <w:t>researcher access and use</w:t>
      </w:r>
      <w:r w:rsidR="004E42EC">
        <w:t xml:space="preserve"> </w:t>
      </w:r>
      <w:r w:rsidR="004E42EC" w:rsidRPr="004E42EC">
        <w:rPr>
          <w:szCs w:val="24"/>
        </w:rPr>
        <w:t>(PC 2016)</w:t>
      </w:r>
      <w:r w:rsidR="00A44752">
        <w:t>.</w:t>
      </w:r>
      <w:r w:rsidR="00CE400B">
        <w:br w:type="page"/>
      </w:r>
    </w:p>
    <w:p w:rsidR="002D72AA" w:rsidRDefault="002D72AA" w:rsidP="002D72AA">
      <w:pPr>
        <w:pStyle w:val="Heading2"/>
      </w:pPr>
      <w:r>
        <w:lastRenderedPageBreak/>
        <w:t>Attachment A</w:t>
      </w:r>
    </w:p>
    <w:p w:rsidR="00F75CC0" w:rsidRDefault="00F75CC0" w:rsidP="00F75CC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F75CC0" w:rsidTr="00735BF3">
        <w:tc>
          <w:tcPr>
            <w:tcW w:w="8771" w:type="dxa"/>
            <w:tcBorders>
              <w:top w:val="single" w:sz="6" w:space="0" w:color="78A22F"/>
              <w:left w:val="nil"/>
              <w:bottom w:val="nil"/>
              <w:right w:val="nil"/>
            </w:tcBorders>
            <w:shd w:val="clear" w:color="auto" w:fill="auto"/>
          </w:tcPr>
          <w:p w:rsidR="00F75CC0" w:rsidRPr="00784A05" w:rsidRDefault="00F75CC0" w:rsidP="00735BF3">
            <w:pPr>
              <w:pStyle w:val="TableTitle"/>
            </w:pPr>
            <w:r>
              <w:t xml:space="preserve">External consultations about </w:t>
            </w:r>
            <w:r w:rsidR="0010036F">
              <w:t xml:space="preserve">improving </w:t>
            </w:r>
            <w:r>
              <w:t>linked employer-employee data</w:t>
            </w:r>
          </w:p>
        </w:tc>
      </w:tr>
      <w:tr w:rsidR="00F75CC0" w:rsidTr="00735BF3">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232"/>
              <w:gridCol w:w="4255"/>
            </w:tblGrid>
            <w:tr w:rsidR="00F75CC0" w:rsidTr="00735BF3">
              <w:tc>
                <w:tcPr>
                  <w:tcW w:w="2493" w:type="pct"/>
                  <w:tcBorders>
                    <w:top w:val="single" w:sz="6" w:space="0" w:color="BFBFBF"/>
                    <w:bottom w:val="single" w:sz="6" w:space="0" w:color="BFBFBF"/>
                  </w:tcBorders>
                  <w:shd w:val="clear" w:color="auto" w:fill="auto"/>
                  <w:tcMar>
                    <w:top w:w="28" w:type="dxa"/>
                  </w:tcMar>
                </w:tcPr>
                <w:p w:rsidR="00F75CC0" w:rsidRDefault="00F75CC0" w:rsidP="00735BF3">
                  <w:pPr>
                    <w:pStyle w:val="TableColumnHeading"/>
                    <w:jc w:val="left"/>
                  </w:pPr>
                  <w:r>
                    <w:t>Name</w:t>
                  </w:r>
                </w:p>
              </w:tc>
              <w:tc>
                <w:tcPr>
                  <w:tcW w:w="2507" w:type="pct"/>
                  <w:tcBorders>
                    <w:top w:val="single" w:sz="6" w:space="0" w:color="BFBFBF"/>
                    <w:bottom w:val="single" w:sz="6" w:space="0" w:color="BFBFBF"/>
                  </w:tcBorders>
                  <w:shd w:val="clear" w:color="auto" w:fill="auto"/>
                  <w:tcMar>
                    <w:top w:w="28" w:type="dxa"/>
                  </w:tcMar>
                </w:tcPr>
                <w:p w:rsidR="00F75CC0" w:rsidRDefault="00F75CC0" w:rsidP="005039B1">
                  <w:pPr>
                    <w:pStyle w:val="TableColumnHeading"/>
                    <w:ind w:right="28"/>
                    <w:jc w:val="left"/>
                  </w:pPr>
                  <w:r>
                    <w:t>Organisation</w:t>
                  </w:r>
                </w:p>
              </w:tc>
            </w:tr>
            <w:tr w:rsidR="00F75CC0" w:rsidTr="00735BF3">
              <w:tc>
                <w:tcPr>
                  <w:tcW w:w="2493" w:type="pct"/>
                  <w:tcBorders>
                    <w:top w:val="single" w:sz="6" w:space="0" w:color="BFBFBF"/>
                  </w:tcBorders>
                </w:tcPr>
                <w:p w:rsidR="00F75CC0" w:rsidRDefault="00F75CC0" w:rsidP="005039B1">
                  <w:pPr>
                    <w:pStyle w:val="TableUnitsRow"/>
                    <w:spacing w:before="80"/>
                    <w:jc w:val="left"/>
                  </w:pPr>
                  <w:proofErr w:type="spellStart"/>
                  <w:r>
                    <w:t>Dr.</w:t>
                  </w:r>
                  <w:proofErr w:type="spellEnd"/>
                  <w:r>
                    <w:t xml:space="preserve"> Luke Hendrickson</w:t>
                  </w:r>
                </w:p>
              </w:tc>
              <w:tc>
                <w:tcPr>
                  <w:tcW w:w="2507" w:type="pct"/>
                  <w:tcBorders>
                    <w:top w:val="single" w:sz="6" w:space="0" w:color="BFBFBF"/>
                  </w:tcBorders>
                </w:tcPr>
                <w:p w:rsidR="00F75CC0" w:rsidRDefault="00F75CC0" w:rsidP="005039B1">
                  <w:pPr>
                    <w:pStyle w:val="TableUnitsRow"/>
                    <w:spacing w:before="80"/>
                    <w:ind w:right="28"/>
                    <w:jc w:val="left"/>
                  </w:pPr>
                  <w:r>
                    <w:t>Department of Industry, Innovation and Science</w:t>
                  </w:r>
                </w:p>
              </w:tc>
            </w:tr>
            <w:tr w:rsidR="00F75CC0" w:rsidTr="00735BF3">
              <w:tc>
                <w:tcPr>
                  <w:tcW w:w="2493" w:type="pct"/>
                </w:tcPr>
                <w:p w:rsidR="00F75CC0" w:rsidRDefault="00F75CC0" w:rsidP="00735BF3">
                  <w:pPr>
                    <w:pStyle w:val="TableBodyText"/>
                    <w:jc w:val="left"/>
                  </w:pPr>
                  <w:proofErr w:type="spellStart"/>
                  <w:r>
                    <w:t>Dr.</w:t>
                  </w:r>
                  <w:proofErr w:type="spellEnd"/>
                  <w:r>
                    <w:t xml:space="preserve"> Greg Connolly</w:t>
                  </w:r>
                </w:p>
              </w:tc>
              <w:tc>
                <w:tcPr>
                  <w:tcW w:w="2507" w:type="pct"/>
                </w:tcPr>
                <w:p w:rsidR="00F75CC0" w:rsidRDefault="00F75CC0" w:rsidP="00735BF3">
                  <w:pPr>
                    <w:pStyle w:val="TableBodyText"/>
                    <w:ind w:right="28"/>
                    <w:jc w:val="left"/>
                  </w:pPr>
                  <w:r>
                    <w:t xml:space="preserve">Department of Employment </w:t>
                  </w:r>
                </w:p>
              </w:tc>
            </w:tr>
            <w:tr w:rsidR="00F75CC0" w:rsidTr="00735BF3">
              <w:tc>
                <w:tcPr>
                  <w:tcW w:w="2493" w:type="pct"/>
                </w:tcPr>
                <w:p w:rsidR="00F75CC0" w:rsidRDefault="00F75CC0" w:rsidP="00735BF3">
                  <w:pPr>
                    <w:pStyle w:val="TableBodyText"/>
                    <w:jc w:val="left"/>
                  </w:pPr>
                  <w:r>
                    <w:t>Workplace and Economic Research Section</w:t>
                  </w:r>
                </w:p>
              </w:tc>
              <w:tc>
                <w:tcPr>
                  <w:tcW w:w="2507" w:type="pct"/>
                </w:tcPr>
                <w:p w:rsidR="00F75CC0" w:rsidRDefault="00F75CC0" w:rsidP="00735BF3">
                  <w:pPr>
                    <w:pStyle w:val="TableBodyText"/>
                    <w:ind w:right="28"/>
                    <w:jc w:val="left"/>
                  </w:pPr>
                  <w:r>
                    <w:t>Fair Work Commission</w:t>
                  </w:r>
                </w:p>
              </w:tc>
            </w:tr>
            <w:tr w:rsidR="00F75CC0" w:rsidTr="00735BF3">
              <w:tc>
                <w:tcPr>
                  <w:tcW w:w="2493" w:type="pct"/>
                  <w:shd w:val="clear" w:color="auto" w:fill="auto"/>
                </w:tcPr>
                <w:p w:rsidR="00F75CC0" w:rsidRDefault="00F75CC0" w:rsidP="00735BF3">
                  <w:pPr>
                    <w:pStyle w:val="TableBodyText"/>
                    <w:jc w:val="left"/>
                  </w:pPr>
                  <w:proofErr w:type="spellStart"/>
                  <w:r>
                    <w:t>Prof.</w:t>
                  </w:r>
                  <w:proofErr w:type="spellEnd"/>
                  <w:r>
                    <w:t xml:space="preserve"> Mark Wooden</w:t>
                  </w:r>
                </w:p>
              </w:tc>
              <w:tc>
                <w:tcPr>
                  <w:tcW w:w="2507" w:type="pct"/>
                  <w:shd w:val="clear" w:color="auto" w:fill="auto"/>
                </w:tcPr>
                <w:p w:rsidR="00F75CC0" w:rsidRDefault="00F75CC0" w:rsidP="00735BF3">
                  <w:pPr>
                    <w:pStyle w:val="TableBodyText"/>
                    <w:ind w:right="28"/>
                    <w:jc w:val="left"/>
                  </w:pPr>
                  <w:r>
                    <w:t>Melbourne Institute of Applied Economic and Social Research</w:t>
                  </w:r>
                </w:p>
              </w:tc>
            </w:tr>
            <w:tr w:rsidR="00F75CC0" w:rsidTr="00CE66DF">
              <w:tc>
                <w:tcPr>
                  <w:tcW w:w="2493" w:type="pct"/>
                  <w:shd w:val="clear" w:color="auto" w:fill="auto"/>
                </w:tcPr>
                <w:p w:rsidR="00F75CC0" w:rsidRDefault="00F75CC0" w:rsidP="00735BF3">
                  <w:pPr>
                    <w:pStyle w:val="TableBodyText"/>
                    <w:jc w:val="left"/>
                  </w:pPr>
                  <w:proofErr w:type="spellStart"/>
                  <w:r>
                    <w:t>Prof.</w:t>
                  </w:r>
                  <w:proofErr w:type="spellEnd"/>
                  <w:r>
                    <w:t xml:space="preserve"> Elizabeth Webster</w:t>
                  </w:r>
                </w:p>
              </w:tc>
              <w:tc>
                <w:tcPr>
                  <w:tcW w:w="2507" w:type="pct"/>
                  <w:shd w:val="clear" w:color="auto" w:fill="auto"/>
                </w:tcPr>
                <w:p w:rsidR="00F75CC0" w:rsidRDefault="00F75CC0" w:rsidP="00735BF3">
                  <w:pPr>
                    <w:pStyle w:val="TableBodyText"/>
                    <w:ind w:right="28"/>
                    <w:jc w:val="left"/>
                  </w:pPr>
                  <w:r w:rsidRPr="003F699D">
                    <w:t>Centre for Transformative Innovation</w:t>
                  </w:r>
                  <w:r>
                    <w:t>, Swinburne University</w:t>
                  </w:r>
                </w:p>
              </w:tc>
            </w:tr>
            <w:tr w:rsidR="00CE66DF" w:rsidTr="00CE66DF">
              <w:tc>
                <w:tcPr>
                  <w:tcW w:w="2493" w:type="pct"/>
                  <w:shd w:val="clear" w:color="auto" w:fill="auto"/>
                </w:tcPr>
                <w:p w:rsidR="00CE66DF" w:rsidRDefault="008D1CB9" w:rsidP="00735BF3">
                  <w:pPr>
                    <w:pStyle w:val="TableBodyText"/>
                    <w:jc w:val="left"/>
                  </w:pPr>
                  <w:r>
                    <w:t xml:space="preserve">Vera </w:t>
                  </w:r>
                  <w:proofErr w:type="spellStart"/>
                  <w:r>
                    <w:t>Holenstein</w:t>
                  </w:r>
                  <w:proofErr w:type="spellEnd"/>
                </w:p>
              </w:tc>
              <w:tc>
                <w:tcPr>
                  <w:tcW w:w="2507" w:type="pct"/>
                  <w:shd w:val="clear" w:color="auto" w:fill="auto"/>
                </w:tcPr>
                <w:p w:rsidR="00CE66DF" w:rsidRPr="003F699D" w:rsidRDefault="003E4E5B" w:rsidP="00735BF3">
                  <w:pPr>
                    <w:pStyle w:val="TableBodyText"/>
                    <w:ind w:right="28"/>
                    <w:jc w:val="left"/>
                  </w:pPr>
                  <w:r>
                    <w:t xml:space="preserve">Macroeconomic </w:t>
                  </w:r>
                  <w:r w:rsidR="0026790E">
                    <w:t xml:space="preserve">Conditions Division, </w:t>
                  </w:r>
                  <w:r w:rsidR="00CE66DF">
                    <w:t>The Treasury</w:t>
                  </w:r>
                </w:p>
              </w:tc>
            </w:tr>
            <w:tr w:rsidR="00CE66DF" w:rsidTr="00CE66DF">
              <w:tc>
                <w:tcPr>
                  <w:tcW w:w="2493" w:type="pct"/>
                  <w:shd w:val="clear" w:color="auto" w:fill="auto"/>
                </w:tcPr>
                <w:p w:rsidR="00CE66DF" w:rsidRDefault="003E4E5B" w:rsidP="00735BF3">
                  <w:pPr>
                    <w:pStyle w:val="TableBodyText"/>
                    <w:jc w:val="left"/>
                  </w:pPr>
                  <w:r>
                    <w:t>Marty Robinson</w:t>
                  </w:r>
                </w:p>
              </w:tc>
              <w:tc>
                <w:tcPr>
                  <w:tcW w:w="2507" w:type="pct"/>
                  <w:shd w:val="clear" w:color="auto" w:fill="auto"/>
                </w:tcPr>
                <w:p w:rsidR="00CE66DF" w:rsidRPr="003F699D" w:rsidRDefault="003E4E5B" w:rsidP="00735BF3">
                  <w:pPr>
                    <w:pStyle w:val="TableBodyText"/>
                    <w:ind w:right="28"/>
                    <w:jc w:val="left"/>
                  </w:pPr>
                  <w:r>
                    <w:t xml:space="preserve">Social Policy Division, </w:t>
                  </w:r>
                  <w:r w:rsidR="00CE66DF">
                    <w:t>The Treasury</w:t>
                  </w:r>
                </w:p>
              </w:tc>
            </w:tr>
            <w:tr w:rsidR="00CE66DF" w:rsidTr="00735BF3">
              <w:tc>
                <w:tcPr>
                  <w:tcW w:w="2493" w:type="pct"/>
                  <w:tcBorders>
                    <w:bottom w:val="single" w:sz="6" w:space="0" w:color="BFBFBF"/>
                  </w:tcBorders>
                  <w:shd w:val="clear" w:color="auto" w:fill="auto"/>
                </w:tcPr>
                <w:p w:rsidR="00CE66DF" w:rsidRDefault="003E4E5B" w:rsidP="00735BF3">
                  <w:pPr>
                    <w:pStyle w:val="TableBodyText"/>
                    <w:jc w:val="left"/>
                  </w:pPr>
                  <w:r>
                    <w:t>Matt Maloney</w:t>
                  </w:r>
                </w:p>
              </w:tc>
              <w:tc>
                <w:tcPr>
                  <w:tcW w:w="2507" w:type="pct"/>
                  <w:tcBorders>
                    <w:bottom w:val="single" w:sz="6" w:space="0" w:color="BFBFBF"/>
                  </w:tcBorders>
                  <w:shd w:val="clear" w:color="auto" w:fill="auto"/>
                </w:tcPr>
                <w:p w:rsidR="00CE66DF" w:rsidRPr="003F699D" w:rsidRDefault="003E4E5B" w:rsidP="00735BF3">
                  <w:pPr>
                    <w:pStyle w:val="TableBodyText"/>
                    <w:ind w:right="28"/>
                    <w:jc w:val="left"/>
                  </w:pPr>
                  <w:r>
                    <w:t xml:space="preserve">Tax Analysis Division, </w:t>
                  </w:r>
                  <w:r w:rsidR="00CE66DF">
                    <w:t>The Treasury</w:t>
                  </w:r>
                </w:p>
              </w:tc>
            </w:tr>
          </w:tbl>
          <w:p w:rsidR="00F75CC0" w:rsidRDefault="00F75CC0" w:rsidP="00735BF3">
            <w:pPr>
              <w:pStyle w:val="Box"/>
            </w:pPr>
          </w:p>
        </w:tc>
      </w:tr>
      <w:tr w:rsidR="00F75CC0" w:rsidTr="00735BF3">
        <w:trPr>
          <w:cantSplit/>
        </w:trPr>
        <w:tc>
          <w:tcPr>
            <w:tcW w:w="8771" w:type="dxa"/>
            <w:tcBorders>
              <w:top w:val="nil"/>
              <w:left w:val="nil"/>
              <w:bottom w:val="single" w:sz="6" w:space="0" w:color="78A22F"/>
              <w:right w:val="nil"/>
            </w:tcBorders>
            <w:shd w:val="clear" w:color="auto" w:fill="auto"/>
          </w:tcPr>
          <w:p w:rsidR="00F75CC0" w:rsidRDefault="00F75CC0" w:rsidP="00735BF3">
            <w:pPr>
              <w:pStyle w:val="Box"/>
              <w:spacing w:before="0" w:line="120" w:lineRule="exact"/>
            </w:pPr>
          </w:p>
        </w:tc>
      </w:tr>
      <w:tr w:rsidR="00F75CC0" w:rsidRPr="000863A5" w:rsidTr="00735BF3">
        <w:tc>
          <w:tcPr>
            <w:tcW w:w="8771" w:type="dxa"/>
            <w:tcBorders>
              <w:top w:val="single" w:sz="6" w:space="0" w:color="78A22F"/>
              <w:left w:val="nil"/>
              <w:bottom w:val="nil"/>
              <w:right w:val="nil"/>
            </w:tcBorders>
          </w:tcPr>
          <w:p w:rsidR="00F75CC0" w:rsidRPr="00626D32" w:rsidRDefault="00F75CC0" w:rsidP="00735BF3">
            <w:pPr>
              <w:pStyle w:val="BoxSpaceBelow"/>
            </w:pPr>
          </w:p>
        </w:tc>
      </w:tr>
    </w:tbl>
    <w:p w:rsidR="0038620B" w:rsidRDefault="0038620B" w:rsidP="0038620B">
      <w:pPr>
        <w:pStyle w:val="BodyText"/>
        <w:rPr>
          <w:rFonts w:ascii="Arial" w:hAnsi="Arial"/>
          <w:sz w:val="32"/>
        </w:rPr>
      </w:pPr>
      <w:r>
        <w:br w:type="page"/>
      </w:r>
    </w:p>
    <w:p w:rsidR="0037751E" w:rsidRPr="00FC4598" w:rsidRDefault="003F699D" w:rsidP="00FC4598">
      <w:pPr>
        <w:pStyle w:val="Heading2"/>
      </w:pPr>
      <w:r w:rsidRPr="00FC4598">
        <w:lastRenderedPageBreak/>
        <w:t>References</w:t>
      </w:r>
    </w:p>
    <w:p w:rsidR="00D676E0" w:rsidRPr="007E2AA4" w:rsidRDefault="00D676E0" w:rsidP="00A06195">
      <w:pPr>
        <w:pStyle w:val="Reference"/>
        <w:spacing w:before="360"/>
      </w:pPr>
      <w:proofErr w:type="spellStart"/>
      <w:r w:rsidRPr="007F4943">
        <w:t>Abowd</w:t>
      </w:r>
      <w:proofErr w:type="spellEnd"/>
      <w:r w:rsidRPr="007F4943">
        <w:t xml:space="preserve">, </w:t>
      </w:r>
      <w:proofErr w:type="spellStart"/>
      <w:r w:rsidRPr="007F4943">
        <w:t>J.M</w:t>
      </w:r>
      <w:proofErr w:type="spellEnd"/>
      <w:r w:rsidRPr="007F4943">
        <w:t xml:space="preserve">. and </w:t>
      </w:r>
      <w:proofErr w:type="spellStart"/>
      <w:r w:rsidRPr="007F4943">
        <w:t>Kramarz</w:t>
      </w:r>
      <w:proofErr w:type="spellEnd"/>
      <w:r w:rsidRPr="007F4943">
        <w:t xml:space="preserve">, F. 1999, ‘The analysis of </w:t>
      </w:r>
      <w:proofErr w:type="spellStart"/>
      <w:r w:rsidRPr="007F4943">
        <w:t>labor</w:t>
      </w:r>
      <w:proofErr w:type="spellEnd"/>
      <w:r w:rsidRPr="007F4943">
        <w:t xml:space="preserve"> markets using matched employer-employee data’, </w:t>
      </w:r>
      <w:r w:rsidRPr="007E2AA4">
        <w:rPr>
          <w:i/>
          <w:iCs/>
        </w:rPr>
        <w:t xml:space="preserve">Handbook of </w:t>
      </w:r>
      <w:proofErr w:type="spellStart"/>
      <w:r w:rsidRPr="007E2AA4">
        <w:rPr>
          <w:i/>
          <w:iCs/>
        </w:rPr>
        <w:t>labor</w:t>
      </w:r>
      <w:proofErr w:type="spellEnd"/>
      <w:r w:rsidRPr="007E2AA4">
        <w:rPr>
          <w:i/>
          <w:iCs/>
        </w:rPr>
        <w:t xml:space="preserve"> economics</w:t>
      </w:r>
      <w:r w:rsidRPr="007E2AA4">
        <w:t>, vol. 3, pp. 2629–2710.</w:t>
      </w:r>
    </w:p>
    <w:p w:rsidR="00D676E0" w:rsidRPr="007E2AA4" w:rsidRDefault="00D676E0" w:rsidP="005039B1">
      <w:pPr>
        <w:pStyle w:val="Reference"/>
      </w:pPr>
      <w:r w:rsidRPr="007E2AA4">
        <w:t xml:space="preserve">ABS (Australian Bureau of Statistics) </w:t>
      </w:r>
      <w:proofErr w:type="spellStart"/>
      <w:r w:rsidRPr="007E2AA4">
        <w:t>2015a</w:t>
      </w:r>
      <w:proofErr w:type="spellEnd"/>
      <w:r w:rsidRPr="007E2AA4">
        <w:t xml:space="preserve">, </w:t>
      </w:r>
      <w:r w:rsidRPr="007E2AA4">
        <w:rPr>
          <w:i/>
          <w:iCs/>
        </w:rPr>
        <w:t>Construction of Experimental Statistics on Employee Earnings and Jobs from Administrative Data, Australia, 2011-12</w:t>
      </w:r>
      <w:r>
        <w:t>, ABS Cat. no 6311.0</w:t>
      </w:r>
      <w:r w:rsidRPr="007E2AA4">
        <w:t>.</w:t>
      </w:r>
    </w:p>
    <w:p w:rsidR="00D676E0" w:rsidRPr="007E2AA4" w:rsidRDefault="00D676E0" w:rsidP="005039B1">
      <w:pPr>
        <w:pStyle w:val="Reference"/>
      </w:pPr>
      <w:r w:rsidRPr="007E2AA4">
        <w:t>——</w:t>
      </w:r>
      <w:r w:rsidR="00A06195">
        <w:t> </w:t>
      </w:r>
      <w:proofErr w:type="spellStart"/>
      <w:r w:rsidRPr="007E2AA4">
        <w:t>2015b</w:t>
      </w:r>
      <w:proofErr w:type="spellEnd"/>
      <w:r w:rsidRPr="007E2AA4">
        <w:t xml:space="preserve">, </w:t>
      </w:r>
      <w:r w:rsidRPr="007E2AA4">
        <w:rPr>
          <w:i/>
          <w:iCs/>
        </w:rPr>
        <w:t>Construction of the Expanded Analytical Business Longitudinal Database, 2001-02 to 2012-13</w:t>
      </w:r>
      <w:r w:rsidRPr="007E2AA4">
        <w:t>, ABS Cat. no 8171.0.0.</w:t>
      </w:r>
    </w:p>
    <w:p w:rsidR="00D676E0" w:rsidRPr="007E2AA4" w:rsidRDefault="00D676E0" w:rsidP="005039B1">
      <w:pPr>
        <w:pStyle w:val="Reference"/>
      </w:pPr>
      <w:r w:rsidRPr="007E2AA4">
        <w:t xml:space="preserve">Anderson, </w:t>
      </w:r>
      <w:proofErr w:type="spellStart"/>
      <w:r w:rsidRPr="007E2AA4">
        <w:t>J.O</w:t>
      </w:r>
      <w:proofErr w:type="spellEnd"/>
      <w:r w:rsidRPr="007E2AA4">
        <w:t xml:space="preserve">., Lin, H.-S., </w:t>
      </w:r>
      <w:proofErr w:type="spellStart"/>
      <w:r w:rsidRPr="007E2AA4">
        <w:t>Treagust</w:t>
      </w:r>
      <w:proofErr w:type="spellEnd"/>
      <w:r w:rsidRPr="007E2AA4">
        <w:t xml:space="preserve">, D.F., Ross, </w:t>
      </w:r>
      <w:proofErr w:type="spellStart"/>
      <w:r w:rsidRPr="007E2AA4">
        <w:t>S.P</w:t>
      </w:r>
      <w:proofErr w:type="spellEnd"/>
      <w:r w:rsidRPr="007E2AA4">
        <w:t xml:space="preserve">. and Yore, </w:t>
      </w:r>
      <w:proofErr w:type="spellStart"/>
      <w:r w:rsidRPr="007E2AA4">
        <w:t>L.D</w:t>
      </w:r>
      <w:proofErr w:type="spellEnd"/>
      <w:r w:rsidRPr="007E2AA4">
        <w:t xml:space="preserve">. 2007, ‘Using Large-scale Assessment Datasets for Research in Science and Mathematics Education: </w:t>
      </w:r>
      <w:proofErr w:type="spellStart"/>
      <w:r w:rsidRPr="007E2AA4">
        <w:t>Programme</w:t>
      </w:r>
      <w:proofErr w:type="spellEnd"/>
      <w:r w:rsidRPr="007E2AA4">
        <w:t xml:space="preserve"> for International Student Assessment (PISA)’, </w:t>
      </w:r>
      <w:r w:rsidRPr="007E2AA4">
        <w:rPr>
          <w:i/>
          <w:iCs/>
        </w:rPr>
        <w:t>International Journal of Science and Mathematics Education</w:t>
      </w:r>
      <w:r w:rsidRPr="007E2AA4">
        <w:t>, vol. 5, no. 4, pp. 591–614.</w:t>
      </w:r>
    </w:p>
    <w:p w:rsidR="00D676E0" w:rsidRPr="007E2AA4" w:rsidRDefault="00D676E0" w:rsidP="005039B1">
      <w:pPr>
        <w:pStyle w:val="Reference"/>
      </w:pPr>
      <w:r w:rsidRPr="007E2AA4">
        <w:t xml:space="preserve">Andersson, F., Brown, C., Campbell, B., Chiang, H. and Park, Y. 2008, ‘The effect of </w:t>
      </w:r>
      <w:proofErr w:type="spellStart"/>
      <w:r w:rsidRPr="007E2AA4">
        <w:t>HRM</w:t>
      </w:r>
      <w:proofErr w:type="spellEnd"/>
      <w:r w:rsidRPr="007E2AA4">
        <w:t xml:space="preserve"> practices and R&amp;D investment on worker productivity’, </w:t>
      </w:r>
      <w:r w:rsidRPr="007E2AA4">
        <w:rPr>
          <w:i/>
          <w:iCs/>
        </w:rPr>
        <w:t>The Analysis of Firms and Employees: Quantitative and Qualitative Approaches</w:t>
      </w:r>
      <w:r w:rsidRPr="007E2AA4">
        <w:t>, University of Chicago Press, pp. 19–43.</w:t>
      </w:r>
    </w:p>
    <w:p w:rsidR="00D676E0" w:rsidRDefault="00D676E0" w:rsidP="005039B1">
      <w:pPr>
        <w:pStyle w:val="Reference"/>
      </w:pPr>
      <w:proofErr w:type="spellStart"/>
      <w:r w:rsidRPr="007E2AA4">
        <w:t>ATO</w:t>
      </w:r>
      <w:proofErr w:type="spellEnd"/>
      <w:r w:rsidRPr="007E2AA4">
        <w:t xml:space="preserve"> (Australian Taxation Office) 2015, </w:t>
      </w:r>
      <w:r w:rsidRPr="007E2AA4">
        <w:rPr>
          <w:i/>
          <w:iCs/>
        </w:rPr>
        <w:t>Regulation Impact Statement: Single Touch Payroll</w:t>
      </w:r>
      <w:r w:rsidRPr="007E2AA4">
        <w:t>, October, Canberra.</w:t>
      </w:r>
    </w:p>
    <w:p w:rsidR="00D676E0" w:rsidRPr="007E2AA4" w:rsidRDefault="00D676E0" w:rsidP="005039B1">
      <w:pPr>
        <w:pStyle w:val="Reference"/>
      </w:pPr>
      <w:r w:rsidRPr="007E2AA4">
        <w:t xml:space="preserve">Billson, </w:t>
      </w:r>
      <w:r>
        <w:t xml:space="preserve">The Hon. </w:t>
      </w:r>
      <w:r w:rsidRPr="007E2AA4">
        <w:t xml:space="preserve">B. (Minister for Small Business) 2015, </w:t>
      </w:r>
      <w:r w:rsidRPr="007E2AA4">
        <w:rPr>
          <w:i/>
          <w:iCs/>
        </w:rPr>
        <w:t>Government moves to get Single Touch Payroll right</w:t>
      </w:r>
      <w:r w:rsidRPr="007E2AA4">
        <w:t>, Media release, http://</w:t>
      </w:r>
      <w:proofErr w:type="spellStart"/>
      <w:r w:rsidRPr="007E2AA4">
        <w:t>bfb.ministers.treasury.gov.au</w:t>
      </w:r>
      <w:proofErr w:type="spellEnd"/>
      <w:r w:rsidRPr="007E2AA4">
        <w:t>/media-release/050-2015/ (accessed 26 May 2016).</w:t>
      </w:r>
    </w:p>
    <w:p w:rsidR="00D676E0" w:rsidRPr="007E2AA4" w:rsidRDefault="00D676E0" w:rsidP="005039B1">
      <w:pPr>
        <w:pStyle w:val="Reference"/>
      </w:pPr>
      <w:r w:rsidRPr="007E2AA4">
        <w:t>Bryson, A. and Forth, J. 2006, ‘The policy relevance of linked employer-employee data’, in Bryson, A., Forth, J. and Barber, C. (</w:t>
      </w:r>
      <w:proofErr w:type="spellStart"/>
      <w:r w:rsidRPr="007E2AA4">
        <w:t>eds</w:t>
      </w:r>
      <w:proofErr w:type="spellEnd"/>
      <w:r w:rsidRPr="007E2AA4">
        <w:t xml:space="preserve">), </w:t>
      </w:r>
      <w:r w:rsidRPr="007E2AA4">
        <w:rPr>
          <w:i/>
          <w:iCs/>
        </w:rPr>
        <w:t>Making Linked Employer-Employee Data Relevant to Policy</w:t>
      </w:r>
      <w:r w:rsidRPr="007E2AA4">
        <w:t>, DTI Occasional Paper, Department of Trade and Industry, London, UK, pp. 1–8.</w:t>
      </w:r>
    </w:p>
    <w:p w:rsidR="00D676E0" w:rsidRPr="007E2AA4" w:rsidRDefault="00D676E0" w:rsidP="005039B1">
      <w:pPr>
        <w:pStyle w:val="Reference"/>
      </w:pPr>
      <w:proofErr w:type="spellStart"/>
      <w:r>
        <w:t>Chien</w:t>
      </w:r>
      <w:proofErr w:type="spellEnd"/>
      <w:r>
        <w:t xml:space="preserve">, C. </w:t>
      </w:r>
      <w:r w:rsidRPr="007E2AA4">
        <w:t xml:space="preserve">H. and Mayer, A. 2015, </w:t>
      </w:r>
      <w:r w:rsidRPr="007E2AA4">
        <w:rPr>
          <w:i/>
          <w:iCs/>
        </w:rPr>
        <w:t>Use of a Prototype Linked Employer-Employee Database to Describe Characteristics of Productive Firms</w:t>
      </w:r>
      <w:r>
        <w:t>, Research Paper, 14 May, ABS </w:t>
      </w:r>
      <w:r w:rsidRPr="007E2AA4">
        <w:t>Cat</w:t>
      </w:r>
      <w:r>
        <w:t>. </w:t>
      </w:r>
      <w:r w:rsidRPr="007E2AA4">
        <w:t>no. 1351.0.55.055.</w:t>
      </w:r>
    </w:p>
    <w:p w:rsidR="00D676E0" w:rsidRPr="007E2AA4" w:rsidRDefault="00D676E0" w:rsidP="005039B1">
      <w:pPr>
        <w:pStyle w:val="Reference"/>
      </w:pPr>
      <w:proofErr w:type="spellStart"/>
      <w:r w:rsidRPr="007E2AA4">
        <w:t>Cottini</w:t>
      </w:r>
      <w:proofErr w:type="spellEnd"/>
      <w:r w:rsidRPr="007E2AA4">
        <w:t xml:space="preserve">, E., Kato, T. and </w:t>
      </w:r>
      <w:proofErr w:type="spellStart"/>
      <w:r w:rsidRPr="007E2AA4">
        <w:t>Westergaard</w:t>
      </w:r>
      <w:proofErr w:type="spellEnd"/>
      <w:r w:rsidRPr="007E2AA4">
        <w:t xml:space="preserve">-Nielsen, N. 2011, ‘Adverse workplace conditions, high-involvement work practices and </w:t>
      </w:r>
      <w:proofErr w:type="spellStart"/>
      <w:r w:rsidRPr="007E2AA4">
        <w:t>labor</w:t>
      </w:r>
      <w:proofErr w:type="spellEnd"/>
      <w:r w:rsidRPr="007E2AA4">
        <w:t xml:space="preserve"> turnover: Evidence from Danish linked employer–employee data’, </w:t>
      </w:r>
      <w:r w:rsidRPr="007E2AA4">
        <w:rPr>
          <w:i/>
          <w:iCs/>
        </w:rPr>
        <w:t>Labour Economics</w:t>
      </w:r>
      <w:r w:rsidRPr="007E2AA4">
        <w:t>, vol. 18, no. 6, pp. 872–880.</w:t>
      </w:r>
    </w:p>
    <w:p w:rsidR="00D676E0" w:rsidRPr="00D32C37" w:rsidRDefault="00D676E0" w:rsidP="005039B1">
      <w:pPr>
        <w:pStyle w:val="Reference"/>
      </w:pPr>
      <w:proofErr w:type="spellStart"/>
      <w:r w:rsidRPr="00D32C37">
        <w:t>FWC</w:t>
      </w:r>
      <w:proofErr w:type="spellEnd"/>
      <w:r w:rsidRPr="00D32C37">
        <w:t xml:space="preserve"> (Fair Work Commission) 2015, </w:t>
      </w:r>
      <w:r w:rsidRPr="00D32C37">
        <w:rPr>
          <w:i/>
          <w:iCs/>
        </w:rPr>
        <w:t>Australian Workplace Relations Study (</w:t>
      </w:r>
      <w:proofErr w:type="spellStart"/>
      <w:r w:rsidRPr="00D32C37">
        <w:rPr>
          <w:i/>
          <w:iCs/>
        </w:rPr>
        <w:t>AWRS</w:t>
      </w:r>
      <w:proofErr w:type="spellEnd"/>
      <w:r w:rsidRPr="00D32C37">
        <w:rPr>
          <w:i/>
          <w:iCs/>
        </w:rPr>
        <w:t xml:space="preserve">) - Provisional </w:t>
      </w:r>
      <w:proofErr w:type="spellStart"/>
      <w:r w:rsidRPr="00D32C37">
        <w:rPr>
          <w:i/>
          <w:iCs/>
        </w:rPr>
        <w:t>AWRS</w:t>
      </w:r>
      <w:proofErr w:type="spellEnd"/>
      <w:r w:rsidRPr="00D32C37">
        <w:rPr>
          <w:i/>
          <w:iCs/>
        </w:rPr>
        <w:t xml:space="preserve"> fieldwork report</w:t>
      </w:r>
      <w:r w:rsidRPr="00D32C37">
        <w:t>, Fair Work Commission.</w:t>
      </w:r>
    </w:p>
    <w:p w:rsidR="00D676E0" w:rsidRPr="007E2AA4" w:rsidRDefault="00D676E0" w:rsidP="005039B1">
      <w:pPr>
        <w:pStyle w:val="Reference"/>
      </w:pPr>
      <w:r w:rsidRPr="007E2AA4">
        <w:t xml:space="preserve">Guest, R. and Stewart, H. 2011, ‘The Age Dispersion of Workers and Firm Productivity: A Survey Approach’, </w:t>
      </w:r>
      <w:r w:rsidRPr="007E2AA4">
        <w:rPr>
          <w:i/>
          <w:iCs/>
        </w:rPr>
        <w:t>Australian Journal of Labour Economics</w:t>
      </w:r>
      <w:r w:rsidRPr="007E2AA4">
        <w:t>, vol. 14, no. 1, p. 59.</w:t>
      </w:r>
    </w:p>
    <w:p w:rsidR="00D676E0" w:rsidRPr="007E2AA4" w:rsidRDefault="00D676E0" w:rsidP="005039B1">
      <w:pPr>
        <w:pStyle w:val="Reference"/>
      </w:pPr>
      <w:proofErr w:type="spellStart"/>
      <w:r w:rsidRPr="007E2AA4">
        <w:t>Haltiwanger</w:t>
      </w:r>
      <w:proofErr w:type="spellEnd"/>
      <w:r w:rsidRPr="007E2AA4">
        <w:t xml:space="preserve">, J.C., Lane, </w:t>
      </w:r>
      <w:proofErr w:type="spellStart"/>
      <w:r w:rsidRPr="007E2AA4">
        <w:t>J.I</w:t>
      </w:r>
      <w:proofErr w:type="spellEnd"/>
      <w:r w:rsidRPr="007E2AA4">
        <w:t xml:space="preserve">. and </w:t>
      </w:r>
      <w:proofErr w:type="spellStart"/>
      <w:r w:rsidRPr="007E2AA4">
        <w:t>Spletzer</w:t>
      </w:r>
      <w:proofErr w:type="spellEnd"/>
      <w:r w:rsidRPr="007E2AA4">
        <w:t xml:space="preserve">, </w:t>
      </w:r>
      <w:proofErr w:type="spellStart"/>
      <w:r w:rsidRPr="007E2AA4">
        <w:t>J.R</w:t>
      </w:r>
      <w:proofErr w:type="spellEnd"/>
      <w:r w:rsidRPr="007E2AA4">
        <w:t xml:space="preserve">. 1999, ‘Productivity differences across employers: The roles of employer size, age, and human capital’, </w:t>
      </w:r>
      <w:r w:rsidRPr="007E2AA4">
        <w:rPr>
          <w:i/>
          <w:iCs/>
        </w:rPr>
        <w:t>The American Economic Review</w:t>
      </w:r>
      <w:r w:rsidRPr="007E2AA4">
        <w:t>, vol. 89, no. 2, pp. 94–98.</w:t>
      </w:r>
    </w:p>
    <w:p w:rsidR="00D676E0" w:rsidRPr="007E2AA4" w:rsidRDefault="00D676E0" w:rsidP="005039B1">
      <w:pPr>
        <w:pStyle w:val="Reference"/>
      </w:pPr>
      <w:proofErr w:type="spellStart"/>
      <w:r w:rsidRPr="007E2AA4">
        <w:lastRenderedPageBreak/>
        <w:t>Hamermesh</w:t>
      </w:r>
      <w:proofErr w:type="spellEnd"/>
      <w:r w:rsidRPr="007E2AA4">
        <w:t>, D.S. 1999, ‘</w:t>
      </w:r>
      <w:proofErr w:type="spellStart"/>
      <w:r w:rsidRPr="007E2AA4">
        <w:t>LEEping</w:t>
      </w:r>
      <w:proofErr w:type="spellEnd"/>
      <w:r w:rsidRPr="007E2AA4">
        <w:t xml:space="preserve"> into the future of </w:t>
      </w:r>
      <w:proofErr w:type="spellStart"/>
      <w:r w:rsidRPr="007E2AA4">
        <w:t>labor</w:t>
      </w:r>
      <w:proofErr w:type="spellEnd"/>
      <w:r w:rsidRPr="007E2AA4">
        <w:t xml:space="preserve"> economics: the research potential of linking employer and employee data’, </w:t>
      </w:r>
      <w:r w:rsidRPr="007E2AA4">
        <w:rPr>
          <w:i/>
          <w:iCs/>
        </w:rPr>
        <w:t>Labour Economics</w:t>
      </w:r>
      <w:r w:rsidRPr="007E2AA4">
        <w:t>, vol. 6, no. 1, pp. 25–41.</w:t>
      </w:r>
    </w:p>
    <w:p w:rsidR="00D676E0" w:rsidRPr="007E2AA4" w:rsidRDefault="00D676E0" w:rsidP="005039B1">
      <w:pPr>
        <w:pStyle w:val="Reference"/>
      </w:pPr>
      <w:proofErr w:type="spellStart"/>
      <w:r w:rsidRPr="007E2AA4">
        <w:t>Heinze</w:t>
      </w:r>
      <w:proofErr w:type="spellEnd"/>
      <w:r w:rsidRPr="007E2AA4">
        <w:t xml:space="preserve">, A. and Wolf, E. 2010, ‘The intra-firm gender wage gap: a new view on wage differentials based on linked employer–employee data’, </w:t>
      </w:r>
      <w:r w:rsidRPr="007E2AA4">
        <w:rPr>
          <w:i/>
          <w:iCs/>
        </w:rPr>
        <w:t>Journal of Population Economics</w:t>
      </w:r>
      <w:r w:rsidRPr="007E2AA4">
        <w:t>, vol. 23, no. 3, pp. 851–879.</w:t>
      </w:r>
    </w:p>
    <w:p w:rsidR="00D676E0" w:rsidRPr="007E2AA4" w:rsidRDefault="00D676E0" w:rsidP="005039B1">
      <w:pPr>
        <w:pStyle w:val="Reference"/>
      </w:pPr>
      <w:proofErr w:type="spellStart"/>
      <w:r w:rsidRPr="007E2AA4">
        <w:t>Hijzen</w:t>
      </w:r>
      <w:proofErr w:type="spellEnd"/>
      <w:r w:rsidRPr="007E2AA4">
        <w:t xml:space="preserve">, A., Upward, R. and Wright, P. 2006, ‘Using Linked Employer-Employee Data to Estimate the Earnings Costs of Business Closure in the UK’, </w:t>
      </w:r>
      <w:r w:rsidRPr="007E2AA4">
        <w:rPr>
          <w:i/>
          <w:iCs/>
        </w:rPr>
        <w:t>The Policy Relevance of Linked Employer-Employee Data</w:t>
      </w:r>
      <w:r w:rsidRPr="007E2AA4">
        <w:t>, DTI Occasional Paper, pp. pp. 134–153.</w:t>
      </w:r>
    </w:p>
    <w:p w:rsidR="00D676E0" w:rsidRPr="007E2AA4" w:rsidRDefault="00D676E0" w:rsidP="005039B1">
      <w:pPr>
        <w:pStyle w:val="Reference"/>
      </w:pPr>
      <w:proofErr w:type="spellStart"/>
      <w:r w:rsidRPr="007E2AA4">
        <w:t>Hildreth</w:t>
      </w:r>
      <w:proofErr w:type="spellEnd"/>
      <w:r w:rsidRPr="007E2AA4">
        <w:t xml:space="preserve">, A. and </w:t>
      </w:r>
      <w:proofErr w:type="spellStart"/>
      <w:r w:rsidRPr="007E2AA4">
        <w:t>Pudney</w:t>
      </w:r>
      <w:proofErr w:type="spellEnd"/>
      <w:r w:rsidRPr="007E2AA4">
        <w:t xml:space="preserve">, S. 1999, ‘Econometric issues in the analysis of linked worker-employer surveys’, </w:t>
      </w:r>
      <w:r w:rsidRPr="007E2AA4">
        <w:rPr>
          <w:i/>
          <w:iCs/>
        </w:rPr>
        <w:t xml:space="preserve">Micro-and </w:t>
      </w:r>
      <w:proofErr w:type="spellStart"/>
      <w:r w:rsidRPr="007E2AA4">
        <w:rPr>
          <w:i/>
          <w:iCs/>
        </w:rPr>
        <w:t>Macrodata</w:t>
      </w:r>
      <w:proofErr w:type="spellEnd"/>
      <w:r w:rsidRPr="007E2AA4">
        <w:rPr>
          <w:i/>
          <w:iCs/>
        </w:rPr>
        <w:t xml:space="preserve"> of Firms</w:t>
      </w:r>
      <w:r w:rsidRPr="007E2AA4">
        <w:t>, Springer, pp. 509–540</w:t>
      </w:r>
      <w:r>
        <w:t>.</w:t>
      </w:r>
    </w:p>
    <w:p w:rsidR="00D676E0" w:rsidRPr="007E2AA4" w:rsidRDefault="00D676E0" w:rsidP="005039B1">
      <w:pPr>
        <w:pStyle w:val="Reference"/>
      </w:pPr>
      <w:r w:rsidRPr="007E2AA4">
        <w:t xml:space="preserve">Jensen, </w:t>
      </w:r>
      <w:proofErr w:type="spellStart"/>
      <w:r w:rsidRPr="007E2AA4">
        <w:t>P.H</w:t>
      </w:r>
      <w:proofErr w:type="spellEnd"/>
      <w:r w:rsidRPr="007E2AA4">
        <w:t xml:space="preserve">. 2010, ‘Exploring the uses of matched employer–employee datasets’, </w:t>
      </w:r>
      <w:r w:rsidRPr="007E2AA4">
        <w:rPr>
          <w:i/>
          <w:iCs/>
        </w:rPr>
        <w:t>Australian Economic Review</w:t>
      </w:r>
      <w:r w:rsidRPr="007E2AA4">
        <w:t>, vol. 43, no. 2, pp. 209–216.</w:t>
      </w:r>
    </w:p>
    <w:p w:rsidR="00D676E0" w:rsidRPr="007E2AA4" w:rsidRDefault="00D676E0" w:rsidP="005039B1">
      <w:pPr>
        <w:pStyle w:val="Reference"/>
      </w:pPr>
      <w:proofErr w:type="spellStart"/>
      <w:r w:rsidRPr="007E2AA4">
        <w:t>Mahlberg</w:t>
      </w:r>
      <w:proofErr w:type="spellEnd"/>
      <w:r w:rsidRPr="007E2AA4">
        <w:t xml:space="preserve">, B., Freund, I., </w:t>
      </w:r>
      <w:proofErr w:type="spellStart"/>
      <w:r w:rsidRPr="007E2AA4">
        <w:t>Cuaresma</w:t>
      </w:r>
      <w:proofErr w:type="spellEnd"/>
      <w:r w:rsidRPr="007E2AA4">
        <w:t xml:space="preserve">, J.C. and </w:t>
      </w:r>
      <w:proofErr w:type="spellStart"/>
      <w:r w:rsidRPr="007E2AA4">
        <w:t>Prskawetz</w:t>
      </w:r>
      <w:proofErr w:type="spellEnd"/>
      <w:r w:rsidRPr="007E2AA4">
        <w:t xml:space="preserve">, A. 2013, ‘Ageing, productivity and wages in Austria’, </w:t>
      </w:r>
      <w:r w:rsidRPr="007E2AA4">
        <w:rPr>
          <w:i/>
          <w:iCs/>
        </w:rPr>
        <w:t>Labour economics</w:t>
      </w:r>
      <w:r w:rsidRPr="007E2AA4">
        <w:t>, vol. 22, pp. 5–15.</w:t>
      </w:r>
    </w:p>
    <w:p w:rsidR="00D676E0" w:rsidRPr="007E2AA4" w:rsidRDefault="00D676E0" w:rsidP="005039B1">
      <w:pPr>
        <w:pStyle w:val="Reference"/>
      </w:pPr>
      <w:r w:rsidRPr="007E2AA4">
        <w:t xml:space="preserve">Margolis, </w:t>
      </w:r>
      <w:proofErr w:type="spellStart"/>
      <w:r w:rsidRPr="007E2AA4">
        <w:t>D.N</w:t>
      </w:r>
      <w:proofErr w:type="spellEnd"/>
      <w:r w:rsidRPr="007E2AA4">
        <w:t>. 2006, ‘Compensation policy, human resource management practices and takeovers’, in Bryson, A., Forth, J. and Barber, C. (</w:t>
      </w:r>
      <w:proofErr w:type="spellStart"/>
      <w:r w:rsidRPr="007E2AA4">
        <w:t>eds</w:t>
      </w:r>
      <w:proofErr w:type="spellEnd"/>
      <w:r w:rsidRPr="007E2AA4">
        <w:t xml:space="preserve">), </w:t>
      </w:r>
      <w:r w:rsidRPr="007E2AA4">
        <w:rPr>
          <w:i/>
          <w:iCs/>
        </w:rPr>
        <w:t>Making Linked Employer-Employee Data Relevant to Policy</w:t>
      </w:r>
      <w:r w:rsidRPr="007E2AA4">
        <w:t>, DTI Occasional Paper, Department of Trade</w:t>
      </w:r>
      <w:r>
        <w:t xml:space="preserve"> and Industry, London, UK, pp. 28</w:t>
      </w:r>
      <w:r w:rsidRPr="007E2AA4">
        <w:t>–</w:t>
      </w:r>
      <w:r>
        <w:t>44.</w:t>
      </w:r>
    </w:p>
    <w:p w:rsidR="00D676E0" w:rsidRPr="007E2AA4" w:rsidRDefault="00D676E0" w:rsidP="005039B1">
      <w:pPr>
        <w:pStyle w:val="Reference"/>
      </w:pPr>
      <w:r w:rsidRPr="007E2AA4">
        <w:t xml:space="preserve">OECD 2015, </w:t>
      </w:r>
      <w:r w:rsidRPr="007E2AA4">
        <w:rPr>
          <w:i/>
          <w:iCs/>
        </w:rPr>
        <w:t>The Future of Productivity</w:t>
      </w:r>
      <w:r w:rsidRPr="007E2AA4">
        <w:t>, Organisation for Economic Co-operation and Development, Paris.</w:t>
      </w:r>
    </w:p>
    <w:p w:rsidR="00D676E0" w:rsidRPr="009D4658" w:rsidRDefault="00D676E0" w:rsidP="005039B1">
      <w:pPr>
        <w:pStyle w:val="Reference"/>
      </w:pPr>
      <w:proofErr w:type="spellStart"/>
      <w:r w:rsidRPr="007E2AA4">
        <w:t>Parrotta</w:t>
      </w:r>
      <w:proofErr w:type="spellEnd"/>
      <w:r w:rsidRPr="007E2AA4">
        <w:t xml:space="preserve">, P., </w:t>
      </w:r>
      <w:proofErr w:type="spellStart"/>
      <w:r w:rsidRPr="007E2AA4">
        <w:t>Pozzoli</w:t>
      </w:r>
      <w:proofErr w:type="spellEnd"/>
      <w:r w:rsidRPr="007E2AA4">
        <w:t xml:space="preserve">, D. and </w:t>
      </w:r>
      <w:proofErr w:type="spellStart"/>
      <w:r w:rsidRPr="007E2AA4">
        <w:t>Pytlikova</w:t>
      </w:r>
      <w:proofErr w:type="spellEnd"/>
      <w:r w:rsidRPr="007E2AA4">
        <w:t xml:space="preserve">, M. 2012, ‘Does </w:t>
      </w:r>
      <w:proofErr w:type="spellStart"/>
      <w:r>
        <w:t>L</w:t>
      </w:r>
      <w:r w:rsidRPr="007E2AA4">
        <w:t>abor</w:t>
      </w:r>
      <w:proofErr w:type="spellEnd"/>
      <w:r w:rsidRPr="007E2AA4">
        <w:t xml:space="preserve"> </w:t>
      </w:r>
      <w:r>
        <w:t>D</w:t>
      </w:r>
      <w:r w:rsidRPr="007E2AA4">
        <w:t xml:space="preserve">iversity </w:t>
      </w:r>
      <w:r>
        <w:t>A</w:t>
      </w:r>
      <w:r w:rsidRPr="007E2AA4">
        <w:t xml:space="preserve">ffect </w:t>
      </w:r>
      <w:r>
        <w:t>F</w:t>
      </w:r>
      <w:r w:rsidRPr="007E2AA4">
        <w:t xml:space="preserve">irm </w:t>
      </w:r>
      <w:r>
        <w:t>P</w:t>
      </w:r>
      <w:r w:rsidRPr="007E2AA4">
        <w:t>roductivity?’</w:t>
      </w:r>
      <w:r w:rsidRPr="009D4658">
        <w:t>, No</w:t>
      </w:r>
      <w:r>
        <w:t>.</w:t>
      </w:r>
      <w:r w:rsidRPr="009D4658">
        <w:t xml:space="preserve"> 6973, </w:t>
      </w:r>
      <w:proofErr w:type="spellStart"/>
      <w:r w:rsidRPr="009D4658">
        <w:t>IZA</w:t>
      </w:r>
      <w:proofErr w:type="spellEnd"/>
      <w:r w:rsidRPr="009D4658">
        <w:t xml:space="preserve"> Discussion Papers, I</w:t>
      </w:r>
      <w:r>
        <w:t>nstitute for the Study of </w:t>
      </w:r>
      <w:proofErr w:type="spellStart"/>
      <w:r>
        <w:t>Labor</w:t>
      </w:r>
      <w:proofErr w:type="spellEnd"/>
      <w:r>
        <w:t> </w:t>
      </w:r>
      <w:r w:rsidRPr="009D4658">
        <w:t>(</w:t>
      </w:r>
      <w:proofErr w:type="spellStart"/>
      <w:r w:rsidRPr="009D4658">
        <w:t>IZA</w:t>
      </w:r>
      <w:proofErr w:type="spellEnd"/>
      <w:r w:rsidRPr="009D4658">
        <w:t>).</w:t>
      </w:r>
    </w:p>
    <w:p w:rsidR="00D676E0" w:rsidRPr="007E2AA4" w:rsidRDefault="00D676E0" w:rsidP="005039B1">
      <w:pPr>
        <w:pStyle w:val="Reference"/>
      </w:pPr>
      <w:r w:rsidRPr="007E2AA4">
        <w:t xml:space="preserve">PC (Productivity Commission) 2015, </w:t>
      </w:r>
      <w:r w:rsidRPr="007E2AA4">
        <w:rPr>
          <w:i/>
          <w:iCs/>
        </w:rPr>
        <w:t>Housing Assistance and Employment in Australia</w:t>
      </w:r>
      <w:r w:rsidRPr="007E2AA4">
        <w:t>, Commission Research Paper, Canberra.</w:t>
      </w:r>
    </w:p>
    <w:p w:rsidR="00D676E0" w:rsidRPr="007E2AA4" w:rsidRDefault="00D676E0" w:rsidP="005039B1">
      <w:pPr>
        <w:pStyle w:val="Reference"/>
      </w:pPr>
      <w:r w:rsidRPr="007E2AA4">
        <w:t>——</w:t>
      </w:r>
      <w:r w:rsidR="005039B1">
        <w:t> </w:t>
      </w:r>
      <w:r w:rsidRPr="007E2AA4">
        <w:t xml:space="preserve">2016, </w:t>
      </w:r>
      <w:r w:rsidRPr="007E2AA4">
        <w:rPr>
          <w:i/>
          <w:iCs/>
        </w:rPr>
        <w:t>Data Availability and Use</w:t>
      </w:r>
      <w:r w:rsidRPr="007E2AA4">
        <w:t>, Issues Paper, April, Productivity Commission, Canberra.</w:t>
      </w:r>
    </w:p>
    <w:p w:rsidR="00D434A0" w:rsidRDefault="00D676E0" w:rsidP="005039B1">
      <w:pPr>
        <w:pStyle w:val="Reference"/>
      </w:pPr>
      <w:proofErr w:type="spellStart"/>
      <w:r w:rsidRPr="007E2AA4">
        <w:t>Turcotte</w:t>
      </w:r>
      <w:proofErr w:type="spellEnd"/>
      <w:r w:rsidRPr="007E2AA4">
        <w:t xml:space="preserve">, J. and </w:t>
      </w:r>
      <w:proofErr w:type="spellStart"/>
      <w:r w:rsidRPr="007E2AA4">
        <w:t>Rennison</w:t>
      </w:r>
      <w:proofErr w:type="spellEnd"/>
      <w:r w:rsidRPr="007E2AA4">
        <w:t xml:space="preserve">, </w:t>
      </w:r>
      <w:proofErr w:type="spellStart"/>
      <w:r w:rsidRPr="007E2AA4">
        <w:t>L.W</w:t>
      </w:r>
      <w:proofErr w:type="spellEnd"/>
      <w:r w:rsidRPr="007E2AA4">
        <w:t xml:space="preserve">. 2004, </w:t>
      </w:r>
      <w:r w:rsidRPr="007E2AA4">
        <w:rPr>
          <w:i/>
          <w:iCs/>
        </w:rPr>
        <w:t>Productivity and wages: Measuring the effect of human capital and technology use from linked employer-employee data</w:t>
      </w:r>
      <w:r w:rsidRPr="007E2AA4">
        <w:t xml:space="preserve">, </w:t>
      </w:r>
      <w:r>
        <w:t xml:space="preserve">Working Paper 2004-01, </w:t>
      </w:r>
      <w:r w:rsidRPr="007E2AA4">
        <w:t>Department of Finance</w:t>
      </w:r>
      <w:r>
        <w:t xml:space="preserve"> (Canada).</w:t>
      </w:r>
    </w:p>
    <w:sectPr w:rsidR="00D434A0" w:rsidSect="00B019CF">
      <w:headerReference w:type="even" r:id="rId19"/>
      <w:headerReference w:type="default" r:id="rId20"/>
      <w:footerReference w:type="even" r:id="rId21"/>
      <w:footerReference w:type="default" r:id="rId22"/>
      <w:type w:val="oddPage"/>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57E" w:rsidRDefault="003D757E">
      <w:r>
        <w:separator/>
      </w:r>
    </w:p>
  </w:endnote>
  <w:endnote w:type="continuationSeparator" w:id="0">
    <w:p w:rsidR="003D757E" w:rsidRDefault="003D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16DF3" w:rsidTr="005F48ED">
      <w:trPr>
        <w:trHeight w:hRule="exact" w:val="567"/>
      </w:trPr>
      <w:tc>
        <w:tcPr>
          <w:tcW w:w="510" w:type="dxa"/>
        </w:tcPr>
        <w:p w:rsidR="00916DF3" w:rsidRDefault="00916DF3">
          <w:pPr>
            <w:pStyle w:val="Footer"/>
            <w:ind w:right="360" w:firstLine="360"/>
          </w:pPr>
        </w:p>
      </w:tc>
      <w:tc>
        <w:tcPr>
          <w:tcW w:w="7767" w:type="dxa"/>
        </w:tcPr>
        <w:p w:rsidR="00916DF3" w:rsidRPr="00BA5B14" w:rsidRDefault="00E10287" w:rsidP="0013739A">
          <w:pPr>
            <w:pStyle w:val="Footer"/>
            <w:jc w:val="right"/>
            <w:rPr>
              <w:rFonts w:cs="Arial"/>
            </w:rPr>
          </w:pPr>
          <w:r>
            <w:rPr>
              <w:rFonts w:cs="Arial"/>
            </w:rPr>
            <w:t>The importance of Linked Employer-Employee Data</w:t>
          </w:r>
          <w:bookmarkStart w:id="3" w:name="DraftReportOdd"/>
          <w:bookmarkEnd w:id="3"/>
        </w:p>
      </w:tc>
      <w:tc>
        <w:tcPr>
          <w:tcW w:w="510" w:type="dxa"/>
        </w:tcPr>
        <w:p w:rsidR="00916DF3" w:rsidRPr="00A24443" w:rsidRDefault="00916DF3">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257EB">
            <w:rPr>
              <w:rStyle w:val="PageNumber"/>
              <w:caps w:val="0"/>
              <w:noProof/>
            </w:rPr>
            <w:t>3</w:t>
          </w:r>
          <w:r w:rsidRPr="00A24443">
            <w:rPr>
              <w:rStyle w:val="PageNumber"/>
              <w:caps w:val="0"/>
            </w:rPr>
            <w:fldChar w:fldCharType="end"/>
          </w:r>
        </w:p>
      </w:tc>
    </w:tr>
  </w:tbl>
  <w:p w:rsidR="001E475F" w:rsidRDefault="001E47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E475F" w:rsidTr="005F48ED">
      <w:trPr>
        <w:trHeight w:hRule="exact" w:val="567"/>
      </w:trPr>
      <w:tc>
        <w:tcPr>
          <w:tcW w:w="510" w:type="dxa"/>
        </w:tcPr>
        <w:p w:rsidR="001E475F" w:rsidRPr="00A24443" w:rsidRDefault="001E475F"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8389C">
            <w:rPr>
              <w:rStyle w:val="PageNumber"/>
              <w:caps w:val="0"/>
              <w:noProof/>
            </w:rPr>
            <w:t>14</w:t>
          </w:r>
          <w:r w:rsidRPr="00A24443">
            <w:rPr>
              <w:rStyle w:val="PageNumber"/>
              <w:caps w:val="0"/>
            </w:rPr>
            <w:fldChar w:fldCharType="end"/>
          </w:r>
        </w:p>
      </w:tc>
      <w:tc>
        <w:tcPr>
          <w:tcW w:w="7767" w:type="dxa"/>
        </w:tcPr>
        <w:p w:rsidR="001E475F" w:rsidRPr="0013739A" w:rsidRDefault="001E475F" w:rsidP="0013739A">
          <w:pPr>
            <w:pStyle w:val="Footer"/>
            <w:rPr>
              <w:rFonts w:cs="Arial"/>
            </w:rPr>
          </w:pPr>
          <w:r>
            <w:rPr>
              <w:rFonts w:cs="Arial"/>
            </w:rPr>
            <w:t>staff research note</w:t>
          </w:r>
        </w:p>
      </w:tc>
      <w:tc>
        <w:tcPr>
          <w:tcW w:w="510" w:type="dxa"/>
        </w:tcPr>
        <w:p w:rsidR="001E475F" w:rsidRDefault="001E475F" w:rsidP="0019293B">
          <w:pPr>
            <w:pStyle w:val="Footer"/>
          </w:pPr>
        </w:p>
      </w:tc>
    </w:tr>
  </w:tbl>
  <w:p w:rsidR="001E475F" w:rsidRDefault="001E475F" w:rsidP="0019293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E475F" w:rsidTr="005F48ED">
      <w:trPr>
        <w:trHeight w:hRule="exact" w:val="567"/>
      </w:trPr>
      <w:tc>
        <w:tcPr>
          <w:tcW w:w="510" w:type="dxa"/>
        </w:tcPr>
        <w:p w:rsidR="001E475F" w:rsidRDefault="001E475F">
          <w:pPr>
            <w:pStyle w:val="Footer"/>
            <w:ind w:right="360" w:firstLine="360"/>
          </w:pPr>
        </w:p>
      </w:tc>
      <w:tc>
        <w:tcPr>
          <w:tcW w:w="7767" w:type="dxa"/>
        </w:tcPr>
        <w:p w:rsidR="001E475F" w:rsidRPr="00BA5B14" w:rsidRDefault="00AF047A" w:rsidP="0021121A">
          <w:pPr>
            <w:pStyle w:val="Footer"/>
            <w:jc w:val="right"/>
            <w:rPr>
              <w:rFonts w:cs="Arial"/>
            </w:rPr>
          </w:pPr>
          <w:r>
            <w:t xml:space="preserve">A rationale for developing a </w:t>
          </w:r>
          <w:proofErr w:type="spellStart"/>
          <w:r>
            <w:t>LEED</w:t>
          </w:r>
          <w:proofErr w:type="spellEnd"/>
          <w:r>
            <w:t xml:space="preserve"> for policy research</w:t>
          </w:r>
        </w:p>
      </w:tc>
      <w:tc>
        <w:tcPr>
          <w:tcW w:w="510" w:type="dxa"/>
        </w:tcPr>
        <w:p w:rsidR="001E475F" w:rsidRPr="00A24443" w:rsidRDefault="001E475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8389C">
            <w:rPr>
              <w:rStyle w:val="PageNumber"/>
              <w:caps w:val="0"/>
              <w:noProof/>
            </w:rPr>
            <w:t>15</w:t>
          </w:r>
          <w:r w:rsidRPr="00A24443">
            <w:rPr>
              <w:rStyle w:val="PageNumber"/>
              <w:caps w:val="0"/>
            </w:rPr>
            <w:fldChar w:fldCharType="end"/>
          </w:r>
        </w:p>
      </w:tc>
    </w:tr>
  </w:tbl>
  <w:p w:rsidR="001E475F" w:rsidRDefault="001E475F">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57E" w:rsidRDefault="003D757E">
      <w:r>
        <w:separator/>
      </w:r>
    </w:p>
  </w:footnote>
  <w:footnote w:type="continuationSeparator" w:id="0">
    <w:p w:rsidR="003D757E" w:rsidRDefault="003D757E">
      <w:r>
        <w:continuationSeparator/>
      </w:r>
    </w:p>
  </w:footnote>
  <w:footnote w:id="1">
    <w:p w:rsidR="002A43F7" w:rsidRDefault="002A43F7">
      <w:pPr>
        <w:pStyle w:val="FootnoteText"/>
      </w:pPr>
      <w:r>
        <w:rPr>
          <w:rStyle w:val="FootnoteReference"/>
        </w:rPr>
        <w:footnoteRef/>
      </w:r>
      <w:r>
        <w:tab/>
      </w:r>
      <w:r w:rsidRPr="002A43F7">
        <w:t xml:space="preserve">The authors would like to thank the experts who shared their knowledge and thoughts about Linked Employer Employee Data. They are also grateful to Diane </w:t>
      </w:r>
      <w:proofErr w:type="spellStart"/>
      <w:r w:rsidRPr="002A43F7">
        <w:t>Braskic</w:t>
      </w:r>
      <w:proofErr w:type="spellEnd"/>
      <w:r w:rsidRPr="002A43F7">
        <w:t xml:space="preserve"> at the A</w:t>
      </w:r>
      <w:r>
        <w:t xml:space="preserve">ustralian Bureau of Statistics </w:t>
      </w:r>
      <w:r w:rsidRPr="002A43F7">
        <w:t>and Dr Jenny Gordon at the Productivity Commission for their comments on earlier drafts of this note.</w:t>
      </w:r>
    </w:p>
  </w:footnote>
  <w:footnote w:id="2">
    <w:p w:rsidR="00916DF3" w:rsidRDefault="00916DF3">
      <w:pPr>
        <w:pStyle w:val="FootnoteText"/>
      </w:pPr>
      <w:r>
        <w:rPr>
          <w:rStyle w:val="FootnoteReference"/>
        </w:rPr>
        <w:footnoteRef/>
      </w:r>
      <w:r>
        <w:tab/>
        <w:t xml:space="preserve">The </w:t>
      </w:r>
      <w:r w:rsidR="008E7746">
        <w:t xml:space="preserve">Foundation </w:t>
      </w:r>
      <w:proofErr w:type="spellStart"/>
      <w:r>
        <w:t>LEED</w:t>
      </w:r>
      <w:proofErr w:type="spellEnd"/>
      <w:r>
        <w:t xml:space="preserve"> discussed here is the product of the ‘</w:t>
      </w:r>
      <w:proofErr w:type="spellStart"/>
      <w:r>
        <w:t>LEED</w:t>
      </w:r>
      <w:proofErr w:type="spellEnd"/>
      <w:r>
        <w:t xml:space="preserve"> Foundation projects’. The dataset referred to as the Foundation </w:t>
      </w:r>
      <w:proofErr w:type="spellStart"/>
      <w:r>
        <w:t>LEED</w:t>
      </w:r>
      <w:proofErr w:type="spellEnd"/>
      <w:r>
        <w:t xml:space="preserve"> in this paper is also referred to elsewhere as the</w:t>
      </w:r>
      <w:r w:rsidR="00CB462D">
        <w:t xml:space="preserve"> ‘Prototype </w:t>
      </w:r>
      <w:proofErr w:type="spellStart"/>
      <w:r w:rsidR="00CB462D">
        <w:t>LEED</w:t>
      </w:r>
      <w:proofErr w:type="spellEnd"/>
      <w:r w:rsidR="00CB462D">
        <w:t xml:space="preserve">’, the ‘Experimental </w:t>
      </w:r>
      <w:proofErr w:type="spellStart"/>
      <w:r w:rsidR="00CB462D">
        <w:t>LEED</w:t>
      </w:r>
      <w:proofErr w:type="spellEnd"/>
      <w:r w:rsidR="00CB462D">
        <w:t>’, the</w:t>
      </w:r>
      <w:r>
        <w:t xml:space="preserve"> ‘</w:t>
      </w:r>
      <w:proofErr w:type="spellStart"/>
      <w:r>
        <w:t>LEED</w:t>
      </w:r>
      <w:proofErr w:type="spellEnd"/>
      <w:r>
        <w:t xml:space="preserve"> Foundation Projects Integrated Dataset’ and the ‘</w:t>
      </w:r>
      <w:r w:rsidR="00A458D1">
        <w:t xml:space="preserve">Experimental Statistics on </w:t>
      </w:r>
      <w:r>
        <w:t>Employee, Earnings and Jobs</w:t>
      </w:r>
      <w:r w:rsidR="00A458D1">
        <w:t xml:space="preserve"> from Administrative Data, Australia 2011-12</w:t>
      </w:r>
      <w:r>
        <w:t>’.</w:t>
      </w:r>
    </w:p>
  </w:footnote>
  <w:footnote w:id="3">
    <w:p w:rsidR="00916DF3" w:rsidRDefault="00916DF3">
      <w:pPr>
        <w:pStyle w:val="FootnoteText"/>
      </w:pPr>
      <w:r>
        <w:rPr>
          <w:rStyle w:val="FootnoteReference"/>
        </w:rPr>
        <w:footnoteRef/>
      </w:r>
      <w:r>
        <w:tab/>
        <w:t xml:space="preserve">The Foundation </w:t>
      </w:r>
      <w:proofErr w:type="spellStart"/>
      <w:r>
        <w:t>LEED</w:t>
      </w:r>
      <w:proofErr w:type="spellEnd"/>
      <w:r>
        <w:t xml:space="preserve"> includes over 588,000 individuals who filed an income tax return, but could not be linked to a job or to an employer. It is possible that some of these represent owner-operators or workers on individual contracts. Further investigation is required to ascertain this, but it is likely that this </w:t>
      </w:r>
      <w:proofErr w:type="spellStart"/>
      <w:r>
        <w:t>LEED</w:t>
      </w:r>
      <w:proofErr w:type="spellEnd"/>
      <w:r>
        <w:t xml:space="preserve"> includes workers who are not employees. </w:t>
      </w:r>
    </w:p>
  </w:footnote>
  <w:footnote w:id="4">
    <w:p w:rsidR="00916DF3" w:rsidRDefault="00916DF3" w:rsidP="005039B1">
      <w:pPr>
        <w:pStyle w:val="FootnoteText"/>
      </w:pPr>
      <w:r>
        <w:rPr>
          <w:rStyle w:val="FootnoteReference"/>
        </w:rPr>
        <w:footnoteRef/>
      </w:r>
      <w:r w:rsidRPr="00565EA6">
        <w:rPr>
          <w:rStyle w:val="FootnoteReference"/>
        </w:rPr>
        <w:tab/>
      </w:r>
      <w:r w:rsidRPr="00565EA6">
        <w:t>Despite being d</w:t>
      </w:r>
      <w:r>
        <w:t xml:space="preserve">escribed in documentation </w:t>
      </w:r>
      <w:r w:rsidRPr="00565EA6">
        <w:t xml:space="preserve">as being extracted for the Foundation </w:t>
      </w:r>
      <w:proofErr w:type="spellStart"/>
      <w:r w:rsidRPr="00565EA6">
        <w:t>LEED</w:t>
      </w:r>
      <w:proofErr w:type="spellEnd"/>
      <w:r w:rsidRPr="00565EA6">
        <w:t xml:space="preserve">, the type of legal organisation and economic sector variables were not in the Foundation </w:t>
      </w:r>
      <w:proofErr w:type="spellStart"/>
      <w:r w:rsidRPr="00565EA6">
        <w:t>LEED</w:t>
      </w:r>
      <w:proofErr w:type="spellEnd"/>
      <w:r w:rsidRPr="00565EA6">
        <w:t xml:space="preserve"> variable list.</w:t>
      </w:r>
    </w:p>
  </w:footnote>
  <w:footnote w:id="5">
    <w:p w:rsidR="00916DF3" w:rsidRDefault="00916DF3" w:rsidP="005039B1">
      <w:pPr>
        <w:pStyle w:val="FootnoteText"/>
      </w:pPr>
      <w:r w:rsidRPr="005039B1">
        <w:footnoteRef/>
      </w:r>
      <w:r>
        <w:t xml:space="preserve"> </w:t>
      </w:r>
      <w:r>
        <w:tab/>
        <w:t xml:space="preserve">It is recognised that accounting data, which is collected for tax purposes, may be very different from economic data. That said, the data provide a starting point for developing economically relevant variables. </w:t>
      </w:r>
    </w:p>
  </w:footnote>
  <w:footnote w:id="6">
    <w:p w:rsidR="00916DF3" w:rsidRDefault="00916DF3">
      <w:pPr>
        <w:pStyle w:val="FootnoteText"/>
      </w:pPr>
      <w:r w:rsidRPr="005039B1">
        <w:footnoteRef/>
      </w:r>
      <w:r>
        <w:tab/>
        <w:t xml:space="preserve">The Research Evaluation Database (RED) is a longitudinal administrative database drawn from the Centrelink client database and maintained by the Department of Employment. RED includes transfer payment records and a range of personal details for all Centrelink income support payment recipients since 1998. Background Paper 5 of the Commission Research Paper into Housing Assistance and Employment in Australian contains further detail on RED </w:t>
      </w:r>
      <w:r w:rsidRPr="00AE1BEB">
        <w:rPr>
          <w:szCs w:val="24"/>
        </w:rPr>
        <w:t>(PC 2015)</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16DF3">
      <w:tc>
        <w:tcPr>
          <w:tcW w:w="6634" w:type="dxa"/>
          <w:tcBorders>
            <w:top w:val="single" w:sz="6" w:space="0" w:color="auto"/>
          </w:tcBorders>
        </w:tcPr>
        <w:p w:rsidR="00916DF3" w:rsidRDefault="00916DF3" w:rsidP="00E669E2">
          <w:pPr>
            <w:pStyle w:val="HeaderOdd"/>
          </w:pPr>
        </w:p>
      </w:tc>
      <w:tc>
        <w:tcPr>
          <w:tcW w:w="2155" w:type="dxa"/>
          <w:tcBorders>
            <w:top w:val="single" w:sz="24" w:space="0" w:color="auto"/>
          </w:tcBorders>
        </w:tcPr>
        <w:p w:rsidR="00916DF3" w:rsidRDefault="00916DF3" w:rsidP="00E669E2">
          <w:pPr>
            <w:pStyle w:val="HeaderOdd"/>
          </w:pPr>
        </w:p>
      </w:tc>
    </w:tr>
  </w:tbl>
  <w:p w:rsidR="001E475F" w:rsidRDefault="001E47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1E475F">
      <w:tc>
        <w:tcPr>
          <w:tcW w:w="2155" w:type="dxa"/>
          <w:tcBorders>
            <w:top w:val="single" w:sz="24" w:space="0" w:color="auto"/>
          </w:tcBorders>
        </w:tcPr>
        <w:p w:rsidR="001E475F" w:rsidRDefault="001E475F" w:rsidP="0019293B">
          <w:pPr>
            <w:pStyle w:val="HeaderEven"/>
          </w:pPr>
        </w:p>
      </w:tc>
      <w:tc>
        <w:tcPr>
          <w:tcW w:w="6634" w:type="dxa"/>
          <w:tcBorders>
            <w:top w:val="single" w:sz="6" w:space="0" w:color="auto"/>
          </w:tcBorders>
        </w:tcPr>
        <w:p w:rsidR="001E475F" w:rsidRDefault="001E475F" w:rsidP="0019293B">
          <w:pPr>
            <w:pStyle w:val="HeaderEven"/>
          </w:pPr>
        </w:p>
      </w:tc>
    </w:tr>
  </w:tbl>
  <w:p w:rsidR="001E475F" w:rsidRDefault="001E475F" w:rsidP="0019293B">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E475F">
      <w:tc>
        <w:tcPr>
          <w:tcW w:w="6634" w:type="dxa"/>
          <w:tcBorders>
            <w:top w:val="single" w:sz="6" w:space="0" w:color="auto"/>
          </w:tcBorders>
        </w:tcPr>
        <w:p w:rsidR="001E475F" w:rsidRDefault="001E475F" w:rsidP="00E669E2">
          <w:pPr>
            <w:pStyle w:val="HeaderOdd"/>
          </w:pPr>
        </w:p>
      </w:tc>
      <w:tc>
        <w:tcPr>
          <w:tcW w:w="2155" w:type="dxa"/>
          <w:tcBorders>
            <w:top w:val="single" w:sz="24" w:space="0" w:color="auto"/>
          </w:tcBorders>
        </w:tcPr>
        <w:p w:rsidR="001E475F" w:rsidRDefault="001E475F" w:rsidP="00E669E2">
          <w:pPr>
            <w:pStyle w:val="HeaderOdd"/>
          </w:pPr>
        </w:p>
      </w:tc>
    </w:tr>
  </w:tbl>
  <w:p w:rsidR="001E475F" w:rsidRDefault="001E475F"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2775F9"/>
    <w:multiLevelType w:val="hybridMultilevel"/>
    <w:tmpl w:val="7694A0FE"/>
    <w:lvl w:ilvl="0" w:tplc="6DCCA55E">
      <w:start w:val="24"/>
      <w:numFmt w:val="bullet"/>
      <w:lvlText w:val="-"/>
      <w:lvlJc w:val="left"/>
      <w:pPr>
        <w:ind w:left="366" w:hanging="360"/>
      </w:pPr>
      <w:rPr>
        <w:rFonts w:ascii="Arial" w:eastAsia="Times New Roman" w:hAnsi="Arial" w:cs="Aria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31985057"/>
    <w:multiLevelType w:val="hybridMultilevel"/>
    <w:tmpl w:val="BAB2E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74B79BA"/>
    <w:multiLevelType w:val="hybridMultilevel"/>
    <w:tmpl w:val="A558A4FA"/>
    <w:lvl w:ilvl="0" w:tplc="D40C8A1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FA67D78"/>
    <w:multiLevelType w:val="hybridMultilevel"/>
    <w:tmpl w:val="674EAD46"/>
    <w:lvl w:ilvl="0" w:tplc="0A3A991C">
      <w:numFmt w:val="bullet"/>
      <w:lvlText w:val="-"/>
      <w:lvlJc w:val="left"/>
      <w:pPr>
        <w:ind w:left="366" w:hanging="360"/>
      </w:pPr>
      <w:rPr>
        <w:rFonts w:ascii="Arial" w:eastAsia="Times New Roman" w:hAnsi="Arial" w:cs="Aria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6F58509E"/>
    <w:multiLevelType w:val="hybridMultilevel"/>
    <w:tmpl w:val="2F2C03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5">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6">
    <w:nsid w:val="7F9D03B1"/>
    <w:multiLevelType w:val="hybridMultilevel"/>
    <w:tmpl w:val="93EA1626"/>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17"/>
  </w:num>
  <w:num w:numId="4">
    <w:abstractNumId w:val="4"/>
  </w:num>
  <w:num w:numId="5">
    <w:abstractNumId w:val="22"/>
  </w:num>
  <w:num w:numId="6">
    <w:abstractNumId w:val="19"/>
  </w:num>
  <w:num w:numId="7">
    <w:abstractNumId w:val="8"/>
  </w:num>
  <w:num w:numId="8">
    <w:abstractNumId w:val="18"/>
  </w:num>
  <w:num w:numId="9">
    <w:abstractNumId w:val="7"/>
  </w:num>
  <w:num w:numId="10">
    <w:abstractNumId w:val="6"/>
  </w:num>
  <w:num w:numId="11">
    <w:abstractNumId w:val="10"/>
  </w:num>
  <w:num w:numId="12">
    <w:abstractNumId w:val="11"/>
  </w:num>
  <w:num w:numId="13">
    <w:abstractNumId w:val="5"/>
  </w:num>
  <w:num w:numId="14">
    <w:abstractNumId w:val="20"/>
  </w:num>
  <w:num w:numId="15">
    <w:abstractNumId w:val="24"/>
  </w:num>
  <w:num w:numId="16">
    <w:abstractNumId w:val="16"/>
  </w:num>
  <w:num w:numId="17">
    <w:abstractNumId w:val="25"/>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1"/>
  </w:num>
  <w:num w:numId="21">
    <w:abstractNumId w:val="9"/>
  </w:num>
  <w:num w:numId="22">
    <w:abstractNumId w:val="26"/>
  </w:num>
  <w:num w:numId="23">
    <w:abstractNumId w:val="14"/>
  </w:num>
  <w:num w:numId="24">
    <w:abstractNumId w:val="13"/>
  </w:num>
  <w:num w:numId="25">
    <w:abstractNumId w:val="15"/>
  </w:num>
  <w:num w:numId="26">
    <w:abstractNumId w:val="2"/>
  </w:num>
  <w:num w:numId="27">
    <w:abstractNumId w:val="23"/>
  </w:num>
  <w:num w:numId="2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The importance of Linked Employer-Employee Data"/>
    <w:docVar w:name="ShortReportTitle" w:val="The importance of Linked Employer-Employee Data"/>
  </w:docVars>
  <w:rsids>
    <w:rsidRoot w:val="003F699D"/>
    <w:rsid w:val="0000078D"/>
    <w:rsid w:val="0000337E"/>
    <w:rsid w:val="000050EE"/>
    <w:rsid w:val="0002223A"/>
    <w:rsid w:val="000227D5"/>
    <w:rsid w:val="000245AA"/>
    <w:rsid w:val="0003664B"/>
    <w:rsid w:val="00040418"/>
    <w:rsid w:val="0004111F"/>
    <w:rsid w:val="000520B0"/>
    <w:rsid w:val="00055077"/>
    <w:rsid w:val="000565B3"/>
    <w:rsid w:val="00062B6E"/>
    <w:rsid w:val="00066FF3"/>
    <w:rsid w:val="0007150B"/>
    <w:rsid w:val="00080621"/>
    <w:rsid w:val="00083511"/>
    <w:rsid w:val="00087C71"/>
    <w:rsid w:val="000938F5"/>
    <w:rsid w:val="00095663"/>
    <w:rsid w:val="00096E55"/>
    <w:rsid w:val="0009783E"/>
    <w:rsid w:val="000A416C"/>
    <w:rsid w:val="000A55C4"/>
    <w:rsid w:val="000A6265"/>
    <w:rsid w:val="000B0B73"/>
    <w:rsid w:val="000B1022"/>
    <w:rsid w:val="000B601B"/>
    <w:rsid w:val="000C207E"/>
    <w:rsid w:val="000C2F64"/>
    <w:rsid w:val="000C668E"/>
    <w:rsid w:val="000D3787"/>
    <w:rsid w:val="000D41E9"/>
    <w:rsid w:val="000D4AA6"/>
    <w:rsid w:val="000E1FA9"/>
    <w:rsid w:val="000E3F0E"/>
    <w:rsid w:val="000F0035"/>
    <w:rsid w:val="000F04E7"/>
    <w:rsid w:val="000F060A"/>
    <w:rsid w:val="000F0B7E"/>
    <w:rsid w:val="000F2FD0"/>
    <w:rsid w:val="000F420B"/>
    <w:rsid w:val="000F55DC"/>
    <w:rsid w:val="0010036F"/>
    <w:rsid w:val="00102A69"/>
    <w:rsid w:val="0010344D"/>
    <w:rsid w:val="00103DAA"/>
    <w:rsid w:val="00104928"/>
    <w:rsid w:val="001051E6"/>
    <w:rsid w:val="00105EC8"/>
    <w:rsid w:val="00110116"/>
    <w:rsid w:val="00120072"/>
    <w:rsid w:val="001236B4"/>
    <w:rsid w:val="00123B7A"/>
    <w:rsid w:val="00126EB8"/>
    <w:rsid w:val="001274D4"/>
    <w:rsid w:val="001336E9"/>
    <w:rsid w:val="001363AA"/>
    <w:rsid w:val="00136B0E"/>
    <w:rsid w:val="0013739A"/>
    <w:rsid w:val="00142165"/>
    <w:rsid w:val="0014570A"/>
    <w:rsid w:val="00145CFF"/>
    <w:rsid w:val="00147111"/>
    <w:rsid w:val="00156C02"/>
    <w:rsid w:val="00162434"/>
    <w:rsid w:val="001702BF"/>
    <w:rsid w:val="001705FA"/>
    <w:rsid w:val="001765A2"/>
    <w:rsid w:val="001803F7"/>
    <w:rsid w:val="00183E82"/>
    <w:rsid w:val="001878BB"/>
    <w:rsid w:val="00191AE0"/>
    <w:rsid w:val="0019293B"/>
    <w:rsid w:val="00193A7A"/>
    <w:rsid w:val="0019426B"/>
    <w:rsid w:val="001A3F84"/>
    <w:rsid w:val="001A6A4B"/>
    <w:rsid w:val="001B42DB"/>
    <w:rsid w:val="001C0865"/>
    <w:rsid w:val="001C0AED"/>
    <w:rsid w:val="001C3ABA"/>
    <w:rsid w:val="001C5111"/>
    <w:rsid w:val="001C6A55"/>
    <w:rsid w:val="001C77AF"/>
    <w:rsid w:val="001D7D97"/>
    <w:rsid w:val="001E475F"/>
    <w:rsid w:val="001E7BE8"/>
    <w:rsid w:val="001F0248"/>
    <w:rsid w:val="001F3A81"/>
    <w:rsid w:val="001F3EB3"/>
    <w:rsid w:val="001F4F86"/>
    <w:rsid w:val="00202C2C"/>
    <w:rsid w:val="00203050"/>
    <w:rsid w:val="00207E67"/>
    <w:rsid w:val="00210BAE"/>
    <w:rsid w:val="0021121A"/>
    <w:rsid w:val="00213374"/>
    <w:rsid w:val="002135AB"/>
    <w:rsid w:val="002144BE"/>
    <w:rsid w:val="0023539C"/>
    <w:rsid w:val="00240224"/>
    <w:rsid w:val="00242279"/>
    <w:rsid w:val="00243997"/>
    <w:rsid w:val="0024516C"/>
    <w:rsid w:val="00245204"/>
    <w:rsid w:val="002454B5"/>
    <w:rsid w:val="00245C82"/>
    <w:rsid w:val="00247EA0"/>
    <w:rsid w:val="002625DA"/>
    <w:rsid w:val="0026790E"/>
    <w:rsid w:val="002724BA"/>
    <w:rsid w:val="00290742"/>
    <w:rsid w:val="00291B40"/>
    <w:rsid w:val="002978E8"/>
    <w:rsid w:val="002A3F76"/>
    <w:rsid w:val="002A43F7"/>
    <w:rsid w:val="002B1F95"/>
    <w:rsid w:val="002B34F1"/>
    <w:rsid w:val="002B4008"/>
    <w:rsid w:val="002C439F"/>
    <w:rsid w:val="002C5F29"/>
    <w:rsid w:val="002D0C42"/>
    <w:rsid w:val="002D0E8E"/>
    <w:rsid w:val="002D5821"/>
    <w:rsid w:val="002D72AA"/>
    <w:rsid w:val="002D7B98"/>
    <w:rsid w:val="002E32F7"/>
    <w:rsid w:val="002E3992"/>
    <w:rsid w:val="002E521D"/>
    <w:rsid w:val="002F3E2A"/>
    <w:rsid w:val="002F44E0"/>
    <w:rsid w:val="002F56CE"/>
    <w:rsid w:val="002F6B96"/>
    <w:rsid w:val="00301189"/>
    <w:rsid w:val="00301E4A"/>
    <w:rsid w:val="003168B8"/>
    <w:rsid w:val="00322D64"/>
    <w:rsid w:val="00323E09"/>
    <w:rsid w:val="00330A1C"/>
    <w:rsid w:val="00332D4B"/>
    <w:rsid w:val="00333932"/>
    <w:rsid w:val="003352DD"/>
    <w:rsid w:val="00351882"/>
    <w:rsid w:val="003518AA"/>
    <w:rsid w:val="00352165"/>
    <w:rsid w:val="00353182"/>
    <w:rsid w:val="003565D9"/>
    <w:rsid w:val="003576D9"/>
    <w:rsid w:val="003602E1"/>
    <w:rsid w:val="00365A5B"/>
    <w:rsid w:val="0037026F"/>
    <w:rsid w:val="00371240"/>
    <w:rsid w:val="00374731"/>
    <w:rsid w:val="00376E59"/>
    <w:rsid w:val="0037751E"/>
    <w:rsid w:val="00377EC1"/>
    <w:rsid w:val="00380340"/>
    <w:rsid w:val="0038620B"/>
    <w:rsid w:val="00391218"/>
    <w:rsid w:val="003919F9"/>
    <w:rsid w:val="003920CF"/>
    <w:rsid w:val="00392700"/>
    <w:rsid w:val="003957A4"/>
    <w:rsid w:val="003A60F3"/>
    <w:rsid w:val="003B23C2"/>
    <w:rsid w:val="003B6F29"/>
    <w:rsid w:val="003C0A77"/>
    <w:rsid w:val="003C38B5"/>
    <w:rsid w:val="003C4063"/>
    <w:rsid w:val="003C5D99"/>
    <w:rsid w:val="003D1087"/>
    <w:rsid w:val="003D757E"/>
    <w:rsid w:val="003E2F59"/>
    <w:rsid w:val="003E4E5B"/>
    <w:rsid w:val="003E5089"/>
    <w:rsid w:val="003E5461"/>
    <w:rsid w:val="003E70F0"/>
    <w:rsid w:val="003E746B"/>
    <w:rsid w:val="003F0789"/>
    <w:rsid w:val="003F418B"/>
    <w:rsid w:val="003F5F55"/>
    <w:rsid w:val="003F699D"/>
    <w:rsid w:val="00401061"/>
    <w:rsid w:val="00401882"/>
    <w:rsid w:val="004052DD"/>
    <w:rsid w:val="00406C03"/>
    <w:rsid w:val="004100C8"/>
    <w:rsid w:val="00411DBD"/>
    <w:rsid w:val="00412ACE"/>
    <w:rsid w:val="004145D2"/>
    <w:rsid w:val="00425836"/>
    <w:rsid w:val="00426CB4"/>
    <w:rsid w:val="00427569"/>
    <w:rsid w:val="00431026"/>
    <w:rsid w:val="00431249"/>
    <w:rsid w:val="00432F80"/>
    <w:rsid w:val="00434C19"/>
    <w:rsid w:val="004400F7"/>
    <w:rsid w:val="00446AA5"/>
    <w:rsid w:val="0045026A"/>
    <w:rsid w:val="00450810"/>
    <w:rsid w:val="00452449"/>
    <w:rsid w:val="00454E33"/>
    <w:rsid w:val="00455513"/>
    <w:rsid w:val="00462C59"/>
    <w:rsid w:val="00470737"/>
    <w:rsid w:val="00472E89"/>
    <w:rsid w:val="0047367F"/>
    <w:rsid w:val="00477144"/>
    <w:rsid w:val="00485CA6"/>
    <w:rsid w:val="00491380"/>
    <w:rsid w:val="004921D6"/>
    <w:rsid w:val="00492380"/>
    <w:rsid w:val="0049459F"/>
    <w:rsid w:val="004A38DD"/>
    <w:rsid w:val="004A4298"/>
    <w:rsid w:val="004A5BDD"/>
    <w:rsid w:val="004B2AFA"/>
    <w:rsid w:val="004B43AE"/>
    <w:rsid w:val="004B6362"/>
    <w:rsid w:val="004C30ED"/>
    <w:rsid w:val="004D5675"/>
    <w:rsid w:val="004D6D26"/>
    <w:rsid w:val="004D7A8B"/>
    <w:rsid w:val="004D7BC8"/>
    <w:rsid w:val="004E1A0A"/>
    <w:rsid w:val="004E2371"/>
    <w:rsid w:val="004E3084"/>
    <w:rsid w:val="004E42EC"/>
    <w:rsid w:val="004F0235"/>
    <w:rsid w:val="004F2212"/>
    <w:rsid w:val="004F70B6"/>
    <w:rsid w:val="00500C9A"/>
    <w:rsid w:val="00503320"/>
    <w:rsid w:val="005039B1"/>
    <w:rsid w:val="005052CD"/>
    <w:rsid w:val="00512E53"/>
    <w:rsid w:val="00517795"/>
    <w:rsid w:val="00523639"/>
    <w:rsid w:val="005253BE"/>
    <w:rsid w:val="00530F0C"/>
    <w:rsid w:val="00531FE5"/>
    <w:rsid w:val="005366AD"/>
    <w:rsid w:val="0053700F"/>
    <w:rsid w:val="005402FA"/>
    <w:rsid w:val="00565C0F"/>
    <w:rsid w:val="00565EA6"/>
    <w:rsid w:val="00567892"/>
    <w:rsid w:val="00570A1F"/>
    <w:rsid w:val="005729BD"/>
    <w:rsid w:val="00580154"/>
    <w:rsid w:val="00583C39"/>
    <w:rsid w:val="00586A90"/>
    <w:rsid w:val="00587F28"/>
    <w:rsid w:val="005909CF"/>
    <w:rsid w:val="00591E71"/>
    <w:rsid w:val="00592FDC"/>
    <w:rsid w:val="00593F87"/>
    <w:rsid w:val="005A0D41"/>
    <w:rsid w:val="005C3B0E"/>
    <w:rsid w:val="005D329F"/>
    <w:rsid w:val="005E18D7"/>
    <w:rsid w:val="005E7406"/>
    <w:rsid w:val="005F48ED"/>
    <w:rsid w:val="005F704A"/>
    <w:rsid w:val="00604CE3"/>
    <w:rsid w:val="00606E78"/>
    <w:rsid w:val="00607BF1"/>
    <w:rsid w:val="00630D4D"/>
    <w:rsid w:val="0063120D"/>
    <w:rsid w:val="00632A74"/>
    <w:rsid w:val="00632FE9"/>
    <w:rsid w:val="00646A36"/>
    <w:rsid w:val="00647B0E"/>
    <w:rsid w:val="00650C79"/>
    <w:rsid w:val="00654D42"/>
    <w:rsid w:val="00660FD4"/>
    <w:rsid w:val="00664EC1"/>
    <w:rsid w:val="00666E02"/>
    <w:rsid w:val="006707CE"/>
    <w:rsid w:val="0067296E"/>
    <w:rsid w:val="00674A47"/>
    <w:rsid w:val="00680D07"/>
    <w:rsid w:val="00685D32"/>
    <w:rsid w:val="00686E49"/>
    <w:rsid w:val="006A4655"/>
    <w:rsid w:val="006B2B3C"/>
    <w:rsid w:val="006B4808"/>
    <w:rsid w:val="006B4EFA"/>
    <w:rsid w:val="006C1D81"/>
    <w:rsid w:val="006C2C2A"/>
    <w:rsid w:val="006C6250"/>
    <w:rsid w:val="006C7038"/>
    <w:rsid w:val="006D3E21"/>
    <w:rsid w:val="006D62C4"/>
    <w:rsid w:val="006E73EF"/>
    <w:rsid w:val="006F524C"/>
    <w:rsid w:val="007079C9"/>
    <w:rsid w:val="00710588"/>
    <w:rsid w:val="00714D4D"/>
    <w:rsid w:val="0071692C"/>
    <w:rsid w:val="007266D3"/>
    <w:rsid w:val="00732029"/>
    <w:rsid w:val="00735136"/>
    <w:rsid w:val="00735BF3"/>
    <w:rsid w:val="007439C5"/>
    <w:rsid w:val="007604BB"/>
    <w:rsid w:val="00772442"/>
    <w:rsid w:val="00772909"/>
    <w:rsid w:val="00772F8D"/>
    <w:rsid w:val="0078353C"/>
    <w:rsid w:val="00784FCA"/>
    <w:rsid w:val="00785232"/>
    <w:rsid w:val="00785D28"/>
    <w:rsid w:val="00786514"/>
    <w:rsid w:val="0079255E"/>
    <w:rsid w:val="0079701E"/>
    <w:rsid w:val="007A21EB"/>
    <w:rsid w:val="007A38D9"/>
    <w:rsid w:val="007A3F8F"/>
    <w:rsid w:val="007B1A93"/>
    <w:rsid w:val="007B6AF4"/>
    <w:rsid w:val="007C36C9"/>
    <w:rsid w:val="007C61AC"/>
    <w:rsid w:val="007D1357"/>
    <w:rsid w:val="007D1F03"/>
    <w:rsid w:val="007D6401"/>
    <w:rsid w:val="007D7646"/>
    <w:rsid w:val="007E01E4"/>
    <w:rsid w:val="007E1CF2"/>
    <w:rsid w:val="007E2AA4"/>
    <w:rsid w:val="007E7A12"/>
    <w:rsid w:val="007F23AC"/>
    <w:rsid w:val="007F4943"/>
    <w:rsid w:val="007F7107"/>
    <w:rsid w:val="00800D4C"/>
    <w:rsid w:val="00805249"/>
    <w:rsid w:val="0081030F"/>
    <w:rsid w:val="00812F4A"/>
    <w:rsid w:val="00814345"/>
    <w:rsid w:val="00816542"/>
    <w:rsid w:val="008169EF"/>
    <w:rsid w:val="0082087D"/>
    <w:rsid w:val="00823E00"/>
    <w:rsid w:val="00835771"/>
    <w:rsid w:val="0083690A"/>
    <w:rsid w:val="0084292B"/>
    <w:rsid w:val="00842933"/>
    <w:rsid w:val="00844257"/>
    <w:rsid w:val="00845FE0"/>
    <w:rsid w:val="00850368"/>
    <w:rsid w:val="008509F5"/>
    <w:rsid w:val="00852EF4"/>
    <w:rsid w:val="00857E09"/>
    <w:rsid w:val="0086082C"/>
    <w:rsid w:val="00863248"/>
    <w:rsid w:val="0086399E"/>
    <w:rsid w:val="00864ADC"/>
    <w:rsid w:val="00876E70"/>
    <w:rsid w:val="00880153"/>
    <w:rsid w:val="00880F97"/>
    <w:rsid w:val="0088133A"/>
    <w:rsid w:val="00885B73"/>
    <w:rsid w:val="0089285E"/>
    <w:rsid w:val="0089436C"/>
    <w:rsid w:val="00897AFA"/>
    <w:rsid w:val="008A46E2"/>
    <w:rsid w:val="008B7807"/>
    <w:rsid w:val="008D11FB"/>
    <w:rsid w:val="008D1CB9"/>
    <w:rsid w:val="008D365C"/>
    <w:rsid w:val="008D4612"/>
    <w:rsid w:val="008D7622"/>
    <w:rsid w:val="008E0377"/>
    <w:rsid w:val="008E7746"/>
    <w:rsid w:val="008F167E"/>
    <w:rsid w:val="00901A19"/>
    <w:rsid w:val="009021A6"/>
    <w:rsid w:val="009027B4"/>
    <w:rsid w:val="009030BF"/>
    <w:rsid w:val="00903B52"/>
    <w:rsid w:val="0091032F"/>
    <w:rsid w:val="00914368"/>
    <w:rsid w:val="00916DF3"/>
    <w:rsid w:val="0092415F"/>
    <w:rsid w:val="009264CB"/>
    <w:rsid w:val="00927C63"/>
    <w:rsid w:val="00931076"/>
    <w:rsid w:val="009345D9"/>
    <w:rsid w:val="00934B15"/>
    <w:rsid w:val="0094058E"/>
    <w:rsid w:val="00940C87"/>
    <w:rsid w:val="00942B62"/>
    <w:rsid w:val="00947A8F"/>
    <w:rsid w:val="0095323B"/>
    <w:rsid w:val="00953D3B"/>
    <w:rsid w:val="009544F6"/>
    <w:rsid w:val="00956A0C"/>
    <w:rsid w:val="00956BD9"/>
    <w:rsid w:val="00962489"/>
    <w:rsid w:val="00967CD3"/>
    <w:rsid w:val="00970808"/>
    <w:rsid w:val="0097428E"/>
    <w:rsid w:val="009753AB"/>
    <w:rsid w:val="00975E70"/>
    <w:rsid w:val="00981760"/>
    <w:rsid w:val="0098212E"/>
    <w:rsid w:val="00990068"/>
    <w:rsid w:val="00990C2C"/>
    <w:rsid w:val="009A16A6"/>
    <w:rsid w:val="009A2220"/>
    <w:rsid w:val="009A3CAB"/>
    <w:rsid w:val="009A5171"/>
    <w:rsid w:val="009B2F9D"/>
    <w:rsid w:val="009D29BA"/>
    <w:rsid w:val="009E1844"/>
    <w:rsid w:val="009E46E0"/>
    <w:rsid w:val="009F02C4"/>
    <w:rsid w:val="009F0D1B"/>
    <w:rsid w:val="009F5BBD"/>
    <w:rsid w:val="009F696D"/>
    <w:rsid w:val="009F6BC6"/>
    <w:rsid w:val="009F74EF"/>
    <w:rsid w:val="00A02826"/>
    <w:rsid w:val="00A06195"/>
    <w:rsid w:val="00A078B7"/>
    <w:rsid w:val="00A15D5A"/>
    <w:rsid w:val="00A1686C"/>
    <w:rsid w:val="00A17328"/>
    <w:rsid w:val="00A23A20"/>
    <w:rsid w:val="00A24443"/>
    <w:rsid w:val="00A257EB"/>
    <w:rsid w:val="00A268B9"/>
    <w:rsid w:val="00A2703A"/>
    <w:rsid w:val="00A30CF5"/>
    <w:rsid w:val="00A33DFF"/>
    <w:rsid w:val="00A35115"/>
    <w:rsid w:val="00A36D9A"/>
    <w:rsid w:val="00A43C67"/>
    <w:rsid w:val="00A44752"/>
    <w:rsid w:val="00A451DC"/>
    <w:rsid w:val="00A458D1"/>
    <w:rsid w:val="00A4797E"/>
    <w:rsid w:val="00A554AB"/>
    <w:rsid w:val="00A55A53"/>
    <w:rsid w:val="00A57062"/>
    <w:rsid w:val="00A67781"/>
    <w:rsid w:val="00A72716"/>
    <w:rsid w:val="00A7410A"/>
    <w:rsid w:val="00A761F9"/>
    <w:rsid w:val="00A76547"/>
    <w:rsid w:val="00A81E5F"/>
    <w:rsid w:val="00A845C3"/>
    <w:rsid w:val="00A85983"/>
    <w:rsid w:val="00A92B53"/>
    <w:rsid w:val="00A94FA6"/>
    <w:rsid w:val="00A97E40"/>
    <w:rsid w:val="00AA2BA3"/>
    <w:rsid w:val="00AA49A0"/>
    <w:rsid w:val="00AA5B01"/>
    <w:rsid w:val="00AA6710"/>
    <w:rsid w:val="00AB0681"/>
    <w:rsid w:val="00AB4E32"/>
    <w:rsid w:val="00AC2B11"/>
    <w:rsid w:val="00AC2FB5"/>
    <w:rsid w:val="00AC3A15"/>
    <w:rsid w:val="00AD520B"/>
    <w:rsid w:val="00AE0872"/>
    <w:rsid w:val="00AE1BEB"/>
    <w:rsid w:val="00AE33E1"/>
    <w:rsid w:val="00AE3BCC"/>
    <w:rsid w:val="00AE7625"/>
    <w:rsid w:val="00AF047A"/>
    <w:rsid w:val="00AF3381"/>
    <w:rsid w:val="00B019CF"/>
    <w:rsid w:val="00B04054"/>
    <w:rsid w:val="00B1417B"/>
    <w:rsid w:val="00B16E89"/>
    <w:rsid w:val="00B210C4"/>
    <w:rsid w:val="00B425C3"/>
    <w:rsid w:val="00B42F04"/>
    <w:rsid w:val="00B440AD"/>
    <w:rsid w:val="00B479BB"/>
    <w:rsid w:val="00B52DB8"/>
    <w:rsid w:val="00B53E7E"/>
    <w:rsid w:val="00B6342E"/>
    <w:rsid w:val="00B64C23"/>
    <w:rsid w:val="00B6736C"/>
    <w:rsid w:val="00B6780A"/>
    <w:rsid w:val="00B7113F"/>
    <w:rsid w:val="00B7476B"/>
    <w:rsid w:val="00B82AD7"/>
    <w:rsid w:val="00B95879"/>
    <w:rsid w:val="00BA05F4"/>
    <w:rsid w:val="00BA2BCF"/>
    <w:rsid w:val="00BA3190"/>
    <w:rsid w:val="00BA5B14"/>
    <w:rsid w:val="00BA6BAE"/>
    <w:rsid w:val="00BA73B6"/>
    <w:rsid w:val="00BA7E27"/>
    <w:rsid w:val="00BB0D98"/>
    <w:rsid w:val="00BB2603"/>
    <w:rsid w:val="00BB4FCD"/>
    <w:rsid w:val="00BB744E"/>
    <w:rsid w:val="00BC04E9"/>
    <w:rsid w:val="00BC71D2"/>
    <w:rsid w:val="00BD13EA"/>
    <w:rsid w:val="00BD661E"/>
    <w:rsid w:val="00BE3808"/>
    <w:rsid w:val="00BF5B8E"/>
    <w:rsid w:val="00C01EBE"/>
    <w:rsid w:val="00C03B88"/>
    <w:rsid w:val="00C062E9"/>
    <w:rsid w:val="00C07B64"/>
    <w:rsid w:val="00C12B10"/>
    <w:rsid w:val="00C133EA"/>
    <w:rsid w:val="00C13721"/>
    <w:rsid w:val="00C149B7"/>
    <w:rsid w:val="00C14FE4"/>
    <w:rsid w:val="00C16F7B"/>
    <w:rsid w:val="00C2167F"/>
    <w:rsid w:val="00C24418"/>
    <w:rsid w:val="00C3066D"/>
    <w:rsid w:val="00C337F7"/>
    <w:rsid w:val="00C3492E"/>
    <w:rsid w:val="00C44F07"/>
    <w:rsid w:val="00C45EAF"/>
    <w:rsid w:val="00C50C12"/>
    <w:rsid w:val="00C52416"/>
    <w:rsid w:val="00C543F4"/>
    <w:rsid w:val="00C62456"/>
    <w:rsid w:val="00C6291C"/>
    <w:rsid w:val="00C633CB"/>
    <w:rsid w:val="00C63C5D"/>
    <w:rsid w:val="00C6589A"/>
    <w:rsid w:val="00C660EE"/>
    <w:rsid w:val="00C664CD"/>
    <w:rsid w:val="00C736B7"/>
    <w:rsid w:val="00C81D4A"/>
    <w:rsid w:val="00C8762C"/>
    <w:rsid w:val="00C916D5"/>
    <w:rsid w:val="00CA00F9"/>
    <w:rsid w:val="00CA06E7"/>
    <w:rsid w:val="00CA1353"/>
    <w:rsid w:val="00CA14EE"/>
    <w:rsid w:val="00CA2961"/>
    <w:rsid w:val="00CB462D"/>
    <w:rsid w:val="00CB50D7"/>
    <w:rsid w:val="00CB7177"/>
    <w:rsid w:val="00CB7C4D"/>
    <w:rsid w:val="00CB7CED"/>
    <w:rsid w:val="00CC070F"/>
    <w:rsid w:val="00CC1998"/>
    <w:rsid w:val="00CC4946"/>
    <w:rsid w:val="00CC64A1"/>
    <w:rsid w:val="00CD11AB"/>
    <w:rsid w:val="00CD267B"/>
    <w:rsid w:val="00CE400B"/>
    <w:rsid w:val="00CE66DF"/>
    <w:rsid w:val="00CF1E8B"/>
    <w:rsid w:val="00CF2E16"/>
    <w:rsid w:val="00CF320E"/>
    <w:rsid w:val="00CF3B11"/>
    <w:rsid w:val="00D01CA8"/>
    <w:rsid w:val="00D04A74"/>
    <w:rsid w:val="00D0748E"/>
    <w:rsid w:val="00D132DD"/>
    <w:rsid w:val="00D2204B"/>
    <w:rsid w:val="00D270A4"/>
    <w:rsid w:val="00D31FE9"/>
    <w:rsid w:val="00D34E1B"/>
    <w:rsid w:val="00D376BA"/>
    <w:rsid w:val="00D434A0"/>
    <w:rsid w:val="00D45634"/>
    <w:rsid w:val="00D5568A"/>
    <w:rsid w:val="00D63914"/>
    <w:rsid w:val="00D63D73"/>
    <w:rsid w:val="00D6441A"/>
    <w:rsid w:val="00D64452"/>
    <w:rsid w:val="00D66E1E"/>
    <w:rsid w:val="00D676E0"/>
    <w:rsid w:val="00D70696"/>
    <w:rsid w:val="00D7122E"/>
    <w:rsid w:val="00D74063"/>
    <w:rsid w:val="00D75722"/>
    <w:rsid w:val="00D80CF5"/>
    <w:rsid w:val="00D81B24"/>
    <w:rsid w:val="00D96375"/>
    <w:rsid w:val="00DA5BBA"/>
    <w:rsid w:val="00DB26D2"/>
    <w:rsid w:val="00DB351A"/>
    <w:rsid w:val="00DB5EB9"/>
    <w:rsid w:val="00DB67C9"/>
    <w:rsid w:val="00DC0C95"/>
    <w:rsid w:val="00DC3E7D"/>
    <w:rsid w:val="00DC4F0B"/>
    <w:rsid w:val="00DD6580"/>
    <w:rsid w:val="00DE0129"/>
    <w:rsid w:val="00DE3392"/>
    <w:rsid w:val="00DE5800"/>
    <w:rsid w:val="00DF12B7"/>
    <w:rsid w:val="00DF1E84"/>
    <w:rsid w:val="00DF7BBE"/>
    <w:rsid w:val="00E01D7F"/>
    <w:rsid w:val="00E05C03"/>
    <w:rsid w:val="00E10287"/>
    <w:rsid w:val="00E11737"/>
    <w:rsid w:val="00E17C72"/>
    <w:rsid w:val="00E201DA"/>
    <w:rsid w:val="00E21FC6"/>
    <w:rsid w:val="00E35E82"/>
    <w:rsid w:val="00E431A9"/>
    <w:rsid w:val="00E52006"/>
    <w:rsid w:val="00E557CD"/>
    <w:rsid w:val="00E60066"/>
    <w:rsid w:val="00E669E2"/>
    <w:rsid w:val="00E76135"/>
    <w:rsid w:val="00E80E1A"/>
    <w:rsid w:val="00E82F4F"/>
    <w:rsid w:val="00E84C78"/>
    <w:rsid w:val="00E85027"/>
    <w:rsid w:val="00E8502C"/>
    <w:rsid w:val="00E864DF"/>
    <w:rsid w:val="00E94698"/>
    <w:rsid w:val="00E95715"/>
    <w:rsid w:val="00EA2AF0"/>
    <w:rsid w:val="00EA71D5"/>
    <w:rsid w:val="00EB2CC3"/>
    <w:rsid w:val="00EB413D"/>
    <w:rsid w:val="00EC1BF1"/>
    <w:rsid w:val="00EC2844"/>
    <w:rsid w:val="00EC5500"/>
    <w:rsid w:val="00ED18F8"/>
    <w:rsid w:val="00ED54FA"/>
    <w:rsid w:val="00EE6EDA"/>
    <w:rsid w:val="00EE778E"/>
    <w:rsid w:val="00EF16D6"/>
    <w:rsid w:val="00EF6719"/>
    <w:rsid w:val="00EF6775"/>
    <w:rsid w:val="00EF6C6C"/>
    <w:rsid w:val="00EF77A0"/>
    <w:rsid w:val="00F056FC"/>
    <w:rsid w:val="00F0632F"/>
    <w:rsid w:val="00F069AE"/>
    <w:rsid w:val="00F06CBD"/>
    <w:rsid w:val="00F07517"/>
    <w:rsid w:val="00F10476"/>
    <w:rsid w:val="00F135D8"/>
    <w:rsid w:val="00F15387"/>
    <w:rsid w:val="00F20042"/>
    <w:rsid w:val="00F31299"/>
    <w:rsid w:val="00F3534A"/>
    <w:rsid w:val="00F35BFB"/>
    <w:rsid w:val="00F36ACC"/>
    <w:rsid w:val="00F4527B"/>
    <w:rsid w:val="00F51609"/>
    <w:rsid w:val="00F530A3"/>
    <w:rsid w:val="00F55C25"/>
    <w:rsid w:val="00F609BA"/>
    <w:rsid w:val="00F720C2"/>
    <w:rsid w:val="00F73727"/>
    <w:rsid w:val="00F75CC0"/>
    <w:rsid w:val="00F766A7"/>
    <w:rsid w:val="00F81006"/>
    <w:rsid w:val="00F8389C"/>
    <w:rsid w:val="00F84645"/>
    <w:rsid w:val="00F85325"/>
    <w:rsid w:val="00F95C23"/>
    <w:rsid w:val="00F96E55"/>
    <w:rsid w:val="00FC4598"/>
    <w:rsid w:val="00FD22B1"/>
    <w:rsid w:val="00FD22E1"/>
    <w:rsid w:val="00FD2641"/>
    <w:rsid w:val="00FD33F1"/>
    <w:rsid w:val="00FD3566"/>
    <w:rsid w:val="00FD5B94"/>
    <w:rsid w:val="00FE1EF4"/>
    <w:rsid w:val="00FE5397"/>
    <w:rsid w:val="00FF03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ListParagraph">
    <w:name w:val="List Paragraph"/>
    <w:basedOn w:val="Normal"/>
    <w:uiPriority w:val="34"/>
    <w:qFormat/>
    <w:rsid w:val="00F75CC0"/>
    <w:pPr>
      <w:spacing w:after="200" w:line="276" w:lineRule="auto"/>
      <w:ind w:left="720"/>
      <w:contextualSpacing/>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E8502C"/>
    <w:pPr>
      <w:spacing w:after="240"/>
      <w:ind w:left="720" w:hanging="720"/>
    </w:pPr>
  </w:style>
  <w:style w:type="character" w:customStyle="1" w:styleId="FootnoteTextChar">
    <w:name w:val="Footnote Text Char"/>
    <w:basedOn w:val="DefaultParagraphFont"/>
    <w:link w:val="FootnoteText"/>
    <w:rsid w:val="002D72AA"/>
  </w:style>
  <w:style w:type="paragraph" w:styleId="CommentSubject">
    <w:name w:val="annotation subject"/>
    <w:basedOn w:val="CommentText"/>
    <w:next w:val="CommentText"/>
    <w:link w:val="CommentSubjectChar"/>
    <w:rsid w:val="00FE1EF4"/>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FE1EF4"/>
    <w:rPr>
      <w:szCs w:val="24"/>
    </w:rPr>
  </w:style>
  <w:style w:type="character" w:customStyle="1" w:styleId="CommentSubjectChar">
    <w:name w:val="Comment Subject Char"/>
    <w:basedOn w:val="CommentTextChar"/>
    <w:link w:val="CommentSubject"/>
    <w:rsid w:val="00FE1EF4"/>
    <w:rPr>
      <w:b/>
      <w:bCs/>
      <w:szCs w:val="24"/>
    </w:rPr>
  </w:style>
  <w:style w:type="paragraph" w:styleId="Revision">
    <w:name w:val="Revision"/>
    <w:hidden/>
    <w:uiPriority w:val="99"/>
    <w:semiHidden/>
    <w:rsid w:val="00DE5800"/>
    <w:rPr>
      <w:sz w:val="24"/>
      <w:szCs w:val="24"/>
    </w:rPr>
  </w:style>
  <w:style w:type="character" w:styleId="Hyperlink">
    <w:name w:val="Hyperlink"/>
    <w:basedOn w:val="DefaultParagraphFont"/>
    <w:rsid w:val="00CF1E8B"/>
    <w:rPr>
      <w:color w:val="78A22F" w:themeColor="hyperlink"/>
      <w:u w:val="single"/>
    </w:rPr>
  </w:style>
  <w:style w:type="character" w:styleId="FollowedHyperlink">
    <w:name w:val="FollowedHyperlink"/>
    <w:basedOn w:val="DefaultParagraphFont"/>
    <w:rsid w:val="00C3492E"/>
    <w:rPr>
      <w:color w:val="387DD2" w:themeColor="followedHyperlink"/>
      <w:u w:val="single"/>
    </w:rPr>
  </w:style>
  <w:style w:type="paragraph" w:customStyle="1" w:styleId="Copyrightheading">
    <w:name w:val="Copyright heading"/>
    <w:basedOn w:val="TOC1"/>
    <w:link w:val="CopyrightheadingChar"/>
    <w:qFormat/>
    <w:rsid w:val="001E475F"/>
    <w:pPr>
      <w:spacing w:line="300" w:lineRule="exact"/>
    </w:pPr>
    <w:rPr>
      <w:sz w:val="22"/>
    </w:rPr>
  </w:style>
  <w:style w:type="character" w:customStyle="1" w:styleId="CopyrightheadingChar">
    <w:name w:val="Copyright heading Char"/>
    <w:basedOn w:val="TOC1Char"/>
    <w:link w:val="Copyrightheading"/>
    <w:rsid w:val="001E475F"/>
    <w:rPr>
      <w:rFonts w:ascii="Arial" w:hAnsi="Arial"/>
      <w:b/>
      <w:sz w:val="22"/>
      <w:szCs w:val="26"/>
      <w:lang w:eastAsia="en-US"/>
    </w:rPr>
  </w:style>
  <w:style w:type="paragraph" w:customStyle="1" w:styleId="Copyrightsubtitle">
    <w:name w:val="Copyright subtitle"/>
    <w:basedOn w:val="BodyText"/>
    <w:rsid w:val="001E475F"/>
    <w:rPr>
      <w:rFonts w:ascii="Arial" w:hAnsi="Arial"/>
      <w:b/>
      <w:sz w:val="22"/>
      <w:szCs w:val="25"/>
    </w:rPr>
  </w:style>
  <w:style w:type="paragraph" w:customStyle="1" w:styleId="Copyrightbodytext">
    <w:name w:val="Copyright bodytext"/>
    <w:basedOn w:val="BodyText"/>
    <w:link w:val="CopyrightbodytextChar"/>
    <w:qFormat/>
    <w:rsid w:val="001E475F"/>
    <w:pPr>
      <w:spacing w:before="60"/>
    </w:pPr>
  </w:style>
  <w:style w:type="character" w:customStyle="1" w:styleId="CopyrightbodytextChar">
    <w:name w:val="Copyright bodytext Char"/>
    <w:basedOn w:val="BodyTextChar"/>
    <w:link w:val="Copyrightbodytext"/>
    <w:rsid w:val="001E475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ListParagraph">
    <w:name w:val="List Paragraph"/>
    <w:basedOn w:val="Normal"/>
    <w:uiPriority w:val="34"/>
    <w:qFormat/>
    <w:rsid w:val="00F75CC0"/>
    <w:pPr>
      <w:spacing w:after="200" w:line="276" w:lineRule="auto"/>
      <w:ind w:left="720"/>
      <w:contextualSpacing/>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E8502C"/>
    <w:pPr>
      <w:spacing w:after="240"/>
      <w:ind w:left="720" w:hanging="720"/>
    </w:pPr>
  </w:style>
  <w:style w:type="character" w:customStyle="1" w:styleId="FootnoteTextChar">
    <w:name w:val="Footnote Text Char"/>
    <w:basedOn w:val="DefaultParagraphFont"/>
    <w:link w:val="FootnoteText"/>
    <w:rsid w:val="002D72AA"/>
  </w:style>
  <w:style w:type="paragraph" w:styleId="CommentSubject">
    <w:name w:val="annotation subject"/>
    <w:basedOn w:val="CommentText"/>
    <w:next w:val="CommentText"/>
    <w:link w:val="CommentSubjectChar"/>
    <w:rsid w:val="00FE1EF4"/>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FE1EF4"/>
    <w:rPr>
      <w:szCs w:val="24"/>
    </w:rPr>
  </w:style>
  <w:style w:type="character" w:customStyle="1" w:styleId="CommentSubjectChar">
    <w:name w:val="Comment Subject Char"/>
    <w:basedOn w:val="CommentTextChar"/>
    <w:link w:val="CommentSubject"/>
    <w:rsid w:val="00FE1EF4"/>
    <w:rPr>
      <w:b/>
      <w:bCs/>
      <w:szCs w:val="24"/>
    </w:rPr>
  </w:style>
  <w:style w:type="paragraph" w:styleId="Revision">
    <w:name w:val="Revision"/>
    <w:hidden/>
    <w:uiPriority w:val="99"/>
    <w:semiHidden/>
    <w:rsid w:val="00DE5800"/>
    <w:rPr>
      <w:sz w:val="24"/>
      <w:szCs w:val="24"/>
    </w:rPr>
  </w:style>
  <w:style w:type="character" w:styleId="Hyperlink">
    <w:name w:val="Hyperlink"/>
    <w:basedOn w:val="DefaultParagraphFont"/>
    <w:rsid w:val="00CF1E8B"/>
    <w:rPr>
      <w:color w:val="78A22F" w:themeColor="hyperlink"/>
      <w:u w:val="single"/>
    </w:rPr>
  </w:style>
  <w:style w:type="character" w:styleId="FollowedHyperlink">
    <w:name w:val="FollowedHyperlink"/>
    <w:basedOn w:val="DefaultParagraphFont"/>
    <w:rsid w:val="00C3492E"/>
    <w:rPr>
      <w:color w:val="387DD2" w:themeColor="followedHyperlink"/>
      <w:u w:val="single"/>
    </w:rPr>
  </w:style>
  <w:style w:type="paragraph" w:customStyle="1" w:styleId="Copyrightheading">
    <w:name w:val="Copyright heading"/>
    <w:basedOn w:val="TOC1"/>
    <w:link w:val="CopyrightheadingChar"/>
    <w:qFormat/>
    <w:rsid w:val="001E475F"/>
    <w:pPr>
      <w:spacing w:line="300" w:lineRule="exact"/>
    </w:pPr>
    <w:rPr>
      <w:sz w:val="22"/>
    </w:rPr>
  </w:style>
  <w:style w:type="character" w:customStyle="1" w:styleId="CopyrightheadingChar">
    <w:name w:val="Copyright heading Char"/>
    <w:basedOn w:val="TOC1Char"/>
    <w:link w:val="Copyrightheading"/>
    <w:rsid w:val="001E475F"/>
    <w:rPr>
      <w:rFonts w:ascii="Arial" w:hAnsi="Arial"/>
      <w:b/>
      <w:sz w:val="22"/>
      <w:szCs w:val="26"/>
      <w:lang w:eastAsia="en-US"/>
    </w:rPr>
  </w:style>
  <w:style w:type="paragraph" w:customStyle="1" w:styleId="Copyrightsubtitle">
    <w:name w:val="Copyright subtitle"/>
    <w:basedOn w:val="BodyText"/>
    <w:rsid w:val="001E475F"/>
    <w:rPr>
      <w:rFonts w:ascii="Arial" w:hAnsi="Arial"/>
      <w:b/>
      <w:sz w:val="22"/>
      <w:szCs w:val="25"/>
    </w:rPr>
  </w:style>
  <w:style w:type="paragraph" w:customStyle="1" w:styleId="Copyrightbodytext">
    <w:name w:val="Copyright bodytext"/>
    <w:basedOn w:val="BodyText"/>
    <w:link w:val="CopyrightbodytextChar"/>
    <w:qFormat/>
    <w:rsid w:val="001E475F"/>
    <w:pPr>
      <w:spacing w:before="60"/>
    </w:pPr>
  </w:style>
  <w:style w:type="character" w:customStyle="1" w:styleId="CopyrightbodytextChar">
    <w:name w:val="Copyright bodytext Char"/>
    <w:basedOn w:val="BodyTextChar"/>
    <w:link w:val="Copyrightbodytext"/>
    <w:rsid w:val="001E47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sanhonour.gov.au/coat-arms/index.cfm"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creativecommons.org/licenses/by/3.0/au"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3.0/a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tsanhonour.gov.au"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Dev\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8D8DD-3246-4207-BD91-20A021A6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18</Pages>
  <Words>6180</Words>
  <Characters>35444</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A rationale for developing a LEED for policy research</vt:lpstr>
    </vt:vector>
  </TitlesOfParts>
  <Company>Productivity Commission</Company>
  <LinksUpToDate>false</LinksUpToDate>
  <CharactersWithSpaces>41541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Rationale for Developing a LEED for Policy Research</dc:title>
  <dc:subject>The importance of Linked Employer-Employee Data</dc:subject>
  <dc:creator>Productivity Commission</dc:creator>
  <dc:description>1.</dc:description>
  <cp:lastModifiedBy>Michelle Cross</cp:lastModifiedBy>
  <cp:revision>2</cp:revision>
  <cp:lastPrinted>2016-07-14T02:34:00Z</cp:lastPrinted>
  <dcterms:created xsi:type="dcterms:W3CDTF">2016-07-18T02:02:00Z</dcterms:created>
  <dcterms:modified xsi:type="dcterms:W3CDTF">2016-07-18T02:02:00Z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id="Pjd5G6fS"/&gt;&lt;style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value="false"/&gt;&lt;pref name="noteType" value="0"/&gt;&lt;/prefs&gt;&lt;/data&gt;</vt:lpwstr>
  </property>
</Properties>
</file>