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1B7E07" w:rsidP="001B7E07">
      <w:pPr>
        <w:pStyle w:val="Heading1"/>
        <w:spacing w:before="0"/>
      </w:pPr>
      <w:bookmarkStart w:id="0" w:name="ChapterNumber"/>
      <w:r>
        <w:t>3</w:t>
      </w:r>
      <w:bookmarkEnd w:id="0"/>
      <w:r>
        <w:tab/>
      </w:r>
      <w:bookmarkStart w:id="1" w:name="ChapterTitle"/>
      <w:r>
        <w:t>Modelling and results</w:t>
      </w:r>
      <w:bookmarkEnd w:id="1"/>
    </w:p>
    <w:p w:rsidR="003047D6" w:rsidRDefault="003047D6" w:rsidP="000A5B0E">
      <w:pPr>
        <w:pStyle w:val="BodyText"/>
      </w:pPr>
      <w:bookmarkStart w:id="2" w:name="begin"/>
      <w:bookmarkEnd w:id="2"/>
      <w:r>
        <w:t>The descriptive analysis in chapter</w:t>
      </w:r>
      <w:r w:rsidR="00522561">
        <w:t> </w:t>
      </w:r>
      <w:r>
        <w:t>2 showed that literacy and numeracy</w:t>
      </w:r>
      <w:r w:rsidR="00BC6A87">
        <w:t xml:space="preserve"> skills</w:t>
      </w:r>
      <w:r>
        <w:t xml:space="preserve"> </w:t>
      </w:r>
      <w:r w:rsidR="00AD473F">
        <w:t xml:space="preserve">are </w:t>
      </w:r>
      <w:r w:rsidR="00A23B7B">
        <w:t>associated</w:t>
      </w:r>
      <w:r>
        <w:t xml:space="preserve"> </w:t>
      </w:r>
      <w:r w:rsidR="00737474">
        <w:t xml:space="preserve">with </w:t>
      </w:r>
      <w:r w:rsidR="008B69C4">
        <w:t>education, age</w:t>
      </w:r>
      <w:r>
        <w:t xml:space="preserve"> </w:t>
      </w:r>
      <w:r w:rsidR="000A5B0E">
        <w:t>and English speaking background</w:t>
      </w:r>
      <w:r>
        <w:t xml:space="preserve">. </w:t>
      </w:r>
      <w:r w:rsidR="00706F9C">
        <w:t>In this chapter, m</w:t>
      </w:r>
      <w:r w:rsidR="000A5B0E">
        <w:t xml:space="preserve">ultivariate analysis </w:t>
      </w:r>
      <w:r w:rsidR="00EF67CA">
        <w:t xml:space="preserve">is used </w:t>
      </w:r>
      <w:r w:rsidR="000A5B0E">
        <w:t>to</w:t>
      </w:r>
      <w:r w:rsidR="00EF67CA">
        <w:t xml:space="preserve"> </w:t>
      </w:r>
      <w:r w:rsidR="00AD473F">
        <w:t>isolate the links between literacy and numeracy</w:t>
      </w:r>
      <w:r w:rsidR="00B907B1">
        <w:t xml:space="preserve"> </w:t>
      </w:r>
      <w:r w:rsidR="003D4CC8">
        <w:t xml:space="preserve">skills </w:t>
      </w:r>
      <w:r w:rsidR="00B907B1">
        <w:t xml:space="preserve">and labour market outcomes </w:t>
      </w:r>
      <w:r w:rsidR="000A5B0E">
        <w:t>(</w:t>
      </w:r>
      <w:r w:rsidR="00B907B1">
        <w:t>employment</w:t>
      </w:r>
      <w:r w:rsidR="000A5B0E">
        <w:t xml:space="preserve"> and wages)</w:t>
      </w:r>
      <w:r w:rsidR="00EF67CA">
        <w:t>.</w:t>
      </w:r>
      <w:r w:rsidR="00E06E44">
        <w:t xml:space="preserve"> Section</w:t>
      </w:r>
      <w:r w:rsidR="00522561">
        <w:t> </w:t>
      </w:r>
      <w:r w:rsidR="00E06E44">
        <w:t xml:space="preserve">3.1 </w:t>
      </w:r>
      <w:r w:rsidR="00AD473F">
        <w:t xml:space="preserve">develops a </w:t>
      </w:r>
      <w:r w:rsidR="00E06E44">
        <w:t xml:space="preserve">model </w:t>
      </w:r>
      <w:r w:rsidR="00AD473F">
        <w:t xml:space="preserve">based on the concepts </w:t>
      </w:r>
      <w:r w:rsidR="00DE16FC">
        <w:t xml:space="preserve">set out </w:t>
      </w:r>
      <w:r w:rsidR="00AD473F">
        <w:t>in chapter</w:t>
      </w:r>
      <w:r w:rsidR="00522561">
        <w:t> </w:t>
      </w:r>
      <w:r w:rsidR="00AD473F">
        <w:t xml:space="preserve">1 </w:t>
      </w:r>
      <w:r w:rsidR="00E06E44">
        <w:t xml:space="preserve">and </w:t>
      </w:r>
      <w:r w:rsidR="00AD473F">
        <w:t xml:space="preserve">describes the </w:t>
      </w:r>
      <w:r w:rsidR="00E06E44">
        <w:t>variables used in the analysis. Section</w:t>
      </w:r>
      <w:r w:rsidR="00522561">
        <w:t> </w:t>
      </w:r>
      <w:r w:rsidR="00E06E44">
        <w:t>3.2 presents results and their implications.</w:t>
      </w:r>
    </w:p>
    <w:p w:rsidR="009E1844" w:rsidRDefault="002319AD" w:rsidP="003047D6">
      <w:pPr>
        <w:pStyle w:val="Heading2"/>
      </w:pPr>
      <w:fldSimple w:instr=" COMMENTS  \* MERGEFORMAT ">
        <w:r w:rsidR="001B7E07">
          <w:t>3.</w:t>
        </w:r>
      </w:fldSimple>
      <w:r w:rsidR="00C80FB3">
        <w:fldChar w:fldCharType="begin"/>
      </w:r>
      <w:r w:rsidR="00C80FB3">
        <w:instrText xml:space="preserve"> SEQ Heading2 </w:instrText>
      </w:r>
      <w:r w:rsidR="00C80FB3">
        <w:fldChar w:fldCharType="separate"/>
      </w:r>
      <w:r>
        <w:rPr>
          <w:noProof/>
        </w:rPr>
        <w:t>1</w:t>
      </w:r>
      <w:r w:rsidR="00C80FB3">
        <w:rPr>
          <w:noProof/>
        </w:rPr>
        <w:fldChar w:fldCharType="end"/>
      </w:r>
      <w:r w:rsidR="003047D6">
        <w:tab/>
      </w:r>
      <w:r w:rsidR="00EF67CA">
        <w:t>M</w:t>
      </w:r>
      <w:r w:rsidR="003047D6">
        <w:t>odel</w:t>
      </w:r>
      <w:r w:rsidR="00EF67CA">
        <w:t xml:space="preserve"> and variables</w:t>
      </w:r>
    </w:p>
    <w:p w:rsidR="00EF67CA" w:rsidRDefault="00EF67CA" w:rsidP="00EF67CA">
      <w:pPr>
        <w:pStyle w:val="BodyText"/>
      </w:pPr>
      <w:r>
        <w:t>Unlike d</w:t>
      </w:r>
      <w:r w:rsidR="00D120D6">
        <w:t>escriptive analyses</w:t>
      </w:r>
      <w:r w:rsidR="00DE16FC">
        <w:t>,</w:t>
      </w:r>
      <w:r w:rsidR="00D120D6">
        <w:t xml:space="preserve"> which examine</w:t>
      </w:r>
      <w:r>
        <w:t xml:space="preserve"> the </w:t>
      </w:r>
      <w:r w:rsidR="00D120D6">
        <w:t xml:space="preserve">correlation </w:t>
      </w:r>
      <w:r>
        <w:t xml:space="preserve">between two variables, econometric modelling can </w:t>
      </w:r>
      <w:r w:rsidR="00D120D6">
        <w:t xml:space="preserve">account </w:t>
      </w:r>
      <w:r w:rsidR="00AD473F">
        <w:t xml:space="preserve">for </w:t>
      </w:r>
      <w:r>
        <w:t xml:space="preserve">many factors </w:t>
      </w:r>
      <w:r w:rsidR="00AD473F">
        <w:t xml:space="preserve">to isolate </w:t>
      </w:r>
      <w:r>
        <w:t xml:space="preserve">the </w:t>
      </w:r>
      <w:r w:rsidR="009819DF">
        <w:t>relationships between each</w:t>
      </w:r>
      <w:r w:rsidR="000A5B0E">
        <w:t xml:space="preserve"> factor </w:t>
      </w:r>
      <w:r w:rsidR="009819DF">
        <w:t xml:space="preserve">and </w:t>
      </w:r>
      <w:r w:rsidR="00D120D6">
        <w:t>labour market outcomes</w:t>
      </w:r>
      <w:r>
        <w:t>.</w:t>
      </w:r>
    </w:p>
    <w:p w:rsidR="00F61B67" w:rsidRDefault="00F61B67" w:rsidP="00434AD1">
      <w:pPr>
        <w:pStyle w:val="Heading3"/>
      </w:pPr>
      <w:r>
        <w:t xml:space="preserve">Estimating </w:t>
      </w:r>
      <w:r w:rsidR="0033787B">
        <w:t>employment</w:t>
      </w:r>
      <w:r w:rsidR="00A23B7B">
        <w:t xml:space="preserve"> and wages models</w:t>
      </w:r>
    </w:p>
    <w:p w:rsidR="00CD4785" w:rsidRDefault="00702EAA" w:rsidP="00EF67CA">
      <w:pPr>
        <w:pStyle w:val="BodyText"/>
      </w:pPr>
      <w:r>
        <w:t xml:space="preserve">The </w:t>
      </w:r>
      <w:r w:rsidR="00882F46">
        <w:t xml:space="preserve">model developed </w:t>
      </w:r>
      <w:r>
        <w:t xml:space="preserve">in this chapter </w:t>
      </w:r>
      <w:r w:rsidR="009164AC">
        <w:t>draws on</w:t>
      </w:r>
      <w:r>
        <w:t xml:space="preserve"> the human capital model</w:t>
      </w:r>
      <w:r w:rsidR="009164AC">
        <w:t>, where labour market outcomes (such as employment or wages) are assumed to be influenced by human capital and other personal characteristics</w:t>
      </w:r>
      <w:r>
        <w:t xml:space="preserve">. </w:t>
      </w:r>
      <w:r w:rsidR="000A5B0E">
        <w:t xml:space="preserve">Human capital is the embodiment of </w:t>
      </w:r>
      <w:r w:rsidR="00254251">
        <w:t xml:space="preserve">many </w:t>
      </w:r>
      <w:r w:rsidR="000A5B0E">
        <w:t xml:space="preserve">factors that </w:t>
      </w:r>
      <w:r w:rsidR="00254251">
        <w:t>influence</w:t>
      </w:r>
      <w:r w:rsidR="000A5B0E">
        <w:t xml:space="preserve"> a person’s </w:t>
      </w:r>
      <w:r w:rsidR="00D120D6">
        <w:t xml:space="preserve">labour market outcomes </w:t>
      </w:r>
      <w:r w:rsidR="00772EF5">
        <w:t>(chapter</w:t>
      </w:r>
      <w:r w:rsidR="00522561">
        <w:t> </w:t>
      </w:r>
      <w:r w:rsidR="00772EF5">
        <w:t>1)</w:t>
      </w:r>
      <w:r w:rsidR="000A5B0E">
        <w:t xml:space="preserve">. </w:t>
      </w:r>
      <w:r>
        <w:t>But o</w:t>
      </w:r>
      <w:r w:rsidR="00F61B67">
        <w:t xml:space="preserve">ther </w:t>
      </w:r>
      <w:r w:rsidR="00A23B7B">
        <w:t>factors</w:t>
      </w:r>
      <w:r w:rsidR="00F61B67">
        <w:t xml:space="preserve"> </w:t>
      </w:r>
      <w:r w:rsidR="00FB1610">
        <w:t>can</w:t>
      </w:r>
      <w:r w:rsidR="00F61B67">
        <w:t xml:space="preserve"> also in</w:t>
      </w:r>
      <w:r w:rsidR="00CD4785">
        <w:t xml:space="preserve">fluence </w:t>
      </w:r>
      <w:r w:rsidR="0033787B">
        <w:t>employment</w:t>
      </w:r>
      <w:r w:rsidR="00CD4785">
        <w:t xml:space="preserve"> or wages. F</w:t>
      </w:r>
      <w:r w:rsidR="00F61B67">
        <w:t xml:space="preserve">or </w:t>
      </w:r>
      <w:r w:rsidR="006275F0">
        <w:t>example</w:t>
      </w:r>
      <w:r w:rsidR="00F61B67">
        <w:t xml:space="preserve">, </w:t>
      </w:r>
      <w:r w:rsidR="00FB1610">
        <w:t xml:space="preserve">having a partner or having children may influence a person’s </w:t>
      </w:r>
      <w:r w:rsidR="008D6B69">
        <w:t xml:space="preserve">labour force </w:t>
      </w:r>
      <w:r w:rsidR="00FB1610">
        <w:t>participation decision</w:t>
      </w:r>
      <w:r w:rsidR="00CD4785">
        <w:t>.</w:t>
      </w:r>
      <w:r w:rsidR="000A5B0E">
        <w:t xml:space="preserve"> </w:t>
      </w:r>
    </w:p>
    <w:p w:rsidR="00982234" w:rsidRDefault="00DB4FB6" w:rsidP="00EF67CA">
      <w:pPr>
        <w:pStyle w:val="BodyText"/>
      </w:pPr>
      <w:r>
        <w:t xml:space="preserve">A human capital model </w:t>
      </w:r>
      <w:r w:rsidR="008C68C3">
        <w:t xml:space="preserve">of wages </w:t>
      </w:r>
      <w:r>
        <w:t xml:space="preserve">based on </w:t>
      </w:r>
      <w:r w:rsidR="00FB1610">
        <w:t>Mincer</w:t>
      </w:r>
      <w:r w:rsidR="00982F87">
        <w:t xml:space="preserve"> </w:t>
      </w:r>
      <w:r w:rsidR="000A5B0E">
        <w:t>(1974)</w:t>
      </w:r>
      <w:r w:rsidR="004B5249">
        <w:t xml:space="preserve"> </w:t>
      </w:r>
      <w:r w:rsidR="008C68C3">
        <w:t>was</w:t>
      </w:r>
      <w:r w:rsidR="004B5249">
        <w:t xml:space="preserve"> augmented to include literacy and numeracy skills</w:t>
      </w:r>
      <w:r w:rsidR="0085485F">
        <w:t>:</w:t>
      </w:r>
      <w:r w:rsidR="008C68C3">
        <w:rPr>
          <w:rStyle w:val="FootnoteReference"/>
        </w:rPr>
        <w:footnoteReference w:id="1"/>
      </w:r>
    </w:p>
    <w:p w:rsidR="006B51DC" w:rsidRDefault="006B51DC" w:rsidP="006B51DC">
      <w:pPr>
        <w:pStyle w:val="BodyText"/>
        <w:tabs>
          <w:tab w:val="right" w:pos="8789"/>
        </w:tabs>
        <w:rPr>
          <w:i/>
        </w:rPr>
      </w:pPr>
      <w:proofErr w:type="spellStart"/>
      <w:r>
        <w:rPr>
          <w:i/>
        </w:rPr>
        <w:t>ln</w:t>
      </w:r>
      <w:proofErr w:type="spellEnd"/>
      <w:r>
        <w:rPr>
          <w:i/>
        </w:rPr>
        <w:t>(</w:t>
      </w:r>
      <w:proofErr w:type="spellStart"/>
      <w:r>
        <w:rPr>
          <w:i/>
        </w:rPr>
        <w:t>Wage</w:t>
      </w:r>
      <w:r w:rsidR="00DB4FB6" w:rsidRPr="006B1734">
        <w:rPr>
          <w:i/>
          <w:vertAlign w:val="subscript"/>
        </w:rPr>
        <w:t>i</w:t>
      </w:r>
      <w:proofErr w:type="spellEnd"/>
      <w:r>
        <w:rPr>
          <w:i/>
        </w:rPr>
        <w:t>)</w:t>
      </w:r>
      <w:r>
        <w:t xml:space="preserve"> = </w:t>
      </w:r>
      <w:r w:rsidRPr="00DC2C11">
        <w:rPr>
          <w:i/>
        </w:rPr>
        <w:t>α</w:t>
      </w:r>
      <w:r>
        <w:rPr>
          <w:vertAlign w:val="subscript"/>
        </w:rPr>
        <w:t>0</w:t>
      </w:r>
      <w:r>
        <w:t xml:space="preserve"> + </w:t>
      </w:r>
      <w:r w:rsidRPr="00DC2C11">
        <w:rPr>
          <w:i/>
        </w:rPr>
        <w:t>α</w:t>
      </w:r>
      <w:proofErr w:type="spellStart"/>
      <w:r w:rsidRPr="00DC2C11">
        <w:rPr>
          <w:vertAlign w:val="subscript"/>
        </w:rPr>
        <w:t>1</w:t>
      </w:r>
      <w:r>
        <w:rPr>
          <w:i/>
        </w:rPr>
        <w:t>Ed</w:t>
      </w:r>
      <w:r w:rsidR="00AE2FEF" w:rsidRPr="006B1734">
        <w:rPr>
          <w:i/>
          <w:vertAlign w:val="subscript"/>
        </w:rPr>
        <w:t>i</w:t>
      </w:r>
      <w:proofErr w:type="spellEnd"/>
      <w:r>
        <w:t xml:space="preserve"> + </w:t>
      </w:r>
      <w:r w:rsidRPr="00DC2C11">
        <w:rPr>
          <w:i/>
        </w:rPr>
        <w:t>α</w:t>
      </w:r>
      <w:proofErr w:type="spellStart"/>
      <w:r>
        <w:rPr>
          <w:i/>
          <w:vertAlign w:val="subscript"/>
        </w:rPr>
        <w:t>2</w:t>
      </w:r>
      <w:r w:rsidR="00100C38">
        <w:rPr>
          <w:i/>
        </w:rPr>
        <w:t>LN</w:t>
      </w:r>
      <w:r w:rsidR="00AE2FEF" w:rsidRPr="006B1734">
        <w:rPr>
          <w:i/>
          <w:vertAlign w:val="subscript"/>
        </w:rPr>
        <w:t>i</w:t>
      </w:r>
      <w:proofErr w:type="spellEnd"/>
      <w:r>
        <w:t xml:space="preserve"> +</w:t>
      </w:r>
      <w:r w:rsidR="004B5249">
        <w:t xml:space="preserve"> </w:t>
      </w:r>
      <w:r w:rsidR="004B5249" w:rsidRPr="00DC2C11">
        <w:rPr>
          <w:i/>
        </w:rPr>
        <w:t>α</w:t>
      </w:r>
      <w:proofErr w:type="spellStart"/>
      <w:r w:rsidR="004B5249">
        <w:rPr>
          <w:i/>
          <w:vertAlign w:val="subscript"/>
        </w:rPr>
        <w:t>3</w:t>
      </w:r>
      <w:r w:rsidR="004B5249">
        <w:rPr>
          <w:i/>
        </w:rPr>
        <w:t>EXP</w:t>
      </w:r>
      <w:r w:rsidR="004B5249" w:rsidRPr="005241C5">
        <w:rPr>
          <w:i/>
          <w:vertAlign w:val="subscript"/>
        </w:rPr>
        <w:t>i</w:t>
      </w:r>
      <w:proofErr w:type="spellEnd"/>
      <w:r>
        <w:t xml:space="preserve"> </w:t>
      </w:r>
      <w:r w:rsidR="001A44C3">
        <w:t xml:space="preserve">+ </w:t>
      </w:r>
      <w:r w:rsidRPr="00DC2C11">
        <w:rPr>
          <w:i/>
        </w:rPr>
        <w:t>α</w:t>
      </w:r>
      <w:proofErr w:type="spellStart"/>
      <w:r w:rsidR="00100C38">
        <w:rPr>
          <w:i/>
          <w:vertAlign w:val="subscript"/>
        </w:rPr>
        <w:t>4</w:t>
      </w:r>
      <w:r>
        <w:rPr>
          <w:i/>
        </w:rPr>
        <w:t>EXP</w:t>
      </w:r>
      <w:r w:rsidR="00AE2FEF" w:rsidRPr="005241C5">
        <w:rPr>
          <w:i/>
          <w:vertAlign w:val="subscript"/>
        </w:rPr>
        <w:t>i</w:t>
      </w:r>
      <w:r w:rsidRPr="0085485F">
        <w:rPr>
          <w:i/>
          <w:vertAlign w:val="superscript"/>
        </w:rPr>
        <w:t>2</w:t>
      </w:r>
      <w:proofErr w:type="spellEnd"/>
      <w:r>
        <w:rPr>
          <w:i/>
        </w:rPr>
        <w:t xml:space="preserve"> +</w:t>
      </w:r>
      <w:r w:rsidRPr="0085485F">
        <w:rPr>
          <w:i/>
        </w:rPr>
        <w:t xml:space="preserve"> </w:t>
      </w:r>
      <w:r w:rsidRPr="00DC2C11">
        <w:rPr>
          <w:i/>
        </w:rPr>
        <w:t>α</w:t>
      </w:r>
      <w:proofErr w:type="spellStart"/>
      <w:r w:rsidR="00100C38">
        <w:rPr>
          <w:i/>
          <w:vertAlign w:val="subscript"/>
        </w:rPr>
        <w:t>5</w:t>
      </w:r>
      <w:r>
        <w:rPr>
          <w:i/>
        </w:rPr>
        <w:t>X</w:t>
      </w:r>
      <w:r w:rsidR="00B76069" w:rsidRPr="00B76069">
        <w:rPr>
          <w:i/>
          <w:vertAlign w:val="subscript"/>
        </w:rPr>
        <w:t>1</w:t>
      </w:r>
      <w:r w:rsidR="00AE2FEF" w:rsidRPr="005241C5">
        <w:rPr>
          <w:i/>
          <w:vertAlign w:val="subscript"/>
        </w:rPr>
        <w:t>i</w:t>
      </w:r>
      <w:proofErr w:type="spellEnd"/>
      <w:r w:rsidRPr="0085485F">
        <w:rPr>
          <w:i/>
        </w:rPr>
        <w:t xml:space="preserve"> </w:t>
      </w:r>
      <w:r w:rsidR="00B76069">
        <w:rPr>
          <w:i/>
        </w:rPr>
        <w:t xml:space="preserve">+ </w:t>
      </w:r>
      <w:r w:rsidR="00B76069" w:rsidRPr="00DC2C11">
        <w:rPr>
          <w:i/>
        </w:rPr>
        <w:t>α</w:t>
      </w:r>
      <w:proofErr w:type="spellStart"/>
      <w:r w:rsidR="00100C38">
        <w:rPr>
          <w:i/>
          <w:vertAlign w:val="subscript"/>
        </w:rPr>
        <w:t>6</w:t>
      </w:r>
      <w:r w:rsidR="00B76069">
        <w:rPr>
          <w:i/>
        </w:rPr>
        <w:t>X</w:t>
      </w:r>
      <w:r w:rsidR="00B76069" w:rsidRPr="00B76069">
        <w:rPr>
          <w:i/>
          <w:vertAlign w:val="subscript"/>
        </w:rPr>
        <w:t>2</w:t>
      </w:r>
      <w:r w:rsidR="00AE2FEF" w:rsidRPr="005241C5">
        <w:rPr>
          <w:i/>
          <w:vertAlign w:val="subscript"/>
        </w:rPr>
        <w:t>i</w:t>
      </w:r>
      <w:proofErr w:type="spellEnd"/>
      <w:r w:rsidR="00B76069">
        <w:rPr>
          <w:i/>
          <w:vertAlign w:val="subscript"/>
        </w:rPr>
        <w:t xml:space="preserve"> </w:t>
      </w:r>
      <w:r>
        <w:rPr>
          <w:i/>
        </w:rPr>
        <w:t>+</w:t>
      </w:r>
      <w:r w:rsidR="00522561">
        <w:rPr>
          <w:i/>
        </w:rPr>
        <w:t xml:space="preserve"> </w:t>
      </w:r>
      <w:r w:rsidR="00B76069">
        <w:rPr>
          <w:i/>
        </w:rPr>
        <w:t>…</w:t>
      </w:r>
      <w:r w:rsidR="00B76069" w:rsidRPr="00B76069">
        <w:rPr>
          <w:i/>
        </w:rPr>
        <w:t xml:space="preserve"> </w:t>
      </w:r>
      <w:r w:rsidR="00B76069" w:rsidRPr="00DC2C11">
        <w:rPr>
          <w:i/>
        </w:rPr>
        <w:t>α</w:t>
      </w:r>
      <w:proofErr w:type="spellStart"/>
      <w:r w:rsidR="00B76069">
        <w:rPr>
          <w:i/>
          <w:vertAlign w:val="subscript"/>
        </w:rPr>
        <w:t>n+</w:t>
      </w:r>
      <w:r w:rsidR="00100C38">
        <w:rPr>
          <w:i/>
          <w:vertAlign w:val="subscript"/>
        </w:rPr>
        <w:t>4</w:t>
      </w:r>
      <w:r w:rsidR="00B76069">
        <w:rPr>
          <w:i/>
        </w:rPr>
        <w:t>X</w:t>
      </w:r>
      <w:r w:rsidR="00B76069" w:rsidRPr="00B76069">
        <w:rPr>
          <w:i/>
          <w:vertAlign w:val="subscript"/>
        </w:rPr>
        <w:t>n</w:t>
      </w:r>
      <w:r w:rsidR="00AE2FEF" w:rsidRPr="005241C5">
        <w:rPr>
          <w:i/>
          <w:vertAlign w:val="subscript"/>
        </w:rPr>
        <w:t>i</w:t>
      </w:r>
      <w:proofErr w:type="spellEnd"/>
      <w:r w:rsidR="00B76069">
        <w:rPr>
          <w:i/>
          <w:vertAlign w:val="subscript"/>
        </w:rPr>
        <w:t xml:space="preserve"> </w:t>
      </w:r>
      <w:r w:rsidR="00B76069">
        <w:rPr>
          <w:i/>
        </w:rPr>
        <w:t>+</w:t>
      </w:r>
      <w:r>
        <w:rPr>
          <w:i/>
        </w:rPr>
        <w:t xml:space="preserve"> </w:t>
      </w:r>
      <w:proofErr w:type="spellStart"/>
      <w:r>
        <w:rPr>
          <w:i/>
        </w:rPr>
        <w:t>ε</w:t>
      </w:r>
      <w:r w:rsidR="00AE2FEF" w:rsidRPr="005241C5">
        <w:rPr>
          <w:i/>
          <w:vertAlign w:val="subscript"/>
        </w:rPr>
        <w:t>i</w:t>
      </w:r>
      <w:proofErr w:type="spellEnd"/>
      <w:r w:rsidDel="009413AC">
        <w:t xml:space="preserve"> </w:t>
      </w:r>
      <w:r>
        <w:tab/>
      </w:r>
    </w:p>
    <w:p w:rsidR="0085485F" w:rsidRDefault="00EF67CA" w:rsidP="00EF67CA">
      <w:pPr>
        <w:pStyle w:val="BodyText"/>
      </w:pPr>
      <w:r>
        <w:t xml:space="preserve">Where: </w:t>
      </w:r>
      <w:r>
        <w:tab/>
      </w:r>
      <w:proofErr w:type="spellStart"/>
      <w:r w:rsidR="00FB1610" w:rsidRPr="001D25A7">
        <w:rPr>
          <w:i/>
        </w:rPr>
        <w:t>Wage</w:t>
      </w:r>
      <w:r w:rsidR="00AE2FEF" w:rsidRPr="005241C5">
        <w:rPr>
          <w:i/>
          <w:vertAlign w:val="subscript"/>
        </w:rPr>
        <w:t>i</w:t>
      </w:r>
      <w:proofErr w:type="spellEnd"/>
      <w:r w:rsidR="00FB1610">
        <w:t xml:space="preserve"> </w:t>
      </w:r>
      <w:r w:rsidR="00FB1610">
        <w:tab/>
        <w:t>= h</w:t>
      </w:r>
      <w:r w:rsidR="0085485F">
        <w:t>ourly wage rate</w:t>
      </w:r>
      <w:r w:rsidR="001705E0">
        <w:t xml:space="preserve"> for individual </w:t>
      </w:r>
      <w:proofErr w:type="spellStart"/>
      <w:r w:rsidR="001705E0" w:rsidRPr="006B1734">
        <w:rPr>
          <w:i/>
        </w:rPr>
        <w:t>i</w:t>
      </w:r>
      <w:proofErr w:type="spellEnd"/>
    </w:p>
    <w:p w:rsidR="00EF67CA" w:rsidRDefault="00EF67CA" w:rsidP="00EF67CA">
      <w:pPr>
        <w:pStyle w:val="BodyText"/>
      </w:pPr>
      <w:r>
        <w:tab/>
      </w:r>
      <w:r>
        <w:tab/>
      </w:r>
      <w:r>
        <w:rPr>
          <w:i/>
        </w:rPr>
        <w:t>Ed</w:t>
      </w:r>
      <w:r w:rsidR="00AE2FEF" w:rsidRPr="005241C5">
        <w:rPr>
          <w:i/>
          <w:vertAlign w:val="subscript"/>
        </w:rPr>
        <w:t>i</w:t>
      </w:r>
      <w:r>
        <w:t xml:space="preserve"> </w:t>
      </w:r>
      <w:r>
        <w:tab/>
        <w:t xml:space="preserve">= a </w:t>
      </w:r>
      <w:r w:rsidR="00DB4FB6">
        <w:t>measure of education</w:t>
      </w:r>
    </w:p>
    <w:p w:rsidR="004B5249" w:rsidRDefault="001A44C3" w:rsidP="00EF67CA">
      <w:pPr>
        <w:pStyle w:val="BodyText"/>
      </w:pPr>
      <w:r>
        <w:tab/>
      </w:r>
      <w:r>
        <w:tab/>
      </w:r>
      <w:proofErr w:type="spellStart"/>
      <w:r w:rsidR="004B5249" w:rsidRPr="008C68C3">
        <w:rPr>
          <w:i/>
        </w:rPr>
        <w:t>LN</w:t>
      </w:r>
      <w:r w:rsidR="004B5249" w:rsidRPr="008C68C3">
        <w:rPr>
          <w:i/>
          <w:vertAlign w:val="subscript"/>
        </w:rPr>
        <w:t>i</w:t>
      </w:r>
      <w:proofErr w:type="spellEnd"/>
      <w:r w:rsidR="004B5249">
        <w:tab/>
        <w:t>= a measure of literacy and numeracy skills (explained below)</w:t>
      </w:r>
    </w:p>
    <w:p w:rsidR="0085485F" w:rsidRDefault="0085485F" w:rsidP="00EF67CA">
      <w:pPr>
        <w:pStyle w:val="BodyText"/>
      </w:pPr>
      <w:r>
        <w:lastRenderedPageBreak/>
        <w:tab/>
      </w:r>
      <w:r>
        <w:tab/>
      </w:r>
      <w:proofErr w:type="spellStart"/>
      <w:r w:rsidRPr="0085485F">
        <w:rPr>
          <w:i/>
        </w:rPr>
        <w:t>EXP</w:t>
      </w:r>
      <w:r w:rsidR="00AE2FEF" w:rsidRPr="005241C5">
        <w:rPr>
          <w:i/>
          <w:vertAlign w:val="subscript"/>
        </w:rPr>
        <w:t>i</w:t>
      </w:r>
      <w:proofErr w:type="spellEnd"/>
      <w:r>
        <w:tab/>
      </w:r>
      <w:r w:rsidR="006B51DC">
        <w:t>= w</w:t>
      </w:r>
      <w:r>
        <w:t>ork experience</w:t>
      </w:r>
    </w:p>
    <w:p w:rsidR="00EF67CA" w:rsidRDefault="001A44C3" w:rsidP="00EF67CA">
      <w:pPr>
        <w:pStyle w:val="BodyText"/>
      </w:pPr>
      <w:r>
        <w:tab/>
      </w:r>
      <w:proofErr w:type="spellStart"/>
      <w:r w:rsidR="00EF67CA">
        <w:rPr>
          <w:i/>
        </w:rPr>
        <w:t>X</w:t>
      </w:r>
      <w:r w:rsidR="00FB1610" w:rsidRPr="00FB1610">
        <w:rPr>
          <w:i/>
          <w:vertAlign w:val="subscript"/>
        </w:rPr>
        <w:t>1</w:t>
      </w:r>
      <w:proofErr w:type="spellEnd"/>
      <w:r w:rsidR="00FB1610">
        <w:rPr>
          <w:i/>
        </w:rPr>
        <w:t xml:space="preserve">, </w:t>
      </w:r>
      <w:proofErr w:type="spellStart"/>
      <w:r w:rsidR="00FB1610">
        <w:rPr>
          <w:i/>
        </w:rPr>
        <w:t>X</w:t>
      </w:r>
      <w:r w:rsidR="00FB1610" w:rsidRPr="00FB1610">
        <w:rPr>
          <w:i/>
          <w:vertAlign w:val="subscript"/>
        </w:rPr>
        <w:t>2</w:t>
      </w:r>
      <w:proofErr w:type="spellEnd"/>
      <w:r w:rsidR="00FB1610">
        <w:rPr>
          <w:i/>
        </w:rPr>
        <w:t xml:space="preserve"> … </w:t>
      </w:r>
      <w:proofErr w:type="spellStart"/>
      <w:r w:rsidR="00B76069">
        <w:rPr>
          <w:i/>
        </w:rPr>
        <w:t>X</w:t>
      </w:r>
      <w:r w:rsidR="00B76069" w:rsidRPr="00B76069">
        <w:rPr>
          <w:i/>
          <w:vertAlign w:val="subscript"/>
        </w:rPr>
        <w:t>n</w:t>
      </w:r>
      <w:proofErr w:type="spellEnd"/>
      <w:r w:rsidR="00FB1610">
        <w:rPr>
          <w:i/>
        </w:rPr>
        <w:tab/>
      </w:r>
      <w:r w:rsidR="00EF67CA">
        <w:t xml:space="preserve">= </w:t>
      </w:r>
      <w:r w:rsidR="00FB1610">
        <w:t>other factors</w:t>
      </w:r>
      <w:r w:rsidR="00EF67CA">
        <w:t xml:space="preserve"> likely to affect </w:t>
      </w:r>
      <w:r w:rsidR="0033787B">
        <w:t>employment</w:t>
      </w:r>
      <w:r w:rsidR="00772EF5">
        <w:t xml:space="preserve"> and wages</w:t>
      </w:r>
    </w:p>
    <w:p w:rsidR="00EF67CA" w:rsidRDefault="00D120D6" w:rsidP="00EF67CA">
      <w:pPr>
        <w:pStyle w:val="BodyText"/>
      </w:pPr>
      <w:r>
        <w:tab/>
      </w:r>
      <w:r>
        <w:tab/>
      </w:r>
      <w:proofErr w:type="spellStart"/>
      <w:r w:rsidR="00EF67CA">
        <w:rPr>
          <w:i/>
        </w:rPr>
        <w:t>ε</w:t>
      </w:r>
      <w:r w:rsidR="00AE2FEF" w:rsidRPr="005241C5">
        <w:rPr>
          <w:i/>
          <w:vertAlign w:val="subscript"/>
        </w:rPr>
        <w:t>i</w:t>
      </w:r>
      <w:proofErr w:type="spellEnd"/>
      <w:r w:rsidR="001A44C3">
        <w:t xml:space="preserve"> </w:t>
      </w:r>
      <w:r w:rsidR="001A44C3">
        <w:tab/>
      </w:r>
      <w:r w:rsidR="00EF67CA">
        <w:t>= an error term.</w:t>
      </w:r>
      <w:r w:rsidR="005B6782">
        <w:rPr>
          <w:rStyle w:val="FootnoteReference"/>
        </w:rPr>
        <w:footnoteReference w:id="2"/>
      </w:r>
    </w:p>
    <w:p w:rsidR="0032361E" w:rsidRDefault="003B3128" w:rsidP="00EF67CA">
      <w:pPr>
        <w:pStyle w:val="BodyText"/>
      </w:pPr>
      <w:r>
        <w:t xml:space="preserve">The </w:t>
      </w:r>
      <w:r w:rsidR="0032361E">
        <w:t xml:space="preserve">variables </w:t>
      </w:r>
      <w:r>
        <w:t xml:space="preserve">used </w:t>
      </w:r>
      <w:r w:rsidR="0032361E">
        <w:t>are described in more detail below and in appendix</w:t>
      </w:r>
      <w:r w:rsidR="00522561">
        <w:t> </w:t>
      </w:r>
      <w:r w:rsidR="006244A8">
        <w:t>B</w:t>
      </w:r>
      <w:r w:rsidR="0032361E">
        <w:t>.</w:t>
      </w:r>
    </w:p>
    <w:p w:rsidR="0094301A" w:rsidRDefault="00526CB1" w:rsidP="006321DF">
      <w:pPr>
        <w:pStyle w:val="BodyText"/>
      </w:pPr>
      <w:r>
        <w:t xml:space="preserve">A similar model </w:t>
      </w:r>
      <w:r w:rsidR="008C68C3">
        <w:t>was</w:t>
      </w:r>
      <w:r>
        <w:t xml:space="preserve"> estimated for</w:t>
      </w:r>
      <w:r w:rsidR="00254251">
        <w:t xml:space="preserve"> </w:t>
      </w:r>
      <w:r w:rsidR="005E3894">
        <w:t xml:space="preserve">employment, </w:t>
      </w:r>
      <w:r w:rsidR="008C68C3">
        <w:t xml:space="preserve">with </w:t>
      </w:r>
      <w:r w:rsidR="00254251">
        <w:t xml:space="preserve">labour force </w:t>
      </w:r>
      <w:r w:rsidR="0033787B">
        <w:t>status</w:t>
      </w:r>
      <w:r w:rsidR="00254251">
        <w:t xml:space="preserve"> (</w:t>
      </w:r>
      <w:proofErr w:type="spellStart"/>
      <w:r w:rsidR="0033787B" w:rsidRPr="001D3614">
        <w:t>LFS</w:t>
      </w:r>
      <w:proofErr w:type="spellEnd"/>
      <w:r>
        <w:t>)</w:t>
      </w:r>
      <w:r w:rsidR="001D3614">
        <w:t xml:space="preserve"> </w:t>
      </w:r>
      <w:r w:rsidR="008C68C3">
        <w:t>a</w:t>
      </w:r>
      <w:r w:rsidR="001D3614">
        <w:t>s the dependent variable.</w:t>
      </w:r>
      <w:r w:rsidR="001D3614">
        <w:rPr>
          <w:rStyle w:val="FootnoteReference"/>
        </w:rPr>
        <w:footnoteReference w:id="3"/>
      </w:r>
      <w:r w:rsidR="001D3614">
        <w:t xml:space="preserve"> </w:t>
      </w:r>
      <w:r w:rsidR="003B3128">
        <w:t>T</w:t>
      </w:r>
      <w:r w:rsidR="0032361E">
        <w:t>hree labour force states are modelled: employed, unemployed and not in the labour force.</w:t>
      </w:r>
      <w:r w:rsidR="00254251">
        <w:t xml:space="preserve"> </w:t>
      </w:r>
    </w:p>
    <w:p w:rsidR="00100C38" w:rsidRDefault="00E87DFF" w:rsidP="003047D6">
      <w:pPr>
        <w:pStyle w:val="BodyText"/>
      </w:pPr>
      <w:r>
        <w:t>A model</w:t>
      </w:r>
      <w:r w:rsidR="006321DF">
        <w:t xml:space="preserve"> which </w:t>
      </w:r>
      <w:r w:rsidR="008C68C3">
        <w:t>excludes</w:t>
      </w:r>
      <w:r w:rsidR="006321DF">
        <w:t xml:space="preserve"> literacy and numeracy skills (</w:t>
      </w:r>
      <w:proofErr w:type="spellStart"/>
      <w:r w:rsidR="006321DF" w:rsidRPr="008C68C3">
        <w:rPr>
          <w:i/>
        </w:rPr>
        <w:t>LN</w:t>
      </w:r>
      <w:r w:rsidR="006321DF" w:rsidRPr="008C68C3">
        <w:rPr>
          <w:i/>
          <w:vertAlign w:val="subscript"/>
        </w:rPr>
        <w:t>i</w:t>
      </w:r>
      <w:proofErr w:type="spellEnd"/>
      <w:r w:rsidR="006321DF">
        <w:t xml:space="preserve">), </w:t>
      </w:r>
      <w:r w:rsidR="00100C38">
        <w:t>will be referred to as model 1 in the remainder of the paper</w:t>
      </w:r>
      <w:r w:rsidR="006321DF">
        <w:t>. T</w:t>
      </w:r>
      <w:r w:rsidR="00100C38">
        <w:t>he model that accounts for literacy and numeracy skills explicitly</w:t>
      </w:r>
      <w:r w:rsidR="008C68C3">
        <w:t>,</w:t>
      </w:r>
      <w:r w:rsidR="00100C38">
        <w:t xml:space="preserve"> </w:t>
      </w:r>
      <w:r w:rsidR="008C68C3">
        <w:t xml:space="preserve">as described above, </w:t>
      </w:r>
      <w:r w:rsidR="00100C38">
        <w:t>will be referred to as model 2.</w:t>
      </w:r>
    </w:p>
    <w:p w:rsidR="004B5249" w:rsidRDefault="004B5249" w:rsidP="004B5249">
      <w:pPr>
        <w:pStyle w:val="BodyText"/>
      </w:pPr>
      <w:r>
        <w:t xml:space="preserve">In model 2, the association between literacy and numeracy </w:t>
      </w:r>
      <w:r w:rsidR="006244A8">
        <w:t xml:space="preserve">skills </w:t>
      </w:r>
      <w:r>
        <w:t xml:space="preserve">and wages (or </w:t>
      </w:r>
      <w:proofErr w:type="spellStart"/>
      <w:r>
        <w:t>LFS</w:t>
      </w:r>
      <w:proofErr w:type="spellEnd"/>
      <w:r>
        <w:t>) is measured by</w:t>
      </w:r>
      <w:r w:rsidRPr="004B5249">
        <w:rPr>
          <w:i/>
        </w:rPr>
        <w:t xml:space="preserve"> </w:t>
      </w:r>
      <w:r w:rsidRPr="00DC2C11">
        <w:rPr>
          <w:i/>
        </w:rPr>
        <w:t>α</w:t>
      </w:r>
      <w:r>
        <w:rPr>
          <w:vertAlign w:val="subscript"/>
        </w:rPr>
        <w:t>2</w:t>
      </w:r>
      <w:r>
        <w:t>.</w:t>
      </w:r>
    </w:p>
    <w:p w:rsidR="000037FE" w:rsidRDefault="00F02322" w:rsidP="003047D6">
      <w:pPr>
        <w:pStyle w:val="BodyText"/>
      </w:pPr>
      <w:r>
        <w:t xml:space="preserve">The </w:t>
      </w:r>
      <w:r w:rsidR="00526CB1">
        <w:t>coefficient</w:t>
      </w:r>
      <w:r>
        <w:t xml:space="preserve"> </w:t>
      </w:r>
      <w:r w:rsidR="004B5249" w:rsidRPr="00DC2C11">
        <w:rPr>
          <w:i/>
        </w:rPr>
        <w:t>α</w:t>
      </w:r>
      <w:r w:rsidR="00EA1CA0">
        <w:rPr>
          <w:vertAlign w:val="subscript"/>
        </w:rPr>
        <w:t xml:space="preserve">1 </w:t>
      </w:r>
      <w:r>
        <w:t>measures the</w:t>
      </w:r>
      <w:r w:rsidR="004E47CF">
        <w:t xml:space="preserve"> direct</w:t>
      </w:r>
      <w:r>
        <w:t xml:space="preserve"> association between education and labour market outcomes</w:t>
      </w:r>
      <w:r w:rsidR="000D6598">
        <w:t>,</w:t>
      </w:r>
      <w:r>
        <w:t xml:space="preserve"> once </w:t>
      </w:r>
      <w:r w:rsidR="006B51DC">
        <w:t xml:space="preserve">literacy and numeracy </w:t>
      </w:r>
      <w:r>
        <w:t>skills are taken into account. Thus</w:t>
      </w:r>
      <w:r w:rsidR="00CB33FB">
        <w:t>,</w:t>
      </w:r>
      <w:r>
        <w:t xml:space="preserve"> it is a measure of how important education is for developing other components of human capital that are </w:t>
      </w:r>
      <w:r w:rsidR="009416BE">
        <w:t>valued</w:t>
      </w:r>
      <w:r>
        <w:t xml:space="preserve"> in the workplace</w:t>
      </w:r>
      <w:r w:rsidR="006244A8">
        <w:t>. Barrett (2012) suggested</w:t>
      </w:r>
      <w:r w:rsidR="00721122">
        <w:t xml:space="preserve"> these could include </w:t>
      </w:r>
      <w:r w:rsidR="005F3C00">
        <w:t>other cognitive skills (</w:t>
      </w:r>
      <w:r w:rsidR="00721122">
        <w:t>critical thinkin</w:t>
      </w:r>
      <w:r w:rsidR="005F3C00">
        <w:t>g, analytic and decision</w:t>
      </w:r>
      <w:r w:rsidR="00522561">
        <w:noBreakHyphen/>
      </w:r>
      <w:r w:rsidR="005F3C00">
        <w:t xml:space="preserve">making skills) </w:t>
      </w:r>
      <w:r w:rsidR="00721122">
        <w:t>and non</w:t>
      </w:r>
      <w:r w:rsidR="00522561">
        <w:noBreakHyphen/>
      </w:r>
      <w:r w:rsidR="00721122">
        <w:t>cognitive skills that other researchers have noted (includ</w:t>
      </w:r>
      <w:r w:rsidR="0005770E">
        <w:t>ing</w:t>
      </w:r>
      <w:r w:rsidR="00721122">
        <w:t xml:space="preserve"> perseverance and leadership skills).</w:t>
      </w:r>
      <w:r w:rsidR="00AC6592">
        <w:rPr>
          <w:rStyle w:val="FootnoteReference"/>
        </w:rPr>
        <w:footnoteReference w:id="4"/>
      </w:r>
    </w:p>
    <w:p w:rsidR="00F02322" w:rsidRDefault="00982F87" w:rsidP="003047D6">
      <w:pPr>
        <w:pStyle w:val="BodyText"/>
      </w:pPr>
      <w:r>
        <w:t>T</w:t>
      </w:r>
      <w:r w:rsidR="0085485F">
        <w:t>he relationship between educational attainment and literacy and numeracy</w:t>
      </w:r>
      <w:r w:rsidR="006B51DC">
        <w:t xml:space="preserve"> (and other skills and knowledge)</w:t>
      </w:r>
      <w:r w:rsidR="00AF019E">
        <w:t>, and how they jointly</w:t>
      </w:r>
      <w:r w:rsidR="0085485F">
        <w:t xml:space="preserve"> determine labour market outcomes can be </w:t>
      </w:r>
      <w:r>
        <w:t>analysed</w:t>
      </w:r>
      <w:r w:rsidR="0085485F">
        <w:t xml:space="preserve"> by </w:t>
      </w:r>
      <w:r w:rsidR="00AF019E">
        <w:t xml:space="preserve">comparing the </w:t>
      </w:r>
      <w:r w:rsidR="00A57A6D">
        <w:t>estimates for</w:t>
      </w:r>
      <w:r w:rsidR="00AF019E">
        <w:t xml:space="preserve"> educational attainment in each </w:t>
      </w:r>
      <w:r w:rsidR="009A2262">
        <w:t>model</w:t>
      </w:r>
      <w:r w:rsidR="00EA1CA0">
        <w:t xml:space="preserve">. </w:t>
      </w:r>
      <w:r w:rsidR="00F02981">
        <w:t>As Chiswick, Lee and Miller (2003) explain</w:t>
      </w:r>
      <w:r w:rsidR="006244A8">
        <w:t>ed</w:t>
      </w:r>
      <w:r w:rsidR="00F02981">
        <w:t xml:space="preserve">, </w:t>
      </w:r>
      <w:r w:rsidR="00EA1CA0">
        <w:t xml:space="preserve">if </w:t>
      </w:r>
      <w:r w:rsidR="004E47CF">
        <w:t xml:space="preserve">education is a good proxy for literacy and numeracy skills, then including literacy and numeracy (in model 2) </w:t>
      </w:r>
      <w:r w:rsidR="00FA2C44">
        <w:t xml:space="preserve">could </w:t>
      </w:r>
      <w:r w:rsidR="004E47CF">
        <w:t xml:space="preserve">cause </w:t>
      </w:r>
      <w:proofErr w:type="spellStart"/>
      <w:r w:rsidR="004E47CF">
        <w:t>collinearity</w:t>
      </w:r>
      <w:proofErr w:type="spellEnd"/>
      <w:r w:rsidR="00256CD9">
        <w:rPr>
          <w:rStyle w:val="FootnoteReference"/>
        </w:rPr>
        <w:footnoteReference w:id="5"/>
      </w:r>
      <w:r w:rsidR="004E47CF">
        <w:t xml:space="preserve"> problems</w:t>
      </w:r>
      <w:r w:rsidR="001E23C3">
        <w:t xml:space="preserve">, leading to imprecise estimates of </w:t>
      </w:r>
      <w:r w:rsidR="008C68C3">
        <w:t xml:space="preserve">the effects of </w:t>
      </w:r>
      <w:r w:rsidR="001E23C3">
        <w:t>education and literacy and numeracy</w:t>
      </w:r>
      <w:r w:rsidR="00F80C67">
        <w:t xml:space="preserve"> skills</w:t>
      </w:r>
      <w:r w:rsidR="004E47CF">
        <w:t xml:space="preserve">. </w:t>
      </w:r>
      <w:r w:rsidR="001E23C3">
        <w:t xml:space="preserve">An alternative scenario is </w:t>
      </w:r>
      <w:r w:rsidR="001E23C3">
        <w:lastRenderedPageBreak/>
        <w:t xml:space="preserve">where there is </w:t>
      </w:r>
      <w:r w:rsidR="00F02981">
        <w:t>no relationship between educa</w:t>
      </w:r>
      <w:r w:rsidR="001E23C3">
        <w:t xml:space="preserve">tion and literacy and numeracy. In that case, </w:t>
      </w:r>
      <w:r w:rsidR="00F02981">
        <w:t xml:space="preserve">inclusion of the literacy and numeracy variable in model 2 would not result in any major changes to the estimates in model 1. </w:t>
      </w:r>
      <w:r w:rsidR="001E23C3">
        <w:t xml:space="preserve">The most likely scenario, however, is </w:t>
      </w:r>
      <w:r w:rsidR="00F02981">
        <w:t xml:space="preserve">that literacy and numeracy </w:t>
      </w:r>
      <w:r w:rsidR="00F80C67">
        <w:t xml:space="preserve">skills </w:t>
      </w:r>
      <w:r w:rsidR="00F02981">
        <w:t>are developed through a range of settings, including outside of education (chapter</w:t>
      </w:r>
      <w:r w:rsidR="00522561">
        <w:t> </w:t>
      </w:r>
      <w:r w:rsidR="00F02981">
        <w:t xml:space="preserve">1). In this case, both education and literacy and numeracy skills should be included when estimating models of labour market outcomes. </w:t>
      </w:r>
    </w:p>
    <w:p w:rsidR="00434AD1" w:rsidRDefault="007219EF" w:rsidP="00434AD1">
      <w:pPr>
        <w:pStyle w:val="BodyText"/>
      </w:pPr>
      <w:r>
        <w:t>R</w:t>
      </w:r>
      <w:r w:rsidR="00256CD9">
        <w:t>esults</w:t>
      </w:r>
      <w:r w:rsidR="00434AD1">
        <w:t xml:space="preserve"> should be interpreted as associations between </w:t>
      </w:r>
      <w:r w:rsidR="007251E1">
        <w:t>literacy and numeracy skills</w:t>
      </w:r>
      <w:r w:rsidR="00434AD1">
        <w:t xml:space="preserve"> </w:t>
      </w:r>
      <w:r w:rsidR="000D6598">
        <w:t>(</w:t>
      </w:r>
      <w:r w:rsidR="00434AD1">
        <w:t>or educat</w:t>
      </w:r>
      <w:r w:rsidR="00122A5D">
        <w:t>ion</w:t>
      </w:r>
      <w:r w:rsidR="000D6598">
        <w:t>)</w:t>
      </w:r>
      <w:r w:rsidR="00122A5D">
        <w:t xml:space="preserve"> </w:t>
      </w:r>
      <w:r w:rsidR="00A907C4">
        <w:t>and</w:t>
      </w:r>
      <w:r w:rsidR="00122A5D">
        <w:t xml:space="preserve"> labour market outcomes, rather than causal effects.</w:t>
      </w:r>
      <w:r w:rsidR="00045A37">
        <w:rPr>
          <w:rStyle w:val="FootnoteReference"/>
        </w:rPr>
        <w:footnoteReference w:id="6"/>
      </w:r>
      <w:r>
        <w:t xml:space="preserve"> This and other features of the model are discussed in box 3.1.</w:t>
      </w:r>
    </w:p>
    <w:p w:rsidR="00720731" w:rsidRDefault="007251E1" w:rsidP="00720731">
      <w:pPr>
        <w:pStyle w:val="BodyText"/>
      </w:pPr>
      <w:r>
        <w:t>From chapter</w:t>
      </w:r>
      <w:r w:rsidR="00522561">
        <w:t> </w:t>
      </w:r>
      <w:r>
        <w:t>2, wages differ subs</w:t>
      </w:r>
      <w:r w:rsidR="0032361E">
        <w:t>tantially between men and women. Furthermore,</w:t>
      </w:r>
      <w:r>
        <w:t xml:space="preserve"> women with children are less likely to participate </w:t>
      </w:r>
      <w:r w:rsidR="00FD71AB">
        <w:t>in the labour force</w:t>
      </w:r>
      <w:r w:rsidR="0012513D" w:rsidRPr="00522561">
        <w:t>.</w:t>
      </w:r>
      <w:r>
        <w:t xml:space="preserve"> Therefore, models were estimated for men and women separately. </w:t>
      </w:r>
      <w:r w:rsidR="00A43771">
        <w:t xml:space="preserve">The </w:t>
      </w:r>
      <w:r w:rsidR="00E71B84">
        <w:t xml:space="preserve">age group </w:t>
      </w:r>
      <w:r w:rsidR="00340807">
        <w:t xml:space="preserve">of interest is </w:t>
      </w:r>
      <w:r w:rsidR="007219EF">
        <w:t xml:space="preserve">defined as </w:t>
      </w:r>
      <w:r w:rsidR="00974068">
        <w:t xml:space="preserve">people </w:t>
      </w:r>
      <w:r w:rsidR="00340807">
        <w:t>likely to</w:t>
      </w:r>
      <w:r w:rsidR="00974068">
        <w:t xml:space="preserve"> have completed their initial post-school education </w:t>
      </w:r>
      <w:r w:rsidR="00340807">
        <w:t xml:space="preserve">and </w:t>
      </w:r>
      <w:r w:rsidR="00974068">
        <w:t>not yet retired.</w:t>
      </w:r>
      <w:r w:rsidR="00A43771">
        <w:t xml:space="preserve"> </w:t>
      </w:r>
      <w:r w:rsidR="00974068">
        <w:t xml:space="preserve">Therefore </w:t>
      </w:r>
      <w:r w:rsidR="007219EF">
        <w:t>the sample</w:t>
      </w:r>
      <w:r w:rsidR="00974068">
        <w:t xml:space="preserve"> was restricted </w:t>
      </w:r>
      <w:r w:rsidR="00A43771">
        <w:t xml:space="preserve">to </w:t>
      </w:r>
      <w:r w:rsidR="002E73A1">
        <w:t>25–</w:t>
      </w:r>
      <w:r>
        <w:t>64</w:t>
      </w:r>
      <w:r w:rsidR="00E71B84">
        <w:t xml:space="preserve"> year olds</w:t>
      </w:r>
      <w:r w:rsidR="002831C1">
        <w:t>.</w:t>
      </w:r>
      <w:r w:rsidR="00340807">
        <w:rPr>
          <w:rStyle w:val="FootnoteReference"/>
        </w:rPr>
        <w:footnoteReference w:id="7"/>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36BE5" w:rsidTr="00CB7420">
        <w:tc>
          <w:tcPr>
            <w:tcW w:w="8771" w:type="dxa"/>
            <w:tcBorders>
              <w:top w:val="single" w:sz="6" w:space="0" w:color="auto"/>
              <w:bottom w:val="nil"/>
            </w:tcBorders>
          </w:tcPr>
          <w:p w:rsidR="00D36BE5" w:rsidRDefault="00D36BE5" w:rsidP="00CB7420">
            <w:pPr>
              <w:pStyle w:val="BoxTitle"/>
            </w:pPr>
            <w:r>
              <w:rPr>
                <w:b w:val="0"/>
              </w:rPr>
              <w:lastRenderedPageBreak/>
              <w:t xml:space="preserve">Box </w:t>
            </w:r>
            <w:r>
              <w:rPr>
                <w:b w:val="0"/>
              </w:rPr>
              <w:fldChar w:fldCharType="begin"/>
            </w:r>
            <w:r>
              <w:rPr>
                <w:b w:val="0"/>
              </w:rPr>
              <w:instrText xml:space="preserve"> COMMENTS  \* MERGEFORMAT </w:instrText>
            </w:r>
            <w:r>
              <w:rPr>
                <w:b w:val="0"/>
              </w:rPr>
              <w:fldChar w:fldCharType="separate"/>
            </w:r>
            <w:r w:rsidR="001B7E07">
              <w:rPr>
                <w:b w:val="0"/>
              </w:rPr>
              <w:t>3.</w:t>
            </w:r>
            <w:r>
              <w:rPr>
                <w:b w:val="0"/>
              </w:rPr>
              <w:fldChar w:fldCharType="end"/>
            </w:r>
            <w:r>
              <w:rPr>
                <w:b w:val="0"/>
              </w:rPr>
              <w:fldChar w:fldCharType="begin"/>
            </w:r>
            <w:r>
              <w:rPr>
                <w:b w:val="0"/>
              </w:rPr>
              <w:instrText xml:space="preserve"> SEQ Box \* ARABIC </w:instrText>
            </w:r>
            <w:r>
              <w:rPr>
                <w:b w:val="0"/>
              </w:rPr>
              <w:fldChar w:fldCharType="separate"/>
            </w:r>
            <w:r w:rsidR="002319AD">
              <w:rPr>
                <w:b w:val="0"/>
                <w:noProof/>
              </w:rPr>
              <w:t>1</w:t>
            </w:r>
            <w:r>
              <w:rPr>
                <w:b w:val="0"/>
              </w:rPr>
              <w:fldChar w:fldCharType="end"/>
            </w:r>
            <w:r>
              <w:tab/>
              <w:t>Econometric issues with the models estimated</w:t>
            </w:r>
          </w:p>
        </w:tc>
      </w:tr>
      <w:tr w:rsidR="00D36BE5" w:rsidTr="00CB7420">
        <w:trPr>
          <w:cantSplit/>
        </w:trPr>
        <w:tc>
          <w:tcPr>
            <w:tcW w:w="8771" w:type="dxa"/>
            <w:tcBorders>
              <w:top w:val="nil"/>
              <w:left w:val="single" w:sz="6" w:space="0" w:color="auto"/>
              <w:bottom w:val="nil"/>
              <w:right w:val="single" w:sz="6" w:space="0" w:color="auto"/>
            </w:tcBorders>
          </w:tcPr>
          <w:p w:rsidR="00D36BE5" w:rsidRDefault="00A907C4" w:rsidP="00CB7420">
            <w:pPr>
              <w:pStyle w:val="BoxHeading1"/>
            </w:pPr>
            <w:r>
              <w:t>Reverse c</w:t>
            </w:r>
            <w:r w:rsidR="00D36BE5">
              <w:t>ausation</w:t>
            </w:r>
          </w:p>
          <w:p w:rsidR="00D36BE5" w:rsidRDefault="00DC7C7A" w:rsidP="00CB7420">
            <w:pPr>
              <w:pStyle w:val="Box"/>
            </w:pPr>
            <w:r>
              <w:t>I</w:t>
            </w:r>
            <w:r w:rsidR="00A907C4">
              <w:t xml:space="preserve">n the models estimated in this paper, it is assumed that no </w:t>
            </w:r>
            <w:r w:rsidR="00742007">
              <w:t xml:space="preserve">explanatory variable (including human capital) </w:t>
            </w:r>
            <w:r>
              <w:t xml:space="preserve">is </w:t>
            </w:r>
            <w:r w:rsidR="00A907C4">
              <w:t>influenced by</w:t>
            </w:r>
            <w:r w:rsidR="00742007">
              <w:t xml:space="preserve"> </w:t>
            </w:r>
            <w:r w:rsidR="00282874">
              <w:t>a person’s wage.</w:t>
            </w:r>
            <w:r w:rsidR="00D36BE5">
              <w:t xml:space="preserve"> </w:t>
            </w:r>
            <w:r w:rsidR="00282874">
              <w:t>In practice</w:t>
            </w:r>
            <w:r w:rsidR="00D36BE5">
              <w:t xml:space="preserve">, </w:t>
            </w:r>
            <w:r w:rsidR="005F3C00">
              <w:t>wages</w:t>
            </w:r>
            <w:r w:rsidR="00262723">
              <w:t xml:space="preserve"> </w:t>
            </w:r>
            <w:r w:rsidR="00B76069">
              <w:t>are</w:t>
            </w:r>
            <w:r w:rsidR="00262723">
              <w:t xml:space="preserve"> also </w:t>
            </w:r>
            <w:r w:rsidR="00B76069">
              <w:t xml:space="preserve">likely to </w:t>
            </w:r>
            <w:r w:rsidR="00262723">
              <w:t xml:space="preserve">influence human capital </w:t>
            </w:r>
            <w:r w:rsidR="00796CD4">
              <w:t xml:space="preserve">investment </w:t>
            </w:r>
            <w:r w:rsidR="00262723">
              <w:t>(figure</w:t>
            </w:r>
            <w:r w:rsidR="00522561">
              <w:t> </w:t>
            </w:r>
            <w:r w:rsidR="00262723">
              <w:t>1.1)</w:t>
            </w:r>
            <w:r w:rsidR="00D36BE5">
              <w:t>. For ex</w:t>
            </w:r>
            <w:r w:rsidR="00A907C4">
              <w:t xml:space="preserve">ample, </w:t>
            </w:r>
            <w:r w:rsidR="005F3C00">
              <w:t>a person’s income could affect how much education they undertake.</w:t>
            </w:r>
            <w:r w:rsidR="00522561">
              <w:t xml:space="preserve"> </w:t>
            </w:r>
            <w:r w:rsidR="00D36BE5">
              <w:t xml:space="preserve">If there is a positive effect of </w:t>
            </w:r>
            <w:r w:rsidR="005F3C00">
              <w:t>wages</w:t>
            </w:r>
            <w:r w:rsidR="00D36BE5">
              <w:t xml:space="preserve"> on human capital (education or literacy and numeracy), then the</w:t>
            </w:r>
            <w:r w:rsidR="008E55CC">
              <w:t xml:space="preserve"> estimated</w:t>
            </w:r>
            <w:r w:rsidR="00D36BE5">
              <w:t xml:space="preserve"> </w:t>
            </w:r>
            <w:r w:rsidR="008E55CC">
              <w:t xml:space="preserve">coefficients </w:t>
            </w:r>
            <w:r w:rsidR="00D36BE5">
              <w:t>for the human capital variables will be overestimate</w:t>
            </w:r>
            <w:r w:rsidR="008E55CC">
              <w:t>s</w:t>
            </w:r>
            <w:r w:rsidR="00D36BE5">
              <w:t>.</w:t>
            </w:r>
            <w:r w:rsidR="005F3C00">
              <w:t xml:space="preserve"> Similarly, because a person’s wage influences the decision to participate, there is the potential for reverse causality in the labour force status model</w:t>
            </w:r>
            <w:r w:rsidR="000063E1">
              <w:t>, which would also lead to overestimates</w:t>
            </w:r>
            <w:r w:rsidR="005F3C00">
              <w:t>.</w:t>
            </w:r>
          </w:p>
          <w:p w:rsidR="00D36BE5" w:rsidRDefault="00D36BE5" w:rsidP="00CB7420">
            <w:pPr>
              <w:pStyle w:val="BoxHeading1"/>
            </w:pPr>
            <w:r>
              <w:t xml:space="preserve">Unobserved </w:t>
            </w:r>
            <w:r w:rsidR="00262723">
              <w:t>variables</w:t>
            </w:r>
          </w:p>
          <w:p w:rsidR="00D36BE5" w:rsidRDefault="00005C03" w:rsidP="00CB7420">
            <w:pPr>
              <w:pStyle w:val="Box"/>
            </w:pPr>
            <w:r>
              <w:t>Some</w:t>
            </w:r>
            <w:r w:rsidR="004800DB">
              <w:t xml:space="preserve"> variables </w:t>
            </w:r>
            <w:r w:rsidR="00742007">
              <w:t>that</w:t>
            </w:r>
            <w:r w:rsidR="004800DB">
              <w:t xml:space="preserve"> are unobserved</w:t>
            </w:r>
            <w:r w:rsidR="00262723">
              <w:t xml:space="preserve"> </w:t>
            </w:r>
            <w:r w:rsidR="001C73B4">
              <w:t xml:space="preserve">(such as </w:t>
            </w:r>
            <w:r w:rsidR="00571D41">
              <w:t>ability</w:t>
            </w:r>
            <w:r w:rsidR="001C73B4">
              <w:t xml:space="preserve">) </w:t>
            </w:r>
            <w:r w:rsidR="00262723">
              <w:t xml:space="preserve">can influence </w:t>
            </w:r>
            <w:r w:rsidR="00421B30">
              <w:t>wages</w:t>
            </w:r>
            <w:r w:rsidR="00724F49">
              <w:t>,</w:t>
            </w:r>
            <w:r w:rsidR="00262723">
              <w:t xml:space="preserve"> </w:t>
            </w:r>
            <w:r w:rsidR="008E55CC">
              <w:t>education or skill</w:t>
            </w:r>
            <w:r w:rsidR="00724F49">
              <w:t xml:space="preserve"> variables</w:t>
            </w:r>
            <w:r w:rsidR="00262723">
              <w:t>.</w:t>
            </w:r>
            <w:r>
              <w:t xml:space="preserve"> </w:t>
            </w:r>
            <w:r w:rsidR="00796CD4">
              <w:t xml:space="preserve">For example, to the extent that </w:t>
            </w:r>
            <w:r w:rsidR="00FF1265">
              <w:t>e</w:t>
            </w:r>
            <w:r w:rsidR="006321DF">
              <w:t>ducation is</w:t>
            </w:r>
            <w:r w:rsidR="00796CD4">
              <w:t xml:space="preserve"> positively correlated with ability</w:t>
            </w:r>
            <w:r w:rsidR="00D36BE5">
              <w:t xml:space="preserve">, </w:t>
            </w:r>
            <w:r w:rsidR="00262723">
              <w:t xml:space="preserve">the estimated </w:t>
            </w:r>
            <w:r w:rsidR="008E55CC">
              <w:t xml:space="preserve">coefficients for </w:t>
            </w:r>
            <w:r w:rsidR="00262723">
              <w:t xml:space="preserve">education will be overstated. Some of the </w:t>
            </w:r>
            <w:r w:rsidR="00282874">
              <w:t xml:space="preserve">association </w:t>
            </w:r>
            <w:r w:rsidR="008E55CC">
              <w:t xml:space="preserve">accounts for </w:t>
            </w:r>
            <w:r w:rsidR="00262723">
              <w:t xml:space="preserve">people with higher ability </w:t>
            </w:r>
            <w:r w:rsidR="0045166F">
              <w:t>undertaking</w:t>
            </w:r>
            <w:r w:rsidR="00262723">
              <w:t xml:space="preserve"> more education.</w:t>
            </w:r>
          </w:p>
          <w:p w:rsidR="001D340D" w:rsidRDefault="005E3894" w:rsidP="00CB7420">
            <w:pPr>
              <w:pStyle w:val="Box"/>
            </w:pPr>
            <w:r>
              <w:t xml:space="preserve">Ability </w:t>
            </w:r>
            <w:r w:rsidR="00224C98">
              <w:t>influences</w:t>
            </w:r>
            <w:r w:rsidR="00A907C4">
              <w:t xml:space="preserve"> both cognitive and non</w:t>
            </w:r>
            <w:r w:rsidR="00522561">
              <w:noBreakHyphen/>
            </w:r>
            <w:r w:rsidR="00A907C4">
              <w:t>cognitive skills (chapter</w:t>
            </w:r>
            <w:r w:rsidR="00522561">
              <w:t> </w:t>
            </w:r>
            <w:r w:rsidR="00A907C4">
              <w:t xml:space="preserve">1). </w:t>
            </w:r>
            <w:r w:rsidR="00586A01">
              <w:t>Literacy and numeracy data may capture</w:t>
            </w:r>
            <w:r>
              <w:t xml:space="preserve"> some of the cognitive elements of ability</w:t>
            </w:r>
            <w:r w:rsidR="00A907C4">
              <w:t xml:space="preserve">. </w:t>
            </w:r>
            <w:proofErr w:type="spellStart"/>
            <w:r w:rsidR="001C73B4">
              <w:t>Chesters</w:t>
            </w:r>
            <w:proofErr w:type="spellEnd"/>
            <w:r w:rsidR="001C73B4">
              <w:t>, Ryan and Sinning (2013) argue that</w:t>
            </w:r>
            <w:r w:rsidR="00D36BE5">
              <w:t xml:space="preserve"> literacy and numeracy variable</w:t>
            </w:r>
            <w:r w:rsidR="001C73B4">
              <w:t>s</w:t>
            </w:r>
            <w:r w:rsidR="00D36BE5">
              <w:t xml:space="preserve"> </w:t>
            </w:r>
            <w:r w:rsidR="001C73B4">
              <w:t>are</w:t>
            </w:r>
            <w:r w:rsidR="00D36BE5">
              <w:t xml:space="preserve"> likely to capture some aspects of individual ability and broader skills not observed in models </w:t>
            </w:r>
            <w:r w:rsidR="001C73B4">
              <w:t>that</w:t>
            </w:r>
            <w:r w:rsidR="00D36BE5">
              <w:t xml:space="preserve"> use only educational attai</w:t>
            </w:r>
            <w:r w:rsidR="001C73B4">
              <w:t>nment.</w:t>
            </w:r>
          </w:p>
          <w:p w:rsidR="001D340D" w:rsidRDefault="001C73B4" w:rsidP="00CB7420">
            <w:pPr>
              <w:pStyle w:val="Box"/>
            </w:pPr>
            <w:r>
              <w:t>While</w:t>
            </w:r>
            <w:r w:rsidR="00D36BE5">
              <w:t xml:space="preserve"> unobserved factors</w:t>
            </w:r>
            <w:r w:rsidR="00A907C4">
              <w:t xml:space="preserve"> </w:t>
            </w:r>
            <w:r w:rsidR="00724F49">
              <w:t>are</w:t>
            </w:r>
            <w:r w:rsidR="0045166F">
              <w:t xml:space="preserve"> not</w:t>
            </w:r>
            <w:r>
              <w:t xml:space="preserve"> accounted for</w:t>
            </w:r>
            <w:r w:rsidR="00C82239">
              <w:t xml:space="preserve"> in this report</w:t>
            </w:r>
            <w:r w:rsidR="00D36BE5">
              <w:t xml:space="preserve">, any bias </w:t>
            </w:r>
            <w:r w:rsidR="00724F49">
              <w:t xml:space="preserve">is </w:t>
            </w:r>
            <w:r w:rsidR="00482150">
              <w:t>un</w:t>
            </w:r>
            <w:r w:rsidR="00724F49">
              <w:t xml:space="preserve">likely to </w:t>
            </w:r>
            <w:r w:rsidR="00482150">
              <w:t>change the qualitative findings</w:t>
            </w:r>
            <w:r w:rsidR="0045166F">
              <w:t>:</w:t>
            </w:r>
          </w:p>
          <w:p w:rsidR="001D340D" w:rsidRDefault="001D340D" w:rsidP="00045A37">
            <w:pPr>
              <w:pStyle w:val="BoxListBullet"/>
              <w:rPr>
                <w:szCs w:val="22"/>
                <w:lang w:eastAsia="en-US"/>
              </w:rPr>
            </w:pPr>
            <w:r>
              <w:t xml:space="preserve">Leigh (2008), in a review of the literature that </w:t>
            </w:r>
            <w:r w:rsidR="000037FE">
              <w:t>examined ability bias, concluded</w:t>
            </w:r>
            <w:r>
              <w:t xml:space="preserve"> that </w:t>
            </w:r>
            <w:r w:rsidR="00DB1B9B">
              <w:t xml:space="preserve">Australian </w:t>
            </w:r>
            <w:r>
              <w:t xml:space="preserve">estimates for educational attainment in wages models might be biased upwards. </w:t>
            </w:r>
            <w:r w:rsidR="00724F49">
              <w:t xml:space="preserve">In his analysis, </w:t>
            </w:r>
            <w:r>
              <w:t xml:space="preserve">Leigh </w:t>
            </w:r>
            <w:r w:rsidR="00724F49">
              <w:t xml:space="preserve">concluded </w:t>
            </w:r>
            <w:r w:rsidR="00DB1B9B">
              <w:t>that ability bias meant education estimates were biased upwards by 10 per cent and adjusted results by that amount.</w:t>
            </w:r>
          </w:p>
          <w:p w:rsidR="00421B30" w:rsidRDefault="001D340D" w:rsidP="00045A37">
            <w:pPr>
              <w:pStyle w:val="BoxListBullet"/>
              <w:rPr>
                <w:szCs w:val="22"/>
                <w:lang w:eastAsia="en-US"/>
              </w:rPr>
            </w:pPr>
            <w:r>
              <w:t>In the case of labour force participation,</w:t>
            </w:r>
            <w:r w:rsidR="00421B30">
              <w:t xml:space="preserve"> c</w:t>
            </w:r>
            <w:r w:rsidR="00D36BE5">
              <w:t>ompar</w:t>
            </w:r>
            <w:r w:rsidR="0045166F">
              <w:t>ing</w:t>
            </w:r>
            <w:r w:rsidR="00D36BE5">
              <w:t xml:space="preserve"> estimates </w:t>
            </w:r>
            <w:r w:rsidR="001C73B4">
              <w:t>that</w:t>
            </w:r>
            <w:r w:rsidR="00D36BE5">
              <w:t xml:space="preserve"> did </w:t>
            </w:r>
            <w:r w:rsidR="0045166F">
              <w:t xml:space="preserve">and did </w:t>
            </w:r>
            <w:r w:rsidR="00D36BE5">
              <w:t xml:space="preserve">not </w:t>
            </w:r>
            <w:r>
              <w:t>a</w:t>
            </w:r>
            <w:r w:rsidR="000037FE">
              <w:t>llow</w:t>
            </w:r>
            <w:r>
              <w:t xml:space="preserve"> </w:t>
            </w:r>
            <w:r w:rsidR="00D36BE5">
              <w:t xml:space="preserve">for unobserved </w:t>
            </w:r>
            <w:r w:rsidR="000037FE">
              <w:t>heterogeneity</w:t>
            </w:r>
            <w:r>
              <w:t xml:space="preserve"> by using panel data</w:t>
            </w:r>
            <w:r w:rsidR="00D36BE5">
              <w:t xml:space="preserve">, </w:t>
            </w:r>
            <w:r w:rsidR="0045166F">
              <w:t xml:space="preserve">Laplagne, Glover and Shomos (2007) </w:t>
            </w:r>
            <w:r w:rsidR="00D36BE5">
              <w:t xml:space="preserve">found that the marginal effects </w:t>
            </w:r>
            <w:r w:rsidR="004800DB">
              <w:t xml:space="preserve">of education </w:t>
            </w:r>
            <w:r w:rsidR="00D36BE5">
              <w:t xml:space="preserve">for men were </w:t>
            </w:r>
            <w:r w:rsidR="0045166F">
              <w:t xml:space="preserve">practically </w:t>
            </w:r>
            <w:r w:rsidR="00D36BE5">
              <w:t>the same</w:t>
            </w:r>
            <w:r w:rsidR="0045166F">
              <w:t xml:space="preserve">; </w:t>
            </w:r>
            <w:r w:rsidR="00D36BE5">
              <w:t xml:space="preserve">for women </w:t>
            </w:r>
            <w:r w:rsidR="00F2110E">
              <w:t>allowing</w:t>
            </w:r>
            <w:r w:rsidR="00421B30">
              <w:t xml:space="preserve"> </w:t>
            </w:r>
            <w:r w:rsidR="0045166F">
              <w:t xml:space="preserve">for unobserved factors </w:t>
            </w:r>
            <w:r w:rsidR="00D36BE5">
              <w:t xml:space="preserve">reduced </w:t>
            </w:r>
            <w:r w:rsidR="00940C06">
              <w:t xml:space="preserve">the </w:t>
            </w:r>
            <w:r w:rsidR="0045166F">
              <w:t xml:space="preserve">effects </w:t>
            </w:r>
            <w:r w:rsidR="00940C06">
              <w:t xml:space="preserve">of education </w:t>
            </w:r>
            <w:r w:rsidR="00D36BE5">
              <w:t>by about 10</w:t>
            </w:r>
            <w:r w:rsidR="000037FE">
              <w:t> </w:t>
            </w:r>
            <w:r w:rsidR="00D36BE5">
              <w:t>per</w:t>
            </w:r>
            <w:r w:rsidR="000037FE">
              <w:t> </w:t>
            </w:r>
            <w:r w:rsidR="00D36BE5">
              <w:t>cent.</w:t>
            </w:r>
          </w:p>
          <w:p w:rsidR="00D36BE5" w:rsidRDefault="00421B30" w:rsidP="00560815">
            <w:pPr>
              <w:pStyle w:val="Continued"/>
            </w:pPr>
            <w:r>
              <w:t>(con</w:t>
            </w:r>
            <w:r w:rsidR="00F0214A">
              <w:t>tinued next page</w:t>
            </w:r>
            <w:r>
              <w:t>)</w:t>
            </w:r>
          </w:p>
        </w:tc>
      </w:tr>
      <w:tr w:rsidR="00D36BE5" w:rsidTr="00CB7420">
        <w:trPr>
          <w:cantSplit/>
        </w:trPr>
        <w:tc>
          <w:tcPr>
            <w:tcW w:w="8771" w:type="dxa"/>
            <w:tcBorders>
              <w:top w:val="nil"/>
              <w:left w:val="single" w:sz="6" w:space="0" w:color="auto"/>
              <w:bottom w:val="single" w:sz="6" w:space="0" w:color="auto"/>
              <w:right w:val="single" w:sz="6" w:space="0" w:color="auto"/>
            </w:tcBorders>
          </w:tcPr>
          <w:p w:rsidR="00D36BE5" w:rsidRDefault="00D36BE5" w:rsidP="00CB7420">
            <w:pPr>
              <w:pStyle w:val="Box"/>
              <w:spacing w:before="0" w:line="120" w:lineRule="exact"/>
            </w:pPr>
          </w:p>
        </w:tc>
      </w:tr>
      <w:tr w:rsidR="00D36BE5" w:rsidRPr="000863A5" w:rsidTr="00CB7420">
        <w:tc>
          <w:tcPr>
            <w:tcW w:w="8771" w:type="dxa"/>
            <w:tcBorders>
              <w:top w:val="nil"/>
              <w:left w:val="nil"/>
              <w:bottom w:val="nil"/>
              <w:right w:val="nil"/>
            </w:tcBorders>
          </w:tcPr>
          <w:p w:rsidR="00D36BE5" w:rsidRPr="002B7F21" w:rsidRDefault="00D36BE5" w:rsidP="00CB7420">
            <w:pPr>
              <w:pStyle w:val="BoxSpaceBelow"/>
            </w:pPr>
          </w:p>
        </w:tc>
      </w:tr>
    </w:tbl>
    <w:p w:rsidR="00421B30" w:rsidRPr="002B7F21" w:rsidRDefault="00421B30">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21B30">
        <w:tc>
          <w:tcPr>
            <w:tcW w:w="8771" w:type="dxa"/>
            <w:tcBorders>
              <w:top w:val="single" w:sz="6" w:space="0" w:color="auto"/>
              <w:bottom w:val="nil"/>
            </w:tcBorders>
          </w:tcPr>
          <w:p w:rsidR="00421B30" w:rsidRDefault="00421B30" w:rsidP="00560815">
            <w:pPr>
              <w:pStyle w:val="BoxTitle"/>
            </w:pPr>
            <w:r w:rsidRPr="00560815">
              <w:rPr>
                <w:b w:val="0"/>
              </w:rPr>
              <w:t>Box 3.1</w:t>
            </w:r>
            <w:r>
              <w:tab/>
            </w:r>
            <w:r w:rsidR="00560815">
              <w:rPr>
                <w:b w:val="0"/>
                <w:sz w:val="18"/>
                <w:szCs w:val="20"/>
              </w:rPr>
              <w:t>(co</w:t>
            </w:r>
            <w:r w:rsidRPr="00560815">
              <w:rPr>
                <w:b w:val="0"/>
                <w:sz w:val="18"/>
                <w:szCs w:val="20"/>
              </w:rPr>
              <w:t>ntinue</w:t>
            </w:r>
            <w:r w:rsidR="00560815">
              <w:rPr>
                <w:b w:val="0"/>
                <w:sz w:val="18"/>
                <w:szCs w:val="20"/>
              </w:rPr>
              <w:t>d)</w:t>
            </w:r>
          </w:p>
        </w:tc>
      </w:tr>
      <w:tr w:rsidR="00421B30">
        <w:trPr>
          <w:cantSplit/>
        </w:trPr>
        <w:tc>
          <w:tcPr>
            <w:tcW w:w="8771" w:type="dxa"/>
            <w:tcBorders>
              <w:top w:val="nil"/>
              <w:left w:val="single" w:sz="6" w:space="0" w:color="auto"/>
              <w:bottom w:val="nil"/>
              <w:right w:val="single" w:sz="6" w:space="0" w:color="auto"/>
            </w:tcBorders>
          </w:tcPr>
          <w:p w:rsidR="00421B30" w:rsidRDefault="00421B30" w:rsidP="00421B30">
            <w:pPr>
              <w:pStyle w:val="BoxHeading1"/>
            </w:pPr>
            <w:r>
              <w:t>Sample selection bias</w:t>
            </w:r>
          </w:p>
          <w:p w:rsidR="00940C06" w:rsidRDefault="00421B30" w:rsidP="00940C06">
            <w:pPr>
              <w:pStyle w:val="Box"/>
            </w:pPr>
            <w:r>
              <w:t xml:space="preserve">Sample selection bias occurs when the data are not a random sample of the population. Wages are only observed for people who are employed — people </w:t>
            </w:r>
            <w:r w:rsidR="00940C06">
              <w:t xml:space="preserve">who are </w:t>
            </w:r>
            <w:r w:rsidR="00477E55">
              <w:t>un</w:t>
            </w:r>
            <w:r>
              <w:t xml:space="preserve">employed </w:t>
            </w:r>
            <w:r w:rsidR="00477E55">
              <w:t xml:space="preserve">or not in the labour force </w:t>
            </w:r>
            <w:r>
              <w:t xml:space="preserve">may have different characteristics. </w:t>
            </w:r>
            <w:r w:rsidR="00477E55">
              <w:t xml:space="preserve">Restricting the sample to people who earn a wage could introduce biases into the estimation. </w:t>
            </w:r>
          </w:p>
          <w:p w:rsidR="00421B30" w:rsidRDefault="00421B30" w:rsidP="00940C06">
            <w:pPr>
              <w:pStyle w:val="Box"/>
            </w:pPr>
            <w:r>
              <w:t xml:space="preserve">To address this, </w:t>
            </w:r>
            <w:r w:rsidR="00940C06">
              <w:t xml:space="preserve">a </w:t>
            </w:r>
            <w:r w:rsidR="00477E55">
              <w:t>two equations</w:t>
            </w:r>
            <w:r w:rsidR="00940C06">
              <w:t xml:space="preserve"> approach</w:t>
            </w:r>
            <w:r w:rsidR="00477E55">
              <w:t xml:space="preserve"> </w:t>
            </w:r>
            <w:r w:rsidR="00940C06">
              <w:t xml:space="preserve">(so-called Heckman approach) is </w:t>
            </w:r>
            <w:r w:rsidR="00477E55">
              <w:t xml:space="preserve">used </w:t>
            </w:r>
            <w:r w:rsidR="00940C06">
              <w:t xml:space="preserve">in this report </w:t>
            </w:r>
            <w:r w:rsidR="0009731F">
              <w:t>when estimati</w:t>
            </w:r>
            <w:r w:rsidR="00477E55">
              <w:t>n</w:t>
            </w:r>
            <w:r w:rsidR="0009731F">
              <w:t>g</w:t>
            </w:r>
            <w:r w:rsidR="00477E55">
              <w:t xml:space="preserve"> the w</w:t>
            </w:r>
            <w:r w:rsidR="0009731F">
              <w:t>ages model</w:t>
            </w:r>
            <w:r w:rsidR="00477E55">
              <w:t xml:space="preserve"> — a ‘selection’ (employment) equation and a ‘principal’ (wage) equation.</w:t>
            </w:r>
            <w:r w:rsidR="008467ED">
              <w:t xml:space="preserve"> The selection equation estimates the likelihood that a person with a given set of characteristics will be employed. The wage equation includes an adjustment factor (based on the selection equation) to estimate a wage for everybody in the sample (including</w:t>
            </w:r>
            <w:r w:rsidR="00DB1B9B">
              <w:t xml:space="preserve"> those</w:t>
            </w:r>
            <w:r w:rsidR="008467ED">
              <w:t xml:space="preserve"> unemployed and not in the labour force). Results indicate that there is a </w:t>
            </w:r>
            <w:r w:rsidR="00DB1B9B">
              <w:t xml:space="preserve">sample selection bias for men, but not women </w:t>
            </w:r>
            <w:r w:rsidR="00940C06">
              <w:t xml:space="preserve">and that the approach corrects for this </w:t>
            </w:r>
            <w:r w:rsidR="00DB1B9B">
              <w:t>(appendix</w:t>
            </w:r>
            <w:r w:rsidR="00522561">
              <w:t> </w:t>
            </w:r>
            <w:r w:rsidR="00DB1B9B">
              <w:t>C).</w:t>
            </w:r>
            <w:r w:rsidR="008467ED">
              <w:t xml:space="preserve"> </w:t>
            </w:r>
          </w:p>
        </w:tc>
      </w:tr>
      <w:tr w:rsidR="00421B30">
        <w:trPr>
          <w:cantSplit/>
        </w:trPr>
        <w:tc>
          <w:tcPr>
            <w:tcW w:w="8771" w:type="dxa"/>
            <w:tcBorders>
              <w:top w:val="nil"/>
              <w:left w:val="single" w:sz="6" w:space="0" w:color="auto"/>
              <w:bottom w:val="single" w:sz="6" w:space="0" w:color="auto"/>
              <w:right w:val="single" w:sz="6" w:space="0" w:color="auto"/>
            </w:tcBorders>
          </w:tcPr>
          <w:p w:rsidR="00421B30" w:rsidRDefault="00421B30">
            <w:pPr>
              <w:pStyle w:val="Box"/>
              <w:spacing w:before="0" w:line="120" w:lineRule="exact"/>
            </w:pPr>
          </w:p>
        </w:tc>
      </w:tr>
      <w:tr w:rsidR="00421B30" w:rsidRPr="000863A5">
        <w:tc>
          <w:tcPr>
            <w:tcW w:w="8771" w:type="dxa"/>
            <w:tcBorders>
              <w:top w:val="nil"/>
              <w:left w:val="nil"/>
              <w:bottom w:val="nil"/>
              <w:right w:val="nil"/>
            </w:tcBorders>
          </w:tcPr>
          <w:p w:rsidR="00421B30" w:rsidRPr="002B7F21" w:rsidRDefault="00421B30" w:rsidP="00421B30">
            <w:pPr>
              <w:pStyle w:val="BoxSpaceBelow"/>
            </w:pPr>
          </w:p>
        </w:tc>
      </w:tr>
    </w:tbl>
    <w:p w:rsidR="00720731" w:rsidRDefault="00720731" w:rsidP="00720731">
      <w:pPr>
        <w:pStyle w:val="Heading3"/>
      </w:pPr>
      <w:r>
        <w:t>Variables used in the analysis</w:t>
      </w:r>
    </w:p>
    <w:p w:rsidR="00720731" w:rsidRDefault="00720731" w:rsidP="00720731">
      <w:pPr>
        <w:pStyle w:val="BodyText"/>
      </w:pPr>
      <w:r>
        <w:t xml:space="preserve">The </w:t>
      </w:r>
      <w:proofErr w:type="spellStart"/>
      <w:r>
        <w:t>P</w:t>
      </w:r>
      <w:r w:rsidR="003D4CC8">
        <w:t>rogramme</w:t>
      </w:r>
      <w:proofErr w:type="spellEnd"/>
      <w:r w:rsidR="003D4CC8">
        <w:t xml:space="preserve"> for the International Assessment of Adult Competencies (</w:t>
      </w:r>
      <w:proofErr w:type="spellStart"/>
      <w:r w:rsidR="003D4CC8">
        <w:t>P</w:t>
      </w:r>
      <w:r>
        <w:t>IAAC</w:t>
      </w:r>
      <w:proofErr w:type="spellEnd"/>
      <w:r w:rsidR="003D4CC8">
        <w:t>)</w:t>
      </w:r>
      <w:r>
        <w:t xml:space="preserve"> dataset includes many of the variables </w:t>
      </w:r>
      <w:r w:rsidR="00940C06">
        <w:t xml:space="preserve">required to estimate </w:t>
      </w:r>
      <w:r>
        <w:t>the wage and employment models of the type described above. The variables are described briefly below, and in more detail in appendix B.</w:t>
      </w:r>
    </w:p>
    <w:p w:rsidR="00720731" w:rsidRDefault="00720731" w:rsidP="00720731">
      <w:pPr>
        <w:pStyle w:val="Heading4"/>
        <w:spacing w:before="240"/>
      </w:pPr>
      <w:r>
        <w:t>Employment and wages</w:t>
      </w:r>
    </w:p>
    <w:p w:rsidR="00720731" w:rsidRDefault="00720731" w:rsidP="00720731">
      <w:pPr>
        <w:pStyle w:val="BodyText"/>
      </w:pPr>
      <w:r>
        <w:t>The dependent variables are labour force status and the natural logarithm of wages:</w:t>
      </w:r>
    </w:p>
    <w:p w:rsidR="00720731" w:rsidRDefault="00720731" w:rsidP="00720731">
      <w:pPr>
        <w:pStyle w:val="ListBullet"/>
      </w:pPr>
      <w:r>
        <w:t xml:space="preserve">Labour force status is a categorical variable indicating whether a survey participant is employed, unemployed or not in the labour force. </w:t>
      </w:r>
    </w:p>
    <w:p w:rsidR="00720731" w:rsidRDefault="00720731" w:rsidP="00266097">
      <w:pPr>
        <w:pStyle w:val="ListBullet"/>
      </w:pPr>
      <w:r>
        <w:t xml:space="preserve">An estimate of hourly wages was derived from information on annual </w:t>
      </w:r>
      <w:r w:rsidR="00A1084A">
        <w:t xml:space="preserve">wages </w:t>
      </w:r>
      <w:r>
        <w:t>and weekly hours usually worked in a person’s main job (appendix B).</w:t>
      </w:r>
    </w:p>
    <w:p w:rsidR="00266097" w:rsidRDefault="00266097" w:rsidP="00266097">
      <w:pPr>
        <w:pStyle w:val="Heading4"/>
      </w:pPr>
      <w:r>
        <w:t>Literacy and numeracy</w:t>
      </w:r>
      <w:r w:rsidR="00F80C67">
        <w:t xml:space="preserve"> skills</w:t>
      </w:r>
    </w:p>
    <w:p w:rsidR="00E01F80" w:rsidRDefault="00E01F80" w:rsidP="00E01F80">
      <w:pPr>
        <w:pStyle w:val="BodyText"/>
      </w:pPr>
      <w:r>
        <w:t xml:space="preserve">Test scores for literacy and numeracy were used as they are measured on a scale of 1 to 500, which allows for more </w:t>
      </w:r>
      <w:r w:rsidR="00482150">
        <w:t xml:space="preserve">continuous </w:t>
      </w:r>
      <w:r>
        <w:t xml:space="preserve">variation compared with using </w:t>
      </w:r>
      <w:r w:rsidR="00482150">
        <w:t xml:space="preserve">discrete </w:t>
      </w:r>
      <w:r>
        <w:t>skill levels.</w:t>
      </w:r>
    </w:p>
    <w:p w:rsidR="00266097" w:rsidRDefault="00266097" w:rsidP="00E01F80">
      <w:pPr>
        <w:pStyle w:val="BodyText"/>
      </w:pPr>
      <w:r>
        <w:t>There was a strong positive correlation between literacy and numeracy</w:t>
      </w:r>
      <w:r w:rsidR="00F80C67">
        <w:t xml:space="preserve"> skills</w:t>
      </w:r>
      <w:r w:rsidR="00E01F80">
        <w:t xml:space="preserve"> (</w:t>
      </w:r>
      <w:r w:rsidR="00C50A8A">
        <w:t xml:space="preserve">for example, </w:t>
      </w:r>
      <w:r w:rsidR="00E01F80">
        <w:t>see</w:t>
      </w:r>
      <w:r w:rsidR="0057363B">
        <w:t xml:space="preserve"> </w:t>
      </w:r>
      <w:r>
        <w:t>table 2.2</w:t>
      </w:r>
      <w:r w:rsidR="00ED3EAF">
        <w:t>, presented</w:t>
      </w:r>
      <w:r w:rsidR="00E01F80">
        <w:t xml:space="preserve"> for skill levels)</w:t>
      </w:r>
      <w:r>
        <w:t>.</w:t>
      </w:r>
      <w:r w:rsidR="00C0514F">
        <w:t xml:space="preserve"> To address </w:t>
      </w:r>
      <w:r w:rsidR="00B74843">
        <w:t xml:space="preserve">potential </w:t>
      </w:r>
      <w:proofErr w:type="spellStart"/>
      <w:r w:rsidR="00B74843">
        <w:t>collinearity</w:t>
      </w:r>
      <w:proofErr w:type="spellEnd"/>
      <w:r w:rsidR="00B74843">
        <w:t xml:space="preserve"> issues</w:t>
      </w:r>
      <w:r w:rsidR="00C0514F">
        <w:t>, a variable that accounts for both literacy and numeracy</w:t>
      </w:r>
      <w:r w:rsidR="00F80C67">
        <w:t xml:space="preserve"> skills</w:t>
      </w:r>
      <w:r w:rsidR="00C0514F">
        <w:t xml:space="preserve"> was created </w:t>
      </w:r>
      <w:r w:rsidR="00C0514F">
        <w:lastRenderedPageBreak/>
        <w:t>using principal component analysis (appendix</w:t>
      </w:r>
      <w:r w:rsidR="00522561">
        <w:t> </w:t>
      </w:r>
      <w:r w:rsidR="00C0514F">
        <w:t xml:space="preserve">B). </w:t>
      </w:r>
      <w:r w:rsidR="00184142">
        <w:t xml:space="preserve">The variable is a simple weighted average of literacy and numeracy test scores. </w:t>
      </w:r>
      <w:r w:rsidR="00C0514F">
        <w:t xml:space="preserve">As this variable is a measure of both literacy and numeracy, the links between either literacy </w:t>
      </w:r>
      <w:r w:rsidR="00C0514F" w:rsidRPr="00184142">
        <w:rPr>
          <w:i/>
        </w:rPr>
        <w:t>or</w:t>
      </w:r>
      <w:r w:rsidR="00C0514F">
        <w:t xml:space="preserve"> numeracy </w:t>
      </w:r>
      <w:r w:rsidR="00F80C67">
        <w:t xml:space="preserve">skills </w:t>
      </w:r>
      <w:r w:rsidR="00C0514F">
        <w:t xml:space="preserve">with labour market outcomes cannot be </w:t>
      </w:r>
      <w:r w:rsidR="00184142">
        <w:t>identified</w:t>
      </w:r>
      <w:r w:rsidR="007E72BA" w:rsidRPr="007E72BA">
        <w:t xml:space="preserve"> </w:t>
      </w:r>
      <w:r w:rsidR="007E72BA">
        <w:t>separately</w:t>
      </w:r>
      <w:r w:rsidR="00C0514F">
        <w:t>.</w:t>
      </w:r>
      <w:r w:rsidR="00B74843">
        <w:rPr>
          <w:rStyle w:val="FootnoteReference"/>
        </w:rPr>
        <w:footnoteReference w:id="8"/>
      </w:r>
    </w:p>
    <w:p w:rsidR="002E73A1" w:rsidRDefault="001C73B4" w:rsidP="002E73A1">
      <w:pPr>
        <w:pStyle w:val="Heading4"/>
      </w:pPr>
      <w:r>
        <w:t>Education</w:t>
      </w:r>
    </w:p>
    <w:p w:rsidR="002E73A1" w:rsidRDefault="00282874" w:rsidP="002E73A1">
      <w:pPr>
        <w:pStyle w:val="BodyText"/>
      </w:pPr>
      <w:r>
        <w:t xml:space="preserve">Education was measured </w:t>
      </w:r>
      <w:r w:rsidR="009875F1">
        <w:t xml:space="preserve">as highest qualification </w:t>
      </w:r>
      <w:r>
        <w:t>attain</w:t>
      </w:r>
      <w:r w:rsidR="009875F1">
        <w:t>ed</w:t>
      </w:r>
      <w:r w:rsidR="001C73B4">
        <w:t>,</w:t>
      </w:r>
      <w:r>
        <w:t xml:space="preserve"> </w:t>
      </w:r>
      <w:r w:rsidR="009875F1">
        <w:t>grouped in 4</w:t>
      </w:r>
      <w:r w:rsidR="001C73B4">
        <w:t xml:space="preserve"> levels</w:t>
      </w:r>
      <w:r w:rsidR="002E73A1">
        <w:t>:</w:t>
      </w:r>
    </w:p>
    <w:p w:rsidR="00B11568" w:rsidRDefault="00B11568" w:rsidP="002E73A1">
      <w:pPr>
        <w:pStyle w:val="ListBullet"/>
      </w:pPr>
      <w:r>
        <w:t>Y</w:t>
      </w:r>
      <w:r w:rsidR="002E73A1">
        <w:t>ear 11 or lower</w:t>
      </w:r>
      <w:r w:rsidR="00FB6847">
        <w:t xml:space="preserve"> (this includes people with Certificates I and II)</w:t>
      </w:r>
    </w:p>
    <w:p w:rsidR="002E73A1" w:rsidRDefault="00B11568" w:rsidP="002E73A1">
      <w:pPr>
        <w:pStyle w:val="ListBullet"/>
      </w:pPr>
      <w:r>
        <w:t>Y</w:t>
      </w:r>
      <w:r w:rsidR="002E73A1">
        <w:t>ear 12</w:t>
      </w:r>
    </w:p>
    <w:p w:rsidR="002E73A1" w:rsidRDefault="002E73A1" w:rsidP="002E73A1">
      <w:pPr>
        <w:pStyle w:val="ListBullet"/>
      </w:pPr>
      <w:r>
        <w:t xml:space="preserve">diploma or certificate </w:t>
      </w:r>
      <w:r w:rsidR="00FB6847">
        <w:t>(certificate is only for Certificates III and IV)</w:t>
      </w:r>
    </w:p>
    <w:p w:rsidR="002E73A1" w:rsidRDefault="002E73A1" w:rsidP="002E73A1">
      <w:pPr>
        <w:pStyle w:val="ListBullet"/>
      </w:pPr>
      <w:r>
        <w:t>bachelor degree or higher.</w:t>
      </w:r>
    </w:p>
    <w:p w:rsidR="002E73A1" w:rsidRDefault="000E5D12" w:rsidP="002E73A1">
      <w:pPr>
        <w:pStyle w:val="BodyText"/>
      </w:pPr>
      <w:r>
        <w:t>Definitions of these attainment levels are in appendix</w:t>
      </w:r>
      <w:r w:rsidR="00522561">
        <w:t> </w:t>
      </w:r>
      <w:r>
        <w:t xml:space="preserve">B. </w:t>
      </w:r>
      <w:r w:rsidR="002E73A1">
        <w:t xml:space="preserve">Year 11 or lower is </w:t>
      </w:r>
      <w:r w:rsidR="00122A5D">
        <w:t>the default category</w:t>
      </w:r>
      <w:r w:rsidR="002E73A1">
        <w:t xml:space="preserve">, meaning that </w:t>
      </w:r>
      <w:r w:rsidR="00282874">
        <w:t>estimate</w:t>
      </w:r>
      <w:r w:rsidR="009875F1">
        <w:t>s associated with</w:t>
      </w:r>
      <w:r w:rsidR="00282874">
        <w:t xml:space="preserve"> educational attainment </w:t>
      </w:r>
      <w:r w:rsidR="007E6909">
        <w:t xml:space="preserve">are </w:t>
      </w:r>
      <w:r w:rsidR="00282874">
        <w:t xml:space="preserve">measured </w:t>
      </w:r>
      <w:r w:rsidR="000D3086">
        <w:t>relative to having Y</w:t>
      </w:r>
      <w:r w:rsidR="002E73A1">
        <w:t>ear 11 or lower education.</w:t>
      </w:r>
    </w:p>
    <w:p w:rsidR="00F02322" w:rsidRDefault="002319AD" w:rsidP="00F02322">
      <w:pPr>
        <w:pStyle w:val="Heading2"/>
      </w:pPr>
      <w:fldSimple w:instr=" COMMENTS  \* MERGEFORMAT ">
        <w:r w:rsidR="001B7E07">
          <w:t>3.</w:t>
        </w:r>
      </w:fldSimple>
      <w:r w:rsidR="00C80FB3">
        <w:fldChar w:fldCharType="begin"/>
      </w:r>
      <w:r w:rsidR="00C80FB3">
        <w:instrText xml:space="preserve"> SEQ Heading2 </w:instrText>
      </w:r>
      <w:r w:rsidR="00C80FB3">
        <w:fldChar w:fldCharType="separate"/>
      </w:r>
      <w:r>
        <w:rPr>
          <w:noProof/>
        </w:rPr>
        <w:t>2</w:t>
      </w:r>
      <w:r w:rsidR="00C80FB3">
        <w:rPr>
          <w:noProof/>
        </w:rPr>
        <w:fldChar w:fldCharType="end"/>
      </w:r>
      <w:r w:rsidR="00F02322">
        <w:tab/>
        <w:t>Results</w:t>
      </w:r>
    </w:p>
    <w:p w:rsidR="00F02322" w:rsidRDefault="00B74843" w:rsidP="003047D6">
      <w:pPr>
        <w:pStyle w:val="BodyText"/>
      </w:pPr>
      <w:r>
        <w:t>R</w:t>
      </w:r>
      <w:r w:rsidR="00F02322">
        <w:t xml:space="preserve">esults confirm a positive association between </w:t>
      </w:r>
      <w:r w:rsidR="007E6909">
        <w:t xml:space="preserve">the simple measure of </w:t>
      </w:r>
      <w:r w:rsidR="00F02322">
        <w:t xml:space="preserve">literacy and numeracy skills and </w:t>
      </w:r>
      <w:r w:rsidR="00122A5D">
        <w:t xml:space="preserve">both </w:t>
      </w:r>
      <w:r w:rsidR="00052796">
        <w:t xml:space="preserve">employment </w:t>
      </w:r>
      <w:r w:rsidR="00122A5D">
        <w:t>and wages</w:t>
      </w:r>
      <w:r w:rsidR="00F02322">
        <w:t xml:space="preserve">. </w:t>
      </w:r>
      <w:r w:rsidR="00C55F4A">
        <w:t>Marginal effects</w:t>
      </w:r>
      <w:r w:rsidR="00C55F4A">
        <w:rPr>
          <w:rStyle w:val="FootnoteReference"/>
        </w:rPr>
        <w:footnoteReference w:id="9"/>
      </w:r>
      <w:r w:rsidR="00F02322">
        <w:t xml:space="preserve"> for </w:t>
      </w:r>
      <w:r w:rsidR="00005C03">
        <w:t xml:space="preserve">the </w:t>
      </w:r>
      <w:r w:rsidR="00FB6847">
        <w:t>employment</w:t>
      </w:r>
      <w:r w:rsidR="00FD71AB">
        <w:t xml:space="preserve"> </w:t>
      </w:r>
      <w:r w:rsidR="00005C03">
        <w:t>and</w:t>
      </w:r>
      <w:r w:rsidR="00F02322">
        <w:t xml:space="preserve"> wages </w:t>
      </w:r>
      <w:r w:rsidR="00005C03">
        <w:t>models</w:t>
      </w:r>
      <w:r w:rsidR="005D68C4">
        <w:t>, and the implications of those results,</w:t>
      </w:r>
      <w:r w:rsidR="00005C03">
        <w:t xml:space="preserve"> </w:t>
      </w:r>
      <w:r w:rsidR="00F02322">
        <w:t>are presented in this section.</w:t>
      </w:r>
    </w:p>
    <w:p w:rsidR="00005C03" w:rsidRDefault="00FB6847" w:rsidP="00C55F4A">
      <w:pPr>
        <w:pStyle w:val="Heading3"/>
      </w:pPr>
      <w:r>
        <w:t>Employment</w:t>
      </w:r>
    </w:p>
    <w:p w:rsidR="00FD71AB" w:rsidRDefault="00FD71AB" w:rsidP="00EF4E46">
      <w:pPr>
        <w:pStyle w:val="BodyText"/>
      </w:pPr>
      <w:r>
        <w:t>The association between literacy and numeracy and different labour market states</w:t>
      </w:r>
      <w:r w:rsidR="00FB6847">
        <w:t xml:space="preserve"> </w:t>
      </w:r>
      <w:r>
        <w:t xml:space="preserve">was estimated using a multinomial </w:t>
      </w:r>
      <w:proofErr w:type="spellStart"/>
      <w:r>
        <w:t>logit</w:t>
      </w:r>
      <w:proofErr w:type="spellEnd"/>
      <w:r w:rsidR="009875F1">
        <w:t xml:space="preserve"> model</w:t>
      </w:r>
      <w:r>
        <w:t>.</w:t>
      </w:r>
      <w:r w:rsidR="00C95614">
        <w:rPr>
          <w:rStyle w:val="FootnoteReference"/>
        </w:rPr>
        <w:footnoteReference w:id="10"/>
      </w:r>
    </w:p>
    <w:p w:rsidR="00EA5AF5" w:rsidRDefault="00C55F4A" w:rsidP="006E3EF9">
      <w:pPr>
        <w:pStyle w:val="Heading4"/>
        <w:spacing w:before="240"/>
      </w:pPr>
      <w:r>
        <w:lastRenderedPageBreak/>
        <w:t>How important are l</w:t>
      </w:r>
      <w:r w:rsidR="00EA5AF5">
        <w:t>iteracy and numeracy skills</w:t>
      </w:r>
      <w:r>
        <w:t xml:space="preserve"> for </w:t>
      </w:r>
      <w:r w:rsidR="00FD71AB">
        <w:t>employment</w:t>
      </w:r>
      <w:r>
        <w:t>?</w:t>
      </w:r>
    </w:p>
    <w:p w:rsidR="004D2014" w:rsidRDefault="002014EE" w:rsidP="00F51041">
      <w:pPr>
        <w:pStyle w:val="BodyText"/>
      </w:pPr>
      <w:r>
        <w:t>The marginal effect</w:t>
      </w:r>
      <w:r w:rsidR="00A94E18">
        <w:t>s</w:t>
      </w:r>
      <w:r>
        <w:t xml:space="preserve"> </w:t>
      </w:r>
      <w:r w:rsidR="00E81CBA">
        <w:t xml:space="preserve">of </w:t>
      </w:r>
      <w:r>
        <w:t xml:space="preserve">literacy and numeracy </w:t>
      </w:r>
      <w:r w:rsidR="00F80C67">
        <w:t>skills</w:t>
      </w:r>
      <w:r w:rsidR="007E72BA">
        <w:t xml:space="preserve"> </w:t>
      </w:r>
      <w:r w:rsidR="00313958">
        <w:t xml:space="preserve">associated with </w:t>
      </w:r>
      <w:r w:rsidR="00E81CBA">
        <w:t xml:space="preserve">the probability of employment </w:t>
      </w:r>
      <w:r w:rsidR="00A26A29">
        <w:t>are</w:t>
      </w:r>
      <w:r>
        <w:t xml:space="preserve"> positive and statistically </w:t>
      </w:r>
      <w:r w:rsidR="00145A6B">
        <w:t>different from zero</w:t>
      </w:r>
      <w:r>
        <w:t xml:space="preserve"> (figure</w:t>
      </w:r>
      <w:r w:rsidR="00522561">
        <w:t> </w:t>
      </w:r>
      <w:r>
        <w:t xml:space="preserve">3.1). </w:t>
      </w:r>
      <w:r w:rsidR="007700C4">
        <w:t>F</w:t>
      </w:r>
      <w:r>
        <w:t>or a given level of educational attainment</w:t>
      </w:r>
      <w:r w:rsidR="0009731F">
        <w:t>,</w:t>
      </w:r>
      <w:r>
        <w:t xml:space="preserve"> and controlling for other factors, a</w:t>
      </w:r>
      <w:r w:rsidR="003818FD">
        <w:t xml:space="preserve"> 50-point</w:t>
      </w:r>
      <w:r>
        <w:t xml:space="preserve"> increase in a person’s average literacy and numeracy test score ––</w:t>
      </w:r>
      <w:r w:rsidR="00CD2B49">
        <w:t xml:space="preserve"> </w:t>
      </w:r>
      <w:r>
        <w:t>equivalent to one skill level for most people</w:t>
      </w:r>
      <w:r w:rsidR="00C001FF">
        <w:rPr>
          <w:rStyle w:val="FootnoteReference"/>
        </w:rPr>
        <w:footnoteReference w:id="11"/>
      </w:r>
      <w:r w:rsidR="003236A4">
        <w:t xml:space="preserve"> </w:t>
      </w:r>
      <w:r>
        <w:t xml:space="preserve">–– </w:t>
      </w:r>
      <w:r w:rsidR="00A26A29">
        <w:t>is</w:t>
      </w:r>
      <w:r>
        <w:t xml:space="preserve"> associated with an increased probability of </w:t>
      </w:r>
      <w:r w:rsidR="00E81CBA">
        <w:t xml:space="preserve">employment </w:t>
      </w:r>
      <w:r>
        <w:t xml:space="preserve">of </w:t>
      </w:r>
      <w:r w:rsidR="00CD2B49">
        <w:t>about</w:t>
      </w:r>
      <w:r w:rsidR="00E81CBA">
        <w:t xml:space="preserve"> </w:t>
      </w:r>
      <w:r w:rsidR="000D3086">
        <w:t>2.4</w:t>
      </w:r>
      <w:r w:rsidR="00E81CBA">
        <w:t xml:space="preserve"> </w:t>
      </w:r>
      <w:r w:rsidR="000D3086">
        <w:t>and 4.3</w:t>
      </w:r>
      <w:r w:rsidR="0009731F">
        <w:t xml:space="preserve"> </w:t>
      </w:r>
      <w:r>
        <w:t>percentage points</w:t>
      </w:r>
      <w:r w:rsidR="0021381C">
        <w:t xml:space="preserve"> for men and women</w:t>
      </w:r>
      <w:r w:rsidR="0009731F">
        <w:t>, respectively</w:t>
      </w:r>
      <w:r w:rsidR="00EA5AF5">
        <w:t>.</w:t>
      </w:r>
    </w:p>
    <w:p w:rsidR="004D2014" w:rsidRDefault="004D2014" w:rsidP="004D2014">
      <w:pPr>
        <w:pStyle w:val="BodyText"/>
      </w:pPr>
      <w:r>
        <w:t xml:space="preserve">Marginal effects for educational attainment </w:t>
      </w:r>
      <w:r w:rsidR="00A26A29">
        <w:t>are</w:t>
      </w:r>
      <w:r>
        <w:t xml:space="preserve"> generally positive, but much larger for women than for men (figure 3.1). This likely reflects differences in the rate of employment among men aged 25–64 </w:t>
      </w:r>
      <w:r w:rsidR="00E5437E">
        <w:t xml:space="preserve">years </w:t>
      </w:r>
      <w:r>
        <w:t>(85 per cent) and women (72 per cent). The high employment rate among men means that there is less scope to increase male employment.</w:t>
      </w:r>
    </w:p>
    <w:p w:rsidR="004D2014" w:rsidRDefault="004D2014" w:rsidP="004D2014">
      <w:pPr>
        <w:pStyle w:val="TableTitle"/>
      </w:pPr>
      <w:r w:rsidRPr="00EF4E46">
        <w:rPr>
          <w:b w:val="0"/>
        </w:rPr>
        <w:t>Figure</w:t>
      </w:r>
      <w:r>
        <w:rPr>
          <w:b w:val="0"/>
        </w:rPr>
        <w:t> </w:t>
      </w:r>
      <w:r w:rsidRPr="00EF4E46">
        <w:rPr>
          <w:b w:val="0"/>
        </w:rPr>
        <w:fldChar w:fldCharType="begin"/>
      </w:r>
      <w:r w:rsidRPr="00EF4E46">
        <w:rPr>
          <w:b w:val="0"/>
        </w:rPr>
        <w:instrText xml:space="preserve"> COMMENTS  \* MERGEFORMAT </w:instrText>
      </w:r>
      <w:r w:rsidRPr="00EF4E46">
        <w:rPr>
          <w:b w:val="0"/>
        </w:rPr>
        <w:fldChar w:fldCharType="separate"/>
      </w:r>
      <w:r w:rsidR="001B7E07">
        <w:rPr>
          <w:b w:val="0"/>
        </w:rPr>
        <w:t>3.</w:t>
      </w:r>
      <w:r w:rsidRPr="00EF4E46">
        <w:rPr>
          <w:b w:val="0"/>
        </w:rPr>
        <w:fldChar w:fldCharType="end"/>
      </w:r>
      <w:r w:rsidRPr="00EF4E46">
        <w:rPr>
          <w:b w:val="0"/>
        </w:rPr>
        <w:fldChar w:fldCharType="begin"/>
      </w:r>
      <w:r w:rsidRPr="00EF4E46">
        <w:rPr>
          <w:b w:val="0"/>
        </w:rPr>
        <w:instrText xml:space="preserve"> SEQ Figure \* ARABIC </w:instrText>
      </w:r>
      <w:r w:rsidRPr="00EF4E46">
        <w:rPr>
          <w:b w:val="0"/>
        </w:rPr>
        <w:fldChar w:fldCharType="separate"/>
      </w:r>
      <w:r w:rsidR="002319AD">
        <w:rPr>
          <w:b w:val="0"/>
          <w:noProof/>
        </w:rPr>
        <w:t>1</w:t>
      </w:r>
      <w:r w:rsidRPr="00EF4E46">
        <w:rPr>
          <w:b w:val="0"/>
        </w:rPr>
        <w:fldChar w:fldCharType="end"/>
      </w:r>
      <w:r w:rsidRPr="00EF4E46">
        <w:rPr>
          <w:b w:val="0"/>
        </w:rPr>
        <w:tab/>
      </w:r>
      <w:r>
        <w:t xml:space="preserve">Marginal effects of literacy and numeracy and education </w:t>
      </w:r>
      <w:r w:rsidR="00313958">
        <w:t>associated with</w:t>
      </w:r>
      <w:r>
        <w:t xml:space="preserve"> the probability of employment, 25–64 year olds</w:t>
      </w:r>
      <w:r w:rsidRPr="00F53914">
        <w:rPr>
          <w:rStyle w:val="NoteLabel"/>
          <w:b/>
        </w:rPr>
        <w:t>a</w:t>
      </w:r>
    </w:p>
    <w:p w:rsidR="004D2014" w:rsidRDefault="004D2014" w:rsidP="004D2014">
      <w:pPr>
        <w:pStyle w:val="Subtitle"/>
      </w:pPr>
      <w:r>
        <w:t>Increase in probability of employment for the average person</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4D2014" w:rsidTr="00B85E94">
        <w:tc>
          <w:tcPr>
            <w:tcW w:w="8777" w:type="dxa"/>
          </w:tcPr>
          <w:p w:rsidR="004D2014" w:rsidRDefault="00B85E94" w:rsidP="007D13A8">
            <w:pPr>
              <w:pStyle w:val="Figure"/>
              <w:tabs>
                <w:tab w:val="left" w:pos="3029"/>
              </w:tabs>
              <w:jc w:val="left"/>
            </w:pPr>
            <w:r>
              <w:rPr>
                <w:noProof/>
              </w:rPr>
              <w:drawing>
                <wp:inline distT="0" distB="0" distL="0" distR="0" wp14:anchorId="7E5FC865" wp14:editId="3B97C3ED">
                  <wp:extent cx="5400000" cy="3240000"/>
                  <wp:effectExtent l="0" t="0" r="0" b="0"/>
                  <wp:docPr id="5" name="Chart 5" descr="Figure shows marginal effects of both literacy and numeracy skills, and educational attainment, associated with the probability of employment. Marginal effects for education are for Year 12, diploma/certificate and degree, compared to having Year 11 education. Marginal effects are higher for higher levels of educational attainment, and marginal effects are greater for women than for men." title="Marginal effects of literacy and numeracy and education associated with the probability of employment"/>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4D2014" w:rsidRDefault="004D2014" w:rsidP="004D2014">
      <w:pPr>
        <w:pStyle w:val="Note"/>
      </w:pPr>
      <w:proofErr w:type="spellStart"/>
      <w:r w:rsidRPr="00F53914">
        <w:rPr>
          <w:rStyle w:val="NoteLabel"/>
        </w:rPr>
        <w:t>a</w:t>
      </w:r>
      <w:proofErr w:type="spellEnd"/>
      <w:r>
        <w:t xml:space="preserve"> Error bars indicate the 95 per cent confidence interval</w:t>
      </w:r>
      <w:r w:rsidR="007E72BA">
        <w:t>s</w:t>
      </w:r>
      <w:r>
        <w:t>.</w:t>
      </w:r>
    </w:p>
    <w:p w:rsidR="004D2014" w:rsidRDefault="004D2014" w:rsidP="004D2014">
      <w:pPr>
        <w:pStyle w:val="Source"/>
      </w:pPr>
      <w:r>
        <w:rPr>
          <w:i/>
        </w:rPr>
        <w:t>Source</w:t>
      </w:r>
      <w:r w:rsidRPr="00167F06">
        <w:t xml:space="preserve">: </w:t>
      </w:r>
      <w:r>
        <w:t>Appendix C.</w:t>
      </w:r>
    </w:p>
    <w:p w:rsidR="00D02457" w:rsidRDefault="004D2014" w:rsidP="004D2014">
      <w:pPr>
        <w:pStyle w:val="BodyText"/>
      </w:pPr>
      <w:r>
        <w:lastRenderedPageBreak/>
        <w:t>The</w:t>
      </w:r>
      <w:r w:rsidR="00380110">
        <w:t xml:space="preserve"> point estimates of the</w:t>
      </w:r>
      <w:r>
        <w:t xml:space="preserve"> marginal effects for a 50 point increase in literacy and numeracy test scores are </w:t>
      </w:r>
      <w:r w:rsidR="00380110">
        <w:t>larger than</w:t>
      </w:r>
      <w:r>
        <w:t xml:space="preserve"> those </w:t>
      </w:r>
      <w:r w:rsidR="007E72BA">
        <w:t>associated with</w:t>
      </w:r>
      <w:r>
        <w:t xml:space="preserve"> </w:t>
      </w:r>
      <w:r w:rsidR="007E72BA">
        <w:t xml:space="preserve">completing </w:t>
      </w:r>
      <w:r>
        <w:t>Year 12 (</w:t>
      </w:r>
      <w:r w:rsidR="009164AC">
        <w:t>as compared to having education of Year 11 or lower</w:t>
      </w:r>
      <w:r w:rsidR="000D3086">
        <w:t>).</w:t>
      </w:r>
    </w:p>
    <w:p w:rsidR="004D2014" w:rsidRDefault="004D2014" w:rsidP="007E72BA">
      <w:pPr>
        <w:pStyle w:val="Heading4"/>
      </w:pPr>
      <w:r>
        <w:t>Further tests and details on literacy and numeracy</w:t>
      </w:r>
      <w:r w:rsidR="00F80C67">
        <w:t xml:space="preserve"> skills</w:t>
      </w:r>
    </w:p>
    <w:p w:rsidR="00F51041" w:rsidRDefault="00416DA3" w:rsidP="00F51041">
      <w:pPr>
        <w:pStyle w:val="BodyText"/>
      </w:pPr>
      <w:r>
        <w:t>Th</w:t>
      </w:r>
      <w:r w:rsidR="004D2014">
        <w:t>e</w:t>
      </w:r>
      <w:r>
        <w:t xml:space="preserve"> </w:t>
      </w:r>
      <w:r w:rsidR="00A57A6D">
        <w:t xml:space="preserve">marginal </w:t>
      </w:r>
      <w:r>
        <w:t xml:space="preserve">effect </w:t>
      </w:r>
      <w:r w:rsidR="00D02457">
        <w:t xml:space="preserve">of literacy and numeracy </w:t>
      </w:r>
      <w:r w:rsidR="00F80C67">
        <w:t>skills</w:t>
      </w:r>
      <w:r w:rsidR="007E72BA">
        <w:t xml:space="preserve"> </w:t>
      </w:r>
      <w:r w:rsidR="00313958">
        <w:t xml:space="preserve">associated with </w:t>
      </w:r>
      <w:r w:rsidR="001A44C3">
        <w:t xml:space="preserve">the probability of employment </w:t>
      </w:r>
      <w:r w:rsidR="00A26A29">
        <w:t>is</w:t>
      </w:r>
      <w:r>
        <w:t xml:space="preserve"> similar across all levels of </w:t>
      </w:r>
      <w:r w:rsidR="00D02457">
        <w:t xml:space="preserve">educational </w:t>
      </w:r>
      <w:r>
        <w:t xml:space="preserve">attainment. That is, an increase in literacy and numeracy skills </w:t>
      </w:r>
      <w:r w:rsidR="00A26A29">
        <w:t>is</w:t>
      </w:r>
      <w:r>
        <w:t xml:space="preserve"> associated with a similar increase in </w:t>
      </w:r>
      <w:r w:rsidR="00145A6B">
        <w:t xml:space="preserve">the probability of </w:t>
      </w:r>
      <w:r w:rsidR="0012513D">
        <w:t xml:space="preserve">employment </w:t>
      </w:r>
      <w:r>
        <w:t>whether a person ha</w:t>
      </w:r>
      <w:r w:rsidR="001A3587">
        <w:t>s</w:t>
      </w:r>
      <w:r>
        <w:t xml:space="preserve"> a degree, diploma/certificate or </w:t>
      </w:r>
      <w:r w:rsidR="00CD2B49">
        <w:t>Y</w:t>
      </w:r>
      <w:r>
        <w:t>ear 12.</w:t>
      </w:r>
      <w:r>
        <w:rPr>
          <w:rStyle w:val="FootnoteReference"/>
        </w:rPr>
        <w:footnoteReference w:id="12"/>
      </w:r>
    </w:p>
    <w:p w:rsidR="00720731" w:rsidRDefault="00720731" w:rsidP="00F51041">
      <w:pPr>
        <w:pStyle w:val="BodyText"/>
      </w:pPr>
      <w:r>
        <w:t xml:space="preserve">Results for the association between literacy and numeracy </w:t>
      </w:r>
      <w:r w:rsidR="00F80C67">
        <w:t xml:space="preserve">skills </w:t>
      </w:r>
      <w:r>
        <w:t xml:space="preserve">and employment are consistent </w:t>
      </w:r>
      <w:r w:rsidR="00D02457">
        <w:t xml:space="preserve">with </w:t>
      </w:r>
      <w:r w:rsidR="007730F3">
        <w:t xml:space="preserve">those reported by </w:t>
      </w:r>
      <w:r>
        <w:t>the O</w:t>
      </w:r>
      <w:r w:rsidR="00C33FEC">
        <w:t>rganis</w:t>
      </w:r>
      <w:r w:rsidR="00873003">
        <w:t>a</w:t>
      </w:r>
      <w:r w:rsidR="00C33FEC">
        <w:t xml:space="preserve">tion for Economic Co-operation and Development (OECD, </w:t>
      </w:r>
      <w:proofErr w:type="spellStart"/>
      <w:r>
        <w:t>2013</w:t>
      </w:r>
      <w:r w:rsidR="004831B3">
        <w:t>a</w:t>
      </w:r>
      <w:proofErr w:type="spellEnd"/>
      <w:r>
        <w:t>). Although that study estimated the association between literacy (not numeracy)</w:t>
      </w:r>
      <w:r w:rsidR="007730F3">
        <w:t xml:space="preserve"> and</w:t>
      </w:r>
      <w:r>
        <w:t xml:space="preserve"> labour force participation, results are similar when the model is estimated on a comparable basis.</w:t>
      </w:r>
      <w:r>
        <w:rPr>
          <w:rStyle w:val="FootnoteReference"/>
        </w:rPr>
        <w:footnoteReference w:id="13"/>
      </w:r>
    </w:p>
    <w:p w:rsidR="00760D33" w:rsidRDefault="008B4298" w:rsidP="00F51041">
      <w:pPr>
        <w:pStyle w:val="BodyText"/>
      </w:pPr>
      <w:r>
        <w:t xml:space="preserve">Marginal effects </w:t>
      </w:r>
      <w:r w:rsidR="00AC27E1">
        <w:t xml:space="preserve">for literacy and numeracy </w:t>
      </w:r>
      <w:r w:rsidR="00F80C67">
        <w:t xml:space="preserve">skills </w:t>
      </w:r>
      <w:r w:rsidR="00145A6B">
        <w:t>were also</w:t>
      </w:r>
      <w:r w:rsidR="00AC27E1">
        <w:t xml:space="preserve"> </w:t>
      </w:r>
      <w:r>
        <w:t xml:space="preserve">estimated </w:t>
      </w:r>
      <w:r w:rsidR="000D3086">
        <w:t xml:space="preserve">at different test scores </w:t>
      </w:r>
      <w:r w:rsidR="005E34E5">
        <w:t>to see how they change</w:t>
      </w:r>
      <w:r w:rsidR="00AC27E1">
        <w:t xml:space="preserve"> along the distribution of skills in the population</w:t>
      </w:r>
      <w:r w:rsidR="00145A6B">
        <w:t xml:space="preserve">. </w:t>
      </w:r>
      <w:r w:rsidR="00E96656">
        <w:t xml:space="preserve">Although the </w:t>
      </w:r>
      <w:r w:rsidR="007E72BA">
        <w:t>relationship</w:t>
      </w:r>
      <w:r w:rsidR="00E96656">
        <w:t xml:space="preserve"> is </w:t>
      </w:r>
      <w:r w:rsidR="007E72BA">
        <w:t xml:space="preserve">depicted as </w:t>
      </w:r>
      <w:proofErr w:type="spellStart"/>
      <w:r w:rsidR="00E96656">
        <w:t>non-linear</w:t>
      </w:r>
      <w:proofErr w:type="spellEnd"/>
      <w:r w:rsidR="007E72BA">
        <w:t>,</w:t>
      </w:r>
      <w:r w:rsidR="00E96656">
        <w:t xml:space="preserve"> t</w:t>
      </w:r>
      <w:r w:rsidR="00145A6B">
        <w:t>he</w:t>
      </w:r>
      <w:r w:rsidR="007E72BA">
        <w:t xml:space="preserve"> statistical</w:t>
      </w:r>
      <w:r w:rsidR="00145A6B">
        <w:t xml:space="preserve"> results </w:t>
      </w:r>
      <w:r w:rsidR="00E96656">
        <w:t>imply</w:t>
      </w:r>
      <w:r w:rsidR="00145A6B">
        <w:t xml:space="preserve"> </w:t>
      </w:r>
      <w:r>
        <w:t xml:space="preserve">that </w:t>
      </w:r>
      <w:r w:rsidR="007E72BA">
        <w:t>t</w:t>
      </w:r>
      <w:r w:rsidR="001D25A7">
        <w:t>h</w:t>
      </w:r>
      <w:r w:rsidR="007E72BA">
        <w:t xml:space="preserve">ere is no difference in </w:t>
      </w:r>
      <w:r>
        <w:t xml:space="preserve">the </w:t>
      </w:r>
      <w:r w:rsidR="007E72BA" w:rsidRPr="00952B43">
        <w:rPr>
          <w:i/>
        </w:rPr>
        <w:t>rate of increase</w:t>
      </w:r>
      <w:r w:rsidR="007E72BA">
        <w:t xml:space="preserve"> of the </w:t>
      </w:r>
      <w:r>
        <w:t>probabi</w:t>
      </w:r>
      <w:r w:rsidR="00AC27E1">
        <w:t xml:space="preserve">lity of being employed </w:t>
      </w:r>
      <w:r w:rsidR="00D9093E">
        <w:t xml:space="preserve">as </w:t>
      </w:r>
      <w:r>
        <w:t xml:space="preserve">skills </w:t>
      </w:r>
      <w:r w:rsidR="00D9093E">
        <w:t xml:space="preserve">increase </w:t>
      </w:r>
      <w:r>
        <w:t>(figure</w:t>
      </w:r>
      <w:r w:rsidR="00522561">
        <w:t> </w:t>
      </w:r>
      <w:r>
        <w:t>3.2).</w:t>
      </w:r>
      <w:r w:rsidR="00E96656">
        <w:rPr>
          <w:rStyle w:val="FootnoteReference"/>
        </w:rPr>
        <w:footnoteReference w:id="14"/>
      </w:r>
    </w:p>
    <w:p w:rsidR="00596D4D" w:rsidRDefault="00596D4D" w:rsidP="00596D4D">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sidR="001B7E07">
        <w:rPr>
          <w:b w:val="0"/>
        </w:rPr>
        <w:t>3.</w:t>
      </w:r>
      <w:r>
        <w:rPr>
          <w:b w:val="0"/>
        </w:rPr>
        <w:fldChar w:fldCharType="end"/>
      </w:r>
      <w:r>
        <w:rPr>
          <w:b w:val="0"/>
        </w:rPr>
        <w:fldChar w:fldCharType="begin"/>
      </w:r>
      <w:r>
        <w:rPr>
          <w:b w:val="0"/>
        </w:rPr>
        <w:instrText xml:space="preserve"> SEQ Figure \* ARABIC </w:instrText>
      </w:r>
      <w:r>
        <w:rPr>
          <w:b w:val="0"/>
        </w:rPr>
        <w:fldChar w:fldCharType="separate"/>
      </w:r>
      <w:r w:rsidR="002319AD">
        <w:rPr>
          <w:b w:val="0"/>
          <w:noProof/>
        </w:rPr>
        <w:t>2</w:t>
      </w:r>
      <w:r>
        <w:rPr>
          <w:b w:val="0"/>
        </w:rPr>
        <w:fldChar w:fldCharType="end"/>
      </w:r>
      <w:r>
        <w:tab/>
        <w:t>Probability of employment by literacy and numeracy</w:t>
      </w:r>
      <w:r w:rsidR="00D02457">
        <w:t xml:space="preserve"> score</w:t>
      </w:r>
      <w:r w:rsidR="00873003" w:rsidRPr="00873003">
        <w:rPr>
          <w:rStyle w:val="NoteLabel"/>
          <w:b/>
        </w:rPr>
        <w:t>a</w:t>
      </w:r>
    </w:p>
    <w:p w:rsidR="00596D4D" w:rsidRPr="009201A0" w:rsidRDefault="00596D4D" w:rsidP="00596D4D">
      <w:pPr>
        <w:pStyle w:val="Subtitle"/>
      </w:pPr>
      <w:r w:rsidRPr="009201A0">
        <w:t>25–64 year olds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596D4D" w:rsidTr="00AC27E1">
        <w:tc>
          <w:tcPr>
            <w:tcW w:w="8777" w:type="dxa"/>
          </w:tcPr>
          <w:p w:rsidR="00596D4D" w:rsidRDefault="00AB3278" w:rsidP="00AC27E1">
            <w:pPr>
              <w:pStyle w:val="Figure"/>
            </w:pPr>
            <w:r>
              <w:rPr>
                <w:noProof/>
              </w:rPr>
              <w:drawing>
                <wp:inline distT="0" distB="0" distL="0" distR="0">
                  <wp:extent cx="5578448" cy="3098042"/>
                  <wp:effectExtent l="0" t="0" r="0" b="0"/>
                  <wp:docPr id="8" name="Picture 8" descr="Figure 3.2 Probability of employment by literacy and numeracy score, 25-64 year old 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8448" cy="3098042"/>
                          </a:xfrm>
                          <a:prstGeom prst="rect">
                            <a:avLst/>
                          </a:prstGeom>
                          <a:noFill/>
                          <a:ln>
                            <a:noFill/>
                          </a:ln>
                        </pic:spPr>
                      </pic:pic>
                    </a:graphicData>
                  </a:graphic>
                </wp:inline>
              </w:drawing>
            </w:r>
            <w:r w:rsidR="00596D4D">
              <w:rPr>
                <w:noProof/>
              </w:rPr>
              <mc:AlternateContent>
                <mc:Choice Requires="wps">
                  <w:drawing>
                    <wp:anchor distT="0" distB="0" distL="114300" distR="114300" simplePos="0" relativeHeight="251659264" behindDoc="0" locked="0" layoutInCell="1" allowOverlap="1" wp14:anchorId="5AACF737" wp14:editId="3894D96A">
                      <wp:simplePos x="0" y="0"/>
                      <wp:positionH relativeFrom="column">
                        <wp:posOffset>2550483</wp:posOffset>
                      </wp:positionH>
                      <wp:positionV relativeFrom="paragraph">
                        <wp:posOffset>36003</wp:posOffset>
                      </wp:positionV>
                      <wp:extent cx="603849" cy="224107"/>
                      <wp:effectExtent l="0" t="0" r="635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49" cy="224107"/>
                              </a:xfrm>
                              <a:prstGeom prst="rect">
                                <a:avLst/>
                              </a:prstGeom>
                              <a:solidFill>
                                <a:srgbClr val="FFFFFF"/>
                              </a:solidFill>
                              <a:ln w="9525">
                                <a:noFill/>
                                <a:miter lim="800000"/>
                                <a:headEnd/>
                                <a:tailEnd/>
                              </a:ln>
                            </wps:spPr>
                            <wps:txbx>
                              <w:txbxContent>
                                <w:p w:rsidR="00045A37" w:rsidRPr="00EF4E46" w:rsidRDefault="00045A37" w:rsidP="00596D4D">
                                  <w:pPr>
                                    <w:rPr>
                                      <w:rFonts w:ascii="Arial" w:hAnsi="Arial" w:cs="Arial"/>
                                      <w:b/>
                                      <w:sz w:val="20"/>
                                      <w:szCs w:val="20"/>
                                    </w:rPr>
                                  </w:pPr>
                                  <w:r w:rsidRPr="00EF4E46">
                                    <w:rPr>
                                      <w:rFonts w:ascii="Arial" w:hAnsi="Arial" w:cs="Arial"/>
                                      <w:b/>
                                      <w:sz w:val="20"/>
                                      <w:szCs w:val="20"/>
                                    </w:rPr>
                                    <w:t>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0.85pt;margin-top:2.85pt;width:47.55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" stroked="f">
                      <v:textbox>
                        <w:txbxContent>
                          <w:p w:rsidR="00045A37" w:rsidRPr="00EF4E46" w:rsidRDefault="00045A37" w:rsidP="00596D4D">
                            <w:pPr>
                              <w:rPr>
                                <w:rFonts w:ascii="Arial" w:hAnsi="Arial" w:cs="Arial"/>
                                <w:b/>
                                <w:sz w:val="20"/>
                                <w:szCs w:val="20"/>
                              </w:rPr>
                            </w:pPr>
                            <w:r w:rsidRPr="00EF4E46">
                              <w:rPr>
                                <w:rFonts w:ascii="Arial" w:hAnsi="Arial" w:cs="Arial"/>
                                <w:b/>
                                <w:sz w:val="20"/>
                                <w:szCs w:val="20"/>
                              </w:rPr>
                              <w:t>Men</w:t>
                            </w:r>
                          </w:p>
                        </w:txbxContent>
                      </v:textbox>
                    </v:shape>
                  </w:pict>
                </mc:Fallback>
              </mc:AlternateContent>
            </w:r>
          </w:p>
        </w:tc>
      </w:tr>
      <w:tr w:rsidR="00596D4D" w:rsidTr="00AC27E1">
        <w:tc>
          <w:tcPr>
            <w:tcW w:w="8777" w:type="dxa"/>
          </w:tcPr>
          <w:p w:rsidR="00596D4D" w:rsidRDefault="00AB3278" w:rsidP="00AC27E1">
            <w:pPr>
              <w:pStyle w:val="Figure"/>
            </w:pPr>
            <w:bookmarkStart w:id="3" w:name="_GoBack"/>
            <w:r>
              <w:rPr>
                <w:noProof/>
              </w:rPr>
              <w:drawing>
                <wp:inline distT="0" distB="0" distL="0" distR="0">
                  <wp:extent cx="5568287" cy="3092400"/>
                  <wp:effectExtent l="0" t="0" r="0" b="0"/>
                  <wp:docPr id="7" name="Picture 7" descr="Figure 3.2 Probability of employment by literacy and numeracy score, 25-64 year old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9691" cy="3093180"/>
                          </a:xfrm>
                          <a:prstGeom prst="rect">
                            <a:avLst/>
                          </a:prstGeom>
                          <a:noFill/>
                          <a:ln>
                            <a:noFill/>
                          </a:ln>
                        </pic:spPr>
                      </pic:pic>
                    </a:graphicData>
                  </a:graphic>
                </wp:inline>
              </w:drawing>
            </w:r>
            <w:bookmarkEnd w:id="3"/>
            <w:r w:rsidR="00596D4D">
              <w:rPr>
                <w:noProof/>
              </w:rPr>
              <mc:AlternateContent>
                <mc:Choice Requires="wps">
                  <w:drawing>
                    <wp:anchor distT="0" distB="0" distL="114300" distR="114300" simplePos="0" relativeHeight="251660288" behindDoc="0" locked="0" layoutInCell="1" allowOverlap="1" wp14:anchorId="731AFB8B" wp14:editId="6D30F29D">
                      <wp:simplePos x="0" y="0"/>
                      <wp:positionH relativeFrom="column">
                        <wp:posOffset>2463800</wp:posOffset>
                      </wp:positionH>
                      <wp:positionV relativeFrom="paragraph">
                        <wp:posOffset>33020</wp:posOffset>
                      </wp:positionV>
                      <wp:extent cx="836763" cy="224107"/>
                      <wp:effectExtent l="0" t="0" r="190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763" cy="224107"/>
                              </a:xfrm>
                              <a:prstGeom prst="rect">
                                <a:avLst/>
                              </a:prstGeom>
                              <a:solidFill>
                                <a:srgbClr val="FFFFFF"/>
                              </a:solidFill>
                              <a:ln w="9525">
                                <a:noFill/>
                                <a:miter lim="800000"/>
                                <a:headEnd/>
                                <a:tailEnd/>
                              </a:ln>
                            </wps:spPr>
                            <wps:txbx>
                              <w:txbxContent>
                                <w:p w:rsidR="00045A37" w:rsidRPr="00EF4E46" w:rsidRDefault="00045A37" w:rsidP="00596D4D">
                                  <w:pPr>
                                    <w:rPr>
                                      <w:rFonts w:ascii="Arial" w:hAnsi="Arial" w:cs="Arial"/>
                                      <w:b/>
                                      <w:sz w:val="20"/>
                                      <w:szCs w:val="20"/>
                                    </w:rPr>
                                  </w:pPr>
                                  <w:r w:rsidRPr="00EF4E46">
                                    <w:rPr>
                                      <w:rFonts w:ascii="Arial" w:hAnsi="Arial" w:cs="Arial"/>
                                      <w:b/>
                                      <w:sz w:val="20"/>
                                      <w:szCs w:val="20"/>
                                    </w:rPr>
                                    <w:t>Women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94pt;margin-top:2.6pt;width:65.9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" stroked="f">
                      <v:textbox>
                        <w:txbxContent>
                          <w:p w:rsidR="00045A37" w:rsidRPr="00EF4E46" w:rsidRDefault="00045A37" w:rsidP="00596D4D">
                            <w:pPr>
                              <w:rPr>
                                <w:rFonts w:ascii="Arial" w:hAnsi="Arial" w:cs="Arial"/>
                                <w:b/>
                                <w:sz w:val="20"/>
                                <w:szCs w:val="20"/>
                              </w:rPr>
                            </w:pPr>
                            <w:r w:rsidRPr="00EF4E46">
                              <w:rPr>
                                <w:rFonts w:ascii="Arial" w:hAnsi="Arial" w:cs="Arial"/>
                                <w:b/>
                                <w:sz w:val="20"/>
                                <w:szCs w:val="20"/>
                              </w:rPr>
                              <w:t>Women</w:t>
                            </w:r>
                          </w:p>
                        </w:txbxContent>
                      </v:textbox>
                    </v:shape>
                  </w:pict>
                </mc:Fallback>
              </mc:AlternateContent>
            </w:r>
          </w:p>
        </w:tc>
      </w:tr>
    </w:tbl>
    <w:p w:rsidR="00596D4D" w:rsidRDefault="00596D4D" w:rsidP="00596D4D">
      <w:pPr>
        <w:pStyle w:val="Note"/>
      </w:pPr>
      <w:proofErr w:type="spellStart"/>
      <w:r>
        <w:rPr>
          <w:rStyle w:val="NoteLabel"/>
        </w:rPr>
        <w:t>a</w:t>
      </w:r>
      <w:proofErr w:type="spellEnd"/>
      <w:r>
        <w:t xml:space="preserve"> The marginal effect of a change in </w:t>
      </w:r>
      <w:r w:rsidR="00380110">
        <w:t xml:space="preserve">the probability of employment associated with a change in </w:t>
      </w:r>
      <w:r>
        <w:t>literacy and numeracy is estimated for different literacy and numeracy scores between 50 and 450</w:t>
      </w:r>
      <w:r w:rsidR="005E34E5">
        <w:t>, and is depicted by the slope of the line. Shaded area</w:t>
      </w:r>
      <w:r w:rsidR="00D94A88">
        <w:t>s</w:t>
      </w:r>
      <w:r w:rsidR="005E34E5">
        <w:t xml:space="preserve"> represent 95 per cent confidence intervals</w:t>
      </w:r>
      <w:r>
        <w:t>.</w:t>
      </w:r>
    </w:p>
    <w:p w:rsidR="00596D4D" w:rsidRDefault="00596D4D" w:rsidP="00596D4D">
      <w:pPr>
        <w:pStyle w:val="Source"/>
      </w:pPr>
      <w:r>
        <w:rPr>
          <w:i/>
        </w:rPr>
        <w:t>Source</w:t>
      </w:r>
      <w:r>
        <w:t xml:space="preserve">: </w:t>
      </w:r>
      <w:r w:rsidR="00B9590C">
        <w:t>Authors’ e</w:t>
      </w:r>
      <w:r>
        <w:t xml:space="preserve">stimates using </w:t>
      </w:r>
      <w:proofErr w:type="spellStart"/>
      <w:r>
        <w:t>PIAAC</w:t>
      </w:r>
      <w:proofErr w:type="spellEnd"/>
      <w:r>
        <w:t xml:space="preserve"> data.</w:t>
      </w:r>
    </w:p>
    <w:p w:rsidR="00C938FF" w:rsidRDefault="00760D33" w:rsidP="00C938FF">
      <w:pPr>
        <w:pStyle w:val="BodyText"/>
      </w:pPr>
      <w:r>
        <w:t xml:space="preserve">The </w:t>
      </w:r>
      <w:r w:rsidR="000D3086">
        <w:t xml:space="preserve">point estimate for a </w:t>
      </w:r>
      <w:r>
        <w:t>change in probability of employment associated with a change in literacy and numeracy</w:t>
      </w:r>
      <w:r w:rsidR="007358D0">
        <w:t xml:space="preserve"> </w:t>
      </w:r>
      <w:r w:rsidR="00D856DE">
        <w:t>score of 50 points</w:t>
      </w:r>
      <w:r w:rsidR="00F80C67">
        <w:t xml:space="preserve"> </w:t>
      </w:r>
      <w:r>
        <w:t xml:space="preserve">is </w:t>
      </w:r>
      <w:r w:rsidR="007358D0">
        <w:t xml:space="preserve">larger </w:t>
      </w:r>
      <w:r w:rsidR="000D3086">
        <w:t>for women (4.3 </w:t>
      </w:r>
      <w:r w:rsidR="00D94A88">
        <w:t xml:space="preserve">percentage points) </w:t>
      </w:r>
      <w:r w:rsidR="007358D0">
        <w:t>than</w:t>
      </w:r>
      <w:r>
        <w:t xml:space="preserve"> </w:t>
      </w:r>
      <w:r w:rsidR="00D94A88">
        <w:t xml:space="preserve">it is for </w:t>
      </w:r>
      <w:r>
        <w:t>men</w:t>
      </w:r>
      <w:r w:rsidR="000D3086">
        <w:t xml:space="preserve"> (2.4</w:t>
      </w:r>
      <w:r w:rsidR="007358D0">
        <w:t xml:space="preserve"> percentage points)</w:t>
      </w:r>
      <w:r>
        <w:t xml:space="preserve">. </w:t>
      </w:r>
      <w:r w:rsidR="007358D0">
        <w:t xml:space="preserve">The results </w:t>
      </w:r>
      <w:r w:rsidR="00FF1265">
        <w:t xml:space="preserve">for </w:t>
      </w:r>
      <w:r w:rsidR="00FF1265">
        <w:lastRenderedPageBreak/>
        <w:t xml:space="preserve">employment and unemployment </w:t>
      </w:r>
      <w:r w:rsidR="007358D0">
        <w:t xml:space="preserve">can also be aggregated to the labour force participation level, so that they are comparable with Shomos </w:t>
      </w:r>
      <w:r w:rsidR="00873003">
        <w:t>(</w:t>
      </w:r>
      <w:r w:rsidR="007358D0">
        <w:t>2010</w:t>
      </w:r>
      <w:r w:rsidR="00873003">
        <w:t>)</w:t>
      </w:r>
      <w:r w:rsidR="007358D0">
        <w:t>. When this is done, the probability of labour force participation</w:t>
      </w:r>
      <w:r w:rsidR="00D856DE">
        <w:t xml:space="preserve"> associated with a 50 point change in test scores</w:t>
      </w:r>
      <w:r w:rsidR="007358D0">
        <w:t xml:space="preserve"> for women</w:t>
      </w:r>
      <w:r w:rsidR="003631FF">
        <w:t xml:space="preserve"> and men are </w:t>
      </w:r>
      <w:r w:rsidR="007358D0">
        <w:t>2.6</w:t>
      </w:r>
      <w:r w:rsidR="003631FF">
        <w:t xml:space="preserve"> and </w:t>
      </w:r>
      <w:r w:rsidR="007358D0">
        <w:t>1.6 percentage points</w:t>
      </w:r>
      <w:r w:rsidR="003631FF">
        <w:t>, respectively</w:t>
      </w:r>
      <w:r w:rsidR="00D94A88">
        <w:t xml:space="preserve">, </w:t>
      </w:r>
      <w:r w:rsidR="007358D0">
        <w:t>similar to</w:t>
      </w:r>
      <w:r w:rsidR="00D94A88">
        <w:t xml:space="preserve"> </w:t>
      </w:r>
      <w:r>
        <w:t xml:space="preserve">Shomos (2010) </w:t>
      </w:r>
      <w:r w:rsidR="007358D0">
        <w:t xml:space="preserve">who </w:t>
      </w:r>
      <w:r>
        <w:t xml:space="preserve">reported marginal effects for women twice </w:t>
      </w:r>
      <w:r w:rsidR="00F75E31">
        <w:t xml:space="preserve">as large as </w:t>
      </w:r>
      <w:r>
        <w:t>that for men.</w:t>
      </w:r>
      <w:r w:rsidDel="00D42A2D">
        <w:t xml:space="preserve"> </w:t>
      </w:r>
    </w:p>
    <w:p w:rsidR="009660D0" w:rsidRDefault="009660D0" w:rsidP="00D07759">
      <w:pPr>
        <w:pStyle w:val="Heading4"/>
      </w:pPr>
      <w:r>
        <w:t xml:space="preserve">How do </w:t>
      </w:r>
      <w:r w:rsidR="00AA4D69">
        <w:t xml:space="preserve">the </w:t>
      </w:r>
      <w:r>
        <w:t xml:space="preserve">results compare </w:t>
      </w:r>
      <w:r w:rsidR="001C73B4">
        <w:t>with</w:t>
      </w:r>
      <w:r>
        <w:t xml:space="preserve"> </w:t>
      </w:r>
      <w:r w:rsidR="00AA4D69">
        <w:t xml:space="preserve">those from </w:t>
      </w:r>
      <w:r>
        <w:t>models without literacy and numeracy</w:t>
      </w:r>
      <w:r w:rsidR="00F80C67">
        <w:t xml:space="preserve"> skills</w:t>
      </w:r>
      <w:r>
        <w:t>?</w:t>
      </w:r>
    </w:p>
    <w:p w:rsidR="000343DC" w:rsidRDefault="00AA4D69" w:rsidP="003047D6">
      <w:pPr>
        <w:pStyle w:val="BodyText"/>
      </w:pPr>
      <w:r>
        <w:t xml:space="preserve">As discussed above, </w:t>
      </w:r>
      <w:r w:rsidR="00397EBA">
        <w:t xml:space="preserve">comparing </w:t>
      </w:r>
      <w:r w:rsidR="00D444AC">
        <w:t>model</w:t>
      </w:r>
      <w:r w:rsidR="007D4B64">
        <w:t>s</w:t>
      </w:r>
      <w:r w:rsidR="00D444AC">
        <w:t xml:space="preserve"> </w:t>
      </w:r>
      <w:r w:rsidR="00397EBA">
        <w:t xml:space="preserve">both </w:t>
      </w:r>
      <w:r w:rsidR="00D444AC">
        <w:t xml:space="preserve">with and without literacy and numeracy skills </w:t>
      </w:r>
      <w:r w:rsidR="00397EBA">
        <w:t xml:space="preserve">provides </w:t>
      </w:r>
      <w:r w:rsidR="00D444AC">
        <w:t>insight</w:t>
      </w:r>
      <w:r w:rsidR="00AD5387">
        <w:t>s</w:t>
      </w:r>
      <w:r w:rsidR="00D444AC">
        <w:t xml:space="preserve"> into the relationship between educational attainment and literacy and numeracy. </w:t>
      </w:r>
    </w:p>
    <w:p w:rsidR="00EA5AF5" w:rsidRDefault="000343DC" w:rsidP="00FD71AB">
      <w:pPr>
        <w:pStyle w:val="BodyText"/>
      </w:pPr>
      <w:r>
        <w:t xml:space="preserve">The positive association </w:t>
      </w:r>
      <w:r w:rsidR="00206ED2">
        <w:t>between</w:t>
      </w:r>
      <w:r>
        <w:t xml:space="preserve"> education and employment partly reflects the higher level of literacy and numeracy skills observed among those with higher education</w:t>
      </w:r>
      <w:r w:rsidR="00281F38">
        <w:t>al attainment</w:t>
      </w:r>
      <w:r>
        <w:t xml:space="preserve">. </w:t>
      </w:r>
      <w:r w:rsidR="00397EBA">
        <w:t>After taking into account differences in literacy and numeracy</w:t>
      </w:r>
      <w:r w:rsidR="00F80C67">
        <w:t xml:space="preserve"> skills</w:t>
      </w:r>
      <w:r w:rsidR="00397EBA">
        <w:t>, the marginal effect of improved education</w:t>
      </w:r>
      <w:r w:rsidR="003236A4">
        <w:t>al attainment</w:t>
      </w:r>
      <w:r w:rsidR="00397EBA">
        <w:t xml:space="preserve"> </w:t>
      </w:r>
      <w:r w:rsidR="00313958">
        <w:t xml:space="preserve">associated with </w:t>
      </w:r>
      <w:r w:rsidR="00397EBA">
        <w:t>the probabil</w:t>
      </w:r>
      <w:r>
        <w:t>i</w:t>
      </w:r>
      <w:r w:rsidR="00397EBA">
        <w:t>ty of employment</w:t>
      </w:r>
      <w:r>
        <w:t xml:space="preserve"> decreases substantially</w:t>
      </w:r>
      <w:r w:rsidR="001A0715">
        <w:t xml:space="preserve"> (table 3.1)</w:t>
      </w:r>
      <w:r>
        <w:t xml:space="preserve">. For men, the </w:t>
      </w:r>
      <w:r w:rsidR="00281F38">
        <w:t xml:space="preserve">reduction in the marginal effect of a degree </w:t>
      </w:r>
      <w:r w:rsidR="00A26A29">
        <w:t>is</w:t>
      </w:r>
      <w:r>
        <w:t xml:space="preserve"> over 40 per cent. For women, the decline </w:t>
      </w:r>
      <w:r w:rsidR="00A26A29">
        <w:t>is</w:t>
      </w:r>
      <w:r>
        <w:t xml:space="preserve"> more modest (</w:t>
      </w:r>
      <w:r w:rsidR="00B11568">
        <w:t>less than 25</w:t>
      </w:r>
      <w:r>
        <w:t xml:space="preserve"> per cent)</w:t>
      </w:r>
      <w:r w:rsidR="001453AB">
        <w:t>.</w:t>
      </w:r>
      <w:r w:rsidR="0062160C">
        <w:t xml:space="preserve"> That is</w:t>
      </w:r>
      <w:r w:rsidR="00E80B61">
        <w:t>,</w:t>
      </w:r>
      <w:r w:rsidR="0062160C">
        <w:t xml:space="preserve"> </w:t>
      </w:r>
      <w:r w:rsidR="004C6C1D">
        <w:t xml:space="preserve">up </w:t>
      </w:r>
      <w:r w:rsidR="0062160C">
        <w:t>to 40 per cent of the association between education and employment is attributable to literacy and numeracy skills — for example, those required to make inferences when reading texts.</w:t>
      </w:r>
    </w:p>
    <w:p w:rsidR="00D87D12" w:rsidRDefault="00D87D12" w:rsidP="00D87D12">
      <w:pPr>
        <w:pStyle w:val="TableTitle"/>
        <w:rPr>
          <w:rStyle w:val="NoteLabel"/>
          <w:b/>
        </w:rPr>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1B7E07">
        <w:rPr>
          <w:b w:val="0"/>
        </w:rPr>
        <w:t>3.</w:t>
      </w:r>
      <w:r>
        <w:rPr>
          <w:b w:val="0"/>
        </w:rPr>
        <w:fldChar w:fldCharType="end"/>
      </w:r>
      <w:r>
        <w:rPr>
          <w:b w:val="0"/>
        </w:rPr>
        <w:fldChar w:fldCharType="begin"/>
      </w:r>
      <w:r>
        <w:rPr>
          <w:b w:val="0"/>
        </w:rPr>
        <w:instrText xml:space="preserve"> SEQ Table \* ARABIC </w:instrText>
      </w:r>
      <w:r>
        <w:rPr>
          <w:b w:val="0"/>
        </w:rPr>
        <w:fldChar w:fldCharType="separate"/>
      </w:r>
      <w:r w:rsidR="002319AD">
        <w:rPr>
          <w:b w:val="0"/>
          <w:noProof/>
        </w:rPr>
        <w:t>1</w:t>
      </w:r>
      <w:r>
        <w:rPr>
          <w:b w:val="0"/>
        </w:rPr>
        <w:fldChar w:fldCharType="end"/>
      </w:r>
      <w:r>
        <w:tab/>
      </w:r>
      <w:r w:rsidR="00E81CBA">
        <w:t xml:space="preserve">Marginal effects </w:t>
      </w:r>
      <w:r w:rsidR="00184142">
        <w:t xml:space="preserve">for </w:t>
      </w:r>
      <w:r w:rsidR="00E81CBA">
        <w:t xml:space="preserve">educational attainment </w:t>
      </w:r>
      <w:r w:rsidR="00184142">
        <w:t>in the</w:t>
      </w:r>
      <w:r w:rsidR="00E81CBA">
        <w:t xml:space="preserve"> labour force status</w:t>
      </w:r>
      <w:r w:rsidR="00184142">
        <w:t xml:space="preserve"> model</w:t>
      </w:r>
      <w:r w:rsidR="00522561">
        <w:t>, 2011</w:t>
      </w:r>
      <w:r w:rsidR="007836E7">
        <w:t>–</w:t>
      </w:r>
      <w:r>
        <w:t>12</w:t>
      </w:r>
      <w:r w:rsidR="00CB7420">
        <w:rPr>
          <w:rStyle w:val="NoteLabel"/>
          <w:b/>
        </w:rPr>
        <w:t>a</w:t>
      </w:r>
    </w:p>
    <w:p w:rsidR="00D87D12" w:rsidRPr="00EF7544" w:rsidRDefault="00CB2B7B" w:rsidP="00D87D12">
      <w:pPr>
        <w:pStyle w:val="Subtitle"/>
      </w:pPr>
      <w:r>
        <w:t>25–</w:t>
      </w:r>
      <w:r w:rsidR="00D87D12" w:rsidRPr="00EF7544">
        <w:t>64 year olds</w:t>
      </w:r>
    </w:p>
    <w:tbl>
      <w:tblPr>
        <w:tblW w:w="5000" w:type="pct"/>
        <w:tblLayout w:type="fixed"/>
        <w:tblCellMar>
          <w:left w:w="0" w:type="dxa"/>
          <w:right w:w="0" w:type="dxa"/>
        </w:tblCellMar>
        <w:tblLook w:val="04A0" w:firstRow="1" w:lastRow="0" w:firstColumn="1" w:lastColumn="0" w:noHBand="0" w:noVBand="1"/>
      </w:tblPr>
      <w:tblGrid>
        <w:gridCol w:w="2833"/>
        <w:gridCol w:w="993"/>
        <w:gridCol w:w="425"/>
        <w:gridCol w:w="1136"/>
        <w:gridCol w:w="311"/>
        <w:gridCol w:w="403"/>
        <w:gridCol w:w="844"/>
        <w:gridCol w:w="473"/>
        <w:gridCol w:w="1086"/>
        <w:gridCol w:w="285"/>
      </w:tblGrid>
      <w:tr w:rsidR="005A3A54" w:rsidTr="00873003">
        <w:tc>
          <w:tcPr>
            <w:tcW w:w="1612" w:type="pct"/>
            <w:tcBorders>
              <w:top w:val="single" w:sz="4" w:space="0" w:color="auto"/>
              <w:left w:val="nil"/>
              <w:right w:val="nil"/>
            </w:tcBorders>
          </w:tcPr>
          <w:p w:rsidR="0007754D" w:rsidRDefault="0007754D" w:rsidP="00CB7420">
            <w:pPr>
              <w:pStyle w:val="TableColumnHeading"/>
              <w:jc w:val="left"/>
            </w:pPr>
          </w:p>
        </w:tc>
        <w:tc>
          <w:tcPr>
            <w:tcW w:w="1629" w:type="pct"/>
            <w:gridSpan w:val="4"/>
            <w:tcBorders>
              <w:top w:val="single" w:sz="4" w:space="0" w:color="auto"/>
              <w:left w:val="nil"/>
              <w:bottom w:val="single" w:sz="4" w:space="0" w:color="auto"/>
              <w:right w:val="nil"/>
            </w:tcBorders>
            <w:hideMark/>
          </w:tcPr>
          <w:p w:rsidR="0007754D" w:rsidRDefault="0007754D" w:rsidP="00CB7420">
            <w:pPr>
              <w:pStyle w:val="TableColumnHeading"/>
              <w:jc w:val="center"/>
            </w:pPr>
            <w:r>
              <w:t>Men</w:t>
            </w:r>
          </w:p>
        </w:tc>
        <w:tc>
          <w:tcPr>
            <w:tcW w:w="229" w:type="pct"/>
            <w:tcBorders>
              <w:top w:val="single" w:sz="4" w:space="0" w:color="auto"/>
              <w:left w:val="nil"/>
              <w:right w:val="nil"/>
            </w:tcBorders>
          </w:tcPr>
          <w:p w:rsidR="0007754D" w:rsidRDefault="0007754D" w:rsidP="00CB7420">
            <w:pPr>
              <w:pStyle w:val="TableColumnHeading"/>
              <w:ind w:right="28"/>
              <w:jc w:val="center"/>
            </w:pPr>
          </w:p>
        </w:tc>
        <w:tc>
          <w:tcPr>
            <w:tcW w:w="1529" w:type="pct"/>
            <w:gridSpan w:val="4"/>
            <w:tcBorders>
              <w:top w:val="single" w:sz="4" w:space="0" w:color="auto"/>
              <w:left w:val="nil"/>
              <w:bottom w:val="single" w:sz="4" w:space="0" w:color="auto"/>
              <w:right w:val="nil"/>
            </w:tcBorders>
            <w:hideMark/>
          </w:tcPr>
          <w:p w:rsidR="0007754D" w:rsidRDefault="0007754D" w:rsidP="00CB7420">
            <w:pPr>
              <w:pStyle w:val="TableColumnHeading"/>
              <w:ind w:right="28"/>
              <w:jc w:val="center"/>
            </w:pPr>
            <w:r>
              <w:t>Women</w:t>
            </w:r>
          </w:p>
        </w:tc>
      </w:tr>
      <w:tr w:rsidR="005A3A54" w:rsidTr="00873003">
        <w:tc>
          <w:tcPr>
            <w:tcW w:w="1612" w:type="pct"/>
            <w:tcBorders>
              <w:left w:val="nil"/>
              <w:bottom w:val="single" w:sz="4" w:space="0" w:color="auto"/>
              <w:right w:val="nil"/>
            </w:tcBorders>
          </w:tcPr>
          <w:p w:rsidR="0007754D" w:rsidRDefault="0007754D" w:rsidP="00BA28EF">
            <w:pPr>
              <w:pStyle w:val="TableUnitsRow"/>
              <w:jc w:val="left"/>
            </w:pPr>
          </w:p>
        </w:tc>
        <w:tc>
          <w:tcPr>
            <w:tcW w:w="807" w:type="pct"/>
            <w:gridSpan w:val="2"/>
            <w:tcBorders>
              <w:top w:val="single" w:sz="4" w:space="0" w:color="auto"/>
              <w:left w:val="nil"/>
              <w:bottom w:val="single" w:sz="4" w:space="0" w:color="auto"/>
              <w:right w:val="nil"/>
            </w:tcBorders>
          </w:tcPr>
          <w:p w:rsidR="0007754D" w:rsidRPr="001E57D3" w:rsidRDefault="009A2262" w:rsidP="00CB7420">
            <w:pPr>
              <w:pStyle w:val="TableUnitsRow"/>
              <w:rPr>
                <w:i/>
              </w:rPr>
            </w:pPr>
            <w:r>
              <w:rPr>
                <w:i/>
              </w:rPr>
              <w:t xml:space="preserve">Model </w:t>
            </w:r>
            <w:r w:rsidR="006404D4">
              <w:rPr>
                <w:i/>
              </w:rPr>
              <w:t>1</w:t>
            </w:r>
          </w:p>
        </w:tc>
        <w:tc>
          <w:tcPr>
            <w:tcW w:w="823" w:type="pct"/>
            <w:gridSpan w:val="2"/>
            <w:tcBorders>
              <w:top w:val="single" w:sz="4" w:space="0" w:color="auto"/>
              <w:left w:val="nil"/>
              <w:bottom w:val="single" w:sz="4" w:space="0" w:color="auto"/>
              <w:right w:val="nil"/>
            </w:tcBorders>
          </w:tcPr>
          <w:p w:rsidR="0007754D" w:rsidRPr="001E57D3" w:rsidRDefault="009A2262" w:rsidP="00EF4E46">
            <w:pPr>
              <w:pStyle w:val="TableUnitsRow"/>
              <w:ind w:right="0"/>
              <w:rPr>
                <w:i/>
              </w:rPr>
            </w:pPr>
            <w:r>
              <w:rPr>
                <w:i/>
              </w:rPr>
              <w:t xml:space="preserve">Model </w:t>
            </w:r>
            <w:r w:rsidR="006404D4">
              <w:rPr>
                <w:i/>
              </w:rPr>
              <w:t>2</w:t>
            </w:r>
          </w:p>
        </w:tc>
        <w:tc>
          <w:tcPr>
            <w:tcW w:w="229" w:type="pct"/>
            <w:tcBorders>
              <w:left w:val="nil"/>
              <w:bottom w:val="single" w:sz="4" w:space="0" w:color="auto"/>
              <w:right w:val="nil"/>
            </w:tcBorders>
          </w:tcPr>
          <w:p w:rsidR="0007754D" w:rsidRDefault="0007754D" w:rsidP="00CB7420">
            <w:pPr>
              <w:pStyle w:val="TableUnitsRow"/>
              <w:rPr>
                <w:i/>
              </w:rPr>
            </w:pPr>
          </w:p>
        </w:tc>
        <w:tc>
          <w:tcPr>
            <w:tcW w:w="749" w:type="pct"/>
            <w:gridSpan w:val="2"/>
            <w:tcBorders>
              <w:top w:val="single" w:sz="4" w:space="0" w:color="auto"/>
              <w:left w:val="nil"/>
              <w:bottom w:val="single" w:sz="4" w:space="0" w:color="auto"/>
              <w:right w:val="nil"/>
            </w:tcBorders>
          </w:tcPr>
          <w:p w:rsidR="0007754D" w:rsidRPr="001E57D3" w:rsidRDefault="009A2262" w:rsidP="00CB7420">
            <w:pPr>
              <w:pStyle w:val="TableUnitsRow"/>
              <w:rPr>
                <w:i/>
              </w:rPr>
            </w:pPr>
            <w:r>
              <w:rPr>
                <w:i/>
              </w:rPr>
              <w:t xml:space="preserve">Model </w:t>
            </w:r>
            <w:r w:rsidR="006404D4">
              <w:rPr>
                <w:i/>
              </w:rPr>
              <w:t>1</w:t>
            </w:r>
          </w:p>
        </w:tc>
        <w:tc>
          <w:tcPr>
            <w:tcW w:w="780" w:type="pct"/>
            <w:gridSpan w:val="2"/>
            <w:tcBorders>
              <w:top w:val="single" w:sz="4" w:space="0" w:color="auto"/>
              <w:left w:val="nil"/>
              <w:bottom w:val="single" w:sz="4" w:space="0" w:color="auto"/>
              <w:right w:val="nil"/>
            </w:tcBorders>
          </w:tcPr>
          <w:p w:rsidR="0007754D" w:rsidRPr="001E57D3" w:rsidRDefault="009A2262" w:rsidP="00CB7420">
            <w:pPr>
              <w:pStyle w:val="TableUnitsRow"/>
              <w:ind w:right="28"/>
              <w:rPr>
                <w:i/>
              </w:rPr>
            </w:pPr>
            <w:r>
              <w:rPr>
                <w:i/>
              </w:rPr>
              <w:t xml:space="preserve">Model </w:t>
            </w:r>
            <w:r w:rsidR="006404D4">
              <w:rPr>
                <w:i/>
              </w:rPr>
              <w:t>2</w:t>
            </w:r>
          </w:p>
        </w:tc>
      </w:tr>
      <w:tr w:rsidR="005A3A54" w:rsidTr="00873003">
        <w:tc>
          <w:tcPr>
            <w:tcW w:w="2419" w:type="pct"/>
            <w:gridSpan w:val="3"/>
            <w:tcBorders>
              <w:top w:val="single" w:sz="4" w:space="0" w:color="auto"/>
            </w:tcBorders>
          </w:tcPr>
          <w:p w:rsidR="005A3A54" w:rsidRPr="00EF4E46" w:rsidRDefault="005A3A54" w:rsidP="00EF4E46">
            <w:pPr>
              <w:pStyle w:val="TableUnitsRow"/>
              <w:jc w:val="left"/>
              <w:rPr>
                <w:i/>
              </w:rPr>
            </w:pPr>
            <w:r w:rsidRPr="00EF4E46">
              <w:rPr>
                <w:i/>
              </w:rPr>
              <w:t xml:space="preserve">Probability of </w:t>
            </w:r>
            <w:r>
              <w:rPr>
                <w:i/>
              </w:rPr>
              <w:t xml:space="preserve">being </w:t>
            </w:r>
            <w:r w:rsidRPr="00EF4E46">
              <w:rPr>
                <w:i/>
              </w:rPr>
              <w:t>employ</w:t>
            </w:r>
            <w:r>
              <w:rPr>
                <w:i/>
              </w:rPr>
              <w:t>ed</w:t>
            </w:r>
          </w:p>
        </w:tc>
        <w:tc>
          <w:tcPr>
            <w:tcW w:w="646" w:type="pct"/>
            <w:tcBorders>
              <w:top w:val="single" w:sz="4" w:space="0" w:color="auto"/>
            </w:tcBorders>
          </w:tcPr>
          <w:p w:rsidR="005A3A54" w:rsidRPr="00EF4E46" w:rsidRDefault="005A3A54">
            <w:pPr>
              <w:pStyle w:val="TableUnitsRow"/>
              <w:rPr>
                <w:i/>
              </w:rPr>
            </w:pPr>
          </w:p>
        </w:tc>
        <w:tc>
          <w:tcPr>
            <w:tcW w:w="177" w:type="pct"/>
            <w:tcBorders>
              <w:top w:val="single" w:sz="4" w:space="0" w:color="auto"/>
            </w:tcBorders>
          </w:tcPr>
          <w:p w:rsidR="005A3A54" w:rsidRPr="00EF4E46" w:rsidRDefault="005A3A54" w:rsidP="00EF4E46">
            <w:pPr>
              <w:pStyle w:val="TableUnitsRow"/>
              <w:jc w:val="left"/>
              <w:rPr>
                <w:i/>
              </w:rPr>
            </w:pPr>
          </w:p>
        </w:tc>
        <w:tc>
          <w:tcPr>
            <w:tcW w:w="229" w:type="pct"/>
            <w:tcBorders>
              <w:top w:val="single" w:sz="4" w:space="0" w:color="auto"/>
            </w:tcBorders>
          </w:tcPr>
          <w:p w:rsidR="005A3A54" w:rsidRPr="00EF4E46" w:rsidRDefault="005A3A54" w:rsidP="00EF4E46">
            <w:pPr>
              <w:pStyle w:val="TableBodyText"/>
              <w:spacing w:before="80" w:after="80"/>
              <w:rPr>
                <w:i/>
              </w:rPr>
            </w:pPr>
          </w:p>
        </w:tc>
        <w:tc>
          <w:tcPr>
            <w:tcW w:w="480" w:type="pct"/>
            <w:tcBorders>
              <w:top w:val="single" w:sz="4" w:space="0" w:color="auto"/>
            </w:tcBorders>
          </w:tcPr>
          <w:p w:rsidR="005A3A54" w:rsidRPr="00EF4E46" w:rsidRDefault="005A3A54" w:rsidP="00EF4E46">
            <w:pPr>
              <w:pStyle w:val="TableBodyText"/>
              <w:spacing w:before="80" w:after="80"/>
              <w:rPr>
                <w:i/>
              </w:rPr>
            </w:pPr>
          </w:p>
        </w:tc>
        <w:tc>
          <w:tcPr>
            <w:tcW w:w="269" w:type="pct"/>
            <w:tcBorders>
              <w:top w:val="single" w:sz="4" w:space="0" w:color="auto"/>
            </w:tcBorders>
          </w:tcPr>
          <w:p w:rsidR="005A3A54" w:rsidRPr="0012513D" w:rsidRDefault="005A3A54" w:rsidP="00EF4E46">
            <w:pPr>
              <w:pStyle w:val="TableBodyText"/>
              <w:spacing w:before="80" w:after="80"/>
              <w:jc w:val="left"/>
              <w:rPr>
                <w:i/>
              </w:rPr>
            </w:pPr>
          </w:p>
        </w:tc>
        <w:tc>
          <w:tcPr>
            <w:tcW w:w="618" w:type="pct"/>
            <w:tcBorders>
              <w:top w:val="single" w:sz="4" w:space="0" w:color="auto"/>
            </w:tcBorders>
          </w:tcPr>
          <w:p w:rsidR="005A3A54" w:rsidRPr="00EF4E46" w:rsidRDefault="005A3A54" w:rsidP="00EF4E46">
            <w:pPr>
              <w:pStyle w:val="TableBodyText"/>
              <w:spacing w:before="80" w:after="80"/>
              <w:rPr>
                <w:i/>
              </w:rPr>
            </w:pPr>
          </w:p>
        </w:tc>
        <w:tc>
          <w:tcPr>
            <w:tcW w:w="162" w:type="pct"/>
            <w:tcBorders>
              <w:top w:val="single" w:sz="4" w:space="0" w:color="auto"/>
            </w:tcBorders>
          </w:tcPr>
          <w:p w:rsidR="005A3A54" w:rsidRPr="00EF4E46" w:rsidRDefault="005A3A54" w:rsidP="00EF4E46">
            <w:pPr>
              <w:pStyle w:val="TableBodyText"/>
              <w:spacing w:before="80" w:after="80"/>
              <w:jc w:val="left"/>
              <w:rPr>
                <w:i/>
              </w:rPr>
            </w:pPr>
          </w:p>
        </w:tc>
      </w:tr>
      <w:tr w:rsidR="005A3A54" w:rsidTr="00873003">
        <w:tc>
          <w:tcPr>
            <w:tcW w:w="1612" w:type="pct"/>
            <w:hideMark/>
          </w:tcPr>
          <w:p w:rsidR="005A3A54" w:rsidRDefault="00416DA3" w:rsidP="00EF4E46">
            <w:pPr>
              <w:pStyle w:val="TableBodyText"/>
              <w:ind w:left="57"/>
              <w:jc w:val="left"/>
              <w:rPr>
                <w:szCs w:val="24"/>
              </w:rPr>
            </w:pPr>
            <w:r>
              <w:t>Year 12</w:t>
            </w:r>
          </w:p>
        </w:tc>
        <w:tc>
          <w:tcPr>
            <w:tcW w:w="565" w:type="pct"/>
            <w:vAlign w:val="center"/>
          </w:tcPr>
          <w:p w:rsidR="005A3A54" w:rsidRDefault="0030674E" w:rsidP="00EF4E46">
            <w:pPr>
              <w:pStyle w:val="TableBodyText"/>
              <w:ind w:right="0"/>
              <w:rPr>
                <w:i/>
              </w:rPr>
            </w:pPr>
            <w:r>
              <w:rPr>
                <w:rFonts w:cs="Arial"/>
                <w:color w:val="000000"/>
              </w:rPr>
              <w:t>3.2</w:t>
            </w:r>
          </w:p>
        </w:tc>
        <w:tc>
          <w:tcPr>
            <w:tcW w:w="242" w:type="pct"/>
            <w:vAlign w:val="center"/>
          </w:tcPr>
          <w:p w:rsidR="005A3A54" w:rsidRDefault="005A3A54" w:rsidP="00EF4E46">
            <w:pPr>
              <w:pStyle w:val="TableBodyText"/>
              <w:jc w:val="left"/>
              <w:rPr>
                <w:i/>
              </w:rPr>
            </w:pPr>
          </w:p>
        </w:tc>
        <w:tc>
          <w:tcPr>
            <w:tcW w:w="646" w:type="pct"/>
            <w:vAlign w:val="center"/>
          </w:tcPr>
          <w:p w:rsidR="005A3A54" w:rsidRDefault="0030674E" w:rsidP="00EF4E46">
            <w:pPr>
              <w:pStyle w:val="TableBodyText"/>
              <w:ind w:right="0"/>
              <w:rPr>
                <w:i/>
              </w:rPr>
            </w:pPr>
            <w:r>
              <w:rPr>
                <w:rFonts w:cs="Arial"/>
                <w:color w:val="000000"/>
              </w:rPr>
              <w:t>0.7</w:t>
            </w:r>
          </w:p>
        </w:tc>
        <w:tc>
          <w:tcPr>
            <w:tcW w:w="177" w:type="pct"/>
            <w:vAlign w:val="center"/>
          </w:tcPr>
          <w:p w:rsidR="005A3A54" w:rsidRDefault="005A3A54" w:rsidP="00EF4E46">
            <w:pPr>
              <w:pStyle w:val="TableBodyText"/>
              <w:jc w:val="left"/>
              <w:rPr>
                <w:i/>
              </w:rPr>
            </w:pPr>
          </w:p>
        </w:tc>
        <w:tc>
          <w:tcPr>
            <w:tcW w:w="229" w:type="pct"/>
          </w:tcPr>
          <w:p w:rsidR="005A3A54" w:rsidRDefault="005A3A54" w:rsidP="00FD71AB">
            <w:pPr>
              <w:pStyle w:val="TableBodyText"/>
            </w:pPr>
          </w:p>
        </w:tc>
        <w:tc>
          <w:tcPr>
            <w:tcW w:w="480" w:type="pct"/>
            <w:vAlign w:val="center"/>
          </w:tcPr>
          <w:p w:rsidR="005A3A54" w:rsidRDefault="0030674E" w:rsidP="00EF4E46">
            <w:pPr>
              <w:pStyle w:val="TableBodyText"/>
              <w:ind w:right="0"/>
              <w:rPr>
                <w:i/>
              </w:rPr>
            </w:pPr>
            <w:r>
              <w:rPr>
                <w:rFonts w:cs="Arial"/>
                <w:color w:val="000000"/>
              </w:rPr>
              <w:t>5.5</w:t>
            </w:r>
          </w:p>
        </w:tc>
        <w:tc>
          <w:tcPr>
            <w:tcW w:w="269" w:type="pct"/>
            <w:vAlign w:val="center"/>
          </w:tcPr>
          <w:p w:rsidR="005A3A54" w:rsidRDefault="005A3A54" w:rsidP="00EF4E46">
            <w:pPr>
              <w:pStyle w:val="TableBodyText"/>
              <w:jc w:val="left"/>
              <w:rPr>
                <w:i/>
              </w:rPr>
            </w:pPr>
            <w:r>
              <w:rPr>
                <w:rFonts w:cs="Arial"/>
                <w:i/>
                <w:iCs/>
                <w:color w:val="000000"/>
              </w:rPr>
              <w:t>*</w:t>
            </w:r>
          </w:p>
        </w:tc>
        <w:tc>
          <w:tcPr>
            <w:tcW w:w="618" w:type="pct"/>
            <w:vAlign w:val="center"/>
          </w:tcPr>
          <w:p w:rsidR="005A3A54" w:rsidRDefault="0030674E" w:rsidP="00EF4E46">
            <w:pPr>
              <w:pStyle w:val="TableBodyText"/>
              <w:ind w:right="0"/>
              <w:rPr>
                <w:i/>
              </w:rPr>
            </w:pPr>
            <w:r>
              <w:rPr>
                <w:rFonts w:cs="Arial"/>
                <w:color w:val="000000"/>
              </w:rPr>
              <w:t>3.1</w:t>
            </w:r>
          </w:p>
        </w:tc>
        <w:tc>
          <w:tcPr>
            <w:tcW w:w="162" w:type="pct"/>
            <w:vAlign w:val="center"/>
          </w:tcPr>
          <w:p w:rsidR="005A3A54" w:rsidRDefault="005A3A54" w:rsidP="00EF4E46">
            <w:pPr>
              <w:pStyle w:val="TableBodyText"/>
              <w:jc w:val="left"/>
              <w:rPr>
                <w:szCs w:val="24"/>
              </w:rPr>
            </w:pPr>
          </w:p>
        </w:tc>
      </w:tr>
      <w:tr w:rsidR="005A3A54" w:rsidTr="00873003">
        <w:tc>
          <w:tcPr>
            <w:tcW w:w="1612" w:type="pct"/>
            <w:hideMark/>
          </w:tcPr>
          <w:p w:rsidR="005A3A54" w:rsidRDefault="005A3A54" w:rsidP="00EF4E46">
            <w:pPr>
              <w:pStyle w:val="TableBodyText"/>
              <w:ind w:left="57"/>
              <w:jc w:val="left"/>
              <w:rPr>
                <w:szCs w:val="24"/>
              </w:rPr>
            </w:pPr>
            <w:r>
              <w:t>Diploma or Certificate</w:t>
            </w:r>
          </w:p>
        </w:tc>
        <w:tc>
          <w:tcPr>
            <w:tcW w:w="565" w:type="pct"/>
            <w:vAlign w:val="center"/>
          </w:tcPr>
          <w:p w:rsidR="005A3A54" w:rsidRDefault="0030674E" w:rsidP="00EF4E46">
            <w:pPr>
              <w:pStyle w:val="TableBodyText"/>
              <w:ind w:right="0"/>
              <w:rPr>
                <w:i/>
              </w:rPr>
            </w:pPr>
            <w:r>
              <w:rPr>
                <w:rFonts w:cs="Arial"/>
                <w:color w:val="000000"/>
              </w:rPr>
              <w:t>7.3</w:t>
            </w:r>
          </w:p>
        </w:tc>
        <w:tc>
          <w:tcPr>
            <w:tcW w:w="242" w:type="pct"/>
            <w:vAlign w:val="center"/>
          </w:tcPr>
          <w:p w:rsidR="005A3A54" w:rsidRDefault="005A3A54" w:rsidP="00EF4E46">
            <w:pPr>
              <w:pStyle w:val="TableBodyText"/>
              <w:jc w:val="left"/>
              <w:rPr>
                <w:i/>
              </w:rPr>
            </w:pPr>
            <w:r>
              <w:rPr>
                <w:rFonts w:cs="Arial"/>
                <w:i/>
                <w:iCs/>
                <w:color w:val="000000"/>
              </w:rPr>
              <w:t>***</w:t>
            </w:r>
          </w:p>
        </w:tc>
        <w:tc>
          <w:tcPr>
            <w:tcW w:w="646" w:type="pct"/>
            <w:vAlign w:val="center"/>
          </w:tcPr>
          <w:p w:rsidR="005A3A54" w:rsidRDefault="0030674E" w:rsidP="00EF4E46">
            <w:pPr>
              <w:pStyle w:val="TableBodyText"/>
              <w:ind w:right="0"/>
              <w:rPr>
                <w:i/>
              </w:rPr>
            </w:pPr>
            <w:r>
              <w:rPr>
                <w:rFonts w:cs="Arial"/>
                <w:color w:val="000000"/>
              </w:rPr>
              <w:t>5.3</w:t>
            </w:r>
          </w:p>
        </w:tc>
        <w:tc>
          <w:tcPr>
            <w:tcW w:w="177" w:type="pct"/>
            <w:vAlign w:val="center"/>
          </w:tcPr>
          <w:p w:rsidR="005A3A54" w:rsidRDefault="005A3A54" w:rsidP="00873003">
            <w:pPr>
              <w:pStyle w:val="TableBodyText"/>
              <w:ind w:right="0"/>
              <w:jc w:val="left"/>
              <w:rPr>
                <w:i/>
              </w:rPr>
            </w:pPr>
            <w:r>
              <w:rPr>
                <w:rFonts w:cs="Arial"/>
                <w:i/>
                <w:iCs/>
                <w:color w:val="000000"/>
              </w:rPr>
              <w:t>***</w:t>
            </w:r>
          </w:p>
        </w:tc>
        <w:tc>
          <w:tcPr>
            <w:tcW w:w="229" w:type="pct"/>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14.7</w:t>
            </w:r>
          </w:p>
        </w:tc>
        <w:tc>
          <w:tcPr>
            <w:tcW w:w="269" w:type="pct"/>
            <w:vAlign w:val="center"/>
          </w:tcPr>
          <w:p w:rsidR="005A3A54" w:rsidRDefault="005A3A54" w:rsidP="00EF4E46">
            <w:pPr>
              <w:pStyle w:val="TableBodyText"/>
              <w:jc w:val="left"/>
              <w:rPr>
                <w:i/>
              </w:rPr>
            </w:pPr>
            <w:r>
              <w:rPr>
                <w:rFonts w:cs="Arial"/>
                <w:i/>
                <w:iCs/>
                <w:color w:val="000000"/>
              </w:rPr>
              <w:t>***</w:t>
            </w:r>
          </w:p>
        </w:tc>
        <w:tc>
          <w:tcPr>
            <w:tcW w:w="618" w:type="pct"/>
            <w:vAlign w:val="center"/>
          </w:tcPr>
          <w:p w:rsidR="005A3A54" w:rsidRDefault="0030674E" w:rsidP="00EF4E46">
            <w:pPr>
              <w:pStyle w:val="TableBodyText"/>
              <w:ind w:right="0"/>
              <w:rPr>
                <w:i/>
              </w:rPr>
            </w:pPr>
            <w:r>
              <w:rPr>
                <w:rFonts w:cs="Arial"/>
                <w:color w:val="000000"/>
              </w:rPr>
              <w:t>11.7</w:t>
            </w:r>
          </w:p>
        </w:tc>
        <w:tc>
          <w:tcPr>
            <w:tcW w:w="162" w:type="pct"/>
            <w:vAlign w:val="center"/>
          </w:tcPr>
          <w:p w:rsidR="005A3A54" w:rsidRDefault="005A3A54" w:rsidP="00873003">
            <w:pPr>
              <w:pStyle w:val="TableBodyText"/>
              <w:ind w:right="0"/>
              <w:jc w:val="left"/>
              <w:rPr>
                <w:i/>
              </w:rPr>
            </w:pPr>
            <w:r>
              <w:rPr>
                <w:rFonts w:cs="Arial"/>
                <w:i/>
                <w:iCs/>
                <w:color w:val="000000"/>
              </w:rPr>
              <w:t>***</w:t>
            </w:r>
          </w:p>
        </w:tc>
      </w:tr>
      <w:tr w:rsidR="005A3A54" w:rsidTr="00873003">
        <w:tc>
          <w:tcPr>
            <w:tcW w:w="1612" w:type="pct"/>
            <w:hideMark/>
          </w:tcPr>
          <w:p w:rsidR="005A3A54" w:rsidRDefault="00416DA3" w:rsidP="00EF4E46">
            <w:pPr>
              <w:pStyle w:val="TableBodyText"/>
              <w:ind w:left="57"/>
              <w:jc w:val="left"/>
              <w:rPr>
                <w:szCs w:val="24"/>
              </w:rPr>
            </w:pPr>
            <w:r>
              <w:t>Degree</w:t>
            </w:r>
          </w:p>
        </w:tc>
        <w:tc>
          <w:tcPr>
            <w:tcW w:w="565" w:type="pct"/>
            <w:vAlign w:val="center"/>
          </w:tcPr>
          <w:p w:rsidR="005A3A54" w:rsidRDefault="0030674E" w:rsidP="00EF4E46">
            <w:pPr>
              <w:pStyle w:val="TableBodyText"/>
              <w:ind w:right="0"/>
              <w:rPr>
                <w:i/>
              </w:rPr>
            </w:pPr>
            <w:r>
              <w:rPr>
                <w:rFonts w:cs="Arial"/>
                <w:color w:val="000000"/>
              </w:rPr>
              <w:t>8.3</w:t>
            </w:r>
          </w:p>
        </w:tc>
        <w:tc>
          <w:tcPr>
            <w:tcW w:w="242" w:type="pct"/>
            <w:vAlign w:val="center"/>
          </w:tcPr>
          <w:p w:rsidR="005A3A54" w:rsidRDefault="005A3A54" w:rsidP="00EF4E46">
            <w:pPr>
              <w:pStyle w:val="TableBodyText"/>
              <w:jc w:val="left"/>
              <w:rPr>
                <w:i/>
              </w:rPr>
            </w:pPr>
            <w:r>
              <w:rPr>
                <w:rFonts w:cs="Arial"/>
                <w:i/>
                <w:iCs/>
                <w:color w:val="000000"/>
              </w:rPr>
              <w:t>***</w:t>
            </w:r>
          </w:p>
        </w:tc>
        <w:tc>
          <w:tcPr>
            <w:tcW w:w="646" w:type="pct"/>
            <w:vAlign w:val="center"/>
          </w:tcPr>
          <w:p w:rsidR="005A3A54" w:rsidRDefault="0030674E" w:rsidP="00EF4E46">
            <w:pPr>
              <w:pStyle w:val="TableBodyText"/>
              <w:ind w:right="0"/>
              <w:rPr>
                <w:i/>
              </w:rPr>
            </w:pPr>
            <w:r>
              <w:rPr>
                <w:rFonts w:cs="Arial"/>
                <w:color w:val="000000"/>
              </w:rPr>
              <w:t>4.6</w:t>
            </w:r>
          </w:p>
        </w:tc>
        <w:tc>
          <w:tcPr>
            <w:tcW w:w="177"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c>
          <w:tcPr>
            <w:tcW w:w="229" w:type="pct"/>
          </w:tcPr>
          <w:p w:rsidR="005A3A54" w:rsidRDefault="005A3A54" w:rsidP="00BA28EF">
            <w:pPr>
              <w:pStyle w:val="TableBodyText"/>
            </w:pPr>
          </w:p>
        </w:tc>
        <w:tc>
          <w:tcPr>
            <w:tcW w:w="480" w:type="pct"/>
            <w:vAlign w:val="center"/>
          </w:tcPr>
          <w:p w:rsidR="005A3A54" w:rsidRDefault="005A3A54" w:rsidP="00EF4E46">
            <w:pPr>
              <w:pStyle w:val="TableBodyText"/>
              <w:ind w:right="0"/>
              <w:rPr>
                <w:i/>
              </w:rPr>
            </w:pPr>
            <w:r>
              <w:rPr>
                <w:rFonts w:cs="Arial"/>
                <w:color w:val="000000"/>
              </w:rPr>
              <w:t>19.6</w:t>
            </w:r>
          </w:p>
        </w:tc>
        <w:tc>
          <w:tcPr>
            <w:tcW w:w="269" w:type="pct"/>
            <w:vAlign w:val="center"/>
          </w:tcPr>
          <w:p w:rsidR="005A3A54" w:rsidRDefault="005A3A54" w:rsidP="00EF4E46">
            <w:pPr>
              <w:pStyle w:val="TableBodyText"/>
              <w:jc w:val="left"/>
              <w:rPr>
                <w:i/>
              </w:rPr>
            </w:pPr>
            <w:r>
              <w:rPr>
                <w:rFonts w:cs="Arial"/>
                <w:i/>
                <w:iCs/>
                <w:color w:val="000000"/>
              </w:rPr>
              <w:t>***</w:t>
            </w:r>
          </w:p>
        </w:tc>
        <w:tc>
          <w:tcPr>
            <w:tcW w:w="618" w:type="pct"/>
            <w:vAlign w:val="center"/>
          </w:tcPr>
          <w:p w:rsidR="005A3A54" w:rsidRDefault="0030674E" w:rsidP="00EF4E46">
            <w:pPr>
              <w:pStyle w:val="TableBodyText"/>
              <w:ind w:right="0"/>
              <w:rPr>
                <w:i/>
              </w:rPr>
            </w:pPr>
            <w:r>
              <w:rPr>
                <w:rFonts w:cs="Arial"/>
                <w:color w:val="000000"/>
              </w:rPr>
              <w:t>14.3</w:t>
            </w:r>
          </w:p>
        </w:tc>
        <w:tc>
          <w:tcPr>
            <w:tcW w:w="162"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r>
      <w:tr w:rsidR="005A3A54" w:rsidTr="00873003">
        <w:tc>
          <w:tcPr>
            <w:tcW w:w="1612" w:type="pct"/>
          </w:tcPr>
          <w:p w:rsidR="005A3A54" w:rsidRPr="00BA28EF" w:rsidRDefault="005A3A54" w:rsidP="00EF4E46">
            <w:pPr>
              <w:pStyle w:val="TableBodyText"/>
              <w:ind w:left="57"/>
              <w:jc w:val="left"/>
              <w:rPr>
                <w:szCs w:val="24"/>
              </w:rPr>
            </w:pPr>
            <w:r w:rsidRPr="00BA28EF">
              <w:t>Literacy and numeracy</w:t>
            </w:r>
          </w:p>
        </w:tc>
        <w:tc>
          <w:tcPr>
            <w:tcW w:w="565" w:type="pct"/>
            <w:vAlign w:val="center"/>
          </w:tcPr>
          <w:p w:rsidR="005A3A54" w:rsidRDefault="005A3A54" w:rsidP="00EF4E46">
            <w:pPr>
              <w:pStyle w:val="TableBodyText"/>
              <w:ind w:right="0"/>
              <w:rPr>
                <w:i/>
              </w:rPr>
            </w:pPr>
            <w:r>
              <w:rPr>
                <w:rFonts w:cs="Arial"/>
                <w:color w:val="000000"/>
              </w:rPr>
              <w:t>-</w:t>
            </w:r>
          </w:p>
        </w:tc>
        <w:tc>
          <w:tcPr>
            <w:tcW w:w="242" w:type="pct"/>
            <w:vAlign w:val="center"/>
          </w:tcPr>
          <w:p w:rsidR="005A3A54" w:rsidRDefault="005A3A54" w:rsidP="00EF4E46">
            <w:pPr>
              <w:pStyle w:val="TableBodyText"/>
              <w:jc w:val="left"/>
              <w:rPr>
                <w:szCs w:val="24"/>
              </w:rPr>
            </w:pPr>
          </w:p>
        </w:tc>
        <w:tc>
          <w:tcPr>
            <w:tcW w:w="646" w:type="pct"/>
            <w:vAlign w:val="center"/>
          </w:tcPr>
          <w:p w:rsidR="005A3A54" w:rsidRDefault="0030674E" w:rsidP="00EF4E46">
            <w:pPr>
              <w:pStyle w:val="TableBodyText"/>
              <w:ind w:right="0"/>
              <w:rPr>
                <w:i/>
              </w:rPr>
            </w:pPr>
            <w:r>
              <w:rPr>
                <w:rFonts w:cs="Arial"/>
                <w:color w:val="000000"/>
              </w:rPr>
              <w:t>2.4</w:t>
            </w:r>
          </w:p>
        </w:tc>
        <w:tc>
          <w:tcPr>
            <w:tcW w:w="177"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c>
          <w:tcPr>
            <w:tcW w:w="229" w:type="pct"/>
          </w:tcPr>
          <w:p w:rsidR="005A3A54" w:rsidRDefault="005A3A54" w:rsidP="00BA28EF">
            <w:pPr>
              <w:pStyle w:val="TableBodyText"/>
            </w:pPr>
          </w:p>
        </w:tc>
        <w:tc>
          <w:tcPr>
            <w:tcW w:w="480" w:type="pct"/>
            <w:vAlign w:val="center"/>
          </w:tcPr>
          <w:p w:rsidR="005A3A54" w:rsidRDefault="005A3A54" w:rsidP="00EF4E46">
            <w:pPr>
              <w:pStyle w:val="TableBodyText"/>
              <w:ind w:right="0"/>
              <w:rPr>
                <w:i/>
              </w:rPr>
            </w:pPr>
            <w:r>
              <w:rPr>
                <w:rFonts w:cs="Arial"/>
                <w:color w:val="000000"/>
              </w:rPr>
              <w:t>-</w:t>
            </w:r>
          </w:p>
        </w:tc>
        <w:tc>
          <w:tcPr>
            <w:tcW w:w="269" w:type="pct"/>
            <w:vAlign w:val="center"/>
          </w:tcPr>
          <w:p w:rsidR="005A3A54" w:rsidRDefault="005A3A54" w:rsidP="00EF4E46">
            <w:pPr>
              <w:pStyle w:val="TableBodyText"/>
              <w:jc w:val="left"/>
              <w:rPr>
                <w:szCs w:val="24"/>
              </w:rPr>
            </w:pPr>
          </w:p>
        </w:tc>
        <w:tc>
          <w:tcPr>
            <w:tcW w:w="618" w:type="pct"/>
            <w:vAlign w:val="center"/>
          </w:tcPr>
          <w:p w:rsidR="005A3A54" w:rsidRDefault="0030674E" w:rsidP="00EF4E46">
            <w:pPr>
              <w:pStyle w:val="TableBodyText"/>
              <w:ind w:right="0"/>
              <w:rPr>
                <w:i/>
              </w:rPr>
            </w:pPr>
            <w:r>
              <w:rPr>
                <w:rFonts w:cs="Arial"/>
                <w:color w:val="000000"/>
              </w:rPr>
              <w:t>4.3</w:t>
            </w:r>
          </w:p>
        </w:tc>
        <w:tc>
          <w:tcPr>
            <w:tcW w:w="162"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r>
      <w:tr w:rsidR="005A3A54" w:rsidTr="00873003">
        <w:tc>
          <w:tcPr>
            <w:tcW w:w="2419" w:type="pct"/>
            <w:gridSpan w:val="3"/>
          </w:tcPr>
          <w:p w:rsidR="005A3A54" w:rsidRPr="00EF4E46" w:rsidRDefault="005A3A54" w:rsidP="00EF4E46">
            <w:pPr>
              <w:pStyle w:val="TableUnitsRow"/>
              <w:jc w:val="left"/>
              <w:rPr>
                <w:i/>
              </w:rPr>
            </w:pPr>
            <w:r w:rsidRPr="00EF4E46">
              <w:rPr>
                <w:i/>
              </w:rPr>
              <w:t>Probability of being unemployed</w:t>
            </w:r>
          </w:p>
        </w:tc>
        <w:tc>
          <w:tcPr>
            <w:tcW w:w="823" w:type="pct"/>
            <w:gridSpan w:val="2"/>
          </w:tcPr>
          <w:p w:rsidR="005A3A54" w:rsidRPr="00873003" w:rsidRDefault="005A3A54" w:rsidP="00873003">
            <w:pPr>
              <w:pStyle w:val="TableBodyText"/>
              <w:ind w:right="0"/>
              <w:jc w:val="left"/>
              <w:rPr>
                <w:rFonts w:cs="Arial"/>
                <w:i/>
                <w:iCs/>
                <w:color w:val="000000"/>
              </w:rPr>
            </w:pPr>
          </w:p>
        </w:tc>
        <w:tc>
          <w:tcPr>
            <w:tcW w:w="229" w:type="pct"/>
          </w:tcPr>
          <w:p w:rsidR="005A3A54" w:rsidRDefault="005A3A54" w:rsidP="00CB7420">
            <w:pPr>
              <w:pStyle w:val="TableBodyText"/>
            </w:pPr>
          </w:p>
        </w:tc>
        <w:tc>
          <w:tcPr>
            <w:tcW w:w="480" w:type="pct"/>
          </w:tcPr>
          <w:p w:rsidR="005A3A54" w:rsidRDefault="005A3A54" w:rsidP="00EF4E46">
            <w:pPr>
              <w:pStyle w:val="TableBodyText"/>
              <w:ind w:right="0"/>
              <w:rPr>
                <w:szCs w:val="24"/>
              </w:rPr>
            </w:pPr>
          </w:p>
        </w:tc>
        <w:tc>
          <w:tcPr>
            <w:tcW w:w="269" w:type="pct"/>
          </w:tcPr>
          <w:p w:rsidR="005A3A54" w:rsidRDefault="005A3A54" w:rsidP="00EF4E46">
            <w:pPr>
              <w:pStyle w:val="TableBodyText"/>
              <w:jc w:val="left"/>
              <w:rPr>
                <w:szCs w:val="24"/>
              </w:rPr>
            </w:pPr>
          </w:p>
        </w:tc>
        <w:tc>
          <w:tcPr>
            <w:tcW w:w="618" w:type="pct"/>
          </w:tcPr>
          <w:p w:rsidR="005A3A54" w:rsidRDefault="005A3A54" w:rsidP="00EF4E46">
            <w:pPr>
              <w:pStyle w:val="TableBodyText"/>
              <w:ind w:right="0"/>
              <w:rPr>
                <w:szCs w:val="24"/>
              </w:rPr>
            </w:pPr>
          </w:p>
        </w:tc>
        <w:tc>
          <w:tcPr>
            <w:tcW w:w="162" w:type="pct"/>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Default="00416DA3" w:rsidP="00EF4E46">
            <w:pPr>
              <w:pStyle w:val="TableBodyText"/>
              <w:ind w:left="57"/>
              <w:jc w:val="left"/>
              <w:rPr>
                <w:szCs w:val="24"/>
              </w:rPr>
            </w:pPr>
            <w:r>
              <w:t>Year 12</w:t>
            </w:r>
          </w:p>
        </w:tc>
        <w:tc>
          <w:tcPr>
            <w:tcW w:w="565" w:type="pct"/>
            <w:vAlign w:val="center"/>
          </w:tcPr>
          <w:p w:rsidR="005A3A54" w:rsidRDefault="0030674E" w:rsidP="00EF4E46">
            <w:pPr>
              <w:pStyle w:val="TableBodyText"/>
              <w:ind w:right="0"/>
              <w:rPr>
                <w:i/>
              </w:rPr>
            </w:pPr>
            <w:r>
              <w:rPr>
                <w:rFonts w:cs="Arial"/>
                <w:color w:val="000000"/>
              </w:rPr>
              <w:t>-0.4</w:t>
            </w:r>
          </w:p>
        </w:tc>
        <w:tc>
          <w:tcPr>
            <w:tcW w:w="242" w:type="pct"/>
            <w:vAlign w:val="center"/>
          </w:tcPr>
          <w:p w:rsidR="005A3A54" w:rsidRDefault="005A3A54" w:rsidP="00EF4E46">
            <w:pPr>
              <w:pStyle w:val="TableBodyText"/>
              <w:jc w:val="left"/>
              <w:rPr>
                <w:szCs w:val="24"/>
              </w:rPr>
            </w:pPr>
          </w:p>
        </w:tc>
        <w:tc>
          <w:tcPr>
            <w:tcW w:w="646" w:type="pct"/>
            <w:vAlign w:val="center"/>
          </w:tcPr>
          <w:p w:rsidR="005A3A54" w:rsidRDefault="0030674E" w:rsidP="00EF4E46">
            <w:pPr>
              <w:pStyle w:val="TableBodyText"/>
              <w:ind w:right="0"/>
              <w:rPr>
                <w:i/>
              </w:rPr>
            </w:pPr>
            <w:r>
              <w:rPr>
                <w:rFonts w:cs="Arial"/>
                <w:color w:val="000000"/>
              </w:rPr>
              <w:t>-0.2</w:t>
            </w:r>
          </w:p>
        </w:tc>
        <w:tc>
          <w:tcPr>
            <w:tcW w:w="177" w:type="pct"/>
            <w:vAlign w:val="center"/>
          </w:tcPr>
          <w:p w:rsidR="005A3A54" w:rsidRPr="00873003" w:rsidRDefault="005A3A54" w:rsidP="00873003">
            <w:pPr>
              <w:pStyle w:val="TableBodyText"/>
              <w:ind w:right="0"/>
              <w:jc w:val="left"/>
              <w:rPr>
                <w:rFonts w:cs="Arial"/>
                <w:i/>
                <w:iCs/>
                <w:color w:val="000000"/>
              </w:rPr>
            </w:pP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-1.0</w:t>
            </w:r>
          </w:p>
        </w:tc>
        <w:tc>
          <w:tcPr>
            <w:tcW w:w="269" w:type="pct"/>
            <w:vAlign w:val="center"/>
          </w:tcPr>
          <w:p w:rsidR="005A3A54" w:rsidRDefault="005A3A54" w:rsidP="00EF4E46">
            <w:pPr>
              <w:pStyle w:val="TableBodyText"/>
              <w:jc w:val="left"/>
              <w:rPr>
                <w:szCs w:val="24"/>
              </w:rPr>
            </w:pPr>
          </w:p>
        </w:tc>
        <w:tc>
          <w:tcPr>
            <w:tcW w:w="618" w:type="pct"/>
            <w:vAlign w:val="center"/>
          </w:tcPr>
          <w:p w:rsidR="005A3A54" w:rsidRDefault="005A3A54" w:rsidP="00EF4E46">
            <w:pPr>
              <w:pStyle w:val="TableBodyText"/>
              <w:ind w:right="0"/>
              <w:rPr>
                <w:i/>
              </w:rPr>
            </w:pPr>
            <w:r>
              <w:rPr>
                <w:rFonts w:cs="Arial"/>
                <w:color w:val="000000"/>
              </w:rPr>
              <w:t>-1.0</w:t>
            </w:r>
          </w:p>
        </w:tc>
        <w:tc>
          <w:tcPr>
            <w:tcW w:w="162" w:type="pct"/>
            <w:vAlign w:val="center"/>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Default="005A3A54" w:rsidP="00EF4E46">
            <w:pPr>
              <w:pStyle w:val="TableBodyText"/>
              <w:ind w:left="57"/>
              <w:jc w:val="left"/>
              <w:rPr>
                <w:szCs w:val="24"/>
              </w:rPr>
            </w:pPr>
            <w:r>
              <w:t>Diploma or Certificate</w:t>
            </w:r>
          </w:p>
        </w:tc>
        <w:tc>
          <w:tcPr>
            <w:tcW w:w="565" w:type="pct"/>
            <w:vAlign w:val="center"/>
          </w:tcPr>
          <w:p w:rsidR="005A3A54" w:rsidRDefault="0030674E" w:rsidP="00EF4E46">
            <w:pPr>
              <w:pStyle w:val="TableBodyText"/>
              <w:ind w:right="0"/>
              <w:rPr>
                <w:i/>
              </w:rPr>
            </w:pPr>
            <w:r>
              <w:rPr>
                <w:rFonts w:cs="Arial"/>
                <w:color w:val="000000"/>
              </w:rPr>
              <w:t>-0.3</w:t>
            </w:r>
          </w:p>
        </w:tc>
        <w:tc>
          <w:tcPr>
            <w:tcW w:w="242" w:type="pct"/>
            <w:vAlign w:val="center"/>
          </w:tcPr>
          <w:p w:rsidR="005A3A54" w:rsidRDefault="005A3A54" w:rsidP="00EF4E46">
            <w:pPr>
              <w:pStyle w:val="TableBodyText"/>
              <w:jc w:val="left"/>
              <w:rPr>
                <w:szCs w:val="24"/>
              </w:rPr>
            </w:pPr>
          </w:p>
        </w:tc>
        <w:tc>
          <w:tcPr>
            <w:tcW w:w="646" w:type="pct"/>
            <w:vAlign w:val="center"/>
          </w:tcPr>
          <w:p w:rsidR="005A3A54" w:rsidRDefault="0030674E" w:rsidP="00EF4E46">
            <w:pPr>
              <w:pStyle w:val="TableBodyText"/>
              <w:ind w:right="0"/>
              <w:rPr>
                <w:i/>
              </w:rPr>
            </w:pPr>
            <w:r>
              <w:rPr>
                <w:rFonts w:cs="Arial"/>
                <w:color w:val="000000"/>
              </w:rPr>
              <w:t>-0.1</w:t>
            </w:r>
          </w:p>
        </w:tc>
        <w:tc>
          <w:tcPr>
            <w:tcW w:w="177" w:type="pct"/>
            <w:vAlign w:val="center"/>
          </w:tcPr>
          <w:p w:rsidR="005A3A54" w:rsidRPr="00873003" w:rsidRDefault="005A3A54" w:rsidP="00873003">
            <w:pPr>
              <w:pStyle w:val="TableBodyText"/>
              <w:ind w:right="0"/>
              <w:jc w:val="left"/>
              <w:rPr>
                <w:rFonts w:cs="Arial"/>
                <w:i/>
                <w:iCs/>
                <w:color w:val="000000"/>
              </w:rPr>
            </w:pP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-1.0</w:t>
            </w:r>
          </w:p>
        </w:tc>
        <w:tc>
          <w:tcPr>
            <w:tcW w:w="269" w:type="pct"/>
            <w:vAlign w:val="center"/>
          </w:tcPr>
          <w:p w:rsidR="005A3A54" w:rsidRDefault="005A3A54" w:rsidP="00EF4E46">
            <w:pPr>
              <w:pStyle w:val="TableBodyText"/>
              <w:jc w:val="left"/>
              <w:rPr>
                <w:szCs w:val="24"/>
              </w:rPr>
            </w:pPr>
          </w:p>
        </w:tc>
        <w:tc>
          <w:tcPr>
            <w:tcW w:w="618" w:type="pct"/>
            <w:vAlign w:val="center"/>
          </w:tcPr>
          <w:p w:rsidR="005A3A54" w:rsidRDefault="0030674E" w:rsidP="00EF4E46">
            <w:pPr>
              <w:pStyle w:val="TableBodyText"/>
              <w:ind w:right="0"/>
              <w:rPr>
                <w:i/>
              </w:rPr>
            </w:pPr>
            <w:r>
              <w:rPr>
                <w:rFonts w:cs="Arial"/>
                <w:color w:val="000000"/>
              </w:rPr>
              <w:t>-1.0</w:t>
            </w:r>
          </w:p>
        </w:tc>
        <w:tc>
          <w:tcPr>
            <w:tcW w:w="162" w:type="pct"/>
            <w:vAlign w:val="center"/>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Default="00416DA3" w:rsidP="00EF4E46">
            <w:pPr>
              <w:pStyle w:val="TableBodyText"/>
              <w:ind w:left="57"/>
              <w:jc w:val="left"/>
              <w:rPr>
                <w:szCs w:val="24"/>
              </w:rPr>
            </w:pPr>
            <w:r>
              <w:t>Degree</w:t>
            </w:r>
          </w:p>
        </w:tc>
        <w:tc>
          <w:tcPr>
            <w:tcW w:w="565" w:type="pct"/>
            <w:vAlign w:val="center"/>
          </w:tcPr>
          <w:p w:rsidR="005A3A54" w:rsidRDefault="0030674E" w:rsidP="00EF4E46">
            <w:pPr>
              <w:pStyle w:val="TableBodyText"/>
              <w:ind w:right="0"/>
              <w:rPr>
                <w:i/>
              </w:rPr>
            </w:pPr>
            <w:r>
              <w:rPr>
                <w:rFonts w:cs="Arial"/>
                <w:color w:val="000000"/>
              </w:rPr>
              <w:t>-1.6</w:t>
            </w:r>
          </w:p>
        </w:tc>
        <w:tc>
          <w:tcPr>
            <w:tcW w:w="242" w:type="pct"/>
            <w:vAlign w:val="center"/>
          </w:tcPr>
          <w:p w:rsidR="005A3A54" w:rsidRDefault="000A63D8" w:rsidP="00EF4E46">
            <w:pPr>
              <w:pStyle w:val="TableBodyText"/>
              <w:jc w:val="left"/>
              <w:rPr>
                <w:i/>
              </w:rPr>
            </w:pPr>
            <w:r>
              <w:rPr>
                <w:rFonts w:cs="Arial"/>
                <w:i/>
                <w:iCs/>
                <w:color w:val="000000"/>
              </w:rPr>
              <w:t>*</w:t>
            </w:r>
          </w:p>
        </w:tc>
        <w:tc>
          <w:tcPr>
            <w:tcW w:w="646" w:type="pct"/>
            <w:vAlign w:val="center"/>
          </w:tcPr>
          <w:p w:rsidR="005A3A54" w:rsidRDefault="0030674E" w:rsidP="00EF4E46">
            <w:pPr>
              <w:pStyle w:val="TableBodyText"/>
              <w:ind w:right="0"/>
              <w:rPr>
                <w:i/>
              </w:rPr>
            </w:pPr>
            <w:r>
              <w:rPr>
                <w:rFonts w:cs="Arial"/>
                <w:color w:val="000000"/>
              </w:rPr>
              <w:t>-1.2</w:t>
            </w:r>
          </w:p>
        </w:tc>
        <w:tc>
          <w:tcPr>
            <w:tcW w:w="177" w:type="pct"/>
            <w:vAlign w:val="center"/>
          </w:tcPr>
          <w:p w:rsidR="005A3A54" w:rsidRPr="00873003" w:rsidRDefault="005A3A54" w:rsidP="00873003">
            <w:pPr>
              <w:pStyle w:val="TableBodyText"/>
              <w:ind w:right="0"/>
              <w:jc w:val="left"/>
              <w:rPr>
                <w:rFonts w:cs="Arial"/>
                <w:i/>
                <w:iCs/>
                <w:color w:val="000000"/>
              </w:rPr>
            </w:pP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-1.1</w:t>
            </w:r>
          </w:p>
        </w:tc>
        <w:tc>
          <w:tcPr>
            <w:tcW w:w="269" w:type="pct"/>
            <w:vAlign w:val="center"/>
          </w:tcPr>
          <w:p w:rsidR="005A3A54" w:rsidRDefault="005A3A54" w:rsidP="00EF4E46">
            <w:pPr>
              <w:pStyle w:val="TableBodyText"/>
              <w:jc w:val="left"/>
              <w:rPr>
                <w:i/>
              </w:rPr>
            </w:pPr>
          </w:p>
        </w:tc>
        <w:tc>
          <w:tcPr>
            <w:tcW w:w="618" w:type="pct"/>
            <w:vAlign w:val="center"/>
          </w:tcPr>
          <w:p w:rsidR="005A3A54" w:rsidRDefault="0030674E" w:rsidP="00EF4E46">
            <w:pPr>
              <w:pStyle w:val="TableBodyText"/>
              <w:ind w:right="0"/>
              <w:rPr>
                <w:i/>
              </w:rPr>
            </w:pPr>
            <w:r>
              <w:rPr>
                <w:rFonts w:cs="Arial"/>
                <w:color w:val="000000"/>
              </w:rPr>
              <w:t>-1.1</w:t>
            </w:r>
          </w:p>
        </w:tc>
        <w:tc>
          <w:tcPr>
            <w:tcW w:w="162" w:type="pct"/>
            <w:vAlign w:val="center"/>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Default="005A3A54" w:rsidP="00EF4E46">
            <w:pPr>
              <w:pStyle w:val="TableBodyText"/>
              <w:ind w:left="57"/>
              <w:jc w:val="left"/>
              <w:rPr>
                <w:szCs w:val="24"/>
              </w:rPr>
            </w:pPr>
            <w:r>
              <w:t>Literacy and numeracy</w:t>
            </w:r>
          </w:p>
        </w:tc>
        <w:tc>
          <w:tcPr>
            <w:tcW w:w="565" w:type="pct"/>
            <w:vAlign w:val="center"/>
          </w:tcPr>
          <w:p w:rsidR="005A3A54" w:rsidRDefault="005A3A54" w:rsidP="00EF4E46">
            <w:pPr>
              <w:pStyle w:val="TableBodyText"/>
              <w:ind w:right="0"/>
              <w:rPr>
                <w:i/>
              </w:rPr>
            </w:pPr>
            <w:r>
              <w:rPr>
                <w:rFonts w:cs="Arial"/>
                <w:color w:val="000000"/>
              </w:rPr>
              <w:t>-</w:t>
            </w:r>
          </w:p>
        </w:tc>
        <w:tc>
          <w:tcPr>
            <w:tcW w:w="242" w:type="pct"/>
            <w:vAlign w:val="center"/>
          </w:tcPr>
          <w:p w:rsidR="005A3A54" w:rsidRDefault="005A3A54" w:rsidP="00EF4E46">
            <w:pPr>
              <w:pStyle w:val="TableBodyText"/>
              <w:jc w:val="left"/>
              <w:rPr>
                <w:szCs w:val="24"/>
              </w:rPr>
            </w:pPr>
          </w:p>
        </w:tc>
        <w:tc>
          <w:tcPr>
            <w:tcW w:w="646" w:type="pct"/>
            <w:vAlign w:val="center"/>
          </w:tcPr>
          <w:p w:rsidR="005A3A54" w:rsidRDefault="0030674E" w:rsidP="00EF4E46">
            <w:pPr>
              <w:pStyle w:val="TableBodyText"/>
              <w:ind w:right="0"/>
              <w:rPr>
                <w:i/>
              </w:rPr>
            </w:pPr>
            <w:r>
              <w:rPr>
                <w:rFonts w:cs="Arial"/>
                <w:color w:val="000000"/>
              </w:rPr>
              <w:t>-0.3</w:t>
            </w:r>
          </w:p>
        </w:tc>
        <w:tc>
          <w:tcPr>
            <w:tcW w:w="177" w:type="pct"/>
            <w:vAlign w:val="center"/>
          </w:tcPr>
          <w:p w:rsidR="005A3A54" w:rsidRPr="00873003" w:rsidRDefault="005A3A54" w:rsidP="00873003">
            <w:pPr>
              <w:pStyle w:val="TableBodyText"/>
              <w:ind w:right="0"/>
              <w:jc w:val="left"/>
              <w:rPr>
                <w:rFonts w:cs="Arial"/>
                <w:i/>
                <w:iCs/>
                <w:color w:val="000000"/>
              </w:rPr>
            </w:pPr>
          </w:p>
        </w:tc>
        <w:tc>
          <w:tcPr>
            <w:tcW w:w="229" w:type="pct"/>
            <w:vAlign w:val="center"/>
          </w:tcPr>
          <w:p w:rsidR="005A3A54" w:rsidRDefault="005A3A54" w:rsidP="00BA28EF">
            <w:pPr>
              <w:pStyle w:val="TableBodyText"/>
            </w:pPr>
          </w:p>
        </w:tc>
        <w:tc>
          <w:tcPr>
            <w:tcW w:w="480" w:type="pct"/>
            <w:vAlign w:val="center"/>
          </w:tcPr>
          <w:p w:rsidR="005A3A54" w:rsidRDefault="005A3A54" w:rsidP="00EF4E46">
            <w:pPr>
              <w:pStyle w:val="TableBodyText"/>
              <w:ind w:right="0"/>
              <w:rPr>
                <w:i/>
              </w:rPr>
            </w:pPr>
            <w:r>
              <w:rPr>
                <w:rFonts w:cs="Arial"/>
                <w:color w:val="000000"/>
              </w:rPr>
              <w:t>-</w:t>
            </w:r>
          </w:p>
        </w:tc>
        <w:tc>
          <w:tcPr>
            <w:tcW w:w="269" w:type="pct"/>
            <w:vAlign w:val="center"/>
          </w:tcPr>
          <w:p w:rsidR="005A3A54" w:rsidRDefault="005A3A54" w:rsidP="00EF4E46">
            <w:pPr>
              <w:pStyle w:val="TableBodyText"/>
              <w:jc w:val="left"/>
              <w:rPr>
                <w:szCs w:val="24"/>
              </w:rPr>
            </w:pPr>
          </w:p>
        </w:tc>
        <w:tc>
          <w:tcPr>
            <w:tcW w:w="618" w:type="pct"/>
            <w:vAlign w:val="center"/>
          </w:tcPr>
          <w:p w:rsidR="005A3A54" w:rsidRDefault="0030674E" w:rsidP="00EF4E46">
            <w:pPr>
              <w:pStyle w:val="TableBodyText"/>
              <w:ind w:right="0"/>
              <w:rPr>
                <w:i/>
              </w:rPr>
            </w:pPr>
            <w:r>
              <w:rPr>
                <w:rFonts w:cs="Arial"/>
                <w:color w:val="000000"/>
              </w:rPr>
              <w:t>-0.1</w:t>
            </w:r>
          </w:p>
        </w:tc>
        <w:tc>
          <w:tcPr>
            <w:tcW w:w="162" w:type="pct"/>
            <w:vAlign w:val="center"/>
          </w:tcPr>
          <w:p w:rsidR="005A3A54" w:rsidRPr="00873003" w:rsidRDefault="005A3A54" w:rsidP="00873003">
            <w:pPr>
              <w:pStyle w:val="TableBodyText"/>
              <w:ind w:right="0"/>
              <w:jc w:val="left"/>
              <w:rPr>
                <w:rFonts w:cs="Arial"/>
                <w:i/>
                <w:iCs/>
                <w:color w:val="000000"/>
              </w:rPr>
            </w:pPr>
          </w:p>
        </w:tc>
      </w:tr>
      <w:tr w:rsidR="005A3A54" w:rsidTr="00873003">
        <w:tc>
          <w:tcPr>
            <w:tcW w:w="2419" w:type="pct"/>
            <w:gridSpan w:val="3"/>
          </w:tcPr>
          <w:p w:rsidR="005A3A54" w:rsidRPr="00EF4E46" w:rsidRDefault="005A3A54" w:rsidP="007C357E">
            <w:pPr>
              <w:pStyle w:val="TableUnitsRow"/>
              <w:jc w:val="left"/>
              <w:rPr>
                <w:i/>
              </w:rPr>
            </w:pPr>
            <w:r w:rsidRPr="00EF4E46">
              <w:rPr>
                <w:i/>
              </w:rPr>
              <w:t xml:space="preserve">Probability of </w:t>
            </w:r>
            <w:r w:rsidR="003B5EF3">
              <w:rPr>
                <w:i/>
              </w:rPr>
              <w:t xml:space="preserve">being </w:t>
            </w:r>
            <w:proofErr w:type="spellStart"/>
            <w:r w:rsidR="007C357E">
              <w:rPr>
                <w:i/>
              </w:rPr>
              <w:t>NILF</w:t>
            </w:r>
            <w:proofErr w:type="spellEnd"/>
          </w:p>
        </w:tc>
        <w:tc>
          <w:tcPr>
            <w:tcW w:w="646" w:type="pct"/>
          </w:tcPr>
          <w:p w:rsidR="005A3A54" w:rsidRDefault="005A3A54" w:rsidP="00EF4E46">
            <w:pPr>
              <w:pStyle w:val="TableBodyText"/>
              <w:ind w:right="0"/>
              <w:rPr>
                <w:szCs w:val="24"/>
              </w:rPr>
            </w:pPr>
          </w:p>
        </w:tc>
        <w:tc>
          <w:tcPr>
            <w:tcW w:w="177" w:type="pct"/>
          </w:tcPr>
          <w:p w:rsidR="005A3A54" w:rsidRPr="00873003" w:rsidRDefault="005A3A54" w:rsidP="00873003">
            <w:pPr>
              <w:pStyle w:val="TableBodyText"/>
              <w:ind w:right="0"/>
              <w:jc w:val="left"/>
              <w:rPr>
                <w:rFonts w:cs="Arial"/>
                <w:i/>
                <w:iCs/>
                <w:color w:val="000000"/>
              </w:rPr>
            </w:pPr>
          </w:p>
        </w:tc>
        <w:tc>
          <w:tcPr>
            <w:tcW w:w="229" w:type="pct"/>
          </w:tcPr>
          <w:p w:rsidR="005A3A54" w:rsidRDefault="005A3A54" w:rsidP="00CB7420">
            <w:pPr>
              <w:pStyle w:val="TableBodyText"/>
            </w:pPr>
          </w:p>
        </w:tc>
        <w:tc>
          <w:tcPr>
            <w:tcW w:w="480" w:type="pct"/>
          </w:tcPr>
          <w:p w:rsidR="005A3A54" w:rsidRDefault="005A3A54" w:rsidP="00EF4E46">
            <w:pPr>
              <w:pStyle w:val="TableBodyText"/>
              <w:ind w:right="0"/>
              <w:rPr>
                <w:szCs w:val="24"/>
              </w:rPr>
            </w:pPr>
          </w:p>
        </w:tc>
        <w:tc>
          <w:tcPr>
            <w:tcW w:w="269" w:type="pct"/>
          </w:tcPr>
          <w:p w:rsidR="005A3A54" w:rsidRDefault="005A3A54" w:rsidP="00EF4E46">
            <w:pPr>
              <w:pStyle w:val="TableBodyText"/>
              <w:jc w:val="left"/>
              <w:rPr>
                <w:szCs w:val="24"/>
              </w:rPr>
            </w:pPr>
          </w:p>
        </w:tc>
        <w:tc>
          <w:tcPr>
            <w:tcW w:w="618" w:type="pct"/>
          </w:tcPr>
          <w:p w:rsidR="005A3A54" w:rsidRDefault="005A3A54" w:rsidP="00EF4E46">
            <w:pPr>
              <w:pStyle w:val="TableBodyText"/>
              <w:ind w:right="0"/>
              <w:rPr>
                <w:szCs w:val="24"/>
              </w:rPr>
            </w:pPr>
          </w:p>
        </w:tc>
        <w:tc>
          <w:tcPr>
            <w:tcW w:w="162" w:type="pct"/>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Pr="00BA28EF" w:rsidRDefault="00416DA3" w:rsidP="00EF4E46">
            <w:pPr>
              <w:pStyle w:val="TableBodyText"/>
              <w:ind w:left="57"/>
              <w:jc w:val="left"/>
              <w:rPr>
                <w:szCs w:val="24"/>
              </w:rPr>
            </w:pPr>
            <w:r>
              <w:t>Year 12</w:t>
            </w:r>
          </w:p>
        </w:tc>
        <w:tc>
          <w:tcPr>
            <w:tcW w:w="565" w:type="pct"/>
            <w:vAlign w:val="center"/>
          </w:tcPr>
          <w:p w:rsidR="005A3A54" w:rsidRDefault="0030674E" w:rsidP="00EF4E46">
            <w:pPr>
              <w:pStyle w:val="TableBodyText"/>
              <w:ind w:right="0"/>
              <w:rPr>
                <w:i/>
              </w:rPr>
            </w:pPr>
            <w:r>
              <w:rPr>
                <w:rFonts w:cs="Arial"/>
                <w:color w:val="000000"/>
              </w:rPr>
              <w:t>-2.8</w:t>
            </w:r>
          </w:p>
        </w:tc>
        <w:tc>
          <w:tcPr>
            <w:tcW w:w="242" w:type="pct"/>
            <w:vAlign w:val="center"/>
          </w:tcPr>
          <w:p w:rsidR="005A3A54" w:rsidRDefault="005A3A54" w:rsidP="00EF4E46">
            <w:pPr>
              <w:pStyle w:val="TableBodyText"/>
              <w:jc w:val="left"/>
              <w:rPr>
                <w:i/>
              </w:rPr>
            </w:pPr>
          </w:p>
        </w:tc>
        <w:tc>
          <w:tcPr>
            <w:tcW w:w="646" w:type="pct"/>
            <w:vAlign w:val="center"/>
          </w:tcPr>
          <w:p w:rsidR="005A3A54" w:rsidRDefault="0030674E" w:rsidP="00EF4E46">
            <w:pPr>
              <w:pStyle w:val="TableBodyText"/>
              <w:ind w:right="0"/>
              <w:rPr>
                <w:i/>
              </w:rPr>
            </w:pPr>
            <w:r>
              <w:rPr>
                <w:rFonts w:cs="Arial"/>
                <w:color w:val="000000"/>
              </w:rPr>
              <w:t>-0.5</w:t>
            </w:r>
          </w:p>
        </w:tc>
        <w:tc>
          <w:tcPr>
            <w:tcW w:w="177" w:type="pct"/>
            <w:vAlign w:val="center"/>
          </w:tcPr>
          <w:p w:rsidR="005A3A54" w:rsidRPr="00873003" w:rsidRDefault="005A3A54" w:rsidP="00873003">
            <w:pPr>
              <w:pStyle w:val="TableBodyText"/>
              <w:ind w:right="0"/>
              <w:jc w:val="left"/>
              <w:rPr>
                <w:rFonts w:cs="Arial"/>
                <w:i/>
                <w:iCs/>
                <w:color w:val="000000"/>
              </w:rPr>
            </w:pP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-4.5</w:t>
            </w:r>
          </w:p>
        </w:tc>
        <w:tc>
          <w:tcPr>
            <w:tcW w:w="269" w:type="pct"/>
            <w:vAlign w:val="center"/>
          </w:tcPr>
          <w:p w:rsidR="005A3A54" w:rsidRDefault="008C477D" w:rsidP="00EF4E46">
            <w:pPr>
              <w:pStyle w:val="TableBodyText"/>
              <w:jc w:val="left"/>
              <w:rPr>
                <w:szCs w:val="24"/>
              </w:rPr>
            </w:pPr>
            <w:r>
              <w:rPr>
                <w:szCs w:val="24"/>
              </w:rPr>
              <w:t>*</w:t>
            </w:r>
          </w:p>
        </w:tc>
        <w:tc>
          <w:tcPr>
            <w:tcW w:w="618" w:type="pct"/>
            <w:vAlign w:val="center"/>
          </w:tcPr>
          <w:p w:rsidR="005A3A54" w:rsidRDefault="0030674E" w:rsidP="00EF4E46">
            <w:pPr>
              <w:pStyle w:val="TableBodyText"/>
              <w:ind w:right="0"/>
              <w:rPr>
                <w:i/>
              </w:rPr>
            </w:pPr>
            <w:r>
              <w:rPr>
                <w:rFonts w:cs="Arial"/>
                <w:color w:val="000000"/>
              </w:rPr>
              <w:t>-2.2</w:t>
            </w:r>
          </w:p>
        </w:tc>
        <w:tc>
          <w:tcPr>
            <w:tcW w:w="162" w:type="pct"/>
            <w:vAlign w:val="center"/>
          </w:tcPr>
          <w:p w:rsidR="005A3A54" w:rsidRPr="00873003" w:rsidRDefault="005A3A54" w:rsidP="00873003">
            <w:pPr>
              <w:pStyle w:val="TableBodyText"/>
              <w:ind w:right="0"/>
              <w:jc w:val="left"/>
              <w:rPr>
                <w:rFonts w:cs="Arial"/>
                <w:i/>
                <w:iCs/>
                <w:color w:val="000000"/>
              </w:rPr>
            </w:pPr>
          </w:p>
        </w:tc>
      </w:tr>
      <w:tr w:rsidR="005A3A54" w:rsidTr="00873003">
        <w:tc>
          <w:tcPr>
            <w:tcW w:w="1612" w:type="pct"/>
          </w:tcPr>
          <w:p w:rsidR="005A3A54" w:rsidRPr="00BA28EF" w:rsidRDefault="005A3A54" w:rsidP="00EF4E46">
            <w:pPr>
              <w:pStyle w:val="TableBodyText"/>
              <w:ind w:left="57"/>
              <w:jc w:val="left"/>
              <w:rPr>
                <w:szCs w:val="24"/>
              </w:rPr>
            </w:pPr>
            <w:r w:rsidRPr="00BA28EF">
              <w:t>Diploma or Certificate</w:t>
            </w:r>
          </w:p>
        </w:tc>
        <w:tc>
          <w:tcPr>
            <w:tcW w:w="565" w:type="pct"/>
            <w:vAlign w:val="center"/>
          </w:tcPr>
          <w:p w:rsidR="005A3A54" w:rsidRDefault="0030674E" w:rsidP="00EF4E46">
            <w:pPr>
              <w:pStyle w:val="TableBodyText"/>
              <w:ind w:right="0"/>
              <w:rPr>
                <w:i/>
              </w:rPr>
            </w:pPr>
            <w:r>
              <w:rPr>
                <w:rFonts w:cs="Arial"/>
                <w:color w:val="000000"/>
              </w:rPr>
              <w:t>-7.0</w:t>
            </w:r>
          </w:p>
        </w:tc>
        <w:tc>
          <w:tcPr>
            <w:tcW w:w="242" w:type="pct"/>
            <w:vAlign w:val="center"/>
          </w:tcPr>
          <w:p w:rsidR="005A3A54" w:rsidRDefault="005A3A54" w:rsidP="00EF4E46">
            <w:pPr>
              <w:pStyle w:val="TableBodyText"/>
              <w:jc w:val="left"/>
              <w:rPr>
                <w:i/>
              </w:rPr>
            </w:pPr>
            <w:r>
              <w:rPr>
                <w:rFonts w:cs="Arial"/>
                <w:i/>
                <w:iCs/>
                <w:color w:val="000000"/>
              </w:rPr>
              <w:t>***</w:t>
            </w:r>
          </w:p>
        </w:tc>
        <w:tc>
          <w:tcPr>
            <w:tcW w:w="646" w:type="pct"/>
            <w:vAlign w:val="center"/>
          </w:tcPr>
          <w:p w:rsidR="005A3A54" w:rsidRDefault="0030674E" w:rsidP="00EF4E46">
            <w:pPr>
              <w:pStyle w:val="TableBodyText"/>
              <w:ind w:right="0"/>
              <w:rPr>
                <w:i/>
              </w:rPr>
            </w:pPr>
            <w:r>
              <w:rPr>
                <w:rFonts w:cs="Arial"/>
                <w:color w:val="000000"/>
              </w:rPr>
              <w:t>-5.2</w:t>
            </w:r>
          </w:p>
        </w:tc>
        <w:tc>
          <w:tcPr>
            <w:tcW w:w="177"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-13.7</w:t>
            </w:r>
          </w:p>
        </w:tc>
        <w:tc>
          <w:tcPr>
            <w:tcW w:w="269" w:type="pct"/>
            <w:vAlign w:val="center"/>
          </w:tcPr>
          <w:p w:rsidR="005A3A54" w:rsidRDefault="005A3A54" w:rsidP="00EF4E46">
            <w:pPr>
              <w:pStyle w:val="TableBodyText"/>
              <w:jc w:val="left"/>
              <w:rPr>
                <w:i/>
              </w:rPr>
            </w:pPr>
            <w:r>
              <w:rPr>
                <w:rFonts w:cs="Arial"/>
                <w:i/>
                <w:iCs/>
                <w:color w:val="000000"/>
              </w:rPr>
              <w:t>***</w:t>
            </w:r>
          </w:p>
        </w:tc>
        <w:tc>
          <w:tcPr>
            <w:tcW w:w="618" w:type="pct"/>
            <w:vAlign w:val="center"/>
          </w:tcPr>
          <w:p w:rsidR="005A3A54" w:rsidRDefault="0030674E" w:rsidP="00EF4E46">
            <w:pPr>
              <w:pStyle w:val="TableBodyText"/>
              <w:ind w:right="0"/>
              <w:rPr>
                <w:i/>
              </w:rPr>
            </w:pPr>
            <w:r>
              <w:rPr>
                <w:rFonts w:cs="Arial"/>
                <w:color w:val="000000"/>
              </w:rPr>
              <w:t>-10.7</w:t>
            </w:r>
          </w:p>
        </w:tc>
        <w:tc>
          <w:tcPr>
            <w:tcW w:w="162"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r>
      <w:tr w:rsidR="005A3A54" w:rsidTr="00873003">
        <w:tc>
          <w:tcPr>
            <w:tcW w:w="1612" w:type="pct"/>
          </w:tcPr>
          <w:p w:rsidR="005A3A54" w:rsidRPr="00BA28EF" w:rsidRDefault="00416DA3" w:rsidP="00EF4E46">
            <w:pPr>
              <w:pStyle w:val="TableBodyText"/>
              <w:ind w:left="57"/>
              <w:jc w:val="left"/>
              <w:rPr>
                <w:szCs w:val="24"/>
              </w:rPr>
            </w:pPr>
            <w:r>
              <w:t>Degree</w:t>
            </w:r>
          </w:p>
        </w:tc>
        <w:tc>
          <w:tcPr>
            <w:tcW w:w="565" w:type="pct"/>
            <w:vAlign w:val="center"/>
          </w:tcPr>
          <w:p w:rsidR="005A3A54" w:rsidRDefault="0030674E" w:rsidP="00EF4E46">
            <w:pPr>
              <w:pStyle w:val="TableBodyText"/>
              <w:ind w:right="0"/>
              <w:rPr>
                <w:i/>
              </w:rPr>
            </w:pPr>
            <w:r>
              <w:rPr>
                <w:rFonts w:cs="Arial"/>
                <w:color w:val="000000"/>
              </w:rPr>
              <w:t>-6.7</w:t>
            </w:r>
          </w:p>
        </w:tc>
        <w:tc>
          <w:tcPr>
            <w:tcW w:w="242" w:type="pct"/>
            <w:vAlign w:val="center"/>
          </w:tcPr>
          <w:p w:rsidR="005A3A54" w:rsidRDefault="005A3A54" w:rsidP="00EF4E46">
            <w:pPr>
              <w:pStyle w:val="TableBodyText"/>
              <w:jc w:val="left"/>
              <w:rPr>
                <w:i/>
              </w:rPr>
            </w:pPr>
            <w:r>
              <w:rPr>
                <w:rFonts w:cs="Arial"/>
                <w:i/>
                <w:iCs/>
                <w:color w:val="000000"/>
              </w:rPr>
              <w:t>***</w:t>
            </w:r>
          </w:p>
        </w:tc>
        <w:tc>
          <w:tcPr>
            <w:tcW w:w="646" w:type="pct"/>
            <w:vAlign w:val="center"/>
          </w:tcPr>
          <w:p w:rsidR="005A3A54" w:rsidRDefault="005A3A54" w:rsidP="00EF4E46">
            <w:pPr>
              <w:pStyle w:val="TableBodyText"/>
              <w:ind w:right="0"/>
              <w:rPr>
                <w:i/>
              </w:rPr>
            </w:pPr>
            <w:r>
              <w:rPr>
                <w:rFonts w:cs="Arial"/>
                <w:color w:val="000000"/>
              </w:rPr>
              <w:t>-3.4</w:t>
            </w:r>
          </w:p>
        </w:tc>
        <w:tc>
          <w:tcPr>
            <w:tcW w:w="177" w:type="pct"/>
            <w:vAlign w:val="center"/>
          </w:tcPr>
          <w:p w:rsidR="005A3A54" w:rsidRPr="00873003" w:rsidRDefault="008C477D" w:rsidP="00873003">
            <w:pPr>
              <w:pStyle w:val="TableBodyText"/>
              <w:ind w:right="0"/>
              <w:jc w:val="left"/>
              <w:rPr>
                <w:rFonts w:cs="Arial"/>
                <w:i/>
                <w:iCs/>
                <w:color w:val="000000"/>
              </w:rPr>
            </w:pPr>
            <w:r w:rsidRPr="00873003">
              <w:rPr>
                <w:rFonts w:cs="Arial"/>
                <w:i/>
                <w:iCs/>
                <w:color w:val="000000"/>
              </w:rPr>
              <w:t>*</w:t>
            </w:r>
          </w:p>
        </w:tc>
        <w:tc>
          <w:tcPr>
            <w:tcW w:w="229" w:type="pct"/>
            <w:vAlign w:val="center"/>
          </w:tcPr>
          <w:p w:rsidR="005A3A54" w:rsidRDefault="005A3A54" w:rsidP="00BA28EF">
            <w:pPr>
              <w:pStyle w:val="TableBodyText"/>
            </w:pPr>
          </w:p>
        </w:tc>
        <w:tc>
          <w:tcPr>
            <w:tcW w:w="480" w:type="pct"/>
            <w:vAlign w:val="center"/>
          </w:tcPr>
          <w:p w:rsidR="005A3A54" w:rsidRDefault="0030674E" w:rsidP="00EF4E46">
            <w:pPr>
              <w:pStyle w:val="TableBodyText"/>
              <w:ind w:right="0"/>
              <w:rPr>
                <w:i/>
              </w:rPr>
            </w:pPr>
            <w:r>
              <w:rPr>
                <w:rFonts w:cs="Arial"/>
                <w:color w:val="000000"/>
              </w:rPr>
              <w:t>-18.5</w:t>
            </w:r>
          </w:p>
        </w:tc>
        <w:tc>
          <w:tcPr>
            <w:tcW w:w="269" w:type="pct"/>
            <w:vAlign w:val="center"/>
          </w:tcPr>
          <w:p w:rsidR="005A3A54" w:rsidRDefault="005A3A54" w:rsidP="00EF4E46">
            <w:pPr>
              <w:pStyle w:val="TableBodyText"/>
              <w:jc w:val="left"/>
              <w:rPr>
                <w:i/>
              </w:rPr>
            </w:pPr>
            <w:r>
              <w:rPr>
                <w:rFonts w:cs="Arial"/>
                <w:i/>
                <w:iCs/>
                <w:color w:val="000000"/>
              </w:rPr>
              <w:t>***</w:t>
            </w:r>
          </w:p>
        </w:tc>
        <w:tc>
          <w:tcPr>
            <w:tcW w:w="618" w:type="pct"/>
            <w:vAlign w:val="center"/>
          </w:tcPr>
          <w:p w:rsidR="005A3A54" w:rsidRDefault="0030674E" w:rsidP="00EF4E46">
            <w:pPr>
              <w:pStyle w:val="TableBodyText"/>
              <w:ind w:right="0"/>
              <w:rPr>
                <w:i/>
              </w:rPr>
            </w:pPr>
            <w:r>
              <w:rPr>
                <w:rFonts w:cs="Arial"/>
                <w:color w:val="000000"/>
              </w:rPr>
              <w:t>-13.2</w:t>
            </w:r>
          </w:p>
        </w:tc>
        <w:tc>
          <w:tcPr>
            <w:tcW w:w="162" w:type="pct"/>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r>
      <w:tr w:rsidR="005A3A54" w:rsidTr="00873003">
        <w:tc>
          <w:tcPr>
            <w:tcW w:w="1612" w:type="pct"/>
            <w:tcBorders>
              <w:bottom w:val="single" w:sz="4" w:space="0" w:color="auto"/>
            </w:tcBorders>
          </w:tcPr>
          <w:p w:rsidR="005A3A54" w:rsidRPr="00BA28EF" w:rsidRDefault="005A3A54" w:rsidP="00EF4E46">
            <w:pPr>
              <w:pStyle w:val="TableBodyText"/>
              <w:ind w:left="57"/>
              <w:jc w:val="left"/>
              <w:rPr>
                <w:szCs w:val="24"/>
              </w:rPr>
            </w:pPr>
            <w:r w:rsidRPr="00BA28EF">
              <w:t>Literacy and numeracy</w:t>
            </w:r>
          </w:p>
        </w:tc>
        <w:tc>
          <w:tcPr>
            <w:tcW w:w="565" w:type="pct"/>
            <w:tcBorders>
              <w:bottom w:val="single" w:sz="4" w:space="0" w:color="auto"/>
            </w:tcBorders>
            <w:vAlign w:val="center"/>
          </w:tcPr>
          <w:p w:rsidR="005A3A54" w:rsidRDefault="005A3A54" w:rsidP="00EF4E46">
            <w:pPr>
              <w:pStyle w:val="TableBodyText"/>
              <w:ind w:right="0"/>
              <w:rPr>
                <w:i/>
              </w:rPr>
            </w:pPr>
            <w:r>
              <w:rPr>
                <w:rFonts w:cs="Arial"/>
                <w:color w:val="000000"/>
              </w:rPr>
              <w:t>-</w:t>
            </w:r>
          </w:p>
        </w:tc>
        <w:tc>
          <w:tcPr>
            <w:tcW w:w="242" w:type="pct"/>
            <w:tcBorders>
              <w:bottom w:val="single" w:sz="4" w:space="0" w:color="auto"/>
            </w:tcBorders>
            <w:vAlign w:val="center"/>
          </w:tcPr>
          <w:p w:rsidR="005A3A54" w:rsidRDefault="005A3A54" w:rsidP="00EF4E46">
            <w:pPr>
              <w:pStyle w:val="TableBodyText"/>
              <w:jc w:val="left"/>
              <w:rPr>
                <w:i/>
              </w:rPr>
            </w:pPr>
            <w:r>
              <w:rPr>
                <w:rFonts w:cs="Arial"/>
                <w:color w:val="000000"/>
              </w:rPr>
              <w:t> </w:t>
            </w:r>
          </w:p>
        </w:tc>
        <w:tc>
          <w:tcPr>
            <w:tcW w:w="646" w:type="pct"/>
            <w:tcBorders>
              <w:bottom w:val="single" w:sz="4" w:space="0" w:color="auto"/>
            </w:tcBorders>
            <w:vAlign w:val="center"/>
          </w:tcPr>
          <w:p w:rsidR="005A3A54" w:rsidRDefault="0030674E" w:rsidP="00EF4E46">
            <w:pPr>
              <w:pStyle w:val="TableBodyText"/>
              <w:ind w:right="0"/>
              <w:rPr>
                <w:i/>
              </w:rPr>
            </w:pPr>
            <w:r>
              <w:rPr>
                <w:rFonts w:cs="Arial"/>
                <w:color w:val="000000"/>
              </w:rPr>
              <w:t>-2.1</w:t>
            </w:r>
          </w:p>
        </w:tc>
        <w:tc>
          <w:tcPr>
            <w:tcW w:w="177" w:type="pct"/>
            <w:tcBorders>
              <w:bottom w:val="single" w:sz="4" w:space="0" w:color="auto"/>
            </w:tcBorders>
            <w:vAlign w:val="center"/>
          </w:tcPr>
          <w:p w:rsidR="005A3A54" w:rsidRPr="00873003" w:rsidRDefault="005A3A54" w:rsidP="00873003">
            <w:pPr>
              <w:pStyle w:val="TableBodyText"/>
              <w:ind w:right="0"/>
              <w:jc w:val="left"/>
              <w:rPr>
                <w:rFonts w:cs="Arial"/>
                <w:i/>
                <w:iCs/>
                <w:color w:val="000000"/>
              </w:rPr>
            </w:pPr>
            <w:r>
              <w:rPr>
                <w:rFonts w:cs="Arial"/>
                <w:i/>
                <w:iCs/>
                <w:color w:val="000000"/>
              </w:rPr>
              <w:t>*</w:t>
            </w:r>
            <w:r w:rsidR="008C477D">
              <w:rPr>
                <w:rFonts w:cs="Arial"/>
                <w:i/>
                <w:iCs/>
                <w:color w:val="000000"/>
              </w:rPr>
              <w:t>**</w:t>
            </w:r>
          </w:p>
        </w:tc>
        <w:tc>
          <w:tcPr>
            <w:tcW w:w="229" w:type="pct"/>
            <w:tcBorders>
              <w:bottom w:val="single" w:sz="4" w:space="0" w:color="auto"/>
            </w:tcBorders>
            <w:vAlign w:val="center"/>
          </w:tcPr>
          <w:p w:rsidR="005A3A54" w:rsidRDefault="005A3A54" w:rsidP="00BA28EF">
            <w:pPr>
              <w:pStyle w:val="TableBodyText"/>
            </w:pPr>
            <w:r>
              <w:rPr>
                <w:rFonts w:cs="Arial"/>
                <w:color w:val="000000"/>
              </w:rPr>
              <w:t> </w:t>
            </w:r>
          </w:p>
        </w:tc>
        <w:tc>
          <w:tcPr>
            <w:tcW w:w="480" w:type="pct"/>
            <w:tcBorders>
              <w:bottom w:val="single" w:sz="4" w:space="0" w:color="auto"/>
            </w:tcBorders>
            <w:vAlign w:val="center"/>
          </w:tcPr>
          <w:p w:rsidR="005A3A54" w:rsidRDefault="005A3A54" w:rsidP="00EF4E46">
            <w:pPr>
              <w:pStyle w:val="TableBodyText"/>
              <w:ind w:right="0"/>
              <w:rPr>
                <w:i/>
              </w:rPr>
            </w:pPr>
            <w:r>
              <w:rPr>
                <w:rFonts w:cs="Arial"/>
                <w:color w:val="000000"/>
              </w:rPr>
              <w:t>-</w:t>
            </w:r>
          </w:p>
        </w:tc>
        <w:tc>
          <w:tcPr>
            <w:tcW w:w="269" w:type="pct"/>
            <w:tcBorders>
              <w:bottom w:val="single" w:sz="4" w:space="0" w:color="auto"/>
            </w:tcBorders>
            <w:vAlign w:val="center"/>
          </w:tcPr>
          <w:p w:rsidR="005A3A54" w:rsidRDefault="005A3A54" w:rsidP="00EF4E46">
            <w:pPr>
              <w:pStyle w:val="TableBodyText"/>
              <w:jc w:val="left"/>
              <w:rPr>
                <w:szCs w:val="24"/>
              </w:rPr>
            </w:pPr>
          </w:p>
        </w:tc>
        <w:tc>
          <w:tcPr>
            <w:tcW w:w="618" w:type="pct"/>
            <w:tcBorders>
              <w:bottom w:val="single" w:sz="4" w:space="0" w:color="auto"/>
            </w:tcBorders>
            <w:vAlign w:val="center"/>
          </w:tcPr>
          <w:p w:rsidR="005A3A54" w:rsidRDefault="0030674E" w:rsidP="00EF4E46">
            <w:pPr>
              <w:pStyle w:val="TableBodyText"/>
              <w:ind w:right="0"/>
              <w:rPr>
                <w:i/>
              </w:rPr>
            </w:pPr>
            <w:r>
              <w:rPr>
                <w:rFonts w:cs="Arial"/>
                <w:color w:val="000000"/>
              </w:rPr>
              <w:t>-4.2</w:t>
            </w:r>
          </w:p>
        </w:tc>
        <w:tc>
          <w:tcPr>
            <w:tcW w:w="162" w:type="pct"/>
            <w:tcBorders>
              <w:bottom w:val="single" w:sz="4" w:space="0" w:color="auto"/>
            </w:tcBorders>
            <w:vAlign w:val="center"/>
          </w:tcPr>
          <w:p w:rsidR="005A3A54" w:rsidRPr="00873003" w:rsidRDefault="005A3A54" w:rsidP="00873003">
            <w:pPr>
              <w:pStyle w:val="TableBodyText"/>
              <w:ind w:right="0"/>
              <w:jc w:val="left"/>
              <w:rPr>
                <w:rFonts w:cs="Arial"/>
                <w:i/>
                <w:iCs/>
                <w:color w:val="000000"/>
              </w:rPr>
            </w:pPr>
            <w:r>
              <w:rPr>
                <w:rFonts w:cs="Arial"/>
                <w:i/>
                <w:iCs/>
                <w:color w:val="000000"/>
              </w:rPr>
              <w:t>***</w:t>
            </w:r>
          </w:p>
        </w:tc>
      </w:tr>
    </w:tbl>
    <w:p w:rsidR="00D87D12" w:rsidRDefault="00D87D12" w:rsidP="00D87D12">
      <w:pPr>
        <w:pStyle w:val="Note"/>
      </w:pPr>
      <w:r w:rsidRPr="00026E90">
        <w:rPr>
          <w:rStyle w:val="NoteLabel"/>
        </w:rPr>
        <w:t>a</w:t>
      </w:r>
      <w:r>
        <w:t xml:space="preserve"> Marginal effects are estimates of the </w:t>
      </w:r>
      <w:r w:rsidR="006404D4">
        <w:t xml:space="preserve">change </w:t>
      </w:r>
      <w:r>
        <w:t xml:space="preserve">in </w:t>
      </w:r>
      <w:r w:rsidR="00E81CBA">
        <w:t xml:space="preserve">the expected probability (percentage points) </w:t>
      </w:r>
      <w:r>
        <w:t xml:space="preserve">of </w:t>
      </w:r>
      <w:r w:rsidR="00CD6F74">
        <w:t xml:space="preserve">a particular labour force status </w:t>
      </w:r>
      <w:r w:rsidR="00E81CBA">
        <w:t xml:space="preserve">associated with </w:t>
      </w:r>
      <w:r w:rsidR="0007754D">
        <w:t xml:space="preserve">either a </w:t>
      </w:r>
      <w:r w:rsidR="006404D4">
        <w:t>change</w:t>
      </w:r>
      <w:r w:rsidR="00E81CBA">
        <w:t xml:space="preserve"> in level of educational attainment</w:t>
      </w:r>
      <w:r w:rsidR="006404D4">
        <w:t xml:space="preserve"> (relative to having Year 11 or lower education)</w:t>
      </w:r>
      <w:r w:rsidR="0007754D">
        <w:t xml:space="preserve">, or a 50 point </w:t>
      </w:r>
      <w:r w:rsidR="006404D4">
        <w:t>change</w:t>
      </w:r>
      <w:r w:rsidR="0007754D">
        <w:t xml:space="preserve"> in </w:t>
      </w:r>
      <w:r w:rsidR="006404D4">
        <w:t xml:space="preserve">average </w:t>
      </w:r>
      <w:r w:rsidR="0007754D">
        <w:t xml:space="preserve">literacy and numeracy </w:t>
      </w:r>
      <w:r w:rsidR="006404D4">
        <w:t>test scores</w:t>
      </w:r>
      <w:r>
        <w:t>.</w:t>
      </w:r>
      <w:r w:rsidR="009A2262">
        <w:t xml:space="preserve"> Model 1 (without literacy and numeracy) and model 2 (with literacy and numeracy) are described above. </w:t>
      </w:r>
      <w:r w:rsidR="008A0703">
        <w:t xml:space="preserve"> </w:t>
      </w:r>
    </w:p>
    <w:p w:rsidR="00D87D12" w:rsidRDefault="00D87D12" w:rsidP="00D87D12">
      <w:pPr>
        <w:pStyle w:val="Note"/>
      </w:pPr>
      <w:r>
        <w:t>*** significant at 1 per cent, ** 5 per cent and * 10 per cent.</w:t>
      </w:r>
    </w:p>
    <w:p w:rsidR="00D87D12" w:rsidRDefault="00D87D12" w:rsidP="00D87D12">
      <w:pPr>
        <w:pStyle w:val="Source"/>
      </w:pPr>
      <w:r w:rsidRPr="00026E90">
        <w:rPr>
          <w:i/>
        </w:rPr>
        <w:t>Source</w:t>
      </w:r>
      <w:r>
        <w:t xml:space="preserve">: </w:t>
      </w:r>
      <w:r w:rsidR="00CB2B7B">
        <w:t xml:space="preserve">Appendix </w:t>
      </w:r>
      <w:r w:rsidR="0012513D">
        <w:t>C</w:t>
      </w:r>
      <w:r>
        <w:t>.</w:t>
      </w:r>
    </w:p>
    <w:p w:rsidR="00BE0C68" w:rsidRDefault="00EF4E46" w:rsidP="00EF4E46">
      <w:pPr>
        <w:pStyle w:val="BodyText"/>
      </w:pPr>
      <w:r>
        <w:t xml:space="preserve">Other factors that </w:t>
      </w:r>
      <w:r w:rsidR="00281F38">
        <w:t>might</w:t>
      </w:r>
      <w:r>
        <w:t xml:space="preserve"> affect the association between employment and literacy and numeracy skills were also considered (</w:t>
      </w:r>
      <w:r w:rsidR="007C357E">
        <w:t xml:space="preserve">results </w:t>
      </w:r>
      <w:r w:rsidR="00873003">
        <w:t xml:space="preserve">are </w:t>
      </w:r>
      <w:r w:rsidR="007C357E">
        <w:t xml:space="preserve">in </w:t>
      </w:r>
      <w:r>
        <w:t>appendix</w:t>
      </w:r>
      <w:r w:rsidR="00522561">
        <w:t> </w:t>
      </w:r>
      <w:r>
        <w:t xml:space="preserve">C), including a person’s English speaking background. For women, being born in a non-English speaking country increased the likelihood of being unemployed (by </w:t>
      </w:r>
      <w:r w:rsidR="00CB5E36">
        <w:t>2.2</w:t>
      </w:r>
      <w:r>
        <w:t xml:space="preserve"> percentage points)</w:t>
      </w:r>
      <w:r w:rsidR="00CB5E36">
        <w:t xml:space="preserve">. </w:t>
      </w:r>
      <w:r w:rsidR="000D3086">
        <w:t>In model 1, t</w:t>
      </w:r>
      <w:r>
        <w:t>he probability of employment among women born in non</w:t>
      </w:r>
      <w:r w:rsidR="00522561">
        <w:noBreakHyphen/>
      </w:r>
      <w:r>
        <w:t xml:space="preserve">English speaking countries is about </w:t>
      </w:r>
      <w:r w:rsidR="00CB5E36">
        <w:t>8</w:t>
      </w:r>
      <w:r>
        <w:t xml:space="preserve"> percentage points lower than </w:t>
      </w:r>
      <w:r w:rsidR="005E34E5">
        <w:t xml:space="preserve">for </w:t>
      </w:r>
      <w:r>
        <w:t>women born in Australia. After taking into account literacy and numeracy differences</w:t>
      </w:r>
      <w:r w:rsidR="000D3086">
        <w:t xml:space="preserve"> in model 2</w:t>
      </w:r>
      <w:r>
        <w:t xml:space="preserve">, this </w:t>
      </w:r>
      <w:r w:rsidR="00A26A29">
        <w:t>is</w:t>
      </w:r>
      <w:r>
        <w:t xml:space="preserve"> reduced to </w:t>
      </w:r>
      <w:r w:rsidR="00CB5E36">
        <w:t>about 5</w:t>
      </w:r>
      <w:r>
        <w:t> percentage points.</w:t>
      </w:r>
      <w:r w:rsidR="00281F38">
        <w:rPr>
          <w:rStyle w:val="FootnoteReference"/>
        </w:rPr>
        <w:footnoteReference w:id="15"/>
      </w:r>
      <w:r>
        <w:t xml:space="preserve"> Therefore, factors other than literacy and numeracy skills </w:t>
      </w:r>
      <w:r w:rsidR="001864EC">
        <w:t xml:space="preserve">also contribute to reducing </w:t>
      </w:r>
      <w:r>
        <w:t xml:space="preserve">the employment </w:t>
      </w:r>
      <w:r w:rsidR="001864EC">
        <w:t xml:space="preserve">prospects </w:t>
      </w:r>
      <w:r>
        <w:t>of women from non</w:t>
      </w:r>
      <w:r w:rsidR="00522561">
        <w:noBreakHyphen/>
      </w:r>
      <w:r>
        <w:t>English speaking backgrounds.</w:t>
      </w:r>
      <w:r w:rsidR="0017150D">
        <w:t xml:space="preserve"> </w:t>
      </w:r>
    </w:p>
    <w:p w:rsidR="00EF4E46" w:rsidRPr="00EF4E46" w:rsidRDefault="0017150D" w:rsidP="00EF4E46">
      <w:pPr>
        <w:pStyle w:val="BodyText"/>
      </w:pPr>
      <w:r>
        <w:t>In the case of wages, Barrett (2012) suggested there could be differences in other unmeasured productive characteristics, or possibly discrimination</w:t>
      </w:r>
      <w:r w:rsidR="00E71B84">
        <w:t xml:space="preserve"> </w:t>
      </w:r>
      <w:r w:rsidR="009164AC">
        <w:t xml:space="preserve">against </w:t>
      </w:r>
      <w:r w:rsidR="00E71B84">
        <w:t>immigrants of a non</w:t>
      </w:r>
      <w:r w:rsidR="00522561">
        <w:noBreakHyphen/>
      </w:r>
      <w:r w:rsidR="00E71B84">
        <w:t>English speaking background</w:t>
      </w:r>
      <w:r>
        <w:t>.</w:t>
      </w:r>
    </w:p>
    <w:p w:rsidR="002014EE" w:rsidRDefault="00EE579A" w:rsidP="002014EE">
      <w:pPr>
        <w:pStyle w:val="Heading3"/>
      </w:pPr>
      <w:r>
        <w:lastRenderedPageBreak/>
        <w:t>Wages</w:t>
      </w:r>
    </w:p>
    <w:p w:rsidR="002014EE" w:rsidRDefault="002014EE" w:rsidP="006E3EF9">
      <w:pPr>
        <w:pStyle w:val="Heading4"/>
        <w:spacing w:before="240"/>
      </w:pPr>
      <w:r>
        <w:t xml:space="preserve">How important are literacy and numeracy skills for </w:t>
      </w:r>
      <w:r w:rsidR="00CB2B7B">
        <w:t>wages</w:t>
      </w:r>
      <w:r>
        <w:t>?</w:t>
      </w:r>
    </w:p>
    <w:p w:rsidR="002014EE" w:rsidRDefault="002C1D1F" w:rsidP="002014EE">
      <w:pPr>
        <w:pStyle w:val="BodyText"/>
      </w:pPr>
      <w:r>
        <w:t xml:space="preserve">As was the case </w:t>
      </w:r>
      <w:r w:rsidR="00EA1CA0">
        <w:t>in</w:t>
      </w:r>
      <w:r>
        <w:t xml:space="preserve"> the participation model, </w:t>
      </w:r>
      <w:r w:rsidR="00281F38">
        <w:t>an increase in</w:t>
      </w:r>
      <w:r>
        <w:t xml:space="preserve"> </w:t>
      </w:r>
      <w:r w:rsidR="00BE0C68">
        <w:t xml:space="preserve">adult </w:t>
      </w:r>
      <w:r w:rsidR="00CB2B7B">
        <w:t>literacy and numeracy</w:t>
      </w:r>
      <w:r>
        <w:t xml:space="preserve"> </w:t>
      </w:r>
      <w:r w:rsidR="0068298D">
        <w:t xml:space="preserve">is </w:t>
      </w:r>
      <w:r>
        <w:t xml:space="preserve">associated with higher wages. </w:t>
      </w:r>
      <w:r w:rsidR="004B0EB7">
        <w:t xml:space="preserve">The marginal effects </w:t>
      </w:r>
      <w:r w:rsidR="00CB2B7B">
        <w:t>of</w:t>
      </w:r>
      <w:r w:rsidR="004B0EB7">
        <w:t xml:space="preserve"> literacy and numeracy skills </w:t>
      </w:r>
      <w:r w:rsidR="0068298D">
        <w:t xml:space="preserve">are </w:t>
      </w:r>
      <w:r w:rsidR="004B0EB7">
        <w:t xml:space="preserve">positive and statistically </w:t>
      </w:r>
      <w:r w:rsidR="00CB2B7B">
        <w:t>different from zero</w:t>
      </w:r>
      <w:r w:rsidR="00281F38">
        <w:t xml:space="preserve"> (figure</w:t>
      </w:r>
      <w:r w:rsidR="00522561">
        <w:t> </w:t>
      </w:r>
      <w:r w:rsidR="00281F38">
        <w:t>3.3</w:t>
      </w:r>
      <w:r w:rsidR="004B0EB7">
        <w:t xml:space="preserve">). </w:t>
      </w:r>
      <w:r w:rsidR="00C001FF">
        <w:t>F</w:t>
      </w:r>
      <w:r w:rsidR="002014EE">
        <w:t>or a given level of educational attainment</w:t>
      </w:r>
      <w:r w:rsidR="00873003">
        <w:t>,</w:t>
      </w:r>
      <w:r w:rsidR="002014EE">
        <w:t xml:space="preserve"> and controlling for other factors, a</w:t>
      </w:r>
      <w:r w:rsidR="00BE0C68">
        <w:t xml:space="preserve"> 50-point </w:t>
      </w:r>
      <w:r w:rsidR="002014EE">
        <w:t xml:space="preserve">increase in average literacy and numeracy score is associated with </w:t>
      </w:r>
      <w:r w:rsidR="00C001FF">
        <w:t>an increase in wages of about 10 per cent</w:t>
      </w:r>
      <w:r w:rsidR="00515B9F">
        <w:t>, for</w:t>
      </w:r>
      <w:r w:rsidR="006D2700">
        <w:t xml:space="preserve"> both</w:t>
      </w:r>
      <w:r w:rsidR="00515B9F">
        <w:t xml:space="preserve"> men and women</w:t>
      </w:r>
      <w:r w:rsidR="002014EE">
        <w:t>.</w:t>
      </w:r>
      <w:r w:rsidR="00C001FF">
        <w:t xml:space="preserve"> </w:t>
      </w:r>
    </w:p>
    <w:p w:rsidR="007E6259" w:rsidRDefault="007E6259">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1B7E07">
        <w:rPr>
          <w:b w:val="0"/>
        </w:rPr>
        <w:t>3.</w:t>
      </w:r>
      <w:r>
        <w:rPr>
          <w:b w:val="0"/>
        </w:rPr>
        <w:fldChar w:fldCharType="end"/>
      </w:r>
      <w:r>
        <w:rPr>
          <w:b w:val="0"/>
        </w:rPr>
        <w:fldChar w:fldCharType="begin"/>
      </w:r>
      <w:r>
        <w:rPr>
          <w:b w:val="0"/>
        </w:rPr>
        <w:instrText xml:space="preserve"> SEQ Figure \* ARABIC </w:instrText>
      </w:r>
      <w:r>
        <w:rPr>
          <w:b w:val="0"/>
        </w:rPr>
        <w:fldChar w:fldCharType="separate"/>
      </w:r>
      <w:r w:rsidR="002319AD">
        <w:rPr>
          <w:b w:val="0"/>
          <w:noProof/>
        </w:rPr>
        <w:t>3</w:t>
      </w:r>
      <w:r>
        <w:rPr>
          <w:b w:val="0"/>
        </w:rPr>
        <w:fldChar w:fldCharType="end"/>
      </w:r>
      <w:r>
        <w:tab/>
        <w:t>Marginal effects for</w:t>
      </w:r>
      <w:r w:rsidR="00315325">
        <w:t xml:space="preserve"> skills and education in </w:t>
      </w:r>
      <w:r>
        <w:t>the wages model</w:t>
      </w:r>
      <w:r w:rsidR="00F53914" w:rsidRPr="00F53914">
        <w:rPr>
          <w:rStyle w:val="NoteLabel"/>
          <w:b/>
        </w:rPr>
        <w:t>a</w:t>
      </w:r>
    </w:p>
    <w:p w:rsidR="007E6259" w:rsidRDefault="0025672D">
      <w:pPr>
        <w:pStyle w:val="Subtitle"/>
      </w:pPr>
      <w:r>
        <w:t>Increase in</w:t>
      </w:r>
      <w:r w:rsidR="007E6259">
        <w:t xml:space="preserve"> wages, per cent</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7E6259" w:rsidTr="00B9590C">
        <w:tc>
          <w:tcPr>
            <w:tcW w:w="8777" w:type="dxa"/>
          </w:tcPr>
          <w:p w:rsidR="007E6259" w:rsidRDefault="00B9590C" w:rsidP="007E6259">
            <w:pPr>
              <w:pStyle w:val="Figure"/>
              <w:tabs>
                <w:tab w:val="left" w:pos="3029"/>
              </w:tabs>
              <w:jc w:val="left"/>
            </w:pPr>
            <w:r>
              <w:rPr>
                <w:noProof/>
              </w:rPr>
              <w:drawing>
                <wp:inline distT="0" distB="0" distL="0" distR="0" wp14:anchorId="58A65F2B" wp14:editId="019DEBE9">
                  <wp:extent cx="5459506" cy="3074895"/>
                  <wp:effectExtent l="0" t="0" r="8255" b="0"/>
                  <wp:docPr id="1" name="Chart 1" descr="Shows the marginal effects for an increase in wages associated with an increase in literacy and numeracy skills and educational attainment. Educational attainment includes Year 12, diploma/certificate and degree, relative to having Year 11 or lower education. Marginal effects are similar for men and women, and magnitudes for literacy and numeracy skills are similar to having Year 12 or diploma/certificate." title="Marginal effects for literacy and numeracy skills and education in the wages model"/>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53914" w:rsidRDefault="00F53914" w:rsidP="00F53914">
      <w:pPr>
        <w:pStyle w:val="Note"/>
      </w:pPr>
      <w:proofErr w:type="spellStart"/>
      <w:r w:rsidRPr="00F53914">
        <w:rPr>
          <w:rStyle w:val="NoteLabel"/>
        </w:rPr>
        <w:t>a</w:t>
      </w:r>
      <w:proofErr w:type="spellEnd"/>
      <w:r>
        <w:t xml:space="preserve"> </w:t>
      </w:r>
      <w:r w:rsidR="005E34E5">
        <w:t>Error b</w:t>
      </w:r>
      <w:r>
        <w:t>ars show the 95 per cent confidence interval</w:t>
      </w:r>
      <w:r w:rsidR="00B1401E">
        <w:t>s</w:t>
      </w:r>
      <w:r>
        <w:t xml:space="preserve"> for marginal effects.</w:t>
      </w:r>
    </w:p>
    <w:p w:rsidR="007E6259" w:rsidRDefault="007E6259">
      <w:pPr>
        <w:pStyle w:val="Source"/>
      </w:pPr>
      <w:r>
        <w:rPr>
          <w:i/>
        </w:rPr>
        <w:t>Source</w:t>
      </w:r>
      <w:r w:rsidRPr="00167F06">
        <w:t xml:space="preserve">: </w:t>
      </w:r>
      <w:r w:rsidR="0012513D">
        <w:t>Appendix C</w:t>
      </w:r>
      <w:r>
        <w:t>.</w:t>
      </w:r>
    </w:p>
    <w:p w:rsidR="00473FEA" w:rsidRDefault="002014EE" w:rsidP="00913382">
      <w:pPr>
        <w:pStyle w:val="BodyText"/>
      </w:pPr>
      <w:r>
        <w:t xml:space="preserve">Marginal effects </w:t>
      </w:r>
      <w:r w:rsidR="003B5788">
        <w:t>of</w:t>
      </w:r>
      <w:r>
        <w:t xml:space="preserve"> educational attainment </w:t>
      </w:r>
      <w:r w:rsidR="0068298D">
        <w:t xml:space="preserve">are </w:t>
      </w:r>
      <w:r>
        <w:t xml:space="preserve">positive </w:t>
      </w:r>
      <w:r w:rsidR="00C001FF">
        <w:t>and similar for men and</w:t>
      </w:r>
      <w:r w:rsidR="003B5788">
        <w:t xml:space="preserve"> women</w:t>
      </w:r>
      <w:r>
        <w:t xml:space="preserve">. The results </w:t>
      </w:r>
      <w:r w:rsidR="00C001FF">
        <w:t xml:space="preserve">imply that </w:t>
      </w:r>
      <w:r w:rsidR="00CB7420">
        <w:t>the positive association between raising</w:t>
      </w:r>
      <w:r>
        <w:t xml:space="preserve"> literacy and numeracy skills </w:t>
      </w:r>
      <w:r w:rsidR="00C001FF">
        <w:t xml:space="preserve">by one skill level </w:t>
      </w:r>
      <w:r w:rsidR="00CB7420">
        <w:t>and wages is similar to that of</w:t>
      </w:r>
      <w:r>
        <w:t xml:space="preserve"> </w:t>
      </w:r>
      <w:r w:rsidR="00C001FF">
        <w:t>increasi</w:t>
      </w:r>
      <w:r w:rsidR="003B5788">
        <w:t>ng educational attainment from Year 11 to Y</w:t>
      </w:r>
      <w:r w:rsidR="00C001FF">
        <w:t xml:space="preserve">ear 12 or </w:t>
      </w:r>
      <w:r w:rsidR="00BE0C68">
        <w:t xml:space="preserve">to </w:t>
      </w:r>
      <w:r w:rsidR="00C001FF">
        <w:t>diploma/certificate</w:t>
      </w:r>
      <w:r>
        <w:t>.</w:t>
      </w:r>
    </w:p>
    <w:p w:rsidR="00C50A8A" w:rsidRDefault="00473FEA" w:rsidP="00913382">
      <w:pPr>
        <w:pStyle w:val="BodyText"/>
      </w:pPr>
      <w:r>
        <w:lastRenderedPageBreak/>
        <w:t>Results were similar to those of the OECD (</w:t>
      </w:r>
      <w:proofErr w:type="spellStart"/>
      <w:r>
        <w:t>2013</w:t>
      </w:r>
      <w:r w:rsidR="004831B3">
        <w:t>a</w:t>
      </w:r>
      <w:proofErr w:type="spellEnd"/>
      <w:r>
        <w:t>), which estimated the change in wages associated with a change in literacy</w:t>
      </w:r>
      <w:r>
        <w:rPr>
          <w:rStyle w:val="FootnoteReference"/>
        </w:rPr>
        <w:footnoteReference w:id="16"/>
      </w:r>
      <w:r w:rsidR="00D932B4">
        <w:t xml:space="preserve"> and with results from </w:t>
      </w:r>
      <w:proofErr w:type="spellStart"/>
      <w:r w:rsidR="00D932B4">
        <w:t>Hanushek</w:t>
      </w:r>
      <w:proofErr w:type="spellEnd"/>
      <w:r w:rsidR="00D932B4">
        <w:t xml:space="preserve"> et al. (2013) </w:t>
      </w:r>
      <w:r w:rsidR="00BE0C68">
        <w:t xml:space="preserve">who </w:t>
      </w:r>
      <w:r w:rsidR="00D932B4">
        <w:t>estimated the change in wages associated with a change in numeracy.</w:t>
      </w:r>
      <w:r w:rsidR="00D932B4">
        <w:rPr>
          <w:rStyle w:val="FootnoteReference"/>
        </w:rPr>
        <w:footnoteReference w:id="17"/>
      </w:r>
    </w:p>
    <w:p w:rsidR="002014EE" w:rsidRDefault="002014EE" w:rsidP="002014EE">
      <w:pPr>
        <w:pStyle w:val="Heading4"/>
      </w:pPr>
      <w:r>
        <w:t xml:space="preserve">How do </w:t>
      </w:r>
      <w:r w:rsidR="007E6F4B">
        <w:t xml:space="preserve">the </w:t>
      </w:r>
      <w:r>
        <w:t xml:space="preserve">results compare </w:t>
      </w:r>
      <w:r w:rsidR="00CB7420">
        <w:t>with</w:t>
      </w:r>
      <w:r>
        <w:t xml:space="preserve"> </w:t>
      </w:r>
      <w:r w:rsidR="007E6F4B">
        <w:t>those from</w:t>
      </w:r>
      <w:r>
        <w:t xml:space="preserve"> models without literacy and numeracy</w:t>
      </w:r>
      <w:r w:rsidR="00F80C67">
        <w:t xml:space="preserve"> skills</w:t>
      </w:r>
      <w:r>
        <w:t>?</w:t>
      </w:r>
    </w:p>
    <w:p w:rsidR="002014EE" w:rsidRDefault="00FC5BF4" w:rsidP="002014EE">
      <w:pPr>
        <w:pStyle w:val="BodyText"/>
      </w:pPr>
      <w:r>
        <w:t>Estimates of the</w:t>
      </w:r>
      <w:r w:rsidR="002014EE">
        <w:t xml:space="preserve"> association between education</w:t>
      </w:r>
      <w:r w:rsidR="00ED3EAF">
        <w:t xml:space="preserve"> </w:t>
      </w:r>
      <w:r w:rsidR="002014EE">
        <w:t xml:space="preserve">and </w:t>
      </w:r>
      <w:r w:rsidR="007E6259">
        <w:t>wages</w:t>
      </w:r>
      <w:r w:rsidR="002014EE">
        <w:t xml:space="preserve"> </w:t>
      </w:r>
      <w:r w:rsidR="0068298D">
        <w:t xml:space="preserve">are </w:t>
      </w:r>
      <w:r w:rsidR="007F40F0">
        <w:t>reduced by about one-quarter to one-</w:t>
      </w:r>
      <w:r w:rsidR="002014EE">
        <w:t xml:space="preserve">third </w:t>
      </w:r>
      <w:r w:rsidR="00515B9F">
        <w:t xml:space="preserve">for most levels of educational attainment, </w:t>
      </w:r>
      <w:r w:rsidR="007E6F4B">
        <w:t>when</w:t>
      </w:r>
      <w:r w:rsidR="002014EE">
        <w:t xml:space="preserve"> </w:t>
      </w:r>
      <w:r>
        <w:t>literacy and numeracy</w:t>
      </w:r>
      <w:r w:rsidR="002014EE">
        <w:t xml:space="preserve"> </w:t>
      </w:r>
      <w:r w:rsidR="00F80C67">
        <w:t xml:space="preserve">skills </w:t>
      </w:r>
      <w:r w:rsidR="00F75E31">
        <w:t>are</w:t>
      </w:r>
      <w:r w:rsidR="00F80C67">
        <w:t xml:space="preserve"> </w:t>
      </w:r>
      <w:r w:rsidR="007E6F4B">
        <w:t>included</w:t>
      </w:r>
      <w:r w:rsidR="00D87D12">
        <w:t xml:space="preserve"> (table</w:t>
      </w:r>
      <w:r w:rsidR="00522561">
        <w:t> </w:t>
      </w:r>
      <w:r w:rsidR="00D87D12">
        <w:t>3.2)</w:t>
      </w:r>
      <w:r w:rsidR="002014EE">
        <w:t xml:space="preserve">. Therefore, </w:t>
      </w:r>
      <w:r w:rsidR="007E6259">
        <w:t xml:space="preserve">as was the case for </w:t>
      </w:r>
      <w:r>
        <w:t>employment</w:t>
      </w:r>
      <w:r w:rsidR="007E6259">
        <w:t xml:space="preserve">, </w:t>
      </w:r>
      <w:r w:rsidR="00503308">
        <w:t xml:space="preserve">about two-thirds to three-quarters </w:t>
      </w:r>
      <w:r w:rsidR="002014EE">
        <w:t xml:space="preserve">of the </w:t>
      </w:r>
      <w:r w:rsidR="00313958">
        <w:t>association between</w:t>
      </w:r>
      <w:r w:rsidR="002014EE">
        <w:t xml:space="preserve"> educational attainment </w:t>
      </w:r>
      <w:r w:rsidR="00313958">
        <w:t>a</w:t>
      </w:r>
      <w:r w:rsidR="002014EE">
        <w:t>n</w:t>
      </w:r>
      <w:r w:rsidR="00313958">
        <w:t>d</w:t>
      </w:r>
      <w:r w:rsidR="002014EE">
        <w:t xml:space="preserve"> </w:t>
      </w:r>
      <w:r w:rsidR="007E6259">
        <w:t>wages</w:t>
      </w:r>
      <w:r w:rsidR="002014EE">
        <w:t xml:space="preserve"> </w:t>
      </w:r>
      <w:r w:rsidR="007E6259">
        <w:t>occur</w:t>
      </w:r>
      <w:r w:rsidR="00313958">
        <w:t>s</w:t>
      </w:r>
      <w:r w:rsidR="002014EE">
        <w:t xml:space="preserve"> because </w:t>
      </w:r>
      <w:r w:rsidR="004001AC">
        <w:t xml:space="preserve">education </w:t>
      </w:r>
      <w:r w:rsidR="00CB7420">
        <w:t>produces attributes o</w:t>
      </w:r>
      <w:r w:rsidR="007E6F4B">
        <w:t xml:space="preserve">ther </w:t>
      </w:r>
      <w:r w:rsidR="00CB7420">
        <w:t>than literacy and numeracy</w:t>
      </w:r>
      <w:r w:rsidR="002014EE">
        <w:t xml:space="preserve"> that </w:t>
      </w:r>
      <w:r w:rsidR="007E6259">
        <w:t xml:space="preserve">are </w:t>
      </w:r>
      <w:r w:rsidR="007E6F4B">
        <w:t>valued</w:t>
      </w:r>
      <w:r w:rsidR="007E6259">
        <w:t xml:space="preserve"> in the workplace</w:t>
      </w:r>
      <w:r w:rsidR="00165203">
        <w:t>.</w:t>
      </w:r>
    </w:p>
    <w:p w:rsidR="00D87D12" w:rsidRDefault="00D87D12" w:rsidP="00D87D12">
      <w:pPr>
        <w:pStyle w:val="TableTitle"/>
        <w:rPr>
          <w:rStyle w:val="NoteLabel"/>
          <w:b/>
        </w:rPr>
      </w:pPr>
      <w:r>
        <w:rPr>
          <w:b w:val="0"/>
        </w:rPr>
        <w:t xml:space="preserve">Table </w:t>
      </w:r>
      <w:r>
        <w:rPr>
          <w:b w:val="0"/>
        </w:rPr>
        <w:fldChar w:fldCharType="begin"/>
      </w:r>
      <w:r>
        <w:rPr>
          <w:b w:val="0"/>
        </w:rPr>
        <w:instrText xml:space="preserve"> COMMENTS  \* MERGEFORMAT </w:instrText>
      </w:r>
      <w:r>
        <w:rPr>
          <w:b w:val="0"/>
        </w:rPr>
        <w:fldChar w:fldCharType="separate"/>
      </w:r>
      <w:r w:rsidR="001B7E07">
        <w:rPr>
          <w:b w:val="0"/>
        </w:rPr>
        <w:t>3.</w:t>
      </w:r>
      <w:r>
        <w:rPr>
          <w:b w:val="0"/>
        </w:rPr>
        <w:fldChar w:fldCharType="end"/>
      </w:r>
      <w:r>
        <w:rPr>
          <w:b w:val="0"/>
        </w:rPr>
        <w:fldChar w:fldCharType="begin"/>
      </w:r>
      <w:r>
        <w:rPr>
          <w:b w:val="0"/>
        </w:rPr>
        <w:instrText xml:space="preserve"> SEQ Table \* ARABIC </w:instrText>
      </w:r>
      <w:r>
        <w:rPr>
          <w:b w:val="0"/>
        </w:rPr>
        <w:fldChar w:fldCharType="separate"/>
      </w:r>
      <w:r w:rsidR="002319AD">
        <w:rPr>
          <w:b w:val="0"/>
          <w:noProof/>
        </w:rPr>
        <w:t>2</w:t>
      </w:r>
      <w:r>
        <w:rPr>
          <w:b w:val="0"/>
        </w:rPr>
        <w:fldChar w:fldCharType="end"/>
      </w:r>
      <w:r>
        <w:tab/>
        <w:t>Educational attainment marginal</w:t>
      </w:r>
      <w:r w:rsidR="00522561">
        <w:t xml:space="preserve"> effects for wages models, 2011–</w:t>
      </w:r>
      <w:r>
        <w:t>12</w:t>
      </w:r>
      <w:r w:rsidR="00CB7420">
        <w:rPr>
          <w:rStyle w:val="NoteLabel"/>
          <w:b/>
        </w:rPr>
        <w:t>a</w:t>
      </w:r>
      <w:r w:rsidR="00FC5BF4">
        <w:rPr>
          <w:rStyle w:val="NoteLabel"/>
          <w:b/>
        </w:rPr>
        <w:t>, b</w:t>
      </w:r>
    </w:p>
    <w:p w:rsidR="007E6F4B" w:rsidRPr="007E6F4B" w:rsidRDefault="007E6F4B" w:rsidP="007E6F4B">
      <w:pPr>
        <w:pStyle w:val="Subtitle"/>
      </w:pPr>
      <w:r w:rsidRPr="007E6F4B">
        <w:t>25–64 year olds</w:t>
      </w:r>
      <w:r w:rsidR="00FC5BF4">
        <w:t>, per cent</w:t>
      </w:r>
    </w:p>
    <w:tbl>
      <w:tblPr>
        <w:tblW w:w="5000" w:type="pct"/>
        <w:tblCellMar>
          <w:left w:w="0" w:type="dxa"/>
          <w:right w:w="0" w:type="dxa"/>
        </w:tblCellMar>
        <w:tblLook w:val="04A0" w:firstRow="1" w:lastRow="0" w:firstColumn="1" w:lastColumn="0" w:noHBand="0" w:noVBand="1"/>
      </w:tblPr>
      <w:tblGrid>
        <w:gridCol w:w="2550"/>
        <w:gridCol w:w="1417"/>
        <w:gridCol w:w="1419"/>
        <w:gridCol w:w="424"/>
        <w:gridCol w:w="1422"/>
        <w:gridCol w:w="1557"/>
      </w:tblGrid>
      <w:tr w:rsidR="00456C3B" w:rsidTr="00456C3B">
        <w:tc>
          <w:tcPr>
            <w:tcW w:w="1451" w:type="pct"/>
            <w:tcBorders>
              <w:top w:val="single" w:sz="4" w:space="0" w:color="auto"/>
              <w:left w:val="nil"/>
              <w:right w:val="nil"/>
            </w:tcBorders>
            <w:hideMark/>
          </w:tcPr>
          <w:p w:rsidR="00456C3B" w:rsidRDefault="00456C3B" w:rsidP="00CB7420">
            <w:pPr>
              <w:pStyle w:val="TableColumnHeading"/>
              <w:jc w:val="left"/>
            </w:pPr>
          </w:p>
        </w:tc>
        <w:tc>
          <w:tcPr>
            <w:tcW w:w="1613" w:type="pct"/>
            <w:gridSpan w:val="2"/>
            <w:tcBorders>
              <w:top w:val="single" w:sz="6" w:space="0" w:color="auto"/>
              <w:left w:val="nil"/>
              <w:bottom w:val="single" w:sz="6" w:space="0" w:color="auto"/>
              <w:right w:val="nil"/>
            </w:tcBorders>
            <w:hideMark/>
          </w:tcPr>
          <w:p w:rsidR="00456C3B" w:rsidRDefault="00456C3B" w:rsidP="00CB7420">
            <w:pPr>
              <w:pStyle w:val="TableColumnHeading"/>
              <w:jc w:val="center"/>
            </w:pPr>
            <w:r>
              <w:t>Men</w:t>
            </w:r>
          </w:p>
        </w:tc>
        <w:tc>
          <w:tcPr>
            <w:tcW w:w="241" w:type="pct"/>
            <w:tcBorders>
              <w:top w:val="single" w:sz="6" w:space="0" w:color="auto"/>
              <w:left w:val="nil"/>
              <w:right w:val="nil"/>
            </w:tcBorders>
            <w:hideMark/>
          </w:tcPr>
          <w:p w:rsidR="00456C3B" w:rsidRDefault="00456C3B" w:rsidP="00CB7420">
            <w:pPr>
              <w:pStyle w:val="TableColumnHeading"/>
              <w:ind w:right="28"/>
              <w:jc w:val="center"/>
            </w:pPr>
          </w:p>
        </w:tc>
        <w:tc>
          <w:tcPr>
            <w:tcW w:w="1695" w:type="pct"/>
            <w:gridSpan w:val="2"/>
            <w:tcBorders>
              <w:top w:val="single" w:sz="6" w:space="0" w:color="auto"/>
              <w:left w:val="nil"/>
              <w:bottom w:val="single" w:sz="6" w:space="0" w:color="auto"/>
              <w:right w:val="nil"/>
            </w:tcBorders>
          </w:tcPr>
          <w:p w:rsidR="00456C3B" w:rsidRDefault="00456C3B" w:rsidP="00CB7420">
            <w:pPr>
              <w:pStyle w:val="TableColumnHeading"/>
              <w:ind w:right="28"/>
              <w:jc w:val="center"/>
            </w:pPr>
            <w:r>
              <w:t>Women</w:t>
            </w:r>
          </w:p>
        </w:tc>
      </w:tr>
      <w:tr w:rsidR="00456C3B" w:rsidTr="00456C3B">
        <w:tc>
          <w:tcPr>
            <w:tcW w:w="1451" w:type="pct"/>
            <w:tcBorders>
              <w:left w:val="nil"/>
              <w:bottom w:val="single" w:sz="4" w:space="0" w:color="auto"/>
              <w:right w:val="nil"/>
            </w:tcBorders>
            <w:hideMark/>
          </w:tcPr>
          <w:p w:rsidR="00456C3B" w:rsidRDefault="00456C3B" w:rsidP="00CB7420">
            <w:pPr>
              <w:pStyle w:val="TableUnitsRow"/>
              <w:jc w:val="left"/>
            </w:pPr>
            <w:r w:rsidRPr="00CB7420">
              <w:rPr>
                <w:i/>
              </w:rPr>
              <w:t xml:space="preserve">Explanatory </w:t>
            </w:r>
            <w:r>
              <w:rPr>
                <w:i/>
              </w:rPr>
              <w:t>variable</w:t>
            </w:r>
          </w:p>
        </w:tc>
        <w:tc>
          <w:tcPr>
            <w:tcW w:w="806" w:type="pct"/>
            <w:tcBorders>
              <w:top w:val="single" w:sz="6" w:space="0" w:color="auto"/>
              <w:left w:val="nil"/>
              <w:bottom w:val="single" w:sz="4" w:space="0" w:color="auto"/>
              <w:right w:val="nil"/>
            </w:tcBorders>
          </w:tcPr>
          <w:p w:rsidR="00456C3B" w:rsidRPr="001E57D3" w:rsidRDefault="00456C3B" w:rsidP="00CB7420">
            <w:pPr>
              <w:pStyle w:val="TableUnitsRow"/>
              <w:rPr>
                <w:i/>
              </w:rPr>
            </w:pPr>
            <w:r>
              <w:rPr>
                <w:i/>
              </w:rPr>
              <w:t>Model 1</w:t>
            </w:r>
          </w:p>
        </w:tc>
        <w:tc>
          <w:tcPr>
            <w:tcW w:w="807" w:type="pct"/>
            <w:tcBorders>
              <w:top w:val="single" w:sz="6" w:space="0" w:color="auto"/>
              <w:left w:val="nil"/>
              <w:bottom w:val="single" w:sz="4" w:space="0" w:color="auto"/>
              <w:right w:val="nil"/>
            </w:tcBorders>
          </w:tcPr>
          <w:p w:rsidR="00456C3B" w:rsidRPr="001E57D3" w:rsidRDefault="00456C3B" w:rsidP="00CB7420">
            <w:pPr>
              <w:pStyle w:val="TableUnitsRow"/>
              <w:rPr>
                <w:i/>
              </w:rPr>
            </w:pPr>
            <w:r>
              <w:rPr>
                <w:i/>
              </w:rPr>
              <w:t>Model 2</w:t>
            </w:r>
          </w:p>
        </w:tc>
        <w:tc>
          <w:tcPr>
            <w:tcW w:w="241" w:type="pct"/>
            <w:tcBorders>
              <w:left w:val="nil"/>
              <w:right w:val="nil"/>
            </w:tcBorders>
          </w:tcPr>
          <w:p w:rsidR="00456C3B" w:rsidRPr="001E57D3" w:rsidRDefault="00456C3B" w:rsidP="00CB7420">
            <w:pPr>
              <w:pStyle w:val="TableUnitsRow"/>
              <w:rPr>
                <w:i/>
              </w:rPr>
            </w:pPr>
          </w:p>
        </w:tc>
        <w:tc>
          <w:tcPr>
            <w:tcW w:w="809" w:type="pct"/>
            <w:tcBorders>
              <w:top w:val="single" w:sz="6" w:space="0" w:color="auto"/>
              <w:left w:val="nil"/>
              <w:bottom w:val="single" w:sz="4" w:space="0" w:color="auto"/>
              <w:right w:val="nil"/>
            </w:tcBorders>
          </w:tcPr>
          <w:p w:rsidR="00456C3B" w:rsidRPr="001E57D3" w:rsidRDefault="00456C3B" w:rsidP="00CB7420">
            <w:pPr>
              <w:pStyle w:val="TableUnitsRow"/>
              <w:rPr>
                <w:i/>
              </w:rPr>
            </w:pPr>
            <w:r>
              <w:rPr>
                <w:i/>
              </w:rPr>
              <w:t>Model 1</w:t>
            </w:r>
          </w:p>
        </w:tc>
        <w:tc>
          <w:tcPr>
            <w:tcW w:w="886" w:type="pct"/>
            <w:tcBorders>
              <w:top w:val="single" w:sz="6" w:space="0" w:color="auto"/>
              <w:left w:val="nil"/>
              <w:bottom w:val="single" w:sz="4" w:space="0" w:color="auto"/>
              <w:right w:val="nil"/>
            </w:tcBorders>
          </w:tcPr>
          <w:p w:rsidR="00456C3B" w:rsidRPr="001E57D3" w:rsidRDefault="00456C3B" w:rsidP="00CB7420">
            <w:pPr>
              <w:pStyle w:val="TableUnitsRow"/>
              <w:ind w:right="28"/>
              <w:rPr>
                <w:i/>
              </w:rPr>
            </w:pPr>
            <w:r>
              <w:rPr>
                <w:i/>
              </w:rPr>
              <w:t>Model 2</w:t>
            </w:r>
          </w:p>
        </w:tc>
      </w:tr>
      <w:tr w:rsidR="00456C3B" w:rsidTr="00456C3B">
        <w:tc>
          <w:tcPr>
            <w:tcW w:w="1451" w:type="pct"/>
            <w:tcBorders>
              <w:top w:val="single" w:sz="4" w:space="0" w:color="auto"/>
            </w:tcBorders>
            <w:hideMark/>
          </w:tcPr>
          <w:p w:rsidR="00456C3B" w:rsidRDefault="00456C3B" w:rsidP="007F40F0">
            <w:pPr>
              <w:pStyle w:val="TableUnitsRow"/>
              <w:spacing w:after="0"/>
              <w:jc w:val="left"/>
            </w:pPr>
            <w:r>
              <w:t>Degree or higher</w:t>
            </w:r>
          </w:p>
        </w:tc>
        <w:tc>
          <w:tcPr>
            <w:tcW w:w="806" w:type="pct"/>
            <w:tcBorders>
              <w:top w:val="single" w:sz="4" w:space="0" w:color="auto"/>
            </w:tcBorders>
          </w:tcPr>
          <w:p w:rsidR="00456C3B" w:rsidRDefault="003212CF" w:rsidP="007F40F0">
            <w:pPr>
              <w:pStyle w:val="TableUnitsRow"/>
              <w:spacing w:after="0"/>
            </w:pPr>
            <w:r>
              <w:t>71.3</w:t>
            </w:r>
            <w:r w:rsidR="00456C3B">
              <w:t>***</w:t>
            </w:r>
          </w:p>
        </w:tc>
        <w:tc>
          <w:tcPr>
            <w:tcW w:w="807" w:type="pct"/>
          </w:tcPr>
          <w:p w:rsidR="00456C3B" w:rsidRDefault="003212CF" w:rsidP="007F40F0">
            <w:pPr>
              <w:pStyle w:val="TableUnitsRow"/>
              <w:spacing w:after="0"/>
            </w:pPr>
            <w:r>
              <w:t>54.1</w:t>
            </w:r>
            <w:r w:rsidR="00456C3B">
              <w:t>***</w:t>
            </w:r>
          </w:p>
        </w:tc>
        <w:tc>
          <w:tcPr>
            <w:tcW w:w="241" w:type="pct"/>
          </w:tcPr>
          <w:p w:rsidR="00456C3B" w:rsidRDefault="00456C3B" w:rsidP="007F40F0">
            <w:pPr>
              <w:pStyle w:val="TableUnitsRow"/>
              <w:spacing w:after="0"/>
              <w:rPr>
                <w:i/>
              </w:rPr>
            </w:pPr>
          </w:p>
        </w:tc>
        <w:tc>
          <w:tcPr>
            <w:tcW w:w="809" w:type="pct"/>
            <w:tcBorders>
              <w:top w:val="single" w:sz="4" w:space="0" w:color="auto"/>
            </w:tcBorders>
          </w:tcPr>
          <w:p w:rsidR="00456C3B" w:rsidRDefault="003212CF" w:rsidP="007F40F0">
            <w:pPr>
              <w:pStyle w:val="TableUnitsRow"/>
              <w:spacing w:after="0"/>
              <w:rPr>
                <w:i/>
              </w:rPr>
            </w:pPr>
            <w:r>
              <w:t>63.8</w:t>
            </w:r>
            <w:r w:rsidR="00456C3B">
              <w:t>***</w:t>
            </w:r>
          </w:p>
        </w:tc>
        <w:tc>
          <w:tcPr>
            <w:tcW w:w="886" w:type="pct"/>
            <w:tcBorders>
              <w:top w:val="single" w:sz="4" w:space="0" w:color="auto"/>
            </w:tcBorders>
            <w:hideMark/>
          </w:tcPr>
          <w:p w:rsidR="00456C3B" w:rsidRDefault="003212CF" w:rsidP="007F40F0">
            <w:pPr>
              <w:pStyle w:val="TableUnitsRow"/>
              <w:spacing w:after="0"/>
              <w:ind w:right="0"/>
              <w:rPr>
                <w:i/>
              </w:rPr>
            </w:pPr>
            <w:r>
              <w:t>46.6</w:t>
            </w:r>
            <w:r w:rsidR="00456C3B">
              <w:t>***</w:t>
            </w:r>
          </w:p>
        </w:tc>
      </w:tr>
      <w:tr w:rsidR="00456C3B" w:rsidTr="00456C3B">
        <w:tc>
          <w:tcPr>
            <w:tcW w:w="1451" w:type="pct"/>
            <w:hideMark/>
          </w:tcPr>
          <w:p w:rsidR="00456C3B" w:rsidRDefault="00456C3B" w:rsidP="00CB7420">
            <w:pPr>
              <w:pStyle w:val="TableBodyText"/>
              <w:jc w:val="left"/>
            </w:pPr>
            <w:r>
              <w:t>Diploma or Certificate</w:t>
            </w:r>
          </w:p>
        </w:tc>
        <w:tc>
          <w:tcPr>
            <w:tcW w:w="806" w:type="pct"/>
          </w:tcPr>
          <w:p w:rsidR="00456C3B" w:rsidRDefault="003212CF" w:rsidP="00CB7420">
            <w:pPr>
              <w:pStyle w:val="TableBodyText"/>
            </w:pPr>
            <w:r>
              <w:t>19.0</w:t>
            </w:r>
            <w:r w:rsidR="00456C3B">
              <w:t>***</w:t>
            </w:r>
          </w:p>
        </w:tc>
        <w:tc>
          <w:tcPr>
            <w:tcW w:w="807" w:type="pct"/>
          </w:tcPr>
          <w:p w:rsidR="00456C3B" w:rsidRDefault="003212CF" w:rsidP="00CB7420">
            <w:pPr>
              <w:pStyle w:val="TableBodyText"/>
            </w:pPr>
            <w:r>
              <w:t>14.5</w:t>
            </w:r>
            <w:r w:rsidR="00456C3B">
              <w:t>***</w:t>
            </w:r>
          </w:p>
        </w:tc>
        <w:tc>
          <w:tcPr>
            <w:tcW w:w="241" w:type="pct"/>
          </w:tcPr>
          <w:p w:rsidR="00456C3B" w:rsidRDefault="00456C3B" w:rsidP="00CB7420">
            <w:pPr>
              <w:pStyle w:val="TableBodyText"/>
            </w:pPr>
          </w:p>
        </w:tc>
        <w:tc>
          <w:tcPr>
            <w:tcW w:w="809" w:type="pct"/>
          </w:tcPr>
          <w:p w:rsidR="00456C3B" w:rsidRDefault="003212CF" w:rsidP="00E92AFB">
            <w:pPr>
              <w:pStyle w:val="TableBodyText"/>
            </w:pPr>
            <w:r>
              <w:t>16.3</w:t>
            </w:r>
            <w:r w:rsidR="00456C3B">
              <w:t>***</w:t>
            </w:r>
          </w:p>
        </w:tc>
        <w:tc>
          <w:tcPr>
            <w:tcW w:w="886" w:type="pct"/>
            <w:hideMark/>
          </w:tcPr>
          <w:p w:rsidR="00456C3B" w:rsidRDefault="00456C3B" w:rsidP="003212CF">
            <w:pPr>
              <w:pStyle w:val="TableBodyText"/>
              <w:ind w:right="0"/>
            </w:pPr>
            <w:r>
              <w:t>11.5***</w:t>
            </w:r>
          </w:p>
        </w:tc>
      </w:tr>
      <w:tr w:rsidR="00456C3B" w:rsidTr="00456C3B">
        <w:tc>
          <w:tcPr>
            <w:tcW w:w="1451" w:type="pct"/>
            <w:hideMark/>
          </w:tcPr>
          <w:p w:rsidR="00456C3B" w:rsidRDefault="00456C3B" w:rsidP="00CB7420">
            <w:pPr>
              <w:pStyle w:val="TableBodyText"/>
              <w:jc w:val="left"/>
            </w:pPr>
            <w:r>
              <w:t>Year 12</w:t>
            </w:r>
          </w:p>
        </w:tc>
        <w:tc>
          <w:tcPr>
            <w:tcW w:w="806" w:type="pct"/>
          </w:tcPr>
          <w:p w:rsidR="00456C3B" w:rsidRDefault="003212CF" w:rsidP="00CB7420">
            <w:pPr>
              <w:pStyle w:val="TableBodyText"/>
            </w:pPr>
            <w:r>
              <w:t>17.3</w:t>
            </w:r>
            <w:r w:rsidR="00456C3B">
              <w:t>***</w:t>
            </w:r>
          </w:p>
        </w:tc>
        <w:tc>
          <w:tcPr>
            <w:tcW w:w="807" w:type="pct"/>
          </w:tcPr>
          <w:p w:rsidR="00456C3B" w:rsidRDefault="00456C3B" w:rsidP="00CB7420">
            <w:pPr>
              <w:pStyle w:val="TableBodyText"/>
            </w:pPr>
            <w:r>
              <w:t>10.1** </w:t>
            </w:r>
          </w:p>
        </w:tc>
        <w:tc>
          <w:tcPr>
            <w:tcW w:w="241" w:type="pct"/>
          </w:tcPr>
          <w:p w:rsidR="00456C3B" w:rsidRDefault="00456C3B" w:rsidP="00CB7420">
            <w:pPr>
              <w:pStyle w:val="TableBodyText"/>
              <w:ind w:left="0"/>
            </w:pPr>
          </w:p>
        </w:tc>
        <w:tc>
          <w:tcPr>
            <w:tcW w:w="809" w:type="pct"/>
          </w:tcPr>
          <w:p w:rsidR="00456C3B" w:rsidRDefault="003212CF" w:rsidP="001A1E1F">
            <w:pPr>
              <w:pStyle w:val="TableBodyText"/>
              <w:ind w:left="0"/>
            </w:pPr>
            <w:r>
              <w:t>14.6</w:t>
            </w:r>
            <w:r w:rsidR="00456C3B">
              <w:t>***</w:t>
            </w:r>
          </w:p>
        </w:tc>
        <w:tc>
          <w:tcPr>
            <w:tcW w:w="886" w:type="pct"/>
            <w:hideMark/>
          </w:tcPr>
          <w:p w:rsidR="00456C3B" w:rsidRDefault="003212CF" w:rsidP="003212CF">
            <w:pPr>
              <w:pStyle w:val="TableBodyText"/>
              <w:ind w:right="0"/>
            </w:pPr>
            <w:r>
              <w:t>10.0</w:t>
            </w:r>
            <w:r w:rsidR="00456C3B">
              <w:t>***</w:t>
            </w:r>
          </w:p>
        </w:tc>
      </w:tr>
      <w:tr w:rsidR="00456C3B" w:rsidTr="00456C3B">
        <w:tc>
          <w:tcPr>
            <w:tcW w:w="1451" w:type="pct"/>
            <w:tcBorders>
              <w:bottom w:val="single" w:sz="4" w:space="0" w:color="auto"/>
            </w:tcBorders>
          </w:tcPr>
          <w:p w:rsidR="00456C3B" w:rsidRDefault="00456C3B" w:rsidP="00CB7420">
            <w:pPr>
              <w:pStyle w:val="TableBodyText"/>
              <w:jc w:val="left"/>
            </w:pPr>
            <w:r>
              <w:t>Literacy and numeracy</w:t>
            </w:r>
          </w:p>
        </w:tc>
        <w:tc>
          <w:tcPr>
            <w:tcW w:w="806" w:type="pct"/>
            <w:tcBorders>
              <w:bottom w:val="single" w:sz="4" w:space="0" w:color="auto"/>
            </w:tcBorders>
          </w:tcPr>
          <w:p w:rsidR="00456C3B" w:rsidRDefault="00456C3B" w:rsidP="00CB7420">
            <w:pPr>
              <w:pStyle w:val="TableBodyText"/>
            </w:pPr>
          </w:p>
        </w:tc>
        <w:tc>
          <w:tcPr>
            <w:tcW w:w="807" w:type="pct"/>
            <w:tcBorders>
              <w:bottom w:val="single" w:sz="4" w:space="0" w:color="auto"/>
            </w:tcBorders>
          </w:tcPr>
          <w:p w:rsidR="00456C3B" w:rsidRDefault="003212CF" w:rsidP="00CB7420">
            <w:pPr>
              <w:pStyle w:val="TableBodyText"/>
            </w:pPr>
            <w:r>
              <w:t>9.8</w:t>
            </w:r>
            <w:r w:rsidR="00456C3B">
              <w:t>***</w:t>
            </w:r>
          </w:p>
        </w:tc>
        <w:tc>
          <w:tcPr>
            <w:tcW w:w="241" w:type="pct"/>
            <w:tcBorders>
              <w:bottom w:val="single" w:sz="4" w:space="0" w:color="auto"/>
            </w:tcBorders>
          </w:tcPr>
          <w:p w:rsidR="00456C3B" w:rsidRDefault="00456C3B" w:rsidP="00CB7420">
            <w:pPr>
              <w:pStyle w:val="TableBodyText"/>
              <w:ind w:left="0"/>
            </w:pPr>
          </w:p>
        </w:tc>
        <w:tc>
          <w:tcPr>
            <w:tcW w:w="809" w:type="pct"/>
            <w:tcBorders>
              <w:bottom w:val="single" w:sz="4" w:space="0" w:color="auto"/>
            </w:tcBorders>
          </w:tcPr>
          <w:p w:rsidR="00456C3B" w:rsidRDefault="00456C3B" w:rsidP="00CB7420">
            <w:pPr>
              <w:pStyle w:val="TableBodyText"/>
              <w:ind w:left="0"/>
            </w:pPr>
          </w:p>
        </w:tc>
        <w:tc>
          <w:tcPr>
            <w:tcW w:w="886" w:type="pct"/>
            <w:tcBorders>
              <w:bottom w:val="single" w:sz="4" w:space="0" w:color="auto"/>
            </w:tcBorders>
          </w:tcPr>
          <w:p w:rsidR="00456C3B" w:rsidRDefault="00456C3B" w:rsidP="003212CF">
            <w:pPr>
              <w:pStyle w:val="TableBodyText"/>
              <w:ind w:right="0"/>
            </w:pPr>
            <w:r>
              <w:t>11.3***</w:t>
            </w:r>
          </w:p>
        </w:tc>
      </w:tr>
    </w:tbl>
    <w:p w:rsidR="00D87D12" w:rsidRDefault="00D87D12" w:rsidP="00D87D12">
      <w:pPr>
        <w:pStyle w:val="Note"/>
      </w:pPr>
      <w:r w:rsidRPr="00026E90">
        <w:rPr>
          <w:rStyle w:val="NoteLabel"/>
        </w:rPr>
        <w:t>a</w:t>
      </w:r>
      <w:r>
        <w:t xml:space="preserve"> Marginal effects are estimates of the increase in wages (per cent)</w:t>
      </w:r>
      <w:r w:rsidR="00586A01">
        <w:t xml:space="preserve"> </w:t>
      </w:r>
      <w:r w:rsidR="00313958">
        <w:t xml:space="preserve">associated with </w:t>
      </w:r>
      <w:r w:rsidR="00586A01">
        <w:t>a change in the explanatory variable</w:t>
      </w:r>
      <w:r>
        <w:t>.</w:t>
      </w:r>
      <w:r w:rsidR="00CB7420">
        <w:t xml:space="preserve"> </w:t>
      </w:r>
      <w:r w:rsidR="009A2262">
        <w:t>Model 1 (without literacy and numeracy)</w:t>
      </w:r>
      <w:r w:rsidR="00CB7420">
        <w:t xml:space="preserve"> and </w:t>
      </w:r>
      <w:r w:rsidR="009A2262">
        <w:t>model 2</w:t>
      </w:r>
      <w:r w:rsidR="00CB7420">
        <w:t xml:space="preserve"> </w:t>
      </w:r>
      <w:r w:rsidR="009A2262">
        <w:t xml:space="preserve">(with literacy and numeracy) </w:t>
      </w:r>
      <w:r w:rsidR="00CB7420">
        <w:t>are described above.</w:t>
      </w:r>
      <w:r w:rsidR="00FC5BF4">
        <w:t xml:space="preserve"> </w:t>
      </w:r>
      <w:r>
        <w:t xml:space="preserve"> </w:t>
      </w:r>
      <w:r w:rsidRPr="00026E90">
        <w:rPr>
          <w:rStyle w:val="NoteLabel"/>
        </w:rPr>
        <w:t>b</w:t>
      </w:r>
      <w:r w:rsidR="00184142">
        <w:t> </w:t>
      </w:r>
      <w:r>
        <w:t xml:space="preserve">Estimates for educational attainment are relative to having </w:t>
      </w:r>
      <w:r w:rsidR="00596D4D">
        <w:t>Y</w:t>
      </w:r>
      <w:r>
        <w:t>ear 11 or lower education.</w:t>
      </w:r>
    </w:p>
    <w:p w:rsidR="00D87D12" w:rsidRDefault="00D87D12" w:rsidP="00D87D12">
      <w:pPr>
        <w:pStyle w:val="Note"/>
      </w:pPr>
      <w:r>
        <w:t>*** significant at 1 per cent, ** 5 per cent and * 10 per cent.</w:t>
      </w:r>
    </w:p>
    <w:p w:rsidR="00D87D12" w:rsidRDefault="00D87D12" w:rsidP="00D87D12">
      <w:pPr>
        <w:pStyle w:val="Source"/>
      </w:pPr>
      <w:r w:rsidRPr="00026E90">
        <w:rPr>
          <w:i/>
        </w:rPr>
        <w:t>Source</w:t>
      </w:r>
      <w:r>
        <w:t xml:space="preserve">: </w:t>
      </w:r>
      <w:r w:rsidR="007E6F4B">
        <w:t>Appendix C</w:t>
      </w:r>
      <w:r>
        <w:t>.</w:t>
      </w:r>
    </w:p>
    <w:p w:rsidR="008E1A21" w:rsidRDefault="00FC5BF4" w:rsidP="008E1A21">
      <w:pPr>
        <w:pStyle w:val="BodyText"/>
      </w:pPr>
      <w:r>
        <w:t>Other factors that might affect the association between employment and literacy and numeracy skills were also considered (appendix</w:t>
      </w:r>
      <w:r w:rsidR="00522561">
        <w:t> </w:t>
      </w:r>
      <w:r>
        <w:t xml:space="preserve">C). </w:t>
      </w:r>
      <w:r w:rsidR="008E1A21">
        <w:t xml:space="preserve">There </w:t>
      </w:r>
      <w:r w:rsidR="0068298D">
        <w:t xml:space="preserve">is </w:t>
      </w:r>
      <w:r w:rsidR="00165203">
        <w:t xml:space="preserve">a </w:t>
      </w:r>
      <w:r w:rsidR="008E1A21">
        <w:t>negative association between being born in a non</w:t>
      </w:r>
      <w:r w:rsidR="00522561">
        <w:noBreakHyphen/>
      </w:r>
      <w:r w:rsidR="008E1A21">
        <w:t>English speaking country and wages. This was reduced from about -</w:t>
      </w:r>
      <w:r w:rsidR="00EB7D98">
        <w:t>7 </w:t>
      </w:r>
      <w:r w:rsidR="00EA1CA0">
        <w:t>per</w:t>
      </w:r>
      <w:r w:rsidR="00EB7D98">
        <w:t> </w:t>
      </w:r>
      <w:r w:rsidR="00EA1CA0">
        <w:t xml:space="preserve">cent </w:t>
      </w:r>
      <w:r w:rsidR="00EB7D98">
        <w:t>(</w:t>
      </w:r>
      <w:r w:rsidR="00EA1CA0">
        <w:t>for men</w:t>
      </w:r>
      <w:r w:rsidR="008E1A21">
        <w:t xml:space="preserve"> </w:t>
      </w:r>
      <w:r w:rsidR="00EB7D98">
        <w:t xml:space="preserve">and </w:t>
      </w:r>
      <w:r w:rsidR="008E1A21">
        <w:t>women</w:t>
      </w:r>
      <w:r w:rsidR="00EB7D98">
        <w:t>)</w:t>
      </w:r>
      <w:r w:rsidR="008E1A21">
        <w:t xml:space="preserve"> to about</w:t>
      </w:r>
      <w:r w:rsidR="00EB7D98">
        <w:t xml:space="preserve"> </w:t>
      </w:r>
      <w:r w:rsidR="008E1A21">
        <w:t>-</w:t>
      </w:r>
      <w:r w:rsidR="00EB7D98">
        <w:t xml:space="preserve">3 per cent for men and </w:t>
      </w:r>
      <w:r w:rsidR="00EB7D98">
        <w:br/>
        <w:t>-</w:t>
      </w:r>
      <w:r w:rsidR="008E1A21">
        <w:t>2</w:t>
      </w:r>
      <w:r w:rsidR="00EB7D98">
        <w:t> </w:t>
      </w:r>
      <w:r w:rsidR="008E1A21">
        <w:t>per</w:t>
      </w:r>
      <w:r w:rsidR="00EB7D98">
        <w:t> </w:t>
      </w:r>
      <w:r w:rsidR="008E1A21">
        <w:t xml:space="preserve">cent </w:t>
      </w:r>
      <w:r w:rsidR="00EB7D98">
        <w:t xml:space="preserve">for women </w:t>
      </w:r>
      <w:r w:rsidR="008E1A21">
        <w:t xml:space="preserve">once literacy and numeracy skills </w:t>
      </w:r>
      <w:r w:rsidR="007E6F4B">
        <w:t>were</w:t>
      </w:r>
      <w:r w:rsidR="008E1A21">
        <w:t xml:space="preserve"> added to the model</w:t>
      </w:r>
      <w:r w:rsidR="00D87D12">
        <w:t xml:space="preserve"> (appendix</w:t>
      </w:r>
      <w:r w:rsidR="00522561">
        <w:t> </w:t>
      </w:r>
      <w:r w:rsidR="00D87D12">
        <w:t>C)</w:t>
      </w:r>
      <w:r w:rsidR="008E1A21">
        <w:t xml:space="preserve">. Therefore, </w:t>
      </w:r>
      <w:r w:rsidR="00A84187">
        <w:t>more than half</w:t>
      </w:r>
      <w:r w:rsidR="004001AC">
        <w:t xml:space="preserve"> of the</w:t>
      </w:r>
      <w:r w:rsidR="008E1A21">
        <w:t xml:space="preserve"> wage ‘penalty’ from having a </w:t>
      </w:r>
      <w:r w:rsidR="008E1A21">
        <w:lastRenderedPageBreak/>
        <w:t>non</w:t>
      </w:r>
      <w:r w:rsidR="00522561">
        <w:noBreakHyphen/>
      </w:r>
      <w:r w:rsidR="008E1A21">
        <w:t xml:space="preserve">English speaking background is </w:t>
      </w:r>
      <w:r w:rsidR="004001AC">
        <w:t>accounted for by lower</w:t>
      </w:r>
      <w:r w:rsidR="008E1A21">
        <w:t xml:space="preserve"> literacy and numeracy skills</w:t>
      </w:r>
      <w:r w:rsidR="004001AC">
        <w:t>.</w:t>
      </w:r>
      <w:r w:rsidR="00184142">
        <w:rPr>
          <w:rStyle w:val="FootnoteReference"/>
        </w:rPr>
        <w:footnoteReference w:id="18"/>
      </w:r>
    </w:p>
    <w:p w:rsidR="002014EE" w:rsidRDefault="008E1A21" w:rsidP="002014EE">
      <w:pPr>
        <w:pStyle w:val="BodyText"/>
      </w:pPr>
      <w:r>
        <w:t>T</w:t>
      </w:r>
      <w:r w:rsidR="002014EE">
        <w:t xml:space="preserve">he association between labour market experience and </w:t>
      </w:r>
      <w:r w:rsidR="005E34E5">
        <w:t>wages</w:t>
      </w:r>
      <w:r w:rsidR="002014EE">
        <w:t xml:space="preserve"> was </w:t>
      </w:r>
      <w:r>
        <w:t>similar</w:t>
      </w:r>
      <w:r w:rsidR="002014EE">
        <w:t xml:space="preserve"> in models which did </w:t>
      </w:r>
      <w:r w:rsidR="00FC5BF4">
        <w:t>and</w:t>
      </w:r>
      <w:r w:rsidR="002014EE">
        <w:t xml:space="preserve"> did not include literacy and numeracy skills (appendix</w:t>
      </w:r>
      <w:r w:rsidR="00522561">
        <w:t> </w:t>
      </w:r>
      <w:r w:rsidR="00E6233F">
        <w:t>C</w:t>
      </w:r>
      <w:r w:rsidR="002014EE">
        <w:t xml:space="preserve">). </w:t>
      </w:r>
      <w:r>
        <w:t xml:space="preserve">Therefore, there does not appear to be a relationship between experience and </w:t>
      </w:r>
      <w:r w:rsidR="005E34E5">
        <w:t xml:space="preserve">literacy and numeracy </w:t>
      </w:r>
      <w:r w:rsidR="00FE31A4">
        <w:t>in determining wages</w:t>
      </w:r>
      <w:r w:rsidR="007E6F4B">
        <w:t xml:space="preserve"> –– </w:t>
      </w:r>
      <w:r w:rsidR="00FC5BF4">
        <w:t xml:space="preserve">suggesting that these </w:t>
      </w:r>
      <w:r w:rsidR="007E6F4B">
        <w:t>skills are not acquired on the job</w:t>
      </w:r>
      <w:r>
        <w:t>. This is consistent with Barrett (2012) and Shomos (2010)</w:t>
      </w:r>
      <w:r w:rsidR="00071951">
        <w:t xml:space="preserve"> and </w:t>
      </w:r>
      <w:r w:rsidR="004001AC">
        <w:t>indicates</w:t>
      </w:r>
      <w:r w:rsidR="00071951">
        <w:t xml:space="preserve"> that these empirical relationships have been stable through time.</w:t>
      </w:r>
    </w:p>
    <w:p w:rsidR="002014EE" w:rsidRDefault="002319AD" w:rsidP="000C785E">
      <w:pPr>
        <w:pStyle w:val="Heading2"/>
      </w:pPr>
      <w:fldSimple w:instr=" COMMENTS  \* MERGEFORMAT ">
        <w:r w:rsidR="001B7E07">
          <w:t>3.</w:t>
        </w:r>
      </w:fldSimple>
      <w:r w:rsidR="00C80FB3">
        <w:fldChar w:fldCharType="begin"/>
      </w:r>
      <w:r w:rsidR="00C80FB3">
        <w:instrText xml:space="preserve"> SEQ Heading2 </w:instrText>
      </w:r>
      <w:r w:rsidR="00C80FB3">
        <w:fldChar w:fldCharType="separate"/>
      </w:r>
      <w:r>
        <w:rPr>
          <w:noProof/>
        </w:rPr>
        <w:t>3</w:t>
      </w:r>
      <w:r w:rsidR="00C80FB3">
        <w:rPr>
          <w:noProof/>
        </w:rPr>
        <w:fldChar w:fldCharType="end"/>
      </w:r>
      <w:r w:rsidR="000C785E">
        <w:tab/>
        <w:t>Conclusion</w:t>
      </w:r>
    </w:p>
    <w:p w:rsidR="000C785E" w:rsidRDefault="000C785E" w:rsidP="000C785E">
      <w:pPr>
        <w:pStyle w:val="BodyText"/>
      </w:pPr>
      <w:r>
        <w:t xml:space="preserve">Literacy and numeracy skills are an important component of human capital </w:t>
      </w:r>
      <w:r w:rsidR="00165203">
        <w:t xml:space="preserve">and </w:t>
      </w:r>
      <w:r w:rsidR="007E6F4B">
        <w:t xml:space="preserve">higher levels of </w:t>
      </w:r>
      <w:r w:rsidR="00165203">
        <w:t xml:space="preserve">human capital </w:t>
      </w:r>
      <w:r w:rsidR="007E6F4B">
        <w:t>are</w:t>
      </w:r>
      <w:r w:rsidR="00165203">
        <w:t xml:space="preserve"> linked to better labour market outcomes. P</w:t>
      </w:r>
      <w:r>
        <w:t xml:space="preserve">eople with higher literacy and numeracy </w:t>
      </w:r>
      <w:r w:rsidR="003A133D">
        <w:t xml:space="preserve">skills </w:t>
      </w:r>
      <w:r w:rsidR="005464E4">
        <w:t>are</w:t>
      </w:r>
      <w:r>
        <w:t>, on average, more likely to participate and have higher wages than people with lower skills (chapter</w:t>
      </w:r>
      <w:r w:rsidR="00522561">
        <w:t> </w:t>
      </w:r>
      <w:r>
        <w:t xml:space="preserve">2). The multivariate analysis in this chapter showed that, </w:t>
      </w:r>
      <w:r w:rsidR="007C52BD">
        <w:t xml:space="preserve">all else equal, an increase in literacy and numeracy of about one skill level </w:t>
      </w:r>
      <w:r w:rsidR="00A26A29">
        <w:t>is</w:t>
      </w:r>
      <w:r w:rsidR="007C52BD">
        <w:t xml:space="preserve"> associated</w:t>
      </w:r>
      <w:r w:rsidR="007E6F4B">
        <w:t>, on average,</w:t>
      </w:r>
      <w:r w:rsidR="007C52BD">
        <w:t xml:space="preserve"> with an increased likelihood of </w:t>
      </w:r>
      <w:r w:rsidR="006D053D">
        <w:t xml:space="preserve">employment </w:t>
      </w:r>
      <w:r w:rsidR="007C52BD">
        <w:t>of</w:t>
      </w:r>
      <w:r w:rsidR="006D053D">
        <w:t xml:space="preserve"> </w:t>
      </w:r>
      <w:r w:rsidR="005E34E5">
        <w:t xml:space="preserve">about </w:t>
      </w:r>
      <w:r w:rsidR="00A94E6B">
        <w:t>2 to 4</w:t>
      </w:r>
      <w:r w:rsidR="00FE31A4">
        <w:t xml:space="preserve"> </w:t>
      </w:r>
      <w:r w:rsidR="007C52BD">
        <w:t>percentage points and 10 per cent higher wages.</w:t>
      </w:r>
    </w:p>
    <w:p w:rsidR="00216B94" w:rsidRDefault="0076757B" w:rsidP="000C785E">
      <w:pPr>
        <w:pStyle w:val="BodyText"/>
      </w:pPr>
      <w:r>
        <w:t xml:space="preserve">Having estimated the potential returns </w:t>
      </w:r>
      <w:r w:rsidR="005464E4">
        <w:t xml:space="preserve">associated with an improvement in </w:t>
      </w:r>
      <w:r>
        <w:t xml:space="preserve">skills </w:t>
      </w:r>
      <w:r w:rsidR="005464E4">
        <w:t>and</w:t>
      </w:r>
      <w:r>
        <w:t xml:space="preserve"> labour market outcomes, another question is </w:t>
      </w:r>
      <w:r w:rsidRPr="002300BF">
        <w:rPr>
          <w:i/>
        </w:rPr>
        <w:t>how</w:t>
      </w:r>
      <w:r>
        <w:t xml:space="preserve"> to improve literacy and numeracy. </w:t>
      </w:r>
    </w:p>
    <w:p w:rsidR="000C785E" w:rsidRPr="003047D6" w:rsidRDefault="002300BF" w:rsidP="003047D6">
      <w:pPr>
        <w:pStyle w:val="BodyText"/>
      </w:pPr>
      <w:r>
        <w:t>L</w:t>
      </w:r>
      <w:r w:rsidR="007D3776">
        <w:t xml:space="preserve">iteracy and numeracy skills </w:t>
      </w:r>
      <w:r w:rsidR="00367D75">
        <w:t>can be</w:t>
      </w:r>
      <w:r w:rsidR="007D3776">
        <w:t xml:space="preserve"> acquired </w:t>
      </w:r>
      <w:r w:rsidR="007E6F4B">
        <w:t>in</w:t>
      </w:r>
      <w:r w:rsidR="007D3776">
        <w:t xml:space="preserve"> many </w:t>
      </w:r>
      <w:r>
        <w:t xml:space="preserve">ways, including </w:t>
      </w:r>
      <w:r w:rsidR="00C51A5D">
        <w:t>during</w:t>
      </w:r>
      <w:r w:rsidR="007E6F4B">
        <w:t xml:space="preserve"> early childhood, </w:t>
      </w:r>
      <w:r w:rsidR="00C51A5D">
        <w:t xml:space="preserve">through </w:t>
      </w:r>
      <w:r w:rsidR="007E6F4B">
        <w:t>formal e</w:t>
      </w:r>
      <w:r>
        <w:t>ducation</w:t>
      </w:r>
      <w:r w:rsidR="004E1958">
        <w:t>,</w:t>
      </w:r>
      <w:r>
        <w:t xml:space="preserve"> </w:t>
      </w:r>
      <w:r w:rsidR="00C51A5D">
        <w:t xml:space="preserve">through </w:t>
      </w:r>
      <w:r w:rsidR="007D3776">
        <w:t>on</w:t>
      </w:r>
      <w:r w:rsidR="00522561">
        <w:noBreakHyphen/>
      </w:r>
      <w:r w:rsidR="007D3776">
        <w:t>the</w:t>
      </w:r>
      <w:r w:rsidR="00522561">
        <w:noBreakHyphen/>
      </w:r>
      <w:r w:rsidR="007D3776">
        <w:t xml:space="preserve">job learning, and </w:t>
      </w:r>
      <w:r w:rsidR="00C51A5D">
        <w:t xml:space="preserve">in </w:t>
      </w:r>
      <w:r w:rsidR="007D3776">
        <w:t>day</w:t>
      </w:r>
      <w:r w:rsidR="00522561">
        <w:noBreakHyphen/>
      </w:r>
      <w:r w:rsidR="007D3776">
        <w:t>to</w:t>
      </w:r>
      <w:r w:rsidR="00522561">
        <w:noBreakHyphen/>
      </w:r>
      <w:r w:rsidR="007D3776">
        <w:t>day activities</w:t>
      </w:r>
      <w:r>
        <w:t xml:space="preserve"> (chapter 1)</w:t>
      </w:r>
      <w:r w:rsidR="007D3776">
        <w:t xml:space="preserve">. </w:t>
      </w:r>
      <w:r w:rsidR="003A133D">
        <w:t xml:space="preserve">This paper did not consider how important each of these factors </w:t>
      </w:r>
      <w:r w:rsidR="0065194E">
        <w:t xml:space="preserve">is </w:t>
      </w:r>
      <w:r w:rsidR="003A133D">
        <w:t>for developing or maintainin</w:t>
      </w:r>
      <w:r w:rsidR="00FC5BF4">
        <w:t>g literacy and numeracy skills.</w:t>
      </w:r>
    </w:p>
    <w:p w:rsidR="002300BF" w:rsidRDefault="003A133D" w:rsidP="002300BF">
      <w:pPr>
        <w:pStyle w:val="BodyText"/>
      </w:pPr>
      <w:r>
        <w:t>T</w:t>
      </w:r>
      <w:r w:rsidR="00E54D33">
        <w:t>he results in this chapter</w:t>
      </w:r>
      <w:r w:rsidR="00165203">
        <w:t xml:space="preserve"> </w:t>
      </w:r>
      <w:r w:rsidR="00315325">
        <w:t>do</w:t>
      </w:r>
      <w:r w:rsidR="00586A01">
        <w:t>, however,</w:t>
      </w:r>
      <w:r w:rsidR="00315325">
        <w:t xml:space="preserve"> </w:t>
      </w:r>
      <w:r w:rsidR="003B3BB6">
        <w:t>suggest</w:t>
      </w:r>
      <w:r w:rsidR="002300BF">
        <w:t xml:space="preserve"> a strong link between educational attainment and literacy and numeracy</w:t>
      </w:r>
      <w:r w:rsidR="00796833">
        <w:t xml:space="preserve"> </w:t>
      </w:r>
      <w:r w:rsidR="00F80C67">
        <w:t xml:space="preserve">skills </w:t>
      </w:r>
      <w:r w:rsidR="00FC5BF4">
        <w:t>in explaining</w:t>
      </w:r>
      <w:r w:rsidR="00E54D33">
        <w:t xml:space="preserve"> labour market outcomes</w:t>
      </w:r>
      <w:r w:rsidR="0057363B">
        <w:t>. Literacy and numeracy account for up</w:t>
      </w:r>
      <w:r w:rsidR="002300BF">
        <w:t xml:space="preserve"> to </w:t>
      </w:r>
      <w:r w:rsidR="00FE31A4">
        <w:t>40 per cent</w:t>
      </w:r>
      <w:r w:rsidR="002300BF">
        <w:t xml:space="preserve"> of the </w:t>
      </w:r>
      <w:r>
        <w:t>association between educational attainment a</w:t>
      </w:r>
      <w:r w:rsidR="002300BF">
        <w:t>n</w:t>
      </w:r>
      <w:r>
        <w:t>d</w:t>
      </w:r>
      <w:r w:rsidR="002300BF">
        <w:t xml:space="preserve"> labour market outcomes.</w:t>
      </w:r>
      <w:r>
        <w:t xml:space="preserve"> T</w:t>
      </w:r>
      <w:r w:rsidR="002300BF">
        <w:t xml:space="preserve">he results </w:t>
      </w:r>
      <w:r w:rsidR="0068298D">
        <w:t>are consistent with education producing other skills and knowledge that are valued in the workplace</w:t>
      </w:r>
      <w:r w:rsidR="0057363B">
        <w:t xml:space="preserve"> such a</w:t>
      </w:r>
      <w:r w:rsidR="00421B30">
        <w:t>s higher order skills and non</w:t>
      </w:r>
      <w:r w:rsidR="00522561">
        <w:noBreakHyphen/>
      </w:r>
      <w:r w:rsidR="00421B30">
        <w:t>cognitive skills, including perseverance and leadership</w:t>
      </w:r>
      <w:r w:rsidR="009164AC">
        <w:t xml:space="preserve"> (Barrett 2012)</w:t>
      </w:r>
      <w:r w:rsidR="002300BF">
        <w:t>.</w:t>
      </w:r>
    </w:p>
    <w:p w:rsidR="00576FE1" w:rsidRDefault="00576FE1" w:rsidP="00576FE1">
      <w:pPr>
        <w:pStyle w:val="BodyText"/>
      </w:pPr>
      <w:r>
        <w:t>Although education</w:t>
      </w:r>
      <w:r w:rsidR="000A4A86">
        <w:t xml:space="preserve"> and</w:t>
      </w:r>
      <w:r w:rsidR="00FC5BF4">
        <w:t xml:space="preserve"> literacy and numeracy</w:t>
      </w:r>
      <w:r w:rsidR="00EF672C">
        <w:t xml:space="preserve"> are closely related</w:t>
      </w:r>
      <w:r>
        <w:t>, the analysis in chapter</w:t>
      </w:r>
      <w:r w:rsidR="00522561">
        <w:t> </w:t>
      </w:r>
      <w:r>
        <w:t xml:space="preserve">2 highlighted that </w:t>
      </w:r>
      <w:r w:rsidR="00042E9A">
        <w:t xml:space="preserve">any increase in literacy </w:t>
      </w:r>
      <w:r w:rsidR="00F80C67">
        <w:t xml:space="preserve">skills </w:t>
      </w:r>
      <w:r w:rsidR="00042E9A">
        <w:t xml:space="preserve">since 2006 was </w:t>
      </w:r>
      <w:r w:rsidR="004001AC">
        <w:t>probably</w:t>
      </w:r>
      <w:r w:rsidR="00042E9A">
        <w:t xml:space="preserve"> </w:t>
      </w:r>
      <w:r w:rsidR="00042E9A">
        <w:lastRenderedPageBreak/>
        <w:t>small</w:t>
      </w:r>
      <w:r w:rsidR="001020C3">
        <w:t xml:space="preserve"> </w:t>
      </w:r>
      <w:r w:rsidR="00EF672C">
        <w:t xml:space="preserve">and numeracy </w:t>
      </w:r>
      <w:r>
        <w:t xml:space="preserve">skills </w:t>
      </w:r>
      <w:r w:rsidR="001020C3">
        <w:t>were unchanged</w:t>
      </w:r>
      <w:r>
        <w:t xml:space="preserve"> between 2006 and 2011</w:t>
      </w:r>
      <w:r w:rsidR="007836E7">
        <w:t>–</w:t>
      </w:r>
      <w:r>
        <w:t>12</w:t>
      </w:r>
      <w:r w:rsidR="00042E9A">
        <w:t>. This was</w:t>
      </w:r>
      <w:r>
        <w:t xml:space="preserve"> despite increases in educational attainment over that period.</w:t>
      </w:r>
    </w:p>
    <w:p w:rsidR="003B3BB6" w:rsidRDefault="003E48A5" w:rsidP="002300BF">
      <w:pPr>
        <w:pStyle w:val="BodyText"/>
      </w:pPr>
      <w:r>
        <w:t xml:space="preserve">People </w:t>
      </w:r>
      <w:r w:rsidR="003B3BB6">
        <w:t xml:space="preserve">with </w:t>
      </w:r>
      <w:r>
        <w:t>higher</w:t>
      </w:r>
      <w:r w:rsidR="003B3BB6">
        <w:t xml:space="preserve"> </w:t>
      </w:r>
      <w:r w:rsidR="00F75E31">
        <w:t xml:space="preserve">levels of </w:t>
      </w:r>
      <w:r w:rsidR="003B3BB6">
        <w:t xml:space="preserve">literacy and numeracy can understand </w:t>
      </w:r>
      <w:r w:rsidR="0062160C">
        <w:t xml:space="preserve">information from dense </w:t>
      </w:r>
      <w:r w:rsidR="003B3BB6">
        <w:t xml:space="preserve">texts and </w:t>
      </w:r>
      <w:r w:rsidR="0062160C">
        <w:t>complex or abstract mathematical information</w:t>
      </w:r>
      <w:r w:rsidR="003B3BB6">
        <w:t xml:space="preserve">. </w:t>
      </w:r>
      <w:r w:rsidR="0062160C">
        <w:t xml:space="preserve">Improving literacy and numeracy is likely to lead to increases in other components of human capital, such as knowledge and higher order critical thinking. </w:t>
      </w:r>
      <w:r w:rsidR="00C86C23">
        <w:t>Improving</w:t>
      </w:r>
      <w:r w:rsidR="003B3BB6">
        <w:t xml:space="preserve"> </w:t>
      </w:r>
      <w:r w:rsidR="0062160C">
        <w:t xml:space="preserve">these </w:t>
      </w:r>
      <w:r>
        <w:t xml:space="preserve">other </w:t>
      </w:r>
      <w:r w:rsidR="00796833">
        <w:t>aspects</w:t>
      </w:r>
      <w:r>
        <w:t xml:space="preserve"> of human capital </w:t>
      </w:r>
      <w:r w:rsidR="004001AC">
        <w:t xml:space="preserve">is </w:t>
      </w:r>
      <w:r>
        <w:t xml:space="preserve">also </w:t>
      </w:r>
      <w:r w:rsidR="00796833">
        <w:t>important for</w:t>
      </w:r>
      <w:r>
        <w:t xml:space="preserve"> labour market </w:t>
      </w:r>
      <w:r w:rsidR="00796833">
        <w:t>success</w:t>
      </w:r>
      <w:r>
        <w:t>.</w:t>
      </w:r>
    </w:p>
    <w:p w:rsidR="00F056FC" w:rsidRDefault="003E48A5" w:rsidP="00120072">
      <w:pPr>
        <w:pStyle w:val="BodyText"/>
      </w:pPr>
      <w:r>
        <w:t xml:space="preserve">To summarise, literacy and numeracy skills are an important component of a person’s human capital, and </w:t>
      </w:r>
      <w:r w:rsidR="00F75E31">
        <w:t xml:space="preserve">contribute </w:t>
      </w:r>
      <w:r>
        <w:t>to</w:t>
      </w:r>
      <w:r w:rsidR="00F75E31">
        <w:t xml:space="preserve"> the development of</w:t>
      </w:r>
      <w:r>
        <w:t xml:space="preserve"> other </w:t>
      </w:r>
      <w:r w:rsidR="00C86C23">
        <w:t>aspects</w:t>
      </w:r>
      <w:r>
        <w:t xml:space="preserve"> of human capital. The </w:t>
      </w:r>
      <w:r w:rsidR="00ED1869">
        <w:t>modelling</w:t>
      </w:r>
      <w:r>
        <w:t xml:space="preserve"> in this </w:t>
      </w:r>
      <w:r w:rsidR="0062379C">
        <w:t>chapter</w:t>
      </w:r>
      <w:r w:rsidR="00ED1869">
        <w:t xml:space="preserve"> </w:t>
      </w:r>
      <w:r w:rsidR="00080545">
        <w:t>demonstrated</w:t>
      </w:r>
      <w:r>
        <w:t xml:space="preserve"> that, all else equal, there </w:t>
      </w:r>
      <w:r w:rsidR="003A133D">
        <w:t>are</w:t>
      </w:r>
      <w:r>
        <w:t xml:space="preserve"> strong </w:t>
      </w:r>
      <w:r w:rsidR="003A133D">
        <w:t>links between</w:t>
      </w:r>
      <w:r>
        <w:t xml:space="preserve"> literacy and numeracy skills </w:t>
      </w:r>
      <w:r w:rsidR="003A133D">
        <w:t>and</w:t>
      </w:r>
      <w:r>
        <w:t xml:space="preserve"> </w:t>
      </w:r>
      <w:r w:rsidR="005E34E5">
        <w:t>employment</w:t>
      </w:r>
      <w:r>
        <w:t xml:space="preserve"> and wages.</w:t>
      </w:r>
    </w:p>
    <w:sectPr w:rsidR="00F056FC" w:rsidSect="001B7E07">
      <w:headerReference w:type="even" r:id="rId13"/>
      <w:headerReference w:type="default" r:id="rId14"/>
      <w:footerReference w:type="even" r:id="rId15"/>
      <w:footerReference w:type="default" r:id="rId16"/>
      <w:type w:val="continuous"/>
      <w:pgSz w:w="11907" w:h="16840" w:code="9"/>
      <w:pgMar w:top="1985" w:right="1304" w:bottom="1418" w:left="1814" w:header="1701" w:footer="567" w:gutter="0"/>
      <w:pgNumType w:start="3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819" w:rsidRDefault="00387819">
      <w:r>
        <w:separator/>
      </w:r>
    </w:p>
  </w:endnote>
  <w:endnote w:type="continuationSeparator" w:id="0">
    <w:p w:rsidR="00387819" w:rsidRDefault="0038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45A37">
      <w:trPr>
        <w:trHeight w:hRule="exact" w:val="740"/>
      </w:trPr>
      <w:tc>
        <w:tcPr>
          <w:tcW w:w="510" w:type="dxa"/>
          <w:tcBorders>
            <w:top w:val="single" w:sz="6" w:space="0" w:color="auto"/>
          </w:tcBorders>
        </w:tcPr>
        <w:p w:rsidR="00045A37" w:rsidRDefault="00045A37"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DA548E">
            <w:rPr>
              <w:rStyle w:val="PageNumber"/>
              <w:noProof/>
            </w:rPr>
            <w:t>32</w:t>
          </w:r>
          <w:r>
            <w:rPr>
              <w:rStyle w:val="PageNumber"/>
            </w:rPr>
            <w:fldChar w:fldCharType="end"/>
          </w:r>
        </w:p>
      </w:tc>
      <w:tc>
        <w:tcPr>
          <w:tcW w:w="1644" w:type="dxa"/>
          <w:tcBorders>
            <w:top w:val="single" w:sz="6" w:space="0" w:color="auto"/>
          </w:tcBorders>
        </w:tcPr>
        <w:p w:rsidR="00045A37" w:rsidRDefault="00C80FB3" w:rsidP="0019293B">
          <w:pPr>
            <w:pStyle w:val="Footer"/>
          </w:pPr>
          <w:r>
            <w:fldChar w:fldCharType="begin"/>
          </w:r>
          <w:r>
            <w:instrText xml:space="preserve"> SUBJECT  \* MERGEFORMAT </w:instrText>
          </w:r>
          <w:r>
            <w:fldChar w:fldCharType="separate"/>
          </w:r>
          <w:r w:rsidR="002319AD">
            <w:t>Literacy and numeracy skills in Australia</w:t>
          </w:r>
          <w:r>
            <w:fldChar w:fldCharType="end"/>
          </w:r>
        </w:p>
      </w:tc>
      <w:tc>
        <w:tcPr>
          <w:tcW w:w="6634" w:type="dxa"/>
        </w:tcPr>
        <w:p w:rsidR="00045A37" w:rsidRDefault="00045A37" w:rsidP="0019293B">
          <w:pPr>
            <w:pStyle w:val="Footer"/>
          </w:pPr>
        </w:p>
      </w:tc>
    </w:tr>
  </w:tbl>
  <w:p w:rsidR="00045A37" w:rsidRDefault="00045A37"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45A37">
      <w:trPr>
        <w:trHeight w:hRule="exact" w:val="740"/>
      </w:trPr>
      <w:tc>
        <w:tcPr>
          <w:tcW w:w="6634" w:type="dxa"/>
        </w:tcPr>
        <w:p w:rsidR="00045A37" w:rsidRDefault="00045A37">
          <w:pPr>
            <w:pStyle w:val="Footer"/>
            <w:ind w:right="360" w:firstLine="360"/>
          </w:pPr>
        </w:p>
      </w:tc>
      <w:tc>
        <w:tcPr>
          <w:tcW w:w="1644" w:type="dxa"/>
          <w:tcBorders>
            <w:top w:val="single" w:sz="6" w:space="0" w:color="auto"/>
          </w:tcBorders>
        </w:tcPr>
        <w:p w:rsidR="00045A37" w:rsidRDefault="00C80FB3">
          <w:pPr>
            <w:pStyle w:val="Footer"/>
          </w:pPr>
          <w:r>
            <w:fldChar w:fldCharType="begin"/>
          </w:r>
          <w:r>
            <w:instrText xml:space="preserve"> TITLE  \* MERGEFORMAT </w:instrText>
          </w:r>
          <w:r>
            <w:fldChar w:fldCharType="separate"/>
          </w:r>
          <w:r w:rsidR="002319AD">
            <w:t>Modelling results</w:t>
          </w:r>
          <w:r>
            <w:fldChar w:fldCharType="end"/>
          </w:r>
        </w:p>
      </w:tc>
      <w:tc>
        <w:tcPr>
          <w:tcW w:w="510" w:type="dxa"/>
          <w:tcBorders>
            <w:top w:val="single" w:sz="6" w:space="0" w:color="auto"/>
          </w:tcBorders>
        </w:tcPr>
        <w:p w:rsidR="00045A37" w:rsidRDefault="00045A37">
          <w:pPr>
            <w:pStyle w:val="Footer"/>
            <w:jc w:val="right"/>
          </w:pPr>
          <w:r>
            <w:rPr>
              <w:rStyle w:val="PageNumber"/>
            </w:rPr>
            <w:fldChar w:fldCharType="begin"/>
          </w:r>
          <w:r>
            <w:rPr>
              <w:rStyle w:val="PageNumber"/>
            </w:rPr>
            <w:instrText xml:space="preserve">PAGE  </w:instrText>
          </w:r>
          <w:r>
            <w:rPr>
              <w:rStyle w:val="PageNumber"/>
            </w:rPr>
            <w:fldChar w:fldCharType="separate"/>
          </w:r>
          <w:r w:rsidR="00DA548E">
            <w:rPr>
              <w:rStyle w:val="PageNumber"/>
              <w:noProof/>
            </w:rPr>
            <w:t>31</w:t>
          </w:r>
          <w:r>
            <w:rPr>
              <w:rStyle w:val="PageNumber"/>
            </w:rPr>
            <w:fldChar w:fldCharType="end"/>
          </w:r>
        </w:p>
      </w:tc>
    </w:tr>
  </w:tbl>
  <w:p w:rsidR="00045A37" w:rsidRDefault="00045A37">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819" w:rsidRDefault="00387819">
      <w:r>
        <w:separator/>
      </w:r>
    </w:p>
  </w:footnote>
  <w:footnote w:type="continuationSeparator" w:id="0">
    <w:p w:rsidR="00387819" w:rsidRDefault="00387819">
      <w:r>
        <w:continuationSeparator/>
      </w:r>
    </w:p>
  </w:footnote>
  <w:footnote w:id="1">
    <w:p w:rsidR="008C68C3" w:rsidRDefault="008C68C3" w:rsidP="008C68C3">
      <w:pPr>
        <w:pStyle w:val="FootnoteText"/>
      </w:pPr>
      <w:r>
        <w:rPr>
          <w:rStyle w:val="FootnoteReference"/>
        </w:rPr>
        <w:footnoteRef/>
      </w:r>
      <w:r>
        <w:t xml:space="preserve"> </w:t>
      </w:r>
      <w:r>
        <w:tab/>
        <w:t>The natural logarithm of wages is used in the model as it gives a better fit of the data.</w:t>
      </w:r>
    </w:p>
  </w:footnote>
  <w:footnote w:id="2">
    <w:p w:rsidR="005B6782" w:rsidRDefault="005B6782">
      <w:pPr>
        <w:pStyle w:val="FootnoteText"/>
      </w:pPr>
      <w:r>
        <w:rPr>
          <w:rStyle w:val="FootnoteReference"/>
        </w:rPr>
        <w:footnoteRef/>
      </w:r>
      <w:r>
        <w:t xml:space="preserve"> </w:t>
      </w:r>
      <w:r>
        <w:tab/>
      </w:r>
      <w:r w:rsidR="008C68C3">
        <w:t>T</w:t>
      </w:r>
      <w:r>
        <w:t xml:space="preserve">he error term </w:t>
      </w:r>
      <w:r w:rsidR="008C68C3">
        <w:t xml:space="preserve">accounts for </w:t>
      </w:r>
      <w:r>
        <w:t>intrinsic randomness, an</w:t>
      </w:r>
      <w:r w:rsidR="008C68C3">
        <w:t>y</w:t>
      </w:r>
      <w:r>
        <w:t xml:space="preserve"> error of measurement or the influence of variables not explicitly included in the model.</w:t>
      </w:r>
    </w:p>
  </w:footnote>
  <w:footnote w:id="3">
    <w:p w:rsidR="00045A37" w:rsidRDefault="00045A37">
      <w:pPr>
        <w:pStyle w:val="FootnoteText"/>
      </w:pPr>
      <w:r>
        <w:rPr>
          <w:rStyle w:val="FootnoteReference"/>
        </w:rPr>
        <w:footnoteRef/>
      </w:r>
      <w:r>
        <w:tab/>
        <w:t>For the model with labour force status, age was used instead of experience, and other factors (X</w:t>
      </w:r>
      <w:r w:rsidRPr="001D3614">
        <w:rPr>
          <w:i/>
        </w:rPr>
        <w:t>i</w:t>
      </w:r>
      <w:r>
        <w:t xml:space="preserve"> to </w:t>
      </w:r>
      <w:proofErr w:type="spellStart"/>
      <w:r>
        <w:t>X</w:t>
      </w:r>
      <w:r w:rsidRPr="001D3614">
        <w:rPr>
          <w:i/>
        </w:rPr>
        <w:t>n</w:t>
      </w:r>
      <w:proofErr w:type="spellEnd"/>
      <w:r>
        <w:t>) were slightly different (appendix C).</w:t>
      </w:r>
    </w:p>
  </w:footnote>
  <w:footnote w:id="4">
    <w:p w:rsidR="00AC6592" w:rsidRDefault="00AC6592">
      <w:pPr>
        <w:pStyle w:val="FootnoteText"/>
      </w:pPr>
      <w:r>
        <w:rPr>
          <w:rStyle w:val="FootnoteReference"/>
        </w:rPr>
        <w:footnoteRef/>
      </w:r>
      <w:r>
        <w:t xml:space="preserve"> </w:t>
      </w:r>
      <w:r>
        <w:tab/>
        <w:t>These cognitive and non-cognitive skills also influence educational attainment, and therefore wages and participation both directly and indirectly.</w:t>
      </w:r>
    </w:p>
  </w:footnote>
  <w:footnote w:id="5">
    <w:p w:rsidR="00045A37" w:rsidRDefault="00045A37">
      <w:pPr>
        <w:pStyle w:val="FootnoteText"/>
      </w:pPr>
      <w:r>
        <w:rPr>
          <w:rStyle w:val="FootnoteReference"/>
        </w:rPr>
        <w:footnoteRef/>
      </w:r>
      <w:r>
        <w:t xml:space="preserve"> </w:t>
      </w:r>
      <w:r w:rsidR="00902ED8">
        <w:tab/>
      </w:r>
      <w:r>
        <w:t xml:space="preserve">Variables are collinear when they can be expressed as linear function of each other (Gujarati 1995). In practice, variables might not be </w:t>
      </w:r>
      <w:r w:rsidR="00D856DE">
        <w:t xml:space="preserve">highly </w:t>
      </w:r>
      <w:r>
        <w:t>collinear but still affect the quality of the estimates, which will be unbiased but imprecise (have high standard errors).</w:t>
      </w:r>
    </w:p>
  </w:footnote>
  <w:footnote w:id="6">
    <w:p w:rsidR="00045A37" w:rsidRDefault="00045A37" w:rsidP="00045A37">
      <w:pPr>
        <w:pStyle w:val="FootnoteText"/>
      </w:pPr>
      <w:r>
        <w:rPr>
          <w:rStyle w:val="FootnoteReference"/>
        </w:rPr>
        <w:footnoteRef/>
      </w:r>
      <w:r>
        <w:t xml:space="preserve"> </w:t>
      </w:r>
      <w:r>
        <w:tab/>
        <w:t>Causal relationships between education and literacy and numeracy skills are difficult to estimate because skills are assessed at the time of the survey, which is after education has been completed, for most people. Other research</w:t>
      </w:r>
      <w:r w:rsidR="006244A8">
        <w:t xml:space="preserve">ers (Barrett 2012 using the Adult Literacy and </w:t>
      </w:r>
      <w:proofErr w:type="spellStart"/>
      <w:r w:rsidR="006244A8">
        <w:t>Lifeskills</w:t>
      </w:r>
      <w:proofErr w:type="spellEnd"/>
      <w:r w:rsidR="006244A8">
        <w:t xml:space="preserve"> Survey</w:t>
      </w:r>
      <w:r>
        <w:t>; Chiswick, L</w:t>
      </w:r>
      <w:r w:rsidR="006244A8">
        <w:t>ee and Miller 2003 using the Survey of Aspects of Literacy</w:t>
      </w:r>
      <w:r>
        <w:t>) have noted the difficulties with these types of datasets in identifying instruments suitable for estimating causal relationships.</w:t>
      </w:r>
    </w:p>
  </w:footnote>
  <w:footnote w:id="7">
    <w:p w:rsidR="00045A37" w:rsidRDefault="00045A37">
      <w:pPr>
        <w:pStyle w:val="FootnoteText"/>
      </w:pPr>
      <w:r>
        <w:rPr>
          <w:rStyle w:val="FootnoteReference"/>
        </w:rPr>
        <w:footnoteRef/>
      </w:r>
      <w:r>
        <w:t xml:space="preserve"> </w:t>
      </w:r>
      <w:r>
        <w:tab/>
        <w:t xml:space="preserve">Other studies omit full-time students. The </w:t>
      </w:r>
      <w:proofErr w:type="spellStart"/>
      <w:r>
        <w:t>P</w:t>
      </w:r>
      <w:r w:rsidR="006244A8">
        <w:t>rogramme</w:t>
      </w:r>
      <w:proofErr w:type="spellEnd"/>
      <w:r w:rsidR="006244A8">
        <w:t xml:space="preserve"> for the International Assessment of Adult Competencies</w:t>
      </w:r>
      <w:r>
        <w:t xml:space="preserve"> data does not distinguish between full-time and part-time students, so all students were retained. Alternative specifications which omitted persons who were studying and not employed did not </w:t>
      </w:r>
      <w:r w:rsidR="00AE14A5">
        <w:t xml:space="preserve">materially </w:t>
      </w:r>
      <w:r>
        <w:t>affect the results.</w:t>
      </w:r>
    </w:p>
  </w:footnote>
  <w:footnote w:id="8">
    <w:p w:rsidR="00045A37" w:rsidRDefault="00045A37">
      <w:pPr>
        <w:pStyle w:val="FootnoteText"/>
      </w:pPr>
      <w:r>
        <w:rPr>
          <w:rStyle w:val="FootnoteReference"/>
        </w:rPr>
        <w:footnoteRef/>
      </w:r>
      <w:r>
        <w:t xml:space="preserve"> </w:t>
      </w:r>
      <w:r w:rsidR="001A44C3">
        <w:tab/>
      </w:r>
      <w:r>
        <w:t xml:space="preserve">Given the observed correlation, it would not have been possible to identify different effects in any case. </w:t>
      </w:r>
    </w:p>
  </w:footnote>
  <w:footnote w:id="9">
    <w:p w:rsidR="00045A37" w:rsidRDefault="00045A37">
      <w:pPr>
        <w:pStyle w:val="FootnoteText"/>
      </w:pPr>
      <w:r>
        <w:rPr>
          <w:rStyle w:val="FootnoteReference"/>
        </w:rPr>
        <w:footnoteRef/>
      </w:r>
      <w:r>
        <w:t xml:space="preserve"> </w:t>
      </w:r>
      <w:r>
        <w:tab/>
        <w:t xml:space="preserve">A marginal effect measures the association between a change in one explanatory variable (for example, literacy and numeracy skills or education) and the dependent variable (in this case either labour force status or wages) when all other variables are held constant. </w:t>
      </w:r>
    </w:p>
  </w:footnote>
  <w:footnote w:id="10">
    <w:p w:rsidR="00045A37" w:rsidRDefault="00045A37">
      <w:pPr>
        <w:pStyle w:val="FootnoteText"/>
      </w:pPr>
      <w:r>
        <w:rPr>
          <w:rStyle w:val="FootnoteReference"/>
        </w:rPr>
        <w:footnoteRef/>
      </w:r>
      <w:r>
        <w:t xml:space="preserve"> </w:t>
      </w:r>
      <w:r>
        <w:tab/>
        <w:t>In the labour force status model, the dependent variable is categorical, with three mutually exclusives outcomes (employed, unemployed or not in the labour force), requiring a multinomial model.</w:t>
      </w:r>
    </w:p>
  </w:footnote>
  <w:footnote w:id="11">
    <w:p w:rsidR="00045A37" w:rsidRDefault="00045A37" w:rsidP="00C001FF">
      <w:pPr>
        <w:pStyle w:val="FootnoteText"/>
      </w:pPr>
      <w:r>
        <w:rPr>
          <w:rStyle w:val="FootnoteReference"/>
        </w:rPr>
        <w:footnoteRef/>
      </w:r>
      <w:r>
        <w:t xml:space="preserve"> </w:t>
      </w:r>
      <w:r>
        <w:tab/>
        <w:t xml:space="preserve">For most people, an increase in test score of 50 points is equivalent to one skill level, as the </w:t>
      </w:r>
      <w:r w:rsidR="00580080">
        <w:br/>
      </w:r>
      <w:r>
        <w:t>cut-off between levels are 50 points apart except for people assessed below skill level 1 (table 2.1). (</w:t>
      </w:r>
      <w:r w:rsidR="00E5437E">
        <w:t>A</w:t>
      </w:r>
      <w:r>
        <w:t xml:space="preserve">ppendix A </w:t>
      </w:r>
      <w:r w:rsidR="00E5437E">
        <w:t>has a</w:t>
      </w:r>
      <w:r>
        <w:t xml:space="preserve"> discussion of skill levels and test scores).</w:t>
      </w:r>
    </w:p>
  </w:footnote>
  <w:footnote w:id="12">
    <w:p w:rsidR="00045A37" w:rsidRDefault="00045A37" w:rsidP="00416DA3">
      <w:pPr>
        <w:pStyle w:val="FootnoteText"/>
      </w:pPr>
      <w:r>
        <w:rPr>
          <w:rStyle w:val="FootnoteReference"/>
        </w:rPr>
        <w:footnoteRef/>
      </w:r>
      <w:r w:rsidR="00D9093E">
        <w:tab/>
      </w:r>
      <w:r>
        <w:t xml:space="preserve">This was tested by including interaction terms for literacy and numeracy </w:t>
      </w:r>
      <w:r w:rsidR="00F80C67">
        <w:t xml:space="preserve">skills </w:t>
      </w:r>
      <w:r>
        <w:t>and educational attainment in the labour force status model. The coefficients on the interaction terms were not significantly different from zero.</w:t>
      </w:r>
    </w:p>
  </w:footnote>
  <w:footnote w:id="13">
    <w:p w:rsidR="00045A37" w:rsidRDefault="00045A37" w:rsidP="00720731">
      <w:pPr>
        <w:pStyle w:val="FootnoteText"/>
      </w:pPr>
      <w:r>
        <w:rPr>
          <w:rStyle w:val="FootnoteReference"/>
        </w:rPr>
        <w:footnoteRef/>
      </w:r>
      <w:r w:rsidR="00D9093E">
        <w:tab/>
      </w:r>
      <w:r w:rsidR="00383E8E">
        <w:t>T</w:t>
      </w:r>
      <w:r>
        <w:t>he OECD (</w:t>
      </w:r>
      <w:proofErr w:type="spellStart"/>
      <w:r>
        <w:t>2013a</w:t>
      </w:r>
      <w:proofErr w:type="spellEnd"/>
      <w:r>
        <w:t>)</w:t>
      </w:r>
      <w:r w:rsidR="00383E8E">
        <w:t xml:space="preserve"> used a one standard deviation in literacy test scores and reported results using ‘odds ratios’. For comparability with the OECD (</w:t>
      </w:r>
      <w:proofErr w:type="spellStart"/>
      <w:r w:rsidR="00383E8E">
        <w:t>2013a</w:t>
      </w:r>
      <w:proofErr w:type="spellEnd"/>
      <w:r w:rsidR="00383E8E">
        <w:t>)</w:t>
      </w:r>
      <w:r>
        <w:t xml:space="preserve">, a change in literacy test scores of </w:t>
      </w:r>
      <w:r w:rsidR="00383E8E">
        <w:t>one standard deviation (</w:t>
      </w:r>
      <w:r>
        <w:t>47 points</w:t>
      </w:r>
      <w:r w:rsidR="00383E8E">
        <w:t>)</w:t>
      </w:r>
      <w:r>
        <w:t xml:space="preserve"> was </w:t>
      </w:r>
      <w:r w:rsidR="00D9093E">
        <w:t xml:space="preserve">also used here </w:t>
      </w:r>
      <w:r>
        <w:t>and the model re-estimated for labour force participation. This gave an odds ratio of 1.23, very close to the 1.20 reported in OECD (</w:t>
      </w:r>
      <w:proofErr w:type="spellStart"/>
      <w:r>
        <w:t>2013a</w:t>
      </w:r>
      <w:proofErr w:type="spellEnd"/>
      <w:r>
        <w:t>). An odds ratio of 1.20 means that a person is 20 per cent more likely to participate, given his or her probability of participating. That is, for someone with a 50 per cent probability of participation, an odds ratio of 1.20 implies that the person’s probability of emplo</w:t>
      </w:r>
      <w:r w:rsidR="00B1401E">
        <w:t>yment increases to 60 per cent</w:t>
      </w:r>
      <w:r>
        <w:t>.</w:t>
      </w:r>
    </w:p>
  </w:footnote>
  <w:footnote w:id="14">
    <w:p w:rsidR="00E96656" w:rsidRDefault="00E96656" w:rsidP="00E96656">
      <w:pPr>
        <w:pStyle w:val="FootnoteText"/>
      </w:pPr>
      <w:r>
        <w:rPr>
          <w:rStyle w:val="FootnoteReference"/>
        </w:rPr>
        <w:footnoteRef/>
      </w:r>
      <w:r>
        <w:tab/>
        <w:t>A test of significance for the marginal effects along the distribution did not reject the hypothesis that marginal effects were the same along the distribution.</w:t>
      </w:r>
    </w:p>
  </w:footnote>
  <w:footnote w:id="15">
    <w:p w:rsidR="00045A37" w:rsidRDefault="00045A37">
      <w:pPr>
        <w:pStyle w:val="FootnoteText"/>
      </w:pPr>
      <w:r>
        <w:rPr>
          <w:rStyle w:val="FootnoteReference"/>
        </w:rPr>
        <w:footnoteRef/>
      </w:r>
      <w:r>
        <w:tab/>
        <w:t>This marginal effect was still statistically different from zero.</w:t>
      </w:r>
    </w:p>
  </w:footnote>
  <w:footnote w:id="16">
    <w:p w:rsidR="00045A37" w:rsidRDefault="00045A37">
      <w:pPr>
        <w:pStyle w:val="FootnoteText"/>
      </w:pPr>
      <w:r>
        <w:rPr>
          <w:rStyle w:val="FootnoteReference"/>
        </w:rPr>
        <w:footnoteRef/>
      </w:r>
      <w:r>
        <w:t xml:space="preserve"> </w:t>
      </w:r>
      <w:r>
        <w:tab/>
        <w:t>A version of the model was estimated with literacy only (not numeracy). A change in literacy test scores of 47 points was associated with a change in wages o</w:t>
      </w:r>
      <w:r w:rsidR="00A94E6B">
        <w:t>f 8.4 per cent, compared to 7.5 </w:t>
      </w:r>
      <w:r>
        <w:t>per cent reported by the OECD (</w:t>
      </w:r>
      <w:proofErr w:type="spellStart"/>
      <w:r>
        <w:t>2013a</w:t>
      </w:r>
      <w:proofErr w:type="spellEnd"/>
      <w:r>
        <w:t>).</w:t>
      </w:r>
    </w:p>
  </w:footnote>
  <w:footnote w:id="17">
    <w:p w:rsidR="00045A37" w:rsidRDefault="00045A37">
      <w:pPr>
        <w:pStyle w:val="FootnoteText"/>
      </w:pPr>
      <w:r>
        <w:rPr>
          <w:rStyle w:val="FootnoteReference"/>
        </w:rPr>
        <w:footnoteRef/>
      </w:r>
      <w:r>
        <w:t xml:space="preserve"> </w:t>
      </w:r>
      <w:r>
        <w:tab/>
      </w:r>
      <w:proofErr w:type="spellStart"/>
      <w:r>
        <w:t>Hanushek</w:t>
      </w:r>
      <w:proofErr w:type="spellEnd"/>
      <w:r>
        <w:t xml:space="preserve"> et al. (2013) estimated that the change in wages associated with a one standard deviation change in numeracy skills was 10.1 per cent, for a model that pooled </w:t>
      </w:r>
      <w:proofErr w:type="spellStart"/>
      <w:r>
        <w:t>PIAAC</w:t>
      </w:r>
      <w:proofErr w:type="spellEnd"/>
      <w:r>
        <w:t xml:space="preserve"> results across countries.</w:t>
      </w:r>
    </w:p>
  </w:footnote>
  <w:footnote w:id="18">
    <w:p w:rsidR="00045A37" w:rsidRDefault="00045A37">
      <w:pPr>
        <w:pStyle w:val="FootnoteText"/>
      </w:pPr>
      <w:r>
        <w:rPr>
          <w:rStyle w:val="FootnoteReference"/>
        </w:rPr>
        <w:footnoteRef/>
      </w:r>
      <w:r>
        <w:t xml:space="preserve"> </w:t>
      </w:r>
      <w:r>
        <w:tab/>
        <w:t xml:space="preserve">As noted in chapter 2, both literacy and numeracy were lower for immigrants from a </w:t>
      </w:r>
      <w:r w:rsidR="00A94E6B">
        <w:br/>
      </w:r>
      <w:r>
        <w:t>non-English speaking background. This could occur because the tests were done in English.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45A37">
      <w:tc>
        <w:tcPr>
          <w:tcW w:w="2155" w:type="dxa"/>
          <w:tcBorders>
            <w:top w:val="single" w:sz="24" w:space="0" w:color="auto"/>
          </w:tcBorders>
        </w:tcPr>
        <w:p w:rsidR="00045A37" w:rsidRDefault="00045A37" w:rsidP="0019293B">
          <w:pPr>
            <w:pStyle w:val="HeaderEven"/>
          </w:pPr>
        </w:p>
      </w:tc>
      <w:tc>
        <w:tcPr>
          <w:tcW w:w="6634" w:type="dxa"/>
          <w:tcBorders>
            <w:top w:val="single" w:sz="6" w:space="0" w:color="auto"/>
          </w:tcBorders>
        </w:tcPr>
        <w:p w:rsidR="00045A37" w:rsidRDefault="00045A37" w:rsidP="0019293B">
          <w:pPr>
            <w:pStyle w:val="HeaderEven"/>
          </w:pPr>
        </w:p>
      </w:tc>
    </w:tr>
  </w:tbl>
  <w:p w:rsidR="00045A37" w:rsidRDefault="00045A37"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45A37">
      <w:tc>
        <w:tcPr>
          <w:tcW w:w="6634" w:type="dxa"/>
          <w:tcBorders>
            <w:top w:val="single" w:sz="6" w:space="0" w:color="auto"/>
          </w:tcBorders>
        </w:tcPr>
        <w:p w:rsidR="00045A37" w:rsidRDefault="00045A37" w:rsidP="00E669E2">
          <w:pPr>
            <w:pStyle w:val="HeaderOdd"/>
          </w:pPr>
        </w:p>
      </w:tc>
      <w:tc>
        <w:tcPr>
          <w:tcW w:w="2155" w:type="dxa"/>
          <w:tcBorders>
            <w:top w:val="single" w:sz="24" w:space="0" w:color="auto"/>
          </w:tcBorders>
        </w:tcPr>
        <w:p w:rsidR="00045A37" w:rsidRDefault="00045A37" w:rsidP="00E669E2">
          <w:pPr>
            <w:pStyle w:val="HeaderOdd"/>
          </w:pPr>
        </w:p>
      </w:tc>
    </w:tr>
  </w:tbl>
  <w:p w:rsidR="00045A37" w:rsidRDefault="00045A37"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Modelling results"/>
    <w:docVar w:name="ShortReportTitle" w:val="Literacy and numeracy skills in Australia"/>
  </w:docVars>
  <w:rsids>
    <w:rsidRoot w:val="003047D6"/>
    <w:rsid w:val="000037FE"/>
    <w:rsid w:val="00005C03"/>
    <w:rsid w:val="000063E1"/>
    <w:rsid w:val="00017DA4"/>
    <w:rsid w:val="000227D5"/>
    <w:rsid w:val="000245AA"/>
    <w:rsid w:val="000343DC"/>
    <w:rsid w:val="00035635"/>
    <w:rsid w:val="0003664B"/>
    <w:rsid w:val="0004111F"/>
    <w:rsid w:val="00042E9A"/>
    <w:rsid w:val="00045A37"/>
    <w:rsid w:val="00052796"/>
    <w:rsid w:val="000565B3"/>
    <w:rsid w:val="0005770E"/>
    <w:rsid w:val="0007150B"/>
    <w:rsid w:val="00071951"/>
    <w:rsid w:val="0007754D"/>
    <w:rsid w:val="00080545"/>
    <w:rsid w:val="000938F5"/>
    <w:rsid w:val="00096E55"/>
    <w:rsid w:val="0009731F"/>
    <w:rsid w:val="000A39EB"/>
    <w:rsid w:val="000A4A35"/>
    <w:rsid w:val="000A4A86"/>
    <w:rsid w:val="000A5B0E"/>
    <w:rsid w:val="000A63D8"/>
    <w:rsid w:val="000B601B"/>
    <w:rsid w:val="000B7163"/>
    <w:rsid w:val="000B7E67"/>
    <w:rsid w:val="000C207E"/>
    <w:rsid w:val="000C785E"/>
    <w:rsid w:val="000D3086"/>
    <w:rsid w:val="000D6598"/>
    <w:rsid w:val="000E5D12"/>
    <w:rsid w:val="000F0035"/>
    <w:rsid w:val="000F0D07"/>
    <w:rsid w:val="000F420B"/>
    <w:rsid w:val="00100C38"/>
    <w:rsid w:val="001020C3"/>
    <w:rsid w:val="0010786E"/>
    <w:rsid w:val="00110116"/>
    <w:rsid w:val="00120072"/>
    <w:rsid w:val="00122A5D"/>
    <w:rsid w:val="00123A08"/>
    <w:rsid w:val="0012513D"/>
    <w:rsid w:val="00126EB8"/>
    <w:rsid w:val="00127425"/>
    <w:rsid w:val="001274D4"/>
    <w:rsid w:val="001363AA"/>
    <w:rsid w:val="001453AB"/>
    <w:rsid w:val="00145A6B"/>
    <w:rsid w:val="00145D8C"/>
    <w:rsid w:val="00160864"/>
    <w:rsid w:val="00163935"/>
    <w:rsid w:val="00165203"/>
    <w:rsid w:val="001703C4"/>
    <w:rsid w:val="001705E0"/>
    <w:rsid w:val="0017150D"/>
    <w:rsid w:val="00172448"/>
    <w:rsid w:val="00181220"/>
    <w:rsid w:val="00183E82"/>
    <w:rsid w:val="00184142"/>
    <w:rsid w:val="001864EC"/>
    <w:rsid w:val="001878BB"/>
    <w:rsid w:val="00191AE0"/>
    <w:rsid w:val="0019293B"/>
    <w:rsid w:val="0019426B"/>
    <w:rsid w:val="001A0715"/>
    <w:rsid w:val="001A3587"/>
    <w:rsid w:val="001A44C3"/>
    <w:rsid w:val="001A4947"/>
    <w:rsid w:val="001B7E07"/>
    <w:rsid w:val="001C0865"/>
    <w:rsid w:val="001C2B54"/>
    <w:rsid w:val="001C3ABA"/>
    <w:rsid w:val="001C73B4"/>
    <w:rsid w:val="001D25A7"/>
    <w:rsid w:val="001D340D"/>
    <w:rsid w:val="001D3614"/>
    <w:rsid w:val="001D3BA1"/>
    <w:rsid w:val="001E23C3"/>
    <w:rsid w:val="001E4E4C"/>
    <w:rsid w:val="001E7BE8"/>
    <w:rsid w:val="001F0248"/>
    <w:rsid w:val="001F2233"/>
    <w:rsid w:val="001F3EB3"/>
    <w:rsid w:val="001F4F86"/>
    <w:rsid w:val="001F6624"/>
    <w:rsid w:val="002014EE"/>
    <w:rsid w:val="00202C2C"/>
    <w:rsid w:val="0020512E"/>
    <w:rsid w:val="002057BE"/>
    <w:rsid w:val="00206ED2"/>
    <w:rsid w:val="002135AB"/>
    <w:rsid w:val="0021381C"/>
    <w:rsid w:val="002144BE"/>
    <w:rsid w:val="00216B94"/>
    <w:rsid w:val="002245B5"/>
    <w:rsid w:val="00224C98"/>
    <w:rsid w:val="002300BF"/>
    <w:rsid w:val="002319AD"/>
    <w:rsid w:val="002408A5"/>
    <w:rsid w:val="00242279"/>
    <w:rsid w:val="00243653"/>
    <w:rsid w:val="00243D86"/>
    <w:rsid w:val="00245C82"/>
    <w:rsid w:val="00254251"/>
    <w:rsid w:val="002560B0"/>
    <w:rsid w:val="0025672D"/>
    <w:rsid w:val="00256CD9"/>
    <w:rsid w:val="00262723"/>
    <w:rsid w:val="00263FF2"/>
    <w:rsid w:val="00266097"/>
    <w:rsid w:val="00266D3F"/>
    <w:rsid w:val="00271B81"/>
    <w:rsid w:val="00281F38"/>
    <w:rsid w:val="00282874"/>
    <w:rsid w:val="002831C1"/>
    <w:rsid w:val="0028354B"/>
    <w:rsid w:val="00291B40"/>
    <w:rsid w:val="002B4008"/>
    <w:rsid w:val="002B4982"/>
    <w:rsid w:val="002B7F21"/>
    <w:rsid w:val="002C1D1F"/>
    <w:rsid w:val="002C47A2"/>
    <w:rsid w:val="002C5A12"/>
    <w:rsid w:val="002C6295"/>
    <w:rsid w:val="002D0E8E"/>
    <w:rsid w:val="002D6CC5"/>
    <w:rsid w:val="002E1016"/>
    <w:rsid w:val="002E73A1"/>
    <w:rsid w:val="00301189"/>
    <w:rsid w:val="003047D6"/>
    <w:rsid w:val="0030674E"/>
    <w:rsid w:val="00313958"/>
    <w:rsid w:val="00313F38"/>
    <w:rsid w:val="00315325"/>
    <w:rsid w:val="003212CF"/>
    <w:rsid w:val="0032361E"/>
    <w:rsid w:val="003236A4"/>
    <w:rsid w:val="00323E09"/>
    <w:rsid w:val="00333932"/>
    <w:rsid w:val="0033787B"/>
    <w:rsid w:val="00340807"/>
    <w:rsid w:val="003518AA"/>
    <w:rsid w:val="00352165"/>
    <w:rsid w:val="00353182"/>
    <w:rsid w:val="003565D9"/>
    <w:rsid w:val="003602E1"/>
    <w:rsid w:val="00361871"/>
    <w:rsid w:val="003631FF"/>
    <w:rsid w:val="00365469"/>
    <w:rsid w:val="00367D75"/>
    <w:rsid w:val="0037026F"/>
    <w:rsid w:val="00371240"/>
    <w:rsid w:val="00374731"/>
    <w:rsid w:val="00376E59"/>
    <w:rsid w:val="00380110"/>
    <w:rsid w:val="003818FD"/>
    <w:rsid w:val="00383E8E"/>
    <w:rsid w:val="00387819"/>
    <w:rsid w:val="003919F9"/>
    <w:rsid w:val="00397EBA"/>
    <w:rsid w:val="003A133D"/>
    <w:rsid w:val="003A4A33"/>
    <w:rsid w:val="003A4A43"/>
    <w:rsid w:val="003B3128"/>
    <w:rsid w:val="003B3BB6"/>
    <w:rsid w:val="003B5788"/>
    <w:rsid w:val="003B5EF3"/>
    <w:rsid w:val="003B6FE4"/>
    <w:rsid w:val="003C38B5"/>
    <w:rsid w:val="003C5D99"/>
    <w:rsid w:val="003D4CC8"/>
    <w:rsid w:val="003E2F59"/>
    <w:rsid w:val="003E48A5"/>
    <w:rsid w:val="003E6B76"/>
    <w:rsid w:val="003F0789"/>
    <w:rsid w:val="004001AC"/>
    <w:rsid w:val="00401683"/>
    <w:rsid w:val="00401882"/>
    <w:rsid w:val="00405B87"/>
    <w:rsid w:val="004100C8"/>
    <w:rsid w:val="00411DBD"/>
    <w:rsid w:val="00412ACE"/>
    <w:rsid w:val="00414D23"/>
    <w:rsid w:val="00416DA3"/>
    <w:rsid w:val="004217A3"/>
    <w:rsid w:val="00421B30"/>
    <w:rsid w:val="00425AD5"/>
    <w:rsid w:val="00431249"/>
    <w:rsid w:val="004320D9"/>
    <w:rsid w:val="00432C4E"/>
    <w:rsid w:val="00434AD1"/>
    <w:rsid w:val="00434C19"/>
    <w:rsid w:val="00450810"/>
    <w:rsid w:val="0045166F"/>
    <w:rsid w:val="00456C3B"/>
    <w:rsid w:val="004620E2"/>
    <w:rsid w:val="004649B3"/>
    <w:rsid w:val="00473D6C"/>
    <w:rsid w:val="00473FEA"/>
    <w:rsid w:val="00477144"/>
    <w:rsid w:val="00477E55"/>
    <w:rsid w:val="004800DB"/>
    <w:rsid w:val="00482150"/>
    <w:rsid w:val="004831B3"/>
    <w:rsid w:val="00487257"/>
    <w:rsid w:val="00491380"/>
    <w:rsid w:val="0049459F"/>
    <w:rsid w:val="004A38DD"/>
    <w:rsid w:val="004A451F"/>
    <w:rsid w:val="004B0EB7"/>
    <w:rsid w:val="004B43AE"/>
    <w:rsid w:val="004B5249"/>
    <w:rsid w:val="004C30ED"/>
    <w:rsid w:val="004C6C1D"/>
    <w:rsid w:val="004D2014"/>
    <w:rsid w:val="004D36EF"/>
    <w:rsid w:val="004D5675"/>
    <w:rsid w:val="004E1958"/>
    <w:rsid w:val="004E47CF"/>
    <w:rsid w:val="004F10A2"/>
    <w:rsid w:val="005012E9"/>
    <w:rsid w:val="00503308"/>
    <w:rsid w:val="00506CF1"/>
    <w:rsid w:val="00507BFA"/>
    <w:rsid w:val="00515594"/>
    <w:rsid w:val="00515B9F"/>
    <w:rsid w:val="00522561"/>
    <w:rsid w:val="00523639"/>
    <w:rsid w:val="00526CB1"/>
    <w:rsid w:val="005279FE"/>
    <w:rsid w:val="00531FE5"/>
    <w:rsid w:val="00535D84"/>
    <w:rsid w:val="005402FA"/>
    <w:rsid w:val="005464E4"/>
    <w:rsid w:val="00552465"/>
    <w:rsid w:val="00560815"/>
    <w:rsid w:val="00571D41"/>
    <w:rsid w:val="00572D8A"/>
    <w:rsid w:val="0057363B"/>
    <w:rsid w:val="00576FE1"/>
    <w:rsid w:val="00580080"/>
    <w:rsid w:val="005816CD"/>
    <w:rsid w:val="005823D4"/>
    <w:rsid w:val="00583C39"/>
    <w:rsid w:val="00586A01"/>
    <w:rsid w:val="00587F28"/>
    <w:rsid w:val="005909CF"/>
    <w:rsid w:val="00591E71"/>
    <w:rsid w:val="0059392E"/>
    <w:rsid w:val="0059563D"/>
    <w:rsid w:val="00596D4D"/>
    <w:rsid w:val="005A0D41"/>
    <w:rsid w:val="005A0DE0"/>
    <w:rsid w:val="005A3A54"/>
    <w:rsid w:val="005B3E78"/>
    <w:rsid w:val="005B6782"/>
    <w:rsid w:val="005C47EE"/>
    <w:rsid w:val="005D68C4"/>
    <w:rsid w:val="005E236E"/>
    <w:rsid w:val="005E34E5"/>
    <w:rsid w:val="005E3894"/>
    <w:rsid w:val="005F3C00"/>
    <w:rsid w:val="005F78C1"/>
    <w:rsid w:val="00607BF1"/>
    <w:rsid w:val="00612C3F"/>
    <w:rsid w:val="00613E3B"/>
    <w:rsid w:val="0062160C"/>
    <w:rsid w:val="00622EBB"/>
    <w:rsid w:val="0062379C"/>
    <w:rsid w:val="006244A8"/>
    <w:rsid w:val="00624FF7"/>
    <w:rsid w:val="006275F0"/>
    <w:rsid w:val="00630D4D"/>
    <w:rsid w:val="006317EC"/>
    <w:rsid w:val="006321DF"/>
    <w:rsid w:val="00632A74"/>
    <w:rsid w:val="006404D4"/>
    <w:rsid w:val="00644115"/>
    <w:rsid w:val="00650CF7"/>
    <w:rsid w:val="0065194E"/>
    <w:rsid w:val="006636F8"/>
    <w:rsid w:val="00670CD6"/>
    <w:rsid w:val="00670DA3"/>
    <w:rsid w:val="006827C5"/>
    <w:rsid w:val="0068298D"/>
    <w:rsid w:val="00683087"/>
    <w:rsid w:val="00685F3F"/>
    <w:rsid w:val="006940F7"/>
    <w:rsid w:val="006A4655"/>
    <w:rsid w:val="006A755B"/>
    <w:rsid w:val="006B1734"/>
    <w:rsid w:val="006B2B3C"/>
    <w:rsid w:val="006B4AF4"/>
    <w:rsid w:val="006B51DC"/>
    <w:rsid w:val="006C1D81"/>
    <w:rsid w:val="006C68B9"/>
    <w:rsid w:val="006C7038"/>
    <w:rsid w:val="006D053D"/>
    <w:rsid w:val="006D2700"/>
    <w:rsid w:val="006E2E08"/>
    <w:rsid w:val="006E3EF9"/>
    <w:rsid w:val="006E4316"/>
    <w:rsid w:val="006E73EF"/>
    <w:rsid w:val="006F3C65"/>
    <w:rsid w:val="006F4AFE"/>
    <w:rsid w:val="006F5D9F"/>
    <w:rsid w:val="006F5EE1"/>
    <w:rsid w:val="00700148"/>
    <w:rsid w:val="00702EAA"/>
    <w:rsid w:val="00704B1B"/>
    <w:rsid w:val="00706F9C"/>
    <w:rsid w:val="00714AD3"/>
    <w:rsid w:val="00714D4D"/>
    <w:rsid w:val="00720731"/>
    <w:rsid w:val="00721122"/>
    <w:rsid w:val="007219EF"/>
    <w:rsid w:val="00724F49"/>
    <w:rsid w:val="007251E1"/>
    <w:rsid w:val="00731B57"/>
    <w:rsid w:val="007358D0"/>
    <w:rsid w:val="00737474"/>
    <w:rsid w:val="00742007"/>
    <w:rsid w:val="007449B5"/>
    <w:rsid w:val="007604BB"/>
    <w:rsid w:val="00760D33"/>
    <w:rsid w:val="0076757B"/>
    <w:rsid w:val="007700C4"/>
    <w:rsid w:val="00772237"/>
    <w:rsid w:val="00772EF5"/>
    <w:rsid w:val="007730F3"/>
    <w:rsid w:val="00777D63"/>
    <w:rsid w:val="007836E7"/>
    <w:rsid w:val="00785232"/>
    <w:rsid w:val="00796833"/>
    <w:rsid w:val="00796CD4"/>
    <w:rsid w:val="007A1B21"/>
    <w:rsid w:val="007A21EB"/>
    <w:rsid w:val="007B1154"/>
    <w:rsid w:val="007B1A93"/>
    <w:rsid w:val="007C357E"/>
    <w:rsid w:val="007C36C9"/>
    <w:rsid w:val="007C52BD"/>
    <w:rsid w:val="007C6103"/>
    <w:rsid w:val="007D3776"/>
    <w:rsid w:val="007D4B64"/>
    <w:rsid w:val="007D6401"/>
    <w:rsid w:val="007D7984"/>
    <w:rsid w:val="007E01E4"/>
    <w:rsid w:val="007E6259"/>
    <w:rsid w:val="007E6909"/>
    <w:rsid w:val="007E6F4B"/>
    <w:rsid w:val="007E72BA"/>
    <w:rsid w:val="007F40F0"/>
    <w:rsid w:val="007F7107"/>
    <w:rsid w:val="00800D4C"/>
    <w:rsid w:val="0081030F"/>
    <w:rsid w:val="00811EB7"/>
    <w:rsid w:val="00816E03"/>
    <w:rsid w:val="0082087D"/>
    <w:rsid w:val="00826DA5"/>
    <w:rsid w:val="00835771"/>
    <w:rsid w:val="00836EB0"/>
    <w:rsid w:val="00840F59"/>
    <w:rsid w:val="00842933"/>
    <w:rsid w:val="008467ED"/>
    <w:rsid w:val="008470CD"/>
    <w:rsid w:val="0085485F"/>
    <w:rsid w:val="0086082C"/>
    <w:rsid w:val="00864ADC"/>
    <w:rsid w:val="0086500C"/>
    <w:rsid w:val="00873003"/>
    <w:rsid w:val="00880153"/>
    <w:rsid w:val="00880F97"/>
    <w:rsid w:val="0088133A"/>
    <w:rsid w:val="0088273A"/>
    <w:rsid w:val="00882F46"/>
    <w:rsid w:val="0089285E"/>
    <w:rsid w:val="00893597"/>
    <w:rsid w:val="0089436C"/>
    <w:rsid w:val="008A0703"/>
    <w:rsid w:val="008A413C"/>
    <w:rsid w:val="008B4298"/>
    <w:rsid w:val="008B5348"/>
    <w:rsid w:val="008B69C4"/>
    <w:rsid w:val="008C477D"/>
    <w:rsid w:val="008C68C3"/>
    <w:rsid w:val="008D365C"/>
    <w:rsid w:val="008D49FB"/>
    <w:rsid w:val="008D6B69"/>
    <w:rsid w:val="008E0A76"/>
    <w:rsid w:val="008E1A21"/>
    <w:rsid w:val="008E55CC"/>
    <w:rsid w:val="008E5E96"/>
    <w:rsid w:val="008F2A48"/>
    <w:rsid w:val="00902ED8"/>
    <w:rsid w:val="009030BF"/>
    <w:rsid w:val="00904AAA"/>
    <w:rsid w:val="0091032F"/>
    <w:rsid w:val="00913382"/>
    <w:rsid w:val="00914368"/>
    <w:rsid w:val="009164AC"/>
    <w:rsid w:val="00917BB9"/>
    <w:rsid w:val="00931076"/>
    <w:rsid w:val="009345D9"/>
    <w:rsid w:val="00934B15"/>
    <w:rsid w:val="00940C06"/>
    <w:rsid w:val="00940C87"/>
    <w:rsid w:val="009416BE"/>
    <w:rsid w:val="00942B62"/>
    <w:rsid w:val="0094301A"/>
    <w:rsid w:val="00952B43"/>
    <w:rsid w:val="0095323B"/>
    <w:rsid w:val="00956A0C"/>
    <w:rsid w:val="00956BD9"/>
    <w:rsid w:val="00962489"/>
    <w:rsid w:val="00963512"/>
    <w:rsid w:val="009660D0"/>
    <w:rsid w:val="0097397B"/>
    <w:rsid w:val="00974068"/>
    <w:rsid w:val="009819DF"/>
    <w:rsid w:val="00982234"/>
    <w:rsid w:val="00982F87"/>
    <w:rsid w:val="00986A47"/>
    <w:rsid w:val="009875F1"/>
    <w:rsid w:val="00990C2C"/>
    <w:rsid w:val="00993501"/>
    <w:rsid w:val="00997250"/>
    <w:rsid w:val="009A2262"/>
    <w:rsid w:val="009C5306"/>
    <w:rsid w:val="009D7492"/>
    <w:rsid w:val="009E1844"/>
    <w:rsid w:val="009E2877"/>
    <w:rsid w:val="009E7C32"/>
    <w:rsid w:val="009E7EA9"/>
    <w:rsid w:val="009F06A4"/>
    <w:rsid w:val="009F0D1B"/>
    <w:rsid w:val="009F696D"/>
    <w:rsid w:val="009F6BC6"/>
    <w:rsid w:val="00A00151"/>
    <w:rsid w:val="00A07399"/>
    <w:rsid w:val="00A1084A"/>
    <w:rsid w:val="00A17328"/>
    <w:rsid w:val="00A22146"/>
    <w:rsid w:val="00A23A20"/>
    <w:rsid w:val="00A23B7B"/>
    <w:rsid w:val="00A268B9"/>
    <w:rsid w:val="00A26A29"/>
    <w:rsid w:val="00A2703A"/>
    <w:rsid w:val="00A312F1"/>
    <w:rsid w:val="00A33DFF"/>
    <w:rsid w:val="00A35115"/>
    <w:rsid w:val="00A36D9A"/>
    <w:rsid w:val="00A43771"/>
    <w:rsid w:val="00A554AB"/>
    <w:rsid w:val="00A55A7F"/>
    <w:rsid w:val="00A57062"/>
    <w:rsid w:val="00A57A6D"/>
    <w:rsid w:val="00A84187"/>
    <w:rsid w:val="00A90493"/>
    <w:rsid w:val="00A907C4"/>
    <w:rsid w:val="00A92B53"/>
    <w:rsid w:val="00A94E18"/>
    <w:rsid w:val="00A94E6B"/>
    <w:rsid w:val="00A94FA6"/>
    <w:rsid w:val="00AA49A0"/>
    <w:rsid w:val="00AA4D69"/>
    <w:rsid w:val="00AA6710"/>
    <w:rsid w:val="00AB0681"/>
    <w:rsid w:val="00AB3278"/>
    <w:rsid w:val="00AC27E1"/>
    <w:rsid w:val="00AC6592"/>
    <w:rsid w:val="00AD473F"/>
    <w:rsid w:val="00AD520B"/>
    <w:rsid w:val="00AD5387"/>
    <w:rsid w:val="00AD78F3"/>
    <w:rsid w:val="00AE0893"/>
    <w:rsid w:val="00AE14A5"/>
    <w:rsid w:val="00AE2FEF"/>
    <w:rsid w:val="00AF019E"/>
    <w:rsid w:val="00AF503B"/>
    <w:rsid w:val="00AF6C4F"/>
    <w:rsid w:val="00B079E3"/>
    <w:rsid w:val="00B11568"/>
    <w:rsid w:val="00B1401E"/>
    <w:rsid w:val="00B34FC2"/>
    <w:rsid w:val="00B425C3"/>
    <w:rsid w:val="00B440AD"/>
    <w:rsid w:val="00B479BB"/>
    <w:rsid w:val="00B53E7E"/>
    <w:rsid w:val="00B56176"/>
    <w:rsid w:val="00B6342E"/>
    <w:rsid w:val="00B70342"/>
    <w:rsid w:val="00B7113F"/>
    <w:rsid w:val="00B74843"/>
    <w:rsid w:val="00B76069"/>
    <w:rsid w:val="00B80779"/>
    <w:rsid w:val="00B85E94"/>
    <w:rsid w:val="00B90330"/>
    <w:rsid w:val="00B907B1"/>
    <w:rsid w:val="00B9590C"/>
    <w:rsid w:val="00B96DAE"/>
    <w:rsid w:val="00BA28EF"/>
    <w:rsid w:val="00BA73B6"/>
    <w:rsid w:val="00BA7E27"/>
    <w:rsid w:val="00BA7E79"/>
    <w:rsid w:val="00BB2603"/>
    <w:rsid w:val="00BB4FCD"/>
    <w:rsid w:val="00BC04E9"/>
    <w:rsid w:val="00BC6A87"/>
    <w:rsid w:val="00BD13EA"/>
    <w:rsid w:val="00BD2DC4"/>
    <w:rsid w:val="00BE08C9"/>
    <w:rsid w:val="00BE0C68"/>
    <w:rsid w:val="00BE3808"/>
    <w:rsid w:val="00BE66B6"/>
    <w:rsid w:val="00BF4914"/>
    <w:rsid w:val="00C001FF"/>
    <w:rsid w:val="00C0514F"/>
    <w:rsid w:val="00C062E9"/>
    <w:rsid w:val="00C07B64"/>
    <w:rsid w:val="00C115E3"/>
    <w:rsid w:val="00C13721"/>
    <w:rsid w:val="00C14FE4"/>
    <w:rsid w:val="00C3066D"/>
    <w:rsid w:val="00C33FEC"/>
    <w:rsid w:val="00C50A8A"/>
    <w:rsid w:val="00C51A5D"/>
    <w:rsid w:val="00C52416"/>
    <w:rsid w:val="00C543F4"/>
    <w:rsid w:val="00C556EB"/>
    <w:rsid w:val="00C55F4A"/>
    <w:rsid w:val="00C6291C"/>
    <w:rsid w:val="00C633CB"/>
    <w:rsid w:val="00C736B7"/>
    <w:rsid w:val="00C7406E"/>
    <w:rsid w:val="00C81D4A"/>
    <w:rsid w:val="00C82239"/>
    <w:rsid w:val="00C86C23"/>
    <w:rsid w:val="00C8762C"/>
    <w:rsid w:val="00C87C66"/>
    <w:rsid w:val="00C938FF"/>
    <w:rsid w:val="00C95614"/>
    <w:rsid w:val="00CA00F9"/>
    <w:rsid w:val="00CA21A9"/>
    <w:rsid w:val="00CA2961"/>
    <w:rsid w:val="00CA3188"/>
    <w:rsid w:val="00CB2B7B"/>
    <w:rsid w:val="00CB33FB"/>
    <w:rsid w:val="00CB50D7"/>
    <w:rsid w:val="00CB5E36"/>
    <w:rsid w:val="00CB7177"/>
    <w:rsid w:val="00CB7420"/>
    <w:rsid w:val="00CC1998"/>
    <w:rsid w:val="00CC4946"/>
    <w:rsid w:val="00CD2B49"/>
    <w:rsid w:val="00CD4785"/>
    <w:rsid w:val="00CD5085"/>
    <w:rsid w:val="00CD6F74"/>
    <w:rsid w:val="00CE61C0"/>
    <w:rsid w:val="00CE6887"/>
    <w:rsid w:val="00CF6800"/>
    <w:rsid w:val="00D021D3"/>
    <w:rsid w:val="00D02457"/>
    <w:rsid w:val="00D03C22"/>
    <w:rsid w:val="00D07759"/>
    <w:rsid w:val="00D120D6"/>
    <w:rsid w:val="00D20810"/>
    <w:rsid w:val="00D270A4"/>
    <w:rsid w:val="00D31FE9"/>
    <w:rsid w:val="00D34E1B"/>
    <w:rsid w:val="00D36BE5"/>
    <w:rsid w:val="00D376BA"/>
    <w:rsid w:val="00D42A2D"/>
    <w:rsid w:val="00D444AC"/>
    <w:rsid w:val="00D45634"/>
    <w:rsid w:val="00D52DFD"/>
    <w:rsid w:val="00D5568A"/>
    <w:rsid w:val="00D63C29"/>
    <w:rsid w:val="00D63D73"/>
    <w:rsid w:val="00D64452"/>
    <w:rsid w:val="00D65BB5"/>
    <w:rsid w:val="00D66D7E"/>
    <w:rsid w:val="00D66E1E"/>
    <w:rsid w:val="00D75722"/>
    <w:rsid w:val="00D80CF5"/>
    <w:rsid w:val="00D811E8"/>
    <w:rsid w:val="00D856DE"/>
    <w:rsid w:val="00D87D12"/>
    <w:rsid w:val="00D9093E"/>
    <w:rsid w:val="00D932B4"/>
    <w:rsid w:val="00D94A88"/>
    <w:rsid w:val="00D96A34"/>
    <w:rsid w:val="00DA52A8"/>
    <w:rsid w:val="00DA548E"/>
    <w:rsid w:val="00DA5BBA"/>
    <w:rsid w:val="00DB02A6"/>
    <w:rsid w:val="00DB080C"/>
    <w:rsid w:val="00DB1B9B"/>
    <w:rsid w:val="00DB26D2"/>
    <w:rsid w:val="00DB4FB6"/>
    <w:rsid w:val="00DB67C9"/>
    <w:rsid w:val="00DC0C95"/>
    <w:rsid w:val="00DC7C7A"/>
    <w:rsid w:val="00DD6580"/>
    <w:rsid w:val="00DE16FC"/>
    <w:rsid w:val="00E01F80"/>
    <w:rsid w:val="00E06E44"/>
    <w:rsid w:val="00E1532F"/>
    <w:rsid w:val="00E17C72"/>
    <w:rsid w:val="00E21FC6"/>
    <w:rsid w:val="00E30A1F"/>
    <w:rsid w:val="00E431A9"/>
    <w:rsid w:val="00E45226"/>
    <w:rsid w:val="00E4593F"/>
    <w:rsid w:val="00E5437E"/>
    <w:rsid w:val="00E54D33"/>
    <w:rsid w:val="00E6233F"/>
    <w:rsid w:val="00E669E2"/>
    <w:rsid w:val="00E71B84"/>
    <w:rsid w:val="00E76135"/>
    <w:rsid w:val="00E80B61"/>
    <w:rsid w:val="00E81CBA"/>
    <w:rsid w:val="00E82F4F"/>
    <w:rsid w:val="00E87DFF"/>
    <w:rsid w:val="00E96656"/>
    <w:rsid w:val="00EA1CA0"/>
    <w:rsid w:val="00EA5AF5"/>
    <w:rsid w:val="00EB7D98"/>
    <w:rsid w:val="00EC2844"/>
    <w:rsid w:val="00EC5189"/>
    <w:rsid w:val="00EC5500"/>
    <w:rsid w:val="00ED1869"/>
    <w:rsid w:val="00ED18F8"/>
    <w:rsid w:val="00ED3EAF"/>
    <w:rsid w:val="00EE56B2"/>
    <w:rsid w:val="00EE579A"/>
    <w:rsid w:val="00EF4E46"/>
    <w:rsid w:val="00EF5FAA"/>
    <w:rsid w:val="00EF672C"/>
    <w:rsid w:val="00EF67CA"/>
    <w:rsid w:val="00EF6C6C"/>
    <w:rsid w:val="00F00190"/>
    <w:rsid w:val="00F0214A"/>
    <w:rsid w:val="00F02322"/>
    <w:rsid w:val="00F02981"/>
    <w:rsid w:val="00F04985"/>
    <w:rsid w:val="00F056FC"/>
    <w:rsid w:val="00F10476"/>
    <w:rsid w:val="00F135D8"/>
    <w:rsid w:val="00F17261"/>
    <w:rsid w:val="00F2110E"/>
    <w:rsid w:val="00F31299"/>
    <w:rsid w:val="00F3534A"/>
    <w:rsid w:val="00F43653"/>
    <w:rsid w:val="00F44CB3"/>
    <w:rsid w:val="00F51041"/>
    <w:rsid w:val="00F51609"/>
    <w:rsid w:val="00F5255E"/>
    <w:rsid w:val="00F53914"/>
    <w:rsid w:val="00F553AF"/>
    <w:rsid w:val="00F572E2"/>
    <w:rsid w:val="00F61B67"/>
    <w:rsid w:val="00F62C43"/>
    <w:rsid w:val="00F63130"/>
    <w:rsid w:val="00F67306"/>
    <w:rsid w:val="00F75E31"/>
    <w:rsid w:val="00F76154"/>
    <w:rsid w:val="00F80C67"/>
    <w:rsid w:val="00F81006"/>
    <w:rsid w:val="00F85325"/>
    <w:rsid w:val="00F8593C"/>
    <w:rsid w:val="00F9086C"/>
    <w:rsid w:val="00F934E2"/>
    <w:rsid w:val="00FA0315"/>
    <w:rsid w:val="00FA2C44"/>
    <w:rsid w:val="00FB1610"/>
    <w:rsid w:val="00FB6847"/>
    <w:rsid w:val="00FC5BF4"/>
    <w:rsid w:val="00FC60A5"/>
    <w:rsid w:val="00FD22B1"/>
    <w:rsid w:val="00FD6EAE"/>
    <w:rsid w:val="00FD71AB"/>
    <w:rsid w:val="00FE0200"/>
    <w:rsid w:val="00FE31A4"/>
    <w:rsid w:val="00FE5397"/>
    <w:rsid w:val="00FF12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8B4298"/>
    <w:rPr>
      <w:rFonts w:ascii="Calibri" w:hAnsi="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sz w:val="26"/>
      <w:szCs w:val="24"/>
      <w:lang w:eastAsia="en-AU"/>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rFonts w:ascii="Times New Roman" w:hAnsi="Times New Roman"/>
      <w:sz w:val="20"/>
      <w:szCs w:val="24"/>
      <w:lang w:eastAsia="en-AU"/>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rFonts w:ascii="Times New Roman" w:hAnsi="Times New Roman"/>
      <w:b/>
      <w:caps/>
      <w:sz w:val="26"/>
      <w:szCs w:val="24"/>
      <w:lang w:eastAsia="en-AU"/>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lang w:eastAsia="en-AU"/>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EF67CA"/>
    <w:rPr>
      <w:sz w:val="26"/>
    </w:rPr>
  </w:style>
  <w:style w:type="paragraph" w:styleId="CommentSubject">
    <w:name w:val="annotation subject"/>
    <w:basedOn w:val="CommentText"/>
    <w:next w:val="CommentText"/>
    <w:link w:val="CommentSubjectChar"/>
    <w:rsid w:val="00122A5D"/>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122A5D"/>
    <w:rPr>
      <w:szCs w:val="24"/>
    </w:rPr>
  </w:style>
  <w:style w:type="character" w:customStyle="1" w:styleId="CommentSubjectChar">
    <w:name w:val="Comment Subject Char"/>
    <w:basedOn w:val="CommentTextChar"/>
    <w:link w:val="CommentSubject"/>
    <w:rsid w:val="00122A5D"/>
    <w:rPr>
      <w:b/>
      <w:bCs/>
      <w:szCs w:val="24"/>
    </w:rPr>
  </w:style>
  <w:style w:type="paragraph" w:styleId="Revision">
    <w:name w:val="Revision"/>
    <w:hidden/>
    <w:uiPriority w:val="99"/>
    <w:semiHidden/>
    <w:rsid w:val="00FD71AB"/>
    <w:rPr>
      <w:sz w:val="26"/>
      <w:szCs w:val="24"/>
    </w:rPr>
  </w:style>
  <w:style w:type="paragraph" w:styleId="EndnoteText">
    <w:name w:val="endnote text"/>
    <w:basedOn w:val="Normal"/>
    <w:link w:val="EndnoteTextChar"/>
    <w:rsid w:val="001D3614"/>
    <w:rPr>
      <w:sz w:val="20"/>
      <w:szCs w:val="20"/>
    </w:rPr>
  </w:style>
  <w:style w:type="character" w:customStyle="1" w:styleId="EndnoteTextChar">
    <w:name w:val="Endnote Text Char"/>
    <w:basedOn w:val="DefaultParagraphFont"/>
    <w:link w:val="EndnoteText"/>
    <w:rsid w:val="001D3614"/>
    <w:rPr>
      <w:rFonts w:ascii="Calibri" w:hAnsi="Calibri"/>
      <w:lang w:eastAsia="en-US"/>
    </w:rPr>
  </w:style>
  <w:style w:type="character" w:styleId="EndnoteReference">
    <w:name w:val="endnote reference"/>
    <w:basedOn w:val="DefaultParagraphFont"/>
    <w:rsid w:val="001D361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8B4298"/>
    <w:rPr>
      <w:rFonts w:ascii="Calibri" w:hAnsi="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sz w:val="26"/>
      <w:szCs w:val="24"/>
      <w:lang w:eastAsia="en-AU"/>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rFonts w:ascii="Times New Roman" w:hAnsi="Times New Roman"/>
      <w:sz w:val="20"/>
      <w:szCs w:val="24"/>
      <w:lang w:eastAsia="en-AU"/>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rFonts w:ascii="Times New Roman" w:hAnsi="Times New Roman"/>
      <w:b/>
      <w:caps/>
      <w:sz w:val="26"/>
      <w:szCs w:val="24"/>
      <w:lang w:eastAsia="en-AU"/>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lang w:eastAsia="en-AU"/>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EF67CA"/>
    <w:rPr>
      <w:sz w:val="26"/>
    </w:rPr>
  </w:style>
  <w:style w:type="paragraph" w:styleId="CommentSubject">
    <w:name w:val="annotation subject"/>
    <w:basedOn w:val="CommentText"/>
    <w:next w:val="CommentText"/>
    <w:link w:val="CommentSubjectChar"/>
    <w:rsid w:val="00122A5D"/>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122A5D"/>
    <w:rPr>
      <w:szCs w:val="24"/>
    </w:rPr>
  </w:style>
  <w:style w:type="character" w:customStyle="1" w:styleId="CommentSubjectChar">
    <w:name w:val="Comment Subject Char"/>
    <w:basedOn w:val="CommentTextChar"/>
    <w:link w:val="CommentSubject"/>
    <w:rsid w:val="00122A5D"/>
    <w:rPr>
      <w:b/>
      <w:bCs/>
      <w:szCs w:val="24"/>
    </w:rPr>
  </w:style>
  <w:style w:type="paragraph" w:styleId="Revision">
    <w:name w:val="Revision"/>
    <w:hidden/>
    <w:uiPriority w:val="99"/>
    <w:semiHidden/>
    <w:rsid w:val="00FD71AB"/>
    <w:rPr>
      <w:sz w:val="26"/>
      <w:szCs w:val="24"/>
    </w:rPr>
  </w:style>
  <w:style w:type="paragraph" w:styleId="EndnoteText">
    <w:name w:val="endnote text"/>
    <w:basedOn w:val="Normal"/>
    <w:link w:val="EndnoteTextChar"/>
    <w:rsid w:val="001D3614"/>
    <w:rPr>
      <w:sz w:val="20"/>
      <w:szCs w:val="20"/>
    </w:rPr>
  </w:style>
  <w:style w:type="character" w:customStyle="1" w:styleId="EndnoteTextChar">
    <w:name w:val="Endnote Text Char"/>
    <w:basedOn w:val="DefaultParagraphFont"/>
    <w:link w:val="EndnoteText"/>
    <w:rsid w:val="001D3614"/>
    <w:rPr>
      <w:rFonts w:ascii="Calibri" w:hAnsi="Calibri"/>
      <w:lang w:eastAsia="en-US"/>
    </w:rPr>
  </w:style>
  <w:style w:type="character" w:styleId="EndnoteReference">
    <w:name w:val="endnote reference"/>
    <w:basedOn w:val="DefaultParagraphFont"/>
    <w:rsid w:val="001D36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610451">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2814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'lfp model'!$E$2</c:f>
              <c:strCache>
                <c:ptCount val="1"/>
                <c:pt idx="0">
                  <c:v>Men</c:v>
                </c:pt>
              </c:strCache>
            </c:strRef>
          </c:tx>
          <c:invertIfNegative val="0"/>
          <c:errBars>
            <c:errBarType val="both"/>
            <c:errValType val="cust"/>
            <c:noEndCap val="0"/>
            <c:plus>
              <c:numRef>
                <c:f>'lfp model'!$F$3:$F$6</c:f>
                <c:numCache>
                  <c:formatCode>General</c:formatCode>
                  <c:ptCount val="4"/>
                  <c:pt idx="0">
                    <c:v>1.4480284000000001</c:v>
                  </c:pt>
                  <c:pt idx="1">
                    <c:v>4.3587264000000001</c:v>
                  </c:pt>
                  <c:pt idx="2">
                    <c:v>3.1583244000000001</c:v>
                  </c:pt>
                  <c:pt idx="3">
                    <c:v>4.2426355999999998</c:v>
                  </c:pt>
                </c:numCache>
              </c:numRef>
            </c:plus>
            <c:minus>
              <c:numRef>
                <c:f>'lfp model'!$F$3:$F$6</c:f>
                <c:numCache>
                  <c:formatCode>General</c:formatCode>
                  <c:ptCount val="4"/>
                  <c:pt idx="0">
                    <c:v>1.4480284000000001</c:v>
                  </c:pt>
                  <c:pt idx="1">
                    <c:v>4.3587264000000001</c:v>
                  </c:pt>
                  <c:pt idx="2">
                    <c:v>3.1583244000000001</c:v>
                  </c:pt>
                  <c:pt idx="3">
                    <c:v>4.2426355999999998</c:v>
                  </c:pt>
                </c:numCache>
              </c:numRef>
            </c:minus>
          </c:errBars>
          <c:cat>
            <c:strRef>
              <c:f>'lfp model'!$D$3:$D$6</c:f>
              <c:strCache>
                <c:ptCount val="4"/>
                <c:pt idx="0">
                  <c:v>Literacy/numeracy (50 points)</c:v>
                </c:pt>
                <c:pt idx="1">
                  <c:v>Year 12</c:v>
                </c:pt>
                <c:pt idx="2">
                  <c:v>Diploma/Certificate</c:v>
                </c:pt>
                <c:pt idx="3">
                  <c:v>Degree</c:v>
                </c:pt>
              </c:strCache>
            </c:strRef>
          </c:cat>
          <c:val>
            <c:numRef>
              <c:f>'lfp model'!$E$3:$E$6</c:f>
              <c:numCache>
                <c:formatCode>0.0</c:formatCode>
                <c:ptCount val="4"/>
                <c:pt idx="0">
                  <c:v>2.4184799999999997</c:v>
                </c:pt>
                <c:pt idx="1">
                  <c:v>0.66552</c:v>
                </c:pt>
                <c:pt idx="2">
                  <c:v>5.2643399999999998</c:v>
                </c:pt>
                <c:pt idx="3">
                  <c:v>4.5747299999999997</c:v>
                </c:pt>
              </c:numCache>
            </c:numRef>
          </c:val>
        </c:ser>
        <c:ser>
          <c:idx val="1"/>
          <c:order val="1"/>
          <c:tx>
            <c:strRef>
              <c:f>'lfp model'!$G$2</c:f>
              <c:strCache>
                <c:ptCount val="1"/>
                <c:pt idx="0">
                  <c:v>Women</c:v>
                </c:pt>
              </c:strCache>
            </c:strRef>
          </c:tx>
          <c:invertIfNegative val="0"/>
          <c:errBars>
            <c:errBarType val="both"/>
            <c:errValType val="cust"/>
            <c:noEndCap val="0"/>
            <c:plus>
              <c:numRef>
                <c:f>'lfp model'!$H$3:$H$6</c:f>
                <c:numCache>
                  <c:formatCode>General</c:formatCode>
                  <c:ptCount val="4"/>
                  <c:pt idx="0">
                    <c:v>1.5792700000000002</c:v>
                  </c:pt>
                  <c:pt idx="1">
                    <c:v>5.2065831999999999</c:v>
                  </c:pt>
                  <c:pt idx="2">
                    <c:v>2.01593</c:v>
                  </c:pt>
                  <c:pt idx="3">
                    <c:v>4.4266991999999998</c:v>
                  </c:pt>
                </c:numCache>
              </c:numRef>
            </c:plus>
            <c:minus>
              <c:numRef>
                <c:f>'lfp model'!$H$3:$H$6</c:f>
                <c:numCache>
                  <c:formatCode>General</c:formatCode>
                  <c:ptCount val="4"/>
                  <c:pt idx="0">
                    <c:v>1.5792700000000002</c:v>
                  </c:pt>
                  <c:pt idx="1">
                    <c:v>5.2065831999999999</c:v>
                  </c:pt>
                  <c:pt idx="2">
                    <c:v>2.01593</c:v>
                  </c:pt>
                  <c:pt idx="3">
                    <c:v>4.4266991999999998</c:v>
                  </c:pt>
                </c:numCache>
              </c:numRef>
            </c:minus>
          </c:errBars>
          <c:cat>
            <c:strRef>
              <c:f>'lfp model'!$D$3:$D$6</c:f>
              <c:strCache>
                <c:ptCount val="4"/>
                <c:pt idx="0">
                  <c:v>Literacy/numeracy (50 points)</c:v>
                </c:pt>
                <c:pt idx="1">
                  <c:v>Year 12</c:v>
                </c:pt>
                <c:pt idx="2">
                  <c:v>Diploma/Certificate</c:v>
                </c:pt>
                <c:pt idx="3">
                  <c:v>Degree</c:v>
                </c:pt>
              </c:strCache>
            </c:strRef>
          </c:cat>
          <c:val>
            <c:numRef>
              <c:f>'lfp model'!$G$3:$G$6</c:f>
              <c:numCache>
                <c:formatCode>0.0</c:formatCode>
                <c:ptCount val="4"/>
                <c:pt idx="0">
                  <c:v>4.2517100000000001</c:v>
                </c:pt>
                <c:pt idx="1">
                  <c:v>3.1354899999999999</c:v>
                </c:pt>
                <c:pt idx="2">
                  <c:v>11.6761</c:v>
                </c:pt>
                <c:pt idx="3">
                  <c:v>14.29677</c:v>
                </c:pt>
              </c:numCache>
            </c:numRef>
          </c:val>
        </c:ser>
        <c:dLbls>
          <c:showLegendKey val="0"/>
          <c:showVal val="0"/>
          <c:showCatName val="0"/>
          <c:showSerName val="0"/>
          <c:showPercent val="0"/>
          <c:showBubbleSize val="0"/>
        </c:dLbls>
        <c:gapWidth val="150"/>
        <c:axId val="154507904"/>
        <c:axId val="37642624"/>
      </c:barChart>
      <c:catAx>
        <c:axId val="154507904"/>
        <c:scaling>
          <c:orientation val="minMax"/>
        </c:scaling>
        <c:delete val="0"/>
        <c:axPos val="b"/>
        <c:majorTickMark val="out"/>
        <c:minorTickMark val="none"/>
        <c:tickLblPos val="low"/>
        <c:txPr>
          <a:bodyPr/>
          <a:lstStyle/>
          <a:p>
            <a:pPr>
              <a:defRPr baseline="0"/>
            </a:pPr>
            <a:endParaRPr lang="en-US"/>
          </a:p>
        </c:txPr>
        <c:crossAx val="37642624"/>
        <c:crosses val="autoZero"/>
        <c:auto val="1"/>
        <c:lblAlgn val="ctr"/>
        <c:lblOffset val="100"/>
        <c:noMultiLvlLbl val="0"/>
      </c:catAx>
      <c:valAx>
        <c:axId val="37642624"/>
        <c:scaling>
          <c:orientation val="minMax"/>
        </c:scaling>
        <c:delete val="0"/>
        <c:axPos val="l"/>
        <c:title>
          <c:tx>
            <c:rich>
              <a:bodyPr rot="-5400000" vert="horz"/>
              <a:lstStyle/>
              <a:p>
                <a:pPr>
                  <a:defRPr/>
                </a:pPr>
                <a:r>
                  <a:rPr lang="en-AU"/>
                  <a:t>Percentage points</a:t>
                </a:r>
              </a:p>
            </c:rich>
          </c:tx>
          <c:layout/>
          <c:overlay val="0"/>
        </c:title>
        <c:numFmt formatCode="0" sourceLinked="0"/>
        <c:majorTickMark val="out"/>
        <c:minorTickMark val="none"/>
        <c:tickLblPos val="nextTo"/>
        <c:crossAx val="154507904"/>
        <c:crosses val="autoZero"/>
        <c:crossBetween val="between"/>
        <c:majorUnit val="4"/>
      </c:valAx>
    </c:plotArea>
    <c:legend>
      <c:legendPos val="t"/>
      <c:layout/>
      <c:overlay val="0"/>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barChart>
        <c:barDir val="col"/>
        <c:grouping val="clustered"/>
        <c:varyColors val="0"/>
        <c:ser>
          <c:idx val="0"/>
          <c:order val="0"/>
          <c:tx>
            <c:strRef>
              <c:f>Sheet1!$M$4</c:f>
              <c:strCache>
                <c:ptCount val="1"/>
                <c:pt idx="0">
                  <c:v>Men</c:v>
                </c:pt>
              </c:strCache>
            </c:strRef>
          </c:tx>
          <c:invertIfNegative val="0"/>
          <c:errBars>
            <c:errBarType val="both"/>
            <c:errValType val="cust"/>
            <c:noEndCap val="0"/>
            <c:plus>
              <c:numRef>
                <c:f>Sheet1!$N$7:$Q$7</c:f>
                <c:numCache>
                  <c:formatCode>General</c:formatCode>
                  <c:ptCount val="4"/>
                  <c:pt idx="0">
                    <c:v>2.8371783999999995</c:v>
                  </c:pt>
                  <c:pt idx="1">
                    <c:v>7.5176780000000001</c:v>
                  </c:pt>
                  <c:pt idx="2">
                    <c:v>6.2075551999999989</c:v>
                  </c:pt>
                  <c:pt idx="3">
                    <c:v>7.1193080000000002</c:v>
                  </c:pt>
                </c:numCache>
              </c:numRef>
            </c:plus>
            <c:minus>
              <c:numRef>
                <c:f>Sheet1!$N$7:$Q$7</c:f>
                <c:numCache>
                  <c:formatCode>General</c:formatCode>
                  <c:ptCount val="4"/>
                  <c:pt idx="0">
                    <c:v>2.8371783999999995</c:v>
                  </c:pt>
                  <c:pt idx="1">
                    <c:v>7.5176780000000001</c:v>
                  </c:pt>
                  <c:pt idx="2">
                    <c:v>6.2075551999999989</c:v>
                  </c:pt>
                  <c:pt idx="3">
                    <c:v>7.1193080000000002</c:v>
                  </c:pt>
                </c:numCache>
              </c:numRef>
            </c:minus>
          </c:errBars>
          <c:cat>
            <c:strRef>
              <c:f>Sheet1!$N$3:$Q$3</c:f>
              <c:strCache>
                <c:ptCount val="4"/>
                <c:pt idx="0">
                  <c:v>Literacy/Numeracy (50 points)</c:v>
                </c:pt>
                <c:pt idx="1">
                  <c:v>Year 12</c:v>
                </c:pt>
                <c:pt idx="2">
                  <c:v>Diploma/Certificate</c:v>
                </c:pt>
                <c:pt idx="3">
                  <c:v>Degree</c:v>
                </c:pt>
              </c:strCache>
            </c:strRef>
          </c:cat>
          <c:val>
            <c:numRef>
              <c:f>Sheet1!$N$4:$Q$4</c:f>
              <c:numCache>
                <c:formatCode>0.00</c:formatCode>
                <c:ptCount val="4"/>
                <c:pt idx="0">
                  <c:v>9.7441432413781559</c:v>
                </c:pt>
                <c:pt idx="1">
                  <c:v>10.086507219605444</c:v>
                </c:pt>
                <c:pt idx="2">
                  <c:v>14.417116325979396</c:v>
                </c:pt>
                <c:pt idx="3">
                  <c:v>54.293477355176137</c:v>
                </c:pt>
              </c:numCache>
            </c:numRef>
          </c:val>
        </c:ser>
        <c:ser>
          <c:idx val="1"/>
          <c:order val="1"/>
          <c:tx>
            <c:strRef>
              <c:f>Sheet1!$M$5</c:f>
              <c:strCache>
                <c:ptCount val="1"/>
                <c:pt idx="0">
                  <c:v>Women</c:v>
                </c:pt>
              </c:strCache>
            </c:strRef>
          </c:tx>
          <c:invertIfNegative val="0"/>
          <c:errBars>
            <c:errBarType val="both"/>
            <c:errValType val="cust"/>
            <c:noEndCap val="0"/>
            <c:plus>
              <c:numRef>
                <c:f>Sheet1!$N$8:$Q$8</c:f>
                <c:numCache>
                  <c:formatCode>General</c:formatCode>
                  <c:ptCount val="4"/>
                  <c:pt idx="0">
                    <c:v>2.3960803999999998</c:v>
                  </c:pt>
                  <c:pt idx="1">
                    <c:v>6.9523159999999997</c:v>
                  </c:pt>
                  <c:pt idx="2">
                    <c:v>5.4821787999999998</c:v>
                  </c:pt>
                  <c:pt idx="3">
                    <c:v>6.0027547999999991</c:v>
                  </c:pt>
                </c:numCache>
              </c:numRef>
            </c:plus>
            <c:minus>
              <c:numRef>
                <c:f>Sheet1!$N$8:$Q$8</c:f>
                <c:numCache>
                  <c:formatCode>General</c:formatCode>
                  <c:ptCount val="4"/>
                  <c:pt idx="0">
                    <c:v>2.3960803999999998</c:v>
                  </c:pt>
                  <c:pt idx="1">
                    <c:v>6.9523159999999997</c:v>
                  </c:pt>
                  <c:pt idx="2">
                    <c:v>5.4821787999999998</c:v>
                  </c:pt>
                  <c:pt idx="3">
                    <c:v>6.0027547999999991</c:v>
                  </c:pt>
                </c:numCache>
              </c:numRef>
            </c:minus>
          </c:errBars>
          <c:cat>
            <c:strRef>
              <c:f>Sheet1!$N$3:$Q$3</c:f>
              <c:strCache>
                <c:ptCount val="4"/>
                <c:pt idx="0">
                  <c:v>Literacy/Numeracy (50 points)</c:v>
                </c:pt>
                <c:pt idx="1">
                  <c:v>Year 12</c:v>
                </c:pt>
                <c:pt idx="2">
                  <c:v>Diploma/Certificate</c:v>
                </c:pt>
                <c:pt idx="3">
                  <c:v>Degree</c:v>
                </c:pt>
              </c:strCache>
            </c:strRef>
          </c:cat>
          <c:val>
            <c:numRef>
              <c:f>Sheet1!$N$5:$Q$5</c:f>
              <c:numCache>
                <c:formatCode>0.00</c:formatCode>
                <c:ptCount val="4"/>
                <c:pt idx="0">
                  <c:v>11.275720072443773</c:v>
                </c:pt>
                <c:pt idx="1">
                  <c:v>10.052407701956835</c:v>
                </c:pt>
                <c:pt idx="2">
                  <c:v>11.473287252683374</c:v>
                </c:pt>
                <c:pt idx="3">
                  <c:v>46.431023171620801</c:v>
                </c:pt>
              </c:numCache>
            </c:numRef>
          </c:val>
        </c:ser>
        <c:dLbls>
          <c:showLegendKey val="0"/>
          <c:showVal val="0"/>
          <c:showCatName val="0"/>
          <c:showSerName val="0"/>
          <c:showPercent val="0"/>
          <c:showBubbleSize val="0"/>
        </c:dLbls>
        <c:gapWidth val="150"/>
        <c:axId val="152444928"/>
        <c:axId val="152446464"/>
      </c:barChart>
      <c:catAx>
        <c:axId val="152444928"/>
        <c:scaling>
          <c:orientation val="minMax"/>
        </c:scaling>
        <c:delete val="0"/>
        <c:axPos val="b"/>
        <c:majorTickMark val="out"/>
        <c:minorTickMark val="none"/>
        <c:tickLblPos val="nextTo"/>
        <c:txPr>
          <a:bodyPr/>
          <a:lstStyle/>
          <a:p>
            <a:pPr>
              <a:defRPr sz="900" baseline="0">
                <a:latin typeface="Arial" panose="020B0604020202020204" pitchFamily="34" charset="0"/>
              </a:defRPr>
            </a:pPr>
            <a:endParaRPr lang="en-US"/>
          </a:p>
        </c:txPr>
        <c:crossAx val="152446464"/>
        <c:crosses val="autoZero"/>
        <c:auto val="1"/>
        <c:lblAlgn val="ctr"/>
        <c:lblOffset val="100"/>
        <c:noMultiLvlLbl val="0"/>
      </c:catAx>
      <c:valAx>
        <c:axId val="152446464"/>
        <c:scaling>
          <c:orientation val="minMax"/>
        </c:scaling>
        <c:delete val="0"/>
        <c:axPos val="l"/>
        <c:numFmt formatCode="0" sourceLinked="0"/>
        <c:majorTickMark val="out"/>
        <c:minorTickMark val="none"/>
        <c:tickLblPos val="nextTo"/>
        <c:txPr>
          <a:bodyPr/>
          <a:lstStyle/>
          <a:p>
            <a:pPr>
              <a:defRPr sz="900" baseline="0">
                <a:latin typeface="Arial" panose="020B0604020202020204" pitchFamily="34" charset="0"/>
              </a:defRPr>
            </a:pPr>
            <a:endParaRPr lang="en-US"/>
          </a:p>
        </c:txPr>
        <c:crossAx val="152444928"/>
        <c:crosses val="autoZero"/>
        <c:crossBetween val="between"/>
      </c:valAx>
      <c:spPr>
        <a:noFill/>
        <a:ln w="25400">
          <a:noFill/>
        </a:ln>
      </c:spPr>
    </c:plotArea>
    <c:legend>
      <c:legendPos val="t"/>
      <c:overlay val="0"/>
      <c:txPr>
        <a:bodyPr/>
        <a:lstStyle/>
        <a:p>
          <a:pPr>
            <a:defRPr sz="900" baseline="0">
              <a:latin typeface="Arial" panose="020B0604020202020204"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PC interim">
      <a:dk1>
        <a:sysClr val="windowText" lastClr="000000"/>
      </a:dk1>
      <a:lt1>
        <a:sysClr val="window" lastClr="FFFFFF"/>
      </a:lt1>
      <a:dk2>
        <a:srgbClr val="000000"/>
      </a:dk2>
      <a:lt2>
        <a:srgbClr val="FFFFFF"/>
      </a:lt2>
      <a:accent1>
        <a:srgbClr val="78A22F"/>
      </a:accent1>
      <a:accent2>
        <a:srgbClr val="787878"/>
      </a:accent2>
      <a:accent3>
        <a:srgbClr val="B4C98B"/>
      </a:accent3>
      <a:accent4>
        <a:srgbClr val="344893"/>
      </a:accent4>
      <a:accent5>
        <a:srgbClr val="FFFFFF"/>
      </a:accent5>
      <a:accent6>
        <a:srgbClr val="39580D"/>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CAF3-25D2-4916-8853-AE675193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15</Pages>
  <Words>3628</Words>
  <Characters>20200</Characters>
  <Application>Microsoft Office Word</Application>
  <DocSecurity>0</DocSecurity>
  <Lines>545</Lines>
  <Paragraphs>273</Paragraphs>
  <ScaleCrop>false</ScaleCrop>
  <HeadingPairs>
    <vt:vector size="2" baseType="variant">
      <vt:variant>
        <vt:lpstr>Title</vt:lpstr>
      </vt:variant>
      <vt:variant>
        <vt:i4>1</vt:i4>
      </vt:variant>
    </vt:vector>
  </HeadingPairs>
  <TitlesOfParts>
    <vt:vector size="1" baseType="lpstr">
      <vt:lpstr>Modelling results</vt:lpstr>
    </vt:vector>
  </TitlesOfParts>
  <Company>Productivity Commission</Company>
  <LinksUpToDate>false</LinksUpToDate>
  <CharactersWithSpaces>23555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Modelling results</dc:title>
  <dc:subject>Literacy and numeracy skills in Australia</dc:subject>
  <dc:creator>Productivity Commission</dc:creator>
  <dc:description>3.</dc:description>
  <cp:lastModifiedBy>Productivity Commission</cp:lastModifiedBy>
  <cp:revision>2</cp:revision>
  <cp:lastPrinted>2014-05-28T03:22:00Z</cp:lastPrinted>
  <dcterms:created xsi:type="dcterms:W3CDTF">2014-05-28T04:35:00Z</dcterms:created>
  <dcterms:modified xsi:type="dcterms:W3CDTF">2014-05-28T04:35:00Z</dcterms:modified>
</cp:coreProperties>
</file>