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FF" w:rsidRDefault="0028213E" w:rsidP="008C235A">
      <w:pPr>
        <w:pStyle w:val="Heading1"/>
        <w:spacing w:before="0"/>
      </w:pPr>
      <w:bookmarkStart w:id="0" w:name="_References"/>
      <w:bookmarkStart w:id="1" w:name="ChapterTitle"/>
      <w:bookmarkStart w:id="2" w:name="_GoBack"/>
      <w:bookmarkEnd w:id="0"/>
      <w:bookmarkEnd w:id="2"/>
      <w:r>
        <w:t>References</w:t>
      </w:r>
      <w:bookmarkEnd w:id="1"/>
    </w:p>
    <w:p w:rsidR="008C235A" w:rsidRPr="003D74F7" w:rsidRDefault="008C235A" w:rsidP="001455C9">
      <w:pPr>
        <w:pStyle w:val="Reference"/>
      </w:pPr>
      <w:bookmarkStart w:id="3" w:name="begin"/>
      <w:bookmarkEnd w:id="3"/>
      <w:r w:rsidRPr="00081B62">
        <w:t xml:space="preserve">ABS (Australian Bureau of Statistics) 2007, </w:t>
      </w:r>
      <w:r w:rsidRPr="00081B62">
        <w:rPr>
          <w:i/>
          <w:iCs/>
        </w:rPr>
        <w:t>Adult literacy and life skills survey: User guide 2006</w:t>
      </w:r>
      <w:r w:rsidRPr="003D74F7">
        <w:t>, ABS Catalogue No. 4228.0.55.002, http://www.abs.gov.au/AUSSTATS/abs@.nsf/DetailsPage/4228.0.55.0022006?OpenDocument (accessed 31 July 2013).</w:t>
      </w:r>
    </w:p>
    <w:p w:rsidR="0066581B" w:rsidRDefault="008C235A" w:rsidP="0066581B">
      <w:pPr>
        <w:pStyle w:val="Reference"/>
      </w:pPr>
      <w:r w:rsidRPr="00185161">
        <w:t>——</w:t>
      </w:r>
      <w:r w:rsidRPr="00774C10">
        <w:t xml:space="preserve"> </w:t>
      </w:r>
      <w:r w:rsidR="000F3F7C">
        <w:t>2013a</w:t>
      </w:r>
      <w:r w:rsidR="000F3F7C" w:rsidRPr="002A2C5B">
        <w:t xml:space="preserve"> Programme for the International Assessment of Adult Com</w:t>
      </w:r>
      <w:r w:rsidR="00735FAC">
        <w:t xml:space="preserve">petencies, Australia, 2011-2012,  </w:t>
      </w:r>
      <w:r w:rsidR="00735FAC" w:rsidRPr="00735FAC">
        <w:t>http://www.abs.gov.au/AUSSTATS/abs@.nsf/</w:t>
      </w:r>
      <w:r w:rsidR="00735FAC">
        <w:br/>
      </w:r>
      <w:r w:rsidR="00735FAC" w:rsidRPr="00735FAC">
        <w:t>DetailsPage/4228.02011-12?OpenDocument</w:t>
      </w:r>
      <w:r w:rsidR="00735FAC">
        <w:t xml:space="preserve"> (accessed 13 November</w:t>
      </w:r>
      <w:r w:rsidR="000F3F7C">
        <w:t xml:space="preserve"> 2013).</w:t>
      </w:r>
    </w:p>
    <w:p w:rsidR="0066581B" w:rsidRDefault="0066581B" w:rsidP="0066581B">
      <w:pPr>
        <w:pStyle w:val="Reference"/>
      </w:pPr>
      <w:r>
        <w:t xml:space="preserve">–––– 2013b Programme for the International Assessment of Adult Competencies, Australia, 2011-12: Explanatory notes, </w:t>
      </w:r>
      <w:r w:rsidRPr="00623FD0">
        <w:t>http://www.abs.gov.au/ausstats/abs@.nsf</w:t>
      </w:r>
      <w:r>
        <w:br/>
      </w:r>
      <w:r w:rsidRPr="0066581B">
        <w:t>/Lookup/4228.0Explanatory+Notes12011-12</w:t>
      </w:r>
      <w:r>
        <w:t xml:space="preserve"> (accessed 28 March 2014).</w:t>
      </w:r>
    </w:p>
    <w:p w:rsidR="008C235A" w:rsidRDefault="0066581B" w:rsidP="001455C9">
      <w:pPr>
        <w:pStyle w:val="Reference"/>
      </w:pPr>
      <w:r>
        <w:t>–––– 2013c</w:t>
      </w:r>
      <w:r w:rsidR="008C235A" w:rsidRPr="00774C10">
        <w:t xml:space="preserve">, </w:t>
      </w:r>
      <w:r w:rsidR="008C235A" w:rsidRPr="002A2C5B">
        <w:t>Programme for the International Assessment of Adult Competencies, Australia, 2011-2012: Survey methodology</w:t>
      </w:r>
      <w:r w:rsidR="008C235A" w:rsidRPr="00774C10">
        <w:t>, http://www.abs.gov.au/AUSSTATS/abs@.nsf/Latestproducts/422</w:t>
      </w:r>
      <w:r w:rsidR="002A2C5B">
        <w:t>8.0.30.001Main%20Features202011-</w:t>
      </w:r>
      <w:r w:rsidR="008C235A" w:rsidRPr="00774C10">
        <w:t>2012?opendocument&amp;tabname=Summary&amp;prodno=</w:t>
      </w:r>
      <w:r w:rsidR="002A2C5B">
        <w:br/>
      </w:r>
      <w:r w:rsidR="008C235A" w:rsidRPr="00774C10">
        <w:t>4228.0.30.001&amp;issue=2011-2012&amp;num=&amp;view= (accessed 25 July 2013).</w:t>
      </w:r>
    </w:p>
    <w:p w:rsidR="002A2C5B" w:rsidRDefault="008E6CED" w:rsidP="001455C9">
      <w:pPr>
        <w:pStyle w:val="Reference"/>
      </w:pPr>
      <w:r>
        <w:t xml:space="preserve">ACARA (Australian Curriculum Assessment and Reporting Authority) 2013, </w:t>
      </w:r>
      <w:r w:rsidRPr="002A2C5B">
        <w:rPr>
          <w:i/>
        </w:rPr>
        <w:t>NAPLAN</w:t>
      </w:r>
      <w:r>
        <w:t xml:space="preserve">, </w:t>
      </w:r>
      <w:r w:rsidRPr="008E6CED">
        <w:t>http://www.nap.edu.au/naplan/naplan.html</w:t>
      </w:r>
      <w:r>
        <w:t xml:space="preserve"> (accessed 8 October 2013).</w:t>
      </w:r>
    </w:p>
    <w:p w:rsidR="008C235A" w:rsidRDefault="008C235A" w:rsidP="001455C9">
      <w:pPr>
        <w:pStyle w:val="Reference"/>
      </w:pPr>
      <w:r w:rsidRPr="00774C10">
        <w:t>Ainsworth, A. nd, ‘Introduction to Item Response Theory’, www.csun.edu/~ata20315/psy427/Topic08_IntroIRT.ppt‎ (accessed 2 August 2013).</w:t>
      </w:r>
    </w:p>
    <w:p w:rsidR="00792004" w:rsidRDefault="00792004" w:rsidP="001455C9">
      <w:pPr>
        <w:pStyle w:val="Reference"/>
      </w:pPr>
      <w:r>
        <w:t>A</w:t>
      </w:r>
      <w:r w:rsidR="00340A16">
        <w:t>WPA (</w:t>
      </w:r>
      <w:r w:rsidR="002669F4">
        <w:t>A</w:t>
      </w:r>
      <w:r>
        <w:t>ustralian Workforce and Productivity Agenc</w:t>
      </w:r>
      <w:r w:rsidR="00340A16">
        <w:t>y</w:t>
      </w:r>
      <w:r w:rsidR="00854955">
        <w:t xml:space="preserve">) 2013, </w:t>
      </w:r>
      <w:r w:rsidR="00854955" w:rsidRPr="00774C10">
        <w:t>‘</w:t>
      </w:r>
      <w:r w:rsidR="00854955">
        <w:t>Human capital and productivity literature review</w:t>
      </w:r>
      <w:r w:rsidR="00854955" w:rsidRPr="00774C10">
        <w:t>’</w:t>
      </w:r>
      <w:r w:rsidR="00854955">
        <w:t>, Commonwealth of Australia, March.</w:t>
      </w:r>
    </w:p>
    <w:p w:rsidR="008C235A" w:rsidRDefault="008C235A" w:rsidP="001455C9">
      <w:pPr>
        <w:pStyle w:val="Reference"/>
      </w:pPr>
      <w:r>
        <w:t xml:space="preserve">Banks, G. 2012, </w:t>
      </w:r>
      <w:r w:rsidRPr="00CF2611">
        <w:rPr>
          <w:i/>
        </w:rPr>
        <w:t>Productivity policies: the ‘to do’ list</w:t>
      </w:r>
      <w:r>
        <w:t>,  presented at the Economic and Social Outlook Conference, ‘Securing the Future’, 1 November 2012, Melbourne.</w:t>
      </w:r>
    </w:p>
    <w:p w:rsidR="001A3634" w:rsidRDefault="008C235A" w:rsidP="001455C9">
      <w:pPr>
        <w:pStyle w:val="Reference"/>
      </w:pPr>
      <w:r>
        <w:t xml:space="preserve">Barrett, G. 2012, </w:t>
      </w:r>
      <w:r w:rsidRPr="00B4106C">
        <w:t>‘The Return to Cognitive Skills in the Australian Labour Market’</w:t>
      </w:r>
      <w:r>
        <w:t xml:space="preserve">, </w:t>
      </w:r>
      <w:r w:rsidRPr="00B4106C">
        <w:rPr>
          <w:i/>
        </w:rPr>
        <w:t>Economic Record</w:t>
      </w:r>
      <w:r>
        <w:t>, vol. 88, no. 280, March, pp. 1–17.</w:t>
      </w:r>
    </w:p>
    <w:p w:rsidR="00792004" w:rsidRDefault="00792004" w:rsidP="001455C9">
      <w:pPr>
        <w:pStyle w:val="Reference"/>
      </w:pPr>
      <w:r>
        <w:t xml:space="preserve">Becker, G. 1993, </w:t>
      </w:r>
      <w:r w:rsidRPr="00B4106C">
        <w:t>‘</w:t>
      </w:r>
      <w:r>
        <w:t>Human Capital: a theoretical and empirical analysis</w:t>
      </w:r>
      <w:r w:rsidR="00BD08BC" w:rsidRPr="00774C10">
        <w:t>’</w:t>
      </w:r>
      <w:r>
        <w:t>, with special reference to education</w:t>
      </w:r>
      <w:r w:rsidRPr="00B4106C">
        <w:t>’</w:t>
      </w:r>
      <w:r>
        <w:t>, 3</w:t>
      </w:r>
      <w:r w:rsidRPr="00792004">
        <w:rPr>
          <w:vertAlign w:val="superscript"/>
        </w:rPr>
        <w:t>rd</w:t>
      </w:r>
      <w:r>
        <w:t xml:space="preserve"> ed., University of Chicago Press.</w:t>
      </w:r>
    </w:p>
    <w:p w:rsidR="0004764E" w:rsidRDefault="0004764E" w:rsidP="001455C9">
      <w:pPr>
        <w:pStyle w:val="Reference"/>
      </w:pPr>
      <w:r>
        <w:t xml:space="preserve">Birch, E. 2005, </w:t>
      </w:r>
      <w:r w:rsidRPr="00B4106C">
        <w:t>‘</w:t>
      </w:r>
      <w:r>
        <w:t>Studies of the Labour Supply of Australian Women: What Have We Learned</w:t>
      </w:r>
      <w:r w:rsidRPr="00B4106C">
        <w:t>’</w:t>
      </w:r>
      <w:r>
        <w:t xml:space="preserve">, </w:t>
      </w:r>
      <w:r w:rsidRPr="00792004">
        <w:rPr>
          <w:i/>
        </w:rPr>
        <w:t>Economic Record</w:t>
      </w:r>
      <w:r>
        <w:t>, vol. 81, no. 252, pp. 65–84.</w:t>
      </w:r>
    </w:p>
    <w:p w:rsidR="00CA58FF" w:rsidRDefault="00CA58FF" w:rsidP="001455C9">
      <w:pPr>
        <w:pStyle w:val="Reference"/>
      </w:pPr>
      <w:r>
        <w:lastRenderedPageBreak/>
        <w:t xml:space="preserve">Cai, L. 2010, </w:t>
      </w:r>
      <w:r w:rsidRPr="00B4106C">
        <w:t>‘</w:t>
      </w:r>
      <w:r>
        <w:t>The relationship between health and labour force participation: Evidence from a panel data simultaneous equation model</w:t>
      </w:r>
      <w:r w:rsidRPr="00774C10">
        <w:t>’</w:t>
      </w:r>
      <w:r>
        <w:t xml:space="preserve">, </w:t>
      </w:r>
      <w:r w:rsidRPr="00CA58FF">
        <w:rPr>
          <w:i/>
        </w:rPr>
        <w:t>Labour Economics</w:t>
      </w:r>
      <w:r>
        <w:t>, vol. 17, no. 1, pp. 77–90.</w:t>
      </w:r>
    </w:p>
    <w:p w:rsidR="00FB33EE" w:rsidRDefault="00CA58FF" w:rsidP="001455C9">
      <w:pPr>
        <w:pStyle w:val="Reference"/>
      </w:pPr>
      <w:r>
        <w:t>——</w:t>
      </w:r>
      <w:r w:rsidR="00792004">
        <w:t xml:space="preserve"> and Kalb, G. 2006 </w:t>
      </w:r>
      <w:r w:rsidR="00792004" w:rsidRPr="00B4106C">
        <w:t>‘</w:t>
      </w:r>
      <w:r w:rsidR="00FB33EE">
        <w:t>Health status and labour force partici</w:t>
      </w:r>
      <w:r w:rsidR="00792004">
        <w:t>pation: evidence from Australia</w:t>
      </w:r>
      <w:r w:rsidR="00792004" w:rsidRPr="00B4106C">
        <w:t>’</w:t>
      </w:r>
      <w:r w:rsidR="00FB33EE">
        <w:t xml:space="preserve">, </w:t>
      </w:r>
      <w:r w:rsidR="00FB33EE" w:rsidRPr="00FB33EE">
        <w:rPr>
          <w:i/>
        </w:rPr>
        <w:t>Health Economic</w:t>
      </w:r>
      <w:r>
        <w:t>s, vol. 15, no. 3, pp. 241–</w:t>
      </w:r>
      <w:r w:rsidR="00FB33EE">
        <w:t>61.</w:t>
      </w:r>
    </w:p>
    <w:p w:rsidR="008C235A" w:rsidRDefault="008C235A" w:rsidP="001455C9">
      <w:pPr>
        <w:pStyle w:val="Reference"/>
      </w:pPr>
      <w:r w:rsidRPr="00774C10">
        <w:t xml:space="preserve">Caldwell, B. and Webster, A. 2013, ‘Adult literacy surveys in Australia’, </w:t>
      </w:r>
      <w:r w:rsidRPr="00774C10">
        <w:rPr>
          <w:i/>
          <w:iCs/>
        </w:rPr>
        <w:t>Australian Economic Review</w:t>
      </w:r>
      <w:r w:rsidRPr="00774C10">
        <w:t>, vol. 46, no. 1, pp. 103–109.</w:t>
      </w:r>
    </w:p>
    <w:p w:rsidR="008C235A" w:rsidRDefault="008C235A" w:rsidP="001455C9">
      <w:pPr>
        <w:pStyle w:val="Reference"/>
      </w:pPr>
      <w:r>
        <w:t xml:space="preserve">Chiswick, B., Lee, Y. and Miller, P. 2003, ‘Schooling, literacy, numeracy and labour market success’, </w:t>
      </w:r>
      <w:r w:rsidRPr="0079604C">
        <w:rPr>
          <w:i/>
        </w:rPr>
        <w:t>Economic Record</w:t>
      </w:r>
      <w:r>
        <w:t>, vol. 79, no. 245, pp. 165–81.</w:t>
      </w:r>
    </w:p>
    <w:p w:rsidR="008C235A" w:rsidRDefault="008C235A" w:rsidP="001455C9">
      <w:pPr>
        <w:pStyle w:val="Reference"/>
      </w:pPr>
      <w:r>
        <w:t xml:space="preserve">Chesters, J., Ryan, C. and Sinning, M. 2013, </w:t>
      </w:r>
      <w:r w:rsidR="002D605B">
        <w:t>‘</w:t>
      </w:r>
      <w:r>
        <w:t>The returns to literacy skills in Australia</w:t>
      </w:r>
      <w:r w:rsidR="002D605B">
        <w:t>’</w:t>
      </w:r>
      <w:r>
        <w:t xml:space="preserve">, </w:t>
      </w:r>
      <w:r w:rsidR="002D605B">
        <w:t>National Vocational Education and Training Research Program Research Report</w:t>
      </w:r>
      <w:r>
        <w:t>.</w:t>
      </w:r>
    </w:p>
    <w:p w:rsidR="009F504E" w:rsidRDefault="009F504E" w:rsidP="001455C9">
      <w:pPr>
        <w:pStyle w:val="Reference"/>
      </w:pPr>
      <w:r>
        <w:t>Cobb-Clark, D. and Schurer, S. 2011, ‘The Stability of Big-Five Personality Traits’, Melbourne Institute Working Paper, no. 21/11, August.</w:t>
      </w:r>
    </w:p>
    <w:p w:rsidR="00FB6A4D" w:rsidRDefault="00FB6A4D" w:rsidP="001455C9">
      <w:pPr>
        <w:pStyle w:val="Reference"/>
      </w:pPr>
      <w:r>
        <w:t>Cutler,</w:t>
      </w:r>
      <w:r w:rsidR="00446301">
        <w:t xml:space="preserve"> D. and Lleras-Muney, A. 2006, </w:t>
      </w:r>
      <w:r w:rsidRPr="00446301">
        <w:rPr>
          <w:i/>
        </w:rPr>
        <w:t>Education and Health: Evaluating theories and evidence</w:t>
      </w:r>
      <w:r w:rsidR="00446301">
        <w:t>, NBER Working P</w:t>
      </w:r>
      <w:r>
        <w:t>aper no. 12352, June.</w:t>
      </w:r>
    </w:p>
    <w:p w:rsidR="00792004" w:rsidRDefault="00792004" w:rsidP="001455C9">
      <w:pPr>
        <w:pStyle w:val="Reference"/>
      </w:pPr>
      <w:r>
        <w:t xml:space="preserve">Department of Education, Employment and Workplace Relations (DEEWR) 2013, </w:t>
      </w:r>
      <w:r w:rsidRPr="001D42C3">
        <w:t>http://deewr.gov.au/closing-gap-expansion-intensive-literacy-and-numeracy-programs</w:t>
      </w:r>
      <w:r>
        <w:t xml:space="preserve"> (accessed 1 September 2013). </w:t>
      </w:r>
    </w:p>
    <w:p w:rsidR="00CE141C" w:rsidRDefault="00CE141C" w:rsidP="001455C9">
      <w:pPr>
        <w:pStyle w:val="Reference"/>
      </w:pPr>
      <w:r>
        <w:t xml:space="preserve">Department of Industry 2013a, </w:t>
      </w:r>
      <w:r>
        <w:rPr>
          <w:i/>
        </w:rPr>
        <w:t>Language, Literacy and Numeracy Practitioner Scholarships Program</w:t>
      </w:r>
      <w:r>
        <w:t xml:space="preserve">, </w:t>
      </w:r>
      <w:r w:rsidR="00623FD0" w:rsidRPr="00623FD0">
        <w:t>http://www.innovation.gov.au/Skills/LiteracyAnd</w:t>
      </w:r>
      <w:r w:rsidR="00623FD0">
        <w:br/>
      </w:r>
      <w:r w:rsidRPr="00787758">
        <w:t>Numeracy/LanguageLiteracyAndNumeracyPractitionerScholarshipsProgram/Pages/default.aspx</w:t>
      </w:r>
      <w:r w:rsidRPr="001D42C3">
        <w:t xml:space="preserve"> </w:t>
      </w:r>
      <w:r>
        <w:t>(accessed 6 November 2013).</w:t>
      </w:r>
    </w:p>
    <w:p w:rsidR="00CE141C" w:rsidRDefault="00CE141C" w:rsidP="001455C9">
      <w:pPr>
        <w:pStyle w:val="Reference"/>
      </w:pPr>
      <w:r>
        <w:t xml:space="preserve">—— 2013b, </w:t>
      </w:r>
      <w:r w:rsidR="00C9751F">
        <w:rPr>
          <w:i/>
        </w:rPr>
        <w:t>Skills for Education and Employment (SEE</w:t>
      </w:r>
      <w:r>
        <w:rPr>
          <w:i/>
        </w:rPr>
        <w:t>)</w:t>
      </w:r>
      <w:r>
        <w:t xml:space="preserve">, </w:t>
      </w:r>
      <w:r w:rsidR="00C9751F" w:rsidRPr="00C9751F">
        <w:t>http://www.innovation.gov.au/SKILLS/LITERACYANDNUMERACY/SEE/</w:t>
      </w:r>
      <w:r w:rsidR="00C9751F">
        <w:br/>
      </w:r>
      <w:r w:rsidR="00C9751F" w:rsidRPr="00C9751F">
        <w:t xml:space="preserve">Pages/default.aspx </w:t>
      </w:r>
      <w:r w:rsidR="00C9751F">
        <w:t>(accessed 28</w:t>
      </w:r>
      <w:r>
        <w:t xml:space="preserve"> </w:t>
      </w:r>
      <w:r w:rsidR="00C9751F">
        <w:t>May 2014</w:t>
      </w:r>
      <w:r>
        <w:t>).</w:t>
      </w:r>
    </w:p>
    <w:p w:rsidR="00CE141C" w:rsidRDefault="00CE141C" w:rsidP="001455C9">
      <w:pPr>
        <w:pStyle w:val="Reference"/>
      </w:pPr>
      <w:r>
        <w:t>Desjardins, R. and Warnke, A. 2012, ‘Ageing and Skills: A Review and Analysis of Skill Gain and Skill Loss Over the Lifespan and Over Time’, OECD Education Working Papers, No. 72, OECD Publishing.</w:t>
      </w:r>
    </w:p>
    <w:p w:rsidR="000F3F7C" w:rsidRDefault="008C235A" w:rsidP="001455C9">
      <w:pPr>
        <w:pStyle w:val="Reference"/>
      </w:pPr>
      <w:r>
        <w:t xml:space="preserve">Forbes, Barker and Turner 2010, </w:t>
      </w:r>
      <w:r w:rsidRPr="001D42C3">
        <w:rPr>
          <w:i/>
        </w:rPr>
        <w:t>The Effects of Education and Health on Wages and Product</w:t>
      </w:r>
      <w:r>
        <w:t>ivity, Productivity Commission Staff Working Paper, Melbourne, March.</w:t>
      </w:r>
    </w:p>
    <w:p w:rsidR="00854955" w:rsidRDefault="008C235A" w:rsidP="001455C9">
      <w:pPr>
        <w:pStyle w:val="Reference"/>
      </w:pPr>
      <w:r w:rsidRPr="00EE760D">
        <w:t xml:space="preserve">Foy, P., Galia, J. and Li, I. 2007, ‘Scaling the data from the TIMSS 2007 mathematics and science assessments’, </w:t>
      </w:r>
      <w:r w:rsidRPr="00EE760D">
        <w:rPr>
          <w:i/>
          <w:iCs/>
        </w:rPr>
        <w:t>TIMSS</w:t>
      </w:r>
      <w:r w:rsidRPr="00EE760D">
        <w:t>, pp. 225–279.</w:t>
      </w:r>
    </w:p>
    <w:p w:rsidR="00EC4F63" w:rsidRDefault="00147744" w:rsidP="00EC4F63">
      <w:pPr>
        <w:pStyle w:val="Reference"/>
      </w:pPr>
      <w:r>
        <w:lastRenderedPageBreak/>
        <w:t>Green, D. and Riddell, W. 2007, ‘Literacy and the Labour Market: The Generation of Literacy and Its I</w:t>
      </w:r>
      <w:r w:rsidR="00003F6C">
        <w:t>mpact on E</w:t>
      </w:r>
      <w:r>
        <w:t>arnings for Native Born Canadians’, cat. no. 89-552-MIE, no. 18, Statistics Canada.</w:t>
      </w:r>
    </w:p>
    <w:p w:rsidR="00EC4F63" w:rsidRDefault="00EC4F63" w:rsidP="00EC4F63">
      <w:pPr>
        <w:pStyle w:val="Reference"/>
      </w:pPr>
      <w:r>
        <w:t xml:space="preserve">–––– 2012, </w:t>
      </w:r>
      <w:r w:rsidR="00E6413E">
        <w:t>‘</w:t>
      </w:r>
      <w:r>
        <w:t xml:space="preserve">Understanding Educational Impacts: The Role of Literacy and Numeracy Skills’ </w:t>
      </w:r>
      <w:r w:rsidRPr="00623FD0">
        <w:t>http://www.iza.org/conference_files</w:t>
      </w:r>
      <w:r w:rsidRPr="00EC4F63">
        <w:t>/TAM2012/riddell_</w:t>
      </w:r>
      <w:r w:rsidR="00623FD0">
        <w:br/>
      </w:r>
      <w:r w:rsidRPr="00EC4F63">
        <w:t>w5670.pdf</w:t>
      </w:r>
      <w:r w:rsidR="00E6413E">
        <w:t xml:space="preserve"> (accessed 27 March 2014).</w:t>
      </w:r>
    </w:p>
    <w:p w:rsidR="00BD08BC" w:rsidRDefault="00854955" w:rsidP="001455C9">
      <w:pPr>
        <w:pStyle w:val="Reference"/>
      </w:pPr>
      <w:r>
        <w:t xml:space="preserve">Grossman, M. 2000, </w:t>
      </w:r>
      <w:r w:rsidRPr="00EE760D">
        <w:t>‘</w:t>
      </w:r>
      <w:r>
        <w:t>The Human Capital Model</w:t>
      </w:r>
      <w:r w:rsidRPr="00EE760D">
        <w:t>’</w:t>
      </w:r>
      <w:r w:rsidR="00CF1A40">
        <w:t xml:space="preserve">, published in Culyer, A. and Newhouse, J. (eds) </w:t>
      </w:r>
      <w:r w:rsidR="00CF1A40" w:rsidRPr="00CF1A40">
        <w:rPr>
          <w:i/>
        </w:rPr>
        <w:t>Handbook of Health Economics</w:t>
      </w:r>
      <w:r w:rsidR="00CF1A40">
        <w:t>, 2000.</w:t>
      </w:r>
    </w:p>
    <w:p w:rsidR="00854955" w:rsidRDefault="00BD08BC" w:rsidP="001455C9">
      <w:pPr>
        <w:pStyle w:val="Reference"/>
      </w:pPr>
      <w:r>
        <w:t xml:space="preserve">Gujarati, D. 1995, </w:t>
      </w:r>
      <w:r w:rsidRPr="007A31C7">
        <w:t>‘</w:t>
      </w:r>
      <w:r>
        <w:t>Basic Econometrics</w:t>
      </w:r>
      <w:r w:rsidRPr="00774C10">
        <w:t>’</w:t>
      </w:r>
      <w:r>
        <w:t>, 3</w:t>
      </w:r>
      <w:r w:rsidRPr="00BD08BC">
        <w:rPr>
          <w:vertAlign w:val="superscript"/>
        </w:rPr>
        <w:t>rd</w:t>
      </w:r>
      <w:r>
        <w:t xml:space="preserve"> edition, McGraw-Hill.</w:t>
      </w:r>
    </w:p>
    <w:p w:rsidR="00446301" w:rsidRDefault="00446301" w:rsidP="001455C9">
      <w:pPr>
        <w:pStyle w:val="Reference"/>
      </w:pPr>
      <w:r>
        <w:t xml:space="preserve">Hanushek. E., Schwerdt, G., Wiederhold, S. and Woessman, L. 2013, </w:t>
      </w:r>
      <w:r w:rsidRPr="00446301">
        <w:rPr>
          <w:i/>
        </w:rPr>
        <w:t>Returns to skills around the world: Evidence from PIAAC</w:t>
      </w:r>
      <w:r>
        <w:t>, NBER Working Paper no. 19762, December.</w:t>
      </w:r>
    </w:p>
    <w:p w:rsidR="00A548B9" w:rsidRDefault="00A548B9" w:rsidP="00A548B9">
      <w:pPr>
        <w:pStyle w:val="Reference"/>
      </w:pPr>
      <w:r>
        <w:t xml:space="preserve">Heckman, J. and Kautz, T. 2013, </w:t>
      </w:r>
      <w:r w:rsidRPr="009F504E">
        <w:rPr>
          <w:i/>
        </w:rPr>
        <w:t>Fostering and Measuring Skills: Interventions That Improve Character and Cognition</w:t>
      </w:r>
      <w:r>
        <w:t>, NBER Working paper no. 19656, November.</w:t>
      </w:r>
    </w:p>
    <w:p w:rsidR="0076482E" w:rsidRPr="0076482E" w:rsidRDefault="0076482E" w:rsidP="001455C9">
      <w:pPr>
        <w:pStyle w:val="Reference"/>
      </w:pPr>
      <w:r>
        <w:t xml:space="preserve">Kenward, M. and Carpenter, J. 2007, ‘Multiple imputation: current perspectives’, </w:t>
      </w:r>
      <w:r w:rsidRPr="0076482E">
        <w:rPr>
          <w:i/>
        </w:rPr>
        <w:t>Statistical Methods in Medical Research</w:t>
      </w:r>
      <w:r>
        <w:t>, vol. 16, no. 3, pp. 199–218.</w:t>
      </w:r>
    </w:p>
    <w:p w:rsidR="000F3F7C" w:rsidRDefault="008C235A" w:rsidP="001455C9">
      <w:pPr>
        <w:pStyle w:val="Reference"/>
      </w:pPr>
      <w:r>
        <w:t xml:space="preserve">Laplagne, P., Glover, M. and Shomos, A. 2007, </w:t>
      </w:r>
      <w:r w:rsidRPr="00C03B2B">
        <w:rPr>
          <w:i/>
        </w:rPr>
        <w:t>Effects of Health and Education on Labour Force</w:t>
      </w:r>
      <w:r>
        <w:t xml:space="preserve"> Participation, Staff Working Paper, Melbourne, May.</w:t>
      </w:r>
    </w:p>
    <w:p w:rsidR="0045149B" w:rsidRDefault="00854955" w:rsidP="001455C9">
      <w:pPr>
        <w:pStyle w:val="Reference"/>
      </w:pPr>
      <w:r>
        <w:t xml:space="preserve">Leigh, A. 2008, </w:t>
      </w:r>
      <w:r w:rsidR="0045149B" w:rsidRPr="00C11E1B">
        <w:t>‘</w:t>
      </w:r>
      <w:r>
        <w:t>Returns to Education in Australia</w:t>
      </w:r>
      <w:r w:rsidR="0045149B" w:rsidRPr="00C11E1B">
        <w:t>’</w:t>
      </w:r>
      <w:r>
        <w:t xml:space="preserve">, </w:t>
      </w:r>
      <w:r w:rsidRPr="0045149B">
        <w:rPr>
          <w:i/>
        </w:rPr>
        <w:t>Economic Papers</w:t>
      </w:r>
      <w:r w:rsidR="002669F4">
        <w:t>, vol. 27, no. </w:t>
      </w:r>
      <w:r>
        <w:t>3, pp. 233–49.</w:t>
      </w:r>
    </w:p>
    <w:p w:rsidR="00BC22CA" w:rsidRDefault="002D605B" w:rsidP="001455C9">
      <w:pPr>
        <w:pStyle w:val="Reference"/>
      </w:pPr>
      <w:r>
        <w:t xml:space="preserve">McLachlan, R., Gilfillan, G.  and Gordon, J. 2013, </w:t>
      </w:r>
      <w:r w:rsidRPr="002D605B">
        <w:rPr>
          <w:i/>
        </w:rPr>
        <w:t>Deep and Persistent Disadvantage in Australia</w:t>
      </w:r>
      <w:r>
        <w:t>, rev., Productivity Commission Staff Working Paper, Canberra.</w:t>
      </w:r>
    </w:p>
    <w:p w:rsidR="005E6140" w:rsidRPr="005E6140" w:rsidRDefault="00E55053" w:rsidP="001455C9">
      <w:pPr>
        <w:pStyle w:val="Reference"/>
      </w:pPr>
      <w:r>
        <w:t xml:space="preserve">Medibank 2011 </w:t>
      </w:r>
      <w:r w:rsidRPr="007A31C7">
        <w:t>‘</w:t>
      </w:r>
      <w:r w:rsidR="005E6140">
        <w:t>Sick at Work, The cost of presenteeism t</w:t>
      </w:r>
      <w:r>
        <w:t>o your business and the economy’,</w:t>
      </w:r>
      <w:r w:rsidR="005E6140">
        <w:t xml:space="preserve"> July</w:t>
      </w:r>
      <w:r>
        <w:t>.</w:t>
      </w:r>
    </w:p>
    <w:p w:rsidR="002A2C5B" w:rsidRDefault="002A2C5B" w:rsidP="001455C9">
      <w:pPr>
        <w:pStyle w:val="Reference"/>
      </w:pPr>
      <w:r w:rsidRPr="002A2C5B">
        <w:t xml:space="preserve">Mincer, J. 1974, </w:t>
      </w:r>
      <w:r w:rsidRPr="002A2C5B">
        <w:rPr>
          <w:i/>
        </w:rPr>
        <w:t>Schooling, Experience, and Earnings</w:t>
      </w:r>
      <w:r>
        <w:t xml:space="preserve">, National Bureau of </w:t>
      </w:r>
      <w:r w:rsidR="00BD08BC">
        <w:t>Economic Research, New</w:t>
      </w:r>
      <w:r w:rsidRPr="002A2C5B">
        <w:t xml:space="preserve"> York.</w:t>
      </w:r>
    </w:p>
    <w:p w:rsidR="00A548B9" w:rsidRDefault="00A548B9" w:rsidP="00A548B9">
      <w:pPr>
        <w:pStyle w:val="Reference"/>
      </w:pPr>
      <w:r w:rsidRPr="00C11E1B">
        <w:t>Mislevy, R.J., Johnson, E.G. and Muraki, E. 1992, ‘Chapter 3: Scaling Procedures in NAEP’,</w:t>
      </w:r>
      <w:r w:rsidRPr="007A31C7">
        <w:t xml:space="preserve"> </w:t>
      </w:r>
      <w:r w:rsidRPr="007A31C7">
        <w:rPr>
          <w:i/>
          <w:iCs/>
        </w:rPr>
        <w:t>Journal of Educational and Behavioral Statistics</w:t>
      </w:r>
      <w:r w:rsidRPr="007A31C7">
        <w:t>, vol. 17, no. 2, pp. 131–154.</w:t>
      </w:r>
    </w:p>
    <w:p w:rsidR="000F3F7C" w:rsidRDefault="008C235A" w:rsidP="001455C9">
      <w:pPr>
        <w:pStyle w:val="Reference"/>
      </w:pPr>
      <w:r>
        <w:t>OECD (</w:t>
      </w:r>
      <w:r w:rsidR="002A2C5B">
        <w:t>Organis</w:t>
      </w:r>
      <w:r w:rsidRPr="007A31C7">
        <w:t>ation for Economic Co</w:t>
      </w:r>
      <w:r w:rsidR="0095673E">
        <w:t>-</w:t>
      </w:r>
      <w:r w:rsidRPr="007A31C7">
        <w:t>operation and Development</w:t>
      </w:r>
      <w:r w:rsidR="005B106C">
        <w:t xml:space="preserve">) 2001, </w:t>
      </w:r>
      <w:r w:rsidRPr="005B106C">
        <w:rPr>
          <w:i/>
        </w:rPr>
        <w:t>The Well-being of Nations: The R</w:t>
      </w:r>
      <w:r w:rsidR="005B106C" w:rsidRPr="005B106C">
        <w:rPr>
          <w:i/>
        </w:rPr>
        <w:t>ole of Human and Social Capital</w:t>
      </w:r>
      <w:r>
        <w:t>, Paris.</w:t>
      </w:r>
    </w:p>
    <w:p w:rsidR="00D04E14" w:rsidRPr="00D04E14" w:rsidRDefault="008C235A" w:rsidP="001455C9">
      <w:pPr>
        <w:pStyle w:val="Reference"/>
      </w:pPr>
      <w:r>
        <w:t>——</w:t>
      </w:r>
      <w:r w:rsidR="000F3F7C">
        <w:tab/>
      </w:r>
      <w:r w:rsidR="00D04E14">
        <w:t xml:space="preserve">2010a, </w:t>
      </w:r>
      <w:r w:rsidR="00D04E14">
        <w:rPr>
          <w:i/>
        </w:rPr>
        <w:t>Improving Health and Social Cohesion through Education</w:t>
      </w:r>
      <w:r w:rsidR="00623FD0">
        <w:t xml:space="preserve">, OECD </w:t>
      </w:r>
      <w:r w:rsidR="00D04E14">
        <w:t>Publishing.</w:t>
      </w:r>
    </w:p>
    <w:p w:rsidR="000F3F7C" w:rsidRDefault="00D04E14" w:rsidP="001455C9">
      <w:pPr>
        <w:pStyle w:val="Reference"/>
      </w:pPr>
      <w:r>
        <w:t>––––</w:t>
      </w:r>
      <w:r>
        <w:tab/>
      </w:r>
      <w:r w:rsidR="008C235A" w:rsidRPr="007A31C7">
        <w:t>2010</w:t>
      </w:r>
      <w:r>
        <w:t>b</w:t>
      </w:r>
      <w:r w:rsidR="008C235A" w:rsidRPr="007A31C7">
        <w:t xml:space="preserve">, </w:t>
      </w:r>
      <w:r w:rsidR="008C235A" w:rsidRPr="007A31C7">
        <w:rPr>
          <w:i/>
          <w:iCs/>
        </w:rPr>
        <w:t>PIAAC Technical Standards and Guidelines</w:t>
      </w:r>
      <w:r w:rsidR="00094FE8">
        <w:rPr>
          <w:iCs/>
        </w:rPr>
        <w:t>, OECD Publishing</w:t>
      </w:r>
      <w:r w:rsidR="008C235A" w:rsidRPr="007A31C7">
        <w:t>.</w:t>
      </w:r>
    </w:p>
    <w:p w:rsidR="005B106C" w:rsidRDefault="00623FD0" w:rsidP="001455C9">
      <w:pPr>
        <w:pStyle w:val="Reference"/>
      </w:pPr>
      <w:r>
        <w:lastRenderedPageBreak/>
        <w:t>——</w:t>
      </w:r>
      <w:r w:rsidR="005B106C">
        <w:tab/>
        <w:t xml:space="preserve">2012a, </w:t>
      </w:r>
      <w:r w:rsidR="005B106C" w:rsidRPr="005B106C">
        <w:rPr>
          <w:i/>
        </w:rPr>
        <w:t>Equity and Quality in Education: Supporting Disadvantaged Students and Schools</w:t>
      </w:r>
      <w:r w:rsidR="005B106C">
        <w:t>, OECD publishing.</w:t>
      </w:r>
    </w:p>
    <w:p w:rsidR="000F3F7C" w:rsidRDefault="005B106C" w:rsidP="001455C9">
      <w:pPr>
        <w:pStyle w:val="Reference"/>
      </w:pPr>
      <w:r>
        <w:t>––––</w:t>
      </w:r>
      <w:r>
        <w:tab/>
      </w:r>
      <w:r w:rsidR="008C235A" w:rsidRPr="007A31C7">
        <w:t>2012</w:t>
      </w:r>
      <w:r>
        <w:t>b</w:t>
      </w:r>
      <w:r w:rsidR="008C235A" w:rsidRPr="007A31C7">
        <w:t xml:space="preserve">, </w:t>
      </w:r>
      <w:r w:rsidR="008C235A" w:rsidRPr="007A31C7">
        <w:rPr>
          <w:i/>
          <w:iCs/>
        </w:rPr>
        <w:t>Literacy, Numeracy and Problem Solving in Technology-Rich Environments: Framework for the OECD Survey of Adult Skills</w:t>
      </w:r>
      <w:r w:rsidR="008C235A" w:rsidRPr="007A31C7">
        <w:t>, OECD Publishing.</w:t>
      </w:r>
    </w:p>
    <w:p w:rsidR="00792004" w:rsidRDefault="00792004" w:rsidP="001455C9">
      <w:pPr>
        <w:pStyle w:val="Reference"/>
      </w:pPr>
      <w:r>
        <w:t>——</w:t>
      </w:r>
      <w:r w:rsidR="00623FD0">
        <w:tab/>
      </w:r>
      <w:r>
        <w:t>2013</w:t>
      </w:r>
      <w:r w:rsidR="00937860">
        <w:t>a</w:t>
      </w:r>
      <w:r>
        <w:t xml:space="preserve">, </w:t>
      </w:r>
      <w:r w:rsidRPr="00792004">
        <w:rPr>
          <w:i/>
        </w:rPr>
        <w:t>OECD Skills Outlook 2013: First Results from the Survey of Adult Skills</w:t>
      </w:r>
      <w:r>
        <w:t>, OECD Publishing.</w:t>
      </w:r>
    </w:p>
    <w:p w:rsidR="002B2C85" w:rsidRDefault="00D237EF" w:rsidP="002B2C85">
      <w:pPr>
        <w:pStyle w:val="Reference"/>
      </w:pPr>
      <w:r>
        <w:t>——</w:t>
      </w:r>
      <w:r>
        <w:tab/>
      </w:r>
      <w:r w:rsidR="00937860">
        <w:t xml:space="preserve">2013b, </w:t>
      </w:r>
      <w:r w:rsidR="00937860" w:rsidRPr="00937860">
        <w:rPr>
          <w:i/>
        </w:rPr>
        <w:t>Annex B: OECD Skills Outlook additional tables</w:t>
      </w:r>
      <w:r w:rsidR="00937860">
        <w:t xml:space="preserve">, </w:t>
      </w:r>
      <w:r w:rsidR="00623FD0">
        <w:br/>
      </w:r>
      <w:r w:rsidR="00937860" w:rsidRPr="00937860">
        <w:t>http://</w:t>
      </w:r>
      <w:r w:rsidR="00623FD0" w:rsidRPr="00937860">
        <w:t xml:space="preserve"> </w:t>
      </w:r>
      <w:r w:rsidR="00937860" w:rsidRPr="00937860">
        <w:t>www.oecd.org/site/piaac/annexboecdskillsoutlookadditionaltables.htm</w:t>
      </w:r>
      <w:r w:rsidR="00937860">
        <w:t xml:space="preserve"> (accessed 24 March 2014).</w:t>
      </w:r>
    </w:p>
    <w:p w:rsidR="002B2C85" w:rsidRDefault="002B2C85" w:rsidP="002B2C85">
      <w:pPr>
        <w:pStyle w:val="Reference"/>
      </w:pPr>
      <w:r>
        <w:t>––––</w:t>
      </w:r>
      <w:r>
        <w:tab/>
        <w:t xml:space="preserve">2013c, </w:t>
      </w:r>
      <w:r w:rsidRPr="002B2C85">
        <w:rPr>
          <w:i/>
        </w:rPr>
        <w:t>The Survey of Adult Skills: Reader’s Companion</w:t>
      </w:r>
      <w:r>
        <w:t>, OECD publishing.</w:t>
      </w:r>
    </w:p>
    <w:p w:rsidR="000F3F7C" w:rsidRDefault="008C235A" w:rsidP="001455C9">
      <w:pPr>
        <w:pStyle w:val="Reference"/>
      </w:pPr>
      <w:r w:rsidRPr="007A31C7">
        <w:t xml:space="preserve">Rubin, D.B. 1987, </w:t>
      </w:r>
      <w:r w:rsidRPr="007A31C7">
        <w:rPr>
          <w:i/>
          <w:iCs/>
        </w:rPr>
        <w:t>Multiple imputation for nonresponse in surveys</w:t>
      </w:r>
      <w:r w:rsidRPr="007A31C7">
        <w:t>.</w:t>
      </w:r>
    </w:p>
    <w:p w:rsidR="008C235A" w:rsidRDefault="000F3F7C" w:rsidP="001455C9">
      <w:pPr>
        <w:pStyle w:val="Reference"/>
      </w:pPr>
      <w:r>
        <w:t>——</w:t>
      </w:r>
      <w:r w:rsidR="00623FD0">
        <w:tab/>
      </w:r>
      <w:r w:rsidR="008C235A" w:rsidRPr="007A31C7">
        <w:t xml:space="preserve">1996, ‘Multiple imputation after 18+ years’, </w:t>
      </w:r>
      <w:r w:rsidR="008C235A" w:rsidRPr="007A31C7">
        <w:rPr>
          <w:i/>
          <w:iCs/>
        </w:rPr>
        <w:t>Journal of the American Statistical Association</w:t>
      </w:r>
      <w:r w:rsidR="008C235A" w:rsidRPr="007A31C7">
        <w:t>, vol. 91, no. 434, pp. 473–489.</w:t>
      </w:r>
    </w:p>
    <w:p w:rsidR="008C235A" w:rsidRDefault="008C235A" w:rsidP="001455C9">
      <w:pPr>
        <w:pStyle w:val="Reference"/>
      </w:pPr>
      <w:r>
        <w:t>SCOTESE 2012, National Foundation Skills Strategy for Adults, September.</w:t>
      </w:r>
    </w:p>
    <w:p w:rsidR="000F3F7C" w:rsidRDefault="008C235A" w:rsidP="001455C9">
      <w:pPr>
        <w:pStyle w:val="Reference"/>
      </w:pPr>
      <w:r>
        <w:t xml:space="preserve">Shomos, A. 2010, </w:t>
      </w:r>
      <w:r>
        <w:rPr>
          <w:i/>
        </w:rPr>
        <w:t>Links Between Literacy and Numeracy Skills and Labour Market O</w:t>
      </w:r>
      <w:r w:rsidRPr="0079604C">
        <w:rPr>
          <w:i/>
        </w:rPr>
        <w:t>utcomes</w:t>
      </w:r>
      <w:r>
        <w:t>, Productivity Commission Staff Working Paper, Melbourne, August.</w:t>
      </w:r>
    </w:p>
    <w:p w:rsidR="002A2C5B" w:rsidRDefault="008C235A" w:rsidP="001455C9">
      <w:pPr>
        <w:pStyle w:val="Reference"/>
      </w:pPr>
      <w:r w:rsidRPr="007A31C7">
        <w:t xml:space="preserve">StataCorp 2009, </w:t>
      </w:r>
      <w:r w:rsidRPr="007A31C7">
        <w:rPr>
          <w:i/>
          <w:iCs/>
        </w:rPr>
        <w:t>Stata Multiple-Imputation Reference Manual Release 11</w:t>
      </w:r>
      <w:r w:rsidRPr="007A31C7">
        <w:t>, StataCorp LP, College Station, Texas.</w:t>
      </w:r>
    </w:p>
    <w:p w:rsidR="003030E9" w:rsidRDefault="003030E9" w:rsidP="001455C9">
      <w:pPr>
        <w:pStyle w:val="Reference"/>
      </w:pPr>
      <w:r>
        <w:t xml:space="preserve">Statistics Canada and OECD 2005, </w:t>
      </w:r>
      <w:r w:rsidRPr="002043C0">
        <w:rPr>
          <w:i/>
        </w:rPr>
        <w:t>Learning a living</w:t>
      </w:r>
      <w:r w:rsidR="002043C0" w:rsidRPr="002043C0">
        <w:rPr>
          <w:i/>
        </w:rPr>
        <w:t>: First res</w:t>
      </w:r>
      <w:r w:rsidRPr="002043C0">
        <w:rPr>
          <w:i/>
        </w:rPr>
        <w:t>ul</w:t>
      </w:r>
      <w:r w:rsidR="002043C0" w:rsidRPr="002043C0">
        <w:rPr>
          <w:i/>
        </w:rPr>
        <w:t>t</w:t>
      </w:r>
      <w:r w:rsidRPr="002043C0">
        <w:rPr>
          <w:i/>
        </w:rPr>
        <w:t>s of the Adult Literacy and Life Skills Survey</w:t>
      </w:r>
      <w:r>
        <w:t xml:space="preserve">, </w:t>
      </w:r>
      <w:r w:rsidR="002043C0">
        <w:t>OECD, Paris.</w:t>
      </w:r>
    </w:p>
    <w:p w:rsidR="002A2C5B" w:rsidRDefault="008C235A" w:rsidP="001455C9">
      <w:pPr>
        <w:pStyle w:val="Reference"/>
      </w:pPr>
      <w:r w:rsidRPr="007A31C7">
        <w:t xml:space="preserve">Sterne, J.A., White, I.R., Carlin, J.B., Spratt, M., Royston, P., Kenward, M.G., Wood, A.M. and Carpenter, J.R. 2009, ‘Multiple imputation for missing data in epidemiological and clinical research: potential and pitfalls’, </w:t>
      </w:r>
      <w:r w:rsidRPr="007A31C7">
        <w:rPr>
          <w:i/>
          <w:iCs/>
        </w:rPr>
        <w:t>BMJ: British Medical Journal</w:t>
      </w:r>
      <w:r w:rsidRPr="007A31C7">
        <w:t>, vol. 338, http://www.ncbi.nlm.nih.gov/pmc/articles/</w:t>
      </w:r>
      <w:r w:rsidR="00824E57">
        <w:br/>
      </w:r>
      <w:r w:rsidRPr="007A31C7">
        <w:t>pmc2714692/ (accessed 23 July 2013).</w:t>
      </w:r>
    </w:p>
    <w:p w:rsidR="002A2C5B" w:rsidRDefault="008C235A" w:rsidP="001455C9">
      <w:pPr>
        <w:pStyle w:val="Reference"/>
      </w:pPr>
      <w:r w:rsidRPr="007A31C7">
        <w:t xml:space="preserve">Thomas, N., Raghunathan, T.E., Schenker, N., Katzoff, M.J. and Johnson, C.L. 2006, ‘An evaluation of matrix sampling methods using data from the National Health and Nutrition Examination Survey’, </w:t>
      </w:r>
      <w:r w:rsidRPr="007A31C7">
        <w:rPr>
          <w:i/>
          <w:iCs/>
        </w:rPr>
        <w:t>Survey Methodology</w:t>
      </w:r>
      <w:r w:rsidRPr="007A31C7">
        <w:t>, vol. 32, no. 2, p. 217.</w:t>
      </w:r>
    </w:p>
    <w:p w:rsidR="001455C9" w:rsidRDefault="001455C9" w:rsidP="001455C9">
      <w:pPr>
        <w:pStyle w:val="Reference"/>
      </w:pPr>
      <w:r>
        <w:t xml:space="preserve">Thornton, R. and Innes, J. 1989, </w:t>
      </w:r>
      <w:r w:rsidRPr="007A31C7">
        <w:t>‘</w:t>
      </w:r>
      <w:r>
        <w:t>Interpreting semilogarithmic regression coefficients in labor research</w:t>
      </w:r>
      <w:r w:rsidRPr="007A31C7">
        <w:t>’</w:t>
      </w:r>
      <w:r>
        <w:t>, Journal of Labor Research, vol. 10, no. 4, pp. 443–7.</w:t>
      </w:r>
    </w:p>
    <w:p w:rsidR="002A2C5B" w:rsidRDefault="002D605B" w:rsidP="001455C9">
      <w:pPr>
        <w:pStyle w:val="Reference"/>
      </w:pPr>
      <w:r>
        <w:t xml:space="preserve">Treasury 2010, </w:t>
      </w:r>
      <w:r w:rsidRPr="002D605B">
        <w:rPr>
          <w:i/>
        </w:rPr>
        <w:t>Intergenerational Report</w:t>
      </w:r>
      <w:r>
        <w:t xml:space="preserve">, </w:t>
      </w:r>
      <w:r w:rsidRPr="002D605B">
        <w:t>http://archive.treasury.gov.au/igr</w:t>
      </w:r>
      <w:r>
        <w:br/>
      </w:r>
      <w:r w:rsidRPr="002D605B">
        <w:t>/igr2010/report/html/03_Chapter_2_Growing_the_economy.asp</w:t>
      </w:r>
      <w:r>
        <w:t>, (accessed 8</w:t>
      </w:r>
      <w:r w:rsidR="00D65591">
        <w:t> </w:t>
      </w:r>
      <w:r>
        <w:t>October 2013).</w:t>
      </w:r>
    </w:p>
    <w:p w:rsidR="002A2C5B" w:rsidRDefault="00854955" w:rsidP="001455C9">
      <w:pPr>
        <w:pStyle w:val="Reference"/>
      </w:pPr>
      <w:r>
        <w:lastRenderedPageBreak/>
        <w:t xml:space="preserve">Wooden, M. 2012, </w:t>
      </w:r>
      <w:r w:rsidRPr="007A31C7">
        <w:t>‘</w:t>
      </w:r>
      <w:r w:rsidR="00451957">
        <w:t>The Development of Cognitive Ability Measures in the HILDA Survey</w:t>
      </w:r>
      <w:r w:rsidRPr="007A31C7">
        <w:t>’</w:t>
      </w:r>
      <w:r w:rsidR="00451957">
        <w:t>, HILDA Project Technical Paper Series, no. 1/12, June.</w:t>
      </w:r>
    </w:p>
    <w:p w:rsidR="008C235A" w:rsidRPr="007A31C7" w:rsidRDefault="008C235A" w:rsidP="001455C9">
      <w:pPr>
        <w:pStyle w:val="Reference"/>
      </w:pPr>
      <w:r w:rsidRPr="007A31C7">
        <w:t xml:space="preserve">Wu, M. 2005, ‘The role of plausible values in large-scale surveys’, </w:t>
      </w:r>
      <w:r w:rsidRPr="007A31C7">
        <w:rPr>
          <w:i/>
          <w:iCs/>
        </w:rPr>
        <w:t>Studies in Educational Evaluation</w:t>
      </w:r>
      <w:r w:rsidRPr="007A31C7">
        <w:t>, vol. 31, no. 2, pp. 114–128.</w:t>
      </w:r>
    </w:p>
    <w:p w:rsidR="00F056FC" w:rsidRDefault="00F056FC" w:rsidP="001455C9">
      <w:pPr>
        <w:pStyle w:val="Reference"/>
      </w:pPr>
    </w:p>
    <w:sectPr w:rsidR="00F056FC" w:rsidSect="0028213E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985" w:right="1304" w:bottom="1418" w:left="1814" w:header="1701" w:footer="567" w:gutter="0"/>
      <w:pgNumType w:start="73" w:chapSep="period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35A" w:rsidRDefault="008C235A">
      <w:r>
        <w:separator/>
      </w:r>
    </w:p>
  </w:endnote>
  <w:endnote w:type="continuationSeparator" w:id="0">
    <w:p w:rsidR="008C235A" w:rsidRDefault="008C2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0"/>
      <w:gridCol w:w="1644"/>
      <w:gridCol w:w="6634"/>
    </w:tblGrid>
    <w:tr w:rsidR="00096E55">
      <w:trPr>
        <w:trHeight w:hRule="exact" w:val="740"/>
      </w:trPr>
      <w:tc>
        <w:tcPr>
          <w:tcW w:w="510" w:type="dxa"/>
          <w:tcBorders>
            <w:top w:val="single" w:sz="6" w:space="0" w:color="auto"/>
          </w:tcBorders>
        </w:tcPr>
        <w:p w:rsidR="00096E55" w:rsidRDefault="00096E55" w:rsidP="0019293B">
          <w:pPr>
            <w:pStyle w:val="Footer"/>
            <w:tabs>
              <w:tab w:val="left" w:pos="0"/>
            </w:tabs>
            <w:ind w:right="0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1221F9">
            <w:rPr>
              <w:rStyle w:val="PageNumber"/>
              <w:noProof/>
            </w:rPr>
            <w:t>76</w:t>
          </w:r>
          <w:r>
            <w:rPr>
              <w:rStyle w:val="PageNumber"/>
            </w:rPr>
            <w:fldChar w:fldCharType="end"/>
          </w:r>
        </w:p>
      </w:tc>
      <w:tc>
        <w:tcPr>
          <w:tcW w:w="1644" w:type="dxa"/>
          <w:tcBorders>
            <w:top w:val="single" w:sz="6" w:space="0" w:color="auto"/>
          </w:tcBorders>
        </w:tcPr>
        <w:p w:rsidR="00096E55" w:rsidRDefault="00B5209B" w:rsidP="0019293B">
          <w:pPr>
            <w:pStyle w:val="Footer"/>
          </w:pPr>
          <w:fldSimple w:instr=" SUBJECT  \* MERGEFORMAT ">
            <w:r w:rsidR="00B77C1E">
              <w:t>Literacy and numeracy skills in Australia</w:t>
            </w:r>
          </w:fldSimple>
        </w:p>
      </w:tc>
      <w:tc>
        <w:tcPr>
          <w:tcW w:w="6634" w:type="dxa"/>
        </w:tcPr>
        <w:p w:rsidR="00096E55" w:rsidRDefault="00096E55" w:rsidP="0019293B">
          <w:pPr>
            <w:pStyle w:val="Footer"/>
          </w:pPr>
        </w:p>
      </w:tc>
    </w:tr>
  </w:tbl>
  <w:p w:rsidR="00096E55" w:rsidRDefault="00096E55" w:rsidP="0019293B">
    <w:pPr>
      <w:pStyle w:val="FooterEn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1644"/>
      <w:gridCol w:w="510"/>
    </w:tblGrid>
    <w:tr w:rsidR="00096E55">
      <w:trPr>
        <w:trHeight w:hRule="exact" w:val="740"/>
      </w:trPr>
      <w:tc>
        <w:tcPr>
          <w:tcW w:w="6634" w:type="dxa"/>
        </w:tcPr>
        <w:p w:rsidR="00096E55" w:rsidRDefault="00096E55">
          <w:pPr>
            <w:pStyle w:val="Footer"/>
            <w:ind w:right="360" w:firstLine="360"/>
          </w:pPr>
        </w:p>
      </w:tc>
      <w:tc>
        <w:tcPr>
          <w:tcW w:w="1644" w:type="dxa"/>
          <w:tcBorders>
            <w:top w:val="single" w:sz="6" w:space="0" w:color="auto"/>
          </w:tcBorders>
        </w:tcPr>
        <w:p w:rsidR="00096E55" w:rsidRDefault="00B5209B">
          <w:pPr>
            <w:pStyle w:val="Footer"/>
          </w:pPr>
          <w:fldSimple w:instr=" TITLE  \* MERGEFORMAT ">
            <w:r w:rsidR="00B77C1E">
              <w:t>References</w:t>
            </w:r>
          </w:fldSimple>
        </w:p>
      </w:tc>
      <w:tc>
        <w:tcPr>
          <w:tcW w:w="510" w:type="dxa"/>
          <w:tcBorders>
            <w:top w:val="single" w:sz="6" w:space="0" w:color="auto"/>
          </w:tcBorders>
        </w:tcPr>
        <w:p w:rsidR="00096E55" w:rsidRDefault="00096E55">
          <w:pPr>
            <w:pStyle w:val="Footer"/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1221F9">
            <w:rPr>
              <w:rStyle w:val="PageNumber"/>
              <w:noProof/>
            </w:rPr>
            <w:t>73</w:t>
          </w:r>
          <w:r>
            <w:rPr>
              <w:rStyle w:val="PageNumber"/>
            </w:rPr>
            <w:fldChar w:fldCharType="end"/>
          </w:r>
        </w:p>
      </w:tc>
    </w:tr>
  </w:tbl>
  <w:p w:rsidR="00096E55" w:rsidRDefault="00096E55">
    <w:pPr>
      <w:pStyle w:val="FooterEn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35A" w:rsidRDefault="008C235A">
      <w:r>
        <w:separator/>
      </w:r>
    </w:p>
  </w:footnote>
  <w:footnote w:type="continuationSeparator" w:id="0">
    <w:p w:rsidR="008C235A" w:rsidRDefault="008C2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55"/>
      <w:gridCol w:w="6634"/>
    </w:tblGrid>
    <w:tr w:rsidR="00096E55">
      <w:tc>
        <w:tcPr>
          <w:tcW w:w="2155" w:type="dxa"/>
          <w:tcBorders>
            <w:top w:val="single" w:sz="24" w:space="0" w:color="auto"/>
          </w:tcBorders>
        </w:tcPr>
        <w:p w:rsidR="00096E55" w:rsidRDefault="00096E55" w:rsidP="0019293B">
          <w:pPr>
            <w:pStyle w:val="HeaderEven"/>
          </w:pPr>
        </w:p>
      </w:tc>
      <w:tc>
        <w:tcPr>
          <w:tcW w:w="6634" w:type="dxa"/>
          <w:tcBorders>
            <w:top w:val="single" w:sz="6" w:space="0" w:color="auto"/>
          </w:tcBorders>
        </w:tcPr>
        <w:p w:rsidR="00096E55" w:rsidRDefault="00096E55" w:rsidP="0019293B">
          <w:pPr>
            <w:pStyle w:val="HeaderEven"/>
          </w:pPr>
        </w:p>
      </w:tc>
    </w:tr>
  </w:tbl>
  <w:p w:rsidR="00096E55" w:rsidRDefault="00096E55" w:rsidP="0019293B">
    <w:pPr>
      <w:pStyle w:val="HeaderEn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2155"/>
    </w:tblGrid>
    <w:tr w:rsidR="00096E55">
      <w:tc>
        <w:tcPr>
          <w:tcW w:w="6634" w:type="dxa"/>
          <w:tcBorders>
            <w:top w:val="single" w:sz="6" w:space="0" w:color="auto"/>
          </w:tcBorders>
        </w:tcPr>
        <w:p w:rsidR="00096E55" w:rsidRDefault="00096E55" w:rsidP="00E669E2">
          <w:pPr>
            <w:pStyle w:val="HeaderOdd"/>
          </w:pPr>
        </w:p>
      </w:tc>
      <w:tc>
        <w:tcPr>
          <w:tcW w:w="2155" w:type="dxa"/>
          <w:tcBorders>
            <w:top w:val="single" w:sz="24" w:space="0" w:color="auto"/>
          </w:tcBorders>
        </w:tcPr>
        <w:p w:rsidR="00096E55" w:rsidRDefault="00096E55" w:rsidP="00E669E2">
          <w:pPr>
            <w:pStyle w:val="HeaderOdd"/>
          </w:pPr>
        </w:p>
      </w:tc>
    </w:tr>
  </w:tbl>
  <w:p w:rsidR="00096E55" w:rsidRDefault="00096E55" w:rsidP="00E669E2">
    <w:pPr>
      <w:pStyle w:val="HeaderE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2AE6"/>
    <w:multiLevelType w:val="hybridMultilevel"/>
    <w:tmpl w:val="E996D2C4"/>
    <w:lvl w:ilvl="0" w:tplc="D19A94FA">
      <w:start w:val="2"/>
      <w:numFmt w:val="bullet"/>
      <w:lvlText w:val="—"/>
      <w:lvlJc w:val="left"/>
      <w:pPr>
        <w:ind w:left="870" w:hanging="51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84BB9"/>
    <w:multiLevelType w:val="hybridMultilevel"/>
    <w:tmpl w:val="5F24570C"/>
    <w:lvl w:ilvl="0" w:tplc="6C209310">
      <w:start w:val="1"/>
      <w:numFmt w:val="bullet"/>
      <w:pStyle w:val="Jurisdictioncommentslistbullet"/>
      <w:lvlText w:val=""/>
      <w:lvlJc w:val="left"/>
      <w:pPr>
        <w:tabs>
          <w:tab w:val="num" w:pos="318"/>
        </w:tabs>
        <w:ind w:left="318" w:hanging="318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7A7C39"/>
    <w:multiLevelType w:val="singleLevel"/>
    <w:tmpl w:val="4438961C"/>
    <w:lvl w:ilvl="0">
      <w:numFmt w:val="bullet"/>
      <w:pStyle w:val="ListBullet2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</w:abstractNum>
  <w:abstractNum w:abstractNumId="3">
    <w:nsid w:val="06214B87"/>
    <w:multiLevelType w:val="singleLevel"/>
    <w:tmpl w:val="AB185BC4"/>
    <w:lvl w:ilvl="0">
      <w:numFmt w:val="bullet"/>
      <w:pStyle w:val="BoxList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4">
    <w:nsid w:val="0E116344"/>
    <w:multiLevelType w:val="multilevel"/>
    <w:tmpl w:val="3B188B36"/>
    <w:lvl w:ilvl="0">
      <w:start w:val="1"/>
      <w:numFmt w:val="decimal"/>
      <w:pStyle w:val="Box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BoxListNumber2"/>
      <w:lvlText w:val="(%2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0ED95F65"/>
    <w:multiLevelType w:val="multilevel"/>
    <w:tmpl w:val="C444122C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11CE45D8"/>
    <w:multiLevelType w:val="singleLevel"/>
    <w:tmpl w:val="650622E4"/>
    <w:lvl w:ilvl="0">
      <w:numFmt w:val="bullet"/>
      <w:pStyle w:val="SideNoteBullet"/>
      <w:lvlText w:val="–"/>
      <w:lvlJc w:val="left"/>
      <w:pPr>
        <w:tabs>
          <w:tab w:val="num" w:pos="360"/>
        </w:tabs>
        <w:ind w:left="227" w:hanging="227"/>
      </w:pPr>
      <w:rPr>
        <w:rFonts w:ascii="Times New Roman" w:hAnsi="Times New Roman" w:hint="default"/>
      </w:rPr>
    </w:lvl>
  </w:abstractNum>
  <w:abstractNum w:abstractNumId="7">
    <w:nsid w:val="23FF358D"/>
    <w:multiLevelType w:val="singleLevel"/>
    <w:tmpl w:val="4146A198"/>
    <w:lvl w:ilvl="0">
      <w:start w:val="1"/>
      <w:numFmt w:val="bullet"/>
      <w:pStyle w:val="RecB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8">
    <w:nsid w:val="2B466A13"/>
    <w:multiLevelType w:val="hybridMultilevel"/>
    <w:tmpl w:val="3E0CC5BA"/>
    <w:lvl w:ilvl="0" w:tplc="2B829644">
      <w:numFmt w:val="bullet"/>
      <w:pStyle w:val="BoxQuoteBullet"/>
      <w:lvlText w:val=""/>
      <w:lvlJc w:val="left"/>
      <w:pPr>
        <w:ind w:left="1004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0E90CE4"/>
    <w:multiLevelType w:val="singleLevel"/>
    <w:tmpl w:val="52F61D9A"/>
    <w:lvl w:ilvl="0">
      <w:start w:val="1"/>
      <w:numFmt w:val="bullet"/>
      <w:pStyle w:val="Box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</w:rPr>
    </w:lvl>
  </w:abstractNum>
  <w:abstractNum w:abstractNumId="10">
    <w:nsid w:val="4C2B5347"/>
    <w:multiLevelType w:val="hybridMultilevel"/>
    <w:tmpl w:val="8B002072"/>
    <w:lvl w:ilvl="0" w:tplc="720CA4D2">
      <w:start w:val="1"/>
      <w:numFmt w:val="bullet"/>
      <w:pStyle w:val="InformationRequest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82D6E"/>
    <w:multiLevelType w:val="singleLevel"/>
    <w:tmpl w:val="315ABD1E"/>
    <w:lvl w:ilvl="0"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8"/>
      </w:rPr>
    </w:lvl>
  </w:abstractNum>
  <w:abstractNum w:abstractNumId="12">
    <w:nsid w:val="543E1FD6"/>
    <w:multiLevelType w:val="singleLevel"/>
    <w:tmpl w:val="039AA380"/>
    <w:lvl w:ilvl="0">
      <w:start w:val="1"/>
      <w:numFmt w:val="bullet"/>
      <w:pStyle w:val="Table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sz w:val="18"/>
      </w:rPr>
    </w:lvl>
  </w:abstractNum>
  <w:abstractNum w:abstractNumId="13">
    <w:nsid w:val="56107838"/>
    <w:multiLevelType w:val="singleLevel"/>
    <w:tmpl w:val="775A3F3A"/>
    <w:lvl w:ilvl="0">
      <w:start w:val="1"/>
      <w:numFmt w:val="bullet"/>
      <w:pStyle w:val="Quote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18"/>
      </w:rPr>
    </w:lvl>
  </w:abstractNum>
  <w:abstractNum w:abstractNumId="14">
    <w:nsid w:val="592D6D4E"/>
    <w:multiLevelType w:val="hybridMultilevel"/>
    <w:tmpl w:val="0C44FF7A"/>
    <w:lvl w:ilvl="0" w:tplc="B4385E08">
      <w:start w:val="1"/>
      <w:numFmt w:val="bullet"/>
      <w:pStyle w:val="BoxListBullet3"/>
      <w:lvlText w:val=""/>
      <w:lvlJc w:val="left"/>
      <w:pPr>
        <w:ind w:left="1287" w:hanging="360"/>
      </w:pPr>
      <w:rPr>
        <w:rFonts w:ascii="MT Extra" w:hAnsi="MT Extra" w:hint="default"/>
        <w:b w:val="0"/>
        <w:i w:val="0"/>
        <w:sz w:val="16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A4F5EA8"/>
    <w:multiLevelType w:val="hybridMultilevel"/>
    <w:tmpl w:val="A1EEB392"/>
    <w:lvl w:ilvl="0" w:tplc="7730D98E">
      <w:start w:val="2"/>
      <w:numFmt w:val="bullet"/>
      <w:lvlText w:val=""/>
      <w:lvlJc w:val="left"/>
      <w:pPr>
        <w:ind w:left="870" w:hanging="51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516F3"/>
    <w:multiLevelType w:val="singleLevel"/>
    <w:tmpl w:val="C05AE1DC"/>
    <w:lvl w:ilvl="0">
      <w:start w:val="1"/>
      <w:numFmt w:val="bullet"/>
      <w:pStyle w:val="ListBullet3"/>
      <w:lvlText w:val=""/>
      <w:lvlJc w:val="left"/>
      <w:pPr>
        <w:tabs>
          <w:tab w:val="num" w:pos="1021"/>
        </w:tabs>
        <w:ind w:left="1021" w:hanging="341"/>
      </w:pPr>
      <w:rPr>
        <w:rFonts w:ascii="MT Extra" w:hAnsi="MT Extra" w:hint="default"/>
        <w:b w:val="0"/>
        <w:i w:val="0"/>
        <w:sz w:val="16"/>
      </w:rPr>
    </w:lvl>
  </w:abstractNum>
  <w:abstractNum w:abstractNumId="17">
    <w:nsid w:val="7A1373DF"/>
    <w:multiLevelType w:val="singleLevel"/>
    <w:tmpl w:val="66CC34AA"/>
    <w:lvl w:ilvl="0">
      <w:start w:val="1"/>
      <w:numFmt w:val="bullet"/>
      <w:pStyle w:val="Finding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18">
    <w:nsid w:val="7BFA7D75"/>
    <w:multiLevelType w:val="singleLevel"/>
    <w:tmpl w:val="B4C476FC"/>
    <w:lvl w:ilvl="0">
      <w:start w:val="1"/>
      <w:numFmt w:val="bullet"/>
      <w:pStyle w:val="Rec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num w:numId="1">
    <w:abstractNumId w:val="9"/>
  </w:num>
  <w:num w:numId="2">
    <w:abstractNumId w:val="17"/>
  </w:num>
  <w:num w:numId="3">
    <w:abstractNumId w:val="1"/>
  </w:num>
  <w:num w:numId="4">
    <w:abstractNumId w:val="11"/>
  </w:num>
  <w:num w:numId="5">
    <w:abstractNumId w:val="2"/>
  </w:num>
  <w:num w:numId="6">
    <w:abstractNumId w:val="16"/>
  </w:num>
  <w:num w:numId="7">
    <w:abstractNumId w:val="13"/>
  </w:num>
  <w:num w:numId="8">
    <w:abstractNumId w:val="18"/>
  </w:num>
  <w:num w:numId="9">
    <w:abstractNumId w:val="6"/>
  </w:num>
  <w:num w:numId="10">
    <w:abstractNumId w:val="12"/>
  </w:num>
  <w:num w:numId="11">
    <w:abstractNumId w:val="5"/>
  </w:num>
  <w:num w:numId="12">
    <w:abstractNumId w:val="4"/>
  </w:num>
  <w:num w:numId="13">
    <w:abstractNumId w:val="7"/>
  </w:num>
  <w:num w:numId="14">
    <w:abstractNumId w:val="8"/>
  </w:num>
  <w:num w:numId="15">
    <w:abstractNumId w:val="10"/>
  </w:num>
  <w:num w:numId="16">
    <w:abstractNumId w:val="3"/>
  </w:num>
  <w:num w:numId="17">
    <w:abstractNumId w:val="14"/>
  </w:num>
  <w:num w:numId="18">
    <w:abstractNumId w:val="15"/>
  </w:num>
  <w:num w:numId="19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clickAndTypeStyle w:val="BodyText"/>
  <w:evenAndOddHeaders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indingOptions" w:val="1"/>
    <w:docVar w:name="RecOptions" w:val="111"/>
    <w:docVar w:name="ShortChapterTitle" w:val="References"/>
    <w:docVar w:name="ShortReportTitle" w:val="Literacy and numeracy skills in Australia"/>
  </w:docVars>
  <w:rsids>
    <w:rsidRoot w:val="008C235A"/>
    <w:rsid w:val="00003F6C"/>
    <w:rsid w:val="000227D5"/>
    <w:rsid w:val="000245AA"/>
    <w:rsid w:val="0003664B"/>
    <w:rsid w:val="0004111F"/>
    <w:rsid w:val="0004764E"/>
    <w:rsid w:val="000565B3"/>
    <w:rsid w:val="0007150B"/>
    <w:rsid w:val="000938F5"/>
    <w:rsid w:val="00094FE8"/>
    <w:rsid w:val="00096E55"/>
    <w:rsid w:val="000B601B"/>
    <w:rsid w:val="000C207E"/>
    <w:rsid w:val="000F0035"/>
    <w:rsid w:val="000F3F7C"/>
    <w:rsid w:val="000F420B"/>
    <w:rsid w:val="00110116"/>
    <w:rsid w:val="00120072"/>
    <w:rsid w:val="001221F9"/>
    <w:rsid w:val="00126EB8"/>
    <w:rsid w:val="001274D4"/>
    <w:rsid w:val="001363AA"/>
    <w:rsid w:val="001455C9"/>
    <w:rsid w:val="00147744"/>
    <w:rsid w:val="00183E82"/>
    <w:rsid w:val="001878BB"/>
    <w:rsid w:val="00191AE0"/>
    <w:rsid w:val="0019293B"/>
    <w:rsid w:val="0019426B"/>
    <w:rsid w:val="001A3634"/>
    <w:rsid w:val="001C0865"/>
    <w:rsid w:val="001C3ABA"/>
    <w:rsid w:val="001D42C3"/>
    <w:rsid w:val="001E7BE8"/>
    <w:rsid w:val="001F0248"/>
    <w:rsid w:val="001F3EB3"/>
    <w:rsid w:val="001F4F86"/>
    <w:rsid w:val="00202C2C"/>
    <w:rsid w:val="002043C0"/>
    <w:rsid w:val="002135AB"/>
    <w:rsid w:val="002144BE"/>
    <w:rsid w:val="00242279"/>
    <w:rsid w:val="00245C82"/>
    <w:rsid w:val="002669F4"/>
    <w:rsid w:val="0028213E"/>
    <w:rsid w:val="00291B40"/>
    <w:rsid w:val="002A2C5B"/>
    <w:rsid w:val="002B2C85"/>
    <w:rsid w:val="002B4008"/>
    <w:rsid w:val="002D0E8E"/>
    <w:rsid w:val="002D605B"/>
    <w:rsid w:val="00301189"/>
    <w:rsid w:val="003030E9"/>
    <w:rsid w:val="00323E09"/>
    <w:rsid w:val="00333932"/>
    <w:rsid w:val="00340A16"/>
    <w:rsid w:val="003518AA"/>
    <w:rsid w:val="00352165"/>
    <w:rsid w:val="00353182"/>
    <w:rsid w:val="003565D9"/>
    <w:rsid w:val="003602E1"/>
    <w:rsid w:val="0037026F"/>
    <w:rsid w:val="00371240"/>
    <w:rsid w:val="00374731"/>
    <w:rsid w:val="00376E59"/>
    <w:rsid w:val="003919F9"/>
    <w:rsid w:val="003A6CB8"/>
    <w:rsid w:val="003C38B5"/>
    <w:rsid w:val="003C5D99"/>
    <w:rsid w:val="003E2F59"/>
    <w:rsid w:val="003F0789"/>
    <w:rsid w:val="00401882"/>
    <w:rsid w:val="004100C8"/>
    <w:rsid w:val="00411DBD"/>
    <w:rsid w:val="00412ACE"/>
    <w:rsid w:val="00431249"/>
    <w:rsid w:val="00434C19"/>
    <w:rsid w:val="00446301"/>
    <w:rsid w:val="00450810"/>
    <w:rsid w:val="0045149B"/>
    <w:rsid w:val="00451957"/>
    <w:rsid w:val="00477144"/>
    <w:rsid w:val="00482517"/>
    <w:rsid w:val="00491380"/>
    <w:rsid w:val="0049459F"/>
    <w:rsid w:val="004A38DD"/>
    <w:rsid w:val="004B43AE"/>
    <w:rsid w:val="004C30ED"/>
    <w:rsid w:val="004D5675"/>
    <w:rsid w:val="00520FC6"/>
    <w:rsid w:val="00523639"/>
    <w:rsid w:val="00531FE5"/>
    <w:rsid w:val="005402FA"/>
    <w:rsid w:val="00583C39"/>
    <w:rsid w:val="00587F28"/>
    <w:rsid w:val="005909CF"/>
    <w:rsid w:val="00591E71"/>
    <w:rsid w:val="005A0D41"/>
    <w:rsid w:val="005B106C"/>
    <w:rsid w:val="005E6140"/>
    <w:rsid w:val="00607BF1"/>
    <w:rsid w:val="006175E7"/>
    <w:rsid w:val="00623FD0"/>
    <w:rsid w:val="00630D4D"/>
    <w:rsid w:val="00632A74"/>
    <w:rsid w:val="0066581B"/>
    <w:rsid w:val="006A4655"/>
    <w:rsid w:val="006B2B3C"/>
    <w:rsid w:val="006C1D81"/>
    <w:rsid w:val="006C7038"/>
    <w:rsid w:val="006E73EF"/>
    <w:rsid w:val="00714D4D"/>
    <w:rsid w:val="00735FAC"/>
    <w:rsid w:val="007604BB"/>
    <w:rsid w:val="0076482E"/>
    <w:rsid w:val="00785232"/>
    <w:rsid w:val="00792004"/>
    <w:rsid w:val="007A21EB"/>
    <w:rsid w:val="007B1A93"/>
    <w:rsid w:val="007C36C9"/>
    <w:rsid w:val="007D6401"/>
    <w:rsid w:val="007E01E4"/>
    <w:rsid w:val="007F7107"/>
    <w:rsid w:val="00800D4C"/>
    <w:rsid w:val="0081030F"/>
    <w:rsid w:val="0082087D"/>
    <w:rsid w:val="00824E57"/>
    <w:rsid w:val="00835771"/>
    <w:rsid w:val="00842933"/>
    <w:rsid w:val="00854955"/>
    <w:rsid w:val="0086082C"/>
    <w:rsid w:val="00864ADC"/>
    <w:rsid w:val="00880153"/>
    <w:rsid w:val="00880F97"/>
    <w:rsid w:val="0088133A"/>
    <w:rsid w:val="0089285E"/>
    <w:rsid w:val="0089436C"/>
    <w:rsid w:val="008C235A"/>
    <w:rsid w:val="008D365C"/>
    <w:rsid w:val="008E6CED"/>
    <w:rsid w:val="009030BF"/>
    <w:rsid w:val="00904087"/>
    <w:rsid w:val="0091032F"/>
    <w:rsid w:val="00914368"/>
    <w:rsid w:val="00931076"/>
    <w:rsid w:val="009345D9"/>
    <w:rsid w:val="00934B15"/>
    <w:rsid w:val="00937860"/>
    <w:rsid w:val="00940C87"/>
    <w:rsid w:val="00942B62"/>
    <w:rsid w:val="0095323B"/>
    <w:rsid w:val="0095673E"/>
    <w:rsid w:val="00956A0C"/>
    <w:rsid w:val="00956BD9"/>
    <w:rsid w:val="00962489"/>
    <w:rsid w:val="00990C2C"/>
    <w:rsid w:val="009E1844"/>
    <w:rsid w:val="009F0D1B"/>
    <w:rsid w:val="009F504E"/>
    <w:rsid w:val="009F696D"/>
    <w:rsid w:val="009F6BC6"/>
    <w:rsid w:val="00A17328"/>
    <w:rsid w:val="00A23A20"/>
    <w:rsid w:val="00A268B9"/>
    <w:rsid w:val="00A2703A"/>
    <w:rsid w:val="00A33DFF"/>
    <w:rsid w:val="00A35115"/>
    <w:rsid w:val="00A36D9A"/>
    <w:rsid w:val="00A548B9"/>
    <w:rsid w:val="00A554AB"/>
    <w:rsid w:val="00A57062"/>
    <w:rsid w:val="00A92B53"/>
    <w:rsid w:val="00A94FA6"/>
    <w:rsid w:val="00AA49A0"/>
    <w:rsid w:val="00AA6710"/>
    <w:rsid w:val="00AB0681"/>
    <w:rsid w:val="00AD520B"/>
    <w:rsid w:val="00B425C3"/>
    <w:rsid w:val="00B440AD"/>
    <w:rsid w:val="00B479BB"/>
    <w:rsid w:val="00B5209B"/>
    <w:rsid w:val="00B53E7E"/>
    <w:rsid w:val="00B6342E"/>
    <w:rsid w:val="00B6644A"/>
    <w:rsid w:val="00B7113F"/>
    <w:rsid w:val="00B77C1E"/>
    <w:rsid w:val="00B95A8D"/>
    <w:rsid w:val="00BA73B6"/>
    <w:rsid w:val="00BA7E27"/>
    <w:rsid w:val="00BB2603"/>
    <w:rsid w:val="00BB4FCD"/>
    <w:rsid w:val="00BC04E9"/>
    <w:rsid w:val="00BC22CA"/>
    <w:rsid w:val="00BD08BC"/>
    <w:rsid w:val="00BD13EA"/>
    <w:rsid w:val="00BE3808"/>
    <w:rsid w:val="00C062E9"/>
    <w:rsid w:val="00C07B64"/>
    <w:rsid w:val="00C13721"/>
    <w:rsid w:val="00C14FE4"/>
    <w:rsid w:val="00C3066D"/>
    <w:rsid w:val="00C52416"/>
    <w:rsid w:val="00C543F4"/>
    <w:rsid w:val="00C6291C"/>
    <w:rsid w:val="00C633CB"/>
    <w:rsid w:val="00C736B7"/>
    <w:rsid w:val="00C81D4A"/>
    <w:rsid w:val="00C8762C"/>
    <w:rsid w:val="00C9751F"/>
    <w:rsid w:val="00CA00F9"/>
    <w:rsid w:val="00CA2961"/>
    <w:rsid w:val="00CA58FF"/>
    <w:rsid w:val="00CB50D7"/>
    <w:rsid w:val="00CB7177"/>
    <w:rsid w:val="00CC1998"/>
    <w:rsid w:val="00CC4946"/>
    <w:rsid w:val="00CE141C"/>
    <w:rsid w:val="00CE3E58"/>
    <w:rsid w:val="00CF1A40"/>
    <w:rsid w:val="00D04E14"/>
    <w:rsid w:val="00D237EF"/>
    <w:rsid w:val="00D270A4"/>
    <w:rsid w:val="00D31FE9"/>
    <w:rsid w:val="00D34E1B"/>
    <w:rsid w:val="00D376BA"/>
    <w:rsid w:val="00D45634"/>
    <w:rsid w:val="00D5568A"/>
    <w:rsid w:val="00D63D73"/>
    <w:rsid w:val="00D63E3D"/>
    <w:rsid w:val="00D64452"/>
    <w:rsid w:val="00D65591"/>
    <w:rsid w:val="00D66E1E"/>
    <w:rsid w:val="00D75722"/>
    <w:rsid w:val="00D80CF5"/>
    <w:rsid w:val="00DA5BBA"/>
    <w:rsid w:val="00DB26D2"/>
    <w:rsid w:val="00DB67C9"/>
    <w:rsid w:val="00DC0C95"/>
    <w:rsid w:val="00DD6580"/>
    <w:rsid w:val="00E17C72"/>
    <w:rsid w:val="00E21FC6"/>
    <w:rsid w:val="00E431A9"/>
    <w:rsid w:val="00E55053"/>
    <w:rsid w:val="00E6413E"/>
    <w:rsid w:val="00E669E2"/>
    <w:rsid w:val="00E76135"/>
    <w:rsid w:val="00E82F4F"/>
    <w:rsid w:val="00EC2844"/>
    <w:rsid w:val="00EC4F63"/>
    <w:rsid w:val="00EC5500"/>
    <w:rsid w:val="00ED18F8"/>
    <w:rsid w:val="00EF6C6C"/>
    <w:rsid w:val="00F056FC"/>
    <w:rsid w:val="00F10476"/>
    <w:rsid w:val="00F135D8"/>
    <w:rsid w:val="00F31299"/>
    <w:rsid w:val="00F3534A"/>
    <w:rsid w:val="00F51609"/>
    <w:rsid w:val="00F81006"/>
    <w:rsid w:val="00F85325"/>
    <w:rsid w:val="00FA2CB4"/>
    <w:rsid w:val="00FB33EE"/>
    <w:rsid w:val="00FB6A4D"/>
    <w:rsid w:val="00FD22B1"/>
    <w:rsid w:val="00FE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Body Text" w:uiPriority="99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E1844"/>
    <w:rPr>
      <w:sz w:val="26"/>
      <w:szCs w:val="24"/>
    </w:rPr>
  </w:style>
  <w:style w:type="paragraph" w:styleId="Heading1">
    <w:name w:val="heading 1"/>
    <w:basedOn w:val="BodyText"/>
    <w:next w:val="BodyText"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uiPriority w:val="99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16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12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2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3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4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5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6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11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7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8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13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9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0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17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14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15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character" w:customStyle="1" w:styleId="BodyTextChar">
    <w:name w:val="Body Text Char"/>
    <w:link w:val="BodyText"/>
    <w:uiPriority w:val="99"/>
    <w:locked/>
    <w:rsid w:val="008C235A"/>
    <w:rPr>
      <w:sz w:val="26"/>
    </w:rPr>
  </w:style>
  <w:style w:type="paragraph" w:styleId="Bibliography">
    <w:name w:val="Bibliography"/>
    <w:basedOn w:val="Normal"/>
    <w:next w:val="Normal"/>
    <w:uiPriority w:val="37"/>
    <w:unhideWhenUsed/>
    <w:rsid w:val="008C235A"/>
    <w:pPr>
      <w:spacing w:after="240"/>
      <w:ind w:left="720" w:hanging="720"/>
    </w:pPr>
  </w:style>
  <w:style w:type="character" w:styleId="Hyperlink">
    <w:name w:val="Hyperlink"/>
    <w:basedOn w:val="DefaultParagraphFont"/>
    <w:rsid w:val="009378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Body Text" w:uiPriority="99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E1844"/>
    <w:rPr>
      <w:sz w:val="26"/>
      <w:szCs w:val="24"/>
    </w:rPr>
  </w:style>
  <w:style w:type="paragraph" w:styleId="Heading1">
    <w:name w:val="heading 1"/>
    <w:basedOn w:val="BodyText"/>
    <w:next w:val="BodyText"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uiPriority w:val="99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16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12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2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3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4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5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6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11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7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8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13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9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0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17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14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15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character" w:customStyle="1" w:styleId="BodyTextChar">
    <w:name w:val="Body Text Char"/>
    <w:link w:val="BodyText"/>
    <w:uiPriority w:val="99"/>
    <w:locked/>
    <w:rsid w:val="008C235A"/>
    <w:rPr>
      <w:sz w:val="26"/>
    </w:rPr>
  </w:style>
  <w:style w:type="paragraph" w:styleId="Bibliography">
    <w:name w:val="Bibliography"/>
    <w:basedOn w:val="Normal"/>
    <w:next w:val="Normal"/>
    <w:uiPriority w:val="37"/>
    <w:unhideWhenUsed/>
    <w:rsid w:val="008C235A"/>
    <w:pPr>
      <w:spacing w:after="240"/>
      <w:ind w:left="720" w:hanging="720"/>
    </w:pPr>
  </w:style>
  <w:style w:type="character" w:styleId="Hyperlink">
    <w:name w:val="Hyperlink"/>
    <w:basedOn w:val="DefaultParagraphFont"/>
    <w:rsid w:val="009378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ffice\template2010\chapte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B1B7A-445B-4C09-A9BF-840C34ED2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chapter.dotm</Template>
  <TotalTime>1</TotalTime>
  <Pages>5</Pages>
  <Words>1112</Words>
  <Characters>7550</Characters>
  <Application>Microsoft Office Word</Application>
  <DocSecurity>0</DocSecurity>
  <Lines>142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</vt:lpstr>
    </vt:vector>
  </TitlesOfParts>
  <Company>Productivity Commission</Company>
  <LinksUpToDate>false</LinksUpToDate>
  <CharactersWithSpaces>8610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>Literacy and numeracy skills in Australia</dc:subject>
  <dc:creator>Productivity Commission</dc:creator>
  <dc:description>.</dc:description>
  <cp:lastModifiedBy>Productivity Commission</cp:lastModifiedBy>
  <cp:revision>3</cp:revision>
  <cp:lastPrinted>2014-05-31T05:50:00Z</cp:lastPrinted>
  <dcterms:created xsi:type="dcterms:W3CDTF">2014-06-02T02:35:00Z</dcterms:created>
  <dcterms:modified xsi:type="dcterms:W3CDTF">2014-06-02T02:36:00Z</dcterms:modified>
</cp:coreProperties>
</file>