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860" w:rsidRDefault="00676860">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676860">
        <w:tc>
          <w:tcPr>
            <w:tcW w:w="6634" w:type="dxa"/>
            <w:tcBorders>
              <w:top w:val="single" w:sz="6" w:space="0" w:color="auto"/>
            </w:tcBorders>
          </w:tcPr>
          <w:p w:rsidR="00676860" w:rsidRDefault="00676860">
            <w:pPr>
              <w:pStyle w:val="PartDivider"/>
            </w:pPr>
          </w:p>
        </w:tc>
        <w:tc>
          <w:tcPr>
            <w:tcW w:w="2155" w:type="dxa"/>
            <w:tcBorders>
              <w:top w:val="single" w:sz="24" w:space="0" w:color="auto"/>
            </w:tcBorders>
          </w:tcPr>
          <w:p w:rsidR="00676860" w:rsidRDefault="00676860">
            <w:pPr>
              <w:pStyle w:val="PartDivider"/>
            </w:pPr>
          </w:p>
        </w:tc>
      </w:tr>
    </w:tbl>
    <w:p w:rsidR="00676860" w:rsidRDefault="00676860">
      <w:pPr>
        <w:pStyle w:val="PartDivider"/>
      </w:pPr>
    </w:p>
    <w:p w:rsidR="00676860" w:rsidRDefault="00676860">
      <w:pPr>
        <w:pStyle w:val="PartTitle"/>
      </w:pPr>
      <w:r>
        <w:t>Overview</w:t>
      </w:r>
    </w:p>
    <w:p w:rsidR="00676860" w:rsidRDefault="00676860">
      <w:pPr>
        <w:rPr>
          <w:sz w:val="52"/>
          <w:szCs w:val="20"/>
        </w:rPr>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9541C5" w:rsidTr="00AF2B91">
        <w:tc>
          <w:tcPr>
            <w:tcW w:w="8789" w:type="dxa"/>
            <w:tcBorders>
              <w:bottom w:val="nil"/>
            </w:tcBorders>
          </w:tcPr>
          <w:p w:rsidR="009541C5" w:rsidRDefault="009541C5" w:rsidP="00AF2B91">
            <w:pPr>
              <w:pStyle w:val="BoxTitle"/>
            </w:pPr>
            <w:bookmarkStart w:id="3" w:name="ChapterTitle"/>
            <w:bookmarkEnd w:id="1"/>
            <w:r>
              <w:lastRenderedPageBreak/>
              <w:t>Key points</w:t>
            </w:r>
          </w:p>
        </w:tc>
      </w:tr>
      <w:tr w:rsidR="009541C5" w:rsidTr="00AF2B91">
        <w:tc>
          <w:tcPr>
            <w:tcW w:w="8789" w:type="dxa"/>
            <w:tcBorders>
              <w:top w:val="nil"/>
              <w:left w:val="single" w:sz="4" w:space="0" w:color="auto"/>
              <w:bottom w:val="nil"/>
              <w:right w:val="single" w:sz="4" w:space="0" w:color="auto"/>
            </w:tcBorders>
          </w:tcPr>
          <w:p w:rsidR="004C7650" w:rsidRPr="00865619" w:rsidRDefault="009541C5" w:rsidP="00865619">
            <w:pPr>
              <w:pStyle w:val="BoxListBullet"/>
            </w:pPr>
            <w:r w:rsidRPr="00865619">
              <w:t xml:space="preserve">Multifactor productivity (MFP) growth in Manufacturing </w:t>
            </w:r>
            <w:r w:rsidR="00EB5BD3" w:rsidRPr="00865619">
              <w:t>was negative over the most recent</w:t>
            </w:r>
            <w:r w:rsidRPr="00865619">
              <w:t xml:space="preserve"> complete productivity cycle</w:t>
            </w:r>
            <w:r w:rsidR="00EB5BD3" w:rsidRPr="00865619">
              <w:t xml:space="preserve"> (2003-04 to 2007-08), in contrast to </w:t>
            </w:r>
            <w:r w:rsidR="006469C0" w:rsidRPr="00865619">
              <w:t>the</w:t>
            </w:r>
            <w:r w:rsidR="00EB5BD3" w:rsidRPr="00865619">
              <w:t xml:space="preserve"> positive growth in the previous cycle</w:t>
            </w:r>
            <w:r w:rsidRPr="00865619">
              <w:t xml:space="preserve">. </w:t>
            </w:r>
            <w:r w:rsidR="0054223B" w:rsidRPr="00865619">
              <w:t xml:space="preserve">This </w:t>
            </w:r>
            <w:r w:rsidR="009851C2" w:rsidRPr="00865619">
              <w:t xml:space="preserve">large </w:t>
            </w:r>
            <w:r w:rsidR="0094301A" w:rsidRPr="00865619">
              <w:t>decline was</w:t>
            </w:r>
            <w:r w:rsidR="009D456D" w:rsidRPr="00865619">
              <w:t xml:space="preserve"> atypical</w:t>
            </w:r>
            <w:r w:rsidR="0094301A" w:rsidRPr="00865619">
              <w:t xml:space="preserve"> </w:t>
            </w:r>
            <w:r w:rsidR="003A3B60" w:rsidRPr="00865619">
              <w:t xml:space="preserve">for </w:t>
            </w:r>
            <w:r w:rsidR="009851C2" w:rsidRPr="00865619">
              <w:t>Manufacturing</w:t>
            </w:r>
            <w:r w:rsidR="0054223B" w:rsidRPr="00865619">
              <w:t>,</w:t>
            </w:r>
            <w:r w:rsidR="003A3B60" w:rsidRPr="00865619">
              <w:t xml:space="preserve"> </w:t>
            </w:r>
            <w:r w:rsidR="00C37A63" w:rsidRPr="00865619">
              <w:t xml:space="preserve">and </w:t>
            </w:r>
            <w:r w:rsidR="00A017E8" w:rsidRPr="00865619">
              <w:t xml:space="preserve">since </w:t>
            </w:r>
            <w:r w:rsidR="00C37A63" w:rsidRPr="00865619">
              <w:t>then</w:t>
            </w:r>
            <w:r w:rsidR="00A017E8" w:rsidRPr="00865619">
              <w:t xml:space="preserve"> </w:t>
            </w:r>
            <w:r w:rsidR="0094301A" w:rsidRPr="00865619">
              <w:t xml:space="preserve">MFP has </w:t>
            </w:r>
            <w:r w:rsidR="00602E49" w:rsidRPr="00865619">
              <w:t>continued to decline (</w:t>
            </w:r>
            <w:r w:rsidR="00A017E8" w:rsidRPr="00865619">
              <w:t>although more slowly</w:t>
            </w:r>
            <w:r w:rsidR="00602E49" w:rsidRPr="00865619">
              <w:t>)</w:t>
            </w:r>
            <w:r w:rsidR="009D456D" w:rsidRPr="00865619">
              <w:t xml:space="preserve">. </w:t>
            </w:r>
          </w:p>
          <w:p w:rsidR="00A00697" w:rsidRDefault="00A00697" w:rsidP="00602E49">
            <w:pPr>
              <w:pStyle w:val="BoxListBullet2"/>
            </w:pPr>
            <w:r w:rsidRPr="00865619">
              <w:t>Manufacturing’s</w:t>
            </w:r>
            <w:r>
              <w:t xml:space="preserve"> MFP decline </w:t>
            </w:r>
            <w:r w:rsidR="0054223B">
              <w:t xml:space="preserve">was a major </w:t>
            </w:r>
            <w:r>
              <w:t>contribut</w:t>
            </w:r>
            <w:r w:rsidR="0054223B">
              <w:t>or</w:t>
            </w:r>
            <w:r>
              <w:t xml:space="preserve"> to flat market sector MFP.</w:t>
            </w:r>
          </w:p>
          <w:p w:rsidR="009D456D" w:rsidRDefault="00F6153D" w:rsidP="001345BB">
            <w:pPr>
              <w:pStyle w:val="BoxListBullet"/>
            </w:pPr>
            <w:r>
              <w:t xml:space="preserve">There is no overarching systemic reason for the </w:t>
            </w:r>
            <w:r w:rsidR="00CF31D6">
              <w:t xml:space="preserve">large </w:t>
            </w:r>
            <w:r>
              <w:t xml:space="preserve">decline. Rather, various </w:t>
            </w:r>
            <w:r w:rsidR="0089000A">
              <w:t xml:space="preserve">subsector-specific </w:t>
            </w:r>
            <w:r>
              <w:t>factors, such as lags between investment and output; unmeasured increases in quality; and lower capacity utilisation all contributed. Some factors reflect temporary responses to changing competitive conditions.</w:t>
            </w:r>
            <w:r w:rsidR="00597D92">
              <w:t xml:space="preserve"> </w:t>
            </w:r>
          </w:p>
          <w:p w:rsidR="00806D01" w:rsidRDefault="009541C5" w:rsidP="00235C8D">
            <w:pPr>
              <w:pStyle w:val="BoxListBullet2"/>
              <w:spacing w:line="275" w:lineRule="atLeast"/>
            </w:pPr>
            <w:r>
              <w:t xml:space="preserve">Faster rates of input growth (capital and hours worked) and slower output (value added) growth were the ‘proximate causes’ of this </w:t>
            </w:r>
            <w:r w:rsidR="00241AB7">
              <w:t xml:space="preserve">Manufacturing </w:t>
            </w:r>
            <w:r>
              <w:t xml:space="preserve">MFP decline. </w:t>
            </w:r>
          </w:p>
          <w:p w:rsidR="009541C5" w:rsidRDefault="00362C23" w:rsidP="00235C8D">
            <w:pPr>
              <w:pStyle w:val="BoxListBullet2"/>
              <w:spacing w:line="275" w:lineRule="atLeast"/>
            </w:pPr>
            <w:r>
              <w:t>Petroleum, coal, chemical and rubber products (</w:t>
            </w:r>
            <w:proofErr w:type="spellStart"/>
            <w:r>
              <w:t>PCCR</w:t>
            </w:r>
            <w:proofErr w:type="spellEnd"/>
            <w:r>
              <w:t>)</w:t>
            </w:r>
            <w:r w:rsidRPr="00842377">
              <w:t xml:space="preserve">, </w:t>
            </w:r>
            <w:r>
              <w:t>Food, beverage and tobacco products</w:t>
            </w:r>
            <w:r w:rsidR="000B6CB1">
              <w:t xml:space="preserve"> (</w:t>
            </w:r>
            <w:proofErr w:type="spellStart"/>
            <w:r w:rsidR="000B6CB1">
              <w:t>FBT</w:t>
            </w:r>
            <w:proofErr w:type="spellEnd"/>
            <w:r w:rsidR="000B6CB1">
              <w:t>)</w:t>
            </w:r>
            <w:r w:rsidRPr="00842377">
              <w:t xml:space="preserve">, and </w:t>
            </w:r>
            <w:r>
              <w:t xml:space="preserve">Metal products (MP) collectively </w:t>
            </w:r>
            <w:r w:rsidR="001165BF">
              <w:t xml:space="preserve">accounted </w:t>
            </w:r>
            <w:r>
              <w:t xml:space="preserve">for two-thirds of </w:t>
            </w:r>
            <w:r w:rsidR="004726B5">
              <w:t xml:space="preserve">the </w:t>
            </w:r>
            <w:r>
              <w:t>decline</w:t>
            </w:r>
            <w:r w:rsidR="00B372BE">
              <w:t xml:space="preserve"> between cycles</w:t>
            </w:r>
            <w:r>
              <w:t>.</w:t>
            </w:r>
            <w:r w:rsidR="009541C5">
              <w:t xml:space="preserve"> </w:t>
            </w:r>
            <w:r w:rsidR="00F977CD">
              <w:t xml:space="preserve">Influences </w:t>
            </w:r>
            <w:r w:rsidR="00E51621">
              <w:t>on each</w:t>
            </w:r>
            <w:r w:rsidR="00F977CD">
              <w:t xml:space="preserve"> </w:t>
            </w:r>
            <w:r w:rsidR="004726B5">
              <w:t xml:space="preserve">subsector </w:t>
            </w:r>
            <w:r w:rsidR="00037B6F">
              <w:t>were</w:t>
            </w:r>
            <w:r w:rsidR="00B50D6B">
              <w:t xml:space="preserve"> </w:t>
            </w:r>
            <w:r w:rsidR="00037B6F">
              <w:t>diverse.</w:t>
            </w:r>
          </w:p>
          <w:p w:rsidR="009541C5" w:rsidRDefault="009541C5" w:rsidP="00235C8D">
            <w:pPr>
              <w:pStyle w:val="BoxListBullet"/>
              <w:spacing w:line="275" w:lineRule="atLeast"/>
              <w:rPr>
                <w:szCs w:val="24"/>
              </w:rPr>
            </w:pPr>
            <w:proofErr w:type="spellStart"/>
            <w:r>
              <w:t>PCCR</w:t>
            </w:r>
            <w:proofErr w:type="spellEnd"/>
            <w:r>
              <w:t xml:space="preserve"> </w:t>
            </w:r>
            <w:r w:rsidR="00EB5BD3">
              <w:t xml:space="preserve">output declined </w:t>
            </w:r>
            <w:r w:rsidR="00A758DC">
              <w:t>in absolute terms over the most recent cycle</w:t>
            </w:r>
            <w:r w:rsidR="001A5188">
              <w:t xml:space="preserve"> (after growing over the previous cycle)</w:t>
            </w:r>
            <w:r w:rsidR="00EB5BD3">
              <w:t xml:space="preserve">, and yet there was </w:t>
            </w:r>
            <w:r w:rsidR="000248FB">
              <w:t xml:space="preserve">a large increase in capital </w:t>
            </w:r>
            <w:r w:rsidR="00EB5BD3">
              <w:t>investment</w:t>
            </w:r>
            <w:r>
              <w:t xml:space="preserve">. </w:t>
            </w:r>
          </w:p>
          <w:p w:rsidR="009541C5" w:rsidRDefault="00B93AE7" w:rsidP="00235C8D">
            <w:pPr>
              <w:pStyle w:val="BoxListBullet2"/>
              <w:spacing w:line="275" w:lineRule="atLeast"/>
            </w:pPr>
            <w:r>
              <w:t xml:space="preserve">Petroleum </w:t>
            </w:r>
            <w:r w:rsidR="009541C5">
              <w:t>refineries invested to meet new environmental standards</w:t>
            </w:r>
            <w:r w:rsidR="000B6CB1">
              <w:t xml:space="preserve">, but the </w:t>
            </w:r>
            <w:r w:rsidR="00CE1A64">
              <w:t xml:space="preserve">improved </w:t>
            </w:r>
            <w:r w:rsidR="000B6CB1">
              <w:t>fuel</w:t>
            </w:r>
            <w:r w:rsidR="009541C5">
              <w:t xml:space="preserve"> quality </w:t>
            </w:r>
            <w:r w:rsidR="000B6CB1">
              <w:t xml:space="preserve">is </w:t>
            </w:r>
            <w:r w:rsidR="009541C5">
              <w:t xml:space="preserve">not </w:t>
            </w:r>
            <w:r w:rsidR="00CE1A64">
              <w:t>fully reflected in the output</w:t>
            </w:r>
            <w:r w:rsidR="00EB1E26">
              <w:t xml:space="preserve"> measure</w:t>
            </w:r>
            <w:r w:rsidR="00CE1A64">
              <w:t xml:space="preserve">, </w:t>
            </w:r>
            <w:r w:rsidR="00180BC2">
              <w:t>and</w:t>
            </w:r>
            <w:r w:rsidR="00CE1A64">
              <w:t xml:space="preserve"> thus </w:t>
            </w:r>
            <w:r w:rsidR="009541C5">
              <w:t>in MFP.</w:t>
            </w:r>
            <w:r>
              <w:t xml:space="preserve"> </w:t>
            </w:r>
            <w:r w:rsidR="00175C1E">
              <w:br/>
              <w:t>V</w:t>
            </w:r>
            <w:r w:rsidR="00F839ED">
              <w:t xml:space="preserve">alue added per unit of output </w:t>
            </w:r>
            <w:r w:rsidR="00175C1E">
              <w:t xml:space="preserve">also </w:t>
            </w:r>
            <w:r w:rsidR="00F839ED">
              <w:t>declined, as greater volume</w:t>
            </w:r>
            <w:r w:rsidR="00B80652">
              <w:t>s</w:t>
            </w:r>
            <w:r w:rsidR="00F839ED">
              <w:t xml:space="preserve"> of feedstock and refined fuel </w:t>
            </w:r>
            <w:r w:rsidR="00B80652">
              <w:t xml:space="preserve">were </w:t>
            </w:r>
            <w:r w:rsidR="00F839ED">
              <w:t>imported in response to reduced output from domestic oilfields.</w:t>
            </w:r>
          </w:p>
          <w:p w:rsidR="009541C5" w:rsidRDefault="001B7098" w:rsidP="00235C8D">
            <w:pPr>
              <w:pStyle w:val="BoxListBullet2"/>
              <w:spacing w:line="275" w:lineRule="atLeast"/>
            </w:pPr>
            <w:r>
              <w:t>For plastic products</w:t>
            </w:r>
            <w:r w:rsidR="00F9155C">
              <w:t xml:space="preserve">, </w:t>
            </w:r>
            <w:r w:rsidR="000E6538">
              <w:t xml:space="preserve">increased production </w:t>
            </w:r>
            <w:r w:rsidR="00A205C6">
              <w:t>by</w:t>
            </w:r>
            <w:r w:rsidR="000E6538">
              <w:t xml:space="preserve"> </w:t>
            </w:r>
            <w:r w:rsidR="009541C5">
              <w:t xml:space="preserve">overseas firms with lower input costs and the appreciation of the </w:t>
            </w:r>
            <w:r w:rsidR="000B6CB1">
              <w:t xml:space="preserve">Australian </w:t>
            </w:r>
            <w:r w:rsidR="009541C5">
              <w:t xml:space="preserve">dollar led to </w:t>
            </w:r>
            <w:r w:rsidR="000E6538">
              <w:t xml:space="preserve">strong </w:t>
            </w:r>
            <w:r w:rsidR="00CE1A64">
              <w:t xml:space="preserve">import </w:t>
            </w:r>
            <w:r w:rsidR="000E6538">
              <w:t>competition</w:t>
            </w:r>
            <w:r w:rsidR="00731C7D">
              <w:t>.</w:t>
            </w:r>
            <w:r w:rsidR="000E6538">
              <w:t xml:space="preserve"> </w:t>
            </w:r>
            <w:r w:rsidR="00731C7D">
              <w:t>D</w:t>
            </w:r>
            <w:r w:rsidR="000E6538">
              <w:t xml:space="preserve">omestic production </w:t>
            </w:r>
            <w:r w:rsidR="009541C5">
              <w:t>decline</w:t>
            </w:r>
            <w:r w:rsidR="000E6538">
              <w:t>d</w:t>
            </w:r>
            <w:r w:rsidR="00CE1A64">
              <w:t>,</w:t>
            </w:r>
            <w:r w:rsidR="000E6538">
              <w:t xml:space="preserve"> leading to</w:t>
            </w:r>
            <w:r w:rsidR="001165BF">
              <w:t xml:space="preserve"> underutilised capacity</w:t>
            </w:r>
            <w:r w:rsidR="009541C5">
              <w:t xml:space="preserve">. </w:t>
            </w:r>
            <w:r w:rsidR="005841F4">
              <w:t xml:space="preserve">Higher demand for fertilisers and explosives led to </w:t>
            </w:r>
            <w:r w:rsidR="009541C5">
              <w:t xml:space="preserve">very large investments </w:t>
            </w:r>
            <w:r w:rsidR="005841F4">
              <w:t>to</w:t>
            </w:r>
            <w:r w:rsidR="009541C5">
              <w:t xml:space="preserve"> expand chemical production</w:t>
            </w:r>
            <w:r w:rsidR="005841F4">
              <w:t>, but there was a lag before output increased.</w:t>
            </w:r>
            <w:r w:rsidR="009541C5">
              <w:t xml:space="preserve"> </w:t>
            </w:r>
          </w:p>
          <w:p w:rsidR="009541C5" w:rsidRDefault="00A00697" w:rsidP="00235C8D">
            <w:pPr>
              <w:pStyle w:val="BoxListBullet"/>
              <w:spacing w:line="275" w:lineRule="atLeast"/>
              <w:rPr>
                <w:szCs w:val="24"/>
              </w:rPr>
            </w:pPr>
            <w:r>
              <w:t xml:space="preserve">Food and beverages </w:t>
            </w:r>
            <w:r w:rsidR="00CE1A64">
              <w:t xml:space="preserve">output growth slowed, yet </w:t>
            </w:r>
            <w:r w:rsidR="005B44F1">
              <w:t>hours worked</w:t>
            </w:r>
            <w:r w:rsidR="00CE1A64">
              <w:t xml:space="preserve"> increased significantly</w:t>
            </w:r>
            <w:r w:rsidR="005B44F1">
              <w:t>.</w:t>
            </w:r>
            <w:r w:rsidR="009541C5">
              <w:t xml:space="preserve"> </w:t>
            </w:r>
          </w:p>
          <w:p w:rsidR="009541C5" w:rsidRDefault="00A205C6" w:rsidP="00235C8D">
            <w:pPr>
              <w:pStyle w:val="BoxListBullet2"/>
              <w:spacing w:line="275" w:lineRule="atLeast"/>
            </w:pPr>
            <w:r>
              <w:t>S</w:t>
            </w:r>
            <w:r w:rsidR="009541C5">
              <w:t>low</w:t>
            </w:r>
            <w:r>
              <w:t>er</w:t>
            </w:r>
            <w:r w:rsidR="009541C5">
              <w:t xml:space="preserve"> </w:t>
            </w:r>
            <w:r w:rsidR="00A65DD4">
              <w:t>output</w:t>
            </w:r>
            <w:r w:rsidR="009541C5">
              <w:t xml:space="preserve"> growth </w:t>
            </w:r>
            <w:r w:rsidR="00B33490">
              <w:t xml:space="preserve">was </w:t>
            </w:r>
            <w:r w:rsidR="001165BF">
              <w:t>associated with</w:t>
            </w:r>
            <w:r w:rsidR="009541C5">
              <w:t xml:space="preserve"> a decline in exports and a loss of domestic market share for some products — reflecting input cost pressures, appreciation of the Australian dollar, and, in cases</w:t>
            </w:r>
            <w:r w:rsidR="005841F4">
              <w:t xml:space="preserve"> such as wine</w:t>
            </w:r>
            <w:r w:rsidR="009541C5">
              <w:t xml:space="preserve">, drought. </w:t>
            </w:r>
          </w:p>
          <w:p w:rsidR="009541C5" w:rsidRDefault="009541C5" w:rsidP="00235C8D">
            <w:pPr>
              <w:pStyle w:val="BoxListBullet2"/>
              <w:spacing w:line="275" w:lineRule="atLeast"/>
            </w:pPr>
            <w:r>
              <w:t>Consumer preferences also drove changes in the composition of output that increased the input intensity of production — for example, there was growth in smaller scale, more labour intensive</w:t>
            </w:r>
            <w:r w:rsidR="001165BF">
              <w:t>,</w:t>
            </w:r>
            <w:r>
              <w:t xml:space="preserve"> non-factory bakeries. </w:t>
            </w:r>
          </w:p>
          <w:p w:rsidR="009541C5" w:rsidRDefault="009541C5" w:rsidP="00235C8D">
            <w:pPr>
              <w:pStyle w:val="BoxListBullet2"/>
              <w:spacing w:line="275" w:lineRule="atLeast"/>
            </w:pPr>
            <w:r>
              <w:t xml:space="preserve">But the decline in MFP in </w:t>
            </w:r>
            <w:proofErr w:type="spellStart"/>
            <w:r>
              <w:t>FBT</w:t>
            </w:r>
            <w:proofErr w:type="spellEnd"/>
            <w:r>
              <w:t xml:space="preserve"> may have been overstated due to challenges in measuring improved output quality and reductions in the capital stock.</w:t>
            </w:r>
          </w:p>
          <w:p w:rsidR="009541C5" w:rsidRDefault="00A00697" w:rsidP="00235C8D">
            <w:pPr>
              <w:pStyle w:val="BoxListBullet"/>
              <w:spacing w:line="275" w:lineRule="atLeast"/>
              <w:rPr>
                <w:szCs w:val="24"/>
              </w:rPr>
            </w:pPr>
            <w:r>
              <w:t>Metal products</w:t>
            </w:r>
            <w:r w:rsidRPr="006D0216">
              <w:t xml:space="preserve"> </w:t>
            </w:r>
            <w:r w:rsidR="009541C5" w:rsidRPr="006D0216">
              <w:t>was different</w:t>
            </w:r>
            <w:r w:rsidR="0054223B">
              <w:t>,</w:t>
            </w:r>
            <w:r w:rsidR="009541C5">
              <w:t xml:space="preserve"> with </w:t>
            </w:r>
            <w:r w:rsidR="00A65DD4" w:rsidRPr="00A65DD4">
              <w:t>faster</w:t>
            </w:r>
            <w:r w:rsidR="009541C5">
              <w:t xml:space="preserve"> output growth and even </w:t>
            </w:r>
            <w:r w:rsidR="00A65DD4">
              <w:t>faster</w:t>
            </w:r>
            <w:r w:rsidR="009541C5">
              <w:t xml:space="preserve"> input growth. </w:t>
            </w:r>
          </w:p>
          <w:p w:rsidR="009541C5" w:rsidRDefault="00A65DD4" w:rsidP="00235C8D">
            <w:pPr>
              <w:pStyle w:val="BoxListBullet2"/>
              <w:spacing w:line="275" w:lineRule="atLeast"/>
            </w:pPr>
            <w:r>
              <w:t xml:space="preserve">Fabricated metals output grew strongly to meet </w:t>
            </w:r>
            <w:r w:rsidR="009541C5">
              <w:t xml:space="preserve">increased demand </w:t>
            </w:r>
            <w:r>
              <w:t xml:space="preserve">from the </w:t>
            </w:r>
            <w:r w:rsidR="009541C5">
              <w:t xml:space="preserve">Construction and Mining sectors. </w:t>
            </w:r>
          </w:p>
          <w:p w:rsidR="009541C5" w:rsidRDefault="00A00697" w:rsidP="00235C8D">
            <w:pPr>
              <w:pStyle w:val="BoxListBullet2"/>
              <w:spacing w:line="275" w:lineRule="atLeast"/>
            </w:pPr>
            <w:r>
              <w:t xml:space="preserve">Metal products </w:t>
            </w:r>
            <w:r w:rsidR="005841F4">
              <w:t xml:space="preserve">was </w:t>
            </w:r>
            <w:r w:rsidR="009541C5">
              <w:t xml:space="preserve">responsible for most of the capital growth in Manufacturing, </w:t>
            </w:r>
            <w:r w:rsidR="00CE6C0E">
              <w:t>largely</w:t>
            </w:r>
            <w:r w:rsidR="009541C5">
              <w:t xml:space="preserve"> </w:t>
            </w:r>
            <w:r w:rsidR="00CE6C0E">
              <w:t xml:space="preserve">to expand </w:t>
            </w:r>
            <w:r w:rsidR="009541C5">
              <w:t xml:space="preserve">alumina refining capacity. However, </w:t>
            </w:r>
            <w:r w:rsidR="00FE6BDC">
              <w:t>the inevitable</w:t>
            </w:r>
            <w:r w:rsidR="009541C5">
              <w:t xml:space="preserve"> lag between investment and </w:t>
            </w:r>
            <w:r w:rsidR="00FE6BDC">
              <w:t>ensuing</w:t>
            </w:r>
            <w:r w:rsidR="001165BF">
              <w:t xml:space="preserve"> </w:t>
            </w:r>
            <w:r w:rsidR="009541C5">
              <w:t xml:space="preserve">output </w:t>
            </w:r>
            <w:r w:rsidR="00FE6BDC">
              <w:t xml:space="preserve">led to lower measured </w:t>
            </w:r>
            <w:r w:rsidR="000936DA">
              <w:t>productivity</w:t>
            </w:r>
            <w:r w:rsidR="009541C5">
              <w:t>.</w:t>
            </w:r>
          </w:p>
          <w:p w:rsidR="009541C5" w:rsidRDefault="009541C5" w:rsidP="0054223B">
            <w:pPr>
              <w:pStyle w:val="BoxListBullet"/>
              <w:spacing w:line="275" w:lineRule="atLeast"/>
              <w:rPr>
                <w:szCs w:val="24"/>
              </w:rPr>
            </w:pPr>
            <w:r w:rsidRPr="00551F86">
              <w:t xml:space="preserve">The </w:t>
            </w:r>
            <w:r w:rsidR="00AF1433">
              <w:t>MFP</w:t>
            </w:r>
            <w:r w:rsidRPr="00551F86">
              <w:t xml:space="preserve"> decline </w:t>
            </w:r>
            <w:r>
              <w:t xml:space="preserve">in Manufacturing </w:t>
            </w:r>
            <w:r w:rsidRPr="00551F86">
              <w:t xml:space="preserve">has slowed </w:t>
            </w:r>
            <w:r w:rsidR="0094301A">
              <w:t>in</w:t>
            </w:r>
            <w:r w:rsidRPr="00551F86">
              <w:t xml:space="preserve"> the </w:t>
            </w:r>
            <w:r w:rsidR="0094301A">
              <w:t>current</w:t>
            </w:r>
            <w:r w:rsidR="0094301A" w:rsidRPr="00551F86">
              <w:t xml:space="preserve"> </w:t>
            </w:r>
            <w:r w:rsidR="0094301A">
              <w:t>in</w:t>
            </w:r>
            <w:r w:rsidR="00CE6C0E">
              <w:t xml:space="preserve">complete </w:t>
            </w:r>
            <w:r w:rsidRPr="00551F86">
              <w:t>cycle</w:t>
            </w:r>
            <w:r w:rsidR="0094301A">
              <w:t>.</w:t>
            </w:r>
            <w:r>
              <w:t xml:space="preserve"> </w:t>
            </w:r>
            <w:r w:rsidR="00A57EC4" w:rsidRPr="00D81EF3">
              <w:t>MFP</w:t>
            </w:r>
            <w:r w:rsidR="0094301A">
              <w:t xml:space="preserve"> growth</w:t>
            </w:r>
            <w:r w:rsidR="00A57EC4" w:rsidRPr="00D81EF3">
              <w:t xml:space="preserve"> in </w:t>
            </w:r>
            <w:proofErr w:type="spellStart"/>
            <w:r w:rsidR="00A57EC4" w:rsidRPr="00D81EF3">
              <w:t>PCCR</w:t>
            </w:r>
            <w:proofErr w:type="spellEnd"/>
            <w:r w:rsidR="00A57EC4" w:rsidRPr="00D81EF3">
              <w:t xml:space="preserve"> and </w:t>
            </w:r>
            <w:proofErr w:type="spellStart"/>
            <w:r w:rsidR="00A57EC4" w:rsidRPr="00D81EF3">
              <w:t>FBT</w:t>
            </w:r>
            <w:proofErr w:type="spellEnd"/>
            <w:r w:rsidR="00A57EC4" w:rsidRPr="00D81EF3">
              <w:t xml:space="preserve"> </w:t>
            </w:r>
            <w:r w:rsidR="0094301A">
              <w:t>remains negative and it is marginally positive in</w:t>
            </w:r>
            <w:r w:rsidR="0094301A" w:rsidRPr="00D81EF3">
              <w:t xml:space="preserve"> </w:t>
            </w:r>
            <w:r w:rsidR="00A57EC4" w:rsidRPr="00D81EF3">
              <w:t>MP</w:t>
            </w:r>
            <w:r>
              <w:t xml:space="preserve">. </w:t>
            </w:r>
          </w:p>
        </w:tc>
      </w:tr>
      <w:tr w:rsidR="009541C5" w:rsidTr="00AF2B91">
        <w:tc>
          <w:tcPr>
            <w:tcW w:w="8789" w:type="dxa"/>
            <w:tcBorders>
              <w:top w:val="nil"/>
              <w:bottom w:val="single" w:sz="4" w:space="0" w:color="auto"/>
            </w:tcBorders>
          </w:tcPr>
          <w:p w:rsidR="009541C5" w:rsidRDefault="009541C5" w:rsidP="007317DF">
            <w:pPr>
              <w:pStyle w:val="Box"/>
              <w:spacing w:before="0" w:line="120" w:lineRule="exact"/>
            </w:pPr>
          </w:p>
        </w:tc>
      </w:tr>
    </w:tbl>
    <w:p w:rsidR="00A33DFF" w:rsidRDefault="00676860" w:rsidP="00676860">
      <w:pPr>
        <w:pStyle w:val="Heading1"/>
      </w:pPr>
      <w:r>
        <w:lastRenderedPageBreak/>
        <w:t>Overview</w:t>
      </w:r>
      <w:bookmarkEnd w:id="3"/>
    </w:p>
    <w:p w:rsidR="00A033F1" w:rsidRPr="00AA78BC" w:rsidRDefault="006C4301" w:rsidP="006C4301">
      <w:pPr>
        <w:pStyle w:val="BodyText"/>
      </w:pPr>
      <w:bookmarkStart w:id="4" w:name="begin"/>
      <w:bookmarkEnd w:id="4"/>
      <w:r w:rsidRPr="00AA78BC">
        <w:t xml:space="preserve">During the </w:t>
      </w:r>
      <w:proofErr w:type="spellStart"/>
      <w:r w:rsidRPr="00AA78BC">
        <w:t>1980s</w:t>
      </w:r>
      <w:proofErr w:type="spellEnd"/>
      <w:r w:rsidRPr="00AA78BC">
        <w:t xml:space="preserve"> and </w:t>
      </w:r>
      <w:proofErr w:type="spellStart"/>
      <w:r w:rsidRPr="00AA78BC">
        <w:t>1990s</w:t>
      </w:r>
      <w:proofErr w:type="spellEnd"/>
      <w:r w:rsidRPr="00AA78BC">
        <w:t xml:space="preserve">, Manufacturing in Australia </w:t>
      </w:r>
      <w:r>
        <w:t xml:space="preserve">exhibited a rising trend for both real </w:t>
      </w:r>
      <w:r w:rsidRPr="00AA78BC">
        <w:t xml:space="preserve">value added and </w:t>
      </w:r>
      <w:r>
        <w:t>multifactor productivity (MFP)</w:t>
      </w:r>
      <w:r w:rsidRPr="00AA78BC">
        <w:t xml:space="preserve">. In particular, real value added grew strongly over the </w:t>
      </w:r>
      <w:proofErr w:type="spellStart"/>
      <w:r w:rsidRPr="00AA78BC">
        <w:t>1990s</w:t>
      </w:r>
      <w:proofErr w:type="spellEnd"/>
      <w:r>
        <w:t xml:space="preserve">. And although it has plateaued since, </w:t>
      </w:r>
      <w:r w:rsidRPr="00AA78BC">
        <w:t xml:space="preserve">real value added </w:t>
      </w:r>
      <w:r>
        <w:t>is still larger now</w:t>
      </w:r>
      <w:r w:rsidRPr="00AA78BC">
        <w:t xml:space="preserve"> than it was at the turn of the century. Over the long term, hours worked (and therefore, broadly, jobs) have declined but </w:t>
      </w:r>
      <w:r>
        <w:t xml:space="preserve">Manufacturing </w:t>
      </w:r>
      <w:r w:rsidRPr="00AA78BC">
        <w:t xml:space="preserve">investment has risen. Real investment rose strongly over the </w:t>
      </w:r>
      <w:proofErr w:type="spellStart"/>
      <w:r w:rsidRPr="00AA78BC">
        <w:t>2000s</w:t>
      </w:r>
      <w:proofErr w:type="spellEnd"/>
      <w:r w:rsidRPr="00AA78BC">
        <w:t xml:space="preserve">, </w:t>
      </w:r>
      <w:r>
        <w:t>before slowing</w:t>
      </w:r>
      <w:r w:rsidRPr="00AA78BC">
        <w:t xml:space="preserve"> since the global financial crisis.</w:t>
      </w:r>
      <w:r w:rsidR="00B2286C">
        <w:t xml:space="preserve"> </w:t>
      </w:r>
    </w:p>
    <w:p w:rsidR="00B2286C" w:rsidRDefault="00C11C79" w:rsidP="007B45CD">
      <w:pPr>
        <w:pStyle w:val="BodyText"/>
      </w:pPr>
      <w:r>
        <w:t xml:space="preserve">Despite </w:t>
      </w:r>
      <w:r w:rsidR="00A7311A">
        <w:t>Manufacturing</w:t>
      </w:r>
      <w:r>
        <w:t xml:space="preserve">’s value added </w:t>
      </w:r>
      <w:r w:rsidR="00820942">
        <w:t xml:space="preserve">growth </w:t>
      </w:r>
      <w:r>
        <w:t xml:space="preserve">performance, </w:t>
      </w:r>
      <w:r w:rsidR="006C4301">
        <w:t>MFP has been declining since 2003-04</w:t>
      </w:r>
      <w:r w:rsidR="00951608">
        <w:t>. T</w:t>
      </w:r>
      <w:r w:rsidR="00F1497B">
        <w:t>his</w:t>
      </w:r>
      <w:r w:rsidR="00A7311A">
        <w:t xml:space="preserve"> has </w:t>
      </w:r>
      <w:r w:rsidR="00A7311A" w:rsidRPr="00B3765A">
        <w:t xml:space="preserve">been one of the main contributors to the </w:t>
      </w:r>
      <w:r w:rsidR="00E16851">
        <w:t xml:space="preserve">recent </w:t>
      </w:r>
      <w:r w:rsidR="003F515C">
        <w:t xml:space="preserve">flat to </w:t>
      </w:r>
      <w:r w:rsidR="00A7311A" w:rsidRPr="00B3765A">
        <w:t>dec</w:t>
      </w:r>
      <w:r w:rsidR="00A7311A">
        <w:t>lin</w:t>
      </w:r>
      <w:r w:rsidR="003F515C">
        <w:t>ing</w:t>
      </w:r>
      <w:r w:rsidR="00A7311A">
        <w:t xml:space="preserve"> </w:t>
      </w:r>
      <w:r w:rsidR="003F515C">
        <w:t>productivity</w:t>
      </w:r>
      <w:r w:rsidR="00A7311A">
        <w:t xml:space="preserve"> </w:t>
      </w:r>
      <w:r w:rsidR="00951608">
        <w:t xml:space="preserve">of </w:t>
      </w:r>
      <w:r w:rsidR="00AA3385">
        <w:t xml:space="preserve">the </w:t>
      </w:r>
      <w:r w:rsidR="006B128A">
        <w:t xml:space="preserve">whole </w:t>
      </w:r>
      <w:r w:rsidR="00A7311A">
        <w:t xml:space="preserve">market sector of the Australian economy. </w:t>
      </w:r>
    </w:p>
    <w:p w:rsidR="00FC53DA" w:rsidDel="00A033F1" w:rsidRDefault="00A7311A" w:rsidP="00A7311A">
      <w:pPr>
        <w:pStyle w:val="BodyText"/>
      </w:pPr>
      <w:r>
        <w:t xml:space="preserve">Manufacturing includes a </w:t>
      </w:r>
      <w:r w:rsidR="00371E68">
        <w:t>wide</w:t>
      </w:r>
      <w:r>
        <w:t xml:space="preserve"> range of activities</w:t>
      </w:r>
      <w:r w:rsidR="00EF1467">
        <w:t xml:space="preserve">, </w:t>
      </w:r>
      <w:r w:rsidR="003F515C">
        <w:t xml:space="preserve">and thus an examination of its subsectors is key to </w:t>
      </w:r>
      <w:r>
        <w:t xml:space="preserve">understanding </w:t>
      </w:r>
      <w:r w:rsidR="00EF1467">
        <w:t>the</w:t>
      </w:r>
      <w:r>
        <w:t xml:space="preserve"> drivers of </w:t>
      </w:r>
      <w:r w:rsidR="00EF1467">
        <w:t xml:space="preserve">its </w:t>
      </w:r>
      <w:r>
        <w:t xml:space="preserve">productivity </w:t>
      </w:r>
      <w:r w:rsidR="00EF1467">
        <w:t>decline</w:t>
      </w:r>
      <w:r>
        <w:t xml:space="preserve">. </w:t>
      </w:r>
      <w:r w:rsidR="003F515C" w:rsidDel="00A033F1">
        <w:t xml:space="preserve">There have been changes in each of the subsectors over time, and thus this </w:t>
      </w:r>
      <w:r w:rsidR="005A1904" w:rsidDel="00A033F1">
        <w:t>study</w:t>
      </w:r>
      <w:r w:rsidR="003F515C" w:rsidDel="00A033F1">
        <w:t xml:space="preserve"> examines the last four productivity cycles, starting from 1988-89. In particular, it focuse</w:t>
      </w:r>
      <w:r w:rsidR="00CD0DFC" w:rsidDel="00A033F1">
        <w:t>s</w:t>
      </w:r>
      <w:r w:rsidR="003F515C" w:rsidDel="00A033F1">
        <w:t xml:space="preserve"> on changes over the la</w:t>
      </w:r>
      <w:r w:rsidR="00CD0DFC" w:rsidDel="00A033F1">
        <w:t>st two</w:t>
      </w:r>
      <w:r w:rsidR="003F515C" w:rsidDel="00A033F1">
        <w:t xml:space="preserve"> </w:t>
      </w:r>
      <w:r w:rsidR="00792A1B" w:rsidDel="00A033F1">
        <w:t xml:space="preserve">complete </w:t>
      </w:r>
      <w:r w:rsidR="003F515C" w:rsidDel="00A033F1">
        <w:t>cycles</w:t>
      </w:r>
      <w:r w:rsidR="00CD0DFC" w:rsidDel="00A033F1">
        <w:t xml:space="preserve"> —</w:t>
      </w:r>
      <w:r w:rsidR="003F515C" w:rsidDel="00A033F1">
        <w:t xml:space="preserve"> ‘cycle 3’ (1998-99 to 2003-04) and ‘cycle 4’ (2003-04 to 2007-08).</w:t>
      </w:r>
      <w:r w:rsidR="00233484" w:rsidDel="00A033F1">
        <w:t xml:space="preserve"> </w:t>
      </w:r>
      <w:r w:rsidRPr="004954D3" w:rsidDel="00A033F1">
        <w:t xml:space="preserve">This study finds </w:t>
      </w:r>
      <w:r w:rsidR="0094573D" w:rsidRPr="004954D3" w:rsidDel="00A033F1">
        <w:t>that</w:t>
      </w:r>
      <w:r w:rsidR="00EF1467" w:rsidRPr="004954D3" w:rsidDel="00A033F1">
        <w:t xml:space="preserve"> </w:t>
      </w:r>
      <w:r w:rsidR="00AA3385" w:rsidRPr="004954D3" w:rsidDel="00A033F1">
        <w:t>almost two</w:t>
      </w:r>
      <w:r w:rsidR="004C7650">
        <w:noBreakHyphen/>
      </w:r>
      <w:r w:rsidR="00AA3385" w:rsidRPr="004954D3" w:rsidDel="00A033F1">
        <w:t xml:space="preserve">thirds of </w:t>
      </w:r>
      <w:r w:rsidR="00175C1E" w:rsidDel="00A033F1">
        <w:t>the decline in Manufacturing’s MFP</w:t>
      </w:r>
      <w:r w:rsidR="00175C1E" w:rsidRPr="004954D3" w:rsidDel="00A033F1">
        <w:t xml:space="preserve"> </w:t>
      </w:r>
      <w:r w:rsidR="00175C1E" w:rsidDel="00A033F1">
        <w:t>growth</w:t>
      </w:r>
      <w:r w:rsidR="00A57EC4" w:rsidDel="00A033F1">
        <w:t>,</w:t>
      </w:r>
      <w:r w:rsidR="00175C1E" w:rsidDel="00A033F1">
        <w:t xml:space="preserve"> from its average rate in </w:t>
      </w:r>
      <w:r w:rsidR="00E769A6" w:rsidDel="00A033F1">
        <w:t>cycle</w:t>
      </w:r>
      <w:r w:rsidR="00E769A6">
        <w:t> </w:t>
      </w:r>
      <w:r w:rsidR="00AA3385" w:rsidDel="00A033F1">
        <w:t xml:space="preserve">3 </w:t>
      </w:r>
      <w:r w:rsidR="00175C1E" w:rsidDel="00A033F1">
        <w:t xml:space="preserve">to its average rate in </w:t>
      </w:r>
      <w:r w:rsidR="00AA3385" w:rsidDel="00A033F1">
        <w:t>cycle 4</w:t>
      </w:r>
      <w:r w:rsidR="00A57EC4" w:rsidDel="00A033F1">
        <w:t>,</w:t>
      </w:r>
      <w:r w:rsidR="00AA3385" w:rsidDel="00A033F1">
        <w:t xml:space="preserve"> is accounted for by three </w:t>
      </w:r>
      <w:r w:rsidR="001165BF" w:rsidDel="00A033F1">
        <w:t xml:space="preserve">of the eight </w:t>
      </w:r>
      <w:r w:rsidR="00AA3385" w:rsidDel="00A033F1">
        <w:t xml:space="preserve">subsectors: </w:t>
      </w:r>
      <w:r w:rsidR="00AA3385" w:rsidRPr="004954D3" w:rsidDel="00A033F1">
        <w:t>Petroleum</w:t>
      </w:r>
      <w:r w:rsidR="00CF3474" w:rsidDel="00A033F1">
        <w:t xml:space="preserve"> and chemicals</w:t>
      </w:r>
      <w:r w:rsidR="00AA3385" w:rsidDel="00A033F1">
        <w:t>;</w:t>
      </w:r>
      <w:r w:rsidR="00AA3385" w:rsidRPr="004954D3" w:rsidDel="00A033F1">
        <w:t xml:space="preserve"> Food</w:t>
      </w:r>
      <w:r w:rsidR="00CF3474" w:rsidDel="00A033F1">
        <w:t xml:space="preserve"> and </w:t>
      </w:r>
      <w:r w:rsidR="00AA3385" w:rsidRPr="004954D3" w:rsidDel="00A033F1">
        <w:t>beverage</w:t>
      </w:r>
      <w:r w:rsidR="00CF3474" w:rsidDel="00A033F1">
        <w:t>s</w:t>
      </w:r>
      <w:r w:rsidR="00AA3385" w:rsidDel="00A033F1">
        <w:t>;</w:t>
      </w:r>
      <w:r w:rsidR="00AA3385" w:rsidRPr="004954D3" w:rsidDel="00A033F1">
        <w:t xml:space="preserve"> and Metal product</w:t>
      </w:r>
      <w:r w:rsidR="00AA3385" w:rsidDel="00A033F1">
        <w:t>s.</w:t>
      </w:r>
      <w:r w:rsidR="00CF3474" w:rsidDel="00A033F1">
        <w:rPr>
          <w:rStyle w:val="FootnoteReference"/>
        </w:rPr>
        <w:footnoteReference w:id="1"/>
      </w:r>
      <w:r w:rsidR="00AA3385" w:rsidRPr="004954D3" w:rsidDel="00A033F1">
        <w:t xml:space="preserve"> </w:t>
      </w:r>
    </w:p>
    <w:p w:rsidR="00A033F1" w:rsidRDefault="00E04596" w:rsidP="005017C4">
      <w:pPr>
        <w:pStyle w:val="BodyText"/>
      </w:pPr>
      <w:r>
        <w:t>T</w:t>
      </w:r>
      <w:r w:rsidR="00597D92">
        <w:t xml:space="preserve">he influences on the productivity of manufacturers are diverse and vary over time. </w:t>
      </w:r>
      <w:r w:rsidR="00597D92" w:rsidRPr="00F61332">
        <w:t>There is no single factor that explains th</w:t>
      </w:r>
      <w:r w:rsidR="00C3704B">
        <w:t>e</w:t>
      </w:r>
      <w:r w:rsidR="00597D92" w:rsidRPr="00F61332">
        <w:t xml:space="preserve"> decline in </w:t>
      </w:r>
      <w:r w:rsidR="00597D92">
        <w:t xml:space="preserve">Manufacturing </w:t>
      </w:r>
      <w:r w:rsidR="00597D92" w:rsidRPr="00F61332">
        <w:t>MFP</w:t>
      </w:r>
      <w:r w:rsidR="00284EFA">
        <w:t xml:space="preserve">. </w:t>
      </w:r>
      <w:r w:rsidR="005017C4">
        <w:t xml:space="preserve">In the subsectors examined in detail some of the varying factors were: </w:t>
      </w:r>
      <w:r w:rsidR="00A033F1">
        <w:t xml:space="preserve">the lead time between investment in new capital and associated output; unmeasured increases in output quality, in some cases in response to regulation; </w:t>
      </w:r>
      <w:r w:rsidR="007317DF">
        <w:t>lower rates of capacity utilisation</w:t>
      </w:r>
      <w:r w:rsidR="00C55C0A">
        <w:t>; and c</w:t>
      </w:r>
      <w:r w:rsidR="00A033F1">
        <w:t xml:space="preserve">hange in the </w:t>
      </w:r>
      <w:r w:rsidR="00C55C0A">
        <w:t>composition of</w:t>
      </w:r>
      <w:r w:rsidR="00A033F1">
        <w:t xml:space="preserve"> output demanded by consumers</w:t>
      </w:r>
      <w:r w:rsidR="00B372BE">
        <w:t xml:space="preserve"> into products </w:t>
      </w:r>
      <w:r w:rsidR="007317DF">
        <w:t xml:space="preserve">with higher </w:t>
      </w:r>
      <w:r w:rsidR="00C55C0A">
        <w:t>labour</w:t>
      </w:r>
      <w:r w:rsidR="007317DF">
        <w:t xml:space="preserve">-intensity and </w:t>
      </w:r>
      <w:r w:rsidR="00A033F1">
        <w:t xml:space="preserve">lower levels of </w:t>
      </w:r>
      <w:r w:rsidR="00B372BE">
        <w:t xml:space="preserve">measured </w:t>
      </w:r>
      <w:r w:rsidR="00A033F1">
        <w:t>productivity.</w:t>
      </w:r>
      <w:r w:rsidR="0086067A">
        <w:t xml:space="preserve"> </w:t>
      </w:r>
      <w:r w:rsidR="00A64EB5">
        <w:t>Some of these factors are temporary in nature and the result of adjustment to changing competitive conditions and no simple policy inference can be drawn.</w:t>
      </w:r>
    </w:p>
    <w:p w:rsidR="00703F15" w:rsidRPr="006F4BD3" w:rsidRDefault="00703F15" w:rsidP="006F4BD3">
      <w:pPr>
        <w:pStyle w:val="Heading3"/>
      </w:pPr>
      <w:r w:rsidRPr="006F4BD3">
        <w:lastRenderedPageBreak/>
        <w:t>The long</w:t>
      </w:r>
      <w:r w:rsidR="003B20CF" w:rsidRPr="006F4BD3">
        <w:t>-</w:t>
      </w:r>
      <w:r w:rsidRPr="006F4BD3">
        <w:t>term performance of Manufacturing in Australia</w:t>
      </w:r>
    </w:p>
    <w:p w:rsidR="00703F15" w:rsidRDefault="00703F15" w:rsidP="00703F15">
      <w:pPr>
        <w:pStyle w:val="BodyText"/>
      </w:pPr>
      <w:r>
        <w:t>There was a shift in Manufacturing MFP and its proximate causes</w:t>
      </w:r>
      <w:r w:rsidR="00A57EC4">
        <w:t xml:space="preserve"> </w:t>
      </w:r>
      <w:r>
        <w:t xml:space="preserve">in the </w:t>
      </w:r>
      <w:r w:rsidR="00DD737F">
        <w:t xml:space="preserve">most recent </w:t>
      </w:r>
      <w:r w:rsidR="007914E1">
        <w:t xml:space="preserve">complete </w:t>
      </w:r>
      <w:r w:rsidR="00DD737F">
        <w:t>productivity cycle (cycle 4</w:t>
      </w:r>
      <w:r>
        <w:t>), compared with trends going back to 1985</w:t>
      </w:r>
      <w:r w:rsidR="00DD737F">
        <w:noBreakHyphen/>
      </w:r>
      <w:r>
        <w:t>86 (</w:t>
      </w:r>
      <w:r w:rsidR="00A57EC4">
        <w:t>figure </w:t>
      </w:r>
      <w:r w:rsidR="003B20CF">
        <w:t>1</w:t>
      </w:r>
      <w:r>
        <w:t>)</w:t>
      </w:r>
      <w:r w:rsidR="00EC344D">
        <w:t>.</w:t>
      </w:r>
      <w:r w:rsidR="00EC344D">
        <w:rPr>
          <w:rStyle w:val="FootnoteReference"/>
        </w:rPr>
        <w:footnoteReference w:id="2"/>
      </w:r>
    </w:p>
    <w:p w:rsidR="00B9796E" w:rsidRDefault="00B9796E" w:rsidP="00B9796E">
      <w:pPr>
        <w:pStyle w:val="FigureTitle"/>
        <w:spacing w:before="240" w:after="40"/>
      </w:pPr>
      <w:r w:rsidRPr="006056F7">
        <w:rPr>
          <w:b w:val="0"/>
        </w:rPr>
        <w:t xml:space="preserve">Figure </w:t>
      </w:r>
      <w:bookmarkStart w:id="5" w:name="OLE_LINK12"/>
      <w:r w:rsidR="00C43488">
        <w:rPr>
          <w:b w:val="0"/>
          <w:noProof/>
        </w:rPr>
        <w:t>1</w:t>
      </w:r>
      <w:bookmarkEnd w:id="5"/>
      <w:r w:rsidRPr="006056F7">
        <w:tab/>
        <w:t>Manufacturing MFP and its proximate causes</w:t>
      </w:r>
      <w:r w:rsidR="00EC344D" w:rsidRPr="00EC344D">
        <w:rPr>
          <w:rStyle w:val="NoteLabel"/>
          <w:b/>
        </w:rPr>
        <w:t>a</w:t>
      </w:r>
      <w:r w:rsidRPr="006056F7">
        <w:t xml:space="preserve"> over the longer</w:t>
      </w:r>
      <w:r>
        <w:t xml:space="preserve"> term</w:t>
      </w:r>
    </w:p>
    <w:p w:rsidR="00B9796E" w:rsidRDefault="00B9796E" w:rsidP="00B9796E">
      <w:pPr>
        <w:pStyle w:val="Subtitle"/>
        <w:spacing w:after="40"/>
      </w:pPr>
      <w:r>
        <w:t>Index 2009-10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9796E" w:rsidTr="009E3B76">
        <w:tc>
          <w:tcPr>
            <w:tcW w:w="8777" w:type="dxa"/>
          </w:tcPr>
          <w:p w:rsidR="00B9796E" w:rsidRDefault="009C08B7" w:rsidP="008B4E2E">
            <w:pPr>
              <w:pStyle w:val="Figure"/>
              <w:spacing w:before="0" w:after="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shows indexes of MFP and its proximate causes over the full period from 1985-86 to 2010-11. A long-term decline in hours worked contrasts with a rapid long-term increase in capital services. The upwards trend in value added to 2003-04 flattened out in the following years — although there was volatility in the year-to-year growth over the latter period. Hours worked stabilised from 2003-04 to 2007-08 before resuming a decline. Capital services also slowed from 2007-08.  The resulting trend in MFP was positive up to 2003-04 but negative thereafter." style="width:424.45pt;height:198.4pt">
                  <v:imagedata r:id="rId9" o:title=""/>
                </v:shape>
              </w:pict>
            </w:r>
          </w:p>
        </w:tc>
      </w:tr>
    </w:tbl>
    <w:p w:rsidR="00EC344D" w:rsidRDefault="00EC344D" w:rsidP="00EC344D">
      <w:pPr>
        <w:pStyle w:val="Note"/>
      </w:pPr>
      <w:r w:rsidRPr="00EC344D">
        <w:rPr>
          <w:rStyle w:val="NoteLabel"/>
        </w:rPr>
        <w:t>a</w:t>
      </w:r>
      <w:r>
        <w:t xml:space="preserve"> </w:t>
      </w:r>
      <w:r w:rsidRPr="00B96BE1">
        <w:t xml:space="preserve">Value added is gross output less intermediate inputs used in </w:t>
      </w:r>
      <w:r>
        <w:t>producing</w:t>
      </w:r>
      <w:r w:rsidRPr="00B96BE1">
        <w:t xml:space="preserve"> that output. Intermediate inputs are the inputs used by the business other than capital and labour — for example, energy, raw materials and services</w:t>
      </w:r>
      <w:r>
        <w:t>, as well as semi-finished goods for assembly and transformation</w:t>
      </w:r>
      <w:r w:rsidRPr="00B96BE1">
        <w:t xml:space="preserve">. The </w:t>
      </w:r>
      <w:r>
        <w:t>volume</w:t>
      </w:r>
      <w:r w:rsidRPr="00B96BE1">
        <w:t xml:space="preserve"> of value added refers to value added with the effect of price changes removed.</w:t>
      </w:r>
    </w:p>
    <w:p w:rsidR="00DD737F" w:rsidRDefault="00DD737F" w:rsidP="00B9796E">
      <w:pPr>
        <w:pStyle w:val="BodyText"/>
      </w:pPr>
      <w:r>
        <w:t>Manufacturing’s trend of positive MFP growth turned negative in cycle 4.</w:t>
      </w:r>
    </w:p>
    <w:p w:rsidR="00703F15" w:rsidRDefault="00703F15" w:rsidP="00703F15">
      <w:pPr>
        <w:pStyle w:val="ListBullet"/>
      </w:pPr>
      <w:r>
        <w:t>The long</w:t>
      </w:r>
      <w:r w:rsidR="005A1904">
        <w:t>-</w:t>
      </w:r>
      <w:r>
        <w:t xml:space="preserve">term upward trend in value added became relatively </w:t>
      </w:r>
      <w:r w:rsidRPr="00EC4769">
        <w:t>flat during</w:t>
      </w:r>
      <w:r>
        <w:t xml:space="preserve"> cycle 4 (and the current incomplete cycle</w:t>
      </w:r>
      <w:r>
        <w:rPr>
          <w:rStyle w:val="FootnoteReference"/>
        </w:rPr>
        <w:footnoteReference w:id="3"/>
      </w:r>
      <w:r>
        <w:t xml:space="preserve">). </w:t>
      </w:r>
    </w:p>
    <w:p w:rsidR="00703F15" w:rsidRDefault="00703F15" w:rsidP="00703F15">
      <w:pPr>
        <w:pStyle w:val="ListBullet"/>
      </w:pPr>
      <w:r>
        <w:t>The ongoing growth in capital inputs accelerated over cycle 4</w:t>
      </w:r>
      <w:r w:rsidR="00B9796E">
        <w:t>, before slowing more recently</w:t>
      </w:r>
      <w:r>
        <w:t xml:space="preserve">. </w:t>
      </w:r>
    </w:p>
    <w:p w:rsidR="00DF7F2E" w:rsidRDefault="00703F15" w:rsidP="00B9796E">
      <w:pPr>
        <w:pStyle w:val="ListBullet"/>
      </w:pPr>
      <w:r>
        <w:t xml:space="preserve">Hours worked stabilised over cycle 4, after a downward trend, but </w:t>
      </w:r>
      <w:r w:rsidR="00E76586">
        <w:t xml:space="preserve">the decline </w:t>
      </w:r>
      <w:r>
        <w:t xml:space="preserve">resumed more recently. </w:t>
      </w:r>
    </w:p>
    <w:p w:rsidR="00AE4DA8" w:rsidRDefault="00A8243C" w:rsidP="006F4BD3">
      <w:pPr>
        <w:pStyle w:val="Heading3"/>
      </w:pPr>
      <w:r>
        <w:lastRenderedPageBreak/>
        <w:t xml:space="preserve">Decline in </w:t>
      </w:r>
      <w:r w:rsidR="0094573D">
        <w:t xml:space="preserve">Manufacturing </w:t>
      </w:r>
      <w:r w:rsidR="00DF7F2E">
        <w:t xml:space="preserve">MFP </w:t>
      </w:r>
      <w:r w:rsidR="00741482">
        <w:t>since 2003-04</w:t>
      </w:r>
    </w:p>
    <w:p w:rsidR="0094573D" w:rsidRDefault="00741482" w:rsidP="0094573D">
      <w:pPr>
        <w:pStyle w:val="BodyText"/>
      </w:pPr>
      <w:r>
        <w:t xml:space="preserve">ABS estimates show a </w:t>
      </w:r>
      <w:r w:rsidR="00A8243C">
        <w:t xml:space="preserve">decline </w:t>
      </w:r>
      <w:r>
        <w:t>in Manufacturing MFP from 2003-04, and a</w:t>
      </w:r>
      <w:r w:rsidR="00E457C3">
        <w:t xml:space="preserve">t a </w:t>
      </w:r>
      <w:r>
        <w:t xml:space="preserve">faster </w:t>
      </w:r>
      <w:r w:rsidR="00E457C3">
        <w:t>rate</w:t>
      </w:r>
      <w:r>
        <w:t xml:space="preserve"> than for the market sector as a whole. </w:t>
      </w:r>
      <w:r w:rsidR="00AA3385">
        <w:t>While there was positive growth of 1.</w:t>
      </w:r>
      <w:r w:rsidR="00731C7D">
        <w:t>3 </w:t>
      </w:r>
      <w:r w:rsidR="00AA3385">
        <w:t xml:space="preserve">per cent a year over cycle 3 (1998-99 to 2003-04), </w:t>
      </w:r>
      <w:r w:rsidR="009A08DF">
        <w:t xml:space="preserve">Manufacturing MFP declined </w:t>
      </w:r>
      <w:r w:rsidR="00E86C6A">
        <w:t xml:space="preserve">in absolute terms </w:t>
      </w:r>
      <w:r w:rsidR="009A08DF">
        <w:t xml:space="preserve">by 1.4 per cent a year </w:t>
      </w:r>
      <w:r w:rsidR="00AA3385">
        <w:t>over cycle 4 (2003-04 to 2007-08)</w:t>
      </w:r>
      <w:r w:rsidR="0094573D">
        <w:t xml:space="preserve"> (figure</w:t>
      </w:r>
      <w:r w:rsidR="00014CAF">
        <w:t> </w:t>
      </w:r>
      <w:r w:rsidR="004A4DD5">
        <w:t>2</w:t>
      </w:r>
      <w:r w:rsidR="0094573D">
        <w:t>).</w:t>
      </w:r>
      <w:r w:rsidR="0094573D" w:rsidRPr="00B3765A">
        <w:t xml:space="preserve"> </w:t>
      </w:r>
      <w:r w:rsidR="003B20CF">
        <w:t xml:space="preserve">This </w:t>
      </w:r>
      <w:r w:rsidR="00E86C6A">
        <w:t xml:space="preserve">absolute decline </w:t>
      </w:r>
      <w:r w:rsidR="003B20CF">
        <w:t>has</w:t>
      </w:r>
      <w:r w:rsidR="00E86C6A">
        <w:t xml:space="preserve"> </w:t>
      </w:r>
      <w:r w:rsidR="009A08DF">
        <w:t>continued in the</w:t>
      </w:r>
      <w:r w:rsidR="00E16851">
        <w:t xml:space="preserve"> </w:t>
      </w:r>
      <w:r w:rsidR="009A08DF">
        <w:t>incomplete cycle (2007</w:t>
      </w:r>
      <w:r w:rsidR="00DE2FC5">
        <w:noBreakHyphen/>
      </w:r>
      <w:r w:rsidR="009A08DF">
        <w:t>08 to 2010-11), although at a slower rate of 0.8 per cent a year.</w:t>
      </w:r>
      <w:r w:rsidR="00AA3385">
        <w:rPr>
          <w:rStyle w:val="FootnoteReference"/>
        </w:rPr>
        <w:footnoteReference w:id="4"/>
      </w:r>
    </w:p>
    <w:p w:rsidR="0094573D" w:rsidRPr="00E4474D" w:rsidRDefault="0094573D" w:rsidP="004A4DD5">
      <w:pPr>
        <w:pStyle w:val="FigureTitle"/>
      </w:pPr>
      <w:r w:rsidRPr="004A4DD5">
        <w:rPr>
          <w:b w:val="0"/>
        </w:rPr>
        <w:t xml:space="preserve">Figure </w:t>
      </w:r>
      <w:bookmarkStart w:id="6" w:name="OLE_LINK11"/>
      <w:r w:rsidR="00C43488">
        <w:rPr>
          <w:b w:val="0"/>
          <w:noProof/>
        </w:rPr>
        <w:t>2</w:t>
      </w:r>
      <w:bookmarkEnd w:id="6"/>
      <w:r w:rsidRPr="00E4474D">
        <w:tab/>
        <w:t xml:space="preserve">MFP in Manufacturing and </w:t>
      </w:r>
      <w:r w:rsidR="00970E73">
        <w:t>m</w:t>
      </w:r>
      <w:r w:rsidRPr="00E4474D">
        <w:t>arket sector</w:t>
      </w:r>
      <w:r w:rsidRPr="00E4474D">
        <w:rPr>
          <w:position w:val="6"/>
          <w:sz w:val="18"/>
        </w:rPr>
        <w:t>a</w:t>
      </w:r>
      <w:r w:rsidR="00055670">
        <w:t>,</w:t>
      </w:r>
      <w:r w:rsidRPr="00E4474D">
        <w:rPr>
          <w:position w:val="6"/>
          <w:sz w:val="18"/>
        </w:rPr>
        <w:t xml:space="preserve"> </w:t>
      </w:r>
      <w:r w:rsidRPr="00E4474D">
        <w:t>by cycle</w:t>
      </w:r>
    </w:p>
    <w:p w:rsidR="0094573D" w:rsidRPr="00E4474D" w:rsidRDefault="0094573D" w:rsidP="0094573D">
      <w:pPr>
        <w:keepNext/>
        <w:keepLines/>
        <w:spacing w:after="80" w:line="200" w:lineRule="exact"/>
        <w:ind w:left="1474"/>
        <w:rPr>
          <w:rFonts w:ascii="Arial" w:hAnsi="Arial"/>
          <w:sz w:val="20"/>
        </w:rPr>
      </w:pPr>
      <w:r w:rsidRPr="00E4474D">
        <w:rPr>
          <w:rFonts w:ascii="Arial" w:hAnsi="Arial"/>
          <w:sz w:val="20"/>
        </w:rPr>
        <w:t xml:space="preserve">Index 2009-10 = 100 and average annual </w:t>
      </w:r>
      <w:r w:rsidR="00A82121">
        <w:rPr>
          <w:rFonts w:ascii="Arial" w:hAnsi="Arial"/>
          <w:sz w:val="20"/>
        </w:rPr>
        <w:t xml:space="preserve">growth </w:t>
      </w:r>
      <w:r w:rsidRPr="00E4474D">
        <w:rPr>
          <w:rFonts w:ascii="Arial" w:hAnsi="Arial"/>
          <w:sz w:val="20"/>
        </w:rPr>
        <w:t>rate</w:t>
      </w:r>
      <w:r w:rsidR="00A82121">
        <w:rPr>
          <w:rFonts w:ascii="Arial" w:hAnsi="Arial"/>
          <w:sz w:val="20"/>
        </w:rPr>
        <w:t xml:space="preserve"> (</w:t>
      </w:r>
      <w:r w:rsidRPr="00E4474D">
        <w:rPr>
          <w:rFonts w:ascii="Arial" w:hAnsi="Arial"/>
          <w:sz w:val="20"/>
        </w:rPr>
        <w:t>per cent</w:t>
      </w:r>
      <w:r w:rsidR="00A82121">
        <w:rPr>
          <w:rFonts w:ascii="Arial" w:hAnsi="Arial"/>
          <w:sz w:val="20"/>
        </w:rP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4573D" w:rsidRPr="00E4474D" w:rsidTr="00906934">
        <w:tc>
          <w:tcPr>
            <w:tcW w:w="8777" w:type="dxa"/>
          </w:tcPr>
          <w:p w:rsidR="0094573D" w:rsidRPr="00E4474D" w:rsidRDefault="009C08B7" w:rsidP="008C0F06">
            <w:pPr>
              <w:keepNext/>
              <w:spacing w:before="120" w:after="120" w:line="240" w:lineRule="atLeast"/>
              <w:jc w:val="center"/>
              <w:rPr>
                <w:szCs w:val="20"/>
              </w:rPr>
            </w:pPr>
            <w:r>
              <w:rPr>
                <w:szCs w:val="20"/>
              </w:rPr>
              <w:pict>
                <v:shape id="_x0000_i1026" type="#_x0000_t75" alt="This figure shows the trend in Manufacturing MFP compared with that of the market sector from 1985-86 to 2010-11. Manufacturing MFP has experienced two periods of negative average annual growth, cycle 4 and the current incomplete cycle. Over most productivity cycles, Manufacturing MFP growth has risen more slowly or declined more steeply than that for the market sector. The exception is cycle 3, in which Manufacturing MFP growth was marginally higher than the market sector rate. In the current incomplete cycle, Manufacturing MFP has fallen marginally less than that for the market sector as a whole although it dipped during the GFC." style="width:424.45pt;height:198.4pt;mso-position-vertical:absolute">
                  <v:imagedata r:id="rId10" o:title=""/>
                </v:shape>
              </w:pict>
            </w:r>
          </w:p>
        </w:tc>
      </w:tr>
    </w:tbl>
    <w:p w:rsidR="0094573D" w:rsidRPr="00E4474D" w:rsidRDefault="0094573D" w:rsidP="0094573D">
      <w:pPr>
        <w:keepLines/>
        <w:spacing w:before="80" w:line="220" w:lineRule="exact"/>
        <w:jc w:val="both"/>
        <w:rPr>
          <w:rFonts w:ascii="Arial" w:hAnsi="Arial"/>
          <w:sz w:val="18"/>
          <w:szCs w:val="20"/>
        </w:rPr>
      </w:pPr>
      <w:r w:rsidRPr="00E4474D">
        <w:rPr>
          <w:rFonts w:ascii="Arial" w:hAnsi="Arial"/>
          <w:b/>
          <w:position w:val="6"/>
          <w:sz w:val="18"/>
          <w:szCs w:val="20"/>
        </w:rPr>
        <w:t>a</w:t>
      </w:r>
      <w:r w:rsidRPr="00E4474D">
        <w:rPr>
          <w:rFonts w:ascii="Arial" w:hAnsi="Arial"/>
          <w:sz w:val="18"/>
          <w:szCs w:val="20"/>
        </w:rPr>
        <w:sym w:font="Symbol" w:char="F020"/>
      </w:r>
      <w:r w:rsidRPr="00E4474D">
        <w:rPr>
          <w:rFonts w:ascii="Arial" w:hAnsi="Arial"/>
          <w:sz w:val="18"/>
          <w:szCs w:val="20"/>
        </w:rPr>
        <w:t xml:space="preserve"> The term </w:t>
      </w:r>
      <w:r w:rsidR="00E16851">
        <w:rPr>
          <w:rFonts w:ascii="Arial" w:hAnsi="Arial"/>
          <w:sz w:val="18"/>
          <w:szCs w:val="20"/>
        </w:rPr>
        <w:t>‘</w:t>
      </w:r>
      <w:r w:rsidRPr="00E4474D">
        <w:rPr>
          <w:rFonts w:ascii="Arial" w:hAnsi="Arial"/>
          <w:sz w:val="18"/>
          <w:szCs w:val="20"/>
        </w:rPr>
        <w:t>market sector</w:t>
      </w:r>
      <w:r w:rsidR="00E16851">
        <w:rPr>
          <w:rFonts w:ascii="Arial" w:hAnsi="Arial"/>
          <w:sz w:val="18"/>
          <w:szCs w:val="20"/>
        </w:rPr>
        <w:t>’</w:t>
      </w:r>
      <w:r w:rsidRPr="00E4474D">
        <w:rPr>
          <w:rFonts w:ascii="Arial" w:hAnsi="Arial"/>
          <w:sz w:val="18"/>
          <w:szCs w:val="20"/>
        </w:rPr>
        <w:t xml:space="preserve"> refers to 12 </w:t>
      </w:r>
      <w:r w:rsidR="0031075D">
        <w:rPr>
          <w:rFonts w:ascii="Arial" w:hAnsi="Arial"/>
          <w:sz w:val="18"/>
          <w:szCs w:val="20"/>
        </w:rPr>
        <w:t>indus</w:t>
      </w:r>
      <w:r w:rsidR="009E6C80">
        <w:rPr>
          <w:rFonts w:ascii="Arial" w:hAnsi="Arial"/>
          <w:sz w:val="18"/>
          <w:szCs w:val="20"/>
        </w:rPr>
        <w:t>try sectors</w:t>
      </w:r>
      <w:r w:rsidR="009E6C80" w:rsidRPr="00E4474D">
        <w:rPr>
          <w:rFonts w:ascii="Arial" w:hAnsi="Arial"/>
          <w:sz w:val="18"/>
          <w:szCs w:val="20"/>
        </w:rPr>
        <w:t xml:space="preserve"> </w:t>
      </w:r>
      <w:r w:rsidRPr="00E4474D">
        <w:rPr>
          <w:rFonts w:ascii="Arial" w:hAnsi="Arial"/>
          <w:sz w:val="18"/>
          <w:szCs w:val="20"/>
        </w:rPr>
        <w:t xml:space="preserve">under </w:t>
      </w:r>
      <w:r w:rsidR="00070549">
        <w:rPr>
          <w:rFonts w:ascii="Arial" w:hAnsi="Arial"/>
          <w:sz w:val="18"/>
          <w:szCs w:val="20"/>
        </w:rPr>
        <w:t>the ABS industr</w:t>
      </w:r>
      <w:r w:rsidR="00494B4B">
        <w:rPr>
          <w:rFonts w:ascii="Arial" w:hAnsi="Arial"/>
          <w:sz w:val="18"/>
          <w:szCs w:val="20"/>
        </w:rPr>
        <w:t>ial</w:t>
      </w:r>
      <w:r w:rsidR="00070549">
        <w:rPr>
          <w:rFonts w:ascii="Arial" w:hAnsi="Arial"/>
          <w:sz w:val="18"/>
          <w:szCs w:val="20"/>
        </w:rPr>
        <w:t xml:space="preserve"> classification</w:t>
      </w:r>
      <w:r w:rsidRPr="00E4474D">
        <w:rPr>
          <w:rFonts w:ascii="Arial" w:hAnsi="Arial"/>
          <w:sz w:val="18"/>
          <w:szCs w:val="20"/>
        </w:rPr>
        <w:t xml:space="preserve"> (table </w:t>
      </w:r>
      <w:r w:rsidR="00951BCF">
        <w:rPr>
          <w:rFonts w:ascii="Arial" w:hAnsi="Arial"/>
          <w:sz w:val="18"/>
          <w:szCs w:val="20"/>
        </w:rPr>
        <w:t>2.1</w:t>
      </w:r>
      <w:r w:rsidRPr="00E4474D">
        <w:rPr>
          <w:rFonts w:ascii="Arial" w:hAnsi="Arial"/>
          <w:sz w:val="18"/>
          <w:szCs w:val="20"/>
        </w:rPr>
        <w:t xml:space="preserve">). </w:t>
      </w:r>
    </w:p>
    <w:p w:rsidR="0016257D" w:rsidRDefault="0016257D" w:rsidP="0016257D">
      <w:pPr>
        <w:pStyle w:val="BodyText"/>
      </w:pPr>
      <w:r>
        <w:t xml:space="preserve">Manufacturing is a significant part of the market sector (averaging 18 per cent of market sector value added over cycle 4). Accordingly, the turnaround in Manufacturing’s MFP growth rate by 2.7 percentage points between cycles 3 and 4 (figure 2) had a considerable influence on </w:t>
      </w:r>
      <w:r w:rsidR="00EF5B35">
        <w:t xml:space="preserve">the </w:t>
      </w:r>
      <w:r>
        <w:t xml:space="preserve">slowdown of MFP growth for the market sector overall. </w:t>
      </w:r>
    </w:p>
    <w:p w:rsidR="008B4E2E" w:rsidRDefault="008B4E2E">
      <w:pPr>
        <w:rPr>
          <w:rFonts w:ascii="Arial" w:hAnsi="Arial"/>
          <w:i/>
          <w:sz w:val="24"/>
          <w:szCs w:val="20"/>
        </w:rPr>
      </w:pPr>
      <w:r>
        <w:br w:type="page"/>
      </w:r>
    </w:p>
    <w:p w:rsidR="00B04C07" w:rsidRPr="006F4BD3" w:rsidRDefault="002F221F" w:rsidP="006F4BD3">
      <w:pPr>
        <w:pStyle w:val="Heading4"/>
      </w:pPr>
      <w:r w:rsidRPr="006F4BD3">
        <w:lastRenderedPageBreak/>
        <w:t xml:space="preserve">The fall </w:t>
      </w:r>
      <w:r w:rsidR="00B04C07" w:rsidRPr="006F4BD3">
        <w:t xml:space="preserve">in MFP </w:t>
      </w:r>
      <w:r w:rsidR="00AA5EA5" w:rsidRPr="006F4BD3">
        <w:t xml:space="preserve">was </w:t>
      </w:r>
      <w:r w:rsidR="00B04C07" w:rsidRPr="006F4BD3">
        <w:t>associated with slowing value added growth and rising input growth</w:t>
      </w:r>
    </w:p>
    <w:p w:rsidR="001165BF" w:rsidRDefault="001165BF" w:rsidP="001165BF">
      <w:pPr>
        <w:pStyle w:val="BodyText"/>
      </w:pPr>
      <w:r w:rsidRPr="000F5E06">
        <w:t xml:space="preserve">The decline of 2.7 percentage points in </w:t>
      </w:r>
      <w:r>
        <w:t xml:space="preserve">the </w:t>
      </w:r>
      <w:r w:rsidRPr="000F5E06">
        <w:t>average annual rate of MFP growth between cycle</w:t>
      </w:r>
      <w:r>
        <w:t>s</w:t>
      </w:r>
      <w:r w:rsidRPr="000F5E06">
        <w:t xml:space="preserve"> 3 and 4 was associated with nearly equal parts of</w:t>
      </w:r>
      <w:r>
        <w:t>:</w:t>
      </w:r>
      <w:r w:rsidRPr="000F5E06">
        <w:t xml:space="preserve"> </w:t>
      </w:r>
      <w:r>
        <w:t xml:space="preserve">a </w:t>
      </w:r>
      <w:r w:rsidRPr="000F5E06">
        <w:t xml:space="preserve">decline in </w:t>
      </w:r>
      <w:r>
        <w:t>value added</w:t>
      </w:r>
      <w:r w:rsidRPr="000F5E06">
        <w:t xml:space="preserve"> growth</w:t>
      </w:r>
      <w:r>
        <w:t>;</w:t>
      </w:r>
      <w:r w:rsidRPr="000F5E06">
        <w:t xml:space="preserve"> </w:t>
      </w:r>
      <w:r>
        <w:t xml:space="preserve">an </w:t>
      </w:r>
      <w:r w:rsidRPr="000F5E06">
        <w:t>increase in growth in capital</w:t>
      </w:r>
      <w:r>
        <w:t xml:space="preserve"> services;</w:t>
      </w:r>
      <w:r w:rsidRPr="000F5E06">
        <w:t xml:space="preserve"> and </w:t>
      </w:r>
      <w:r>
        <w:t>a reversal in the decline of hours worked</w:t>
      </w:r>
      <w:r w:rsidRPr="000F5E06">
        <w:t xml:space="preserve"> (figure </w:t>
      </w:r>
      <w:r w:rsidR="004A4DD5">
        <w:t>3</w:t>
      </w:r>
      <w:r w:rsidRPr="000F5E06">
        <w:t>).</w:t>
      </w:r>
    </w:p>
    <w:p w:rsidR="00BC14DE" w:rsidRPr="00DC1F26" w:rsidRDefault="00BC14DE" w:rsidP="00DC1F26">
      <w:pPr>
        <w:pStyle w:val="FigureTitle"/>
        <w:spacing w:before="240"/>
      </w:pPr>
      <w:r w:rsidRPr="00DC1F26">
        <w:rPr>
          <w:b w:val="0"/>
        </w:rPr>
        <w:t xml:space="preserve">Figure </w:t>
      </w:r>
      <w:bookmarkStart w:id="7" w:name="OLE_LINK10"/>
      <w:r w:rsidR="00C43488">
        <w:rPr>
          <w:b w:val="0"/>
          <w:noProof/>
        </w:rPr>
        <w:t>3</w:t>
      </w:r>
      <w:bookmarkEnd w:id="7"/>
      <w:r w:rsidRPr="00DC1F26">
        <w:tab/>
      </w:r>
      <w:r w:rsidR="00DA4044">
        <w:t xml:space="preserve">Proximate causes of </w:t>
      </w:r>
      <w:r w:rsidRPr="00DC1F26">
        <w:t xml:space="preserve">Manufacturing MFP </w:t>
      </w:r>
      <w:r w:rsidR="00DA4044">
        <w:t>growth</w:t>
      </w:r>
      <w:r w:rsidR="0015522D" w:rsidRPr="0015522D">
        <w:rPr>
          <w:rStyle w:val="NoteLabel"/>
          <w:b/>
        </w:rPr>
        <w:t>a</w:t>
      </w:r>
      <w:r w:rsidR="00D96D9E">
        <w:t xml:space="preserve"> in</w:t>
      </w:r>
      <w:r w:rsidRPr="00DC1F26">
        <w:t xml:space="preserve"> cycles 3 and 4</w:t>
      </w:r>
    </w:p>
    <w:p w:rsidR="00BC14DE" w:rsidRDefault="00A82121" w:rsidP="00286909">
      <w:pPr>
        <w:pStyle w:val="Subtitle"/>
        <w:spacing w:after="40"/>
      </w:pPr>
      <w:r>
        <w:t>A</w:t>
      </w:r>
      <w:r w:rsidRPr="00E4474D">
        <w:t xml:space="preserve">verage annual </w:t>
      </w:r>
      <w:r>
        <w:t xml:space="preserve">growth </w:t>
      </w:r>
      <w:r w:rsidRPr="00E4474D">
        <w:t>rate</w:t>
      </w:r>
      <w:r>
        <w:t xml:space="preserve"> (</w:t>
      </w:r>
      <w:r w:rsidRPr="00E4474D">
        <w:t>per cent</w:t>
      </w:r>
      <w: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C14DE" w:rsidTr="00D61E47">
        <w:tc>
          <w:tcPr>
            <w:tcW w:w="8777" w:type="dxa"/>
          </w:tcPr>
          <w:p w:rsidR="00BC14DE" w:rsidRDefault="009C08B7" w:rsidP="008C0F06">
            <w:pPr>
              <w:pStyle w:val="Figure"/>
            </w:pPr>
            <w:r>
              <w:pict>
                <v:shape id="_x0000_i1027" type="#_x0000_t75" alt="This figure shows average growth in value added, hours worked, capital services and MFP in cycles 3 and 4 and the difference in the growth rates between these two cycles. The large decline in Manufacturing MFP growth between cycle 3 and cycle 4 was associated with both a decline in value added growth and higher input growth. In cycle 4 (compared with cycle 3) value added growth was positive but slower; hours worked growth was slightly positive (a reversal of the negative growth in cycle 3); and capital services growth was positive and faster.  Average MFP growth went from positive to negative between these cycles." style="width:424.45pt;height:198.4pt;mso-position-vertical:absolute">
                  <v:imagedata r:id="rId11" o:title=""/>
                </v:shape>
              </w:pict>
            </w:r>
          </w:p>
        </w:tc>
      </w:tr>
    </w:tbl>
    <w:p w:rsidR="00BC14DE" w:rsidRDefault="00BC14DE" w:rsidP="006056F7">
      <w:pPr>
        <w:pStyle w:val="Note"/>
      </w:pPr>
      <w:r>
        <w:rPr>
          <w:rStyle w:val="NoteLabel"/>
        </w:rPr>
        <w:t xml:space="preserve">a </w:t>
      </w:r>
      <w:r>
        <w:t xml:space="preserve">Capital </w:t>
      </w:r>
      <w:r w:rsidR="007C5F37">
        <w:t xml:space="preserve">services </w:t>
      </w:r>
      <w:r>
        <w:t xml:space="preserve">and </w:t>
      </w:r>
      <w:r w:rsidR="00AE1FA2">
        <w:t>hours worked</w:t>
      </w:r>
      <w:r>
        <w:t xml:space="preserve"> weighted by income shares. </w:t>
      </w:r>
      <w:r w:rsidRPr="004B7A11">
        <w:t>This means the sum of these growth rates is equal to the growth in combined inputs (effectively a weighted average of the growth rates in the two inputs).</w:t>
      </w:r>
    </w:p>
    <w:p w:rsidR="004A4DD5" w:rsidRPr="006F4BD3" w:rsidRDefault="004A4DD5" w:rsidP="00AD7E7C">
      <w:pPr>
        <w:pStyle w:val="Heading5"/>
        <w:spacing w:before="320"/>
      </w:pPr>
      <w:r w:rsidRPr="006F4BD3">
        <w:t>What is meant by ‘negative’ MFP growth?</w:t>
      </w:r>
    </w:p>
    <w:p w:rsidR="00055B98" w:rsidRDefault="00F574B0" w:rsidP="00055B98">
      <w:pPr>
        <w:pStyle w:val="BodyText"/>
      </w:pPr>
      <w:r>
        <w:t xml:space="preserve">Just as </w:t>
      </w:r>
      <w:r w:rsidR="00350CE3">
        <w:t xml:space="preserve">MFP growth </w:t>
      </w:r>
      <w:r>
        <w:t>cannot be automatically</w:t>
      </w:r>
      <w:r w:rsidR="00350CE3">
        <w:t xml:space="preserve"> interpreted as technical progress (</w:t>
      </w:r>
      <w:r>
        <w:t>measure</w:t>
      </w:r>
      <w:r w:rsidR="00E4462A">
        <w:t>d</w:t>
      </w:r>
      <w:r>
        <w:t xml:space="preserve"> as a residual it captures</w:t>
      </w:r>
      <w:r w:rsidR="006617C6">
        <w:t xml:space="preserve"> much</w:t>
      </w:r>
      <w:r w:rsidR="00350CE3">
        <w:t xml:space="preserve"> more than this), n</w:t>
      </w:r>
      <w:r w:rsidR="003947FA">
        <w:t xml:space="preserve">egative MFP growth </w:t>
      </w:r>
      <w:r>
        <w:t>cannot be</w:t>
      </w:r>
      <w:r w:rsidR="003947FA">
        <w:t xml:space="preserve"> interpreted as technical regress</w:t>
      </w:r>
      <w:r w:rsidR="00E44DDB">
        <w:t xml:space="preserve">. MFP growth can be negative for </w:t>
      </w:r>
      <w:r w:rsidR="00F358B7">
        <w:t>a range of reasons</w:t>
      </w:r>
      <w:r w:rsidR="007F08CC">
        <w:t>. These</w:t>
      </w:r>
      <w:r w:rsidR="00F358B7">
        <w:t xml:space="preserve"> </w:t>
      </w:r>
      <w:r w:rsidR="007F08CC">
        <w:t xml:space="preserve">include </w:t>
      </w:r>
      <w:r w:rsidR="003947FA">
        <w:t xml:space="preserve">changes in the composition of </w:t>
      </w:r>
      <w:r w:rsidR="00F358B7">
        <w:t xml:space="preserve">activities within </w:t>
      </w:r>
      <w:r w:rsidR="00FB53A2">
        <w:t>a sector or industry</w:t>
      </w:r>
      <w:r w:rsidR="003947FA">
        <w:t xml:space="preserve">, </w:t>
      </w:r>
      <w:r w:rsidR="00031961">
        <w:t xml:space="preserve">differences in the timing of input and output responses to particular changes in the economy, and </w:t>
      </w:r>
      <w:r w:rsidR="003947FA">
        <w:t>measurement challenges</w:t>
      </w:r>
      <w:r w:rsidR="00B8529C">
        <w:t xml:space="preserve"> that</w:t>
      </w:r>
      <w:r w:rsidR="004A4DD5">
        <w:t xml:space="preserve"> can</w:t>
      </w:r>
      <w:r w:rsidR="00B8529C">
        <w:t xml:space="preserve"> lead to </w:t>
      </w:r>
      <w:r w:rsidR="00031961">
        <w:t>the understatement of outputs</w:t>
      </w:r>
      <w:r w:rsidR="004A4DD5">
        <w:t xml:space="preserve"> (where, for example, quality improvements are not measured as an increase in outputs, but require greater levels of inputs), or even the overstatement of inputs</w:t>
      </w:r>
      <w:r w:rsidR="00031961">
        <w:t xml:space="preserve">. </w:t>
      </w:r>
    </w:p>
    <w:p w:rsidR="00055B98" w:rsidRDefault="00055B98" w:rsidP="00055B98">
      <w:pPr>
        <w:pStyle w:val="BodyText"/>
      </w:pPr>
      <w:r>
        <w:t>S</w:t>
      </w:r>
      <w:r w:rsidRPr="00240299">
        <w:t xml:space="preserve">ome of these factors are likely to be more pronounced during periods of </w:t>
      </w:r>
      <w:r w:rsidR="0081493D">
        <w:t>structural change in the economy</w:t>
      </w:r>
      <w:r w:rsidRPr="00240299">
        <w:t xml:space="preserve">. For example, an increased rate of business creation and destruction </w:t>
      </w:r>
      <w:r w:rsidR="00BE527C">
        <w:t>can</w:t>
      </w:r>
      <w:r w:rsidRPr="00240299">
        <w:t xml:space="preserve"> temporarily lower measured productivity — through decreases in capacity utilisation. Similarly, shifts to new technologies and organisational </w:t>
      </w:r>
      <w:r w:rsidRPr="00240299">
        <w:lastRenderedPageBreak/>
        <w:t>structure</w:t>
      </w:r>
      <w:r>
        <w:t>s</w:t>
      </w:r>
      <w:r w:rsidRPr="00240299">
        <w:t xml:space="preserve">, which are aimed at increasing future productivity, may temporarily disrupt output or lead to </w:t>
      </w:r>
      <w:r w:rsidR="006057F8">
        <w:t xml:space="preserve">an </w:t>
      </w:r>
      <w:r w:rsidRPr="00240299">
        <w:t>increase in inputs ahead of any increase in output</w:t>
      </w:r>
      <w:r>
        <w:t>.</w:t>
      </w:r>
      <w:r w:rsidRPr="00055B98">
        <w:t xml:space="preserve"> </w:t>
      </w:r>
    </w:p>
    <w:p w:rsidR="00055B98" w:rsidRDefault="00055B98" w:rsidP="00055B98">
      <w:pPr>
        <w:pStyle w:val="BodyText"/>
      </w:pPr>
      <w:r w:rsidRPr="00731C7D">
        <w:t xml:space="preserve">There are many forces driving structural change in Manufacturing — </w:t>
      </w:r>
      <w:r w:rsidR="006057F8">
        <w:t>such as</w:t>
      </w:r>
      <w:r w:rsidRPr="00731C7D">
        <w:t xml:space="preserve"> changing consumer preferences, domestic cost</w:t>
      </w:r>
      <w:r w:rsidR="006057F8">
        <w:t>s</w:t>
      </w:r>
      <w:r w:rsidR="004A4DD5">
        <w:t>, international prices</w:t>
      </w:r>
      <w:r w:rsidR="006057F8">
        <w:t xml:space="preserve"> and </w:t>
      </w:r>
      <w:r w:rsidR="004A4DD5">
        <w:t xml:space="preserve">the </w:t>
      </w:r>
      <w:r w:rsidR="006057F8">
        <w:t xml:space="preserve">exchange rate </w:t>
      </w:r>
      <w:r w:rsidRPr="00731C7D">
        <w:t>— which have different implications for measured productivity, particularly in the adjustment phase.</w:t>
      </w:r>
    </w:p>
    <w:p w:rsidR="000061E6" w:rsidRPr="000061E6" w:rsidRDefault="0040400B" w:rsidP="000061E6">
      <w:pPr>
        <w:pStyle w:val="BodyText"/>
      </w:pPr>
      <w:r>
        <w:t xml:space="preserve">Given the diverse range of activities within Manufacturing, </w:t>
      </w:r>
      <w:r w:rsidR="001165BF">
        <w:t>t</w:t>
      </w:r>
      <w:r w:rsidR="00FB53A2">
        <w:t xml:space="preserve">his study estimates </w:t>
      </w:r>
      <w:r w:rsidR="001165BF">
        <w:t>MFP</w:t>
      </w:r>
      <w:r w:rsidR="00FB53A2">
        <w:t xml:space="preserve"> for the subsectors within Manufacturing </w:t>
      </w:r>
      <w:r w:rsidR="009213CA">
        <w:t>—</w:t>
      </w:r>
      <w:r w:rsidR="00FB53A2">
        <w:t xml:space="preserve"> a level of disag</w:t>
      </w:r>
      <w:r w:rsidR="00A948BF">
        <w:t>g</w:t>
      </w:r>
      <w:r w:rsidR="00FB53A2">
        <w:t xml:space="preserve">regation </w:t>
      </w:r>
      <w:r w:rsidR="0053649A">
        <w:t>for which ABS</w:t>
      </w:r>
      <w:r w:rsidR="001165BF">
        <w:t xml:space="preserve"> MFP</w:t>
      </w:r>
      <w:r w:rsidR="0053649A">
        <w:t xml:space="preserve"> estimates are not available.</w:t>
      </w:r>
      <w:r w:rsidR="00CE20B2">
        <w:t xml:space="preserve"> (The details of how these subsector estimates were derived, and steps taken to make them as consistent as possible with the ABS estimates for Manufacturing as a whole, are explained in a technical appendix.)</w:t>
      </w:r>
    </w:p>
    <w:p w:rsidR="00AE4DA8" w:rsidRPr="006F4BD3" w:rsidRDefault="003947FA" w:rsidP="006F4BD3">
      <w:pPr>
        <w:pStyle w:val="Heading3"/>
      </w:pPr>
      <w:r w:rsidRPr="006F4BD3">
        <w:t>M</w:t>
      </w:r>
      <w:r w:rsidR="00AE4DA8" w:rsidRPr="006F4BD3">
        <w:t xml:space="preserve">FP growth varies across </w:t>
      </w:r>
      <w:r w:rsidR="00B426B2" w:rsidRPr="006F4BD3">
        <w:t>M</w:t>
      </w:r>
      <w:r w:rsidR="00AE4DA8" w:rsidRPr="006F4BD3">
        <w:t>anufacturing subsectors</w:t>
      </w:r>
    </w:p>
    <w:p w:rsidR="00AE4DA8" w:rsidRDefault="00F64658" w:rsidP="00AE4DA8">
      <w:pPr>
        <w:pStyle w:val="BodyText"/>
      </w:pPr>
      <w:r>
        <w:t>M</w:t>
      </w:r>
      <w:r w:rsidR="00AE4DA8">
        <w:t xml:space="preserve">ost subsectors of </w:t>
      </w:r>
      <w:r w:rsidR="000C3A9D">
        <w:t>M</w:t>
      </w:r>
      <w:r w:rsidR="00AE4DA8">
        <w:t xml:space="preserve">anufacturing </w:t>
      </w:r>
      <w:r w:rsidR="00B82E5D">
        <w:t xml:space="preserve">had </w:t>
      </w:r>
      <w:r w:rsidR="00AE4DA8">
        <w:t xml:space="preserve">positive MFP growth </w:t>
      </w:r>
      <w:r w:rsidR="00E44DDB">
        <w:t>over</w:t>
      </w:r>
      <w:r w:rsidR="00AE4DA8">
        <w:t xml:space="preserve"> cycle 3, </w:t>
      </w:r>
      <w:r w:rsidR="000869DD">
        <w:t>and</w:t>
      </w:r>
      <w:r w:rsidR="00AE4DA8">
        <w:t xml:space="preserve"> negative MFP growth </w:t>
      </w:r>
      <w:r w:rsidR="00E44DDB">
        <w:t>over</w:t>
      </w:r>
      <w:r w:rsidR="00AE4DA8">
        <w:t xml:space="preserve"> cycle 4</w:t>
      </w:r>
      <w:r w:rsidR="001272CA">
        <w:t>, but there was considerable variation across the eight subsectors (figure 4)</w:t>
      </w:r>
      <w:r w:rsidR="00AE4DA8">
        <w:t>.</w:t>
      </w:r>
      <w:r w:rsidR="00031961">
        <w:t xml:space="preserve"> </w:t>
      </w:r>
    </w:p>
    <w:p w:rsidR="000C3A9D" w:rsidRPr="00473CED" w:rsidRDefault="000C3A9D" w:rsidP="00D86F8A">
      <w:pPr>
        <w:pStyle w:val="FigureTitle"/>
        <w:spacing w:before="400"/>
      </w:pPr>
      <w:r w:rsidRPr="00B7282B">
        <w:rPr>
          <w:b w:val="0"/>
        </w:rPr>
        <w:t xml:space="preserve">Figure </w:t>
      </w:r>
      <w:bookmarkStart w:id="8" w:name="OLE_LINK7"/>
      <w:r w:rsidR="00C43488">
        <w:rPr>
          <w:b w:val="0"/>
          <w:noProof/>
        </w:rPr>
        <w:t>4</w:t>
      </w:r>
      <w:bookmarkEnd w:id="8"/>
      <w:r w:rsidRPr="00473CED">
        <w:tab/>
        <w:t>Subsector MFP growth</w:t>
      </w:r>
      <w:r w:rsidR="00D96D9E">
        <w:t xml:space="preserve"> in</w:t>
      </w:r>
      <w:r w:rsidRPr="00473CED">
        <w:t xml:space="preserve"> cycles 3 and 4</w:t>
      </w:r>
      <w:r w:rsidR="00031961" w:rsidRPr="00473CED">
        <w:rPr>
          <w:rStyle w:val="NoteLabel"/>
          <w:b/>
        </w:rPr>
        <w:t>a</w:t>
      </w:r>
    </w:p>
    <w:p w:rsidR="000C3A9D" w:rsidRDefault="0027796D">
      <w:pPr>
        <w:pStyle w:val="Subtitle"/>
      </w:pPr>
      <w:r>
        <w:t>A</w:t>
      </w:r>
      <w:r w:rsidRPr="00E4474D">
        <w:t xml:space="preserve">verage annual </w:t>
      </w:r>
      <w:r>
        <w:t xml:space="preserve">growth </w:t>
      </w:r>
      <w:r w:rsidRPr="00E4474D">
        <w:t>rate</w:t>
      </w:r>
      <w:r>
        <w:t xml:space="preserve"> (</w:t>
      </w:r>
      <w:r w:rsidRPr="00E4474D">
        <w:t>per cent</w:t>
      </w:r>
      <w: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3958"/>
        <w:gridCol w:w="2409"/>
        <w:gridCol w:w="2410"/>
      </w:tblGrid>
      <w:tr w:rsidR="00AD372A" w:rsidRPr="00C43488" w:rsidTr="002F2D2F">
        <w:tc>
          <w:tcPr>
            <w:tcW w:w="3958" w:type="dxa"/>
          </w:tcPr>
          <w:p w:rsidR="00AD372A" w:rsidRPr="00C43488" w:rsidRDefault="00AD372A" w:rsidP="00C16AA2">
            <w:pPr>
              <w:pStyle w:val="Figure"/>
              <w:spacing w:after="0" w:line="200" w:lineRule="atLeast"/>
              <w:ind w:right="-4677"/>
              <w:rPr>
                <w:rFonts w:asciiTheme="minorHAnsi" w:hAnsiTheme="minorHAnsi"/>
                <w:i/>
                <w:sz w:val="20"/>
              </w:rPr>
            </w:pPr>
          </w:p>
        </w:tc>
        <w:tc>
          <w:tcPr>
            <w:tcW w:w="2409" w:type="dxa"/>
          </w:tcPr>
          <w:p w:rsidR="00AD372A" w:rsidRPr="00C43488" w:rsidRDefault="00AD372A" w:rsidP="00C16AA2">
            <w:pPr>
              <w:pStyle w:val="Figure"/>
              <w:keepLines/>
              <w:framePr w:w="2155" w:hSpace="227" w:vSpace="181" w:wrap="around" w:vAnchor="text" w:hAnchor="page" w:xAlign="outside" w:y="1"/>
              <w:spacing w:after="0" w:line="200" w:lineRule="atLeast"/>
              <w:rPr>
                <w:rFonts w:asciiTheme="minorHAnsi" w:hAnsiTheme="minorHAnsi"/>
                <w:i/>
                <w:sz w:val="20"/>
              </w:rPr>
            </w:pPr>
            <w:r w:rsidRPr="00C43488">
              <w:rPr>
                <w:rFonts w:asciiTheme="minorHAnsi" w:hAnsiTheme="minorHAnsi"/>
                <w:i/>
                <w:sz w:val="20"/>
              </w:rPr>
              <w:t xml:space="preserve">Cycle 3: </w:t>
            </w:r>
            <w:r w:rsidRPr="00C43488">
              <w:rPr>
                <w:rFonts w:asciiTheme="minorHAnsi" w:hAnsiTheme="minorHAnsi"/>
                <w:i/>
                <w:sz w:val="20"/>
              </w:rPr>
              <w:br/>
              <w:t>1998-99 to 2003-04</w:t>
            </w:r>
          </w:p>
        </w:tc>
        <w:tc>
          <w:tcPr>
            <w:tcW w:w="2410" w:type="dxa"/>
          </w:tcPr>
          <w:p w:rsidR="00AD372A" w:rsidRPr="00C43488" w:rsidRDefault="00AD372A" w:rsidP="00C16AA2">
            <w:pPr>
              <w:pStyle w:val="Figure"/>
              <w:spacing w:after="0" w:line="200" w:lineRule="atLeast"/>
              <w:rPr>
                <w:rFonts w:asciiTheme="minorHAnsi" w:hAnsiTheme="minorHAnsi"/>
                <w:i/>
                <w:sz w:val="20"/>
              </w:rPr>
            </w:pPr>
            <w:r w:rsidRPr="00C43488">
              <w:rPr>
                <w:rFonts w:asciiTheme="minorHAnsi" w:hAnsiTheme="minorHAnsi"/>
                <w:i/>
                <w:sz w:val="20"/>
              </w:rPr>
              <w:t xml:space="preserve">Cycle 4: </w:t>
            </w:r>
            <w:r w:rsidRPr="00C43488">
              <w:rPr>
                <w:rFonts w:asciiTheme="minorHAnsi" w:hAnsiTheme="minorHAnsi"/>
                <w:i/>
                <w:sz w:val="20"/>
              </w:rPr>
              <w:br/>
              <w:t>2003-04 to 2007-08</w:t>
            </w:r>
          </w:p>
        </w:tc>
      </w:tr>
      <w:tr w:rsidR="00AF2B91" w:rsidTr="002F2D2F">
        <w:tc>
          <w:tcPr>
            <w:tcW w:w="3958" w:type="dxa"/>
          </w:tcPr>
          <w:p w:rsidR="00AF2B91" w:rsidRDefault="009C08B7" w:rsidP="00085431">
            <w:pPr>
              <w:pStyle w:val="Figure"/>
              <w:spacing w:after="0"/>
              <w:ind w:right="-4678"/>
            </w:pPr>
            <w:r>
              <w:pict>
                <v:shape id="_x0000_i1028" type="#_x0000_t75" alt="This figure shows the average annual growth rate in each of the eight subsectors of Manufacturing in cycles 3 and 4. In cycle 3 each subsector (except for Wood &amp; paper products and Food, beverage &amp; tobacco products) had positive MFP growth. In cycle 4, each subsector had negative MFP growth except for Non-metallic mineral products. " style="width:424.45pt;height:183.35pt">
                  <v:imagedata r:id="rId12" o:title=""/>
                </v:shape>
              </w:pict>
            </w:r>
          </w:p>
        </w:tc>
        <w:tc>
          <w:tcPr>
            <w:tcW w:w="2409" w:type="dxa"/>
          </w:tcPr>
          <w:p w:rsidR="00AF2B91" w:rsidRDefault="009C08B7" w:rsidP="00473BB6">
            <w:pPr>
              <w:pStyle w:val="Figure"/>
            </w:pPr>
            <w:r>
              <w:pict>
                <v:shape id="_x0000_i1029" type="#_x0000_t75" alt="This figure shows the average annual growth rate in each of the eight subsectors of Manufacturing in cycles 3 and 4. In cycle 3 each subsector (except for Wood &amp; paper products and Food, beverage &amp; tobacco products) had positive MFP growth. In cycle 4, each subsector had negative MFP growth except for Non-metallic mineral products. " style="width:112.2pt;height:183.35pt">
                  <v:imagedata r:id="rId13" o:title=""/>
                </v:shape>
              </w:pict>
            </w:r>
          </w:p>
        </w:tc>
        <w:tc>
          <w:tcPr>
            <w:tcW w:w="2410" w:type="dxa"/>
          </w:tcPr>
          <w:p w:rsidR="00AF2B91" w:rsidRDefault="009C08B7" w:rsidP="00473BB6">
            <w:pPr>
              <w:pStyle w:val="Figure"/>
            </w:pPr>
            <w:r>
              <w:pict>
                <v:shape id="_x0000_i1030" type="#_x0000_t75" alt="This figure shows the average annual growth rate in each of the eight subsectors of Manufacturing in cycles 3 and 4. In cycle 3 each subsector (except for Wood &amp; paper products and Food, beverage &amp; tobacco products) had positive MFP growth. In cycle 4, each subsector had negative MFP growth except for Non-metallic mineral products. " style="width:112.2pt;height:183.35pt">
                  <v:imagedata r:id="rId14" o:title=""/>
                </v:shape>
              </w:pict>
            </w:r>
          </w:p>
        </w:tc>
      </w:tr>
    </w:tbl>
    <w:p w:rsidR="00031961" w:rsidRPr="00031961" w:rsidRDefault="00031961" w:rsidP="00031961">
      <w:pPr>
        <w:pStyle w:val="Note"/>
      </w:pPr>
      <w:r>
        <w:rPr>
          <w:rStyle w:val="NoteLabel"/>
        </w:rPr>
        <w:t>a</w:t>
      </w:r>
      <w:r>
        <w:t xml:space="preserve"> </w:t>
      </w:r>
      <w:r w:rsidR="00800B87">
        <w:t xml:space="preserve">Subsector estimates are </w:t>
      </w:r>
      <w:r w:rsidRPr="00800B87">
        <w:t xml:space="preserve">of lesser quality than the ABS </w:t>
      </w:r>
      <w:r w:rsidR="00111F89" w:rsidRPr="00800B87">
        <w:t xml:space="preserve">estimates </w:t>
      </w:r>
      <w:r w:rsidR="00111F89">
        <w:t xml:space="preserve">for </w:t>
      </w:r>
      <w:r w:rsidRPr="00800B87">
        <w:t>Manufacturing</w:t>
      </w:r>
      <w:r w:rsidR="00111F89">
        <w:t xml:space="preserve"> as a whole (</w:t>
      </w:r>
      <w:r w:rsidR="00800B87">
        <w:t xml:space="preserve">due to </w:t>
      </w:r>
      <w:r w:rsidR="00800B87" w:rsidRPr="00800B87">
        <w:t>data and methodological limitations</w:t>
      </w:r>
      <w:r w:rsidR="00111F89">
        <w:t xml:space="preserve">) </w:t>
      </w:r>
      <w:r w:rsidRPr="00800B87">
        <w:t>and will not necessarily aggregate to those ABS estimates. Therefore</w:t>
      </w:r>
      <w:r w:rsidR="0053649A">
        <w:t>,</w:t>
      </w:r>
      <w:r w:rsidRPr="00800B87">
        <w:t xml:space="preserve"> the subsector estimates should be regarded as indicators of differences within the Manufacturing sector, rather than precise estimates.</w:t>
      </w:r>
      <w:r w:rsidR="004D77C8">
        <w:t xml:space="preserve"> </w:t>
      </w:r>
      <w:r w:rsidR="002B64BF">
        <w:t>S</w:t>
      </w:r>
      <w:r w:rsidR="004D77C8">
        <w:t>ome subsector estimates (such as Printing and recorded media, and Textiles, clothing and other manufacturing) are less well estimated because of changes in industry classification.</w:t>
      </w:r>
    </w:p>
    <w:p w:rsidR="00CE20B2" w:rsidRDefault="00CE20B2">
      <w:pPr>
        <w:rPr>
          <w:szCs w:val="20"/>
        </w:rPr>
      </w:pPr>
      <w:r>
        <w:br w:type="page"/>
      </w:r>
    </w:p>
    <w:p w:rsidR="003A4894" w:rsidRDefault="00473CED" w:rsidP="006C1053">
      <w:pPr>
        <w:pStyle w:val="BodyText"/>
      </w:pPr>
      <w:r w:rsidRPr="00343C38">
        <w:lastRenderedPageBreak/>
        <w:t xml:space="preserve">When the relative sizes of the subsectors are taken into account, </w:t>
      </w:r>
      <w:r w:rsidR="003A4894" w:rsidRPr="00343C38">
        <w:t>three subsectors</w:t>
      </w:r>
      <w:r w:rsidR="006C1053">
        <w:t xml:space="preserve"> made the largest contributions to the </w:t>
      </w:r>
      <w:r w:rsidR="0053649A">
        <w:t xml:space="preserve">total </w:t>
      </w:r>
      <w:r w:rsidR="006C1053">
        <w:t xml:space="preserve">decline in </w:t>
      </w:r>
      <w:r w:rsidR="00770A02">
        <w:t>M</w:t>
      </w:r>
      <w:r w:rsidR="006C1053">
        <w:t>anufacturing MFP</w:t>
      </w:r>
      <w:r w:rsidR="0053649A">
        <w:t xml:space="preserve"> growth</w:t>
      </w:r>
      <w:r w:rsidR="005D661B">
        <w:t xml:space="preserve"> between cycles 3 and 4</w:t>
      </w:r>
      <w:r w:rsidR="003A4894">
        <w:t>:</w:t>
      </w:r>
    </w:p>
    <w:p w:rsidR="003A4894" w:rsidRDefault="003A4894" w:rsidP="003A4894">
      <w:pPr>
        <w:pStyle w:val="ListBullet"/>
      </w:pPr>
      <w:r>
        <w:t>Petroleum</w:t>
      </w:r>
      <w:r w:rsidR="00AB3B27">
        <w:t xml:space="preserve"> and chemicals</w:t>
      </w:r>
    </w:p>
    <w:p w:rsidR="003A4894" w:rsidRDefault="003A4894" w:rsidP="003A4894">
      <w:pPr>
        <w:pStyle w:val="ListBullet"/>
      </w:pPr>
      <w:r>
        <w:t>Food</w:t>
      </w:r>
      <w:r w:rsidR="00AB3B27">
        <w:t xml:space="preserve"> and</w:t>
      </w:r>
      <w:r>
        <w:t xml:space="preserve"> beverage</w:t>
      </w:r>
      <w:r w:rsidR="00AB3B27">
        <w:t>s</w:t>
      </w:r>
    </w:p>
    <w:p w:rsidR="003A4894" w:rsidRDefault="003A4894" w:rsidP="00941CC1">
      <w:pPr>
        <w:pStyle w:val="ListBullet"/>
      </w:pPr>
      <w:r>
        <w:t>Metal products.</w:t>
      </w:r>
    </w:p>
    <w:p w:rsidR="006C1053" w:rsidRDefault="003A4894">
      <w:pPr>
        <w:pStyle w:val="BodyText"/>
      </w:pPr>
      <w:r>
        <w:t xml:space="preserve">These subsectors made </w:t>
      </w:r>
      <w:r w:rsidR="002B65BF">
        <w:t>a combined contribution of</w:t>
      </w:r>
      <w:r w:rsidR="003569B2">
        <w:t xml:space="preserve"> </w:t>
      </w:r>
      <w:r w:rsidR="00FE7D12">
        <w:t xml:space="preserve">around two-thirds of the total decline </w:t>
      </w:r>
      <w:r w:rsidR="006C1053">
        <w:t>(</w:t>
      </w:r>
      <w:r w:rsidR="00473CED">
        <w:t>right</w:t>
      </w:r>
      <w:r w:rsidR="00BE5DE4">
        <w:t xml:space="preserve"> panel, </w:t>
      </w:r>
      <w:r w:rsidR="006C1053">
        <w:t xml:space="preserve">figure </w:t>
      </w:r>
      <w:bookmarkStart w:id="9" w:name="OLE_LINK9"/>
      <w:r w:rsidR="00902096">
        <w:t>5</w:t>
      </w:r>
      <w:bookmarkEnd w:id="9"/>
      <w:r w:rsidR="006C1053">
        <w:t xml:space="preserve">). </w:t>
      </w:r>
    </w:p>
    <w:p w:rsidR="00C33D4F" w:rsidRDefault="00C33D4F" w:rsidP="00C33D4F">
      <w:pPr>
        <w:pStyle w:val="FigureTitle"/>
      </w:pPr>
      <w:r>
        <w:rPr>
          <w:b w:val="0"/>
        </w:rPr>
        <w:t xml:space="preserve">Figure </w:t>
      </w:r>
      <w:bookmarkStart w:id="10" w:name="OLE_LINK8"/>
      <w:r w:rsidR="00C43488">
        <w:rPr>
          <w:b w:val="0"/>
          <w:noProof/>
        </w:rPr>
        <w:t>5</w:t>
      </w:r>
      <w:bookmarkEnd w:id="10"/>
      <w:r>
        <w:tab/>
        <w:t xml:space="preserve">Change </w:t>
      </w:r>
      <w:r w:rsidR="00D96D9E">
        <w:t xml:space="preserve">in subsector MFP growth </w:t>
      </w:r>
      <w:r>
        <w:t>between cycles 3 and 4 and contribution</w:t>
      </w:r>
      <w:r w:rsidR="00D96D9E">
        <w:t>s</w:t>
      </w:r>
      <w:r>
        <w:t xml:space="preserve"> to </w:t>
      </w:r>
      <w:r w:rsidR="00D96D9E">
        <w:t>M</w:t>
      </w:r>
      <w:r>
        <w:t>anufacturing MFP growth</w:t>
      </w:r>
      <w:r w:rsidR="00D96D9E">
        <w:t xml:space="preserve"> in total</w:t>
      </w:r>
      <w:r w:rsidRPr="00C9614A">
        <w:rPr>
          <w:rStyle w:val="NoteLabel"/>
          <w:b/>
        </w:rPr>
        <w:t>a</w:t>
      </w:r>
    </w:p>
    <w:tbl>
      <w:tblPr>
        <w:tblW w:w="8699" w:type="dxa"/>
        <w:tblInd w:w="119"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5580"/>
        <w:gridCol w:w="3119"/>
      </w:tblGrid>
      <w:tr w:rsidR="00C33D4F" w:rsidTr="00906934">
        <w:tc>
          <w:tcPr>
            <w:tcW w:w="5580" w:type="dxa"/>
          </w:tcPr>
          <w:p w:rsidR="00C33D4F" w:rsidRDefault="009C08B7" w:rsidP="00473BB6">
            <w:pPr>
              <w:pStyle w:val="Figure"/>
            </w:pPr>
            <w:r>
              <w:pict>
                <v:shape id="_x0000_i1031" type="#_x0000_t75" alt="This figure shows the difference in average annual growth rate between cycles 3 and 4 in each of the subsectors. There was a fall in each subsector except Wood &amp; paper products. The figure also shows the percentage point contributions of the subsectors to the decline between cycles in Manufacturing as a whole. The top three contributors to the decline were Petroleum, coal, chemical &amp; rubber products, Food, beverage &amp; tobacco products, and Metal products." style="width:277.1pt;height:195.9pt;mso-position-vertical:absolute">
                  <v:imagedata r:id="rId15" o:title=""/>
                </v:shape>
              </w:pict>
            </w:r>
          </w:p>
        </w:tc>
        <w:tc>
          <w:tcPr>
            <w:tcW w:w="3119" w:type="dxa"/>
          </w:tcPr>
          <w:p w:rsidR="00C33D4F" w:rsidRDefault="009C08B7" w:rsidP="00800DAA">
            <w:pPr>
              <w:pStyle w:val="Figure"/>
              <w:spacing w:before="80"/>
            </w:pPr>
            <w:r>
              <w:rPr>
                <w:noProof/>
              </w:rPr>
              <w:pict>
                <v:shape id="_x0000_i1032" type="#_x0000_t75" alt="This figure shows the difference in average annual growth rate between cycles 3 and 4 in each of the subsectors. There was a fall in each subsector except Wood &amp; paper products. The figure also shows the percentage point contributions of the subsectors to the decline between cycles in Manufacturing as a whole. The top three contributors to the decline were Petroleum, coal, chemical &amp; rubber products, Food, beverage &amp; tobacco products, and Metal products." style="width:154.9pt;height:198.4pt;mso-position-vertical:absolute">
                  <v:imagedata r:id="rId16" o:title=""/>
                </v:shape>
              </w:pict>
            </w:r>
          </w:p>
        </w:tc>
      </w:tr>
    </w:tbl>
    <w:p w:rsidR="005C22A5" w:rsidRPr="005C22A5" w:rsidRDefault="00C33D4F" w:rsidP="005C22A5">
      <w:pPr>
        <w:pStyle w:val="Source"/>
        <w:spacing w:after="80"/>
      </w:pPr>
      <w:r>
        <w:rPr>
          <w:rStyle w:val="NoteLabel"/>
        </w:rPr>
        <w:t>a</w:t>
      </w:r>
      <w:r>
        <w:t xml:space="preserve"> </w:t>
      </w:r>
      <w:r w:rsidR="005C22A5">
        <w:t xml:space="preserve">FBT, MP, PCCR, and ME are of similar size (around 17-22 per cent each of Manufacturing value added on average in cycle 4). The other four subsectors are much smaller (around 4-8 per cent). </w:t>
      </w:r>
      <w:r>
        <w:t>Due to approximation errors and data limitations, there is a discrepancy between the sum of the subsector MFP contributions (</w:t>
      </w:r>
      <w:r w:rsidR="0051028B">
        <w:noBreakHyphen/>
      </w:r>
      <w:r>
        <w:t>3.1</w:t>
      </w:r>
      <w:r w:rsidR="00690ACF">
        <w:t> </w:t>
      </w:r>
      <w:r>
        <w:t xml:space="preserve">per cent a year) and the ABS aggregate </w:t>
      </w:r>
      <w:r w:rsidR="00BE5DE4">
        <w:t>M</w:t>
      </w:r>
      <w:r>
        <w:t xml:space="preserve">anufacturing estimate (-2.7 per cent a year). </w:t>
      </w:r>
      <w:r w:rsidR="002B65BF">
        <w:t xml:space="preserve">The combined contribution of </w:t>
      </w:r>
      <w:r>
        <w:t xml:space="preserve">PCCR, FBT and MP </w:t>
      </w:r>
      <w:r w:rsidR="002B65BF">
        <w:t>is</w:t>
      </w:r>
      <w:r>
        <w:t xml:space="preserve"> </w:t>
      </w:r>
      <w:r w:rsidR="002B65BF">
        <w:t xml:space="preserve">based on </w:t>
      </w:r>
      <w:r>
        <w:t>the sum of the subsector contributions.</w:t>
      </w:r>
      <w:r w:rsidR="005C22A5">
        <w:t xml:space="preserve"> </w:t>
      </w:r>
      <w:r w:rsidR="00DC4B45">
        <w:t xml:space="preserve">The MFP decline for </w:t>
      </w:r>
      <w:r w:rsidR="0053649A">
        <w:t xml:space="preserve">PRM is </w:t>
      </w:r>
      <w:r w:rsidR="003C61C0">
        <w:t>large</w:t>
      </w:r>
      <w:r w:rsidR="00DC4B45">
        <w:t>,</w:t>
      </w:r>
      <w:r w:rsidR="003C61C0">
        <w:t xml:space="preserve"> but </w:t>
      </w:r>
      <w:r w:rsidR="00DC4B45">
        <w:t xml:space="preserve">this subsector </w:t>
      </w:r>
      <w:r w:rsidR="003C61C0">
        <w:t xml:space="preserve">is relatively </w:t>
      </w:r>
      <w:r w:rsidR="0053649A">
        <w:t xml:space="preserve">small </w:t>
      </w:r>
      <w:r w:rsidR="003C61C0">
        <w:t>in size</w:t>
      </w:r>
      <w:r w:rsidR="00DC4B45">
        <w:t xml:space="preserve"> and is less well estimated than other subsectors due to major changes in industry classification over time</w:t>
      </w:r>
      <w:r w:rsidR="0053649A">
        <w:t>.</w:t>
      </w:r>
    </w:p>
    <w:p w:rsidR="00877239" w:rsidRPr="006F4BD3" w:rsidRDefault="00877239" w:rsidP="006F4BD3">
      <w:pPr>
        <w:pStyle w:val="Heading4"/>
      </w:pPr>
      <w:r w:rsidRPr="006F4BD3">
        <w:t xml:space="preserve">Proximate causes of the decline in MFP growth also differ across subsectors </w:t>
      </w:r>
    </w:p>
    <w:p w:rsidR="006F1C4D" w:rsidRDefault="00F40C6D" w:rsidP="006F1C4D">
      <w:pPr>
        <w:pStyle w:val="BodyText"/>
      </w:pPr>
      <w:r>
        <w:t>M</w:t>
      </w:r>
      <w:r w:rsidR="006F1C4D">
        <w:t xml:space="preserve">ost subsectors </w:t>
      </w:r>
      <w:r w:rsidR="00530A5D">
        <w:t xml:space="preserve">— </w:t>
      </w:r>
      <w:r>
        <w:t xml:space="preserve">with the exception of </w:t>
      </w:r>
      <w:r w:rsidR="00EE7BF2">
        <w:t xml:space="preserve">Metal products </w:t>
      </w:r>
      <w:r w:rsidR="00530A5D">
        <w:t>and Non-metallic mineral products</w:t>
      </w:r>
      <w:r w:rsidR="00EE7BF2">
        <w:t xml:space="preserve"> </w:t>
      </w:r>
      <w:r w:rsidR="00530A5D">
        <w:t>—</w:t>
      </w:r>
      <w:r>
        <w:t xml:space="preserve"> </w:t>
      </w:r>
      <w:r w:rsidR="006F1C4D">
        <w:t xml:space="preserve">contributed to the </w:t>
      </w:r>
      <w:r w:rsidR="003C61C0">
        <w:t xml:space="preserve">decline in </w:t>
      </w:r>
      <w:r w:rsidR="006F1C4D">
        <w:t xml:space="preserve">aggregate Manufacturing MFP </w:t>
      </w:r>
      <w:r w:rsidR="003C61C0">
        <w:t xml:space="preserve">growth </w:t>
      </w:r>
      <w:r w:rsidR="00530A5D">
        <w:t xml:space="preserve">between cycles 3 and 4 </w:t>
      </w:r>
      <w:r w:rsidR="006F1C4D">
        <w:t xml:space="preserve">through declines in </w:t>
      </w:r>
      <w:r w:rsidR="002F20DD">
        <w:t>value added</w:t>
      </w:r>
      <w:r w:rsidR="006F1C4D">
        <w:t xml:space="preserve"> growth</w:t>
      </w:r>
      <w:r>
        <w:t xml:space="preserve">. </w:t>
      </w:r>
      <w:r w:rsidR="00902096">
        <w:t>On the input side, t</w:t>
      </w:r>
      <w:r w:rsidR="006F1C4D">
        <w:t xml:space="preserve">he </w:t>
      </w:r>
      <w:r>
        <w:t xml:space="preserve">three subsectors of </w:t>
      </w:r>
      <w:r w:rsidR="00D82CCE">
        <w:t>Petroleum</w:t>
      </w:r>
      <w:r w:rsidR="00AB3B27">
        <w:t xml:space="preserve"> and </w:t>
      </w:r>
      <w:r w:rsidR="00D82CCE">
        <w:t>chemical</w:t>
      </w:r>
      <w:r w:rsidR="00AB3B27">
        <w:t>s</w:t>
      </w:r>
      <w:r>
        <w:t xml:space="preserve">, </w:t>
      </w:r>
      <w:r w:rsidR="00EE7BF2">
        <w:t>Food</w:t>
      </w:r>
      <w:r w:rsidR="00AB3B27">
        <w:t xml:space="preserve"> and </w:t>
      </w:r>
      <w:r w:rsidR="00EE7BF2">
        <w:t>beverage</w:t>
      </w:r>
      <w:r w:rsidR="00AB3B27">
        <w:t>s</w:t>
      </w:r>
      <w:r>
        <w:t xml:space="preserve"> and </w:t>
      </w:r>
      <w:r w:rsidR="00EE7BF2">
        <w:t>Metal products</w:t>
      </w:r>
      <w:r>
        <w:t xml:space="preserve"> made the largest contributions to the increases </w:t>
      </w:r>
      <w:r w:rsidR="006F1C4D">
        <w:t>in</w:t>
      </w:r>
      <w:r w:rsidR="003C61C0">
        <w:t xml:space="preserve"> labour and capital </w:t>
      </w:r>
      <w:r>
        <w:t>(</w:t>
      </w:r>
      <w:r w:rsidR="00902096">
        <w:t>f</w:t>
      </w:r>
      <w:r w:rsidR="00902096" w:rsidRPr="005C22A5">
        <w:t>igure</w:t>
      </w:r>
      <w:r w:rsidR="00902096">
        <w:t> 6</w:t>
      </w:r>
      <w:r>
        <w:t>).</w:t>
      </w:r>
      <w:r w:rsidR="006B74C8" w:rsidRPr="005C22A5">
        <w:t xml:space="preserve"> </w:t>
      </w:r>
    </w:p>
    <w:p w:rsidR="006F1C4D" w:rsidRDefault="00F40C6D" w:rsidP="006F1C4D">
      <w:pPr>
        <w:pStyle w:val="ListBullet"/>
      </w:pPr>
      <w:r>
        <w:lastRenderedPageBreak/>
        <w:t>The</w:t>
      </w:r>
      <w:r w:rsidR="008168FE">
        <w:t>re was a</w:t>
      </w:r>
      <w:r>
        <w:t xml:space="preserve"> large increase in value added in </w:t>
      </w:r>
      <w:r w:rsidR="00EE7BF2">
        <w:t>Metal products</w:t>
      </w:r>
      <w:r>
        <w:t xml:space="preserve"> (0.7 of a percentage point)</w:t>
      </w:r>
      <w:r w:rsidR="008168FE">
        <w:t>. But this</w:t>
      </w:r>
      <w:r>
        <w:t xml:space="preserve"> was more than offset by </w:t>
      </w:r>
      <w:r w:rsidR="00902096">
        <w:t xml:space="preserve">the declines in </w:t>
      </w:r>
      <w:r w:rsidR="00D243B6">
        <w:t>Petroleum</w:t>
      </w:r>
      <w:r w:rsidR="00AB3B27">
        <w:t xml:space="preserve"> and</w:t>
      </w:r>
      <w:r w:rsidR="00D243B6">
        <w:t xml:space="preserve"> chemical</w:t>
      </w:r>
      <w:r w:rsidR="00AB3B27">
        <w:t>s</w:t>
      </w:r>
      <w:r w:rsidR="00D243B6">
        <w:t xml:space="preserve"> </w:t>
      </w:r>
      <w:r w:rsidR="00405DA5">
        <w:t xml:space="preserve">and </w:t>
      </w:r>
      <w:r w:rsidR="00EE7BF2">
        <w:t>Food</w:t>
      </w:r>
      <w:r w:rsidR="00AB3B27">
        <w:t xml:space="preserve"> and </w:t>
      </w:r>
      <w:r w:rsidR="00EE7BF2">
        <w:t>beverage</w:t>
      </w:r>
      <w:r w:rsidR="00AB3B27">
        <w:t>s</w:t>
      </w:r>
      <w:r w:rsidR="00405DA5">
        <w:t xml:space="preserve"> </w:t>
      </w:r>
      <w:r w:rsidR="008168FE">
        <w:t>(</w:t>
      </w:r>
      <w:r>
        <w:t>which</w:t>
      </w:r>
      <w:r w:rsidR="00941CC1">
        <w:t xml:space="preserve"> contributed</w:t>
      </w:r>
      <w:r>
        <w:t xml:space="preserve"> </w:t>
      </w:r>
      <w:r w:rsidR="003C7FFC">
        <w:t>0.4</w:t>
      </w:r>
      <w:r w:rsidR="00405DA5">
        <w:t xml:space="preserve"> and </w:t>
      </w:r>
      <w:r w:rsidR="003C7FFC">
        <w:t>0.2</w:t>
      </w:r>
      <w:r w:rsidR="00405DA5">
        <w:t xml:space="preserve"> </w:t>
      </w:r>
      <w:r w:rsidR="006F1C4D">
        <w:t xml:space="preserve">of a percentage point to the decline in </w:t>
      </w:r>
      <w:r w:rsidR="002F20DD">
        <w:t>value added</w:t>
      </w:r>
      <w:r w:rsidR="006F1C4D">
        <w:t xml:space="preserve"> growth</w:t>
      </w:r>
      <w:r w:rsidR="008168FE">
        <w:t>)</w:t>
      </w:r>
      <w:r w:rsidR="006D790A">
        <w:t xml:space="preserve"> and the</w:t>
      </w:r>
      <w:r w:rsidR="0076268A">
        <w:t xml:space="preserve"> rest of Manufacturing</w:t>
      </w:r>
      <w:r w:rsidR="008168FE">
        <w:t xml:space="preserve"> (</w:t>
      </w:r>
      <w:r w:rsidR="006D790A">
        <w:t>which</w:t>
      </w:r>
      <w:r w:rsidR="0076268A">
        <w:t xml:space="preserve"> contributed </w:t>
      </w:r>
      <w:r w:rsidR="006D790A">
        <w:t xml:space="preserve">a further </w:t>
      </w:r>
      <w:r w:rsidR="00086494">
        <w:t>1.2 percentage points</w:t>
      </w:r>
      <w:r w:rsidR="006C5E78">
        <w:t xml:space="preserve"> </w:t>
      </w:r>
      <w:r w:rsidR="008168FE">
        <w:t xml:space="preserve">to the </w:t>
      </w:r>
      <w:r w:rsidR="006D790A">
        <w:t>decline</w:t>
      </w:r>
      <w:r w:rsidR="008168FE">
        <w:t>)</w:t>
      </w:r>
      <w:r w:rsidR="006D790A">
        <w:t xml:space="preserve">. </w:t>
      </w:r>
    </w:p>
    <w:p w:rsidR="006F1C4D" w:rsidRDefault="006C5E78" w:rsidP="006F1C4D">
      <w:pPr>
        <w:pStyle w:val="ListBullet"/>
      </w:pPr>
      <w:r>
        <w:t xml:space="preserve">Labour input growth was </w:t>
      </w:r>
      <w:r w:rsidR="006F1C4D">
        <w:t xml:space="preserve">dominated by the large positive contributions from </w:t>
      </w:r>
      <w:r w:rsidR="00EE7BF2">
        <w:t>Food</w:t>
      </w:r>
      <w:r w:rsidR="00AB3B27">
        <w:t xml:space="preserve"> and </w:t>
      </w:r>
      <w:r w:rsidR="00EE7BF2">
        <w:t>beverage</w:t>
      </w:r>
      <w:r w:rsidR="00AB3B27">
        <w:t>s</w:t>
      </w:r>
      <w:r w:rsidR="006F1C4D">
        <w:t xml:space="preserve"> and </w:t>
      </w:r>
      <w:r w:rsidR="00EE7BF2">
        <w:t>Metal products</w:t>
      </w:r>
      <w:r>
        <w:t xml:space="preserve">. The rest of Manufacturing </w:t>
      </w:r>
      <w:r w:rsidR="006D790A">
        <w:t>overall</w:t>
      </w:r>
      <w:r>
        <w:t xml:space="preserve"> made a</w:t>
      </w:r>
      <w:r w:rsidR="003C61C0">
        <w:t xml:space="preserve"> partially</w:t>
      </w:r>
      <w:r>
        <w:t xml:space="preserve"> offsetting </w:t>
      </w:r>
      <w:r w:rsidR="006F1C4D">
        <w:t>negative contribution</w:t>
      </w:r>
      <w:r>
        <w:t xml:space="preserve"> (</w:t>
      </w:r>
      <w:r w:rsidR="000B640C">
        <w:t xml:space="preserve">with a large negative contribution from </w:t>
      </w:r>
      <w:r w:rsidR="006D790A">
        <w:t>Wood and paper products in particular</w:t>
      </w:r>
      <w:r>
        <w:t>)</w:t>
      </w:r>
      <w:r w:rsidR="006F1C4D">
        <w:t>.</w:t>
      </w:r>
    </w:p>
    <w:p w:rsidR="006C5E78" w:rsidRDefault="00EE7BF2" w:rsidP="006C5E78">
      <w:pPr>
        <w:pStyle w:val="ListBullet"/>
      </w:pPr>
      <w:r>
        <w:t>Metal products</w:t>
      </w:r>
      <w:r w:rsidR="006D790A">
        <w:t xml:space="preserve">, followed by </w:t>
      </w:r>
      <w:r w:rsidR="00D82CCE">
        <w:t>Petroleum</w:t>
      </w:r>
      <w:r w:rsidR="00A421D1">
        <w:t xml:space="preserve"> and </w:t>
      </w:r>
      <w:r w:rsidR="00D82CCE">
        <w:t>chemical</w:t>
      </w:r>
      <w:r w:rsidR="00A421D1">
        <w:t>s</w:t>
      </w:r>
      <w:r w:rsidR="006D790A">
        <w:t>,</w:t>
      </w:r>
      <w:r w:rsidR="006C5E78">
        <w:t xml:space="preserve"> made by far the largest contributions to the capital input surge between cycles 3 and 4. </w:t>
      </w:r>
      <w:r>
        <w:t>Food</w:t>
      </w:r>
      <w:r w:rsidR="00A421D1">
        <w:t xml:space="preserve"> and </w:t>
      </w:r>
      <w:r>
        <w:t>beverage</w:t>
      </w:r>
      <w:r w:rsidR="00A421D1">
        <w:t>s</w:t>
      </w:r>
      <w:r w:rsidR="006C5E78">
        <w:t xml:space="preserve"> made a small negative contribution, </w:t>
      </w:r>
      <w:r w:rsidR="006D790A">
        <w:t xml:space="preserve">broadly </w:t>
      </w:r>
      <w:r w:rsidR="00902096">
        <w:t>offsetting</w:t>
      </w:r>
      <w:r w:rsidR="006D790A">
        <w:t xml:space="preserve"> </w:t>
      </w:r>
      <w:r w:rsidR="006C5E78">
        <w:t xml:space="preserve">the small positive contribution </w:t>
      </w:r>
      <w:r w:rsidR="009E2B73">
        <w:t>from</w:t>
      </w:r>
      <w:r w:rsidR="006C5E78">
        <w:t xml:space="preserve"> the </w:t>
      </w:r>
      <w:r w:rsidR="000B640C">
        <w:t xml:space="preserve">rest of Manufacturing. </w:t>
      </w:r>
    </w:p>
    <w:p w:rsidR="003C6AA7" w:rsidRDefault="00405DA5" w:rsidP="003C6AA7">
      <w:pPr>
        <w:pStyle w:val="FigureTitle"/>
      </w:pPr>
      <w:r>
        <w:rPr>
          <w:b w:val="0"/>
        </w:rPr>
        <w:t xml:space="preserve">Figure </w:t>
      </w:r>
      <w:bookmarkStart w:id="11" w:name="OLE_LINK2"/>
      <w:r w:rsidR="00C43488">
        <w:rPr>
          <w:b w:val="0"/>
          <w:noProof/>
        </w:rPr>
        <w:t>6</w:t>
      </w:r>
      <w:bookmarkEnd w:id="11"/>
      <w:r w:rsidR="003C6AA7">
        <w:tab/>
      </w:r>
      <w:r w:rsidR="00D96D9E">
        <w:t>Main s</w:t>
      </w:r>
      <w:r w:rsidR="003C6AA7">
        <w:t>ubsector</w:t>
      </w:r>
      <w:r w:rsidR="00D96D9E">
        <w:t>s</w:t>
      </w:r>
      <w:r w:rsidR="003C6AA7">
        <w:t xml:space="preserve"> contributi</w:t>
      </w:r>
      <w:r w:rsidR="00D96D9E">
        <w:t>ng</w:t>
      </w:r>
      <w:r w:rsidR="003C6AA7">
        <w:t xml:space="preserve"> to change in total Manufacturing MFP growth and its proximate causes</w:t>
      </w:r>
      <w:r w:rsidR="00D96D9E">
        <w:t xml:space="preserve"> between cycles 3 and 4</w:t>
      </w:r>
    </w:p>
    <w:p w:rsidR="003C6AA7" w:rsidRDefault="003C6AA7" w:rsidP="003C6AA7">
      <w:pPr>
        <w:pStyle w:val="Subtitle"/>
      </w:pPr>
      <w:r>
        <w:t xml:space="preserve">Percentage point change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C6AA7" w:rsidTr="00D61E47">
        <w:tc>
          <w:tcPr>
            <w:tcW w:w="8777" w:type="dxa"/>
          </w:tcPr>
          <w:p w:rsidR="003C6AA7" w:rsidRDefault="009C08B7" w:rsidP="00800DAA">
            <w:pPr>
              <w:pStyle w:val="Figure"/>
              <w:spacing w:after="0"/>
            </w:pPr>
            <w:r>
              <w:rPr>
                <w:noProof/>
              </w:rPr>
              <w:pict>
                <v:shape id="_x0000_i1033" type="#_x0000_t75" alt="Details on this figure can be found within the text immediately before this image" style="width:424.45pt;height:226.05pt">
                  <v:imagedata r:id="rId17" o:title=""/>
                </v:shape>
              </w:pict>
            </w:r>
          </w:p>
        </w:tc>
      </w:tr>
    </w:tbl>
    <w:p w:rsidR="00877239" w:rsidRPr="006F4BD3" w:rsidRDefault="00877239" w:rsidP="006F4BD3">
      <w:pPr>
        <w:pStyle w:val="Heading3"/>
      </w:pPr>
      <w:r w:rsidRPr="006F4BD3">
        <w:t>Influences on MFP var</w:t>
      </w:r>
      <w:r w:rsidR="0086159E" w:rsidRPr="006F4BD3">
        <w:t>ied</w:t>
      </w:r>
      <w:r w:rsidRPr="006F4BD3">
        <w:t xml:space="preserve"> across </w:t>
      </w:r>
      <w:r w:rsidR="00D82CCE" w:rsidRPr="006F4BD3">
        <w:t>Petroleum</w:t>
      </w:r>
      <w:r w:rsidR="00A421D1" w:rsidRPr="006F4BD3">
        <w:t xml:space="preserve"> and chemicals</w:t>
      </w:r>
      <w:r w:rsidR="00A80834" w:rsidRPr="006F4BD3">
        <w:t xml:space="preserve">, </w:t>
      </w:r>
      <w:r w:rsidR="00EE7BF2" w:rsidRPr="006F4BD3">
        <w:t>Food</w:t>
      </w:r>
      <w:r w:rsidR="00A421D1" w:rsidRPr="006F4BD3">
        <w:t xml:space="preserve"> and </w:t>
      </w:r>
      <w:r w:rsidR="00EE7BF2" w:rsidRPr="006F4BD3">
        <w:t>beverage</w:t>
      </w:r>
      <w:r w:rsidR="00A421D1" w:rsidRPr="006F4BD3">
        <w:t>s</w:t>
      </w:r>
      <w:r w:rsidR="00810F2E">
        <w:t>,</w:t>
      </w:r>
      <w:r w:rsidR="00A80834" w:rsidRPr="006F4BD3">
        <w:t xml:space="preserve"> and </w:t>
      </w:r>
      <w:r w:rsidR="00EE7BF2" w:rsidRPr="006F4BD3">
        <w:t>Metal products</w:t>
      </w:r>
      <w:r w:rsidRPr="006F4BD3">
        <w:t xml:space="preserve"> </w:t>
      </w:r>
    </w:p>
    <w:p w:rsidR="003C61C0" w:rsidRPr="003C61C0" w:rsidRDefault="003C61C0" w:rsidP="007B2D30">
      <w:pPr>
        <w:pStyle w:val="BodyText"/>
      </w:pPr>
      <w:r>
        <w:t xml:space="preserve">A closer examination of the influences on these subsectors is needed to explain changes in the proximate causes of the decline in MFP growth. </w:t>
      </w:r>
    </w:p>
    <w:p w:rsidR="00083A78" w:rsidRDefault="008D2405" w:rsidP="00E03E87">
      <w:pPr>
        <w:pStyle w:val="Heading4"/>
        <w:spacing w:before="360"/>
      </w:pPr>
      <w:r w:rsidRPr="00E03E87">
        <w:lastRenderedPageBreak/>
        <w:t>Petroleum</w:t>
      </w:r>
      <w:r w:rsidR="00A421D1" w:rsidRPr="00E03E87">
        <w:t xml:space="preserve"> and chemicals</w:t>
      </w:r>
      <w:r w:rsidR="003A0927" w:rsidRPr="00E03E87">
        <w:t xml:space="preserve"> </w:t>
      </w:r>
      <w:r w:rsidR="001735BA" w:rsidRPr="00E03E87">
        <w:t xml:space="preserve">subsector </w:t>
      </w:r>
      <w:r w:rsidR="003A0927" w:rsidRPr="00E03E87">
        <w:t>was the largest</w:t>
      </w:r>
      <w:r w:rsidR="008D190E" w:rsidRPr="00E03E87">
        <w:t xml:space="preserve"> contributor to the decline in</w:t>
      </w:r>
      <w:r w:rsidR="008D190E">
        <w:t xml:space="preserve"> Manufacturing </w:t>
      </w:r>
      <w:r w:rsidR="001735BA">
        <w:t>MFP</w:t>
      </w:r>
    </w:p>
    <w:p w:rsidR="00083A78" w:rsidRPr="00551086" w:rsidRDefault="00551086" w:rsidP="00083A78">
      <w:pPr>
        <w:pStyle w:val="BodyText"/>
      </w:pPr>
      <w:r w:rsidRPr="00551086">
        <w:t xml:space="preserve">A wide range of </w:t>
      </w:r>
      <w:r w:rsidR="00083A78" w:rsidRPr="00551086">
        <w:t>different activities</w:t>
      </w:r>
      <w:r w:rsidRPr="00551086">
        <w:t xml:space="preserve"> fall within th</w:t>
      </w:r>
      <w:r w:rsidR="00A421D1">
        <w:t xml:space="preserve">is </w:t>
      </w:r>
      <w:r w:rsidRPr="00551086">
        <w:t xml:space="preserve">subsector, </w:t>
      </w:r>
      <w:r w:rsidR="00083A78" w:rsidRPr="00551086">
        <w:t xml:space="preserve">including petroleum refining, pharmaceutical manufacturing, fertiliser production and manufacturing of plastics, amongst others. Formally, </w:t>
      </w:r>
      <w:r w:rsidRPr="00551086">
        <w:t>it</w:t>
      </w:r>
      <w:r w:rsidR="00083A78" w:rsidRPr="00551086">
        <w:t xml:space="preserve"> is divided into three subdivision</w:t>
      </w:r>
      <w:r w:rsidR="00E3331A" w:rsidRPr="00551086">
        <w:t>s</w:t>
      </w:r>
      <w:r w:rsidRPr="00551086">
        <w:t xml:space="preserve"> —</w:t>
      </w:r>
      <w:r w:rsidR="00083A78" w:rsidRPr="00551086">
        <w:t xml:space="preserve"> Petroleum refining, Chemical manufacturing and Polymer manufacturing.</w:t>
      </w:r>
    </w:p>
    <w:p w:rsidR="00551086" w:rsidRDefault="002766F3" w:rsidP="00551086">
      <w:pPr>
        <w:pStyle w:val="BodyText"/>
      </w:pPr>
      <w:bookmarkStart w:id="12" w:name="OLE_LINK3"/>
      <w:r>
        <w:t>The subsector</w:t>
      </w:r>
      <w:r w:rsidR="005F37ED">
        <w:t xml:space="preserve"> had a </w:t>
      </w:r>
      <w:r w:rsidR="00551086" w:rsidRPr="00551086">
        <w:t>low</w:t>
      </w:r>
      <w:r w:rsidR="006D790A">
        <w:t xml:space="preserve"> but</w:t>
      </w:r>
      <w:r w:rsidR="00551086" w:rsidRPr="00551086">
        <w:t xml:space="preserve"> positive rate of MFP growth over cycle 3 (0.6 per cent a year</w:t>
      </w:r>
      <w:r w:rsidR="006D790A">
        <w:t xml:space="preserve"> on average</w:t>
      </w:r>
      <w:r w:rsidR="00551086" w:rsidRPr="00551086">
        <w:t xml:space="preserve">) </w:t>
      </w:r>
      <w:r w:rsidR="005F37ED">
        <w:t>—</w:t>
      </w:r>
      <w:r w:rsidR="00906934" w:rsidRPr="00551086">
        <w:t xml:space="preserve"> </w:t>
      </w:r>
      <w:r w:rsidR="00551086" w:rsidRPr="00551086">
        <w:t xml:space="preserve">associated with </w:t>
      </w:r>
      <w:r w:rsidR="002F20DD">
        <w:t>value added</w:t>
      </w:r>
      <w:r w:rsidR="00551086" w:rsidRPr="00551086">
        <w:t xml:space="preserve"> growth in excess of combined input growth (figure 7). </w:t>
      </w:r>
      <w:r w:rsidR="00902096" w:rsidRPr="00551086">
        <w:t>Th</w:t>
      </w:r>
      <w:r w:rsidR="00902096">
        <w:t>ere</w:t>
      </w:r>
      <w:r w:rsidR="00902096" w:rsidRPr="00551086">
        <w:t xml:space="preserve"> </w:t>
      </w:r>
      <w:r w:rsidR="00551086" w:rsidRPr="00551086">
        <w:t xml:space="preserve">was </w:t>
      </w:r>
      <w:r w:rsidR="00902096">
        <w:t xml:space="preserve">a reversal to </w:t>
      </w:r>
      <w:r w:rsidR="00551086" w:rsidRPr="00551086">
        <w:t>strong negative MFP growth over cycle 4 (</w:t>
      </w:r>
      <w:r w:rsidR="006D790A">
        <w:noBreakHyphen/>
      </w:r>
      <w:r w:rsidR="00551086" w:rsidRPr="00551086">
        <w:t xml:space="preserve">4.1 per cent a year) — driven principally by a decline in </w:t>
      </w:r>
      <w:r w:rsidR="002F20DD">
        <w:t>value added</w:t>
      </w:r>
      <w:r w:rsidR="00551086" w:rsidRPr="00551086">
        <w:t xml:space="preserve"> growth and very strong growth in capital services. </w:t>
      </w:r>
    </w:p>
    <w:p w:rsidR="00083A78" w:rsidRPr="00551086" w:rsidRDefault="00960FF8" w:rsidP="00083A78">
      <w:pPr>
        <w:pStyle w:val="FigureTitle"/>
      </w:pPr>
      <w:r w:rsidRPr="00551086">
        <w:rPr>
          <w:b w:val="0"/>
        </w:rPr>
        <w:t xml:space="preserve">Figure </w:t>
      </w:r>
      <w:bookmarkStart w:id="13" w:name="OLE_LINK4"/>
      <w:r w:rsidR="00C43488">
        <w:rPr>
          <w:b w:val="0"/>
          <w:noProof/>
        </w:rPr>
        <w:t>7</w:t>
      </w:r>
      <w:bookmarkEnd w:id="13"/>
      <w:r w:rsidR="00083A78" w:rsidRPr="00551086">
        <w:tab/>
      </w:r>
      <w:r w:rsidR="002766F3">
        <w:t>Petroleum</w:t>
      </w:r>
      <w:r w:rsidR="00A421D1">
        <w:t xml:space="preserve"> and </w:t>
      </w:r>
      <w:r w:rsidR="002766F3">
        <w:t>chemical</w:t>
      </w:r>
      <w:r w:rsidR="00A421D1">
        <w:t>s</w:t>
      </w:r>
      <w:r w:rsidR="002766F3">
        <w:t>: p</w:t>
      </w:r>
      <w:r w:rsidR="002766F3" w:rsidRPr="00551086">
        <w:t xml:space="preserve">roximate </w:t>
      </w:r>
      <w:r w:rsidR="00083A78" w:rsidRPr="00551086">
        <w:t xml:space="preserve">causes of </w:t>
      </w:r>
      <w:r w:rsidR="002766F3" w:rsidRPr="00551086">
        <w:t>MFP growth in cycles 3 and 4</w:t>
      </w:r>
      <w:r w:rsidR="00083A78" w:rsidRPr="00551086">
        <w:t xml:space="preserve"> </w:t>
      </w:r>
    </w:p>
    <w:p w:rsidR="00083A78" w:rsidRPr="00551086" w:rsidRDefault="0027796D" w:rsidP="00083A78">
      <w:pPr>
        <w:pStyle w:val="Subtitle"/>
      </w:pPr>
      <w:r>
        <w:t>A</w:t>
      </w:r>
      <w:r w:rsidRPr="00E4474D">
        <w:t xml:space="preserve">verage annual </w:t>
      </w:r>
      <w:r>
        <w:t xml:space="preserve">growth </w:t>
      </w:r>
      <w:r w:rsidRPr="00E4474D">
        <w:t>rate</w:t>
      </w:r>
      <w:r>
        <w:t xml:space="preserve"> (</w:t>
      </w:r>
      <w:r w:rsidRPr="00E4474D">
        <w:t>per cent</w:t>
      </w:r>
      <w: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83A78" w:rsidRPr="00551086" w:rsidTr="00906934">
        <w:tc>
          <w:tcPr>
            <w:tcW w:w="8777" w:type="dxa"/>
          </w:tcPr>
          <w:p w:rsidR="00083A78" w:rsidRPr="00551086" w:rsidRDefault="009C08B7" w:rsidP="008C0F06">
            <w:pPr>
              <w:pStyle w:val="Figure"/>
            </w:pPr>
            <w:r>
              <w:pict>
                <v:shape id="_x0000_i1034" type="#_x0000_t75" alt="This figure shows the rate of growth in each of the proximate causes (value added, weighted hours worked and weighted capital services) and resulting rate of growth in Petroleum and chemicals MFP for cycles 3 and 4, and the difference between these cycles. Between the cycles, a decline in value added, weak growth in hours worked and stronger growth in capital services led to a considerable decline in the rate of MFP growth." style="width:424.45pt;height:198.4pt;mso-position-vertical:absolute">
                  <v:imagedata r:id="rId18" o:title=""/>
                </v:shape>
              </w:pict>
            </w:r>
          </w:p>
        </w:tc>
      </w:tr>
    </w:tbl>
    <w:bookmarkEnd w:id="12"/>
    <w:p w:rsidR="00083A78" w:rsidRPr="006F4BD3" w:rsidRDefault="00083A78" w:rsidP="006F4BD3">
      <w:pPr>
        <w:pStyle w:val="Heading5"/>
      </w:pPr>
      <w:r w:rsidRPr="006F4BD3">
        <w:t xml:space="preserve">Value added decline driven by changes in petroleum refining and </w:t>
      </w:r>
      <w:r w:rsidR="00DA1D9A" w:rsidRPr="006F4BD3">
        <w:t xml:space="preserve">plastics </w:t>
      </w:r>
    </w:p>
    <w:p w:rsidR="00BF5607" w:rsidRDefault="00083A78" w:rsidP="00083A78">
      <w:pPr>
        <w:pStyle w:val="BodyText"/>
      </w:pPr>
      <w:r>
        <w:t xml:space="preserve">Most of the decline in value added growth from cycle 3 to cycle 4 occurred in the Petroleum refining and Polymer products subdivisions. </w:t>
      </w:r>
    </w:p>
    <w:p w:rsidR="00530A5D" w:rsidRDefault="00530A5D" w:rsidP="00530A5D">
      <w:pPr>
        <w:pStyle w:val="BodyText"/>
      </w:pPr>
      <w:r>
        <w:t xml:space="preserve">Value added of the domestic Petroleum refining industry fell for several reasons — even though the overall volume of domestic refined output remained relatively stable and domestic consumption </w:t>
      </w:r>
      <w:r w:rsidR="003C61C0">
        <w:t>grew</w:t>
      </w:r>
      <w:r>
        <w:t>.</w:t>
      </w:r>
    </w:p>
    <w:p w:rsidR="00530A5D" w:rsidRDefault="00530A5D" w:rsidP="00530A5D">
      <w:pPr>
        <w:pStyle w:val="ListBullet"/>
      </w:pPr>
      <w:r>
        <w:t>The greatest value added per unit of refined output comes from refining domestically</w:t>
      </w:r>
      <w:r w:rsidR="00084A84">
        <w:t>-</w:t>
      </w:r>
      <w:r>
        <w:t>sourced crude oil</w:t>
      </w:r>
      <w:r w:rsidR="003C61C0">
        <w:t>. B</w:t>
      </w:r>
      <w:r>
        <w:t xml:space="preserve">ut the supply of crude oil available from </w:t>
      </w:r>
      <w:r>
        <w:lastRenderedPageBreak/>
        <w:t>domestic oilfields has been declining</w:t>
      </w:r>
      <w:r w:rsidR="003C61C0">
        <w:t xml:space="preserve">, necessitating increased imports of crude oil and refined </w:t>
      </w:r>
      <w:r w:rsidR="00424E9B">
        <w:t>petroleum</w:t>
      </w:r>
      <w:r w:rsidR="003C61C0">
        <w:t>.</w:t>
      </w:r>
      <w:r>
        <w:t xml:space="preserve"> </w:t>
      </w:r>
    </w:p>
    <w:p w:rsidR="00530A5D" w:rsidRDefault="00530A5D" w:rsidP="00530A5D">
      <w:pPr>
        <w:pStyle w:val="ListBullet"/>
      </w:pPr>
      <w:r>
        <w:t>Less value added per unit of output comes from refining imported crude oil, as more intermediate inputs are required to process the different type of crude oil that is available</w:t>
      </w:r>
      <w:r w:rsidR="00424E9B">
        <w:t xml:space="preserve"> from overseas</w:t>
      </w:r>
      <w:r>
        <w:t xml:space="preserve">. </w:t>
      </w:r>
    </w:p>
    <w:p w:rsidR="00530A5D" w:rsidRDefault="00530A5D" w:rsidP="00530A5D">
      <w:pPr>
        <w:pStyle w:val="ListBullet"/>
      </w:pPr>
      <w:r>
        <w:t>The least value added per unit of output comes from blending imported refined fuel to meet Australian standards, and the volume of refined fuel imports has been rising.</w:t>
      </w:r>
    </w:p>
    <w:p w:rsidR="00530A5D" w:rsidRDefault="00424E9B" w:rsidP="00530A5D">
      <w:pPr>
        <w:pStyle w:val="BodyText"/>
      </w:pPr>
      <w:r>
        <w:t>T</w:t>
      </w:r>
      <w:r w:rsidR="00530A5D">
        <w:t xml:space="preserve">here has been increased demand for diesel fuel over cycle 4, as a result of the mining boom and changing consumer preferences. </w:t>
      </w:r>
      <w:r>
        <w:t>However, t</w:t>
      </w:r>
      <w:r w:rsidR="009A0CA3">
        <w:t>he increase in demand has been met mainly from imports</w:t>
      </w:r>
      <w:r w:rsidR="001F5832">
        <w:t xml:space="preserve"> of refined diesel</w:t>
      </w:r>
      <w:r w:rsidR="00D90E87">
        <w:t xml:space="preserve"> as domestic refineries are be</w:t>
      </w:r>
      <w:r w:rsidR="00C73289">
        <w:t>tter</w:t>
      </w:r>
      <w:r w:rsidR="00D90E87">
        <w:t xml:space="preserve"> suited to producing petrol rather than diesel</w:t>
      </w:r>
      <w:r w:rsidR="00530A5D">
        <w:t>.</w:t>
      </w:r>
      <w:r w:rsidR="00D90E87">
        <w:t xml:space="preserve"> </w:t>
      </w:r>
    </w:p>
    <w:p w:rsidR="00083A78" w:rsidRDefault="00083A78" w:rsidP="00083A78">
      <w:pPr>
        <w:pStyle w:val="BodyText"/>
      </w:pPr>
      <w:r w:rsidRPr="00B710DB">
        <w:t xml:space="preserve">In the case of Polymers, </w:t>
      </w:r>
      <w:r w:rsidR="00F15E97" w:rsidRPr="00B710DB">
        <w:t>domestic production declined</w:t>
      </w:r>
      <w:r w:rsidR="00902096">
        <w:t>. F</w:t>
      </w:r>
      <w:r w:rsidRPr="00B710DB">
        <w:t xml:space="preserve">inished plastic products faced </w:t>
      </w:r>
      <w:r w:rsidR="00E71322" w:rsidRPr="00B710DB">
        <w:t>strong</w:t>
      </w:r>
      <w:r w:rsidR="0043006A">
        <w:t>er</w:t>
      </w:r>
      <w:r w:rsidRPr="00B710DB">
        <w:t xml:space="preserve"> import competition</w:t>
      </w:r>
      <w:r w:rsidR="0043006A">
        <w:t xml:space="preserve"> as the result of </w:t>
      </w:r>
      <w:r w:rsidR="00AA3EA4">
        <w:t xml:space="preserve">increased production volumes </w:t>
      </w:r>
      <w:r w:rsidR="00E174F9">
        <w:t xml:space="preserve">of </w:t>
      </w:r>
      <w:r w:rsidR="00AA3EA4">
        <w:t>overseas firms with lower input costs and the appreciation of the Australian dollar</w:t>
      </w:r>
      <w:r w:rsidR="00906934" w:rsidRPr="00B710DB">
        <w:t>.</w:t>
      </w:r>
      <w:r w:rsidRPr="00B710DB">
        <w:t xml:space="preserve"> </w:t>
      </w:r>
      <w:r w:rsidR="00936742">
        <w:t>A</w:t>
      </w:r>
      <w:r w:rsidR="00003898">
        <w:t>s firms adjust</w:t>
      </w:r>
      <w:r w:rsidR="00902096">
        <w:t>,</w:t>
      </w:r>
      <w:r w:rsidR="00E71322">
        <w:t xml:space="preserve"> </w:t>
      </w:r>
      <w:r w:rsidR="00E71322" w:rsidRPr="00003898">
        <w:rPr>
          <w:i/>
        </w:rPr>
        <w:t>measured</w:t>
      </w:r>
      <w:r w:rsidR="00E71322">
        <w:t xml:space="preserve"> productivity may </w:t>
      </w:r>
      <w:r w:rsidR="0043006A">
        <w:t>fall, even though their productive efficiency may not</w:t>
      </w:r>
      <w:r w:rsidR="00E71322">
        <w:t xml:space="preserve">. For example, where firms reduce output in response to decreased demand </w:t>
      </w:r>
      <w:r w:rsidR="00755934">
        <w:t>for their output</w:t>
      </w:r>
      <w:r w:rsidR="00902096">
        <w:t>,</w:t>
      </w:r>
      <w:r w:rsidR="00755934">
        <w:t xml:space="preserve"> </w:t>
      </w:r>
      <w:r w:rsidR="00E71322">
        <w:t xml:space="preserve">this can lead to unutilised capacity, which depresses </w:t>
      </w:r>
      <w:r w:rsidR="009A0CA3">
        <w:t xml:space="preserve">measured </w:t>
      </w:r>
      <w:r w:rsidR="00E71322" w:rsidRPr="00E75E2C">
        <w:t>productivity</w:t>
      </w:r>
      <w:r w:rsidR="00E71322">
        <w:rPr>
          <w:i/>
        </w:rPr>
        <w:t>.</w:t>
      </w:r>
      <w:r w:rsidR="00D03E7C" w:rsidRPr="00936742" w:rsidDel="00D03E7C">
        <w:rPr>
          <w:rStyle w:val="FootnoteReference"/>
        </w:rPr>
        <w:t xml:space="preserve"> </w:t>
      </w:r>
      <w:r w:rsidR="00D03E7C" w:rsidRPr="00EA7EF8">
        <w:t xml:space="preserve">More broadly, import competition </w:t>
      </w:r>
      <w:r w:rsidR="00D03E7C">
        <w:t>should</w:t>
      </w:r>
      <w:r w:rsidR="00D03E7C" w:rsidRPr="00EA7EF8">
        <w:t xml:space="preserve"> provide incentives for firms to improve their efficiency, but </w:t>
      </w:r>
      <w:r w:rsidR="00290C6C">
        <w:t>its impact on productivity</w:t>
      </w:r>
      <w:r w:rsidR="00902096">
        <w:t>, particularly in the short term,</w:t>
      </w:r>
      <w:r w:rsidR="00D03E7C" w:rsidRPr="00EA7EF8">
        <w:t xml:space="preserve"> will also be influenced by </w:t>
      </w:r>
      <w:r w:rsidR="00902096">
        <w:t xml:space="preserve">industry-specific </w:t>
      </w:r>
      <w:r w:rsidR="00D03E7C" w:rsidRPr="00EA7EF8">
        <w:t>factors.</w:t>
      </w:r>
    </w:p>
    <w:p w:rsidR="00083A78" w:rsidRPr="006F4BD3" w:rsidRDefault="00083A78" w:rsidP="003C47F3">
      <w:pPr>
        <w:pStyle w:val="Heading5"/>
        <w:spacing w:before="360"/>
      </w:pPr>
      <w:r w:rsidRPr="006F4BD3">
        <w:t xml:space="preserve">Rapid </w:t>
      </w:r>
      <w:r w:rsidR="00E339A0" w:rsidRPr="006F4BD3">
        <w:t xml:space="preserve">investment </w:t>
      </w:r>
      <w:r w:rsidRPr="006F4BD3">
        <w:t xml:space="preserve">growth </w:t>
      </w:r>
      <w:r w:rsidR="006D790A" w:rsidRPr="006F4BD3">
        <w:t>in</w:t>
      </w:r>
      <w:r w:rsidRPr="006F4BD3">
        <w:t xml:space="preserve"> Petroleum refining and Chemical manufacturing</w:t>
      </w:r>
    </w:p>
    <w:p w:rsidR="00083A78" w:rsidRPr="00680EB5" w:rsidRDefault="00083A78" w:rsidP="00083A78">
      <w:pPr>
        <w:pStyle w:val="BodyText"/>
      </w:pPr>
      <w:r w:rsidRPr="00680EB5">
        <w:t xml:space="preserve">The </w:t>
      </w:r>
      <w:r w:rsidR="00906934">
        <w:t>faster</w:t>
      </w:r>
      <w:r w:rsidR="00906934" w:rsidRPr="00680EB5">
        <w:t xml:space="preserve"> </w:t>
      </w:r>
      <w:r w:rsidRPr="00680EB5">
        <w:t xml:space="preserve">growth in capital services </w:t>
      </w:r>
      <w:r w:rsidR="005808C2">
        <w:t>over cycle 4</w:t>
      </w:r>
      <w:r w:rsidR="00906934">
        <w:t xml:space="preserve"> </w:t>
      </w:r>
      <w:r w:rsidRPr="00680EB5">
        <w:t xml:space="preserve">is a product of </w:t>
      </w:r>
      <w:r>
        <w:t xml:space="preserve">very </w:t>
      </w:r>
      <w:r w:rsidRPr="00680EB5">
        <w:t xml:space="preserve">strong investment, </w:t>
      </w:r>
      <w:r>
        <w:t xml:space="preserve">particularly </w:t>
      </w:r>
      <w:r w:rsidRPr="00680EB5">
        <w:t xml:space="preserve">in the Petroleum </w:t>
      </w:r>
      <w:r>
        <w:t xml:space="preserve">and </w:t>
      </w:r>
      <w:r w:rsidRPr="00680EB5">
        <w:t>Chemicals subdivisions</w:t>
      </w:r>
      <w:r w:rsidR="000E4E44">
        <w:t xml:space="preserve">, but for different </w:t>
      </w:r>
      <w:r>
        <w:t xml:space="preserve">reasons. In the case of Petroleum refining, significant investments were required to upgrade refineries to meet new environmental standards relating to fuels. </w:t>
      </w:r>
      <w:r w:rsidR="000E4E44">
        <w:t>T</w:t>
      </w:r>
      <w:r>
        <w:t>hese investments appear as additional inputs</w:t>
      </w:r>
      <w:r w:rsidR="00F71540">
        <w:t>,</w:t>
      </w:r>
      <w:r>
        <w:t xml:space="preserve"> </w:t>
      </w:r>
      <w:r w:rsidR="005379D8">
        <w:t xml:space="preserve">but </w:t>
      </w:r>
      <w:r w:rsidR="00906934">
        <w:t xml:space="preserve">the </w:t>
      </w:r>
      <w:r w:rsidR="00472B5D">
        <w:t>improvements in fuel quality are not completely accounted for in the measure of value added</w:t>
      </w:r>
      <w:r w:rsidR="00637E5F">
        <w:t xml:space="preserve">, </w:t>
      </w:r>
      <w:r w:rsidR="00902096">
        <w:t xml:space="preserve">thus </w:t>
      </w:r>
      <w:r w:rsidR="00637E5F">
        <w:t>depressing measured productivity</w:t>
      </w:r>
      <w:r>
        <w:t>.</w:t>
      </w:r>
    </w:p>
    <w:p w:rsidR="00083A78" w:rsidRDefault="00083A78" w:rsidP="00083A78">
      <w:pPr>
        <w:pStyle w:val="BodyText"/>
      </w:pPr>
      <w:r w:rsidRPr="00902096">
        <w:t xml:space="preserve">In Chemicals, there was significant investment in expanding </w:t>
      </w:r>
      <w:r w:rsidR="00906934" w:rsidRPr="00902096">
        <w:t xml:space="preserve">the </w:t>
      </w:r>
      <w:r w:rsidRPr="00902096">
        <w:t xml:space="preserve">production capacity of ammonia and ammonium nitrate — key inputs to fertilisers and explosives, which experienced heightened demand over cycle 4. The investment was made in </w:t>
      </w:r>
      <w:r w:rsidR="00902096" w:rsidRPr="00902096">
        <w:t xml:space="preserve">that </w:t>
      </w:r>
      <w:r w:rsidRPr="00902096">
        <w:t xml:space="preserve">cycle, but some </w:t>
      </w:r>
      <w:r w:rsidR="00E457C3" w:rsidRPr="00902096">
        <w:t xml:space="preserve">of the </w:t>
      </w:r>
      <w:r w:rsidRPr="00902096">
        <w:t xml:space="preserve">additional output was not realised until after 2007-08. </w:t>
      </w:r>
      <w:r w:rsidR="00C63003" w:rsidRPr="00902096">
        <w:t>As new capacity has come on stream</w:t>
      </w:r>
      <w:r w:rsidR="00755B96" w:rsidRPr="00755B96">
        <w:t xml:space="preserve"> </w:t>
      </w:r>
      <w:r w:rsidR="00755B96" w:rsidRPr="00902096">
        <w:t>since the end of cycle 4</w:t>
      </w:r>
      <w:r w:rsidR="00C63003" w:rsidRPr="00902096">
        <w:t>, the additional output has reversed some of the measured productivity decline.</w:t>
      </w:r>
    </w:p>
    <w:p w:rsidR="007F53A6" w:rsidRPr="006F4BD3" w:rsidRDefault="00EE7BF2" w:rsidP="006F4BD3">
      <w:pPr>
        <w:pStyle w:val="Heading4"/>
      </w:pPr>
      <w:r w:rsidRPr="006F4BD3">
        <w:lastRenderedPageBreak/>
        <w:t>Food</w:t>
      </w:r>
      <w:r w:rsidR="00A421D1" w:rsidRPr="006F4BD3">
        <w:t xml:space="preserve"> and </w:t>
      </w:r>
      <w:r w:rsidRPr="006F4BD3">
        <w:t>beverage</w:t>
      </w:r>
      <w:r w:rsidR="00A421D1" w:rsidRPr="006F4BD3">
        <w:t>s</w:t>
      </w:r>
      <w:r w:rsidR="001735BA" w:rsidRPr="006F4BD3">
        <w:t xml:space="preserve"> subsector made a considerable contribution to the decline in </w:t>
      </w:r>
      <w:r w:rsidR="00523A27">
        <w:t xml:space="preserve">Manufacturing </w:t>
      </w:r>
      <w:r w:rsidR="001735BA" w:rsidRPr="006F4BD3">
        <w:t>MFP</w:t>
      </w:r>
    </w:p>
    <w:p w:rsidR="00E339A0" w:rsidRPr="00517713" w:rsidRDefault="00517713" w:rsidP="00087455">
      <w:pPr>
        <w:pStyle w:val="BodyText"/>
      </w:pPr>
      <w:r w:rsidRPr="00517713">
        <w:t xml:space="preserve">The </w:t>
      </w:r>
      <w:r w:rsidR="00EE7BF2">
        <w:t>Food</w:t>
      </w:r>
      <w:r w:rsidR="00A421D1">
        <w:t xml:space="preserve"> and </w:t>
      </w:r>
      <w:r w:rsidR="00EE7BF2">
        <w:t>beverage</w:t>
      </w:r>
      <w:r w:rsidR="00A421D1">
        <w:t>s</w:t>
      </w:r>
      <w:r w:rsidR="00E339A0" w:rsidRPr="00517713">
        <w:t xml:space="preserve"> </w:t>
      </w:r>
      <w:r w:rsidRPr="00517713">
        <w:t>subsector has two subdivisions</w:t>
      </w:r>
      <w:r w:rsidR="00E30BB5">
        <w:t>:</w:t>
      </w:r>
      <w:r w:rsidRPr="00517713">
        <w:t xml:space="preserve"> Food manufacturing</w:t>
      </w:r>
      <w:r w:rsidR="00E30BB5">
        <w:t>,</w:t>
      </w:r>
      <w:r w:rsidRPr="00517713">
        <w:t xml:space="preserve"> and Beverages and tobacco product manufacturing. There is a diverse range of </w:t>
      </w:r>
      <w:r w:rsidR="000A3E98">
        <w:t>manufacturing activities</w:t>
      </w:r>
      <w:r w:rsidRPr="00517713">
        <w:t xml:space="preserve"> within each subdivision — </w:t>
      </w:r>
      <w:r>
        <w:t xml:space="preserve">from </w:t>
      </w:r>
      <w:r w:rsidR="0038631F">
        <w:t xml:space="preserve">simple </w:t>
      </w:r>
      <w:r>
        <w:t xml:space="preserve">processing of agricultural products </w:t>
      </w:r>
      <w:r w:rsidR="00AC6EEB">
        <w:t xml:space="preserve">to </w:t>
      </w:r>
      <w:r w:rsidR="00D27967">
        <w:t xml:space="preserve">the production of </w:t>
      </w:r>
      <w:r>
        <w:t xml:space="preserve">more </w:t>
      </w:r>
      <w:r w:rsidR="0044045F">
        <w:t xml:space="preserve">complex </w:t>
      </w:r>
      <w:r>
        <w:t xml:space="preserve">products. </w:t>
      </w:r>
    </w:p>
    <w:p w:rsidR="00087455" w:rsidRPr="00517713" w:rsidRDefault="00EE7BF2" w:rsidP="00087455">
      <w:pPr>
        <w:pStyle w:val="BodyText"/>
      </w:pPr>
      <w:r>
        <w:t>Food</w:t>
      </w:r>
      <w:r w:rsidR="00A421D1">
        <w:t xml:space="preserve"> and </w:t>
      </w:r>
      <w:r>
        <w:t>beverage</w:t>
      </w:r>
      <w:r w:rsidR="00A421D1">
        <w:t>s</w:t>
      </w:r>
      <w:r w:rsidR="00087455" w:rsidRPr="00517713">
        <w:t xml:space="preserve"> </w:t>
      </w:r>
      <w:r w:rsidR="00517713" w:rsidRPr="00517713">
        <w:t>ha</w:t>
      </w:r>
      <w:r w:rsidR="000A3E98">
        <w:t>d</w:t>
      </w:r>
      <w:r w:rsidR="00517713" w:rsidRPr="00517713">
        <w:t xml:space="preserve"> a </w:t>
      </w:r>
      <w:r w:rsidR="00D27967">
        <w:t xml:space="preserve">slightly </w:t>
      </w:r>
      <w:r w:rsidR="00517713" w:rsidRPr="00517713">
        <w:t>negative rate of MFP growth over cycle 3 (</w:t>
      </w:r>
      <w:r w:rsidR="002654B7">
        <w:noBreakHyphen/>
      </w:r>
      <w:r w:rsidR="00517713" w:rsidRPr="00517713">
        <w:t>0.</w:t>
      </w:r>
      <w:r w:rsidR="002654B7" w:rsidRPr="00517713">
        <w:t>5</w:t>
      </w:r>
      <w:r w:rsidR="002654B7">
        <w:t> </w:t>
      </w:r>
      <w:r w:rsidR="00517713" w:rsidRPr="00517713">
        <w:t>per cent a year</w:t>
      </w:r>
      <w:r w:rsidR="000A737D">
        <w:t xml:space="preserve"> on average</w:t>
      </w:r>
      <w:r w:rsidR="00517713" w:rsidRPr="00517713">
        <w:t xml:space="preserve">) — associated with </w:t>
      </w:r>
      <w:r w:rsidR="009A0CA3">
        <w:t xml:space="preserve">value added growth </w:t>
      </w:r>
      <w:r w:rsidR="00E93DE5">
        <w:t xml:space="preserve">being </w:t>
      </w:r>
      <w:r w:rsidR="00D27967">
        <w:t>lower</w:t>
      </w:r>
      <w:r w:rsidR="009A0CA3">
        <w:t xml:space="preserve"> than </w:t>
      </w:r>
      <w:r w:rsidR="00E03E87">
        <w:t>capital services</w:t>
      </w:r>
      <w:r w:rsidR="00E93DE5">
        <w:t xml:space="preserve"> growth (</w:t>
      </w:r>
      <w:r w:rsidR="00E03E87">
        <w:t xml:space="preserve">which was only partially offset by </w:t>
      </w:r>
      <w:r w:rsidR="00E93DE5">
        <w:t xml:space="preserve">a small </w:t>
      </w:r>
      <w:r w:rsidR="009A0CA3">
        <w:t>decline in hours worked)</w:t>
      </w:r>
      <w:r w:rsidR="00517713" w:rsidRPr="00517713">
        <w:t xml:space="preserve"> (figure </w:t>
      </w:r>
      <w:r w:rsidR="00E93DE5">
        <w:t>8</w:t>
      </w:r>
      <w:r w:rsidR="00517713" w:rsidRPr="00517713">
        <w:t>)</w:t>
      </w:r>
      <w:r w:rsidR="00517713">
        <w:t>. But</w:t>
      </w:r>
      <w:r w:rsidR="00D27967">
        <w:t>,</w:t>
      </w:r>
      <w:r w:rsidR="00517713">
        <w:t xml:space="preserve"> over cycle 4</w:t>
      </w:r>
      <w:r w:rsidR="00D27967">
        <w:t>,</w:t>
      </w:r>
      <w:r w:rsidR="00517713">
        <w:t xml:space="preserve"> the rate of </w:t>
      </w:r>
      <w:r w:rsidR="00755B96">
        <w:t xml:space="preserve">MFP </w:t>
      </w:r>
      <w:r w:rsidR="00517713">
        <w:t xml:space="preserve">decline </w:t>
      </w:r>
      <w:r w:rsidR="00D27967">
        <w:t>accelerated</w:t>
      </w:r>
      <w:r w:rsidR="00517713">
        <w:t xml:space="preserve"> (</w:t>
      </w:r>
      <w:r w:rsidR="00755B96">
        <w:noBreakHyphen/>
      </w:r>
      <w:r w:rsidR="00517713">
        <w:t>4.2 per cent a year)</w:t>
      </w:r>
      <w:r w:rsidR="00AC6EEB">
        <w:t xml:space="preserve">. This was </w:t>
      </w:r>
      <w:r w:rsidR="00517713">
        <w:t xml:space="preserve">driven by </w:t>
      </w:r>
      <w:r w:rsidR="00E93DE5">
        <w:t xml:space="preserve">value added growth slowing to almost zero and </w:t>
      </w:r>
      <w:r w:rsidR="00517713">
        <w:t>strong growth in hours worked</w:t>
      </w:r>
      <w:r w:rsidR="00CB6A75">
        <w:t xml:space="preserve"> </w:t>
      </w:r>
      <w:r w:rsidR="00AC6EEB">
        <w:t>(</w:t>
      </w:r>
      <w:r w:rsidR="00E03E87">
        <w:t xml:space="preserve">more than </w:t>
      </w:r>
      <w:r w:rsidR="00CB6A75">
        <w:t xml:space="preserve">reversing the </w:t>
      </w:r>
      <w:r w:rsidR="00E03E87">
        <w:t xml:space="preserve">small </w:t>
      </w:r>
      <w:r w:rsidR="00CB6A75">
        <w:t>fall over cycle</w:t>
      </w:r>
      <w:r w:rsidR="00B97592">
        <w:t> </w:t>
      </w:r>
      <w:r w:rsidR="00CB6A75">
        <w:t>3</w:t>
      </w:r>
      <w:r w:rsidR="00AC6EEB">
        <w:t>)</w:t>
      </w:r>
      <w:r w:rsidR="00517713">
        <w:t>.</w:t>
      </w:r>
      <w:r w:rsidR="00CB6A75">
        <w:t xml:space="preserve"> </w:t>
      </w:r>
    </w:p>
    <w:p w:rsidR="0020111D" w:rsidRPr="00CB6A75" w:rsidRDefault="0020111D" w:rsidP="0020111D">
      <w:pPr>
        <w:pStyle w:val="FigureTitle"/>
      </w:pPr>
      <w:r w:rsidRPr="00CB6A75">
        <w:rPr>
          <w:b w:val="0"/>
        </w:rPr>
        <w:t xml:space="preserve">Figure </w:t>
      </w:r>
      <w:bookmarkStart w:id="14" w:name="OLE_LINK6"/>
      <w:r w:rsidR="00C43488">
        <w:rPr>
          <w:b w:val="0"/>
          <w:noProof/>
        </w:rPr>
        <w:t>8</w:t>
      </w:r>
      <w:bookmarkEnd w:id="14"/>
      <w:r w:rsidRPr="00CB6A75">
        <w:tab/>
      </w:r>
      <w:r w:rsidR="002766F3">
        <w:t>Food</w:t>
      </w:r>
      <w:r w:rsidR="00A421D1">
        <w:t xml:space="preserve"> and </w:t>
      </w:r>
      <w:r w:rsidR="002766F3">
        <w:t>beverage</w:t>
      </w:r>
      <w:r w:rsidR="00A421D1">
        <w:t>s</w:t>
      </w:r>
      <w:r w:rsidR="002766F3">
        <w:t>:</w:t>
      </w:r>
      <w:r w:rsidR="002766F3" w:rsidRPr="00CB6A75">
        <w:t xml:space="preserve"> </w:t>
      </w:r>
      <w:r w:rsidR="002766F3">
        <w:t>p</w:t>
      </w:r>
      <w:r w:rsidR="002766F3" w:rsidRPr="00CB6A75">
        <w:t xml:space="preserve">roximate </w:t>
      </w:r>
      <w:r w:rsidRPr="00CB6A75">
        <w:t>causes of MFP growth in cycles 3 and 4</w:t>
      </w:r>
    </w:p>
    <w:p w:rsidR="0020111D" w:rsidRPr="00CB6A75" w:rsidRDefault="0027796D" w:rsidP="0020111D">
      <w:pPr>
        <w:pStyle w:val="Subtitle"/>
      </w:pPr>
      <w:r>
        <w:t>A</w:t>
      </w:r>
      <w:r w:rsidRPr="00E4474D">
        <w:t xml:space="preserve">verage annual </w:t>
      </w:r>
      <w:r>
        <w:t xml:space="preserve">growth </w:t>
      </w:r>
      <w:r w:rsidRPr="00E4474D">
        <w:t>rate</w:t>
      </w:r>
      <w:r>
        <w:t xml:space="preserve"> (</w:t>
      </w:r>
      <w:r w:rsidRPr="00E4474D">
        <w:t>per cent</w:t>
      </w:r>
      <w: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0111D" w:rsidRPr="00CB6A75" w:rsidTr="00906934">
        <w:tc>
          <w:tcPr>
            <w:tcW w:w="8777" w:type="dxa"/>
          </w:tcPr>
          <w:p w:rsidR="0020111D" w:rsidRPr="00CB6A75" w:rsidRDefault="009C08B7" w:rsidP="008C0F06">
            <w:pPr>
              <w:pStyle w:val="Figure"/>
            </w:pPr>
            <w:r>
              <w:pict>
                <v:shape id="_x0000_i1035" type="#_x0000_t75" alt="This figure shows the rate of growth in each of the proximate causes (value added, weighted hours worked and weighted capital services) and resulting rate of growth in Food and beverages MFP for cycles 3 and 4, and the difference between these cycles. A significant increase in hours worked at the same time of a slowdown in growth in VA and capital services growth led to the considerable decline in MFP growth between cycles 3 and 4." style="width:424.45pt;height:198.4pt;mso-position-vertical:absolute">
                  <v:imagedata r:id="rId19" o:title=""/>
                </v:shape>
              </w:pict>
            </w:r>
          </w:p>
        </w:tc>
      </w:tr>
    </w:tbl>
    <w:p w:rsidR="00CB6A75" w:rsidRPr="00CB6A75" w:rsidRDefault="00AF0DE3" w:rsidP="00CB6A75">
      <w:pPr>
        <w:pStyle w:val="Heading5"/>
      </w:pPr>
      <w:r>
        <w:t>Slower</w:t>
      </w:r>
      <w:r w:rsidR="00CB6A75">
        <w:t xml:space="preserve"> </w:t>
      </w:r>
      <w:r w:rsidR="00E00D52">
        <w:t xml:space="preserve">value added </w:t>
      </w:r>
      <w:r w:rsidR="00B54B01">
        <w:t xml:space="preserve">growth, with declining </w:t>
      </w:r>
      <w:r w:rsidR="00EE4E8D">
        <w:t xml:space="preserve">net exports of </w:t>
      </w:r>
      <w:r w:rsidR="00EE7BF2">
        <w:t xml:space="preserve">food and beverage </w:t>
      </w:r>
      <w:r w:rsidR="00EE4E8D">
        <w:t>products</w:t>
      </w:r>
      <w:r w:rsidR="00B54B01">
        <w:t xml:space="preserve"> and change in the composition of </w:t>
      </w:r>
      <w:r w:rsidR="00DA1D9A">
        <w:t>value added</w:t>
      </w:r>
      <w:r w:rsidR="00B54B01">
        <w:t xml:space="preserve"> </w:t>
      </w:r>
    </w:p>
    <w:p w:rsidR="00E00D52" w:rsidRPr="001449B4" w:rsidRDefault="006F55EF" w:rsidP="00F067F5">
      <w:pPr>
        <w:pStyle w:val="BodyText"/>
        <w:keepNext/>
        <w:rPr>
          <w:i/>
        </w:rPr>
      </w:pPr>
      <w:r>
        <w:t>D</w:t>
      </w:r>
      <w:r w:rsidR="00673CB3">
        <w:t xml:space="preserve">uring </w:t>
      </w:r>
      <w:r w:rsidR="00E00D52">
        <w:t>cycle 4</w:t>
      </w:r>
      <w:r w:rsidR="008F1F99">
        <w:t>,</w:t>
      </w:r>
      <w:r w:rsidR="00673CB3" w:rsidRPr="00673CB3">
        <w:t xml:space="preserve"> </w:t>
      </w:r>
      <w:r w:rsidR="0089431D">
        <w:t>there was a slowdown in value added growth</w:t>
      </w:r>
      <w:r w:rsidR="00006D4A">
        <w:t xml:space="preserve"> for </w:t>
      </w:r>
      <w:r w:rsidR="00EE7BF2">
        <w:t>Food</w:t>
      </w:r>
      <w:r w:rsidR="00A421D1">
        <w:t xml:space="preserve"> and </w:t>
      </w:r>
      <w:r w:rsidR="00EE7BF2">
        <w:t>beverage</w:t>
      </w:r>
      <w:r w:rsidR="00A421D1">
        <w:t>s</w:t>
      </w:r>
      <w:r w:rsidR="00EE7BF2">
        <w:t xml:space="preserve"> </w:t>
      </w:r>
      <w:r w:rsidR="00006D4A">
        <w:t>in total</w:t>
      </w:r>
      <w:r w:rsidR="00BA0082">
        <w:t xml:space="preserve"> and </w:t>
      </w:r>
      <w:r w:rsidR="00B730D8">
        <w:t xml:space="preserve">absolute declines for </w:t>
      </w:r>
      <w:r w:rsidR="00BA0082">
        <w:t xml:space="preserve">some products. </w:t>
      </w:r>
      <w:r w:rsidR="003B777B">
        <w:t xml:space="preserve">There was a decline in exports and </w:t>
      </w:r>
      <w:r w:rsidR="00D15AC5">
        <w:t xml:space="preserve">loss of domestic market share for </w:t>
      </w:r>
      <w:r w:rsidR="008D477C">
        <w:t xml:space="preserve">some </w:t>
      </w:r>
      <w:r w:rsidR="00EE7BF2">
        <w:t xml:space="preserve">food and beverage </w:t>
      </w:r>
      <w:r w:rsidR="00D15AC5">
        <w:t>products</w:t>
      </w:r>
      <w:r w:rsidR="00D27967">
        <w:t>,</w:t>
      </w:r>
      <w:r w:rsidR="00D15AC5">
        <w:t xml:space="preserve"> reflecting</w:t>
      </w:r>
      <w:r w:rsidR="00BA0082">
        <w:t xml:space="preserve"> input cost pressures</w:t>
      </w:r>
      <w:r w:rsidR="00D15AC5">
        <w:t>,</w:t>
      </w:r>
      <w:r w:rsidR="00BA0082">
        <w:t xml:space="preserve"> the appreciation of the Australian dollar</w:t>
      </w:r>
      <w:r w:rsidR="003B777B">
        <w:t xml:space="preserve"> and</w:t>
      </w:r>
      <w:r w:rsidR="00D15AC5">
        <w:t>,</w:t>
      </w:r>
      <w:r w:rsidR="003B777B">
        <w:t xml:space="preserve"> </w:t>
      </w:r>
      <w:r w:rsidR="008D477C">
        <w:t>in some cases</w:t>
      </w:r>
      <w:r w:rsidR="00D15AC5">
        <w:t xml:space="preserve">, severe weather events including </w:t>
      </w:r>
      <w:r w:rsidR="009B1442">
        <w:t>drought</w:t>
      </w:r>
      <w:r w:rsidR="003B777B" w:rsidRPr="00B710DB">
        <w:t>.</w:t>
      </w:r>
      <w:r w:rsidR="009B1442" w:rsidRPr="00B710DB">
        <w:t xml:space="preserve"> </w:t>
      </w:r>
      <w:r w:rsidR="00003898" w:rsidRPr="00B710DB">
        <w:t>As noted above</w:t>
      </w:r>
      <w:r w:rsidR="00F25746">
        <w:t xml:space="preserve"> for Polymers</w:t>
      </w:r>
      <w:r w:rsidR="00003898" w:rsidRPr="00B710DB">
        <w:t xml:space="preserve">, </w:t>
      </w:r>
      <w:r w:rsidR="001449B4" w:rsidRPr="00B710DB">
        <w:t xml:space="preserve">in the </w:t>
      </w:r>
      <w:r w:rsidR="001449B4" w:rsidRPr="00B710DB">
        <w:lastRenderedPageBreak/>
        <w:t>short run</w:t>
      </w:r>
      <w:r w:rsidR="00D27967">
        <w:t>,</w:t>
      </w:r>
      <w:r w:rsidR="001449B4" w:rsidRPr="00B710DB">
        <w:t xml:space="preserve"> the effect on </w:t>
      </w:r>
      <w:r w:rsidR="001449B4" w:rsidRPr="00B710DB">
        <w:rPr>
          <w:i/>
        </w:rPr>
        <w:t xml:space="preserve">measured </w:t>
      </w:r>
      <w:r w:rsidR="001449B4" w:rsidRPr="00B710DB">
        <w:t xml:space="preserve">productivity </w:t>
      </w:r>
      <w:r w:rsidR="00D27967">
        <w:t xml:space="preserve">of adjusting to lower </w:t>
      </w:r>
      <w:r w:rsidR="00ED439B">
        <w:t>levels of</w:t>
      </w:r>
      <w:r w:rsidR="0038631F">
        <w:t xml:space="preserve"> </w:t>
      </w:r>
      <w:r w:rsidR="00D27967">
        <w:t>output</w:t>
      </w:r>
      <w:r w:rsidR="007A5878">
        <w:t xml:space="preserve"> </w:t>
      </w:r>
      <w:r w:rsidR="00ED439B">
        <w:t xml:space="preserve">of some products </w:t>
      </w:r>
      <w:r w:rsidR="001449B4" w:rsidRPr="00B710DB">
        <w:t>may be negative.</w:t>
      </w:r>
      <w:r w:rsidR="001449B4" w:rsidRPr="00B710DB">
        <w:rPr>
          <w:i/>
        </w:rPr>
        <w:t xml:space="preserve"> </w:t>
      </w:r>
    </w:p>
    <w:p w:rsidR="00E00D52" w:rsidRDefault="00C87D2B" w:rsidP="00087455">
      <w:pPr>
        <w:pStyle w:val="BodyText"/>
      </w:pPr>
      <w:r w:rsidRPr="00CB6A75">
        <w:t xml:space="preserve">The slowdown in </w:t>
      </w:r>
      <w:r w:rsidR="002F20DD">
        <w:t>value added</w:t>
      </w:r>
      <w:r w:rsidRPr="00CB6A75">
        <w:t xml:space="preserve"> growth was most noticeable in </w:t>
      </w:r>
      <w:r>
        <w:t>Beverages and tobacco</w:t>
      </w:r>
      <w:r w:rsidRPr="00CB6A75">
        <w:t xml:space="preserve"> manufacturing — which grew over cycle 3 but declined in absolute terms over cycle 4. </w:t>
      </w:r>
      <w:r w:rsidR="00E00D52">
        <w:t>Wine</w:t>
      </w:r>
      <w:r w:rsidR="003C5F33">
        <w:t xml:space="preserve"> manufacturing, in particular, appears likely to have been a significant contributor to </w:t>
      </w:r>
      <w:r>
        <w:t>this change</w:t>
      </w:r>
      <w:r w:rsidR="003C5F33">
        <w:t xml:space="preserve">. </w:t>
      </w:r>
      <w:r w:rsidR="008F1F99">
        <w:t>T</w:t>
      </w:r>
      <w:r w:rsidR="00072956">
        <w:t xml:space="preserve">he amount of value adding per unit of output may have declined with </w:t>
      </w:r>
      <w:r w:rsidR="003C5F33">
        <w:t xml:space="preserve">a shift to </w:t>
      </w:r>
      <w:r w:rsidR="00DA1D9A">
        <w:t>a greater volume of</w:t>
      </w:r>
      <w:r w:rsidR="003C5F33">
        <w:t xml:space="preserve"> bulk (rather than bottled) production in response to </w:t>
      </w:r>
      <w:r w:rsidR="00072956">
        <w:t>global market conditions</w:t>
      </w:r>
      <w:r>
        <w:t>.</w:t>
      </w:r>
      <w:r w:rsidR="003C5F33">
        <w:t xml:space="preserve"> </w:t>
      </w:r>
      <w:r w:rsidR="008F1F99">
        <w:t xml:space="preserve">The drought in 2006 also led to some decline in </w:t>
      </w:r>
      <w:r w:rsidR="00B730D8">
        <w:t xml:space="preserve">grape production and </w:t>
      </w:r>
      <w:r w:rsidR="008F1F99">
        <w:t>wine output.</w:t>
      </w:r>
    </w:p>
    <w:p w:rsidR="00663C4F" w:rsidRDefault="00663C4F" w:rsidP="003C47F3">
      <w:pPr>
        <w:pStyle w:val="BodyText"/>
        <w:keepNext/>
        <w:keepLines/>
      </w:pPr>
      <w:r>
        <w:t>T</w:t>
      </w:r>
      <w:r w:rsidR="00E00D52">
        <w:t xml:space="preserve">here </w:t>
      </w:r>
      <w:r w:rsidR="008D477C">
        <w:t xml:space="preserve">have </w:t>
      </w:r>
      <w:r>
        <w:t xml:space="preserve">also </w:t>
      </w:r>
      <w:r w:rsidR="00E00D52">
        <w:t>been change</w:t>
      </w:r>
      <w:r w:rsidR="008D477C">
        <w:t>s</w:t>
      </w:r>
      <w:r w:rsidR="00E00D52">
        <w:t xml:space="preserve"> in </w:t>
      </w:r>
      <w:r>
        <w:t xml:space="preserve">the </w:t>
      </w:r>
      <w:r w:rsidR="00E00D52">
        <w:t xml:space="preserve">composition of output produced by Australian </w:t>
      </w:r>
      <w:r w:rsidR="005876A5">
        <w:t>food and</w:t>
      </w:r>
      <w:r w:rsidR="00EE7BF2">
        <w:t xml:space="preserve"> beverage </w:t>
      </w:r>
      <w:r w:rsidR="00E00D52">
        <w:t>manufacturers in response to changing consumer preferences</w:t>
      </w:r>
      <w:r w:rsidR="00B730D8">
        <w:t>. Those preferences</w:t>
      </w:r>
      <w:r w:rsidR="00E00D52">
        <w:t xml:space="preserve"> relate to </w:t>
      </w:r>
      <w:r w:rsidR="008D477C">
        <w:t xml:space="preserve">such factors as </w:t>
      </w:r>
      <w:r w:rsidR="00E00D52">
        <w:t xml:space="preserve">health </w:t>
      </w:r>
      <w:r w:rsidR="008F1F99">
        <w:t>considerations</w:t>
      </w:r>
      <w:r w:rsidR="00E00D52">
        <w:t xml:space="preserve">, quality, value, diversity and convenience. </w:t>
      </w:r>
      <w:r w:rsidR="00B730D8">
        <w:t xml:space="preserve">Estimates </w:t>
      </w:r>
      <w:r>
        <w:t xml:space="preserve">of </w:t>
      </w:r>
      <w:r w:rsidR="002F20DD">
        <w:t>value added</w:t>
      </w:r>
      <w:r>
        <w:t xml:space="preserve"> growth may be understated given the challenges of measuring improvements in </w:t>
      </w:r>
      <w:r w:rsidR="00B730D8">
        <w:t>such factors as the</w:t>
      </w:r>
      <w:r w:rsidR="008F1F99">
        <w:t xml:space="preserve"> </w:t>
      </w:r>
      <w:r>
        <w:t>quality</w:t>
      </w:r>
      <w:r w:rsidR="008F1F99">
        <w:t xml:space="preserve"> and convenience</w:t>
      </w:r>
      <w:r w:rsidR="00B730D8">
        <w:t xml:space="preserve"> of some outputs</w:t>
      </w:r>
      <w:r>
        <w:t xml:space="preserve">. </w:t>
      </w:r>
    </w:p>
    <w:p w:rsidR="00AF0DE3" w:rsidRDefault="00B730D8" w:rsidP="005B5CE8">
      <w:pPr>
        <w:pStyle w:val="Heading5"/>
      </w:pPr>
      <w:r>
        <w:t>D</w:t>
      </w:r>
      <w:r w:rsidR="00AF0DE3">
        <w:t>ifferent processes</w:t>
      </w:r>
      <w:r w:rsidR="00691401">
        <w:t xml:space="preserve"> and higher input intensity</w:t>
      </w:r>
    </w:p>
    <w:p w:rsidR="007C0E57" w:rsidRDefault="00AF0DE3" w:rsidP="007C0E57">
      <w:pPr>
        <w:pStyle w:val="BodyText"/>
      </w:pPr>
      <w:r>
        <w:t xml:space="preserve">Change in the composition of output of </w:t>
      </w:r>
      <w:r w:rsidR="00EE7BF2">
        <w:t>Food</w:t>
      </w:r>
      <w:r w:rsidR="00A421D1">
        <w:t xml:space="preserve"> and </w:t>
      </w:r>
      <w:r w:rsidR="00EE7BF2">
        <w:t>beverage</w:t>
      </w:r>
      <w:r w:rsidR="00A421D1">
        <w:t>s</w:t>
      </w:r>
      <w:r>
        <w:t xml:space="preserve"> may also affect </w:t>
      </w:r>
      <w:r w:rsidR="00C6472F">
        <w:t>the scale of production, the type of capital required and the labour intensity of production. F</w:t>
      </w:r>
      <w:r>
        <w:t xml:space="preserve">or example, ‘boutique’ production, such as </w:t>
      </w:r>
      <w:r w:rsidR="008D477C">
        <w:t xml:space="preserve">for </w:t>
      </w:r>
      <w:r>
        <w:t xml:space="preserve">artisan bakery products and craft beer, </w:t>
      </w:r>
      <w:r w:rsidR="007F08CC">
        <w:t xml:space="preserve">does </w:t>
      </w:r>
      <w:r>
        <w:t xml:space="preserve">not have the economies of scale of large factory production. </w:t>
      </w:r>
    </w:p>
    <w:p w:rsidR="00B730D8" w:rsidRDefault="00B730D8" w:rsidP="00B730D8">
      <w:pPr>
        <w:pStyle w:val="BodyText"/>
      </w:pPr>
      <w:r>
        <w:t xml:space="preserve">Within Bakery product manufacturing, </w:t>
      </w:r>
      <w:r w:rsidR="00E01D25">
        <w:t xml:space="preserve">for example, </w:t>
      </w:r>
      <w:r>
        <w:t xml:space="preserve">the growth of non-factory bakeries (such as hot bread shops) appears to have led to more labour intensive, smaller scale production with </w:t>
      </w:r>
      <w:r w:rsidRPr="0008480B">
        <w:t xml:space="preserve">different capital </w:t>
      </w:r>
      <w:r>
        <w:t xml:space="preserve">requirements. The strong growth in hours worked in Bakery product manufacturing (which made a significant contribution to </w:t>
      </w:r>
      <w:r w:rsidR="00D8455C">
        <w:t xml:space="preserve">hours worked </w:t>
      </w:r>
      <w:r>
        <w:t xml:space="preserve">growth for </w:t>
      </w:r>
      <w:r w:rsidR="008D477C">
        <w:t xml:space="preserve">the </w:t>
      </w:r>
      <w:r w:rsidR="00D8455C">
        <w:t>subsector as a whole</w:t>
      </w:r>
      <w:r>
        <w:t xml:space="preserve">) is consistent with such a shift in the composition of Bakery output. </w:t>
      </w:r>
    </w:p>
    <w:p w:rsidR="007A6AA5" w:rsidRDefault="00B730D8" w:rsidP="007C0E57">
      <w:pPr>
        <w:pStyle w:val="BodyText"/>
      </w:pPr>
      <w:r>
        <w:t xml:space="preserve">The limitations of </w:t>
      </w:r>
      <w:r w:rsidR="00E31952">
        <w:t>available data</w:t>
      </w:r>
      <w:r>
        <w:t xml:space="preserve"> make it difficult to be more definitive about</w:t>
      </w:r>
      <w:r w:rsidR="00E31952">
        <w:t xml:space="preserve"> the extent to which changes </w:t>
      </w:r>
      <w:r w:rsidR="001D3A76">
        <w:t xml:space="preserve">in the composition of output </w:t>
      </w:r>
      <w:r w:rsidR="00E31952">
        <w:t xml:space="preserve">may have reduced MFP growth in </w:t>
      </w:r>
      <w:r w:rsidR="008D477C">
        <w:t xml:space="preserve">the </w:t>
      </w:r>
      <w:r w:rsidR="00EE7BF2">
        <w:t>Food</w:t>
      </w:r>
      <w:r w:rsidR="008D477C">
        <w:t xml:space="preserve"> and</w:t>
      </w:r>
      <w:r w:rsidR="00EE7BF2">
        <w:t xml:space="preserve"> beverage</w:t>
      </w:r>
      <w:r w:rsidR="008D477C">
        <w:t>s</w:t>
      </w:r>
      <w:r w:rsidR="00E31952">
        <w:t xml:space="preserve"> </w:t>
      </w:r>
      <w:r w:rsidR="008D477C">
        <w:t xml:space="preserve">subsector </w:t>
      </w:r>
      <w:r w:rsidR="00E31952">
        <w:t xml:space="preserve">over cycle 4, compared with </w:t>
      </w:r>
      <w:r w:rsidR="0006051C">
        <w:t>cycle </w:t>
      </w:r>
      <w:r w:rsidR="00E31952">
        <w:t xml:space="preserve">3. </w:t>
      </w:r>
    </w:p>
    <w:p w:rsidR="0020111D" w:rsidRPr="0088445E" w:rsidRDefault="00B730D8" w:rsidP="0020111D">
      <w:pPr>
        <w:pStyle w:val="Heading5"/>
      </w:pPr>
      <w:r>
        <w:t>Broader input</w:t>
      </w:r>
      <w:r w:rsidR="0088445E">
        <w:t xml:space="preserve"> </w:t>
      </w:r>
      <w:r w:rsidR="0020111D" w:rsidRPr="0088445E">
        <w:t xml:space="preserve">measurement challenges </w:t>
      </w:r>
    </w:p>
    <w:p w:rsidR="00087455" w:rsidRDefault="00B730D8" w:rsidP="00764A8C">
      <w:pPr>
        <w:pStyle w:val="BodyText"/>
      </w:pPr>
      <w:r w:rsidRPr="008D477C">
        <w:t>T</w:t>
      </w:r>
      <w:r w:rsidR="00B4576E" w:rsidRPr="008D477C">
        <w:t xml:space="preserve">he decline </w:t>
      </w:r>
      <w:r w:rsidRPr="008D477C">
        <w:t xml:space="preserve">in MFP for </w:t>
      </w:r>
      <w:r w:rsidR="008D477C" w:rsidRPr="008D477C">
        <w:t>this subsector</w:t>
      </w:r>
      <w:r w:rsidRPr="008D477C">
        <w:t xml:space="preserve"> </w:t>
      </w:r>
      <w:r w:rsidR="00B4576E" w:rsidRPr="008D477C">
        <w:t xml:space="preserve">may </w:t>
      </w:r>
      <w:r w:rsidRPr="008D477C">
        <w:t xml:space="preserve">also </w:t>
      </w:r>
      <w:r w:rsidR="00B4576E" w:rsidRPr="008D477C">
        <w:t xml:space="preserve">be overstated because of the challenges in measuring inputs. </w:t>
      </w:r>
      <w:r w:rsidR="00E673F3" w:rsidRPr="008D477C">
        <w:t>T</w:t>
      </w:r>
      <w:r w:rsidR="00131524" w:rsidRPr="008D477C">
        <w:t xml:space="preserve">he comparability </w:t>
      </w:r>
      <w:r w:rsidR="009E2EB1" w:rsidRPr="008D477C">
        <w:t xml:space="preserve">over time </w:t>
      </w:r>
      <w:r w:rsidR="00131524" w:rsidRPr="008D477C">
        <w:t xml:space="preserve">of labour input measures </w:t>
      </w:r>
      <w:r w:rsidR="009E2EB1" w:rsidRPr="008D477C">
        <w:t>for Food</w:t>
      </w:r>
      <w:r w:rsidR="00A421D1" w:rsidRPr="008D477C">
        <w:t xml:space="preserve"> and </w:t>
      </w:r>
      <w:r w:rsidR="009E2EB1" w:rsidRPr="008D477C">
        <w:t>beverage</w:t>
      </w:r>
      <w:r w:rsidR="00A421D1" w:rsidRPr="008D477C">
        <w:t>s</w:t>
      </w:r>
      <w:r w:rsidR="009E2EB1" w:rsidRPr="008D477C">
        <w:t xml:space="preserve"> </w:t>
      </w:r>
      <w:r w:rsidR="00131524" w:rsidRPr="008D477C">
        <w:t>may have been reduced by changes i</w:t>
      </w:r>
      <w:r w:rsidR="00CC0F32" w:rsidRPr="008D477C">
        <w:t xml:space="preserve">n survey methodology and </w:t>
      </w:r>
      <w:r w:rsidR="00131524" w:rsidRPr="008D477C">
        <w:t xml:space="preserve">industry </w:t>
      </w:r>
      <w:r w:rsidR="00CC0F32" w:rsidRPr="008D477C">
        <w:t>classification</w:t>
      </w:r>
      <w:r w:rsidR="00131524" w:rsidRPr="008D477C">
        <w:t xml:space="preserve">s. </w:t>
      </w:r>
      <w:r w:rsidR="00830DFA" w:rsidRPr="008D477C">
        <w:t xml:space="preserve">In addition, changes in the composition of </w:t>
      </w:r>
      <w:r w:rsidR="00830DFA" w:rsidRPr="008D477C">
        <w:lastRenderedPageBreak/>
        <w:t>production that have altered capital requirements may have led to the early retirement of existing capital (that remains ‘on the books’ in statistical terms) or increased underutilised capacity. This may be part of the explanation for a larger decline in output growth than in capital growth between cycles 3 and 4.</w:t>
      </w:r>
      <w:r w:rsidR="00830DFA" w:rsidRPr="00941CC1">
        <w:t xml:space="preserve"> </w:t>
      </w:r>
    </w:p>
    <w:p w:rsidR="00083A78" w:rsidRDefault="00EE7BF2" w:rsidP="00C51E05">
      <w:pPr>
        <w:pStyle w:val="Heading4"/>
      </w:pPr>
      <w:r>
        <w:t>Metal products</w:t>
      </w:r>
      <w:r w:rsidR="001735BA">
        <w:t xml:space="preserve"> subsector </w:t>
      </w:r>
      <w:r w:rsidR="00A31F32">
        <w:t xml:space="preserve">contributed </w:t>
      </w:r>
      <w:r w:rsidR="001735BA">
        <w:t xml:space="preserve">to the decline in </w:t>
      </w:r>
      <w:r w:rsidR="00D235CA">
        <w:t xml:space="preserve">Manufacturing </w:t>
      </w:r>
      <w:r w:rsidR="001735BA">
        <w:t xml:space="preserve">MFP </w:t>
      </w:r>
      <w:r w:rsidR="008D477C">
        <w:t>even though its</w:t>
      </w:r>
      <w:r w:rsidR="00AB08A2">
        <w:t xml:space="preserve"> </w:t>
      </w:r>
      <w:r w:rsidR="002F20DD">
        <w:t>value added</w:t>
      </w:r>
      <w:r w:rsidR="00AB08A2">
        <w:t xml:space="preserve"> growth</w:t>
      </w:r>
      <w:r w:rsidR="008D477C">
        <w:t xml:space="preserve"> strengthened</w:t>
      </w:r>
    </w:p>
    <w:p w:rsidR="00083A78" w:rsidRDefault="00083A78" w:rsidP="00083A78">
      <w:pPr>
        <w:pStyle w:val="BodyText"/>
      </w:pPr>
      <w:r>
        <w:t xml:space="preserve">The </w:t>
      </w:r>
      <w:r w:rsidR="00EE7BF2">
        <w:t>Metal products</w:t>
      </w:r>
      <w:r>
        <w:t xml:space="preserve"> subsector </w:t>
      </w:r>
      <w:r w:rsidR="005F37ED">
        <w:t>has</w:t>
      </w:r>
      <w:r>
        <w:t xml:space="preserve"> two subdivisions</w:t>
      </w:r>
      <w:r w:rsidR="005F37ED">
        <w:t xml:space="preserve"> —</w:t>
      </w:r>
      <w:r>
        <w:t xml:space="preserve"> Primary metals</w:t>
      </w:r>
      <w:r w:rsidR="00A97442">
        <w:t xml:space="preserve"> (</w:t>
      </w:r>
      <w:r>
        <w:t>which include</w:t>
      </w:r>
      <w:r w:rsidR="005D0F3B">
        <w:t>s</w:t>
      </w:r>
      <w:r>
        <w:t xml:space="preserve"> the manufacture of basic steel, alumina</w:t>
      </w:r>
      <w:r w:rsidR="00C13834">
        <w:t>,</w:t>
      </w:r>
      <w:r>
        <w:t xml:space="preserve"> aluminium processing</w:t>
      </w:r>
      <w:r w:rsidR="006E2483">
        <w:t>,</w:t>
      </w:r>
      <w:r>
        <w:t xml:space="preserve"> and the smelting of other non-ferrous metals</w:t>
      </w:r>
      <w:r w:rsidR="00A97442">
        <w:t>)</w:t>
      </w:r>
      <w:r>
        <w:t xml:space="preserve"> and Fabricated metals</w:t>
      </w:r>
      <w:r w:rsidR="00A97442">
        <w:t xml:space="preserve"> (</w:t>
      </w:r>
      <w:r>
        <w:t>which include</w:t>
      </w:r>
      <w:r w:rsidR="005D0F3B">
        <w:t>s</w:t>
      </w:r>
      <w:r>
        <w:t xml:space="preserve"> the manufacture of structural metal products, metal coating</w:t>
      </w:r>
      <w:r w:rsidR="005D0F3B">
        <w:t>s and other fabricated products</w:t>
      </w:r>
      <w:r w:rsidR="00A97442">
        <w:t>)</w:t>
      </w:r>
      <w:r>
        <w:t xml:space="preserve">. </w:t>
      </w:r>
    </w:p>
    <w:p w:rsidR="000D5951" w:rsidRDefault="00EE7BF2" w:rsidP="000D5951">
      <w:pPr>
        <w:pStyle w:val="BodyText"/>
      </w:pPr>
      <w:r>
        <w:t>Metal products</w:t>
      </w:r>
      <w:r w:rsidR="005F37ED">
        <w:t xml:space="preserve"> had </w:t>
      </w:r>
      <w:r w:rsidR="000D5951">
        <w:t xml:space="preserve">a </w:t>
      </w:r>
      <w:r w:rsidR="00A372AF" w:rsidRPr="00551086">
        <w:t>positive rate of MFP growth over cycle 3 (</w:t>
      </w:r>
      <w:r w:rsidR="00A372AF">
        <w:t>1.4</w:t>
      </w:r>
      <w:r w:rsidR="00A372AF" w:rsidRPr="00551086">
        <w:t xml:space="preserve"> per cent a year</w:t>
      </w:r>
      <w:r w:rsidR="00A372AF">
        <w:t xml:space="preserve"> on average</w:t>
      </w:r>
      <w:r w:rsidR="00A372AF" w:rsidRPr="00551086">
        <w:t>)</w:t>
      </w:r>
      <w:r w:rsidR="00A372AF">
        <w:t xml:space="preserve"> which turned </w:t>
      </w:r>
      <w:r w:rsidR="000D5951" w:rsidRPr="00551086">
        <w:t>negative over cycle 4 (-</w:t>
      </w:r>
      <w:r w:rsidR="000D5951">
        <w:t>0.9</w:t>
      </w:r>
      <w:r w:rsidR="000D5951" w:rsidRPr="00551086">
        <w:t xml:space="preserve"> per cent a year) </w:t>
      </w:r>
      <w:r w:rsidR="005F37ED" w:rsidRPr="00551086">
        <w:t xml:space="preserve">(figure </w:t>
      </w:r>
      <w:r w:rsidR="005F37ED">
        <w:t>9</w:t>
      </w:r>
      <w:r w:rsidR="005F37ED" w:rsidRPr="00551086">
        <w:t xml:space="preserve">). </w:t>
      </w:r>
      <w:r w:rsidR="000D5951" w:rsidRPr="000D5951">
        <w:t xml:space="preserve">This decline in MFP was driven by very strong growth in </w:t>
      </w:r>
      <w:r w:rsidR="00A372AF">
        <w:t>capital inputs</w:t>
      </w:r>
      <w:r w:rsidR="000D5951" w:rsidRPr="000D5951">
        <w:t xml:space="preserve"> over cycle 4 and a reversal of the </w:t>
      </w:r>
      <w:r w:rsidR="008D477C">
        <w:t xml:space="preserve">decline in </w:t>
      </w:r>
      <w:r w:rsidR="000D5951" w:rsidRPr="000D5951">
        <w:t>hours worked that had occurred in cycle 3. Value added gr</w:t>
      </w:r>
      <w:r w:rsidR="000D5951">
        <w:t xml:space="preserve">owth was also stronger over cycle 4 than cycle 3, but it did not increase </w:t>
      </w:r>
      <w:r w:rsidR="000D5951" w:rsidRPr="000D5951">
        <w:t xml:space="preserve">enough to offset the pace of </w:t>
      </w:r>
      <w:r w:rsidR="000D5951">
        <w:t>input</w:t>
      </w:r>
      <w:r w:rsidR="000D5951" w:rsidRPr="000D5951">
        <w:t xml:space="preserve"> growth. </w:t>
      </w:r>
    </w:p>
    <w:p w:rsidR="000B7961" w:rsidRPr="00411605" w:rsidRDefault="000B7961" w:rsidP="000B7961">
      <w:pPr>
        <w:pStyle w:val="FigureTitle"/>
        <w:spacing w:after="40"/>
      </w:pPr>
      <w:r w:rsidRPr="00411605">
        <w:rPr>
          <w:b w:val="0"/>
        </w:rPr>
        <w:t xml:space="preserve">Figure </w:t>
      </w:r>
      <w:bookmarkStart w:id="15" w:name="OLE_LINK5"/>
      <w:r w:rsidR="00C43488">
        <w:rPr>
          <w:b w:val="0"/>
          <w:noProof/>
        </w:rPr>
        <w:t>9</w:t>
      </w:r>
      <w:bookmarkEnd w:id="15"/>
      <w:r w:rsidRPr="00411605">
        <w:tab/>
      </w:r>
      <w:r w:rsidR="002766F3">
        <w:t>Metal products:</w:t>
      </w:r>
      <w:r w:rsidR="002766F3" w:rsidRPr="00411605">
        <w:t xml:space="preserve"> </w:t>
      </w:r>
      <w:r w:rsidR="002766F3">
        <w:t>p</w:t>
      </w:r>
      <w:r w:rsidR="002766F3" w:rsidRPr="00411605">
        <w:t xml:space="preserve">roximate </w:t>
      </w:r>
      <w:r w:rsidRPr="00411605">
        <w:t>causes of MFP growth in cycles 3 and 4</w:t>
      </w:r>
    </w:p>
    <w:p w:rsidR="000B7961" w:rsidRPr="00411605" w:rsidRDefault="0027796D" w:rsidP="000B7961">
      <w:pPr>
        <w:pStyle w:val="Subtitle"/>
      </w:pPr>
      <w:r>
        <w:t>A</w:t>
      </w:r>
      <w:r w:rsidRPr="00E4474D">
        <w:t xml:space="preserve">verage annual </w:t>
      </w:r>
      <w:r>
        <w:t xml:space="preserve">growth </w:t>
      </w:r>
      <w:r w:rsidRPr="00E4474D">
        <w:t>rate</w:t>
      </w:r>
      <w:r>
        <w:t xml:space="preserve"> (</w:t>
      </w:r>
      <w:r w:rsidRPr="00E4474D">
        <w:t>per cent</w:t>
      </w:r>
      <w: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B7961" w:rsidRPr="00C23E6B" w:rsidTr="00D61E47">
        <w:tc>
          <w:tcPr>
            <w:tcW w:w="8777" w:type="dxa"/>
          </w:tcPr>
          <w:p w:rsidR="000B7961" w:rsidRPr="00411605" w:rsidRDefault="009C08B7" w:rsidP="008C0F06">
            <w:pPr>
              <w:pStyle w:val="Figure"/>
            </w:pPr>
            <w:r>
              <w:pict>
                <v:shape id="_x0000_i1036" type="#_x0000_t75" alt="This figure shows the rate of growth in each of the proximate causes (value added, weighted hours worked and weighted capital services) and resulting rate of growth in Metal products MFP for cycles 3 and 4, and the difference between these cycles. It shows that the difference the decline in the rate of MFP growth between the cycles was driven by strong growth in capital services (together with some growth in hours worked) in excess of the strong growth in value added." style="width:424.45pt;height:198.4pt;mso-position-vertical:absolute">
                  <v:imagedata r:id="rId20" o:title=""/>
                </v:shape>
              </w:pict>
            </w:r>
          </w:p>
        </w:tc>
      </w:tr>
    </w:tbl>
    <w:p w:rsidR="00D86F8A" w:rsidRDefault="00D86F8A" w:rsidP="000B7961">
      <w:pPr>
        <w:pStyle w:val="BodyText"/>
      </w:pPr>
    </w:p>
    <w:p w:rsidR="00D86F8A" w:rsidRDefault="00D86F8A" w:rsidP="00D86F8A">
      <w:pPr>
        <w:pStyle w:val="BodyText"/>
      </w:pPr>
      <w:r>
        <w:br w:type="page"/>
      </w:r>
    </w:p>
    <w:p w:rsidR="000B7961" w:rsidRDefault="00EE7BF2" w:rsidP="000B7961">
      <w:pPr>
        <w:pStyle w:val="BodyText"/>
      </w:pPr>
      <w:r>
        <w:lastRenderedPageBreak/>
        <w:t>Metal products</w:t>
      </w:r>
      <w:r w:rsidR="000B7961" w:rsidRPr="00AB08A2">
        <w:t xml:space="preserve"> was the third largest contributor to the decline in Manufacturing MFP </w:t>
      </w:r>
      <w:r w:rsidR="000B7961">
        <w:t>between</w:t>
      </w:r>
      <w:r w:rsidR="000B7961" w:rsidRPr="00AB08A2">
        <w:t xml:space="preserve"> cycle</w:t>
      </w:r>
      <w:r w:rsidR="000B7961">
        <w:t xml:space="preserve">s 3 and </w:t>
      </w:r>
      <w:r w:rsidR="000B7961" w:rsidRPr="00AB08A2">
        <w:t xml:space="preserve">4. While its contribution was not much larger than some of the </w:t>
      </w:r>
      <w:r w:rsidR="00D27967">
        <w:t>remaining</w:t>
      </w:r>
      <w:r w:rsidR="000B7961" w:rsidRPr="00AB08A2">
        <w:t xml:space="preserve"> subsectors, it is notable </w:t>
      </w:r>
      <w:r w:rsidR="000B7961">
        <w:t xml:space="preserve">that, </w:t>
      </w:r>
      <w:r w:rsidR="000B7961" w:rsidRPr="00AB08A2">
        <w:t>unlike most of the other subsectors</w:t>
      </w:r>
      <w:r w:rsidR="000B7961">
        <w:t xml:space="preserve">, its value added growth strengthened </w:t>
      </w:r>
      <w:r w:rsidR="000B7961" w:rsidRPr="00AB08A2">
        <w:t xml:space="preserve">between cycles. It was also responsible for most of the </w:t>
      </w:r>
      <w:r w:rsidR="000B7961">
        <w:t xml:space="preserve">capital </w:t>
      </w:r>
      <w:r w:rsidR="006C6F53">
        <w:t xml:space="preserve">services </w:t>
      </w:r>
      <w:r w:rsidR="000B7961" w:rsidRPr="00AB08A2">
        <w:t xml:space="preserve">growth for Manufacturing in total. </w:t>
      </w:r>
    </w:p>
    <w:p w:rsidR="000B7961" w:rsidRDefault="000B7961" w:rsidP="000B7961">
      <w:pPr>
        <w:pStyle w:val="BodyText"/>
      </w:pPr>
      <w:r w:rsidRPr="000D5951">
        <w:t xml:space="preserve">The productivity performance of the </w:t>
      </w:r>
      <w:r w:rsidR="00EE7BF2">
        <w:t>Metal products</w:t>
      </w:r>
      <w:r>
        <w:t xml:space="preserve"> </w:t>
      </w:r>
      <w:r w:rsidRPr="000D5951">
        <w:t xml:space="preserve">subsector can be explained by examining those parts of </w:t>
      </w:r>
      <w:r w:rsidR="00417927">
        <w:t>the subsector</w:t>
      </w:r>
      <w:r w:rsidRPr="000D5951">
        <w:t xml:space="preserve"> that experienced the strong </w:t>
      </w:r>
      <w:r>
        <w:t>value added</w:t>
      </w:r>
      <w:r w:rsidRPr="000D5951">
        <w:t xml:space="preserve"> growth and those that experienced the strong capital services growth.</w:t>
      </w:r>
    </w:p>
    <w:p w:rsidR="00083A78" w:rsidRDefault="00083A78" w:rsidP="008F286F">
      <w:pPr>
        <w:pStyle w:val="Heading5"/>
        <w:spacing w:before="360"/>
      </w:pPr>
      <w:r>
        <w:t xml:space="preserve">Fabricated metal products and alumina smelting experienced </w:t>
      </w:r>
      <w:r w:rsidR="004A00A4">
        <w:t xml:space="preserve">value added </w:t>
      </w:r>
      <w:r>
        <w:t>growth</w:t>
      </w:r>
    </w:p>
    <w:p w:rsidR="00083A78" w:rsidRDefault="00083A78" w:rsidP="008F286F">
      <w:pPr>
        <w:pStyle w:val="BodyText"/>
        <w:spacing w:before="120"/>
      </w:pPr>
      <w:r>
        <w:t>Most of the strong value added growth in cycle</w:t>
      </w:r>
      <w:r w:rsidR="008641F3">
        <w:t xml:space="preserve"> 4 occurred in Fabricated metal</w:t>
      </w:r>
      <w:r>
        <w:t xml:space="preserve">s, particularly those metal fabricators associated with supplying materials to the Construction and Mining </w:t>
      </w:r>
      <w:r w:rsidR="00A22AC4">
        <w:t>sectors</w:t>
      </w:r>
      <w:r>
        <w:t xml:space="preserve">. Stronger demand from these </w:t>
      </w:r>
      <w:r w:rsidR="00A22AC4">
        <w:t xml:space="preserve">sectors </w:t>
      </w:r>
      <w:r>
        <w:t xml:space="preserve">saw Fabricated metal manufacturers expand output and supply a greater share of </w:t>
      </w:r>
      <w:r w:rsidR="004A00A4">
        <w:t xml:space="preserve">their output </w:t>
      </w:r>
      <w:r>
        <w:t xml:space="preserve">to these </w:t>
      </w:r>
      <w:r w:rsidR="00A22AC4">
        <w:t>sectors</w:t>
      </w:r>
      <w:r>
        <w:t xml:space="preserve">. There was also faster growth of alumina production during cycle 4, </w:t>
      </w:r>
      <w:r w:rsidR="004A00A4">
        <w:t>as growth in</w:t>
      </w:r>
      <w:r>
        <w:t xml:space="preserve"> world demand for aluminium was strong prior to the </w:t>
      </w:r>
      <w:r w:rsidR="009E2B73">
        <w:t>global financial crisis</w:t>
      </w:r>
      <w:r>
        <w:t>.</w:t>
      </w:r>
    </w:p>
    <w:p w:rsidR="00083A78" w:rsidRDefault="00083A78" w:rsidP="006D0216">
      <w:pPr>
        <w:pStyle w:val="Heading5"/>
      </w:pPr>
      <w:r>
        <w:t xml:space="preserve">Large </w:t>
      </w:r>
      <w:r w:rsidR="008C0FAC">
        <w:t>investment to</w:t>
      </w:r>
      <w:r>
        <w:t xml:space="preserve"> expand alumina production capacity</w:t>
      </w:r>
    </w:p>
    <w:p w:rsidR="00083A78" w:rsidRDefault="00591669" w:rsidP="00083A78">
      <w:pPr>
        <w:pStyle w:val="BodyText"/>
      </w:pPr>
      <w:r>
        <w:t xml:space="preserve">Growth in capital </w:t>
      </w:r>
      <w:r w:rsidR="00EF5B35">
        <w:t xml:space="preserve">services </w:t>
      </w:r>
      <w:r>
        <w:t>accounted for around two-thirds of Metal products’ total input growth between cycles 3 and 4. P</w:t>
      </w:r>
      <w:r w:rsidR="00083A78">
        <w:t xml:space="preserve">ractically all of the investment growth </w:t>
      </w:r>
      <w:r>
        <w:t xml:space="preserve">was </w:t>
      </w:r>
      <w:r w:rsidR="00083A78">
        <w:t>in Primary metal</w:t>
      </w:r>
      <w:r w:rsidR="008641F3">
        <w:t>s</w:t>
      </w:r>
      <w:r w:rsidRPr="00591669">
        <w:t xml:space="preserve"> </w:t>
      </w:r>
      <w:r>
        <w:t xml:space="preserve">(and the bulk of that </w:t>
      </w:r>
      <w:r w:rsidR="00520B99">
        <w:t xml:space="preserve">was </w:t>
      </w:r>
      <w:r>
        <w:t>in alumina refining)</w:t>
      </w:r>
      <w:r w:rsidR="00083A78">
        <w:t xml:space="preserve">. This investment was associated with building new metal refining assets and upgrading existing ones </w:t>
      </w:r>
      <w:r w:rsidR="00D83141">
        <w:t xml:space="preserve">— </w:t>
      </w:r>
      <w:r w:rsidR="00083A78">
        <w:t xml:space="preserve">in response to higher commodity prices </w:t>
      </w:r>
      <w:r w:rsidR="004A00A4">
        <w:t xml:space="preserve">during cycle 4 </w:t>
      </w:r>
      <w:r w:rsidR="00083A78">
        <w:t xml:space="preserve">and in anticipation of strong demand in the future. There was also </w:t>
      </w:r>
      <w:r w:rsidR="00C07FB5">
        <w:t>some</w:t>
      </w:r>
      <w:r w:rsidR="006E6A3C">
        <w:t xml:space="preserve"> </w:t>
      </w:r>
      <w:r w:rsidR="00083A78">
        <w:t xml:space="preserve">investment growth in other parts of </w:t>
      </w:r>
      <w:r w:rsidR="00417927">
        <w:t>the subsector</w:t>
      </w:r>
      <w:r w:rsidR="00083A78">
        <w:t xml:space="preserve">, including other metal refining and some </w:t>
      </w:r>
      <w:r w:rsidR="008641F3">
        <w:t>f</w:t>
      </w:r>
      <w:r w:rsidR="00083A78">
        <w:t>abricated metal products.</w:t>
      </w:r>
      <w:r w:rsidR="00D20971">
        <w:t xml:space="preserve"> </w:t>
      </w:r>
      <w:r w:rsidR="00D20971" w:rsidRPr="00D20971">
        <w:t>The lag between investment and output associated with that investment led to lower measured productivity</w:t>
      </w:r>
      <w:r w:rsidR="00D20971">
        <w:t>.</w:t>
      </w:r>
    </w:p>
    <w:p w:rsidR="00083A78" w:rsidRDefault="00083A78" w:rsidP="006D0216">
      <w:pPr>
        <w:pStyle w:val="Heading5"/>
      </w:pPr>
      <w:r>
        <w:t xml:space="preserve">Hours worked </w:t>
      </w:r>
      <w:r w:rsidR="008C0FAC">
        <w:t>growth in Fabricated metals</w:t>
      </w:r>
    </w:p>
    <w:p w:rsidR="00083A78" w:rsidRPr="00C23E6B" w:rsidRDefault="00083A78" w:rsidP="00083A78">
      <w:pPr>
        <w:pStyle w:val="BodyText"/>
        <w:rPr>
          <w:b/>
        </w:rPr>
      </w:pPr>
      <w:r>
        <w:t xml:space="preserve">Growth in hours worked between the cycles accounted for the remaining third of </w:t>
      </w:r>
      <w:r w:rsidR="00A372AF">
        <w:t xml:space="preserve">the </w:t>
      </w:r>
      <w:r>
        <w:t>growth in total inputs</w:t>
      </w:r>
      <w:r w:rsidR="008C0FAC">
        <w:t>.</w:t>
      </w:r>
      <w:r>
        <w:t xml:space="preserve"> Fabricated metal</w:t>
      </w:r>
      <w:r w:rsidR="008641F3">
        <w:t>s</w:t>
      </w:r>
      <w:r w:rsidR="008C0FAC">
        <w:t xml:space="preserve">, which also had </w:t>
      </w:r>
      <w:r w:rsidR="00A372AF">
        <w:t xml:space="preserve">value added </w:t>
      </w:r>
      <w:r w:rsidR="008C0FAC">
        <w:t>growth, is</w:t>
      </w:r>
      <w:r>
        <w:t xml:space="preserve"> likely to have contributed most of this growth. This rise in the number of hours worked during cycle 4 is significant as it reverses a trend of declining hours worked for the subsector</w:t>
      </w:r>
      <w:r w:rsidR="004A00A4">
        <w:t>.</w:t>
      </w:r>
    </w:p>
    <w:p w:rsidR="00083A78" w:rsidRDefault="00083A78" w:rsidP="006D0216">
      <w:pPr>
        <w:pStyle w:val="Heading5"/>
      </w:pPr>
      <w:r>
        <w:lastRenderedPageBreak/>
        <w:t>Different parts of Metal products had different effects on MFP</w:t>
      </w:r>
    </w:p>
    <w:p w:rsidR="00083A78" w:rsidRDefault="006C115D" w:rsidP="00083A78">
      <w:pPr>
        <w:pStyle w:val="BodyText"/>
      </w:pPr>
      <w:r>
        <w:t xml:space="preserve">Available evidence is consistent with </w:t>
      </w:r>
      <w:r w:rsidR="00083A78">
        <w:t xml:space="preserve">Primary </w:t>
      </w:r>
      <w:r w:rsidR="008641F3">
        <w:t xml:space="preserve">metals </w:t>
      </w:r>
      <w:r w:rsidR="00083A78">
        <w:t xml:space="preserve">and Fabricated metals pulling </w:t>
      </w:r>
      <w:r w:rsidR="009E6C80">
        <w:t xml:space="preserve">MFP in </w:t>
      </w:r>
      <w:r w:rsidR="00083A78">
        <w:t>Metal products in different directions between cycles 3 and 4</w:t>
      </w:r>
      <w:r w:rsidR="002407B1">
        <w:t xml:space="preserve">. </w:t>
      </w:r>
      <w:r w:rsidR="00083A78">
        <w:t>Primary metals play</w:t>
      </w:r>
      <w:r w:rsidR="002407B1">
        <w:t>ed</w:t>
      </w:r>
      <w:r w:rsidR="00083A78">
        <w:t xml:space="preserve"> the main role in the decline </w:t>
      </w:r>
      <w:r w:rsidR="002407B1">
        <w:t xml:space="preserve">in MFP </w:t>
      </w:r>
      <w:r w:rsidR="00083A78">
        <w:t xml:space="preserve">and Fabricated metals offset the scale of the decline to some extent. </w:t>
      </w:r>
    </w:p>
    <w:p w:rsidR="008C0FAC" w:rsidRDefault="004468AC" w:rsidP="0059401D">
      <w:pPr>
        <w:pStyle w:val="Heading3"/>
      </w:pPr>
      <w:r>
        <w:t>Manufacturing s</w:t>
      </w:r>
      <w:r w:rsidR="00B10966">
        <w:t>ince the last complete productivity cycle</w:t>
      </w:r>
    </w:p>
    <w:p w:rsidR="00604F0B" w:rsidRPr="008B5B90" w:rsidRDefault="0059401D" w:rsidP="00083A78">
      <w:pPr>
        <w:pStyle w:val="BodyText"/>
      </w:pPr>
      <w:r w:rsidRPr="008B5B90">
        <w:t>T</w:t>
      </w:r>
      <w:r w:rsidR="00B10966" w:rsidRPr="008B5B90">
        <w:t xml:space="preserve">he decline in MFP in Manufacturing has </w:t>
      </w:r>
      <w:r w:rsidR="006E6A3C">
        <w:t xml:space="preserve">continued </w:t>
      </w:r>
      <w:r w:rsidRPr="008B5B90">
        <w:t>since the last complete productivity cycle</w:t>
      </w:r>
      <w:r w:rsidR="006E6A3C">
        <w:t xml:space="preserve">, with </w:t>
      </w:r>
      <w:r w:rsidR="00006D4A" w:rsidRPr="008B5B90">
        <w:t xml:space="preserve">Textiles, clothing and other manufacturing </w:t>
      </w:r>
      <w:r w:rsidR="005D5875">
        <w:t>making</w:t>
      </w:r>
      <w:r w:rsidR="005D5875" w:rsidRPr="008B5B90">
        <w:t xml:space="preserve"> </w:t>
      </w:r>
      <w:r w:rsidR="00006D4A" w:rsidRPr="008B5B90">
        <w:t xml:space="preserve">the largest contribution, followed by Printing and recorded media and </w:t>
      </w:r>
      <w:r w:rsidR="00D82CCE">
        <w:t>Petroleum</w:t>
      </w:r>
      <w:r w:rsidR="00A421D1">
        <w:t xml:space="preserve"> and chemicals</w:t>
      </w:r>
      <w:r w:rsidR="00006D4A" w:rsidRPr="008B5B90">
        <w:t xml:space="preserve">. </w:t>
      </w:r>
      <w:r w:rsidR="005D5875">
        <w:t xml:space="preserve">However, the rate of MFP decline </w:t>
      </w:r>
      <w:r w:rsidR="00F153ED">
        <w:t>has been</w:t>
      </w:r>
      <w:r w:rsidR="005D5875">
        <w:t xml:space="preserve"> slower than over cycle 4.</w:t>
      </w:r>
    </w:p>
    <w:p w:rsidR="00D90E87" w:rsidRPr="008B5B90" w:rsidRDefault="00D90E87" w:rsidP="00D90E87">
      <w:pPr>
        <w:pStyle w:val="BodyText"/>
      </w:pPr>
      <w:r w:rsidRPr="008B5B90">
        <w:t xml:space="preserve">MFP growth in </w:t>
      </w:r>
      <w:r w:rsidR="00D82CCE">
        <w:t>Petroleum</w:t>
      </w:r>
      <w:r w:rsidR="00A421D1">
        <w:t xml:space="preserve"> and chemicals</w:t>
      </w:r>
      <w:r w:rsidRPr="008B5B90">
        <w:t xml:space="preserve"> remained negative on average</w:t>
      </w:r>
      <w:r w:rsidR="009A26E7" w:rsidRPr="008B5B90">
        <w:t xml:space="preserve"> in the incomplete cycle</w:t>
      </w:r>
      <w:r w:rsidRPr="008B5B90">
        <w:t xml:space="preserve">, but </w:t>
      </w:r>
      <w:r w:rsidR="009A26E7" w:rsidRPr="008B5B90">
        <w:t>the decline in MFP was slower (</w:t>
      </w:r>
      <w:r w:rsidRPr="008B5B90">
        <w:t>-1.1 per cent a year)</w:t>
      </w:r>
      <w:r w:rsidR="00330F8D" w:rsidRPr="008B5B90">
        <w:t xml:space="preserve"> </w:t>
      </w:r>
      <w:r w:rsidR="009A26E7" w:rsidRPr="008B5B90">
        <w:t>than in</w:t>
      </w:r>
      <w:r w:rsidR="00330F8D" w:rsidRPr="008B5B90">
        <w:t xml:space="preserve"> cycle 4 (-4.1 per cent a year)</w:t>
      </w:r>
      <w:r w:rsidRPr="008B5B90">
        <w:t xml:space="preserve">. </w:t>
      </w:r>
      <w:r w:rsidR="009A26E7" w:rsidRPr="008B5B90">
        <w:t xml:space="preserve">While the </w:t>
      </w:r>
      <w:r w:rsidR="00115AD1" w:rsidRPr="008B5B90">
        <w:t xml:space="preserve">decline in </w:t>
      </w:r>
      <w:r w:rsidR="009A26E7" w:rsidRPr="008B5B90">
        <w:t xml:space="preserve">value added accelerated in the incomplete cycle, </w:t>
      </w:r>
      <w:r w:rsidR="00115AD1" w:rsidRPr="008B5B90">
        <w:t xml:space="preserve">there was also some </w:t>
      </w:r>
      <w:r w:rsidRPr="008B5B90">
        <w:t xml:space="preserve">decline in combined inputs — a steep decline in hours worked and slower capital services growth. </w:t>
      </w:r>
    </w:p>
    <w:p w:rsidR="00D90E87" w:rsidRPr="008B5B90" w:rsidRDefault="00115AD1" w:rsidP="00083A78">
      <w:pPr>
        <w:pStyle w:val="BodyText"/>
      </w:pPr>
      <w:r w:rsidRPr="008B5B90">
        <w:t xml:space="preserve">Similarly, the rate of MFP decline in </w:t>
      </w:r>
      <w:r w:rsidR="00EE7BF2">
        <w:t>Food</w:t>
      </w:r>
      <w:r w:rsidR="00A421D1">
        <w:t xml:space="preserve"> and</w:t>
      </w:r>
      <w:r w:rsidR="00EE7BF2">
        <w:t xml:space="preserve"> beverage</w:t>
      </w:r>
      <w:r w:rsidR="00A421D1">
        <w:t>s</w:t>
      </w:r>
      <w:r w:rsidR="008B4833" w:rsidRPr="008B5B90">
        <w:t xml:space="preserve"> </w:t>
      </w:r>
      <w:r w:rsidRPr="008B5B90">
        <w:t xml:space="preserve">slowed in the incomplete cycle </w:t>
      </w:r>
      <w:r w:rsidR="00A948BF" w:rsidRPr="008B5B90">
        <w:t>(</w:t>
      </w:r>
      <w:r w:rsidR="009A26E7" w:rsidRPr="008B5B90">
        <w:t>from -4.2 to -1.1 per cent a year)</w:t>
      </w:r>
      <w:r w:rsidRPr="008B5B90">
        <w:t>. But in that case</w:t>
      </w:r>
      <w:r w:rsidR="00A446BD" w:rsidRPr="008B5B90">
        <w:t>,</w:t>
      </w:r>
      <w:r w:rsidRPr="008B5B90">
        <w:t xml:space="preserve"> the rate of value added growth increased</w:t>
      </w:r>
      <w:r w:rsidR="00A446BD" w:rsidRPr="008B5B90">
        <w:t xml:space="preserve"> </w:t>
      </w:r>
      <w:r w:rsidRPr="008B5B90">
        <w:t xml:space="preserve">and </w:t>
      </w:r>
      <w:r w:rsidR="00A446BD" w:rsidRPr="008B5B90">
        <w:t xml:space="preserve">the rate of </w:t>
      </w:r>
      <w:r w:rsidRPr="008B5B90">
        <w:t>combined input growth slowed</w:t>
      </w:r>
      <w:r w:rsidR="00A446BD" w:rsidRPr="008B5B90">
        <w:t>.</w:t>
      </w:r>
      <w:r w:rsidRPr="008B5B90">
        <w:t xml:space="preserve"> </w:t>
      </w:r>
      <w:r w:rsidR="00A446BD" w:rsidRPr="008B5B90">
        <w:t xml:space="preserve">After the strong growth in </w:t>
      </w:r>
      <w:r w:rsidR="00D90E87" w:rsidRPr="008B5B90">
        <w:t xml:space="preserve">hours worked </w:t>
      </w:r>
      <w:r w:rsidR="00A446BD" w:rsidRPr="008B5B90">
        <w:t>in cycle 4, there was no growth in the incomplete cycle. And ca</w:t>
      </w:r>
      <w:r w:rsidR="00D90E87" w:rsidRPr="008B5B90">
        <w:t xml:space="preserve">pital services growth </w:t>
      </w:r>
      <w:r w:rsidR="00A446BD" w:rsidRPr="008B5B90">
        <w:t xml:space="preserve">also </w:t>
      </w:r>
      <w:r w:rsidR="00D90E87" w:rsidRPr="008B5B90">
        <w:t>slowed</w:t>
      </w:r>
      <w:r w:rsidR="00A446BD" w:rsidRPr="008B5B90">
        <w:t>.</w:t>
      </w:r>
      <w:r w:rsidR="00D90E87" w:rsidRPr="008B5B90">
        <w:t xml:space="preserve"> </w:t>
      </w:r>
    </w:p>
    <w:p w:rsidR="00115AD1" w:rsidRPr="008B5B90" w:rsidRDefault="008B4833" w:rsidP="00115AD1">
      <w:pPr>
        <w:pStyle w:val="BodyText"/>
      </w:pPr>
      <w:r w:rsidRPr="008B5B90">
        <w:t>A</w:t>
      </w:r>
      <w:r w:rsidR="00D90E87" w:rsidRPr="008B5B90">
        <w:t xml:space="preserve">verage MFP growth in </w:t>
      </w:r>
      <w:r w:rsidR="00EE7BF2">
        <w:t>Metal products</w:t>
      </w:r>
      <w:r w:rsidR="00D23A23" w:rsidRPr="008B5B90">
        <w:t xml:space="preserve"> </w:t>
      </w:r>
      <w:r w:rsidR="00490C04" w:rsidRPr="008B5B90">
        <w:t>was</w:t>
      </w:r>
      <w:r w:rsidR="00D90E87" w:rsidRPr="008B5B90">
        <w:t xml:space="preserve"> just above zero</w:t>
      </w:r>
      <w:r w:rsidR="007161DA" w:rsidRPr="008B5B90">
        <w:t xml:space="preserve"> in the incomplete cycle</w:t>
      </w:r>
      <w:r w:rsidR="00D90E87" w:rsidRPr="008B5B90">
        <w:t xml:space="preserve"> (0.1 per cent a year). While value added growth </w:t>
      </w:r>
      <w:r w:rsidR="00490C04" w:rsidRPr="008B5B90">
        <w:t>fell</w:t>
      </w:r>
      <w:r w:rsidR="00D90E87" w:rsidRPr="008B5B90">
        <w:t xml:space="preserve"> to </w:t>
      </w:r>
      <w:r w:rsidR="006460E3">
        <w:t>0.3 per cent a year</w:t>
      </w:r>
      <w:r w:rsidR="00D90E87" w:rsidRPr="008B5B90">
        <w:t xml:space="preserve">, combined input growth </w:t>
      </w:r>
      <w:r w:rsidR="00490C04" w:rsidRPr="008B5B90">
        <w:t>was also</w:t>
      </w:r>
      <w:r w:rsidR="00D90E87" w:rsidRPr="008B5B90">
        <w:t xml:space="preserve"> very low. Hours worked f</w:t>
      </w:r>
      <w:r w:rsidR="00490C04" w:rsidRPr="008B5B90">
        <w:t>ell</w:t>
      </w:r>
      <w:r w:rsidR="00D90E87" w:rsidRPr="008B5B90">
        <w:t xml:space="preserve">, almost offsetting growth in capital services, which slowed relative to the exceptional growth of cycle 4. </w:t>
      </w:r>
    </w:p>
    <w:p w:rsidR="00D90E87" w:rsidRDefault="00EE7BF2" w:rsidP="00D90E87">
      <w:pPr>
        <w:pStyle w:val="BodyText"/>
      </w:pPr>
      <w:r>
        <w:t>Food</w:t>
      </w:r>
      <w:r w:rsidR="00A421D1">
        <w:t xml:space="preserve"> and </w:t>
      </w:r>
      <w:r>
        <w:t>beverage</w:t>
      </w:r>
      <w:r w:rsidR="00A421D1">
        <w:t>s</w:t>
      </w:r>
      <w:r w:rsidR="00115AD1" w:rsidRPr="008B5B90">
        <w:t xml:space="preserve"> and </w:t>
      </w:r>
      <w:r>
        <w:t>Metal products</w:t>
      </w:r>
      <w:r w:rsidR="00115AD1" w:rsidRPr="008B5B90">
        <w:t xml:space="preserve"> made much smaller contributions to the decline in Manufacturing MFP in the incomplete cycle than over cycle 4 — reflecting a return to MFP growth rates closer to</w:t>
      </w:r>
      <w:r w:rsidR="00D83141">
        <w:t>, but still below,</w:t>
      </w:r>
      <w:r w:rsidR="00115AD1" w:rsidRPr="008B5B90">
        <w:t xml:space="preserve"> their </w:t>
      </w:r>
      <w:r w:rsidR="006460E3" w:rsidRPr="008B5B90">
        <w:t>long</w:t>
      </w:r>
      <w:r w:rsidR="00D81EF3">
        <w:t>er</w:t>
      </w:r>
      <w:r w:rsidR="006460E3">
        <w:t>-</w:t>
      </w:r>
      <w:r w:rsidR="00D81EF3">
        <w:t>term</w:t>
      </w:r>
      <w:r w:rsidR="00115AD1" w:rsidRPr="008B5B90">
        <w:t xml:space="preserve"> averages. Notwithstanding possible measurement issues, it appears likely that the significant declines in MFP growth in </w:t>
      </w:r>
      <w:r w:rsidR="005D5875">
        <w:t>these two subsectors</w:t>
      </w:r>
      <w:r w:rsidR="00115AD1" w:rsidRPr="008B5B90">
        <w:t xml:space="preserve"> over cycle 4 were </w:t>
      </w:r>
      <w:r w:rsidR="001C0991" w:rsidRPr="008B5B90">
        <w:t>atypical</w:t>
      </w:r>
      <w:r w:rsidR="00115AD1" w:rsidRPr="008B5B90">
        <w:t>.</w:t>
      </w:r>
    </w:p>
    <w:sectPr w:rsidR="00D90E87" w:rsidSect="00676860">
      <w:headerReference w:type="even" r:id="rId21"/>
      <w:headerReference w:type="default" r:id="rId22"/>
      <w:footerReference w:type="even" r:id="rId23"/>
      <w:footerReference w:type="default" r:id="rId24"/>
      <w:pgSz w:w="11907" w:h="16840" w:code="9"/>
      <w:pgMar w:top="1984" w:right="1304" w:bottom="1417" w:left="1814" w:header="1701" w:footer="567" w:gutter="0"/>
      <w:pgNumType w:start="1" w:chapStyle="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C1E" w:rsidRDefault="00175C1E">
      <w:r>
        <w:separator/>
      </w:r>
    </w:p>
  </w:endnote>
  <w:endnote w:type="continuationSeparator" w:id="0">
    <w:p w:rsidR="00175C1E" w:rsidRDefault="0017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75C1E">
      <w:trPr>
        <w:trHeight w:hRule="exact" w:val="740"/>
      </w:trPr>
      <w:tc>
        <w:tcPr>
          <w:tcW w:w="510" w:type="dxa"/>
          <w:tcBorders>
            <w:top w:val="single" w:sz="6" w:space="0" w:color="auto"/>
          </w:tcBorders>
        </w:tcPr>
        <w:p w:rsidR="00175C1E" w:rsidRDefault="00175C1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200B8">
            <w:rPr>
              <w:rStyle w:val="PageNumber"/>
              <w:noProof/>
            </w:rPr>
            <w:t>2</w:t>
          </w:r>
          <w:r>
            <w:rPr>
              <w:rStyle w:val="PageNumber"/>
            </w:rPr>
            <w:fldChar w:fldCharType="end"/>
          </w:r>
        </w:p>
      </w:tc>
      <w:tc>
        <w:tcPr>
          <w:tcW w:w="1644" w:type="dxa"/>
          <w:tcBorders>
            <w:top w:val="single" w:sz="6" w:space="0" w:color="auto"/>
          </w:tcBorders>
        </w:tcPr>
        <w:p w:rsidR="00175C1E" w:rsidRDefault="00B200B8" w:rsidP="0019293B">
          <w:pPr>
            <w:pStyle w:val="Footer"/>
          </w:pPr>
          <w:r>
            <w:fldChar w:fldCharType="begin"/>
          </w:r>
          <w:r>
            <w:instrText xml:space="preserve"> SUBJECT  \* MERGEFORMAT </w:instrText>
          </w:r>
          <w:r>
            <w:fldChar w:fldCharType="separate"/>
          </w:r>
          <w:r w:rsidR="00D3300F">
            <w:t>Productivity in Manufacturing</w:t>
          </w:r>
          <w:r>
            <w:fldChar w:fldCharType="end"/>
          </w:r>
        </w:p>
      </w:tc>
      <w:tc>
        <w:tcPr>
          <w:tcW w:w="6634" w:type="dxa"/>
        </w:tcPr>
        <w:p w:rsidR="00175C1E" w:rsidRDefault="00175C1E" w:rsidP="0019293B">
          <w:pPr>
            <w:pStyle w:val="Footer"/>
          </w:pPr>
        </w:p>
      </w:tc>
    </w:tr>
  </w:tbl>
  <w:p w:rsidR="00175C1E" w:rsidRDefault="00175C1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75C1E">
      <w:trPr>
        <w:trHeight w:hRule="exact" w:val="740"/>
      </w:trPr>
      <w:tc>
        <w:tcPr>
          <w:tcW w:w="6634" w:type="dxa"/>
        </w:tcPr>
        <w:p w:rsidR="00175C1E" w:rsidRDefault="00175C1E">
          <w:pPr>
            <w:pStyle w:val="Footer"/>
            <w:ind w:right="360" w:firstLine="360"/>
          </w:pPr>
        </w:p>
      </w:tc>
      <w:tc>
        <w:tcPr>
          <w:tcW w:w="1644" w:type="dxa"/>
          <w:tcBorders>
            <w:top w:val="single" w:sz="6" w:space="0" w:color="auto"/>
          </w:tcBorders>
        </w:tcPr>
        <w:p w:rsidR="00175C1E" w:rsidRDefault="00B200B8">
          <w:pPr>
            <w:pStyle w:val="Footer"/>
          </w:pPr>
          <w:r>
            <w:fldChar w:fldCharType="begin"/>
          </w:r>
          <w:r>
            <w:instrText xml:space="preserve"> TITLE  \* MERGEFORMAT </w:instrText>
          </w:r>
          <w:r>
            <w:fldChar w:fldCharType="separate"/>
          </w:r>
          <w:r w:rsidR="00D3300F">
            <w:t>Overview</w:t>
          </w:r>
          <w:r>
            <w:fldChar w:fldCharType="end"/>
          </w:r>
        </w:p>
      </w:tc>
      <w:tc>
        <w:tcPr>
          <w:tcW w:w="510" w:type="dxa"/>
          <w:tcBorders>
            <w:top w:val="single" w:sz="6" w:space="0" w:color="auto"/>
          </w:tcBorders>
        </w:tcPr>
        <w:p w:rsidR="00175C1E" w:rsidRDefault="00175C1E">
          <w:pPr>
            <w:pStyle w:val="Footer"/>
            <w:jc w:val="right"/>
          </w:pPr>
          <w:r>
            <w:rPr>
              <w:rStyle w:val="PageNumber"/>
            </w:rPr>
            <w:fldChar w:fldCharType="begin"/>
          </w:r>
          <w:r>
            <w:rPr>
              <w:rStyle w:val="PageNumber"/>
            </w:rPr>
            <w:instrText xml:space="preserve">PAGE  </w:instrText>
          </w:r>
          <w:r>
            <w:rPr>
              <w:rStyle w:val="PageNumber"/>
            </w:rPr>
            <w:fldChar w:fldCharType="separate"/>
          </w:r>
          <w:r w:rsidR="009C08B7">
            <w:rPr>
              <w:rStyle w:val="PageNumber"/>
              <w:noProof/>
            </w:rPr>
            <w:t>9</w:t>
          </w:r>
          <w:r>
            <w:rPr>
              <w:rStyle w:val="PageNumber"/>
            </w:rPr>
            <w:fldChar w:fldCharType="end"/>
          </w:r>
        </w:p>
      </w:tc>
    </w:tr>
  </w:tbl>
  <w:p w:rsidR="00175C1E" w:rsidRDefault="00175C1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C1E" w:rsidRDefault="00175C1E">
      <w:r>
        <w:separator/>
      </w:r>
    </w:p>
  </w:footnote>
  <w:footnote w:type="continuationSeparator" w:id="0">
    <w:p w:rsidR="00175C1E" w:rsidRDefault="00175C1E">
      <w:r>
        <w:continuationSeparator/>
      </w:r>
    </w:p>
  </w:footnote>
  <w:footnote w:id="1">
    <w:p w:rsidR="00175C1E" w:rsidRDefault="00175C1E">
      <w:pPr>
        <w:pStyle w:val="FootnoteText"/>
      </w:pPr>
      <w:r>
        <w:rPr>
          <w:rStyle w:val="FootnoteReference"/>
        </w:rPr>
        <w:footnoteRef/>
      </w:r>
      <w:r>
        <w:t xml:space="preserve"> </w:t>
      </w:r>
      <w:r>
        <w:tab/>
      </w:r>
      <w:r w:rsidR="00B239A3">
        <w:t xml:space="preserve">‘Petroleum and chemicals’ refers to </w:t>
      </w:r>
      <w:r>
        <w:t xml:space="preserve">Petroleum, coal, chemicals and rubber product manufacturing and </w:t>
      </w:r>
      <w:r w:rsidR="00B239A3">
        <w:t xml:space="preserve">‘Food and beverages’ to </w:t>
      </w:r>
      <w:r>
        <w:t>Food, beverage an</w:t>
      </w:r>
      <w:r w:rsidR="00B239A3">
        <w:t>d tobacco product manufacturing</w:t>
      </w:r>
      <w:r>
        <w:t>.</w:t>
      </w:r>
    </w:p>
  </w:footnote>
  <w:footnote w:id="2">
    <w:p w:rsidR="00EC344D" w:rsidRDefault="00EC344D" w:rsidP="00EC344D">
      <w:pPr>
        <w:pStyle w:val="FootnoteText"/>
      </w:pPr>
      <w:r>
        <w:rPr>
          <w:rStyle w:val="FootnoteReference"/>
        </w:rPr>
        <w:footnoteRef/>
      </w:r>
      <w:r>
        <w:t xml:space="preserve"> </w:t>
      </w:r>
      <w:r>
        <w:tab/>
        <w:t>MFP growth is derived as the difference, in volume terms, between growth in value added and growth in combined factor inputs (hours worked and capital services). These components of MFP growth are known as its proximate causes.</w:t>
      </w:r>
    </w:p>
  </w:footnote>
  <w:footnote w:id="3">
    <w:p w:rsidR="00703F15" w:rsidRDefault="00703F15" w:rsidP="00703F15">
      <w:pPr>
        <w:pStyle w:val="FootnoteText"/>
      </w:pPr>
      <w:r>
        <w:rPr>
          <w:rStyle w:val="FootnoteReference"/>
        </w:rPr>
        <w:footnoteRef/>
      </w:r>
      <w:r>
        <w:t xml:space="preserve"> </w:t>
      </w:r>
      <w:r>
        <w:tab/>
        <w:t>There was variability in year-to-year growth over the incomplete cycle, including higher growth in 2007-08, followed by contraction in 2008-09 (a year affected by the global financial crisis).</w:t>
      </w:r>
    </w:p>
  </w:footnote>
  <w:footnote w:id="4">
    <w:p w:rsidR="00175C1E" w:rsidRDefault="00175C1E">
      <w:pPr>
        <w:pStyle w:val="FootnoteText"/>
      </w:pPr>
      <w:r>
        <w:rPr>
          <w:rStyle w:val="FootnoteReference"/>
        </w:rPr>
        <w:footnoteRef/>
      </w:r>
      <w:r>
        <w:t xml:space="preserve"> </w:t>
      </w:r>
      <w:r>
        <w:tab/>
      </w:r>
      <w:r w:rsidRPr="00DC1B60">
        <w:t>As this cycle is incomplete, this growth rate should be interpreted with caution because it may be the product of temporary factors. It should be noted that this paper examines Manufacturing MFP up to 2010-11, based on the 2010-11 ABS National Accounts (the latest available when the MFP estimates for the Manufacturing subsectors were derived for this study).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75C1E">
      <w:tc>
        <w:tcPr>
          <w:tcW w:w="2155" w:type="dxa"/>
          <w:tcBorders>
            <w:top w:val="single" w:sz="24" w:space="0" w:color="auto"/>
          </w:tcBorders>
        </w:tcPr>
        <w:p w:rsidR="00175C1E" w:rsidRDefault="00175C1E" w:rsidP="0019293B">
          <w:pPr>
            <w:pStyle w:val="HeaderEven"/>
          </w:pPr>
        </w:p>
      </w:tc>
      <w:tc>
        <w:tcPr>
          <w:tcW w:w="6634" w:type="dxa"/>
          <w:tcBorders>
            <w:top w:val="single" w:sz="6" w:space="0" w:color="auto"/>
          </w:tcBorders>
        </w:tcPr>
        <w:p w:rsidR="00175C1E" w:rsidRDefault="00175C1E" w:rsidP="0019293B">
          <w:pPr>
            <w:pStyle w:val="HeaderEven"/>
          </w:pPr>
        </w:p>
      </w:tc>
    </w:tr>
  </w:tbl>
  <w:p w:rsidR="00175C1E" w:rsidRDefault="00175C1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5C1E">
      <w:tc>
        <w:tcPr>
          <w:tcW w:w="6634" w:type="dxa"/>
          <w:tcBorders>
            <w:top w:val="single" w:sz="6" w:space="0" w:color="auto"/>
          </w:tcBorders>
        </w:tcPr>
        <w:p w:rsidR="00175C1E" w:rsidRDefault="00175C1E" w:rsidP="00E669E2">
          <w:pPr>
            <w:pStyle w:val="HeaderOdd"/>
          </w:pPr>
        </w:p>
      </w:tc>
      <w:tc>
        <w:tcPr>
          <w:tcW w:w="2155" w:type="dxa"/>
          <w:tcBorders>
            <w:top w:val="single" w:sz="24" w:space="0" w:color="auto"/>
          </w:tcBorders>
        </w:tcPr>
        <w:p w:rsidR="00175C1E" w:rsidRDefault="00175C1E" w:rsidP="00E669E2">
          <w:pPr>
            <w:pStyle w:val="HeaderOdd"/>
          </w:pPr>
        </w:p>
      </w:tc>
    </w:tr>
  </w:tbl>
  <w:p w:rsidR="00175C1E" w:rsidRDefault="00175C1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15"/>
  </w:num>
  <w:num w:numId="3">
    <w:abstractNumId w:val="0"/>
  </w:num>
  <w:num w:numId="4">
    <w:abstractNumId w:val="10"/>
  </w:num>
  <w:num w:numId="5">
    <w:abstractNumId w:val="1"/>
  </w:num>
  <w:num w:numId="6">
    <w:abstractNumId w:val="14"/>
  </w:num>
  <w:num w:numId="7">
    <w:abstractNumId w:val="12"/>
  </w:num>
  <w:num w:numId="8">
    <w:abstractNumId w:val="16"/>
  </w:num>
  <w:num w:numId="9">
    <w:abstractNumId w:val="5"/>
  </w:num>
  <w:num w:numId="10">
    <w:abstractNumId w:val="11"/>
  </w:num>
  <w:num w:numId="11">
    <w:abstractNumId w:val="4"/>
  </w:num>
  <w:num w:numId="12">
    <w:abstractNumId w:val="3"/>
  </w:num>
  <w:num w:numId="13">
    <w:abstractNumId w:val="6"/>
  </w:num>
  <w:num w:numId="14">
    <w:abstractNumId w:val="7"/>
  </w:num>
  <w:num w:numId="15">
    <w:abstractNumId w:val="9"/>
  </w:num>
  <w:num w:numId="16">
    <w:abstractNumId w:val="2"/>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Productivity in Manufacturing"/>
  </w:docVars>
  <w:rsids>
    <w:rsidRoot w:val="00676860"/>
    <w:rsid w:val="00001CD2"/>
    <w:rsid w:val="00003898"/>
    <w:rsid w:val="00006112"/>
    <w:rsid w:val="000061E6"/>
    <w:rsid w:val="0000634E"/>
    <w:rsid w:val="00006D4A"/>
    <w:rsid w:val="00013D69"/>
    <w:rsid w:val="00014CAF"/>
    <w:rsid w:val="000178B6"/>
    <w:rsid w:val="00022431"/>
    <w:rsid w:val="000227D5"/>
    <w:rsid w:val="000245AA"/>
    <w:rsid w:val="000248FB"/>
    <w:rsid w:val="00026A54"/>
    <w:rsid w:val="00031961"/>
    <w:rsid w:val="00031F76"/>
    <w:rsid w:val="0003613C"/>
    <w:rsid w:val="0003664B"/>
    <w:rsid w:val="00037B6F"/>
    <w:rsid w:val="0004111F"/>
    <w:rsid w:val="00041517"/>
    <w:rsid w:val="00041BF0"/>
    <w:rsid w:val="000472E9"/>
    <w:rsid w:val="00050296"/>
    <w:rsid w:val="00052D0A"/>
    <w:rsid w:val="00053DD5"/>
    <w:rsid w:val="00055670"/>
    <w:rsid w:val="00055B98"/>
    <w:rsid w:val="000565B3"/>
    <w:rsid w:val="00056C9D"/>
    <w:rsid w:val="0006000A"/>
    <w:rsid w:val="0006051C"/>
    <w:rsid w:val="00061730"/>
    <w:rsid w:val="00066819"/>
    <w:rsid w:val="00070549"/>
    <w:rsid w:val="0007150B"/>
    <w:rsid w:val="0007226C"/>
    <w:rsid w:val="00072956"/>
    <w:rsid w:val="00083A78"/>
    <w:rsid w:val="000844C8"/>
    <w:rsid w:val="0008480B"/>
    <w:rsid w:val="00084A84"/>
    <w:rsid w:val="00084A96"/>
    <w:rsid w:val="00085431"/>
    <w:rsid w:val="00086494"/>
    <w:rsid w:val="000869DD"/>
    <w:rsid w:val="00087455"/>
    <w:rsid w:val="000901EC"/>
    <w:rsid w:val="000936DA"/>
    <w:rsid w:val="000938F5"/>
    <w:rsid w:val="00095385"/>
    <w:rsid w:val="00096268"/>
    <w:rsid w:val="00096E55"/>
    <w:rsid w:val="000A109F"/>
    <w:rsid w:val="000A3E98"/>
    <w:rsid w:val="000A737D"/>
    <w:rsid w:val="000A7D21"/>
    <w:rsid w:val="000B078F"/>
    <w:rsid w:val="000B28B8"/>
    <w:rsid w:val="000B5159"/>
    <w:rsid w:val="000B601B"/>
    <w:rsid w:val="000B640C"/>
    <w:rsid w:val="000B6CB1"/>
    <w:rsid w:val="000B7961"/>
    <w:rsid w:val="000C07E9"/>
    <w:rsid w:val="000C207E"/>
    <w:rsid w:val="000C3A9D"/>
    <w:rsid w:val="000C4F24"/>
    <w:rsid w:val="000D17FD"/>
    <w:rsid w:val="000D5304"/>
    <w:rsid w:val="000D5951"/>
    <w:rsid w:val="000D776F"/>
    <w:rsid w:val="000D7B09"/>
    <w:rsid w:val="000E1EA4"/>
    <w:rsid w:val="000E3727"/>
    <w:rsid w:val="000E4D68"/>
    <w:rsid w:val="000E4E44"/>
    <w:rsid w:val="000E527B"/>
    <w:rsid w:val="000E6538"/>
    <w:rsid w:val="000E68CB"/>
    <w:rsid w:val="000F0035"/>
    <w:rsid w:val="000F420B"/>
    <w:rsid w:val="000F5E06"/>
    <w:rsid w:val="001001B2"/>
    <w:rsid w:val="00104A70"/>
    <w:rsid w:val="00104ECD"/>
    <w:rsid w:val="00105858"/>
    <w:rsid w:val="001060DC"/>
    <w:rsid w:val="001060EF"/>
    <w:rsid w:val="0010665E"/>
    <w:rsid w:val="00110116"/>
    <w:rsid w:val="00111F89"/>
    <w:rsid w:val="00114BDB"/>
    <w:rsid w:val="00115AD1"/>
    <w:rsid w:val="00115BA1"/>
    <w:rsid w:val="001165BF"/>
    <w:rsid w:val="00120072"/>
    <w:rsid w:val="00123939"/>
    <w:rsid w:val="00125067"/>
    <w:rsid w:val="00126EB8"/>
    <w:rsid w:val="001272CA"/>
    <w:rsid w:val="001274D4"/>
    <w:rsid w:val="00131524"/>
    <w:rsid w:val="001324F1"/>
    <w:rsid w:val="00132F22"/>
    <w:rsid w:val="001345BB"/>
    <w:rsid w:val="0013502A"/>
    <w:rsid w:val="0013634F"/>
    <w:rsid w:val="001363AA"/>
    <w:rsid w:val="00136515"/>
    <w:rsid w:val="001377E9"/>
    <w:rsid w:val="001449B4"/>
    <w:rsid w:val="00145E79"/>
    <w:rsid w:val="00152184"/>
    <w:rsid w:val="00152AD7"/>
    <w:rsid w:val="0015522D"/>
    <w:rsid w:val="00160DF8"/>
    <w:rsid w:val="0016257D"/>
    <w:rsid w:val="00164E9B"/>
    <w:rsid w:val="001658E7"/>
    <w:rsid w:val="0016636D"/>
    <w:rsid w:val="001735BA"/>
    <w:rsid w:val="0017486D"/>
    <w:rsid w:val="001757EA"/>
    <w:rsid w:val="00175C1E"/>
    <w:rsid w:val="00176E98"/>
    <w:rsid w:val="00180BC2"/>
    <w:rsid w:val="00183E82"/>
    <w:rsid w:val="001878BB"/>
    <w:rsid w:val="00190A54"/>
    <w:rsid w:val="00191AE0"/>
    <w:rsid w:val="0019293B"/>
    <w:rsid w:val="00193895"/>
    <w:rsid w:val="0019426B"/>
    <w:rsid w:val="00194AB1"/>
    <w:rsid w:val="001A2F45"/>
    <w:rsid w:val="001A5188"/>
    <w:rsid w:val="001B2106"/>
    <w:rsid w:val="001B6114"/>
    <w:rsid w:val="001B62B1"/>
    <w:rsid w:val="001B7098"/>
    <w:rsid w:val="001C0865"/>
    <w:rsid w:val="001C0991"/>
    <w:rsid w:val="001C3ABA"/>
    <w:rsid w:val="001D22D9"/>
    <w:rsid w:val="001D2774"/>
    <w:rsid w:val="001D3A76"/>
    <w:rsid w:val="001D7E72"/>
    <w:rsid w:val="001E0B3F"/>
    <w:rsid w:val="001E5495"/>
    <w:rsid w:val="001E7BE8"/>
    <w:rsid w:val="001F0248"/>
    <w:rsid w:val="001F3EB3"/>
    <w:rsid w:val="001F4F86"/>
    <w:rsid w:val="001F5832"/>
    <w:rsid w:val="0020111D"/>
    <w:rsid w:val="00202C2C"/>
    <w:rsid w:val="00202C99"/>
    <w:rsid w:val="00203B4A"/>
    <w:rsid w:val="00206000"/>
    <w:rsid w:val="00210B1B"/>
    <w:rsid w:val="002128AF"/>
    <w:rsid w:val="002135AB"/>
    <w:rsid w:val="00213EA1"/>
    <w:rsid w:val="002144BE"/>
    <w:rsid w:val="00215D74"/>
    <w:rsid w:val="0022270E"/>
    <w:rsid w:val="00227CB5"/>
    <w:rsid w:val="00231C75"/>
    <w:rsid w:val="00233387"/>
    <w:rsid w:val="00233484"/>
    <w:rsid w:val="00235C8D"/>
    <w:rsid w:val="002407B1"/>
    <w:rsid w:val="00241AB7"/>
    <w:rsid w:val="00242279"/>
    <w:rsid w:val="00244468"/>
    <w:rsid w:val="00244F33"/>
    <w:rsid w:val="00245C82"/>
    <w:rsid w:val="002535E2"/>
    <w:rsid w:val="00255222"/>
    <w:rsid w:val="002570F1"/>
    <w:rsid w:val="00261D7C"/>
    <w:rsid w:val="002654B7"/>
    <w:rsid w:val="00270565"/>
    <w:rsid w:val="00275AF6"/>
    <w:rsid w:val="002766F3"/>
    <w:rsid w:val="0027796D"/>
    <w:rsid w:val="00281BAA"/>
    <w:rsid w:val="00281EEE"/>
    <w:rsid w:val="00284EFA"/>
    <w:rsid w:val="00286909"/>
    <w:rsid w:val="00290C6C"/>
    <w:rsid w:val="00291B40"/>
    <w:rsid w:val="00296601"/>
    <w:rsid w:val="00296994"/>
    <w:rsid w:val="0029777E"/>
    <w:rsid w:val="002A0069"/>
    <w:rsid w:val="002A0156"/>
    <w:rsid w:val="002A0539"/>
    <w:rsid w:val="002A1D05"/>
    <w:rsid w:val="002A7BA2"/>
    <w:rsid w:val="002B3B3D"/>
    <w:rsid w:val="002B4008"/>
    <w:rsid w:val="002B64BF"/>
    <w:rsid w:val="002B65BF"/>
    <w:rsid w:val="002D02BD"/>
    <w:rsid w:val="002D09C0"/>
    <w:rsid w:val="002D0E8E"/>
    <w:rsid w:val="002D1C89"/>
    <w:rsid w:val="002D3D30"/>
    <w:rsid w:val="002E5860"/>
    <w:rsid w:val="002F20DD"/>
    <w:rsid w:val="002F221F"/>
    <w:rsid w:val="002F277B"/>
    <w:rsid w:val="002F2D2F"/>
    <w:rsid w:val="00301189"/>
    <w:rsid w:val="0030252B"/>
    <w:rsid w:val="0030321E"/>
    <w:rsid w:val="0031075D"/>
    <w:rsid w:val="00310BBB"/>
    <w:rsid w:val="003236B5"/>
    <w:rsid w:val="00323E09"/>
    <w:rsid w:val="0032448C"/>
    <w:rsid w:val="00330F8D"/>
    <w:rsid w:val="00333932"/>
    <w:rsid w:val="00333F85"/>
    <w:rsid w:val="0033593F"/>
    <w:rsid w:val="0034058B"/>
    <w:rsid w:val="00343C38"/>
    <w:rsid w:val="003504B7"/>
    <w:rsid w:val="00350CE3"/>
    <w:rsid w:val="003516A1"/>
    <w:rsid w:val="003518AA"/>
    <w:rsid w:val="00352165"/>
    <w:rsid w:val="00353182"/>
    <w:rsid w:val="003565D9"/>
    <w:rsid w:val="003569B2"/>
    <w:rsid w:val="00356FA1"/>
    <w:rsid w:val="003601A1"/>
    <w:rsid w:val="003602E1"/>
    <w:rsid w:val="00362532"/>
    <w:rsid w:val="00362B69"/>
    <w:rsid w:val="00362C23"/>
    <w:rsid w:val="00364DE7"/>
    <w:rsid w:val="0036744D"/>
    <w:rsid w:val="0037026F"/>
    <w:rsid w:val="00371240"/>
    <w:rsid w:val="00371E68"/>
    <w:rsid w:val="00372BCD"/>
    <w:rsid w:val="00374731"/>
    <w:rsid w:val="0037615F"/>
    <w:rsid w:val="0037668B"/>
    <w:rsid w:val="00376E59"/>
    <w:rsid w:val="003829EE"/>
    <w:rsid w:val="00384D1A"/>
    <w:rsid w:val="0038577B"/>
    <w:rsid w:val="0038631F"/>
    <w:rsid w:val="0039029E"/>
    <w:rsid w:val="003919F9"/>
    <w:rsid w:val="00391AC8"/>
    <w:rsid w:val="0039331E"/>
    <w:rsid w:val="00393B13"/>
    <w:rsid w:val="003947FA"/>
    <w:rsid w:val="00396835"/>
    <w:rsid w:val="003A0927"/>
    <w:rsid w:val="003A2344"/>
    <w:rsid w:val="003A24C6"/>
    <w:rsid w:val="003A2AAC"/>
    <w:rsid w:val="003A3B60"/>
    <w:rsid w:val="003A4894"/>
    <w:rsid w:val="003A4B49"/>
    <w:rsid w:val="003B20CF"/>
    <w:rsid w:val="003B5291"/>
    <w:rsid w:val="003B641F"/>
    <w:rsid w:val="003B777B"/>
    <w:rsid w:val="003C38B5"/>
    <w:rsid w:val="003C47F3"/>
    <w:rsid w:val="003C48F2"/>
    <w:rsid w:val="003C5D99"/>
    <w:rsid w:val="003C5F33"/>
    <w:rsid w:val="003C61C0"/>
    <w:rsid w:val="003C6AA7"/>
    <w:rsid w:val="003C7FFC"/>
    <w:rsid w:val="003D3458"/>
    <w:rsid w:val="003D5D52"/>
    <w:rsid w:val="003E2F59"/>
    <w:rsid w:val="003E619A"/>
    <w:rsid w:val="003F0789"/>
    <w:rsid w:val="003F47A9"/>
    <w:rsid w:val="003F488B"/>
    <w:rsid w:val="003F515C"/>
    <w:rsid w:val="003F59F8"/>
    <w:rsid w:val="003F622B"/>
    <w:rsid w:val="003F6890"/>
    <w:rsid w:val="00400E36"/>
    <w:rsid w:val="00401882"/>
    <w:rsid w:val="004037CF"/>
    <w:rsid w:val="0040400B"/>
    <w:rsid w:val="00405DA5"/>
    <w:rsid w:val="00407F9E"/>
    <w:rsid w:val="004100C8"/>
    <w:rsid w:val="00411605"/>
    <w:rsid w:val="00411AA0"/>
    <w:rsid w:val="00411DBD"/>
    <w:rsid w:val="00412ACE"/>
    <w:rsid w:val="00414FD3"/>
    <w:rsid w:val="0041544B"/>
    <w:rsid w:val="00415DC5"/>
    <w:rsid w:val="00417927"/>
    <w:rsid w:val="00422516"/>
    <w:rsid w:val="00424CDA"/>
    <w:rsid w:val="00424E9B"/>
    <w:rsid w:val="0043006A"/>
    <w:rsid w:val="00431249"/>
    <w:rsid w:val="00432C81"/>
    <w:rsid w:val="00434C19"/>
    <w:rsid w:val="004355FA"/>
    <w:rsid w:val="00436531"/>
    <w:rsid w:val="0044045F"/>
    <w:rsid w:val="00441CF5"/>
    <w:rsid w:val="004468AC"/>
    <w:rsid w:val="0044709D"/>
    <w:rsid w:val="00447BFD"/>
    <w:rsid w:val="00450810"/>
    <w:rsid w:val="004532AE"/>
    <w:rsid w:val="00455B1C"/>
    <w:rsid w:val="00461C74"/>
    <w:rsid w:val="004650FB"/>
    <w:rsid w:val="00467BC4"/>
    <w:rsid w:val="00471732"/>
    <w:rsid w:val="004726B5"/>
    <w:rsid w:val="00472B5D"/>
    <w:rsid w:val="004736D6"/>
    <w:rsid w:val="00473BB6"/>
    <w:rsid w:val="00473CED"/>
    <w:rsid w:val="0047598A"/>
    <w:rsid w:val="00476FE1"/>
    <w:rsid w:val="00477144"/>
    <w:rsid w:val="0047736C"/>
    <w:rsid w:val="0048277C"/>
    <w:rsid w:val="0048760D"/>
    <w:rsid w:val="00490094"/>
    <w:rsid w:val="004904C3"/>
    <w:rsid w:val="00490C04"/>
    <w:rsid w:val="00491380"/>
    <w:rsid w:val="00492E6C"/>
    <w:rsid w:val="00493638"/>
    <w:rsid w:val="00493B7F"/>
    <w:rsid w:val="00494439"/>
    <w:rsid w:val="0049459F"/>
    <w:rsid w:val="00494B4B"/>
    <w:rsid w:val="004954D3"/>
    <w:rsid w:val="004A00A4"/>
    <w:rsid w:val="004A0E12"/>
    <w:rsid w:val="004A38DD"/>
    <w:rsid w:val="004A4DD5"/>
    <w:rsid w:val="004A78AA"/>
    <w:rsid w:val="004B1261"/>
    <w:rsid w:val="004B43AE"/>
    <w:rsid w:val="004B76CA"/>
    <w:rsid w:val="004C30ED"/>
    <w:rsid w:val="004C7650"/>
    <w:rsid w:val="004D1C92"/>
    <w:rsid w:val="004D26F7"/>
    <w:rsid w:val="004D5675"/>
    <w:rsid w:val="004D6EAC"/>
    <w:rsid w:val="004D77C8"/>
    <w:rsid w:val="004E04C1"/>
    <w:rsid w:val="004E113D"/>
    <w:rsid w:val="004E1A62"/>
    <w:rsid w:val="004E1D8C"/>
    <w:rsid w:val="004E2501"/>
    <w:rsid w:val="004E3DF1"/>
    <w:rsid w:val="004F1BC0"/>
    <w:rsid w:val="004F41C1"/>
    <w:rsid w:val="004F7D0C"/>
    <w:rsid w:val="005017C4"/>
    <w:rsid w:val="0051028B"/>
    <w:rsid w:val="00517713"/>
    <w:rsid w:val="00520B99"/>
    <w:rsid w:val="00523639"/>
    <w:rsid w:val="00523A27"/>
    <w:rsid w:val="00525840"/>
    <w:rsid w:val="00527A1C"/>
    <w:rsid w:val="00530303"/>
    <w:rsid w:val="00530825"/>
    <w:rsid w:val="00530A5D"/>
    <w:rsid w:val="00531FE5"/>
    <w:rsid w:val="00533685"/>
    <w:rsid w:val="005353B4"/>
    <w:rsid w:val="0053649A"/>
    <w:rsid w:val="00536845"/>
    <w:rsid w:val="005379D8"/>
    <w:rsid w:val="005402FA"/>
    <w:rsid w:val="0054223B"/>
    <w:rsid w:val="005422EF"/>
    <w:rsid w:val="00543D0F"/>
    <w:rsid w:val="00544588"/>
    <w:rsid w:val="00547124"/>
    <w:rsid w:val="00551086"/>
    <w:rsid w:val="00551F86"/>
    <w:rsid w:val="00552A38"/>
    <w:rsid w:val="00556657"/>
    <w:rsid w:val="005631D6"/>
    <w:rsid w:val="005732DA"/>
    <w:rsid w:val="00577B8C"/>
    <w:rsid w:val="005808C2"/>
    <w:rsid w:val="00581354"/>
    <w:rsid w:val="00583C39"/>
    <w:rsid w:val="005841F4"/>
    <w:rsid w:val="005876A5"/>
    <w:rsid w:val="00587F28"/>
    <w:rsid w:val="005909CF"/>
    <w:rsid w:val="00591669"/>
    <w:rsid w:val="00591E71"/>
    <w:rsid w:val="0059401D"/>
    <w:rsid w:val="005960BB"/>
    <w:rsid w:val="00597757"/>
    <w:rsid w:val="00597D92"/>
    <w:rsid w:val="005A0AC6"/>
    <w:rsid w:val="005A0D41"/>
    <w:rsid w:val="005A1638"/>
    <w:rsid w:val="005A1904"/>
    <w:rsid w:val="005A5389"/>
    <w:rsid w:val="005A590E"/>
    <w:rsid w:val="005A6885"/>
    <w:rsid w:val="005B44F1"/>
    <w:rsid w:val="005B5CE8"/>
    <w:rsid w:val="005C01BA"/>
    <w:rsid w:val="005C22A5"/>
    <w:rsid w:val="005C524C"/>
    <w:rsid w:val="005D02B9"/>
    <w:rsid w:val="005D0F3B"/>
    <w:rsid w:val="005D5875"/>
    <w:rsid w:val="005D661B"/>
    <w:rsid w:val="005E18C8"/>
    <w:rsid w:val="005E4D3B"/>
    <w:rsid w:val="005F32C6"/>
    <w:rsid w:val="005F37ED"/>
    <w:rsid w:val="005F703A"/>
    <w:rsid w:val="00602E49"/>
    <w:rsid w:val="00603A90"/>
    <w:rsid w:val="00604F0B"/>
    <w:rsid w:val="006056F7"/>
    <w:rsid w:val="006057F8"/>
    <w:rsid w:val="00607BF1"/>
    <w:rsid w:val="00607F42"/>
    <w:rsid w:val="0061121A"/>
    <w:rsid w:val="006168A8"/>
    <w:rsid w:val="00616966"/>
    <w:rsid w:val="00625E54"/>
    <w:rsid w:val="00630787"/>
    <w:rsid w:val="00630D4D"/>
    <w:rsid w:val="00632A74"/>
    <w:rsid w:val="006349BE"/>
    <w:rsid w:val="00637E5F"/>
    <w:rsid w:val="00641CF5"/>
    <w:rsid w:val="006460E3"/>
    <w:rsid w:val="006469C0"/>
    <w:rsid w:val="00650D99"/>
    <w:rsid w:val="00651991"/>
    <w:rsid w:val="0065388D"/>
    <w:rsid w:val="006617C6"/>
    <w:rsid w:val="00661F0B"/>
    <w:rsid w:val="00663C4F"/>
    <w:rsid w:val="00663CEA"/>
    <w:rsid w:val="00673CB3"/>
    <w:rsid w:val="00676860"/>
    <w:rsid w:val="00676E96"/>
    <w:rsid w:val="0067742C"/>
    <w:rsid w:val="006845E1"/>
    <w:rsid w:val="00690ACF"/>
    <w:rsid w:val="00691401"/>
    <w:rsid w:val="006A112D"/>
    <w:rsid w:val="006A4655"/>
    <w:rsid w:val="006A68CF"/>
    <w:rsid w:val="006B128A"/>
    <w:rsid w:val="006B14EA"/>
    <w:rsid w:val="006B2AAE"/>
    <w:rsid w:val="006B2B3C"/>
    <w:rsid w:val="006B4814"/>
    <w:rsid w:val="006B4B63"/>
    <w:rsid w:val="006B74C8"/>
    <w:rsid w:val="006C0825"/>
    <w:rsid w:val="006C0A54"/>
    <w:rsid w:val="006C1053"/>
    <w:rsid w:val="006C115D"/>
    <w:rsid w:val="006C1D81"/>
    <w:rsid w:val="006C3065"/>
    <w:rsid w:val="006C4301"/>
    <w:rsid w:val="006C52A5"/>
    <w:rsid w:val="006C5E78"/>
    <w:rsid w:val="006C6F53"/>
    <w:rsid w:val="006C7038"/>
    <w:rsid w:val="006D0216"/>
    <w:rsid w:val="006D2E2F"/>
    <w:rsid w:val="006D503E"/>
    <w:rsid w:val="006D790A"/>
    <w:rsid w:val="006D7FD0"/>
    <w:rsid w:val="006E065B"/>
    <w:rsid w:val="006E1534"/>
    <w:rsid w:val="006E2483"/>
    <w:rsid w:val="006E24F2"/>
    <w:rsid w:val="006E465B"/>
    <w:rsid w:val="006E6A3C"/>
    <w:rsid w:val="006E6AD8"/>
    <w:rsid w:val="006E73EF"/>
    <w:rsid w:val="006E7B48"/>
    <w:rsid w:val="006F1C4D"/>
    <w:rsid w:val="006F219D"/>
    <w:rsid w:val="006F24D7"/>
    <w:rsid w:val="006F2755"/>
    <w:rsid w:val="006F2C1C"/>
    <w:rsid w:val="006F4BD3"/>
    <w:rsid w:val="006F55C5"/>
    <w:rsid w:val="006F55EF"/>
    <w:rsid w:val="00703F15"/>
    <w:rsid w:val="0070491B"/>
    <w:rsid w:val="007052D2"/>
    <w:rsid w:val="007052FD"/>
    <w:rsid w:val="00705348"/>
    <w:rsid w:val="007074A2"/>
    <w:rsid w:val="007078E2"/>
    <w:rsid w:val="00710E01"/>
    <w:rsid w:val="00713306"/>
    <w:rsid w:val="00714D4D"/>
    <w:rsid w:val="007161DA"/>
    <w:rsid w:val="00721474"/>
    <w:rsid w:val="00724398"/>
    <w:rsid w:val="007317DF"/>
    <w:rsid w:val="00731C7D"/>
    <w:rsid w:val="00732C74"/>
    <w:rsid w:val="00734647"/>
    <w:rsid w:val="00741482"/>
    <w:rsid w:val="00742FB1"/>
    <w:rsid w:val="00751820"/>
    <w:rsid w:val="00755934"/>
    <w:rsid w:val="00755B96"/>
    <w:rsid w:val="007604BB"/>
    <w:rsid w:val="00760F2B"/>
    <w:rsid w:val="0076268A"/>
    <w:rsid w:val="00764A8C"/>
    <w:rsid w:val="007659D2"/>
    <w:rsid w:val="00765B5D"/>
    <w:rsid w:val="007669D0"/>
    <w:rsid w:val="00766B8F"/>
    <w:rsid w:val="00770A02"/>
    <w:rsid w:val="00771861"/>
    <w:rsid w:val="00773114"/>
    <w:rsid w:val="0077314F"/>
    <w:rsid w:val="00784453"/>
    <w:rsid w:val="00785232"/>
    <w:rsid w:val="007903FC"/>
    <w:rsid w:val="007914E1"/>
    <w:rsid w:val="00792A1B"/>
    <w:rsid w:val="00797DC7"/>
    <w:rsid w:val="007A1526"/>
    <w:rsid w:val="007A21EB"/>
    <w:rsid w:val="007A24DB"/>
    <w:rsid w:val="007A2A67"/>
    <w:rsid w:val="007A5878"/>
    <w:rsid w:val="007A6AA5"/>
    <w:rsid w:val="007B05B5"/>
    <w:rsid w:val="007B0CB3"/>
    <w:rsid w:val="007B1A93"/>
    <w:rsid w:val="007B25B8"/>
    <w:rsid w:val="007B2D30"/>
    <w:rsid w:val="007B4184"/>
    <w:rsid w:val="007B45CD"/>
    <w:rsid w:val="007C0E57"/>
    <w:rsid w:val="007C0FCE"/>
    <w:rsid w:val="007C2258"/>
    <w:rsid w:val="007C36C9"/>
    <w:rsid w:val="007C40AB"/>
    <w:rsid w:val="007C5F37"/>
    <w:rsid w:val="007D6401"/>
    <w:rsid w:val="007E01E4"/>
    <w:rsid w:val="007E527D"/>
    <w:rsid w:val="007F08CC"/>
    <w:rsid w:val="007F1060"/>
    <w:rsid w:val="007F470B"/>
    <w:rsid w:val="007F53A6"/>
    <w:rsid w:val="007F6B75"/>
    <w:rsid w:val="007F7107"/>
    <w:rsid w:val="007F7A47"/>
    <w:rsid w:val="00800B87"/>
    <w:rsid w:val="00800D4C"/>
    <w:rsid w:val="00800D67"/>
    <w:rsid w:val="00800DAA"/>
    <w:rsid w:val="00806D01"/>
    <w:rsid w:val="00807BBA"/>
    <w:rsid w:val="00807F2D"/>
    <w:rsid w:val="0081030F"/>
    <w:rsid w:val="00810F2E"/>
    <w:rsid w:val="00813524"/>
    <w:rsid w:val="00813F53"/>
    <w:rsid w:val="0081493D"/>
    <w:rsid w:val="008165DE"/>
    <w:rsid w:val="008168FE"/>
    <w:rsid w:val="0082087D"/>
    <w:rsid w:val="00820942"/>
    <w:rsid w:val="0082138A"/>
    <w:rsid w:val="00822A07"/>
    <w:rsid w:val="00822C28"/>
    <w:rsid w:val="00823248"/>
    <w:rsid w:val="00825173"/>
    <w:rsid w:val="00830DFA"/>
    <w:rsid w:val="00834A0C"/>
    <w:rsid w:val="00835771"/>
    <w:rsid w:val="00837471"/>
    <w:rsid w:val="00837A28"/>
    <w:rsid w:val="00842377"/>
    <w:rsid w:val="00842933"/>
    <w:rsid w:val="00842E1C"/>
    <w:rsid w:val="00845F53"/>
    <w:rsid w:val="00853E88"/>
    <w:rsid w:val="00856B43"/>
    <w:rsid w:val="00857681"/>
    <w:rsid w:val="0086067A"/>
    <w:rsid w:val="0086082C"/>
    <w:rsid w:val="0086159E"/>
    <w:rsid w:val="008641F3"/>
    <w:rsid w:val="00864ADC"/>
    <w:rsid w:val="00865619"/>
    <w:rsid w:val="008670C2"/>
    <w:rsid w:val="008671FC"/>
    <w:rsid w:val="00867D1C"/>
    <w:rsid w:val="0087053B"/>
    <w:rsid w:val="00870732"/>
    <w:rsid w:val="0087565B"/>
    <w:rsid w:val="00875758"/>
    <w:rsid w:val="00876746"/>
    <w:rsid w:val="00877239"/>
    <w:rsid w:val="008777EB"/>
    <w:rsid w:val="00877F3D"/>
    <w:rsid w:val="00880153"/>
    <w:rsid w:val="00880F97"/>
    <w:rsid w:val="0088133A"/>
    <w:rsid w:val="00883607"/>
    <w:rsid w:val="0088363D"/>
    <w:rsid w:val="0088445E"/>
    <w:rsid w:val="0089000A"/>
    <w:rsid w:val="00890545"/>
    <w:rsid w:val="008913A9"/>
    <w:rsid w:val="0089285E"/>
    <w:rsid w:val="00894029"/>
    <w:rsid w:val="0089431D"/>
    <w:rsid w:val="0089436C"/>
    <w:rsid w:val="008960AB"/>
    <w:rsid w:val="00896410"/>
    <w:rsid w:val="00896656"/>
    <w:rsid w:val="008A2957"/>
    <w:rsid w:val="008A58BE"/>
    <w:rsid w:val="008A7E4B"/>
    <w:rsid w:val="008B0317"/>
    <w:rsid w:val="008B4833"/>
    <w:rsid w:val="008B4E2E"/>
    <w:rsid w:val="008B5B90"/>
    <w:rsid w:val="008B62C6"/>
    <w:rsid w:val="008B71F6"/>
    <w:rsid w:val="008C0F06"/>
    <w:rsid w:val="008C0FAC"/>
    <w:rsid w:val="008C3CB6"/>
    <w:rsid w:val="008C75EC"/>
    <w:rsid w:val="008D1605"/>
    <w:rsid w:val="008D190E"/>
    <w:rsid w:val="008D2405"/>
    <w:rsid w:val="008D365C"/>
    <w:rsid w:val="008D477C"/>
    <w:rsid w:val="008E0D09"/>
    <w:rsid w:val="008E175B"/>
    <w:rsid w:val="008E201E"/>
    <w:rsid w:val="008E2152"/>
    <w:rsid w:val="008E6475"/>
    <w:rsid w:val="008F1E59"/>
    <w:rsid w:val="008F1F99"/>
    <w:rsid w:val="008F286F"/>
    <w:rsid w:val="008F65CD"/>
    <w:rsid w:val="008F6D90"/>
    <w:rsid w:val="008F7828"/>
    <w:rsid w:val="009009BE"/>
    <w:rsid w:val="00902096"/>
    <w:rsid w:val="009029F7"/>
    <w:rsid w:val="00902F0F"/>
    <w:rsid w:val="009030BF"/>
    <w:rsid w:val="00906934"/>
    <w:rsid w:val="0091032F"/>
    <w:rsid w:val="00914368"/>
    <w:rsid w:val="009176D2"/>
    <w:rsid w:val="009213CA"/>
    <w:rsid w:val="00923CD1"/>
    <w:rsid w:val="0092661C"/>
    <w:rsid w:val="00926EA2"/>
    <w:rsid w:val="00930E43"/>
    <w:rsid w:val="00931076"/>
    <w:rsid w:val="009345D9"/>
    <w:rsid w:val="00934B15"/>
    <w:rsid w:val="0093568C"/>
    <w:rsid w:val="00936033"/>
    <w:rsid w:val="009362DE"/>
    <w:rsid w:val="00936742"/>
    <w:rsid w:val="00940C87"/>
    <w:rsid w:val="00941CC1"/>
    <w:rsid w:val="00942B62"/>
    <w:rsid w:val="00942F31"/>
    <w:rsid w:val="0094301A"/>
    <w:rsid w:val="0094573D"/>
    <w:rsid w:val="00945CA7"/>
    <w:rsid w:val="00951608"/>
    <w:rsid w:val="00951BCF"/>
    <w:rsid w:val="00951FB7"/>
    <w:rsid w:val="00953158"/>
    <w:rsid w:val="0095323B"/>
    <w:rsid w:val="009541C5"/>
    <w:rsid w:val="00954F03"/>
    <w:rsid w:val="00956383"/>
    <w:rsid w:val="00956A0C"/>
    <w:rsid w:val="00956BD9"/>
    <w:rsid w:val="00960FF8"/>
    <w:rsid w:val="00962489"/>
    <w:rsid w:val="00970E73"/>
    <w:rsid w:val="00973A4C"/>
    <w:rsid w:val="00974EC3"/>
    <w:rsid w:val="00975BD2"/>
    <w:rsid w:val="00976000"/>
    <w:rsid w:val="00976BF6"/>
    <w:rsid w:val="00982C88"/>
    <w:rsid w:val="009851C2"/>
    <w:rsid w:val="009908D9"/>
    <w:rsid w:val="00990C2C"/>
    <w:rsid w:val="00991E29"/>
    <w:rsid w:val="0099201B"/>
    <w:rsid w:val="00997C0C"/>
    <w:rsid w:val="009A08DF"/>
    <w:rsid w:val="009A0CA3"/>
    <w:rsid w:val="009A256D"/>
    <w:rsid w:val="009A26E7"/>
    <w:rsid w:val="009A5395"/>
    <w:rsid w:val="009A7488"/>
    <w:rsid w:val="009B1442"/>
    <w:rsid w:val="009C08B7"/>
    <w:rsid w:val="009C28C9"/>
    <w:rsid w:val="009D0725"/>
    <w:rsid w:val="009D43E4"/>
    <w:rsid w:val="009D456D"/>
    <w:rsid w:val="009E0330"/>
    <w:rsid w:val="009E1844"/>
    <w:rsid w:val="009E2B73"/>
    <w:rsid w:val="009E2EB1"/>
    <w:rsid w:val="009E5B27"/>
    <w:rsid w:val="009E6C80"/>
    <w:rsid w:val="009F0D1B"/>
    <w:rsid w:val="009F296D"/>
    <w:rsid w:val="009F3D99"/>
    <w:rsid w:val="009F45D8"/>
    <w:rsid w:val="009F6235"/>
    <w:rsid w:val="009F696D"/>
    <w:rsid w:val="009F6BC6"/>
    <w:rsid w:val="00A00697"/>
    <w:rsid w:val="00A017E8"/>
    <w:rsid w:val="00A02FFC"/>
    <w:rsid w:val="00A032C8"/>
    <w:rsid w:val="00A033F1"/>
    <w:rsid w:val="00A048DC"/>
    <w:rsid w:val="00A05B38"/>
    <w:rsid w:val="00A10DA6"/>
    <w:rsid w:val="00A1190C"/>
    <w:rsid w:val="00A17328"/>
    <w:rsid w:val="00A17AC5"/>
    <w:rsid w:val="00A205C6"/>
    <w:rsid w:val="00A22AC4"/>
    <w:rsid w:val="00A23337"/>
    <w:rsid w:val="00A23A20"/>
    <w:rsid w:val="00A24677"/>
    <w:rsid w:val="00A268B9"/>
    <w:rsid w:val="00A26CED"/>
    <w:rsid w:val="00A2703A"/>
    <w:rsid w:val="00A27795"/>
    <w:rsid w:val="00A31F32"/>
    <w:rsid w:val="00A337B6"/>
    <w:rsid w:val="00A33DFF"/>
    <w:rsid w:val="00A342F0"/>
    <w:rsid w:val="00A35115"/>
    <w:rsid w:val="00A36D9A"/>
    <w:rsid w:val="00A372AF"/>
    <w:rsid w:val="00A421D1"/>
    <w:rsid w:val="00A428C8"/>
    <w:rsid w:val="00A446BD"/>
    <w:rsid w:val="00A450DB"/>
    <w:rsid w:val="00A45F8B"/>
    <w:rsid w:val="00A46E80"/>
    <w:rsid w:val="00A50708"/>
    <w:rsid w:val="00A554AB"/>
    <w:rsid w:val="00A57062"/>
    <w:rsid w:val="00A57EC4"/>
    <w:rsid w:val="00A64EB5"/>
    <w:rsid w:val="00A65AD2"/>
    <w:rsid w:val="00A65DD4"/>
    <w:rsid w:val="00A70AA2"/>
    <w:rsid w:val="00A7311A"/>
    <w:rsid w:val="00A74744"/>
    <w:rsid w:val="00A758DC"/>
    <w:rsid w:val="00A80834"/>
    <w:rsid w:val="00A82121"/>
    <w:rsid w:val="00A8243C"/>
    <w:rsid w:val="00A83CED"/>
    <w:rsid w:val="00A854E9"/>
    <w:rsid w:val="00A9013A"/>
    <w:rsid w:val="00A9284E"/>
    <w:rsid w:val="00A92B53"/>
    <w:rsid w:val="00A948BF"/>
    <w:rsid w:val="00A94FA6"/>
    <w:rsid w:val="00A95A28"/>
    <w:rsid w:val="00A96008"/>
    <w:rsid w:val="00A97442"/>
    <w:rsid w:val="00A978C9"/>
    <w:rsid w:val="00AA2F00"/>
    <w:rsid w:val="00AA3385"/>
    <w:rsid w:val="00AA3EA4"/>
    <w:rsid w:val="00AA49A0"/>
    <w:rsid w:val="00AA5EA5"/>
    <w:rsid w:val="00AA6710"/>
    <w:rsid w:val="00AA7882"/>
    <w:rsid w:val="00AA78BC"/>
    <w:rsid w:val="00AB0681"/>
    <w:rsid w:val="00AB08A2"/>
    <w:rsid w:val="00AB3B27"/>
    <w:rsid w:val="00AB3F27"/>
    <w:rsid w:val="00AB5D78"/>
    <w:rsid w:val="00AB6257"/>
    <w:rsid w:val="00AC6EEB"/>
    <w:rsid w:val="00AC7925"/>
    <w:rsid w:val="00AD2A65"/>
    <w:rsid w:val="00AD372A"/>
    <w:rsid w:val="00AD520B"/>
    <w:rsid w:val="00AD5AE8"/>
    <w:rsid w:val="00AD692B"/>
    <w:rsid w:val="00AD7E7C"/>
    <w:rsid w:val="00AE0154"/>
    <w:rsid w:val="00AE1FA2"/>
    <w:rsid w:val="00AE21F8"/>
    <w:rsid w:val="00AE42F3"/>
    <w:rsid w:val="00AE4DA8"/>
    <w:rsid w:val="00AF0DE3"/>
    <w:rsid w:val="00AF1433"/>
    <w:rsid w:val="00AF2480"/>
    <w:rsid w:val="00AF297C"/>
    <w:rsid w:val="00AF2B91"/>
    <w:rsid w:val="00B04C07"/>
    <w:rsid w:val="00B10966"/>
    <w:rsid w:val="00B12FD8"/>
    <w:rsid w:val="00B13F37"/>
    <w:rsid w:val="00B200B8"/>
    <w:rsid w:val="00B2286C"/>
    <w:rsid w:val="00B239A3"/>
    <w:rsid w:val="00B24B53"/>
    <w:rsid w:val="00B2734D"/>
    <w:rsid w:val="00B32079"/>
    <w:rsid w:val="00B33490"/>
    <w:rsid w:val="00B372BE"/>
    <w:rsid w:val="00B3765A"/>
    <w:rsid w:val="00B418D1"/>
    <w:rsid w:val="00B41BED"/>
    <w:rsid w:val="00B421FD"/>
    <w:rsid w:val="00B425C3"/>
    <w:rsid w:val="00B426B2"/>
    <w:rsid w:val="00B440AD"/>
    <w:rsid w:val="00B4576E"/>
    <w:rsid w:val="00B4680A"/>
    <w:rsid w:val="00B47617"/>
    <w:rsid w:val="00B479BB"/>
    <w:rsid w:val="00B50D6B"/>
    <w:rsid w:val="00B53E7E"/>
    <w:rsid w:val="00B54513"/>
    <w:rsid w:val="00B54B01"/>
    <w:rsid w:val="00B57ADD"/>
    <w:rsid w:val="00B622F0"/>
    <w:rsid w:val="00B6342E"/>
    <w:rsid w:val="00B6407D"/>
    <w:rsid w:val="00B643EB"/>
    <w:rsid w:val="00B710DB"/>
    <w:rsid w:val="00B7113F"/>
    <w:rsid w:val="00B7282B"/>
    <w:rsid w:val="00B730D8"/>
    <w:rsid w:val="00B734E0"/>
    <w:rsid w:val="00B754FB"/>
    <w:rsid w:val="00B76AF0"/>
    <w:rsid w:val="00B80652"/>
    <w:rsid w:val="00B827A0"/>
    <w:rsid w:val="00B82E5D"/>
    <w:rsid w:val="00B83FDC"/>
    <w:rsid w:val="00B84CA4"/>
    <w:rsid w:val="00B8529C"/>
    <w:rsid w:val="00B8636C"/>
    <w:rsid w:val="00B909D3"/>
    <w:rsid w:val="00B93AE7"/>
    <w:rsid w:val="00B96BE1"/>
    <w:rsid w:val="00B97592"/>
    <w:rsid w:val="00B9796E"/>
    <w:rsid w:val="00B979FF"/>
    <w:rsid w:val="00BA0082"/>
    <w:rsid w:val="00BA0117"/>
    <w:rsid w:val="00BA0E4E"/>
    <w:rsid w:val="00BA1B8D"/>
    <w:rsid w:val="00BA5A58"/>
    <w:rsid w:val="00BA73B6"/>
    <w:rsid w:val="00BA7E27"/>
    <w:rsid w:val="00BB13B5"/>
    <w:rsid w:val="00BB2226"/>
    <w:rsid w:val="00BB2603"/>
    <w:rsid w:val="00BB3487"/>
    <w:rsid w:val="00BB4FCD"/>
    <w:rsid w:val="00BB676C"/>
    <w:rsid w:val="00BC04E9"/>
    <w:rsid w:val="00BC0D1F"/>
    <w:rsid w:val="00BC14DE"/>
    <w:rsid w:val="00BC2426"/>
    <w:rsid w:val="00BC5160"/>
    <w:rsid w:val="00BD091E"/>
    <w:rsid w:val="00BD13EA"/>
    <w:rsid w:val="00BD4DE9"/>
    <w:rsid w:val="00BD5DD1"/>
    <w:rsid w:val="00BD6099"/>
    <w:rsid w:val="00BD79FB"/>
    <w:rsid w:val="00BE0E9A"/>
    <w:rsid w:val="00BE3808"/>
    <w:rsid w:val="00BE3AE6"/>
    <w:rsid w:val="00BE527C"/>
    <w:rsid w:val="00BE5854"/>
    <w:rsid w:val="00BE5DE4"/>
    <w:rsid w:val="00BE6326"/>
    <w:rsid w:val="00BE7184"/>
    <w:rsid w:val="00BF00F1"/>
    <w:rsid w:val="00BF2721"/>
    <w:rsid w:val="00BF414D"/>
    <w:rsid w:val="00BF5607"/>
    <w:rsid w:val="00BF5D3C"/>
    <w:rsid w:val="00C042B6"/>
    <w:rsid w:val="00C062E9"/>
    <w:rsid w:val="00C07B64"/>
    <w:rsid w:val="00C07FB5"/>
    <w:rsid w:val="00C110D6"/>
    <w:rsid w:val="00C1153B"/>
    <w:rsid w:val="00C11C79"/>
    <w:rsid w:val="00C11C7E"/>
    <w:rsid w:val="00C13721"/>
    <w:rsid w:val="00C13834"/>
    <w:rsid w:val="00C14FE4"/>
    <w:rsid w:val="00C16AA2"/>
    <w:rsid w:val="00C21161"/>
    <w:rsid w:val="00C2188A"/>
    <w:rsid w:val="00C23E6B"/>
    <w:rsid w:val="00C241E1"/>
    <w:rsid w:val="00C2739E"/>
    <w:rsid w:val="00C3066D"/>
    <w:rsid w:val="00C31125"/>
    <w:rsid w:val="00C33D4F"/>
    <w:rsid w:val="00C34792"/>
    <w:rsid w:val="00C3704B"/>
    <w:rsid w:val="00C37A63"/>
    <w:rsid w:val="00C43488"/>
    <w:rsid w:val="00C46458"/>
    <w:rsid w:val="00C51E05"/>
    <w:rsid w:val="00C52416"/>
    <w:rsid w:val="00C543F4"/>
    <w:rsid w:val="00C55C0A"/>
    <w:rsid w:val="00C628D1"/>
    <w:rsid w:val="00C6291C"/>
    <w:rsid w:val="00C62FAD"/>
    <w:rsid w:val="00C63003"/>
    <w:rsid w:val="00C633CB"/>
    <w:rsid w:val="00C6472F"/>
    <w:rsid w:val="00C665C7"/>
    <w:rsid w:val="00C673FE"/>
    <w:rsid w:val="00C67CAB"/>
    <w:rsid w:val="00C73289"/>
    <w:rsid w:val="00C736B7"/>
    <w:rsid w:val="00C804D3"/>
    <w:rsid w:val="00C81D4A"/>
    <w:rsid w:val="00C85AF3"/>
    <w:rsid w:val="00C8762C"/>
    <w:rsid w:val="00C87D2B"/>
    <w:rsid w:val="00C90516"/>
    <w:rsid w:val="00C90C1C"/>
    <w:rsid w:val="00C914BC"/>
    <w:rsid w:val="00C93273"/>
    <w:rsid w:val="00C94F10"/>
    <w:rsid w:val="00CA00F9"/>
    <w:rsid w:val="00CA2961"/>
    <w:rsid w:val="00CB0666"/>
    <w:rsid w:val="00CB3ABD"/>
    <w:rsid w:val="00CB50D7"/>
    <w:rsid w:val="00CB645A"/>
    <w:rsid w:val="00CB6A75"/>
    <w:rsid w:val="00CB7177"/>
    <w:rsid w:val="00CC0F32"/>
    <w:rsid w:val="00CC1998"/>
    <w:rsid w:val="00CC4946"/>
    <w:rsid w:val="00CC6C07"/>
    <w:rsid w:val="00CC6E53"/>
    <w:rsid w:val="00CC7EB8"/>
    <w:rsid w:val="00CD0C38"/>
    <w:rsid w:val="00CD0DFC"/>
    <w:rsid w:val="00CD6270"/>
    <w:rsid w:val="00CE1A64"/>
    <w:rsid w:val="00CE20B2"/>
    <w:rsid w:val="00CE6C0E"/>
    <w:rsid w:val="00CF0C66"/>
    <w:rsid w:val="00CF2F5F"/>
    <w:rsid w:val="00CF31D6"/>
    <w:rsid w:val="00CF3474"/>
    <w:rsid w:val="00CF4728"/>
    <w:rsid w:val="00D03E7C"/>
    <w:rsid w:val="00D10605"/>
    <w:rsid w:val="00D1402A"/>
    <w:rsid w:val="00D15AC5"/>
    <w:rsid w:val="00D1661F"/>
    <w:rsid w:val="00D175DA"/>
    <w:rsid w:val="00D20971"/>
    <w:rsid w:val="00D235CA"/>
    <w:rsid w:val="00D23A23"/>
    <w:rsid w:val="00D243B6"/>
    <w:rsid w:val="00D255F3"/>
    <w:rsid w:val="00D270A4"/>
    <w:rsid w:val="00D27967"/>
    <w:rsid w:val="00D30B3C"/>
    <w:rsid w:val="00D31FE9"/>
    <w:rsid w:val="00D32F22"/>
    <w:rsid w:val="00D3300F"/>
    <w:rsid w:val="00D3424C"/>
    <w:rsid w:val="00D34429"/>
    <w:rsid w:val="00D34E1B"/>
    <w:rsid w:val="00D35A28"/>
    <w:rsid w:val="00D376BA"/>
    <w:rsid w:val="00D37DBD"/>
    <w:rsid w:val="00D42B9F"/>
    <w:rsid w:val="00D45634"/>
    <w:rsid w:val="00D52E76"/>
    <w:rsid w:val="00D53895"/>
    <w:rsid w:val="00D5568A"/>
    <w:rsid w:val="00D61E47"/>
    <w:rsid w:val="00D628FB"/>
    <w:rsid w:val="00D63D73"/>
    <w:rsid w:val="00D64452"/>
    <w:rsid w:val="00D64CE2"/>
    <w:rsid w:val="00D66E1E"/>
    <w:rsid w:val="00D70729"/>
    <w:rsid w:val="00D74394"/>
    <w:rsid w:val="00D75597"/>
    <w:rsid w:val="00D75722"/>
    <w:rsid w:val="00D77FCA"/>
    <w:rsid w:val="00D80CF5"/>
    <w:rsid w:val="00D81EF3"/>
    <w:rsid w:val="00D82CCE"/>
    <w:rsid w:val="00D830A1"/>
    <w:rsid w:val="00D83141"/>
    <w:rsid w:val="00D8455C"/>
    <w:rsid w:val="00D86F8A"/>
    <w:rsid w:val="00D90E87"/>
    <w:rsid w:val="00D92FA4"/>
    <w:rsid w:val="00D93676"/>
    <w:rsid w:val="00D9403E"/>
    <w:rsid w:val="00D942B8"/>
    <w:rsid w:val="00D96D9E"/>
    <w:rsid w:val="00D97014"/>
    <w:rsid w:val="00D97A46"/>
    <w:rsid w:val="00DA1BCC"/>
    <w:rsid w:val="00DA1D9A"/>
    <w:rsid w:val="00DA4044"/>
    <w:rsid w:val="00DA5BBA"/>
    <w:rsid w:val="00DB06F7"/>
    <w:rsid w:val="00DB2216"/>
    <w:rsid w:val="00DB26D2"/>
    <w:rsid w:val="00DB655F"/>
    <w:rsid w:val="00DB67C9"/>
    <w:rsid w:val="00DB71A1"/>
    <w:rsid w:val="00DB7EA4"/>
    <w:rsid w:val="00DC0C95"/>
    <w:rsid w:val="00DC0E4C"/>
    <w:rsid w:val="00DC11C6"/>
    <w:rsid w:val="00DC1B60"/>
    <w:rsid w:val="00DC1F26"/>
    <w:rsid w:val="00DC4B45"/>
    <w:rsid w:val="00DC6A9C"/>
    <w:rsid w:val="00DC7FC5"/>
    <w:rsid w:val="00DD49E3"/>
    <w:rsid w:val="00DD6580"/>
    <w:rsid w:val="00DD737F"/>
    <w:rsid w:val="00DD78DE"/>
    <w:rsid w:val="00DE04EB"/>
    <w:rsid w:val="00DE0D09"/>
    <w:rsid w:val="00DE1BAA"/>
    <w:rsid w:val="00DE2FC5"/>
    <w:rsid w:val="00DE7530"/>
    <w:rsid w:val="00DF3080"/>
    <w:rsid w:val="00DF6558"/>
    <w:rsid w:val="00DF7CDD"/>
    <w:rsid w:val="00DF7F2E"/>
    <w:rsid w:val="00E000AC"/>
    <w:rsid w:val="00E00D52"/>
    <w:rsid w:val="00E01D25"/>
    <w:rsid w:val="00E0353F"/>
    <w:rsid w:val="00E03A7F"/>
    <w:rsid w:val="00E03E87"/>
    <w:rsid w:val="00E04596"/>
    <w:rsid w:val="00E068C3"/>
    <w:rsid w:val="00E117F4"/>
    <w:rsid w:val="00E1470B"/>
    <w:rsid w:val="00E16851"/>
    <w:rsid w:val="00E174F9"/>
    <w:rsid w:val="00E17C72"/>
    <w:rsid w:val="00E21FC6"/>
    <w:rsid w:val="00E242BD"/>
    <w:rsid w:val="00E30BB5"/>
    <w:rsid w:val="00E31952"/>
    <w:rsid w:val="00E32BB8"/>
    <w:rsid w:val="00E3331A"/>
    <w:rsid w:val="00E33942"/>
    <w:rsid w:val="00E339A0"/>
    <w:rsid w:val="00E3573F"/>
    <w:rsid w:val="00E4002C"/>
    <w:rsid w:val="00E40CE6"/>
    <w:rsid w:val="00E42334"/>
    <w:rsid w:val="00E431A9"/>
    <w:rsid w:val="00E435F6"/>
    <w:rsid w:val="00E4462A"/>
    <w:rsid w:val="00E4474D"/>
    <w:rsid w:val="00E44DDB"/>
    <w:rsid w:val="00E457C3"/>
    <w:rsid w:val="00E462E1"/>
    <w:rsid w:val="00E46F13"/>
    <w:rsid w:val="00E50552"/>
    <w:rsid w:val="00E50FD7"/>
    <w:rsid w:val="00E51621"/>
    <w:rsid w:val="00E5189E"/>
    <w:rsid w:val="00E540A8"/>
    <w:rsid w:val="00E63068"/>
    <w:rsid w:val="00E669E2"/>
    <w:rsid w:val="00E673F3"/>
    <w:rsid w:val="00E67C12"/>
    <w:rsid w:val="00E71322"/>
    <w:rsid w:val="00E73293"/>
    <w:rsid w:val="00E74568"/>
    <w:rsid w:val="00E74C33"/>
    <w:rsid w:val="00E76135"/>
    <w:rsid w:val="00E76586"/>
    <w:rsid w:val="00E769A6"/>
    <w:rsid w:val="00E822A6"/>
    <w:rsid w:val="00E82F4F"/>
    <w:rsid w:val="00E86C6A"/>
    <w:rsid w:val="00E871E1"/>
    <w:rsid w:val="00E93D31"/>
    <w:rsid w:val="00E93DE5"/>
    <w:rsid w:val="00E95163"/>
    <w:rsid w:val="00E96820"/>
    <w:rsid w:val="00EA1F69"/>
    <w:rsid w:val="00EA6F78"/>
    <w:rsid w:val="00EA7EF8"/>
    <w:rsid w:val="00EB1E26"/>
    <w:rsid w:val="00EB48A0"/>
    <w:rsid w:val="00EB493A"/>
    <w:rsid w:val="00EB5BD3"/>
    <w:rsid w:val="00EB664C"/>
    <w:rsid w:val="00EC2844"/>
    <w:rsid w:val="00EC2F57"/>
    <w:rsid w:val="00EC344D"/>
    <w:rsid w:val="00EC4769"/>
    <w:rsid w:val="00EC5500"/>
    <w:rsid w:val="00ED0391"/>
    <w:rsid w:val="00ED18F8"/>
    <w:rsid w:val="00ED34D7"/>
    <w:rsid w:val="00ED439B"/>
    <w:rsid w:val="00EE4E8D"/>
    <w:rsid w:val="00EE644F"/>
    <w:rsid w:val="00EE64D4"/>
    <w:rsid w:val="00EE708F"/>
    <w:rsid w:val="00EE7BF2"/>
    <w:rsid w:val="00EF1467"/>
    <w:rsid w:val="00EF1756"/>
    <w:rsid w:val="00EF5B35"/>
    <w:rsid w:val="00EF61A8"/>
    <w:rsid w:val="00EF6C6C"/>
    <w:rsid w:val="00F0396F"/>
    <w:rsid w:val="00F056FC"/>
    <w:rsid w:val="00F067F5"/>
    <w:rsid w:val="00F10476"/>
    <w:rsid w:val="00F12419"/>
    <w:rsid w:val="00F135D8"/>
    <w:rsid w:val="00F1497B"/>
    <w:rsid w:val="00F153ED"/>
    <w:rsid w:val="00F15821"/>
    <w:rsid w:val="00F15E97"/>
    <w:rsid w:val="00F16765"/>
    <w:rsid w:val="00F25746"/>
    <w:rsid w:val="00F31299"/>
    <w:rsid w:val="00F3534A"/>
    <w:rsid w:val="00F358B7"/>
    <w:rsid w:val="00F40C6D"/>
    <w:rsid w:val="00F429D8"/>
    <w:rsid w:val="00F43F87"/>
    <w:rsid w:val="00F45253"/>
    <w:rsid w:val="00F51609"/>
    <w:rsid w:val="00F548A0"/>
    <w:rsid w:val="00F56E11"/>
    <w:rsid w:val="00F574B0"/>
    <w:rsid w:val="00F60337"/>
    <w:rsid w:val="00F61332"/>
    <w:rsid w:val="00F613A4"/>
    <w:rsid w:val="00F6153D"/>
    <w:rsid w:val="00F64658"/>
    <w:rsid w:val="00F66740"/>
    <w:rsid w:val="00F66A98"/>
    <w:rsid w:val="00F70922"/>
    <w:rsid w:val="00F71540"/>
    <w:rsid w:val="00F72BED"/>
    <w:rsid w:val="00F75027"/>
    <w:rsid w:val="00F76859"/>
    <w:rsid w:val="00F8083A"/>
    <w:rsid w:val="00F80855"/>
    <w:rsid w:val="00F80D72"/>
    <w:rsid w:val="00F81006"/>
    <w:rsid w:val="00F832C5"/>
    <w:rsid w:val="00F839ED"/>
    <w:rsid w:val="00F85325"/>
    <w:rsid w:val="00F85E5D"/>
    <w:rsid w:val="00F879C6"/>
    <w:rsid w:val="00F9155C"/>
    <w:rsid w:val="00F93AF3"/>
    <w:rsid w:val="00F977CD"/>
    <w:rsid w:val="00FA0219"/>
    <w:rsid w:val="00FA07D8"/>
    <w:rsid w:val="00FB06AE"/>
    <w:rsid w:val="00FB0DF9"/>
    <w:rsid w:val="00FB137B"/>
    <w:rsid w:val="00FB19A3"/>
    <w:rsid w:val="00FB53A2"/>
    <w:rsid w:val="00FC0CEB"/>
    <w:rsid w:val="00FC53DA"/>
    <w:rsid w:val="00FC6314"/>
    <w:rsid w:val="00FC68FD"/>
    <w:rsid w:val="00FD22B1"/>
    <w:rsid w:val="00FD2A0E"/>
    <w:rsid w:val="00FD2A87"/>
    <w:rsid w:val="00FD2D92"/>
    <w:rsid w:val="00FD3AA9"/>
    <w:rsid w:val="00FD4474"/>
    <w:rsid w:val="00FE32A8"/>
    <w:rsid w:val="00FE5397"/>
    <w:rsid w:val="00FE5F38"/>
    <w:rsid w:val="00FE6BDC"/>
    <w:rsid w:val="00FE7D12"/>
    <w:rsid w:val="00FF5EF1"/>
    <w:rsid w:val="00FF64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Footnote Text Char1,Footnote Text Char Char"/>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semiHidden/>
    <w:rsid w:val="00676860"/>
    <w:rPr>
      <w:szCs w:val="24"/>
    </w:rPr>
  </w:style>
  <w:style w:type="character" w:styleId="Hyperlink">
    <w:name w:val="Hyperlink"/>
    <w:basedOn w:val="DefaultParagraphFont"/>
    <w:rsid w:val="00676860"/>
    <w:rPr>
      <w:color w:val="0000FF" w:themeColor="hyperlink"/>
      <w:u w:val="single"/>
    </w:rPr>
  </w:style>
  <w:style w:type="character" w:customStyle="1" w:styleId="BodyTextChar">
    <w:name w:val="Body Text Char"/>
    <w:basedOn w:val="DefaultParagraphFont"/>
    <w:link w:val="BodyText"/>
    <w:uiPriority w:val="99"/>
    <w:rsid w:val="00D628FB"/>
    <w:rPr>
      <w:sz w:val="26"/>
    </w:rPr>
  </w:style>
  <w:style w:type="character" w:customStyle="1" w:styleId="CommentTextChar1">
    <w:name w:val="Comment Text Char1"/>
    <w:basedOn w:val="DefaultParagraphFont"/>
    <w:semiHidden/>
    <w:rsid w:val="00D628FB"/>
    <w:rPr>
      <w:szCs w:val="24"/>
    </w:rPr>
  </w:style>
  <w:style w:type="character" w:customStyle="1" w:styleId="FootnoteTextChar">
    <w:name w:val="Footnote Text Char"/>
    <w:aliases w:val="Footnote Text Char1 Char,Footnote Text Char Char Char"/>
    <w:basedOn w:val="BodyTextChar"/>
    <w:link w:val="FootnoteText"/>
    <w:rsid w:val="00B41BED"/>
    <w:rPr>
      <w:sz w:val="22"/>
    </w:rPr>
  </w:style>
  <w:style w:type="character" w:styleId="FollowedHyperlink">
    <w:name w:val="FollowedHyperlink"/>
    <w:basedOn w:val="DefaultParagraphFont"/>
    <w:rsid w:val="00E40CE6"/>
    <w:rPr>
      <w:color w:val="800080" w:themeColor="followedHyperlink"/>
      <w:u w:val="single"/>
    </w:rPr>
  </w:style>
  <w:style w:type="paragraph" w:styleId="CommentSubject">
    <w:name w:val="annotation subject"/>
    <w:basedOn w:val="CommentText"/>
    <w:next w:val="CommentText"/>
    <w:link w:val="CommentSubjectChar"/>
    <w:rsid w:val="00581354"/>
    <w:pPr>
      <w:spacing w:before="0" w:line="240" w:lineRule="auto"/>
      <w:ind w:left="0" w:firstLine="0"/>
    </w:pPr>
    <w:rPr>
      <w:b/>
      <w:bCs/>
      <w:szCs w:val="20"/>
    </w:rPr>
  </w:style>
  <w:style w:type="character" w:customStyle="1" w:styleId="CommentSubjectChar">
    <w:name w:val="Comment Subject Char"/>
    <w:basedOn w:val="CommentTextChar"/>
    <w:link w:val="CommentSubject"/>
    <w:rsid w:val="00581354"/>
    <w:rPr>
      <w:b/>
      <w:bCs/>
      <w:szCs w:val="24"/>
    </w:rPr>
  </w:style>
  <w:style w:type="paragraph" w:styleId="ListParagraph">
    <w:name w:val="List Paragraph"/>
    <w:basedOn w:val="Normal"/>
    <w:uiPriority w:val="34"/>
    <w:rsid w:val="007C2258"/>
    <w:pPr>
      <w:ind w:left="720"/>
      <w:contextualSpacing/>
    </w:pPr>
  </w:style>
  <w:style w:type="paragraph" w:styleId="Revision">
    <w:name w:val="Revision"/>
    <w:hidden/>
    <w:uiPriority w:val="99"/>
    <w:semiHidden/>
    <w:rsid w:val="00E3331A"/>
    <w:rPr>
      <w:sz w:val="26"/>
      <w:szCs w:val="24"/>
    </w:rPr>
  </w:style>
  <w:style w:type="paragraph" w:customStyle="1" w:styleId="Default">
    <w:name w:val="Default"/>
    <w:rsid w:val="009F3D99"/>
    <w:pPr>
      <w:autoSpaceDE w:val="0"/>
      <w:autoSpaceDN w:val="0"/>
      <w:adjustRightInd w:val="0"/>
    </w:pPr>
    <w:rPr>
      <w:color w:val="000000"/>
      <w:sz w:val="24"/>
      <w:szCs w:val="24"/>
    </w:rPr>
  </w:style>
  <w:style w:type="character" w:customStyle="1" w:styleId="Heading4Char">
    <w:name w:val="Heading 4 Char"/>
    <w:basedOn w:val="DefaultParagraphFont"/>
    <w:link w:val="Heading4"/>
    <w:rsid w:val="004A4DD5"/>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Footnote Text Char1,Footnote Text Char Char"/>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semiHidden/>
    <w:rsid w:val="00676860"/>
    <w:rPr>
      <w:szCs w:val="24"/>
    </w:rPr>
  </w:style>
  <w:style w:type="character" w:styleId="Hyperlink">
    <w:name w:val="Hyperlink"/>
    <w:basedOn w:val="DefaultParagraphFont"/>
    <w:rsid w:val="00676860"/>
    <w:rPr>
      <w:color w:val="0000FF" w:themeColor="hyperlink"/>
      <w:u w:val="single"/>
    </w:rPr>
  </w:style>
  <w:style w:type="character" w:customStyle="1" w:styleId="BodyTextChar">
    <w:name w:val="Body Text Char"/>
    <w:basedOn w:val="DefaultParagraphFont"/>
    <w:link w:val="BodyText"/>
    <w:uiPriority w:val="99"/>
    <w:rsid w:val="00D628FB"/>
    <w:rPr>
      <w:sz w:val="26"/>
    </w:rPr>
  </w:style>
  <w:style w:type="character" w:customStyle="1" w:styleId="CommentTextChar1">
    <w:name w:val="Comment Text Char1"/>
    <w:basedOn w:val="DefaultParagraphFont"/>
    <w:semiHidden/>
    <w:rsid w:val="00D628FB"/>
    <w:rPr>
      <w:szCs w:val="24"/>
    </w:rPr>
  </w:style>
  <w:style w:type="character" w:customStyle="1" w:styleId="FootnoteTextChar">
    <w:name w:val="Footnote Text Char"/>
    <w:aliases w:val="Footnote Text Char1 Char,Footnote Text Char Char Char"/>
    <w:basedOn w:val="BodyTextChar"/>
    <w:link w:val="FootnoteText"/>
    <w:rsid w:val="00B41BED"/>
    <w:rPr>
      <w:sz w:val="22"/>
    </w:rPr>
  </w:style>
  <w:style w:type="character" w:styleId="FollowedHyperlink">
    <w:name w:val="FollowedHyperlink"/>
    <w:basedOn w:val="DefaultParagraphFont"/>
    <w:rsid w:val="00E40CE6"/>
    <w:rPr>
      <w:color w:val="800080" w:themeColor="followedHyperlink"/>
      <w:u w:val="single"/>
    </w:rPr>
  </w:style>
  <w:style w:type="paragraph" w:styleId="CommentSubject">
    <w:name w:val="annotation subject"/>
    <w:basedOn w:val="CommentText"/>
    <w:next w:val="CommentText"/>
    <w:link w:val="CommentSubjectChar"/>
    <w:rsid w:val="00581354"/>
    <w:pPr>
      <w:spacing w:before="0" w:line="240" w:lineRule="auto"/>
      <w:ind w:left="0" w:firstLine="0"/>
    </w:pPr>
    <w:rPr>
      <w:b/>
      <w:bCs/>
      <w:szCs w:val="20"/>
    </w:rPr>
  </w:style>
  <w:style w:type="character" w:customStyle="1" w:styleId="CommentSubjectChar">
    <w:name w:val="Comment Subject Char"/>
    <w:basedOn w:val="CommentTextChar"/>
    <w:link w:val="CommentSubject"/>
    <w:rsid w:val="00581354"/>
    <w:rPr>
      <w:b/>
      <w:bCs/>
      <w:szCs w:val="24"/>
    </w:rPr>
  </w:style>
  <w:style w:type="paragraph" w:styleId="ListParagraph">
    <w:name w:val="List Paragraph"/>
    <w:basedOn w:val="Normal"/>
    <w:uiPriority w:val="34"/>
    <w:rsid w:val="007C2258"/>
    <w:pPr>
      <w:ind w:left="720"/>
      <w:contextualSpacing/>
    </w:pPr>
  </w:style>
  <w:style w:type="paragraph" w:styleId="Revision">
    <w:name w:val="Revision"/>
    <w:hidden/>
    <w:uiPriority w:val="99"/>
    <w:semiHidden/>
    <w:rsid w:val="00E3331A"/>
    <w:rPr>
      <w:sz w:val="26"/>
      <w:szCs w:val="24"/>
    </w:rPr>
  </w:style>
  <w:style w:type="paragraph" w:customStyle="1" w:styleId="Default">
    <w:name w:val="Default"/>
    <w:rsid w:val="009F3D99"/>
    <w:pPr>
      <w:autoSpaceDE w:val="0"/>
      <w:autoSpaceDN w:val="0"/>
      <w:adjustRightInd w:val="0"/>
    </w:pPr>
    <w:rPr>
      <w:color w:val="000000"/>
      <w:sz w:val="24"/>
      <w:szCs w:val="24"/>
    </w:rPr>
  </w:style>
  <w:style w:type="character" w:customStyle="1" w:styleId="Heading4Char">
    <w:name w:val="Heading 4 Char"/>
    <w:basedOn w:val="DefaultParagraphFont"/>
    <w:link w:val="Heading4"/>
    <w:rsid w:val="004A4DD5"/>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42395">
      <w:bodyDiv w:val="1"/>
      <w:marLeft w:val="0"/>
      <w:marRight w:val="0"/>
      <w:marTop w:val="0"/>
      <w:marBottom w:val="0"/>
      <w:divBdr>
        <w:top w:val="none" w:sz="0" w:space="0" w:color="auto"/>
        <w:left w:val="none" w:sz="0" w:space="0" w:color="auto"/>
        <w:bottom w:val="none" w:sz="0" w:space="0" w:color="auto"/>
        <w:right w:val="none" w:sz="0" w:space="0" w:color="auto"/>
      </w:divBdr>
      <w:divsChild>
        <w:div w:id="16348225">
          <w:marLeft w:val="2925"/>
          <w:marRight w:val="0"/>
          <w:marTop w:val="0"/>
          <w:marBottom w:val="0"/>
          <w:divBdr>
            <w:top w:val="none" w:sz="0" w:space="0" w:color="auto"/>
            <w:left w:val="none" w:sz="0" w:space="0" w:color="auto"/>
            <w:bottom w:val="none" w:sz="0" w:space="0" w:color="auto"/>
            <w:right w:val="none" w:sz="0" w:space="0" w:color="auto"/>
          </w:divBdr>
          <w:divsChild>
            <w:div w:id="729614820">
              <w:marLeft w:val="0"/>
              <w:marRight w:val="0"/>
              <w:marTop w:val="0"/>
              <w:marBottom w:val="0"/>
              <w:divBdr>
                <w:top w:val="none" w:sz="0" w:space="0" w:color="auto"/>
                <w:left w:val="none" w:sz="0" w:space="0" w:color="auto"/>
                <w:bottom w:val="none" w:sz="0" w:space="0" w:color="auto"/>
                <w:right w:val="none" w:sz="0" w:space="0" w:color="auto"/>
              </w:divBdr>
              <w:divsChild>
                <w:div w:id="2051760476">
                  <w:marLeft w:val="0"/>
                  <w:marRight w:val="0"/>
                  <w:marTop w:val="0"/>
                  <w:marBottom w:val="0"/>
                  <w:divBdr>
                    <w:top w:val="none" w:sz="0" w:space="0" w:color="auto"/>
                    <w:left w:val="none" w:sz="0" w:space="0" w:color="auto"/>
                    <w:bottom w:val="none" w:sz="0" w:space="0" w:color="auto"/>
                    <w:right w:val="none" w:sz="0" w:space="0" w:color="auto"/>
                  </w:divBdr>
                  <w:divsChild>
                    <w:div w:id="12372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138376">
      <w:bodyDiv w:val="1"/>
      <w:marLeft w:val="0"/>
      <w:marRight w:val="0"/>
      <w:marTop w:val="0"/>
      <w:marBottom w:val="0"/>
      <w:divBdr>
        <w:top w:val="none" w:sz="0" w:space="0" w:color="auto"/>
        <w:left w:val="none" w:sz="0" w:space="0" w:color="auto"/>
        <w:bottom w:val="none" w:sz="0" w:space="0" w:color="auto"/>
        <w:right w:val="none" w:sz="0" w:space="0" w:color="auto"/>
      </w:divBdr>
    </w:div>
    <w:div w:id="1218511532">
      <w:bodyDiv w:val="1"/>
      <w:marLeft w:val="0"/>
      <w:marRight w:val="0"/>
      <w:marTop w:val="0"/>
      <w:marBottom w:val="0"/>
      <w:divBdr>
        <w:top w:val="none" w:sz="0" w:space="0" w:color="auto"/>
        <w:left w:val="none" w:sz="0" w:space="0" w:color="auto"/>
        <w:bottom w:val="none" w:sz="0" w:space="0" w:color="auto"/>
        <w:right w:val="none" w:sz="0" w:space="0" w:color="auto"/>
      </w:divBdr>
    </w:div>
    <w:div w:id="1600407046">
      <w:bodyDiv w:val="1"/>
      <w:marLeft w:val="0"/>
      <w:marRight w:val="0"/>
      <w:marTop w:val="0"/>
      <w:marBottom w:val="0"/>
      <w:divBdr>
        <w:top w:val="none" w:sz="0" w:space="0" w:color="auto"/>
        <w:left w:val="none" w:sz="0" w:space="0" w:color="auto"/>
        <w:bottom w:val="none" w:sz="0" w:space="0" w:color="auto"/>
        <w:right w:val="none" w:sz="0" w:space="0" w:color="auto"/>
      </w:divBdr>
    </w:div>
    <w:div w:id="1649246077">
      <w:bodyDiv w:val="1"/>
      <w:marLeft w:val="0"/>
      <w:marRight w:val="0"/>
      <w:marTop w:val="0"/>
      <w:marBottom w:val="0"/>
      <w:divBdr>
        <w:top w:val="none" w:sz="0" w:space="0" w:color="auto"/>
        <w:left w:val="none" w:sz="0" w:space="0" w:color="auto"/>
        <w:bottom w:val="none" w:sz="0" w:space="0" w:color="auto"/>
        <w:right w:val="none" w:sz="0" w:space="0" w:color="auto"/>
      </w:divBdr>
    </w:div>
    <w:div w:id="1765563833">
      <w:bodyDiv w:val="1"/>
      <w:marLeft w:val="0"/>
      <w:marRight w:val="0"/>
      <w:marTop w:val="0"/>
      <w:marBottom w:val="0"/>
      <w:divBdr>
        <w:top w:val="none" w:sz="0" w:space="0" w:color="auto"/>
        <w:left w:val="none" w:sz="0" w:space="0" w:color="auto"/>
        <w:bottom w:val="none" w:sz="0" w:space="0" w:color="auto"/>
        <w:right w:val="none" w:sz="0" w:space="0" w:color="auto"/>
      </w:divBdr>
      <w:divsChild>
        <w:div w:id="1202132793">
          <w:marLeft w:val="2925"/>
          <w:marRight w:val="0"/>
          <w:marTop w:val="0"/>
          <w:marBottom w:val="0"/>
          <w:divBdr>
            <w:top w:val="none" w:sz="0" w:space="0" w:color="auto"/>
            <w:left w:val="none" w:sz="0" w:space="0" w:color="auto"/>
            <w:bottom w:val="none" w:sz="0" w:space="0" w:color="auto"/>
            <w:right w:val="none" w:sz="0" w:space="0" w:color="auto"/>
          </w:divBdr>
          <w:divsChild>
            <w:div w:id="346489638">
              <w:marLeft w:val="0"/>
              <w:marRight w:val="0"/>
              <w:marTop w:val="0"/>
              <w:marBottom w:val="0"/>
              <w:divBdr>
                <w:top w:val="none" w:sz="0" w:space="0" w:color="auto"/>
                <w:left w:val="none" w:sz="0" w:space="0" w:color="auto"/>
                <w:bottom w:val="none" w:sz="0" w:space="0" w:color="auto"/>
                <w:right w:val="none" w:sz="0" w:space="0" w:color="auto"/>
              </w:divBdr>
              <w:divsChild>
                <w:div w:id="1062558940">
                  <w:marLeft w:val="0"/>
                  <w:marRight w:val="0"/>
                  <w:marTop w:val="0"/>
                  <w:marBottom w:val="0"/>
                  <w:divBdr>
                    <w:top w:val="none" w:sz="0" w:space="0" w:color="auto"/>
                    <w:left w:val="none" w:sz="0" w:space="0" w:color="auto"/>
                    <w:bottom w:val="none" w:sz="0" w:space="0" w:color="auto"/>
                    <w:right w:val="none" w:sz="0" w:space="0" w:color="auto"/>
                  </w:divBdr>
                  <w:divsChild>
                    <w:div w:id="11142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37806414">
      <w:bodyDiv w:val="1"/>
      <w:marLeft w:val="0"/>
      <w:marRight w:val="0"/>
      <w:marTop w:val="0"/>
      <w:marBottom w:val="0"/>
      <w:divBdr>
        <w:top w:val="none" w:sz="0" w:space="0" w:color="auto"/>
        <w:left w:val="none" w:sz="0" w:space="0" w:color="auto"/>
        <w:bottom w:val="none" w:sz="0" w:space="0" w:color="auto"/>
        <w:right w:val="none" w:sz="0" w:space="0" w:color="auto"/>
      </w:divBdr>
    </w:div>
    <w:div w:id="210668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E354C-1667-407E-92C1-FBF8E62BA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16</Pages>
  <Words>4397</Words>
  <Characters>23613</Characters>
  <Application>Microsoft Office Word</Application>
  <DocSecurity>0</DocSecurity>
  <Lines>421</Lines>
  <Paragraphs>145</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27865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Productivity in Manufacturing</dc:subject>
  <dc:creator>Productivity Commission</dc:creator>
  <dc:description>1.</dc:description>
  <cp:lastModifiedBy>Productivity Commission</cp:lastModifiedBy>
  <cp:revision>2</cp:revision>
  <cp:lastPrinted>2013-11-27T23:02:00Z</cp:lastPrinted>
  <dcterms:created xsi:type="dcterms:W3CDTF">2013-12-03T22:43:00Z</dcterms:created>
  <dcterms:modified xsi:type="dcterms:W3CDTF">2013-12-03T22:43:00Z</dcterms:modified>
</cp:coreProperties>
</file>