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Pr="00240299" w:rsidRDefault="00C9303E" w:rsidP="00C9303E">
      <w:pPr>
        <w:pStyle w:val="Heading1"/>
        <w:spacing w:before="0"/>
      </w:pPr>
      <w:bookmarkStart w:id="0" w:name="ChapterNumber"/>
      <w:bookmarkStart w:id="1" w:name="_GoBack"/>
      <w:bookmarkEnd w:id="1"/>
      <w:r>
        <w:t>2</w:t>
      </w:r>
      <w:bookmarkEnd w:id="0"/>
      <w:r>
        <w:tab/>
      </w:r>
      <w:bookmarkStart w:id="2" w:name="ChapterTitle"/>
      <w:r>
        <w:t>Aggregate Manufacturing productivity</w:t>
      </w:r>
      <w:bookmarkEnd w:id="2"/>
    </w:p>
    <w:p w:rsidR="002811A1" w:rsidRDefault="002811A1" w:rsidP="00CF7A22">
      <w:pPr>
        <w:pStyle w:val="BodyText"/>
      </w:pPr>
      <w:r w:rsidRPr="00240299">
        <w:t>This chapter</w:t>
      </w:r>
      <w:r w:rsidR="00CF7A22" w:rsidRPr="00240299">
        <w:t xml:space="preserve"> provides some background on the </w:t>
      </w:r>
      <w:r w:rsidR="00D90D9F" w:rsidRPr="00240299">
        <w:t xml:space="preserve">size of </w:t>
      </w:r>
      <w:r w:rsidR="000F3FC7" w:rsidRPr="00240299">
        <w:t>M</w:t>
      </w:r>
      <w:r w:rsidR="00D90D9F" w:rsidRPr="00240299">
        <w:t>anufacturing</w:t>
      </w:r>
      <w:r w:rsidR="00F43283" w:rsidRPr="00240299">
        <w:t>, both now and over time</w:t>
      </w:r>
      <w:r w:rsidR="003C459A">
        <w:t>. An</w:t>
      </w:r>
      <w:r w:rsidR="005415B7" w:rsidRPr="00240299">
        <w:t xml:space="preserve"> </w:t>
      </w:r>
      <w:r w:rsidR="00CF7A22" w:rsidRPr="00240299">
        <w:t>examin</w:t>
      </w:r>
      <w:r w:rsidR="003C459A">
        <w:t>ation of the</w:t>
      </w:r>
      <w:r w:rsidR="00CF7A22" w:rsidRPr="00240299">
        <w:t xml:space="preserve"> productivity performance </w:t>
      </w:r>
      <w:r w:rsidR="003C459A">
        <w:t xml:space="preserve">of Manufacturing </w:t>
      </w:r>
      <w:r w:rsidR="00CF7A22" w:rsidRPr="00240299">
        <w:t>in aggregate (as measured by the ABS)</w:t>
      </w:r>
      <w:r w:rsidR="003C459A">
        <w:t>,</w:t>
      </w:r>
      <w:r w:rsidR="00B92062" w:rsidRPr="00240299">
        <w:t xml:space="preserve"> is followed by </w:t>
      </w:r>
      <w:r w:rsidR="002D4CC5" w:rsidRPr="00240299">
        <w:t>a high-level analysis</w:t>
      </w:r>
      <w:r w:rsidR="00B92062" w:rsidRPr="00240299">
        <w:t xml:space="preserve"> </w:t>
      </w:r>
      <w:r w:rsidR="002C40FF" w:rsidRPr="00240299">
        <w:t xml:space="preserve">of </w:t>
      </w:r>
      <w:r w:rsidR="0065781D" w:rsidRPr="00240299">
        <w:t xml:space="preserve">some of the </w:t>
      </w:r>
      <w:r w:rsidR="00B92062" w:rsidRPr="00240299">
        <w:t xml:space="preserve">possible influences on </w:t>
      </w:r>
      <w:r w:rsidR="000F3FC7" w:rsidRPr="00240299">
        <w:t xml:space="preserve">Manufacturing </w:t>
      </w:r>
      <w:r w:rsidR="00B92062" w:rsidRPr="00240299">
        <w:t xml:space="preserve">productivity. </w:t>
      </w:r>
    </w:p>
    <w:p w:rsidR="002811A1" w:rsidRPr="00240299" w:rsidRDefault="00C9303E" w:rsidP="00F80C9C">
      <w:pPr>
        <w:pStyle w:val="Heading2"/>
      </w:pPr>
      <w:r>
        <w:t>2.</w:t>
      </w:r>
      <w:r w:rsidR="004456C0">
        <w:rPr>
          <w:noProof/>
        </w:rPr>
        <w:t>1</w:t>
      </w:r>
      <w:r w:rsidR="00FC3E97" w:rsidRPr="00240299">
        <w:tab/>
      </w:r>
      <w:r w:rsidR="002811A1" w:rsidRPr="00240299">
        <w:t>Manufacturing in context</w:t>
      </w:r>
    </w:p>
    <w:p w:rsidR="00F17F8E" w:rsidRPr="00240299" w:rsidRDefault="00AD36E5" w:rsidP="00F17F8E">
      <w:pPr>
        <w:pStyle w:val="BodyText"/>
      </w:pPr>
      <w:r w:rsidRPr="00240299">
        <w:t xml:space="preserve">Despite </w:t>
      </w:r>
      <w:r w:rsidR="003C459A">
        <w:t xml:space="preserve">some misleading popular perceptions, Manufacturing has steadily increased its level of real value added over the long term, before plateauing </w:t>
      </w:r>
      <w:r w:rsidR="007A55F4">
        <w:t>over the last decade</w:t>
      </w:r>
      <w:r w:rsidR="000F0938">
        <w:t xml:space="preserve"> </w:t>
      </w:r>
      <w:r w:rsidR="003C459A">
        <w:t xml:space="preserve">(figure </w:t>
      </w:r>
      <w:r w:rsidR="00C9303E">
        <w:t>2.1</w:t>
      </w:r>
      <w:r w:rsidR="003C459A">
        <w:t xml:space="preserve">). Although the greater growth of other sectors has resulted in Manufacturing recording a relative decline, it </w:t>
      </w:r>
      <w:r w:rsidRPr="00240299">
        <w:t xml:space="preserve">remains </w:t>
      </w:r>
      <w:r w:rsidR="007739FE" w:rsidRPr="00240299">
        <w:t xml:space="preserve">a </w:t>
      </w:r>
      <w:r w:rsidR="00D726D6">
        <w:t>significant</w:t>
      </w:r>
      <w:r w:rsidR="00D726D6" w:rsidRPr="00240299">
        <w:t xml:space="preserve"> </w:t>
      </w:r>
      <w:r w:rsidR="007739FE" w:rsidRPr="00240299">
        <w:t xml:space="preserve">part of the market sector of the Australian economy. </w:t>
      </w:r>
    </w:p>
    <w:p w:rsidR="00F17F8E" w:rsidRDefault="00F17F8E" w:rsidP="00F17F8E">
      <w:pPr>
        <w:pStyle w:val="FigureTitle"/>
      </w:pPr>
      <w:r w:rsidRPr="00240299">
        <w:rPr>
          <w:b w:val="0"/>
        </w:rPr>
        <w:t xml:space="preserve">Figure </w:t>
      </w:r>
      <w:bookmarkStart w:id="3" w:name="OLE_LINK12"/>
      <w:r w:rsidR="00C9303E">
        <w:rPr>
          <w:b w:val="0"/>
        </w:rPr>
        <w:t>2.</w:t>
      </w:r>
      <w:r w:rsidR="004456C0">
        <w:rPr>
          <w:b w:val="0"/>
          <w:noProof/>
        </w:rPr>
        <w:t>1</w:t>
      </w:r>
      <w:bookmarkEnd w:id="3"/>
      <w:r w:rsidRPr="00240299">
        <w:tab/>
        <w:t>Manufacturing value added: level</w:t>
      </w:r>
      <w:r w:rsidRPr="00240299">
        <w:rPr>
          <w:rStyle w:val="NoteLabel"/>
          <w:b/>
        </w:rPr>
        <w:t>a</w:t>
      </w:r>
      <w:r w:rsidRPr="00240299">
        <w:t xml:space="preserve"> and share</w:t>
      </w:r>
      <w:r w:rsidRPr="00240299">
        <w:rPr>
          <w:rStyle w:val="NoteLabel"/>
          <w:b/>
        </w:rPr>
        <w:t>b</w:t>
      </w:r>
      <w:r w:rsidRPr="00240299">
        <w:t xml:space="preserve"> of market sector</w:t>
      </w:r>
    </w:p>
    <w:p w:rsidR="00F17F8E" w:rsidRPr="00D975B7" w:rsidRDefault="00F22086" w:rsidP="00F17F8E">
      <w:pPr>
        <w:pStyle w:val="Subtitle"/>
      </w:pPr>
      <w:r>
        <w:t xml:space="preserve">2009-10 </w:t>
      </w:r>
      <w:r w:rsidR="00F17F8E" w:rsidRPr="00D975B7">
        <w:t>$m (LHS); Per cent (RHS)</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F17F8E" w:rsidRPr="00240299" w:rsidTr="007564BD">
        <w:tc>
          <w:tcPr>
            <w:tcW w:w="8777" w:type="dxa"/>
          </w:tcPr>
          <w:p w:rsidR="00F17F8E" w:rsidRPr="00240299" w:rsidRDefault="00060BA0" w:rsidP="00C808D4">
            <w:pPr>
              <w:pStyle w:val="Figure"/>
              <w:spacing w:before="60" w:after="60"/>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This figure shows a long-term real increase in Manufacturing value added from 1985-86 up to 2002-03, after which it has remained relatively constant at around $110 billion a year (in 2009-10 dollars). The figure also shows that Manufacturing has long been declining as a share of value added, from around 24 per cent in 1989-90 to 13 per cent in 2010-11." style="width:424.5pt;height:197.25pt">
                  <v:imagedata r:id="rId9" o:title=""/>
                </v:shape>
              </w:pict>
            </w:r>
          </w:p>
        </w:tc>
      </w:tr>
    </w:tbl>
    <w:p w:rsidR="00F17F8E" w:rsidRPr="000F0938" w:rsidRDefault="00F17F8E" w:rsidP="000F0938">
      <w:pPr>
        <w:pStyle w:val="Note"/>
      </w:pPr>
      <w:r w:rsidRPr="000F0938">
        <w:rPr>
          <w:rStyle w:val="NoteLabel"/>
        </w:rPr>
        <w:t>a</w:t>
      </w:r>
      <w:r w:rsidRPr="000F0938">
        <w:t xml:space="preserve"> Chain volume measure of gross value added at basic prices. </w:t>
      </w:r>
      <w:r w:rsidRPr="000F0938">
        <w:rPr>
          <w:rStyle w:val="NoteLabel"/>
        </w:rPr>
        <w:t>b</w:t>
      </w:r>
      <w:r w:rsidRPr="000F0938">
        <w:t xml:space="preserve"> Share of current price market sector gross value added at basic prices. Current price value added is not available from the National Accounts prior to 1989-90.</w:t>
      </w:r>
    </w:p>
    <w:p w:rsidR="00F17F8E" w:rsidRPr="000F0938" w:rsidRDefault="00F17F8E" w:rsidP="000F0938">
      <w:pPr>
        <w:pStyle w:val="Source"/>
      </w:pPr>
      <w:r w:rsidRPr="000F0938">
        <w:rPr>
          <w:i/>
        </w:rPr>
        <w:t>Data source</w:t>
      </w:r>
      <w:r w:rsidRPr="000F0938">
        <w:t>: ABS (</w:t>
      </w:r>
      <w:r w:rsidRPr="00F22086">
        <w:rPr>
          <w:i/>
        </w:rPr>
        <w:t>Australian System of National Accounts, 2010-11</w:t>
      </w:r>
      <w:r w:rsidRPr="000F0938">
        <w:t xml:space="preserve">, Cat. no. 5204.0). </w:t>
      </w:r>
    </w:p>
    <w:p w:rsidR="00F17F8E" w:rsidRDefault="00F17F8E" w:rsidP="006D02F5">
      <w:pPr>
        <w:pStyle w:val="BodyText"/>
      </w:pPr>
      <w:r w:rsidRPr="00240299">
        <w:lastRenderedPageBreak/>
        <w:t xml:space="preserve">In 2010-11, Manufacturing contributed 13.4 per cent of market sector value added </w:t>
      </w:r>
      <w:r>
        <w:t>(table</w:t>
      </w:r>
      <w:r w:rsidR="002C6B99">
        <w:t xml:space="preserve"> </w:t>
      </w:r>
      <w:r w:rsidR="00C9303E">
        <w:t>2.1</w:t>
      </w:r>
      <w:r>
        <w:t xml:space="preserve">) </w:t>
      </w:r>
      <w:r w:rsidRPr="00240299">
        <w:t xml:space="preserve">and 8.3 per cent of that for the economy as a whole — the third largest share after Financial and insurance services, and Mining. </w:t>
      </w:r>
    </w:p>
    <w:p w:rsidR="006D02F5" w:rsidRPr="00240299" w:rsidRDefault="006D02F5" w:rsidP="006D02F5">
      <w:pPr>
        <w:pStyle w:val="BodyText"/>
      </w:pPr>
      <w:r w:rsidRPr="00240299">
        <w:t>Manufacturing’s share of market sector hours worked in 2010-11 was 16.2 per cent, or 9.7 per cent of hours worked for the total economy — the third largest share after Construction</w:t>
      </w:r>
      <w:r w:rsidR="003D2E33">
        <w:t>,</w:t>
      </w:r>
      <w:r w:rsidRPr="00240299">
        <w:t xml:space="preserve"> and Health care </w:t>
      </w:r>
      <w:r w:rsidR="006A626A" w:rsidRPr="00240299">
        <w:t xml:space="preserve">and </w:t>
      </w:r>
      <w:r w:rsidRPr="00240299">
        <w:t>social assistance. Similarly, Manufacturing’s share of the number employed in the market sector was 15.1 per cent or 8.7 per cent of employment for the total economy — the fourth largest share after Health care and social assistance, Retail trade</w:t>
      </w:r>
      <w:r w:rsidR="00782DFA">
        <w:t>,</w:t>
      </w:r>
      <w:r w:rsidRPr="00240299">
        <w:t xml:space="preserve"> and Construction.</w:t>
      </w:r>
    </w:p>
    <w:p w:rsidR="006D02F5" w:rsidRPr="00240299" w:rsidRDefault="006D02F5" w:rsidP="006D02F5">
      <w:pPr>
        <w:pStyle w:val="BodyText"/>
      </w:pPr>
      <w:r w:rsidRPr="00240299">
        <w:t xml:space="preserve">In terms of capital, in 2010-11, Manufacturing had the fourth largest share of investment and the net capital stock of the market sector (both around 10 per cent), and the sixth largest </w:t>
      </w:r>
      <w:r w:rsidR="00C64744">
        <w:t xml:space="preserve">share </w:t>
      </w:r>
      <w:r w:rsidRPr="00240299">
        <w:t xml:space="preserve">of investment and the net capital stock for the total economy (around 5 per cent). This ranks Manufacturing behind </w:t>
      </w:r>
      <w:r w:rsidR="00D412A0" w:rsidRPr="00240299">
        <w:t xml:space="preserve">industry sectors like </w:t>
      </w:r>
      <w:r w:rsidRPr="00240299">
        <w:t xml:space="preserve">Mining, Transport, postal </w:t>
      </w:r>
      <w:r w:rsidR="006A626A" w:rsidRPr="00240299">
        <w:t>and</w:t>
      </w:r>
      <w:r w:rsidRPr="00240299">
        <w:t xml:space="preserve"> wa</w:t>
      </w:r>
      <w:r w:rsidR="00135831">
        <w:t xml:space="preserve">rehousing, and Electricity, gas, </w:t>
      </w:r>
      <w:r w:rsidRPr="00240299">
        <w:t>water</w:t>
      </w:r>
      <w:r w:rsidR="00135831">
        <w:t xml:space="preserve"> and waste services</w:t>
      </w:r>
      <w:r w:rsidRPr="00240299">
        <w:t>.</w:t>
      </w:r>
      <w:r w:rsidRPr="00240299" w:rsidDel="00E05874">
        <w:t xml:space="preserve"> </w:t>
      </w:r>
    </w:p>
    <w:p w:rsidR="00A7781D" w:rsidRPr="00240299" w:rsidRDefault="00A7781D" w:rsidP="00FF09E7">
      <w:pPr>
        <w:pStyle w:val="TableTitle"/>
        <w:spacing w:before="240" w:after="40"/>
      </w:pPr>
      <w:r w:rsidRPr="00240299">
        <w:rPr>
          <w:b w:val="0"/>
        </w:rPr>
        <w:t xml:space="preserve">Table </w:t>
      </w:r>
      <w:bookmarkStart w:id="4" w:name="OLE_LINK7"/>
      <w:r w:rsidR="00C9303E">
        <w:rPr>
          <w:b w:val="0"/>
        </w:rPr>
        <w:t>2.</w:t>
      </w:r>
      <w:r w:rsidR="004456C0">
        <w:rPr>
          <w:b w:val="0"/>
          <w:noProof/>
        </w:rPr>
        <w:t>1</w:t>
      </w:r>
      <w:bookmarkEnd w:id="4"/>
      <w:r w:rsidRPr="00240299">
        <w:tab/>
      </w:r>
      <w:r w:rsidR="009D084C" w:rsidRPr="00240299">
        <w:t>S</w:t>
      </w:r>
      <w:r w:rsidRPr="00240299">
        <w:t xml:space="preserve">hares of market sector output, </w:t>
      </w:r>
      <w:r w:rsidR="00C46110" w:rsidRPr="00240299">
        <w:t>labour</w:t>
      </w:r>
      <w:r w:rsidRPr="00240299">
        <w:t xml:space="preserve"> and capital, </w:t>
      </w:r>
      <w:r w:rsidR="0090409A" w:rsidRPr="00240299">
        <w:t>2010</w:t>
      </w:r>
      <w:r w:rsidR="00C46110" w:rsidRPr="00240299">
        <w:noBreakHyphen/>
      </w:r>
      <w:r w:rsidR="0090409A" w:rsidRPr="00240299">
        <w:t>11</w:t>
      </w:r>
    </w:p>
    <w:p w:rsidR="00A7781D" w:rsidRPr="00240299" w:rsidRDefault="00A7781D" w:rsidP="00A7781D">
      <w:pPr>
        <w:pStyle w:val="Subtitle"/>
      </w:pPr>
      <w:r w:rsidRPr="00240299">
        <w:t>Per cent</w:t>
      </w:r>
    </w:p>
    <w:tbl>
      <w:tblPr>
        <w:tblW w:w="5000" w:type="pct"/>
        <w:tblCellMar>
          <w:left w:w="0" w:type="dxa"/>
          <w:right w:w="0" w:type="dxa"/>
        </w:tblCellMar>
        <w:tblLook w:val="04A0" w:firstRow="1" w:lastRow="0" w:firstColumn="1" w:lastColumn="0" w:noHBand="0" w:noVBand="1"/>
      </w:tblPr>
      <w:tblGrid>
        <w:gridCol w:w="3573"/>
        <w:gridCol w:w="901"/>
        <w:gridCol w:w="1099"/>
        <w:gridCol w:w="1099"/>
        <w:gridCol w:w="1099"/>
        <w:gridCol w:w="1018"/>
      </w:tblGrid>
      <w:tr w:rsidR="0036337D" w:rsidRPr="00240299" w:rsidTr="000C3FA2">
        <w:tc>
          <w:tcPr>
            <w:tcW w:w="2033" w:type="pct"/>
            <w:tcBorders>
              <w:top w:val="single" w:sz="6" w:space="0" w:color="auto"/>
              <w:left w:val="nil"/>
              <w:bottom w:val="single" w:sz="6" w:space="0" w:color="auto"/>
              <w:right w:val="nil"/>
            </w:tcBorders>
            <w:hideMark/>
          </w:tcPr>
          <w:p w:rsidR="0036337D" w:rsidRPr="00240299" w:rsidRDefault="0036337D" w:rsidP="003C5448">
            <w:pPr>
              <w:pStyle w:val="TableColumnHeading"/>
              <w:spacing w:before="60" w:after="60"/>
              <w:ind w:right="-2"/>
              <w:jc w:val="left"/>
            </w:pPr>
            <w:r w:rsidRPr="00240299">
              <w:br/>
              <w:t>Industry sector</w:t>
            </w:r>
          </w:p>
        </w:tc>
        <w:tc>
          <w:tcPr>
            <w:tcW w:w="513" w:type="pct"/>
            <w:tcBorders>
              <w:top w:val="single" w:sz="6" w:space="0" w:color="auto"/>
              <w:left w:val="nil"/>
              <w:bottom w:val="single" w:sz="6" w:space="0" w:color="auto"/>
              <w:right w:val="nil"/>
            </w:tcBorders>
            <w:vAlign w:val="bottom"/>
            <w:hideMark/>
          </w:tcPr>
          <w:p w:rsidR="0036337D" w:rsidRPr="00240299" w:rsidRDefault="0036337D" w:rsidP="003C5448">
            <w:pPr>
              <w:pStyle w:val="TableColumnHeading"/>
              <w:spacing w:before="60" w:after="60"/>
            </w:pPr>
            <w:r w:rsidRPr="00240299">
              <w:t>Value added</w:t>
            </w:r>
            <w:r w:rsidRPr="00240299">
              <w:rPr>
                <w:rStyle w:val="NoteLabel"/>
                <w:i w:val="0"/>
              </w:rPr>
              <w:t>b</w:t>
            </w:r>
          </w:p>
        </w:tc>
        <w:tc>
          <w:tcPr>
            <w:tcW w:w="625" w:type="pct"/>
            <w:tcBorders>
              <w:top w:val="single" w:sz="6" w:space="0" w:color="auto"/>
              <w:left w:val="nil"/>
              <w:bottom w:val="single" w:sz="6" w:space="0" w:color="auto"/>
              <w:right w:val="nil"/>
            </w:tcBorders>
            <w:vAlign w:val="bottom"/>
            <w:hideMark/>
          </w:tcPr>
          <w:p w:rsidR="0036337D" w:rsidRPr="00240299" w:rsidRDefault="0036337D" w:rsidP="003C5448">
            <w:pPr>
              <w:pStyle w:val="TableColumnHeading"/>
              <w:spacing w:before="60" w:after="60"/>
            </w:pPr>
            <w:r w:rsidRPr="00240299">
              <w:t>Hours</w:t>
            </w:r>
            <w:r w:rsidRPr="00240299">
              <w:br/>
              <w:t>worked</w:t>
            </w:r>
            <w:r w:rsidRPr="00240299">
              <w:rPr>
                <w:rStyle w:val="NoteLabel"/>
                <w:i w:val="0"/>
              </w:rPr>
              <w:t>c</w:t>
            </w:r>
          </w:p>
        </w:tc>
        <w:tc>
          <w:tcPr>
            <w:tcW w:w="625" w:type="pct"/>
            <w:tcBorders>
              <w:top w:val="single" w:sz="6" w:space="0" w:color="auto"/>
              <w:left w:val="nil"/>
              <w:bottom w:val="single" w:sz="6" w:space="0" w:color="auto"/>
              <w:right w:val="nil"/>
            </w:tcBorders>
            <w:vAlign w:val="bottom"/>
          </w:tcPr>
          <w:p w:rsidR="0036337D" w:rsidRPr="00240299" w:rsidRDefault="000F7EF2" w:rsidP="003C5448">
            <w:pPr>
              <w:pStyle w:val="TableColumnHeading"/>
              <w:spacing w:before="60" w:after="60"/>
            </w:pPr>
            <w:r w:rsidRPr="00240299">
              <w:t>Number e</w:t>
            </w:r>
            <w:r w:rsidR="0036337D" w:rsidRPr="00240299">
              <w:t>mployed</w:t>
            </w:r>
          </w:p>
        </w:tc>
        <w:tc>
          <w:tcPr>
            <w:tcW w:w="625" w:type="pct"/>
            <w:tcBorders>
              <w:top w:val="single" w:sz="6" w:space="0" w:color="auto"/>
              <w:left w:val="nil"/>
              <w:bottom w:val="single" w:sz="6" w:space="0" w:color="auto"/>
              <w:right w:val="nil"/>
            </w:tcBorders>
            <w:vAlign w:val="bottom"/>
            <w:hideMark/>
          </w:tcPr>
          <w:p w:rsidR="0036337D" w:rsidRPr="00240299" w:rsidRDefault="0036337D" w:rsidP="003C5448">
            <w:pPr>
              <w:pStyle w:val="TableColumnHeading"/>
              <w:spacing w:before="60" w:after="60"/>
              <w:ind w:right="0"/>
            </w:pPr>
            <w:r w:rsidRPr="00240299">
              <w:t>Investment</w:t>
            </w:r>
            <w:r w:rsidRPr="00240299">
              <w:rPr>
                <w:rStyle w:val="NoteLabel"/>
                <w:i w:val="0"/>
              </w:rPr>
              <w:t>d</w:t>
            </w:r>
          </w:p>
        </w:tc>
        <w:tc>
          <w:tcPr>
            <w:tcW w:w="579" w:type="pct"/>
            <w:tcBorders>
              <w:top w:val="single" w:sz="6" w:space="0" w:color="auto"/>
              <w:left w:val="nil"/>
              <w:bottom w:val="single" w:sz="6" w:space="0" w:color="auto"/>
              <w:right w:val="nil"/>
            </w:tcBorders>
            <w:vAlign w:val="bottom"/>
          </w:tcPr>
          <w:p w:rsidR="0036337D" w:rsidRPr="00240299" w:rsidRDefault="0036337D" w:rsidP="003C5448">
            <w:pPr>
              <w:pStyle w:val="TableColumnHeading"/>
              <w:spacing w:before="60" w:after="60"/>
              <w:ind w:right="0"/>
            </w:pPr>
            <w:r w:rsidRPr="00240299">
              <w:t>Net capital stock</w:t>
            </w:r>
            <w:r w:rsidRPr="00240299">
              <w:rPr>
                <w:rStyle w:val="NoteLabel"/>
                <w:i w:val="0"/>
              </w:rPr>
              <w:t>e</w:t>
            </w:r>
          </w:p>
        </w:tc>
      </w:tr>
      <w:tr w:rsidR="003751F1" w:rsidRPr="00240299" w:rsidTr="000C3FA2">
        <w:tc>
          <w:tcPr>
            <w:tcW w:w="2033" w:type="pct"/>
            <w:tcBorders>
              <w:top w:val="single" w:sz="6" w:space="0" w:color="auto"/>
              <w:left w:val="nil"/>
              <w:right w:val="nil"/>
            </w:tcBorders>
            <w:shd w:val="clear" w:color="auto" w:fill="D9D9D9" w:themeFill="background1" w:themeFillShade="D9"/>
            <w:vAlign w:val="bottom"/>
            <w:hideMark/>
          </w:tcPr>
          <w:p w:rsidR="003751F1" w:rsidRPr="00240299" w:rsidRDefault="003751F1" w:rsidP="003C5448">
            <w:pPr>
              <w:pStyle w:val="TableBodyText"/>
              <w:spacing w:before="60"/>
              <w:jc w:val="left"/>
            </w:pPr>
            <w:r w:rsidRPr="00240299">
              <w:t>Agriculture, forestry &amp; fishing</w:t>
            </w:r>
          </w:p>
        </w:tc>
        <w:tc>
          <w:tcPr>
            <w:tcW w:w="513" w:type="pct"/>
            <w:tcBorders>
              <w:top w:val="single" w:sz="6" w:space="0" w:color="auto"/>
              <w:left w:val="nil"/>
              <w:right w:val="nil"/>
            </w:tcBorders>
            <w:shd w:val="clear" w:color="auto" w:fill="D9D9D9" w:themeFill="background1" w:themeFillShade="D9"/>
            <w:vAlign w:val="center"/>
            <w:hideMark/>
          </w:tcPr>
          <w:p w:rsidR="003751F1" w:rsidRPr="00240299" w:rsidRDefault="003751F1" w:rsidP="003C5448">
            <w:pPr>
              <w:pStyle w:val="TableBodyText"/>
              <w:spacing w:before="60"/>
            </w:pPr>
            <w:r w:rsidRPr="00240299">
              <w:t>4.4</w:t>
            </w:r>
          </w:p>
        </w:tc>
        <w:tc>
          <w:tcPr>
            <w:tcW w:w="625" w:type="pct"/>
            <w:tcBorders>
              <w:top w:val="single" w:sz="6" w:space="0" w:color="auto"/>
              <w:left w:val="nil"/>
              <w:right w:val="nil"/>
            </w:tcBorders>
            <w:shd w:val="clear" w:color="auto" w:fill="D9D9D9" w:themeFill="background1" w:themeFillShade="D9"/>
            <w:vAlign w:val="center"/>
            <w:hideMark/>
          </w:tcPr>
          <w:p w:rsidR="003751F1" w:rsidRPr="00240299" w:rsidRDefault="003751F1" w:rsidP="003C5448">
            <w:pPr>
              <w:pStyle w:val="TableBodyText"/>
              <w:spacing w:before="60"/>
            </w:pPr>
            <w:r w:rsidRPr="00240299">
              <w:t>6.4</w:t>
            </w:r>
          </w:p>
        </w:tc>
        <w:tc>
          <w:tcPr>
            <w:tcW w:w="625" w:type="pct"/>
            <w:tcBorders>
              <w:top w:val="single" w:sz="6" w:space="0" w:color="auto"/>
              <w:left w:val="nil"/>
              <w:right w:val="nil"/>
            </w:tcBorders>
            <w:shd w:val="clear" w:color="auto" w:fill="D9D9D9" w:themeFill="background1" w:themeFillShade="D9"/>
            <w:vAlign w:val="bottom"/>
          </w:tcPr>
          <w:p w:rsidR="003751F1" w:rsidRPr="00240299" w:rsidRDefault="003751F1" w:rsidP="003C5448">
            <w:pPr>
              <w:pStyle w:val="TableBodyText"/>
              <w:spacing w:before="60"/>
            </w:pPr>
            <w:r w:rsidRPr="00240299">
              <w:t>5.4</w:t>
            </w:r>
          </w:p>
        </w:tc>
        <w:tc>
          <w:tcPr>
            <w:tcW w:w="625" w:type="pct"/>
            <w:tcBorders>
              <w:top w:val="single" w:sz="6" w:space="0" w:color="auto"/>
              <w:left w:val="nil"/>
              <w:right w:val="nil"/>
            </w:tcBorders>
            <w:shd w:val="clear" w:color="auto" w:fill="D9D9D9" w:themeFill="background1" w:themeFillShade="D9"/>
            <w:vAlign w:val="center"/>
            <w:hideMark/>
          </w:tcPr>
          <w:p w:rsidR="003751F1" w:rsidRPr="00240299" w:rsidRDefault="003751F1" w:rsidP="003C5448">
            <w:pPr>
              <w:pStyle w:val="TableBodyText"/>
              <w:spacing w:before="60"/>
            </w:pPr>
            <w:r w:rsidRPr="00240299">
              <w:t>6.0</w:t>
            </w:r>
          </w:p>
        </w:tc>
        <w:tc>
          <w:tcPr>
            <w:tcW w:w="579" w:type="pct"/>
            <w:tcBorders>
              <w:top w:val="single" w:sz="6" w:space="0" w:color="auto"/>
              <w:left w:val="nil"/>
              <w:right w:val="nil"/>
            </w:tcBorders>
            <w:shd w:val="clear" w:color="auto" w:fill="D9D9D9" w:themeFill="background1" w:themeFillShade="D9"/>
            <w:vAlign w:val="bottom"/>
          </w:tcPr>
          <w:p w:rsidR="003751F1" w:rsidRPr="00240299" w:rsidRDefault="003751F1" w:rsidP="003C5448">
            <w:pPr>
              <w:pStyle w:val="TableBodyText"/>
              <w:spacing w:before="60"/>
            </w:pPr>
            <w:r w:rsidRPr="00240299">
              <w:t>6.1</w:t>
            </w:r>
          </w:p>
        </w:tc>
      </w:tr>
      <w:tr w:rsidR="003751F1" w:rsidRPr="00240299" w:rsidTr="000C3FA2">
        <w:tc>
          <w:tcPr>
            <w:tcW w:w="2033" w:type="pct"/>
            <w:shd w:val="clear" w:color="auto" w:fill="auto"/>
            <w:vAlign w:val="bottom"/>
            <w:hideMark/>
          </w:tcPr>
          <w:p w:rsidR="003751F1" w:rsidRPr="00240299" w:rsidRDefault="003751F1" w:rsidP="003C5448">
            <w:pPr>
              <w:pStyle w:val="TableBodyText"/>
              <w:spacing w:before="40"/>
              <w:jc w:val="left"/>
            </w:pPr>
            <w:r w:rsidRPr="00240299">
              <w:t>Mining</w:t>
            </w:r>
          </w:p>
        </w:tc>
        <w:tc>
          <w:tcPr>
            <w:tcW w:w="513" w:type="pct"/>
            <w:shd w:val="clear" w:color="auto" w:fill="auto"/>
            <w:vAlign w:val="center"/>
            <w:hideMark/>
          </w:tcPr>
          <w:p w:rsidR="003751F1" w:rsidRPr="00240299" w:rsidRDefault="003751F1" w:rsidP="003C5448">
            <w:pPr>
              <w:pStyle w:val="TableBodyText"/>
              <w:spacing w:before="40"/>
            </w:pPr>
            <w:r w:rsidRPr="00240299">
              <w:t>15.2</w:t>
            </w:r>
          </w:p>
        </w:tc>
        <w:tc>
          <w:tcPr>
            <w:tcW w:w="625" w:type="pct"/>
            <w:shd w:val="clear" w:color="auto" w:fill="auto"/>
            <w:vAlign w:val="center"/>
            <w:hideMark/>
          </w:tcPr>
          <w:p w:rsidR="003751F1" w:rsidRPr="00240299" w:rsidRDefault="003751F1" w:rsidP="003C5448">
            <w:pPr>
              <w:pStyle w:val="TableBodyText"/>
              <w:spacing w:before="40"/>
            </w:pPr>
            <w:r w:rsidRPr="00240299">
              <w:t>4.0</w:t>
            </w:r>
          </w:p>
        </w:tc>
        <w:tc>
          <w:tcPr>
            <w:tcW w:w="625" w:type="pct"/>
            <w:shd w:val="clear" w:color="auto" w:fill="auto"/>
            <w:vAlign w:val="bottom"/>
          </w:tcPr>
          <w:p w:rsidR="003751F1" w:rsidRPr="00240299" w:rsidRDefault="003751F1" w:rsidP="003C5448">
            <w:pPr>
              <w:pStyle w:val="TableBodyText"/>
              <w:spacing w:before="40"/>
            </w:pPr>
            <w:r w:rsidRPr="00240299">
              <w:t>3.1</w:t>
            </w:r>
          </w:p>
        </w:tc>
        <w:tc>
          <w:tcPr>
            <w:tcW w:w="625" w:type="pct"/>
            <w:shd w:val="clear" w:color="auto" w:fill="auto"/>
            <w:vAlign w:val="center"/>
            <w:hideMark/>
          </w:tcPr>
          <w:p w:rsidR="003751F1" w:rsidRPr="00240299" w:rsidRDefault="003751F1" w:rsidP="003C5448">
            <w:pPr>
              <w:pStyle w:val="TableBodyText"/>
              <w:spacing w:before="40"/>
            </w:pPr>
            <w:r w:rsidRPr="00240299">
              <w:t>32.2</w:t>
            </w:r>
          </w:p>
        </w:tc>
        <w:tc>
          <w:tcPr>
            <w:tcW w:w="579" w:type="pct"/>
            <w:shd w:val="clear" w:color="auto" w:fill="auto"/>
            <w:vAlign w:val="bottom"/>
          </w:tcPr>
          <w:p w:rsidR="003751F1" w:rsidRPr="00240299" w:rsidRDefault="003751F1" w:rsidP="003C5448">
            <w:pPr>
              <w:pStyle w:val="TableBodyText"/>
              <w:spacing w:before="40"/>
            </w:pPr>
            <w:r w:rsidRPr="00240299">
              <w:t>19.5</w:t>
            </w:r>
          </w:p>
        </w:tc>
      </w:tr>
      <w:tr w:rsidR="003751F1" w:rsidRPr="00240299" w:rsidTr="000C3FA2">
        <w:tc>
          <w:tcPr>
            <w:tcW w:w="2033" w:type="pct"/>
            <w:shd w:val="clear" w:color="auto" w:fill="D9D9D9" w:themeFill="background1" w:themeFillShade="D9"/>
            <w:vAlign w:val="bottom"/>
            <w:hideMark/>
          </w:tcPr>
          <w:p w:rsidR="003751F1" w:rsidRPr="00240299" w:rsidRDefault="003751F1" w:rsidP="003C5448">
            <w:pPr>
              <w:pStyle w:val="TableBodyText"/>
              <w:spacing w:before="40"/>
              <w:jc w:val="left"/>
              <w:rPr>
                <w:b/>
                <w:i/>
              </w:rPr>
            </w:pPr>
            <w:r w:rsidRPr="00240299">
              <w:rPr>
                <w:b/>
                <w:i/>
              </w:rPr>
              <w:t>Manufacturing</w:t>
            </w:r>
          </w:p>
        </w:tc>
        <w:tc>
          <w:tcPr>
            <w:tcW w:w="513" w:type="pct"/>
            <w:shd w:val="clear" w:color="auto" w:fill="D9D9D9" w:themeFill="background1" w:themeFillShade="D9"/>
            <w:vAlign w:val="center"/>
            <w:hideMark/>
          </w:tcPr>
          <w:p w:rsidR="003751F1" w:rsidRPr="00240299" w:rsidRDefault="003751F1" w:rsidP="003C5448">
            <w:pPr>
              <w:pStyle w:val="TableBodyText"/>
              <w:spacing w:before="40"/>
              <w:rPr>
                <w:b/>
                <w:i/>
              </w:rPr>
            </w:pPr>
            <w:r w:rsidRPr="00240299">
              <w:rPr>
                <w:b/>
                <w:i/>
              </w:rPr>
              <w:t>13.4</w:t>
            </w:r>
          </w:p>
        </w:tc>
        <w:tc>
          <w:tcPr>
            <w:tcW w:w="625" w:type="pct"/>
            <w:shd w:val="clear" w:color="auto" w:fill="D9D9D9" w:themeFill="background1" w:themeFillShade="D9"/>
            <w:vAlign w:val="center"/>
            <w:hideMark/>
          </w:tcPr>
          <w:p w:rsidR="003751F1" w:rsidRPr="00240299" w:rsidRDefault="003751F1" w:rsidP="003C5448">
            <w:pPr>
              <w:pStyle w:val="TableBodyText"/>
              <w:spacing w:before="40"/>
              <w:rPr>
                <w:b/>
                <w:i/>
              </w:rPr>
            </w:pPr>
            <w:r w:rsidRPr="00240299">
              <w:rPr>
                <w:b/>
                <w:i/>
              </w:rPr>
              <w:t>16.2</w:t>
            </w:r>
          </w:p>
        </w:tc>
        <w:tc>
          <w:tcPr>
            <w:tcW w:w="625" w:type="pct"/>
            <w:shd w:val="clear" w:color="auto" w:fill="D9D9D9" w:themeFill="background1" w:themeFillShade="D9"/>
            <w:vAlign w:val="bottom"/>
          </w:tcPr>
          <w:p w:rsidR="003751F1" w:rsidRPr="00240299" w:rsidRDefault="003751F1" w:rsidP="003C5448">
            <w:pPr>
              <w:pStyle w:val="TableBodyText"/>
              <w:spacing w:before="40"/>
              <w:rPr>
                <w:b/>
                <w:i/>
              </w:rPr>
            </w:pPr>
            <w:r w:rsidRPr="00240299">
              <w:rPr>
                <w:b/>
                <w:i/>
              </w:rPr>
              <w:t>15.1</w:t>
            </w:r>
          </w:p>
        </w:tc>
        <w:tc>
          <w:tcPr>
            <w:tcW w:w="625" w:type="pct"/>
            <w:shd w:val="clear" w:color="auto" w:fill="D9D9D9" w:themeFill="background1" w:themeFillShade="D9"/>
            <w:vAlign w:val="center"/>
            <w:hideMark/>
          </w:tcPr>
          <w:p w:rsidR="003751F1" w:rsidRPr="00240299" w:rsidRDefault="003751F1" w:rsidP="003C5448">
            <w:pPr>
              <w:pStyle w:val="TableBodyText"/>
              <w:spacing w:before="40"/>
              <w:rPr>
                <w:b/>
                <w:i/>
              </w:rPr>
            </w:pPr>
            <w:r w:rsidRPr="00240299">
              <w:rPr>
                <w:b/>
                <w:i/>
              </w:rPr>
              <w:t>10.4</w:t>
            </w:r>
          </w:p>
        </w:tc>
        <w:tc>
          <w:tcPr>
            <w:tcW w:w="579" w:type="pct"/>
            <w:shd w:val="clear" w:color="auto" w:fill="D9D9D9" w:themeFill="background1" w:themeFillShade="D9"/>
            <w:vAlign w:val="bottom"/>
          </w:tcPr>
          <w:p w:rsidR="003751F1" w:rsidRPr="00240299" w:rsidRDefault="003751F1" w:rsidP="003C5448">
            <w:pPr>
              <w:pStyle w:val="TableBodyText"/>
              <w:spacing w:before="40"/>
              <w:rPr>
                <w:b/>
                <w:i/>
              </w:rPr>
            </w:pPr>
            <w:r w:rsidRPr="00240299">
              <w:rPr>
                <w:b/>
                <w:i/>
              </w:rPr>
              <w:t>10.2</w:t>
            </w:r>
          </w:p>
        </w:tc>
      </w:tr>
      <w:tr w:rsidR="003751F1" w:rsidRPr="00240299" w:rsidTr="000C3FA2">
        <w:tc>
          <w:tcPr>
            <w:tcW w:w="2033" w:type="pct"/>
            <w:shd w:val="clear" w:color="auto" w:fill="auto"/>
            <w:vAlign w:val="bottom"/>
            <w:hideMark/>
          </w:tcPr>
          <w:p w:rsidR="003751F1" w:rsidRPr="00240299" w:rsidRDefault="000C3FA2" w:rsidP="003C5448">
            <w:pPr>
              <w:pStyle w:val="TableBodyText"/>
              <w:spacing w:before="40"/>
              <w:jc w:val="left"/>
              <w:rPr>
                <w:bCs/>
              </w:rPr>
            </w:pPr>
            <w:r w:rsidRPr="00240299">
              <w:t>Electricity, gas, water &amp; waste serv</w:t>
            </w:r>
            <w:r>
              <w:t>ices</w:t>
            </w:r>
          </w:p>
        </w:tc>
        <w:tc>
          <w:tcPr>
            <w:tcW w:w="513" w:type="pct"/>
            <w:shd w:val="clear" w:color="auto" w:fill="auto"/>
            <w:vAlign w:val="center"/>
            <w:hideMark/>
          </w:tcPr>
          <w:p w:rsidR="003751F1" w:rsidRPr="00240299" w:rsidRDefault="003751F1" w:rsidP="003C5448">
            <w:pPr>
              <w:pStyle w:val="TableBodyText"/>
              <w:spacing w:before="40"/>
            </w:pPr>
            <w:r w:rsidRPr="00240299">
              <w:t>3.8</w:t>
            </w:r>
          </w:p>
        </w:tc>
        <w:tc>
          <w:tcPr>
            <w:tcW w:w="625" w:type="pct"/>
            <w:shd w:val="clear" w:color="auto" w:fill="auto"/>
            <w:vAlign w:val="center"/>
            <w:hideMark/>
          </w:tcPr>
          <w:p w:rsidR="003751F1" w:rsidRPr="00240299" w:rsidRDefault="003751F1" w:rsidP="003C5448">
            <w:pPr>
              <w:pStyle w:val="TableBodyText"/>
              <w:spacing w:before="40"/>
            </w:pPr>
            <w:r w:rsidRPr="00240299">
              <w:t>2.5</w:t>
            </w:r>
          </w:p>
        </w:tc>
        <w:tc>
          <w:tcPr>
            <w:tcW w:w="625" w:type="pct"/>
            <w:shd w:val="clear" w:color="auto" w:fill="auto"/>
            <w:vAlign w:val="bottom"/>
          </w:tcPr>
          <w:p w:rsidR="003751F1" w:rsidRPr="00240299" w:rsidRDefault="003751F1" w:rsidP="003C5448">
            <w:pPr>
              <w:pStyle w:val="TableBodyText"/>
              <w:spacing w:before="40"/>
            </w:pPr>
            <w:r w:rsidRPr="00240299">
              <w:t>2.3</w:t>
            </w:r>
          </w:p>
        </w:tc>
        <w:tc>
          <w:tcPr>
            <w:tcW w:w="625" w:type="pct"/>
            <w:shd w:val="clear" w:color="auto" w:fill="auto"/>
            <w:vAlign w:val="center"/>
            <w:hideMark/>
          </w:tcPr>
          <w:p w:rsidR="003751F1" w:rsidRPr="00240299" w:rsidRDefault="003751F1" w:rsidP="003C5448">
            <w:pPr>
              <w:pStyle w:val="TableBodyText"/>
              <w:spacing w:before="40"/>
            </w:pPr>
            <w:r w:rsidRPr="00240299">
              <w:t>12.3</w:t>
            </w:r>
          </w:p>
        </w:tc>
        <w:tc>
          <w:tcPr>
            <w:tcW w:w="579" w:type="pct"/>
            <w:shd w:val="clear" w:color="auto" w:fill="auto"/>
            <w:vAlign w:val="bottom"/>
          </w:tcPr>
          <w:p w:rsidR="003751F1" w:rsidRPr="00240299" w:rsidRDefault="003751F1" w:rsidP="003C5448">
            <w:pPr>
              <w:pStyle w:val="TableBodyText"/>
              <w:spacing w:before="40"/>
            </w:pPr>
            <w:r w:rsidRPr="00240299">
              <w:t>16.1</w:t>
            </w:r>
          </w:p>
        </w:tc>
      </w:tr>
      <w:tr w:rsidR="003751F1" w:rsidRPr="00240299" w:rsidTr="000C3FA2">
        <w:tc>
          <w:tcPr>
            <w:tcW w:w="2033" w:type="pct"/>
            <w:shd w:val="clear" w:color="auto" w:fill="D9D9D9" w:themeFill="background1" w:themeFillShade="D9"/>
            <w:vAlign w:val="bottom"/>
            <w:hideMark/>
          </w:tcPr>
          <w:p w:rsidR="003751F1" w:rsidRPr="00240299" w:rsidRDefault="003751F1" w:rsidP="003C5448">
            <w:pPr>
              <w:pStyle w:val="TableBodyText"/>
              <w:spacing w:before="40"/>
              <w:jc w:val="left"/>
            </w:pPr>
            <w:r w:rsidRPr="00240299">
              <w:t>Construction</w:t>
            </w:r>
          </w:p>
        </w:tc>
        <w:tc>
          <w:tcPr>
            <w:tcW w:w="513" w:type="pct"/>
            <w:shd w:val="clear" w:color="auto" w:fill="D9D9D9" w:themeFill="background1" w:themeFillShade="D9"/>
            <w:vAlign w:val="center"/>
            <w:hideMark/>
          </w:tcPr>
          <w:p w:rsidR="003751F1" w:rsidRPr="00240299" w:rsidRDefault="003751F1" w:rsidP="003C5448">
            <w:pPr>
              <w:pStyle w:val="TableBodyText"/>
              <w:spacing w:before="40"/>
            </w:pPr>
            <w:r w:rsidRPr="00240299">
              <w:t>12.3</w:t>
            </w:r>
          </w:p>
        </w:tc>
        <w:tc>
          <w:tcPr>
            <w:tcW w:w="625" w:type="pct"/>
            <w:shd w:val="clear" w:color="auto" w:fill="D9D9D9" w:themeFill="background1" w:themeFillShade="D9"/>
            <w:vAlign w:val="center"/>
            <w:hideMark/>
          </w:tcPr>
          <w:p w:rsidR="003751F1" w:rsidRPr="00240299" w:rsidRDefault="003751F1" w:rsidP="003C5448">
            <w:pPr>
              <w:pStyle w:val="TableBodyText"/>
              <w:spacing w:before="40"/>
            </w:pPr>
            <w:r w:rsidRPr="00240299">
              <w:t>17.1</w:t>
            </w:r>
          </w:p>
        </w:tc>
        <w:tc>
          <w:tcPr>
            <w:tcW w:w="625" w:type="pct"/>
            <w:shd w:val="clear" w:color="auto" w:fill="D9D9D9" w:themeFill="background1" w:themeFillShade="D9"/>
            <w:vAlign w:val="bottom"/>
          </w:tcPr>
          <w:p w:rsidR="003751F1" w:rsidRPr="00240299" w:rsidRDefault="003751F1" w:rsidP="003C5448">
            <w:pPr>
              <w:pStyle w:val="TableBodyText"/>
              <w:spacing w:before="40"/>
            </w:pPr>
            <w:r w:rsidRPr="00240299">
              <w:t>15.8</w:t>
            </w:r>
          </w:p>
        </w:tc>
        <w:tc>
          <w:tcPr>
            <w:tcW w:w="625" w:type="pct"/>
            <w:shd w:val="clear" w:color="auto" w:fill="D9D9D9" w:themeFill="background1" w:themeFillShade="D9"/>
            <w:vAlign w:val="center"/>
            <w:hideMark/>
          </w:tcPr>
          <w:p w:rsidR="003751F1" w:rsidRPr="00240299" w:rsidRDefault="003751F1" w:rsidP="003C5448">
            <w:pPr>
              <w:pStyle w:val="TableBodyText"/>
              <w:spacing w:before="40"/>
            </w:pPr>
            <w:r w:rsidRPr="00240299">
              <w:t>2.8</w:t>
            </w:r>
          </w:p>
        </w:tc>
        <w:tc>
          <w:tcPr>
            <w:tcW w:w="579" w:type="pct"/>
            <w:shd w:val="clear" w:color="auto" w:fill="D9D9D9" w:themeFill="background1" w:themeFillShade="D9"/>
            <w:vAlign w:val="bottom"/>
          </w:tcPr>
          <w:p w:rsidR="003751F1" w:rsidRPr="00240299" w:rsidRDefault="003751F1" w:rsidP="003C5448">
            <w:pPr>
              <w:pStyle w:val="TableBodyText"/>
              <w:spacing w:before="40"/>
            </w:pPr>
            <w:r w:rsidRPr="00240299">
              <w:t>2.4</w:t>
            </w:r>
          </w:p>
        </w:tc>
      </w:tr>
      <w:tr w:rsidR="003751F1" w:rsidRPr="00240299" w:rsidTr="000C3FA2">
        <w:tc>
          <w:tcPr>
            <w:tcW w:w="2033" w:type="pct"/>
            <w:shd w:val="clear" w:color="auto" w:fill="auto"/>
            <w:vAlign w:val="bottom"/>
            <w:hideMark/>
          </w:tcPr>
          <w:p w:rsidR="003751F1" w:rsidRPr="00240299" w:rsidRDefault="003751F1" w:rsidP="003C5448">
            <w:pPr>
              <w:pStyle w:val="TableBodyText"/>
              <w:spacing w:before="40"/>
              <w:jc w:val="left"/>
            </w:pPr>
            <w:r w:rsidRPr="00240299">
              <w:t>Wholesale trade</w:t>
            </w:r>
          </w:p>
        </w:tc>
        <w:tc>
          <w:tcPr>
            <w:tcW w:w="513" w:type="pct"/>
            <w:shd w:val="clear" w:color="auto" w:fill="auto"/>
            <w:vAlign w:val="center"/>
            <w:hideMark/>
          </w:tcPr>
          <w:p w:rsidR="003751F1" w:rsidRPr="00240299" w:rsidRDefault="003751F1" w:rsidP="003C5448">
            <w:pPr>
              <w:pStyle w:val="TableBodyText"/>
              <w:spacing w:before="40"/>
            </w:pPr>
            <w:r w:rsidRPr="00240299">
              <w:t>7.0</w:t>
            </w:r>
          </w:p>
        </w:tc>
        <w:tc>
          <w:tcPr>
            <w:tcW w:w="625" w:type="pct"/>
            <w:shd w:val="clear" w:color="auto" w:fill="auto"/>
            <w:vAlign w:val="center"/>
            <w:hideMark/>
          </w:tcPr>
          <w:p w:rsidR="003751F1" w:rsidRPr="00240299" w:rsidRDefault="003751F1" w:rsidP="003C5448">
            <w:pPr>
              <w:pStyle w:val="TableBodyText"/>
              <w:spacing w:before="40"/>
            </w:pPr>
            <w:r w:rsidRPr="00240299">
              <w:t>6.9</w:t>
            </w:r>
          </w:p>
        </w:tc>
        <w:tc>
          <w:tcPr>
            <w:tcW w:w="625" w:type="pct"/>
            <w:shd w:val="clear" w:color="auto" w:fill="auto"/>
            <w:vAlign w:val="bottom"/>
          </w:tcPr>
          <w:p w:rsidR="003751F1" w:rsidRPr="00240299" w:rsidRDefault="003751F1" w:rsidP="003C5448">
            <w:pPr>
              <w:pStyle w:val="TableBodyText"/>
              <w:spacing w:before="40"/>
            </w:pPr>
            <w:r w:rsidRPr="00240299">
              <w:t>6.3</w:t>
            </w:r>
          </w:p>
        </w:tc>
        <w:tc>
          <w:tcPr>
            <w:tcW w:w="625" w:type="pct"/>
            <w:shd w:val="clear" w:color="auto" w:fill="auto"/>
            <w:vAlign w:val="center"/>
            <w:hideMark/>
          </w:tcPr>
          <w:p w:rsidR="003751F1" w:rsidRPr="00240299" w:rsidRDefault="003751F1" w:rsidP="003C5448">
            <w:pPr>
              <w:pStyle w:val="TableBodyText"/>
              <w:spacing w:before="40"/>
            </w:pPr>
            <w:r w:rsidRPr="00240299">
              <w:t>3.7</w:t>
            </w:r>
          </w:p>
        </w:tc>
        <w:tc>
          <w:tcPr>
            <w:tcW w:w="579" w:type="pct"/>
            <w:shd w:val="clear" w:color="auto" w:fill="auto"/>
            <w:vAlign w:val="bottom"/>
          </w:tcPr>
          <w:p w:rsidR="003751F1" w:rsidRPr="00240299" w:rsidRDefault="003751F1" w:rsidP="003C5448">
            <w:pPr>
              <w:pStyle w:val="TableBodyText"/>
              <w:spacing w:before="40"/>
            </w:pPr>
            <w:r w:rsidRPr="00240299">
              <w:t>4.0</w:t>
            </w:r>
          </w:p>
        </w:tc>
      </w:tr>
      <w:tr w:rsidR="003751F1" w:rsidRPr="00240299" w:rsidTr="000C3FA2">
        <w:tc>
          <w:tcPr>
            <w:tcW w:w="2033" w:type="pct"/>
            <w:shd w:val="clear" w:color="auto" w:fill="D9D9D9" w:themeFill="background1" w:themeFillShade="D9"/>
            <w:vAlign w:val="bottom"/>
            <w:hideMark/>
          </w:tcPr>
          <w:p w:rsidR="003751F1" w:rsidRPr="00240299" w:rsidRDefault="003751F1" w:rsidP="003C5448">
            <w:pPr>
              <w:pStyle w:val="TableBodyText"/>
              <w:spacing w:before="40"/>
              <w:jc w:val="left"/>
            </w:pPr>
            <w:r w:rsidRPr="00240299">
              <w:t>Retail trade</w:t>
            </w:r>
          </w:p>
        </w:tc>
        <w:tc>
          <w:tcPr>
            <w:tcW w:w="513" w:type="pct"/>
            <w:shd w:val="clear" w:color="auto" w:fill="D9D9D9" w:themeFill="background1" w:themeFillShade="D9"/>
            <w:vAlign w:val="center"/>
            <w:hideMark/>
          </w:tcPr>
          <w:p w:rsidR="003751F1" w:rsidRPr="00240299" w:rsidRDefault="003751F1" w:rsidP="003C5448">
            <w:pPr>
              <w:pStyle w:val="TableBodyText"/>
              <w:spacing w:before="40"/>
            </w:pPr>
            <w:r w:rsidRPr="00240299">
              <w:t>7.5</w:t>
            </w:r>
          </w:p>
        </w:tc>
        <w:tc>
          <w:tcPr>
            <w:tcW w:w="625" w:type="pct"/>
            <w:shd w:val="clear" w:color="auto" w:fill="D9D9D9" w:themeFill="background1" w:themeFillShade="D9"/>
            <w:vAlign w:val="center"/>
            <w:hideMark/>
          </w:tcPr>
          <w:p w:rsidR="003751F1" w:rsidRPr="00240299" w:rsidRDefault="003751F1" w:rsidP="003C5448">
            <w:pPr>
              <w:pStyle w:val="TableBodyText"/>
              <w:spacing w:before="40"/>
            </w:pPr>
            <w:r w:rsidRPr="00240299">
              <w:t>15.4</w:t>
            </w:r>
          </w:p>
        </w:tc>
        <w:tc>
          <w:tcPr>
            <w:tcW w:w="625" w:type="pct"/>
            <w:shd w:val="clear" w:color="auto" w:fill="D9D9D9" w:themeFill="background1" w:themeFillShade="D9"/>
            <w:vAlign w:val="bottom"/>
          </w:tcPr>
          <w:p w:rsidR="003751F1" w:rsidRPr="00240299" w:rsidRDefault="003751F1" w:rsidP="003C5448">
            <w:pPr>
              <w:pStyle w:val="TableBodyText"/>
              <w:spacing w:before="40"/>
            </w:pPr>
            <w:r w:rsidRPr="00240299">
              <w:t>18.8</w:t>
            </w:r>
          </w:p>
        </w:tc>
        <w:tc>
          <w:tcPr>
            <w:tcW w:w="625" w:type="pct"/>
            <w:shd w:val="clear" w:color="auto" w:fill="D9D9D9" w:themeFill="background1" w:themeFillShade="D9"/>
            <w:vAlign w:val="center"/>
            <w:hideMark/>
          </w:tcPr>
          <w:p w:rsidR="003751F1" w:rsidRPr="00240299" w:rsidRDefault="003751F1" w:rsidP="003C5448">
            <w:pPr>
              <w:pStyle w:val="TableBodyText"/>
              <w:spacing w:before="40"/>
            </w:pPr>
            <w:r w:rsidRPr="00240299">
              <w:t>3.4</w:t>
            </w:r>
          </w:p>
        </w:tc>
        <w:tc>
          <w:tcPr>
            <w:tcW w:w="579" w:type="pct"/>
            <w:shd w:val="clear" w:color="auto" w:fill="D9D9D9" w:themeFill="background1" w:themeFillShade="D9"/>
            <w:vAlign w:val="bottom"/>
          </w:tcPr>
          <w:p w:rsidR="003751F1" w:rsidRPr="00240299" w:rsidRDefault="003751F1" w:rsidP="003C5448">
            <w:pPr>
              <w:pStyle w:val="TableBodyText"/>
              <w:spacing w:before="40"/>
            </w:pPr>
            <w:r w:rsidRPr="00240299">
              <w:t>3.6</w:t>
            </w:r>
          </w:p>
        </w:tc>
      </w:tr>
      <w:tr w:rsidR="003751F1" w:rsidRPr="00240299" w:rsidTr="000C3FA2">
        <w:tc>
          <w:tcPr>
            <w:tcW w:w="2033" w:type="pct"/>
            <w:shd w:val="clear" w:color="auto" w:fill="auto"/>
            <w:vAlign w:val="bottom"/>
            <w:hideMark/>
          </w:tcPr>
          <w:p w:rsidR="003751F1" w:rsidRPr="00240299" w:rsidRDefault="003751F1" w:rsidP="003C5448">
            <w:pPr>
              <w:pStyle w:val="TableBodyText"/>
              <w:spacing w:before="40"/>
              <w:jc w:val="left"/>
            </w:pPr>
            <w:r w:rsidRPr="00240299">
              <w:t>Accommodation &amp; food services</w:t>
            </w:r>
          </w:p>
        </w:tc>
        <w:tc>
          <w:tcPr>
            <w:tcW w:w="513" w:type="pct"/>
            <w:shd w:val="clear" w:color="auto" w:fill="auto"/>
            <w:vAlign w:val="center"/>
            <w:hideMark/>
          </w:tcPr>
          <w:p w:rsidR="003751F1" w:rsidRPr="00240299" w:rsidRDefault="003751F1" w:rsidP="003C5448">
            <w:pPr>
              <w:pStyle w:val="TableBodyText"/>
              <w:spacing w:before="40"/>
            </w:pPr>
            <w:r w:rsidRPr="00240299">
              <w:t>3.9</w:t>
            </w:r>
          </w:p>
        </w:tc>
        <w:tc>
          <w:tcPr>
            <w:tcW w:w="625" w:type="pct"/>
            <w:shd w:val="clear" w:color="auto" w:fill="auto"/>
            <w:vAlign w:val="center"/>
            <w:hideMark/>
          </w:tcPr>
          <w:p w:rsidR="003751F1" w:rsidRPr="00240299" w:rsidRDefault="003751F1" w:rsidP="003C5448">
            <w:pPr>
              <w:pStyle w:val="TableBodyText"/>
              <w:spacing w:before="40"/>
            </w:pPr>
            <w:r w:rsidRPr="00240299">
              <w:t>9.4</w:t>
            </w:r>
          </w:p>
        </w:tc>
        <w:tc>
          <w:tcPr>
            <w:tcW w:w="625" w:type="pct"/>
            <w:shd w:val="clear" w:color="auto" w:fill="auto"/>
            <w:vAlign w:val="bottom"/>
          </w:tcPr>
          <w:p w:rsidR="003751F1" w:rsidRPr="00240299" w:rsidRDefault="003751F1" w:rsidP="003C5448">
            <w:pPr>
              <w:pStyle w:val="TableBodyText"/>
              <w:spacing w:before="40"/>
            </w:pPr>
            <w:r w:rsidRPr="00240299">
              <w:t>11.8</w:t>
            </w:r>
          </w:p>
        </w:tc>
        <w:tc>
          <w:tcPr>
            <w:tcW w:w="625" w:type="pct"/>
            <w:shd w:val="clear" w:color="auto" w:fill="auto"/>
            <w:vAlign w:val="center"/>
            <w:hideMark/>
          </w:tcPr>
          <w:p w:rsidR="003751F1" w:rsidRPr="00240299" w:rsidRDefault="003751F1" w:rsidP="003C5448">
            <w:pPr>
              <w:pStyle w:val="TableBodyText"/>
              <w:spacing w:before="40"/>
            </w:pPr>
            <w:r w:rsidRPr="00240299">
              <w:t>1.7</w:t>
            </w:r>
          </w:p>
        </w:tc>
        <w:tc>
          <w:tcPr>
            <w:tcW w:w="579" w:type="pct"/>
            <w:shd w:val="clear" w:color="auto" w:fill="auto"/>
            <w:vAlign w:val="bottom"/>
          </w:tcPr>
          <w:p w:rsidR="003751F1" w:rsidRPr="00240299" w:rsidRDefault="003751F1" w:rsidP="003C5448">
            <w:pPr>
              <w:pStyle w:val="TableBodyText"/>
              <w:spacing w:before="40"/>
            </w:pPr>
            <w:r w:rsidRPr="00240299">
              <w:t>3.2</w:t>
            </w:r>
          </w:p>
        </w:tc>
      </w:tr>
      <w:tr w:rsidR="000C3FA2" w:rsidRPr="00240299" w:rsidTr="00D013F7">
        <w:tc>
          <w:tcPr>
            <w:tcW w:w="2033" w:type="pct"/>
            <w:shd w:val="clear" w:color="auto" w:fill="D9D9D9" w:themeFill="background1" w:themeFillShade="D9"/>
            <w:hideMark/>
          </w:tcPr>
          <w:p w:rsidR="000C3FA2" w:rsidRPr="00F33BC9" w:rsidRDefault="000C3FA2" w:rsidP="000C3FA2">
            <w:pPr>
              <w:pStyle w:val="TableBodyText"/>
              <w:spacing w:before="40"/>
              <w:jc w:val="left"/>
            </w:pPr>
            <w:r w:rsidRPr="00F33BC9">
              <w:t>Transport, postal &amp; warehousing</w:t>
            </w:r>
          </w:p>
        </w:tc>
        <w:tc>
          <w:tcPr>
            <w:tcW w:w="513" w:type="pct"/>
            <w:shd w:val="clear" w:color="auto" w:fill="D9D9D9" w:themeFill="background1" w:themeFillShade="D9"/>
            <w:vAlign w:val="center"/>
            <w:hideMark/>
          </w:tcPr>
          <w:p w:rsidR="000C3FA2" w:rsidRPr="00240299" w:rsidRDefault="000C3FA2" w:rsidP="003C5448">
            <w:pPr>
              <w:pStyle w:val="TableBodyText"/>
              <w:spacing w:before="40"/>
            </w:pPr>
            <w:r w:rsidRPr="00240299">
              <w:t>9.1</w:t>
            </w:r>
          </w:p>
        </w:tc>
        <w:tc>
          <w:tcPr>
            <w:tcW w:w="625" w:type="pct"/>
            <w:shd w:val="clear" w:color="auto" w:fill="D9D9D9" w:themeFill="background1" w:themeFillShade="D9"/>
            <w:vAlign w:val="center"/>
            <w:hideMark/>
          </w:tcPr>
          <w:p w:rsidR="000C3FA2" w:rsidRPr="00240299" w:rsidRDefault="000C3FA2" w:rsidP="003C5448">
            <w:pPr>
              <w:pStyle w:val="TableBodyText"/>
              <w:spacing w:before="40"/>
            </w:pPr>
            <w:r w:rsidRPr="00240299">
              <w:t>9.6</w:t>
            </w:r>
          </w:p>
        </w:tc>
        <w:tc>
          <w:tcPr>
            <w:tcW w:w="625" w:type="pct"/>
            <w:shd w:val="clear" w:color="auto" w:fill="D9D9D9" w:themeFill="background1" w:themeFillShade="D9"/>
            <w:vAlign w:val="bottom"/>
          </w:tcPr>
          <w:p w:rsidR="000C3FA2" w:rsidRPr="00240299" w:rsidRDefault="000C3FA2" w:rsidP="003C5448">
            <w:pPr>
              <w:pStyle w:val="TableBodyText"/>
              <w:spacing w:before="40"/>
            </w:pPr>
            <w:r w:rsidRPr="00240299">
              <w:t>8.9</w:t>
            </w:r>
          </w:p>
        </w:tc>
        <w:tc>
          <w:tcPr>
            <w:tcW w:w="625" w:type="pct"/>
            <w:shd w:val="clear" w:color="auto" w:fill="D9D9D9" w:themeFill="background1" w:themeFillShade="D9"/>
            <w:vAlign w:val="center"/>
            <w:hideMark/>
          </w:tcPr>
          <w:p w:rsidR="000C3FA2" w:rsidRPr="00240299" w:rsidRDefault="000C3FA2" w:rsidP="003C5448">
            <w:pPr>
              <w:pStyle w:val="TableBodyText"/>
              <w:spacing w:before="40"/>
            </w:pPr>
            <w:r w:rsidRPr="00240299">
              <w:t>16.0</w:t>
            </w:r>
          </w:p>
        </w:tc>
        <w:tc>
          <w:tcPr>
            <w:tcW w:w="579" w:type="pct"/>
            <w:shd w:val="clear" w:color="auto" w:fill="D9D9D9" w:themeFill="background1" w:themeFillShade="D9"/>
            <w:vAlign w:val="bottom"/>
          </w:tcPr>
          <w:p w:rsidR="000C3FA2" w:rsidRPr="00240299" w:rsidRDefault="000C3FA2" w:rsidP="003C5448">
            <w:pPr>
              <w:pStyle w:val="TableBodyText"/>
              <w:spacing w:before="40"/>
            </w:pPr>
            <w:r w:rsidRPr="00240299">
              <w:t>18.9</w:t>
            </w:r>
          </w:p>
        </w:tc>
      </w:tr>
      <w:tr w:rsidR="000C3FA2" w:rsidRPr="00240299" w:rsidTr="00D013F7">
        <w:tc>
          <w:tcPr>
            <w:tcW w:w="2033" w:type="pct"/>
            <w:shd w:val="clear" w:color="auto" w:fill="auto"/>
            <w:hideMark/>
          </w:tcPr>
          <w:p w:rsidR="000C3FA2" w:rsidRDefault="000C3FA2" w:rsidP="000C3FA2">
            <w:pPr>
              <w:pStyle w:val="TableBodyText"/>
              <w:spacing w:before="40"/>
              <w:jc w:val="left"/>
            </w:pPr>
            <w:r w:rsidRPr="00F33BC9">
              <w:t>Information, media &amp; telecoms</w:t>
            </w:r>
          </w:p>
        </w:tc>
        <w:tc>
          <w:tcPr>
            <w:tcW w:w="513" w:type="pct"/>
            <w:shd w:val="clear" w:color="auto" w:fill="auto"/>
            <w:vAlign w:val="center"/>
            <w:hideMark/>
          </w:tcPr>
          <w:p w:rsidR="000C3FA2" w:rsidRPr="00240299" w:rsidRDefault="000C3FA2" w:rsidP="003C5448">
            <w:pPr>
              <w:pStyle w:val="TableBodyText"/>
              <w:spacing w:before="40"/>
            </w:pPr>
            <w:r w:rsidRPr="00240299">
              <w:t>5.0</w:t>
            </w:r>
          </w:p>
        </w:tc>
        <w:tc>
          <w:tcPr>
            <w:tcW w:w="625" w:type="pct"/>
            <w:shd w:val="clear" w:color="auto" w:fill="auto"/>
            <w:vAlign w:val="center"/>
            <w:hideMark/>
          </w:tcPr>
          <w:p w:rsidR="000C3FA2" w:rsidRPr="00240299" w:rsidRDefault="000C3FA2" w:rsidP="003C5448">
            <w:pPr>
              <w:pStyle w:val="TableBodyText"/>
              <w:spacing w:before="40"/>
            </w:pPr>
            <w:r w:rsidRPr="00240299">
              <w:t>3.4</w:t>
            </w:r>
          </w:p>
        </w:tc>
        <w:tc>
          <w:tcPr>
            <w:tcW w:w="625" w:type="pct"/>
            <w:shd w:val="clear" w:color="auto" w:fill="auto"/>
            <w:vAlign w:val="bottom"/>
          </w:tcPr>
          <w:p w:rsidR="000C3FA2" w:rsidRPr="00240299" w:rsidRDefault="000C3FA2" w:rsidP="003C5448">
            <w:pPr>
              <w:pStyle w:val="TableBodyText"/>
              <w:spacing w:before="40"/>
            </w:pPr>
            <w:r w:rsidRPr="00240299">
              <w:t>3.3</w:t>
            </w:r>
          </w:p>
        </w:tc>
        <w:tc>
          <w:tcPr>
            <w:tcW w:w="625" w:type="pct"/>
            <w:shd w:val="clear" w:color="auto" w:fill="auto"/>
            <w:vAlign w:val="center"/>
            <w:hideMark/>
          </w:tcPr>
          <w:p w:rsidR="000C3FA2" w:rsidRPr="00240299" w:rsidRDefault="000C3FA2" w:rsidP="003C5448">
            <w:pPr>
              <w:pStyle w:val="TableBodyText"/>
              <w:spacing w:before="40"/>
            </w:pPr>
            <w:r w:rsidRPr="00240299">
              <w:t>5.1</w:t>
            </w:r>
          </w:p>
        </w:tc>
        <w:tc>
          <w:tcPr>
            <w:tcW w:w="579" w:type="pct"/>
            <w:shd w:val="clear" w:color="auto" w:fill="auto"/>
            <w:vAlign w:val="bottom"/>
          </w:tcPr>
          <w:p w:rsidR="000C3FA2" w:rsidRPr="00240299" w:rsidRDefault="000C3FA2" w:rsidP="003C5448">
            <w:pPr>
              <w:pStyle w:val="TableBodyText"/>
              <w:spacing w:before="40"/>
            </w:pPr>
            <w:r w:rsidRPr="00240299">
              <w:t>6.7</w:t>
            </w:r>
          </w:p>
        </w:tc>
      </w:tr>
      <w:tr w:rsidR="003751F1" w:rsidRPr="00240299" w:rsidTr="000C3FA2">
        <w:tc>
          <w:tcPr>
            <w:tcW w:w="2033" w:type="pct"/>
            <w:shd w:val="clear" w:color="auto" w:fill="D9D9D9" w:themeFill="background1" w:themeFillShade="D9"/>
            <w:vAlign w:val="bottom"/>
            <w:hideMark/>
          </w:tcPr>
          <w:p w:rsidR="003751F1" w:rsidRPr="00240299" w:rsidRDefault="003751F1" w:rsidP="003C5448">
            <w:pPr>
              <w:pStyle w:val="TableBodyText"/>
              <w:spacing w:before="40"/>
              <w:jc w:val="left"/>
            </w:pPr>
            <w:r w:rsidRPr="00240299">
              <w:t>Financial &amp; insurance services</w:t>
            </w:r>
          </w:p>
        </w:tc>
        <w:tc>
          <w:tcPr>
            <w:tcW w:w="513" w:type="pct"/>
            <w:shd w:val="clear" w:color="auto" w:fill="D9D9D9" w:themeFill="background1" w:themeFillShade="D9"/>
            <w:vAlign w:val="center"/>
            <w:hideMark/>
          </w:tcPr>
          <w:p w:rsidR="003751F1" w:rsidRPr="00240299" w:rsidRDefault="003751F1" w:rsidP="003C5448">
            <w:pPr>
              <w:pStyle w:val="TableBodyText"/>
              <w:spacing w:before="40"/>
            </w:pPr>
            <w:r w:rsidRPr="00240299">
              <w:t>17.0</w:t>
            </w:r>
          </w:p>
        </w:tc>
        <w:tc>
          <w:tcPr>
            <w:tcW w:w="625" w:type="pct"/>
            <w:shd w:val="clear" w:color="auto" w:fill="D9D9D9" w:themeFill="background1" w:themeFillShade="D9"/>
            <w:vAlign w:val="center"/>
            <w:hideMark/>
          </w:tcPr>
          <w:p w:rsidR="003751F1" w:rsidRPr="00240299" w:rsidRDefault="003751F1" w:rsidP="003C5448">
            <w:pPr>
              <w:pStyle w:val="TableBodyText"/>
              <w:spacing w:before="40"/>
            </w:pPr>
            <w:r w:rsidRPr="00240299">
              <w:t>6.4</w:t>
            </w:r>
          </w:p>
        </w:tc>
        <w:tc>
          <w:tcPr>
            <w:tcW w:w="625" w:type="pct"/>
            <w:shd w:val="clear" w:color="auto" w:fill="D9D9D9" w:themeFill="background1" w:themeFillShade="D9"/>
            <w:vAlign w:val="bottom"/>
          </w:tcPr>
          <w:p w:rsidR="003751F1" w:rsidRPr="00240299" w:rsidRDefault="003751F1" w:rsidP="003C5448">
            <w:pPr>
              <w:pStyle w:val="TableBodyText"/>
              <w:spacing w:before="40"/>
            </w:pPr>
            <w:r w:rsidRPr="00240299">
              <w:t>6.2</w:t>
            </w:r>
          </w:p>
        </w:tc>
        <w:tc>
          <w:tcPr>
            <w:tcW w:w="625" w:type="pct"/>
            <w:shd w:val="clear" w:color="auto" w:fill="D9D9D9" w:themeFill="background1" w:themeFillShade="D9"/>
            <w:vAlign w:val="center"/>
            <w:hideMark/>
          </w:tcPr>
          <w:p w:rsidR="003751F1" w:rsidRPr="00240299" w:rsidRDefault="003751F1" w:rsidP="003C5448">
            <w:pPr>
              <w:pStyle w:val="TableBodyText"/>
              <w:spacing w:before="40"/>
            </w:pPr>
            <w:r w:rsidRPr="00240299">
              <w:t>4.5</w:t>
            </w:r>
          </w:p>
        </w:tc>
        <w:tc>
          <w:tcPr>
            <w:tcW w:w="579" w:type="pct"/>
            <w:shd w:val="clear" w:color="auto" w:fill="D9D9D9" w:themeFill="background1" w:themeFillShade="D9"/>
            <w:vAlign w:val="bottom"/>
          </w:tcPr>
          <w:p w:rsidR="003751F1" w:rsidRPr="00240299" w:rsidRDefault="003751F1" w:rsidP="003C5448">
            <w:pPr>
              <w:pStyle w:val="TableBodyText"/>
              <w:spacing w:before="40"/>
            </w:pPr>
            <w:r w:rsidRPr="00240299">
              <w:t>6.2</w:t>
            </w:r>
          </w:p>
        </w:tc>
      </w:tr>
      <w:tr w:rsidR="003751F1" w:rsidRPr="00240299" w:rsidTr="000C3FA2">
        <w:tc>
          <w:tcPr>
            <w:tcW w:w="2033" w:type="pct"/>
            <w:shd w:val="clear" w:color="auto" w:fill="auto"/>
            <w:vAlign w:val="bottom"/>
            <w:hideMark/>
          </w:tcPr>
          <w:p w:rsidR="003751F1" w:rsidRPr="00240299" w:rsidRDefault="003751F1" w:rsidP="003C5448">
            <w:pPr>
              <w:pStyle w:val="TableBodyText"/>
              <w:spacing w:before="40"/>
              <w:jc w:val="left"/>
            </w:pPr>
            <w:r w:rsidRPr="00240299">
              <w:t>Arts &amp; recreation services</w:t>
            </w:r>
          </w:p>
        </w:tc>
        <w:tc>
          <w:tcPr>
            <w:tcW w:w="513" w:type="pct"/>
            <w:shd w:val="clear" w:color="auto" w:fill="auto"/>
            <w:vAlign w:val="center"/>
            <w:hideMark/>
          </w:tcPr>
          <w:p w:rsidR="003751F1" w:rsidRPr="00240299" w:rsidRDefault="003751F1" w:rsidP="003C5448">
            <w:pPr>
              <w:pStyle w:val="TableBodyText"/>
              <w:spacing w:before="40"/>
            </w:pPr>
            <w:r w:rsidRPr="00240299">
              <w:t>1.4</w:t>
            </w:r>
          </w:p>
        </w:tc>
        <w:tc>
          <w:tcPr>
            <w:tcW w:w="625" w:type="pct"/>
            <w:shd w:val="clear" w:color="auto" w:fill="auto"/>
            <w:vAlign w:val="center"/>
            <w:hideMark/>
          </w:tcPr>
          <w:p w:rsidR="003751F1" w:rsidRPr="00240299" w:rsidRDefault="003751F1" w:rsidP="003C5448">
            <w:pPr>
              <w:pStyle w:val="TableBodyText"/>
              <w:spacing w:before="40"/>
            </w:pPr>
            <w:r w:rsidRPr="00240299">
              <w:t>2.7</w:t>
            </w:r>
          </w:p>
        </w:tc>
        <w:tc>
          <w:tcPr>
            <w:tcW w:w="625" w:type="pct"/>
            <w:shd w:val="clear" w:color="auto" w:fill="auto"/>
            <w:vAlign w:val="bottom"/>
          </w:tcPr>
          <w:p w:rsidR="003751F1" w:rsidRPr="00240299" w:rsidRDefault="003751F1" w:rsidP="003C5448">
            <w:pPr>
              <w:pStyle w:val="TableBodyText"/>
              <w:spacing w:before="40"/>
            </w:pPr>
            <w:r w:rsidRPr="00240299">
              <w:t>3.1</w:t>
            </w:r>
          </w:p>
        </w:tc>
        <w:tc>
          <w:tcPr>
            <w:tcW w:w="625" w:type="pct"/>
            <w:shd w:val="clear" w:color="auto" w:fill="auto"/>
            <w:vAlign w:val="center"/>
            <w:hideMark/>
          </w:tcPr>
          <w:p w:rsidR="003751F1" w:rsidRPr="00240299" w:rsidRDefault="003751F1" w:rsidP="003C5448">
            <w:pPr>
              <w:pStyle w:val="TableBodyText"/>
              <w:spacing w:before="40"/>
            </w:pPr>
            <w:r w:rsidRPr="00240299">
              <w:t>1.9</w:t>
            </w:r>
          </w:p>
        </w:tc>
        <w:tc>
          <w:tcPr>
            <w:tcW w:w="579" w:type="pct"/>
            <w:shd w:val="clear" w:color="auto" w:fill="auto"/>
            <w:vAlign w:val="bottom"/>
          </w:tcPr>
          <w:p w:rsidR="003751F1" w:rsidRPr="00240299" w:rsidRDefault="003751F1" w:rsidP="003C5448">
            <w:pPr>
              <w:pStyle w:val="TableBodyText"/>
              <w:spacing w:before="40"/>
            </w:pPr>
            <w:r w:rsidRPr="00240299">
              <w:t>2.9</w:t>
            </w:r>
          </w:p>
        </w:tc>
      </w:tr>
      <w:tr w:rsidR="003751F1" w:rsidRPr="00240299" w:rsidTr="00435837">
        <w:trPr>
          <w:trHeight w:val="295"/>
        </w:trPr>
        <w:tc>
          <w:tcPr>
            <w:tcW w:w="2033" w:type="pct"/>
            <w:tcBorders>
              <w:top w:val="nil"/>
              <w:left w:val="nil"/>
              <w:bottom w:val="single" w:sz="6" w:space="0" w:color="auto"/>
              <w:right w:val="nil"/>
            </w:tcBorders>
            <w:shd w:val="clear" w:color="auto" w:fill="D9D9D9" w:themeFill="background1" w:themeFillShade="D9"/>
            <w:vAlign w:val="bottom"/>
            <w:hideMark/>
          </w:tcPr>
          <w:p w:rsidR="003751F1" w:rsidRPr="00240299" w:rsidRDefault="003751F1" w:rsidP="00435837">
            <w:pPr>
              <w:pStyle w:val="TableUnitsRow"/>
              <w:spacing w:before="20" w:after="0"/>
              <w:jc w:val="left"/>
              <w:rPr>
                <w:b/>
                <w:bCs/>
              </w:rPr>
            </w:pPr>
            <w:r w:rsidRPr="00240299">
              <w:rPr>
                <w:b/>
                <w:bCs/>
              </w:rPr>
              <w:t>Market sector</w:t>
            </w:r>
            <w:r w:rsidRPr="00240299">
              <w:rPr>
                <w:rStyle w:val="NoteLabel"/>
              </w:rPr>
              <w:t>a</w:t>
            </w:r>
          </w:p>
        </w:tc>
        <w:tc>
          <w:tcPr>
            <w:tcW w:w="513" w:type="pct"/>
            <w:tcBorders>
              <w:top w:val="nil"/>
              <w:left w:val="nil"/>
              <w:bottom w:val="single" w:sz="6" w:space="0" w:color="auto"/>
              <w:right w:val="nil"/>
            </w:tcBorders>
            <w:shd w:val="clear" w:color="auto" w:fill="D9D9D9" w:themeFill="background1" w:themeFillShade="D9"/>
            <w:vAlign w:val="bottom"/>
            <w:hideMark/>
          </w:tcPr>
          <w:p w:rsidR="003751F1" w:rsidRPr="00240299" w:rsidRDefault="003751F1" w:rsidP="00435837">
            <w:pPr>
              <w:pStyle w:val="TableUnitsRow"/>
              <w:spacing w:before="20" w:after="0"/>
              <w:rPr>
                <w:b/>
                <w:bCs/>
              </w:rPr>
            </w:pPr>
            <w:r w:rsidRPr="00240299">
              <w:rPr>
                <w:b/>
                <w:bCs/>
              </w:rPr>
              <w:t>100.0</w:t>
            </w:r>
          </w:p>
        </w:tc>
        <w:tc>
          <w:tcPr>
            <w:tcW w:w="625" w:type="pct"/>
            <w:tcBorders>
              <w:top w:val="nil"/>
              <w:left w:val="nil"/>
              <w:bottom w:val="single" w:sz="6" w:space="0" w:color="auto"/>
              <w:right w:val="nil"/>
            </w:tcBorders>
            <w:shd w:val="clear" w:color="auto" w:fill="D9D9D9" w:themeFill="background1" w:themeFillShade="D9"/>
            <w:vAlign w:val="bottom"/>
            <w:hideMark/>
          </w:tcPr>
          <w:p w:rsidR="003751F1" w:rsidRPr="00240299" w:rsidRDefault="003751F1" w:rsidP="00435837">
            <w:pPr>
              <w:pStyle w:val="TableUnitsRow"/>
              <w:spacing w:before="20" w:after="0"/>
              <w:rPr>
                <w:b/>
                <w:bCs/>
              </w:rPr>
            </w:pPr>
            <w:r w:rsidRPr="00240299">
              <w:rPr>
                <w:b/>
                <w:bCs/>
              </w:rPr>
              <w:t>100.0</w:t>
            </w:r>
          </w:p>
        </w:tc>
        <w:tc>
          <w:tcPr>
            <w:tcW w:w="625" w:type="pct"/>
            <w:tcBorders>
              <w:top w:val="nil"/>
              <w:left w:val="nil"/>
              <w:bottom w:val="single" w:sz="6" w:space="0" w:color="auto"/>
              <w:right w:val="nil"/>
            </w:tcBorders>
            <w:shd w:val="clear" w:color="auto" w:fill="D9D9D9" w:themeFill="background1" w:themeFillShade="D9"/>
            <w:vAlign w:val="bottom"/>
          </w:tcPr>
          <w:p w:rsidR="003751F1" w:rsidRPr="00240299" w:rsidRDefault="00F5418E" w:rsidP="00435837">
            <w:pPr>
              <w:pStyle w:val="TableUnitsRow"/>
              <w:spacing w:before="20" w:after="0"/>
              <w:rPr>
                <w:b/>
                <w:bCs/>
              </w:rPr>
            </w:pPr>
            <w:r w:rsidRPr="00240299">
              <w:rPr>
                <w:b/>
                <w:bCs/>
              </w:rPr>
              <w:t>100.0</w:t>
            </w:r>
          </w:p>
        </w:tc>
        <w:tc>
          <w:tcPr>
            <w:tcW w:w="625" w:type="pct"/>
            <w:tcBorders>
              <w:top w:val="nil"/>
              <w:left w:val="nil"/>
              <w:bottom w:val="single" w:sz="6" w:space="0" w:color="auto"/>
              <w:right w:val="nil"/>
            </w:tcBorders>
            <w:shd w:val="clear" w:color="auto" w:fill="D9D9D9" w:themeFill="background1" w:themeFillShade="D9"/>
            <w:vAlign w:val="bottom"/>
            <w:hideMark/>
          </w:tcPr>
          <w:p w:rsidR="003751F1" w:rsidRPr="00240299" w:rsidRDefault="003751F1" w:rsidP="00435837">
            <w:pPr>
              <w:pStyle w:val="TableUnitsRow"/>
              <w:spacing w:before="20" w:after="0"/>
              <w:rPr>
                <w:b/>
                <w:bCs/>
              </w:rPr>
            </w:pPr>
            <w:r w:rsidRPr="00240299">
              <w:rPr>
                <w:b/>
                <w:bCs/>
              </w:rPr>
              <w:t>100.0</w:t>
            </w:r>
          </w:p>
        </w:tc>
        <w:tc>
          <w:tcPr>
            <w:tcW w:w="579" w:type="pct"/>
            <w:tcBorders>
              <w:top w:val="nil"/>
              <w:left w:val="nil"/>
              <w:bottom w:val="single" w:sz="6" w:space="0" w:color="auto"/>
              <w:right w:val="nil"/>
            </w:tcBorders>
            <w:shd w:val="clear" w:color="auto" w:fill="D9D9D9" w:themeFill="background1" w:themeFillShade="D9"/>
            <w:vAlign w:val="bottom"/>
          </w:tcPr>
          <w:p w:rsidR="003751F1" w:rsidRPr="00240299" w:rsidRDefault="003751F1" w:rsidP="00435837">
            <w:pPr>
              <w:pStyle w:val="TableUnitsRow"/>
              <w:spacing w:before="20" w:after="0"/>
              <w:rPr>
                <w:b/>
                <w:bCs/>
              </w:rPr>
            </w:pPr>
            <w:r w:rsidRPr="00240299">
              <w:rPr>
                <w:b/>
                <w:bCs/>
              </w:rPr>
              <w:t>100.0</w:t>
            </w:r>
          </w:p>
        </w:tc>
      </w:tr>
    </w:tbl>
    <w:p w:rsidR="009E6A4E" w:rsidRPr="00240299" w:rsidRDefault="00A7781D" w:rsidP="001F04D8">
      <w:pPr>
        <w:pStyle w:val="Note"/>
        <w:spacing w:line="200" w:lineRule="exact"/>
      </w:pPr>
      <w:r w:rsidRPr="00240299">
        <w:rPr>
          <w:rStyle w:val="NoteLabel"/>
        </w:rPr>
        <w:t>a</w:t>
      </w:r>
      <w:r w:rsidRPr="00240299">
        <w:t xml:space="preserve"> </w:t>
      </w:r>
      <w:r w:rsidR="00C9636A" w:rsidRPr="00240299">
        <w:t xml:space="preserve">The ABS measures </w:t>
      </w:r>
      <w:r w:rsidR="003D2E33">
        <w:t>multifactor productivity</w:t>
      </w:r>
      <w:r w:rsidR="00C9636A" w:rsidRPr="00240299">
        <w:t xml:space="preserve"> only for the market sector of the economy. In this paper, the market sector refers to the </w:t>
      </w:r>
      <w:r w:rsidR="009E6A4E" w:rsidRPr="00240299">
        <w:t>12</w:t>
      </w:r>
      <w:r w:rsidR="00C9636A" w:rsidRPr="00240299">
        <w:t xml:space="preserve"> industr</w:t>
      </w:r>
      <w:r w:rsidR="00A30B59" w:rsidRPr="00240299">
        <w:t>y sectors</w:t>
      </w:r>
      <w:r w:rsidR="00C9636A" w:rsidRPr="00240299">
        <w:t xml:space="preserve"> for which </w:t>
      </w:r>
      <w:r w:rsidR="004C0F24" w:rsidRPr="00240299">
        <w:t xml:space="preserve">a long time series of </w:t>
      </w:r>
      <w:r w:rsidR="003D2E33">
        <w:t>multifactor productivity</w:t>
      </w:r>
      <w:r w:rsidR="004C0F24" w:rsidRPr="00240299">
        <w:t xml:space="preserve"> estimates is available</w:t>
      </w:r>
      <w:r w:rsidR="004C0F24" w:rsidRPr="00240299" w:rsidDel="004C0F24">
        <w:t xml:space="preserve"> </w:t>
      </w:r>
      <w:r w:rsidRPr="00240299">
        <w:t>(</w:t>
      </w:r>
      <w:r w:rsidR="00E25EB4" w:rsidRPr="00240299">
        <w:rPr>
          <w:i/>
        </w:rPr>
        <w:t xml:space="preserve">Australia and New Zealand Standard Industrial Classification 2006 </w:t>
      </w:r>
      <w:r w:rsidR="00E25EB4" w:rsidRPr="00240299">
        <w:t>(</w:t>
      </w:r>
      <w:r w:rsidRPr="00240299">
        <w:t>ANZSIC06</w:t>
      </w:r>
      <w:r w:rsidR="00E25EB4" w:rsidRPr="00240299">
        <w:t>)</w:t>
      </w:r>
      <w:r w:rsidRPr="00240299">
        <w:t xml:space="preserve"> Divisions A to K and R). </w:t>
      </w:r>
      <w:r w:rsidR="009E6A4E" w:rsidRPr="00240299">
        <w:t>The ABS has recently added 4 industr</w:t>
      </w:r>
      <w:r w:rsidR="00A30B59" w:rsidRPr="00240299">
        <w:t>y sectors</w:t>
      </w:r>
      <w:r w:rsidR="009E6A4E" w:rsidRPr="00240299">
        <w:t xml:space="preserve"> to its market sector</w:t>
      </w:r>
      <w:r w:rsidR="004C0F24" w:rsidRPr="00240299">
        <w:t xml:space="preserve"> but data are not available for an equivalent period and the</w:t>
      </w:r>
      <w:r w:rsidR="009E6A4E" w:rsidRPr="00240299">
        <w:t xml:space="preserve"> </w:t>
      </w:r>
      <w:r w:rsidR="00A455A8" w:rsidRPr="00240299">
        <w:t xml:space="preserve">productivity </w:t>
      </w:r>
      <w:r w:rsidR="009E6A4E" w:rsidRPr="00240299">
        <w:t xml:space="preserve">estimates for </w:t>
      </w:r>
      <w:r w:rsidR="004C0F24" w:rsidRPr="00240299">
        <w:t>those</w:t>
      </w:r>
      <w:r w:rsidR="009E6A4E" w:rsidRPr="00240299">
        <w:t xml:space="preserve"> industr</w:t>
      </w:r>
      <w:r w:rsidR="00A30B59" w:rsidRPr="00240299">
        <w:t>y sectors</w:t>
      </w:r>
      <w:r w:rsidR="009E6A4E" w:rsidRPr="00240299">
        <w:t xml:space="preserve"> </w:t>
      </w:r>
      <w:r w:rsidR="004C0F24" w:rsidRPr="00240299">
        <w:t>need to be interpreted with care due to</w:t>
      </w:r>
      <w:r w:rsidR="00716902" w:rsidRPr="00240299">
        <w:t xml:space="preserve"> </w:t>
      </w:r>
      <w:r w:rsidR="00217B89" w:rsidRPr="00240299">
        <w:t>additional conceptual and data issues (ABS 2010</w:t>
      </w:r>
      <w:r w:rsidR="00090C60">
        <w:t>a</w:t>
      </w:r>
      <w:r w:rsidR="00217B89" w:rsidRPr="00240299">
        <w:t>).</w:t>
      </w:r>
      <w:r w:rsidR="00C9636A" w:rsidRPr="00240299">
        <w:rPr>
          <w:rStyle w:val="NoteLabel"/>
        </w:rPr>
        <w:t xml:space="preserve"> b</w:t>
      </w:r>
      <w:r w:rsidR="00C9636A" w:rsidRPr="00240299">
        <w:t xml:space="preserve"> </w:t>
      </w:r>
      <w:r w:rsidR="00AD36E5" w:rsidRPr="00240299">
        <w:t>Gross value added at current basic prices</w:t>
      </w:r>
      <w:r w:rsidR="00C9636A" w:rsidRPr="00240299">
        <w:t xml:space="preserve">. </w:t>
      </w:r>
      <w:r w:rsidR="00071638" w:rsidRPr="00240299">
        <w:rPr>
          <w:rStyle w:val="NoteLabel"/>
        </w:rPr>
        <w:t>c</w:t>
      </w:r>
      <w:r w:rsidR="001F15AE" w:rsidRPr="00240299">
        <w:t> </w:t>
      </w:r>
      <w:r w:rsidR="00071638" w:rsidRPr="00240299">
        <w:t>Annualised and adjusted for public holidays</w:t>
      </w:r>
      <w:r w:rsidR="00A12FE9" w:rsidRPr="00240299">
        <w:t xml:space="preserve"> and changes in survey methodology</w:t>
      </w:r>
      <w:r w:rsidR="002D4E8F" w:rsidRPr="00240299">
        <w:t xml:space="preserve"> (appendix A).</w:t>
      </w:r>
      <w:r w:rsidR="00071638" w:rsidRPr="00240299">
        <w:t xml:space="preserve"> </w:t>
      </w:r>
      <w:r w:rsidR="00AD36E5" w:rsidRPr="00240299">
        <w:rPr>
          <w:rStyle w:val="NoteLabel"/>
        </w:rPr>
        <w:t>d</w:t>
      </w:r>
      <w:r w:rsidR="00AD36E5" w:rsidRPr="00240299">
        <w:t xml:space="preserve"> Gross fixed capital formation in current prices. </w:t>
      </w:r>
      <w:r w:rsidR="00AD36E5" w:rsidRPr="00240299">
        <w:rPr>
          <w:rStyle w:val="NoteLabel"/>
        </w:rPr>
        <w:t>e</w:t>
      </w:r>
      <w:r w:rsidR="00AD36E5" w:rsidRPr="00240299">
        <w:t xml:space="preserve"> Net capital stock in current prices.</w:t>
      </w:r>
    </w:p>
    <w:p w:rsidR="003E2B48" w:rsidRDefault="00A7781D" w:rsidP="0036491A">
      <w:pPr>
        <w:pStyle w:val="Note"/>
        <w:spacing w:after="120" w:line="200" w:lineRule="exact"/>
      </w:pPr>
      <w:r w:rsidRPr="00240299">
        <w:rPr>
          <w:i/>
        </w:rPr>
        <w:t>Sources</w:t>
      </w:r>
      <w:r w:rsidRPr="00240299">
        <w:t xml:space="preserve">: </w:t>
      </w:r>
      <w:r w:rsidR="009D084C" w:rsidRPr="00240299">
        <w:t>Authors’ estimates based on</w:t>
      </w:r>
      <w:r w:rsidR="005F4172" w:rsidRPr="00240299">
        <w:t xml:space="preserve"> </w:t>
      </w:r>
      <w:r w:rsidRPr="00240299">
        <w:t>ABS (</w:t>
      </w:r>
      <w:r w:rsidRPr="00240299">
        <w:rPr>
          <w:i/>
        </w:rPr>
        <w:t>Australian System of National Accounts, 20</w:t>
      </w:r>
      <w:r w:rsidR="00A8017E" w:rsidRPr="00240299">
        <w:rPr>
          <w:i/>
        </w:rPr>
        <w:t>10</w:t>
      </w:r>
      <w:r w:rsidRPr="00240299">
        <w:rPr>
          <w:i/>
        </w:rPr>
        <w:t>-1</w:t>
      </w:r>
      <w:r w:rsidR="00A8017E" w:rsidRPr="00240299">
        <w:rPr>
          <w:i/>
        </w:rPr>
        <w:t>1</w:t>
      </w:r>
      <w:r w:rsidR="003C5448">
        <w:t>, Cat. </w:t>
      </w:r>
      <w:r w:rsidRPr="00240299">
        <w:t>no.</w:t>
      </w:r>
      <w:r w:rsidR="008C71F4" w:rsidRPr="00240299">
        <w:t> </w:t>
      </w:r>
      <w:r w:rsidRPr="00240299">
        <w:t xml:space="preserve">5204.0); </w:t>
      </w:r>
      <w:r w:rsidR="0036337D" w:rsidRPr="00240299">
        <w:t>ABS (</w:t>
      </w:r>
      <w:r w:rsidR="0036337D" w:rsidRPr="00240299">
        <w:rPr>
          <w:i/>
        </w:rPr>
        <w:t>Labour Force, Australia, Detailed, Quarterly</w:t>
      </w:r>
      <w:r w:rsidR="0036337D" w:rsidRPr="00240299">
        <w:t xml:space="preserve">, </w:t>
      </w:r>
      <w:r w:rsidR="0036337D" w:rsidRPr="00240299">
        <w:rPr>
          <w:i/>
        </w:rPr>
        <w:t>August 2011</w:t>
      </w:r>
      <w:r w:rsidR="0036337D" w:rsidRPr="00240299">
        <w:t>, Cat. no. 629</w:t>
      </w:r>
      <w:r w:rsidR="003968BC" w:rsidRPr="00240299">
        <w:t>1</w:t>
      </w:r>
      <w:r w:rsidR="0036337D" w:rsidRPr="00240299">
        <w:t xml:space="preserve">.0.55.003); </w:t>
      </w:r>
      <w:r w:rsidR="00282C33">
        <w:t xml:space="preserve">and </w:t>
      </w:r>
      <w:r w:rsidR="009D084C" w:rsidRPr="00240299">
        <w:t>ABS (unpublished Labour Force Survey data)</w:t>
      </w:r>
      <w:r w:rsidRPr="00240299">
        <w:t>.</w:t>
      </w:r>
    </w:p>
    <w:p w:rsidR="00A4277D" w:rsidRPr="00240299" w:rsidRDefault="003C2C3F" w:rsidP="00584702">
      <w:pPr>
        <w:pStyle w:val="BodyText"/>
      </w:pPr>
      <w:r w:rsidRPr="00240299">
        <w:lastRenderedPageBreak/>
        <w:t xml:space="preserve">The size of </w:t>
      </w:r>
      <w:r w:rsidR="00F44356" w:rsidRPr="00240299">
        <w:t>M</w:t>
      </w:r>
      <w:r w:rsidRPr="00240299">
        <w:t xml:space="preserve">anufacturing relative to the rest of the market sector </w:t>
      </w:r>
      <w:r w:rsidR="009A0C6A">
        <w:t xml:space="preserve">in terms of </w:t>
      </w:r>
      <w:r w:rsidR="00584702">
        <w:t>hours worked</w:t>
      </w:r>
      <w:r w:rsidR="003E2B48">
        <w:t xml:space="preserve"> and </w:t>
      </w:r>
      <w:r w:rsidR="00584702">
        <w:t>investment</w:t>
      </w:r>
      <w:r w:rsidR="003E2B48">
        <w:t xml:space="preserve"> </w:t>
      </w:r>
      <w:r w:rsidRPr="00240299">
        <w:t xml:space="preserve">has </w:t>
      </w:r>
      <w:r w:rsidR="003E2B48">
        <w:t xml:space="preserve">also </w:t>
      </w:r>
      <w:r w:rsidRPr="00240299">
        <w:t xml:space="preserve">changed over time. </w:t>
      </w:r>
      <w:r w:rsidR="00584702">
        <w:t>H</w:t>
      </w:r>
      <w:r w:rsidR="00A4277D" w:rsidRPr="00240299">
        <w:t xml:space="preserve">ours worked </w:t>
      </w:r>
      <w:r w:rsidR="00584702">
        <w:t>in</w:t>
      </w:r>
      <w:r w:rsidRPr="00240299">
        <w:t xml:space="preserve"> </w:t>
      </w:r>
      <w:r w:rsidR="002C40FF" w:rsidRPr="00240299">
        <w:t>Manufacturing ha</w:t>
      </w:r>
      <w:r w:rsidR="00E15D6D" w:rsidRPr="00240299">
        <w:t>s</w:t>
      </w:r>
      <w:r w:rsidR="002C40FF" w:rsidRPr="00240299">
        <w:t xml:space="preserve"> </w:t>
      </w:r>
      <w:r w:rsidRPr="00240299">
        <w:t>decline</w:t>
      </w:r>
      <w:r w:rsidR="008208D8" w:rsidRPr="00240299">
        <w:t>d</w:t>
      </w:r>
      <w:r w:rsidRPr="00240299">
        <w:t xml:space="preserve"> in absolute terms</w:t>
      </w:r>
      <w:r w:rsidR="00E15D6D" w:rsidRPr="00240299">
        <w:t>,</w:t>
      </w:r>
      <w:r w:rsidR="00F54A82" w:rsidRPr="00240299">
        <w:t xml:space="preserve"> </w:t>
      </w:r>
      <w:r w:rsidR="00EA2F1F">
        <w:t>as well</w:t>
      </w:r>
      <w:r w:rsidR="00F54A82" w:rsidRPr="00240299">
        <w:t xml:space="preserve"> as a share of the market sector (figure</w:t>
      </w:r>
      <w:r w:rsidR="002C6B99">
        <w:t xml:space="preserve"> </w:t>
      </w:r>
      <w:r w:rsidR="00C9303E">
        <w:t>2.2</w:t>
      </w:r>
      <w:r w:rsidR="00F54A82" w:rsidRPr="00240299">
        <w:t>).</w:t>
      </w:r>
      <w:r w:rsidRPr="00240299">
        <w:t xml:space="preserve"> </w:t>
      </w:r>
    </w:p>
    <w:p w:rsidR="00A4277D" w:rsidRDefault="00A4277D" w:rsidP="00A4277D">
      <w:pPr>
        <w:pStyle w:val="FigureTitle"/>
      </w:pPr>
      <w:r w:rsidRPr="00240299">
        <w:rPr>
          <w:b w:val="0"/>
        </w:rPr>
        <w:t xml:space="preserve">Figure </w:t>
      </w:r>
      <w:bookmarkStart w:id="5" w:name="OLE_LINK19"/>
      <w:r w:rsidR="00C9303E">
        <w:rPr>
          <w:b w:val="0"/>
        </w:rPr>
        <w:t>2.</w:t>
      </w:r>
      <w:r w:rsidR="004456C0">
        <w:rPr>
          <w:b w:val="0"/>
          <w:noProof/>
        </w:rPr>
        <w:t>2</w:t>
      </w:r>
      <w:bookmarkEnd w:id="5"/>
      <w:r w:rsidRPr="00240299">
        <w:tab/>
        <w:t>Manufacturing hours worked</w:t>
      </w:r>
      <w:r w:rsidR="0073699B" w:rsidRPr="00240299">
        <w:t>: level</w:t>
      </w:r>
      <w:r w:rsidR="004A7AEC" w:rsidRPr="00240299">
        <w:rPr>
          <w:rStyle w:val="NoteLabel"/>
          <w:b/>
        </w:rPr>
        <w:t>a</w:t>
      </w:r>
      <w:r w:rsidRPr="00240299">
        <w:t xml:space="preserve"> and share of market secto</w:t>
      </w:r>
      <w:r w:rsidR="00EE16D2" w:rsidRPr="00240299">
        <w:t>r</w:t>
      </w:r>
    </w:p>
    <w:p w:rsidR="00D975B7" w:rsidRPr="00D975B7" w:rsidRDefault="00EC02BF" w:rsidP="00584702">
      <w:pPr>
        <w:pStyle w:val="Subtitle"/>
      </w:pPr>
      <w:r>
        <w:t>Index 2009-10 = 100</w:t>
      </w:r>
      <w:r w:rsidR="00D975B7" w:rsidRPr="00D975B7">
        <w:t xml:space="preserve"> (LHS); Per cent (RHS)</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A4277D" w:rsidRPr="00240299" w:rsidTr="00A4277D">
        <w:tc>
          <w:tcPr>
            <w:tcW w:w="8777" w:type="dxa"/>
          </w:tcPr>
          <w:p w:rsidR="00A4277D" w:rsidRPr="00240299" w:rsidRDefault="007E3B51" w:rsidP="00C808D4">
            <w:pPr>
              <w:pStyle w:val="Figure"/>
              <w:spacing w:before="60" w:after="60"/>
            </w:pPr>
            <w:r>
              <w:rPr>
                <w:noProof/>
              </w:rPr>
              <w:pict>
                <v:shape id="_x0000_i1026" type="#_x0000_t75" alt="This figure shows that, on an hours worked basis, Manufacturing has declined in absolute terms, with the hour worked index declining from around 113.8 in 1985-86 to 100 in 2010-11. At the same time this figure shows as a share of the market sector, Manufacturing has declined, on an hours worked basis, from 24.5 to 16.2 per cent during the same period." style="width:423.75pt;height:197.25pt">
                  <v:imagedata r:id="rId10" o:title=""/>
                </v:shape>
              </w:pict>
            </w:r>
          </w:p>
        </w:tc>
      </w:tr>
    </w:tbl>
    <w:p w:rsidR="004A7AEC" w:rsidRPr="00240299" w:rsidRDefault="004A7AEC" w:rsidP="001F04D8">
      <w:pPr>
        <w:pStyle w:val="Source"/>
        <w:spacing w:after="0"/>
        <w:rPr>
          <w:i/>
        </w:rPr>
      </w:pPr>
      <w:r w:rsidRPr="00240299">
        <w:rPr>
          <w:rStyle w:val="NoteLabel"/>
        </w:rPr>
        <w:t>a</w:t>
      </w:r>
      <w:r w:rsidRPr="00240299">
        <w:t xml:space="preserve"> Index of number of hours worked</w:t>
      </w:r>
      <w:r w:rsidR="008E6427" w:rsidRPr="00240299">
        <w:t xml:space="preserve">. ABS has </w:t>
      </w:r>
      <w:r w:rsidRPr="00240299">
        <w:t xml:space="preserve">annualised </w:t>
      </w:r>
      <w:r w:rsidR="008E6427" w:rsidRPr="00240299">
        <w:t xml:space="preserve">hours worked </w:t>
      </w:r>
      <w:r w:rsidRPr="00240299">
        <w:t>and adjusted for public holidays</w:t>
      </w:r>
      <w:r w:rsidR="000923ED">
        <w:t>,</w:t>
      </w:r>
      <w:r w:rsidRPr="00240299">
        <w:t xml:space="preserve"> and </w:t>
      </w:r>
      <w:r w:rsidR="008E6427" w:rsidRPr="00240299">
        <w:t xml:space="preserve">adjusted the series for </w:t>
      </w:r>
      <w:r w:rsidRPr="00240299">
        <w:t xml:space="preserve">changes in survey methodology </w:t>
      </w:r>
      <w:r w:rsidR="008E6427" w:rsidRPr="00240299">
        <w:t>(</w:t>
      </w:r>
      <w:r w:rsidRPr="00240299">
        <w:t xml:space="preserve">appendix A). </w:t>
      </w:r>
    </w:p>
    <w:p w:rsidR="00A4277D" w:rsidRDefault="00A4277D" w:rsidP="001F04D8">
      <w:pPr>
        <w:pStyle w:val="Source"/>
      </w:pPr>
      <w:r w:rsidRPr="00240299">
        <w:rPr>
          <w:i/>
        </w:rPr>
        <w:t>Data source</w:t>
      </w:r>
      <w:r w:rsidR="000923ED">
        <w:rPr>
          <w:i/>
        </w:rPr>
        <w:t>s</w:t>
      </w:r>
      <w:r w:rsidRPr="00240299">
        <w:t xml:space="preserve">: </w:t>
      </w:r>
      <w:r w:rsidR="00F22086">
        <w:t>ABS (</w:t>
      </w:r>
      <w:r w:rsidR="00F22086" w:rsidRPr="0050427A">
        <w:rPr>
          <w:i/>
        </w:rPr>
        <w:t>Experimental Estimates of Industry Mu</w:t>
      </w:r>
      <w:r w:rsidR="00F22086">
        <w:rPr>
          <w:i/>
        </w:rPr>
        <w:t xml:space="preserve">ltifactor Productivity, 2010-11, </w:t>
      </w:r>
      <w:r w:rsidR="00F22086">
        <w:t>Cat.</w:t>
      </w:r>
      <w:r w:rsidR="00A372DF">
        <w:t> </w:t>
      </w:r>
      <w:r w:rsidR="00F22086">
        <w:t>no.</w:t>
      </w:r>
      <w:r w:rsidR="00A372DF">
        <w:t> </w:t>
      </w:r>
      <w:r w:rsidR="00F22086">
        <w:t xml:space="preserve">5260.0.55.002); authors’ estimates based on </w:t>
      </w:r>
      <w:r w:rsidR="008C71F4" w:rsidRPr="00240299">
        <w:t>ABS (unpublished Labour Force Survey data)</w:t>
      </w:r>
      <w:r w:rsidRPr="00240299">
        <w:t>.</w:t>
      </w:r>
      <w:r w:rsidR="003C768D" w:rsidRPr="00240299">
        <w:t xml:space="preserve"> </w:t>
      </w:r>
    </w:p>
    <w:p w:rsidR="003E2B48" w:rsidRPr="003E2B48" w:rsidRDefault="003E2B48" w:rsidP="003E2B48">
      <w:pPr>
        <w:pStyle w:val="BodyText"/>
      </w:pPr>
      <w:r w:rsidRPr="00240299">
        <w:t xml:space="preserve">Investment in Manufacturing </w:t>
      </w:r>
      <w:r>
        <w:t>grew</w:t>
      </w:r>
      <w:r w:rsidRPr="00240299">
        <w:t xml:space="preserve"> at a real average rate of 3.7 per cent a year between 1985-86 and 2010-11 (solid line in </w:t>
      </w:r>
      <w:r w:rsidR="002C6B99">
        <w:t xml:space="preserve">figure </w:t>
      </w:r>
      <w:r w:rsidR="00C9303E">
        <w:t>2.3</w:t>
      </w:r>
      <w:r w:rsidRPr="00240299">
        <w:t xml:space="preserve">). There was particularly strong growth in investment from 2001-02, peaking in 2004-05. Investment subsequently declined, particularly around the global financial crisis. However, in 2010-11, it was still higher than in 2001-02. Manufacturing investment as a share of total investment by the market sector fluctuated within a band of 15–20 per cent until 2005-06, before falling to just </w:t>
      </w:r>
      <w:r>
        <w:t>above</w:t>
      </w:r>
      <w:r w:rsidRPr="00240299">
        <w:t xml:space="preserve"> 10 per cent in 2010-11. Strong growth elsewhere in the market sector, particularly in Mining, contributed to this more rapid relative decline. </w:t>
      </w:r>
    </w:p>
    <w:p w:rsidR="00D5527A" w:rsidRDefault="00D5527A" w:rsidP="00D5527A">
      <w:pPr>
        <w:pStyle w:val="FigureTitle"/>
      </w:pPr>
      <w:r w:rsidRPr="00240299">
        <w:rPr>
          <w:b w:val="0"/>
        </w:rPr>
        <w:lastRenderedPageBreak/>
        <w:t xml:space="preserve">Figure </w:t>
      </w:r>
      <w:bookmarkStart w:id="6" w:name="OLE_LINK20"/>
      <w:r w:rsidR="00C9303E">
        <w:rPr>
          <w:b w:val="0"/>
        </w:rPr>
        <w:t>2.</w:t>
      </w:r>
      <w:r w:rsidR="004456C0">
        <w:rPr>
          <w:b w:val="0"/>
          <w:noProof/>
        </w:rPr>
        <w:t>3</w:t>
      </w:r>
      <w:bookmarkEnd w:id="6"/>
      <w:r w:rsidRPr="00240299">
        <w:tab/>
        <w:t xml:space="preserve">Manufacturing </w:t>
      </w:r>
      <w:r w:rsidR="0073699B" w:rsidRPr="00240299">
        <w:t>investment: level</w:t>
      </w:r>
      <w:r w:rsidR="00E15D6D" w:rsidRPr="00240299">
        <w:rPr>
          <w:rStyle w:val="NoteLabel"/>
          <w:b/>
        </w:rPr>
        <w:t>a</w:t>
      </w:r>
      <w:r w:rsidR="00EE16D2" w:rsidRPr="00240299">
        <w:t xml:space="preserve"> and share</w:t>
      </w:r>
      <w:r w:rsidR="00E15D6D" w:rsidRPr="00240299">
        <w:rPr>
          <w:rStyle w:val="NoteLabel"/>
          <w:b/>
        </w:rPr>
        <w:t>b</w:t>
      </w:r>
      <w:r w:rsidR="00EE16D2" w:rsidRPr="00240299">
        <w:t xml:space="preserve"> of market sector</w:t>
      </w:r>
    </w:p>
    <w:p w:rsidR="00D975B7" w:rsidRPr="00D975B7" w:rsidRDefault="00AF58BE" w:rsidP="00E10954">
      <w:pPr>
        <w:pStyle w:val="Subtitle"/>
      </w:pPr>
      <w:r>
        <w:t xml:space="preserve">2009-10 </w:t>
      </w:r>
      <w:r w:rsidR="00D975B7" w:rsidRPr="00D975B7">
        <w:t>$m (LHS); Per cent (RHS)</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D5527A" w:rsidRPr="00240299" w:rsidTr="00D5527A">
        <w:tc>
          <w:tcPr>
            <w:tcW w:w="8777" w:type="dxa"/>
          </w:tcPr>
          <w:p w:rsidR="00D5527A" w:rsidRPr="00240299" w:rsidRDefault="007E3B51" w:rsidP="00C808D4">
            <w:pPr>
              <w:pStyle w:val="Figure"/>
              <w:spacing w:before="60" w:after="60"/>
            </w:pPr>
            <w:r>
              <w:rPr>
                <w:noProof/>
              </w:rPr>
              <w:pict>
                <v:shape id="_x0000_i1027" type="#_x0000_t75" alt="This figure shows that investment in Manufacturing (using a chain volume measure of gross fixed capital formation) has grown between 1985-86 and 2010-11, but has fluctuated over this period. There was particularly strong growth in investment from 2001-02, peaking in 2004-05. Investment subsequently declined, particularly around the global financial crisis (GFC). However, in 2010-11, it was still higher than in 2001-02. Manufacturing investment as a share of total investment by the market sector fluctuated within a band of 15–20 per cent until 2005-06, before falling to just over 10 per cent in 2010-11. " style="width:424.5pt;height:198pt">
                  <v:imagedata r:id="rId11" o:title=""/>
                </v:shape>
              </w:pict>
            </w:r>
          </w:p>
        </w:tc>
      </w:tr>
    </w:tbl>
    <w:p w:rsidR="00AB040C" w:rsidRPr="00240299" w:rsidRDefault="00AB040C" w:rsidP="00AB040C">
      <w:pPr>
        <w:pStyle w:val="Note"/>
      </w:pPr>
      <w:r w:rsidRPr="00240299">
        <w:rPr>
          <w:rStyle w:val="NoteLabel"/>
        </w:rPr>
        <w:t>a</w:t>
      </w:r>
      <w:r w:rsidRPr="00240299">
        <w:t xml:space="preserve"> Chain volume measure of gross fixed capital formation</w:t>
      </w:r>
      <w:r w:rsidR="00EF3CFC" w:rsidRPr="00240299">
        <w:t xml:space="preserve"> (GFCF)</w:t>
      </w:r>
      <w:r w:rsidRPr="00240299">
        <w:t xml:space="preserve">. </w:t>
      </w:r>
      <w:r w:rsidRPr="00240299">
        <w:rPr>
          <w:rStyle w:val="NoteLabel"/>
        </w:rPr>
        <w:t>b</w:t>
      </w:r>
      <w:r w:rsidRPr="00240299">
        <w:t xml:space="preserve"> Share of current price </w:t>
      </w:r>
      <w:r w:rsidR="00B92E88" w:rsidRPr="00240299">
        <w:t>GFCF</w:t>
      </w:r>
      <w:r w:rsidRPr="00240299">
        <w:t xml:space="preserve"> </w:t>
      </w:r>
      <w:r w:rsidR="00EF3CFC" w:rsidRPr="00240299">
        <w:t xml:space="preserve">for the market sector. </w:t>
      </w:r>
    </w:p>
    <w:p w:rsidR="00D5527A" w:rsidRPr="00240299" w:rsidRDefault="00D5527A" w:rsidP="00D5527A">
      <w:pPr>
        <w:pStyle w:val="Source"/>
      </w:pPr>
      <w:r w:rsidRPr="00240299">
        <w:rPr>
          <w:i/>
        </w:rPr>
        <w:t>Data source</w:t>
      </w:r>
      <w:r w:rsidRPr="00240299">
        <w:t>:</w:t>
      </w:r>
      <w:r w:rsidR="00764D51" w:rsidRPr="00240299">
        <w:t xml:space="preserve"> ABS (</w:t>
      </w:r>
      <w:r w:rsidR="00764D51" w:rsidRPr="00240299">
        <w:rPr>
          <w:i/>
        </w:rPr>
        <w:t>Australian System of National Accounts, 2010-11</w:t>
      </w:r>
      <w:r w:rsidR="00764D51" w:rsidRPr="00240299">
        <w:t>, Cat. no. 5204.0).</w:t>
      </w:r>
    </w:p>
    <w:p w:rsidR="00B305DA" w:rsidRPr="00240299" w:rsidRDefault="00B305DA" w:rsidP="00B305DA">
      <w:pPr>
        <w:pStyle w:val="Heading3"/>
      </w:pPr>
      <w:r w:rsidRPr="00240299">
        <w:t>Linkages with other parts of the economy</w:t>
      </w:r>
    </w:p>
    <w:p w:rsidR="008A3885" w:rsidRDefault="00646B52" w:rsidP="0093107A">
      <w:pPr>
        <w:pStyle w:val="BodyText"/>
      </w:pPr>
      <w:r w:rsidRPr="00240299">
        <w:t xml:space="preserve">Another aspect of </w:t>
      </w:r>
      <w:r w:rsidR="00E10FFA" w:rsidRPr="00240299">
        <w:t>M</w:t>
      </w:r>
      <w:r w:rsidRPr="00240299">
        <w:t xml:space="preserve">anufacturing’s place in the overall economy is its linkages to other sectors. </w:t>
      </w:r>
      <w:r w:rsidR="0093107A" w:rsidRPr="00240299">
        <w:t xml:space="preserve">Table </w:t>
      </w:r>
      <w:r w:rsidR="00C9303E">
        <w:t>2.2</w:t>
      </w:r>
      <w:r w:rsidR="0093107A" w:rsidRPr="00240299">
        <w:t xml:space="preserve"> summarises these linkages using data from the ABS input-output </w:t>
      </w:r>
      <w:r w:rsidR="00514722" w:rsidRPr="00240299">
        <w:t xml:space="preserve">table </w:t>
      </w:r>
      <w:r w:rsidR="0093107A" w:rsidRPr="00240299">
        <w:t>for 200</w:t>
      </w:r>
      <w:r w:rsidR="00A5683B" w:rsidRPr="00240299">
        <w:t>8</w:t>
      </w:r>
      <w:r w:rsidR="0093107A" w:rsidRPr="00240299">
        <w:t>-0</w:t>
      </w:r>
      <w:r w:rsidR="00A5683B" w:rsidRPr="00240299">
        <w:t>9</w:t>
      </w:r>
      <w:r w:rsidR="0093107A" w:rsidRPr="00240299">
        <w:t>.</w:t>
      </w:r>
      <w:r w:rsidR="0040492D" w:rsidRPr="00240299">
        <w:t xml:space="preserve"> T</w:t>
      </w:r>
      <w:r w:rsidR="002156DB" w:rsidRPr="00240299">
        <w:t xml:space="preserve">he </w:t>
      </w:r>
      <w:r w:rsidR="00E10FFA" w:rsidRPr="00240299">
        <w:t>M</w:t>
      </w:r>
      <w:r w:rsidR="002156DB" w:rsidRPr="00240299">
        <w:t xml:space="preserve">anufacturing column shows </w:t>
      </w:r>
      <w:r w:rsidR="00514722" w:rsidRPr="00240299">
        <w:t>that</w:t>
      </w:r>
      <w:r w:rsidR="002E39AA" w:rsidRPr="00240299">
        <w:t>,</w:t>
      </w:r>
      <w:r w:rsidR="00514722" w:rsidRPr="00240299">
        <w:t xml:space="preserve"> to produce $100 of output in 200</w:t>
      </w:r>
      <w:r w:rsidR="00A5683B" w:rsidRPr="00240299">
        <w:t>8</w:t>
      </w:r>
      <w:r w:rsidR="00514722" w:rsidRPr="00240299">
        <w:t>-0</w:t>
      </w:r>
      <w:r w:rsidR="00A5683B" w:rsidRPr="00240299">
        <w:t>9</w:t>
      </w:r>
      <w:r w:rsidR="00514722" w:rsidRPr="00240299">
        <w:t>, manufacturers on average required $55.</w:t>
      </w:r>
      <w:r w:rsidR="00A5683B" w:rsidRPr="00240299">
        <w:t>5</w:t>
      </w:r>
      <w:r w:rsidR="00514722" w:rsidRPr="00240299">
        <w:t>0 worth of inputs from other Australian industries ($20.</w:t>
      </w:r>
      <w:r w:rsidR="00A5683B" w:rsidRPr="00240299">
        <w:t>5</w:t>
      </w:r>
      <w:r w:rsidR="00514722" w:rsidRPr="00240299">
        <w:t>0 from the service sector; $19.</w:t>
      </w:r>
      <w:r w:rsidR="00A5683B" w:rsidRPr="00240299">
        <w:t>5</w:t>
      </w:r>
      <w:r w:rsidR="00514722" w:rsidRPr="00240299">
        <w:t>0 from other manufacturers; $</w:t>
      </w:r>
      <w:r w:rsidR="00A5683B" w:rsidRPr="00240299">
        <w:t>8.30</w:t>
      </w:r>
      <w:r w:rsidR="00514722" w:rsidRPr="00240299">
        <w:t xml:space="preserve"> from mining; and $</w:t>
      </w:r>
      <w:r w:rsidR="00A5683B" w:rsidRPr="00240299">
        <w:t>7.20</w:t>
      </w:r>
      <w:r w:rsidR="00514722" w:rsidRPr="00240299">
        <w:t xml:space="preserve"> from agriculture)</w:t>
      </w:r>
      <w:r w:rsidR="00992FBC">
        <w:t>;</w:t>
      </w:r>
      <w:r w:rsidR="003749A3" w:rsidRPr="00240299">
        <w:t xml:space="preserve"> and $1</w:t>
      </w:r>
      <w:r w:rsidR="00A5683B" w:rsidRPr="00240299">
        <w:t>6.20</w:t>
      </w:r>
      <w:r w:rsidR="003749A3" w:rsidRPr="00240299">
        <w:t xml:space="preserve"> of imported inputs</w:t>
      </w:r>
      <w:r w:rsidR="00514722" w:rsidRPr="00240299">
        <w:t xml:space="preserve">. </w:t>
      </w:r>
      <w:r w:rsidR="00C24C9C">
        <w:t>(</w:t>
      </w:r>
      <w:r w:rsidR="00C24C9C" w:rsidRPr="00240299">
        <w:t>Linkages at a more detailed level are outlined in appendix B.</w:t>
      </w:r>
      <w:r w:rsidR="00C24C9C">
        <w:t>)</w:t>
      </w:r>
    </w:p>
    <w:p w:rsidR="006847A8" w:rsidRPr="00240299" w:rsidRDefault="006847A8" w:rsidP="0093107A">
      <w:pPr>
        <w:pStyle w:val="BodyText"/>
      </w:pPr>
      <w:r w:rsidRPr="00240299">
        <w:t xml:space="preserve">Manufacturing includes a wide range of activities, so there is significant variation in intermediate input use between different industries within Manufacturing. Some parts of Manufacturing are resource-processing industries with strong links to primary industries — for example, manufacturing of meat and dairy products is strongly linked to agriculture, while metal refining is linked to mining. </w:t>
      </w:r>
    </w:p>
    <w:p w:rsidR="00304D04" w:rsidRPr="00240299" w:rsidRDefault="00304D04" w:rsidP="00304D04">
      <w:pPr>
        <w:pStyle w:val="TableTitle"/>
        <w:spacing w:line="240" w:lineRule="auto"/>
      </w:pPr>
      <w:r w:rsidRPr="00240299">
        <w:rPr>
          <w:b w:val="0"/>
        </w:rPr>
        <w:lastRenderedPageBreak/>
        <w:t xml:space="preserve">Table </w:t>
      </w:r>
      <w:bookmarkStart w:id="7" w:name="OLE_LINK10"/>
      <w:r w:rsidR="00C9303E">
        <w:rPr>
          <w:b w:val="0"/>
        </w:rPr>
        <w:t>2.</w:t>
      </w:r>
      <w:r w:rsidR="004456C0">
        <w:rPr>
          <w:b w:val="0"/>
          <w:noProof/>
        </w:rPr>
        <w:t>2</w:t>
      </w:r>
      <w:bookmarkEnd w:id="7"/>
      <w:r w:rsidRPr="00240299">
        <w:tab/>
        <w:t>Input-output linkages between sectors,</w:t>
      </w:r>
      <w:r w:rsidR="000923ED" w:rsidRPr="00240299">
        <w:rPr>
          <w:rStyle w:val="NoteLabel"/>
          <w:b/>
        </w:rPr>
        <w:t>a</w:t>
      </w:r>
      <w:r w:rsidRPr="00240299">
        <w:t xml:space="preserve"> 200</w:t>
      </w:r>
      <w:r w:rsidR="00F20A97" w:rsidRPr="00240299">
        <w:t>8</w:t>
      </w:r>
      <w:r w:rsidRPr="00240299">
        <w:t>-0</w:t>
      </w:r>
      <w:r w:rsidR="00F20A97" w:rsidRPr="00240299">
        <w:t>9</w:t>
      </w:r>
    </w:p>
    <w:p w:rsidR="00304D04" w:rsidRPr="00240299" w:rsidRDefault="00304D04" w:rsidP="00304D04">
      <w:pPr>
        <w:pStyle w:val="Subtitle"/>
        <w:spacing w:line="240" w:lineRule="auto"/>
      </w:pPr>
      <w:r w:rsidRPr="00240299">
        <w:t>Percentage shares of total output</w:t>
      </w:r>
    </w:p>
    <w:tbl>
      <w:tblPr>
        <w:tblW w:w="5000" w:type="pct"/>
        <w:tblLayout w:type="fixed"/>
        <w:tblCellMar>
          <w:left w:w="0" w:type="dxa"/>
          <w:right w:w="0" w:type="dxa"/>
        </w:tblCellMar>
        <w:tblLook w:val="0000" w:firstRow="0" w:lastRow="0" w:firstColumn="0" w:lastColumn="0" w:noHBand="0" w:noVBand="0"/>
      </w:tblPr>
      <w:tblGrid>
        <w:gridCol w:w="3260"/>
        <w:gridCol w:w="1382"/>
        <w:gridCol w:w="1382"/>
        <w:gridCol w:w="1382"/>
        <w:gridCol w:w="1383"/>
      </w:tblGrid>
      <w:tr w:rsidR="00304D04" w:rsidRPr="00240299" w:rsidTr="002E39AA">
        <w:tc>
          <w:tcPr>
            <w:tcW w:w="1855" w:type="pct"/>
            <w:tcBorders>
              <w:top w:val="single" w:sz="6" w:space="0" w:color="auto"/>
            </w:tcBorders>
          </w:tcPr>
          <w:p w:rsidR="00304D04" w:rsidRPr="00240299" w:rsidRDefault="00304D04" w:rsidP="006847A8">
            <w:pPr>
              <w:pStyle w:val="TableColumnHeading"/>
              <w:jc w:val="center"/>
            </w:pPr>
          </w:p>
        </w:tc>
        <w:tc>
          <w:tcPr>
            <w:tcW w:w="3145" w:type="pct"/>
            <w:gridSpan w:val="4"/>
            <w:tcBorders>
              <w:top w:val="single" w:sz="6" w:space="0" w:color="auto"/>
              <w:bottom w:val="single" w:sz="6" w:space="0" w:color="auto"/>
            </w:tcBorders>
            <w:vAlign w:val="bottom"/>
          </w:tcPr>
          <w:p w:rsidR="00304D04" w:rsidRPr="00240299" w:rsidRDefault="00304D04" w:rsidP="006847A8">
            <w:pPr>
              <w:pStyle w:val="TableColumnHeading"/>
              <w:jc w:val="center"/>
              <w:rPr>
                <w:b/>
              </w:rPr>
            </w:pPr>
            <w:r w:rsidRPr="00240299">
              <w:rPr>
                <w:b/>
              </w:rPr>
              <w:t>… to the output of these sectors</w:t>
            </w:r>
          </w:p>
        </w:tc>
      </w:tr>
      <w:tr w:rsidR="00304D04" w:rsidRPr="00240299" w:rsidTr="00C936FC">
        <w:tc>
          <w:tcPr>
            <w:tcW w:w="1855" w:type="pct"/>
            <w:tcBorders>
              <w:bottom w:val="single" w:sz="6" w:space="0" w:color="auto"/>
            </w:tcBorders>
            <w:vAlign w:val="bottom"/>
          </w:tcPr>
          <w:p w:rsidR="00304D04" w:rsidRPr="00240299" w:rsidRDefault="00304D04" w:rsidP="005B3510">
            <w:pPr>
              <w:pStyle w:val="TableColumnHeading"/>
              <w:spacing w:before="40" w:after="40" w:line="240" w:lineRule="auto"/>
              <w:ind w:right="-1"/>
              <w:jc w:val="left"/>
            </w:pPr>
            <w:r w:rsidRPr="00240299">
              <w:rPr>
                <w:b/>
              </w:rPr>
              <w:t>These sectors provide inputs …</w:t>
            </w:r>
          </w:p>
        </w:tc>
        <w:tc>
          <w:tcPr>
            <w:tcW w:w="786" w:type="pct"/>
            <w:tcBorders>
              <w:top w:val="single" w:sz="6" w:space="0" w:color="auto"/>
              <w:bottom w:val="single" w:sz="6" w:space="0" w:color="auto"/>
            </w:tcBorders>
            <w:vAlign w:val="bottom"/>
          </w:tcPr>
          <w:p w:rsidR="00304D04" w:rsidRPr="00240299" w:rsidRDefault="00304D04" w:rsidP="005B3510">
            <w:pPr>
              <w:pStyle w:val="TableColumnHeading"/>
              <w:spacing w:before="40" w:after="40"/>
            </w:pPr>
            <w:r w:rsidRPr="00240299">
              <w:t>Agriculture</w:t>
            </w:r>
          </w:p>
        </w:tc>
        <w:tc>
          <w:tcPr>
            <w:tcW w:w="786" w:type="pct"/>
            <w:tcBorders>
              <w:top w:val="single" w:sz="6" w:space="0" w:color="auto"/>
              <w:bottom w:val="single" w:sz="6" w:space="0" w:color="auto"/>
            </w:tcBorders>
            <w:vAlign w:val="bottom"/>
          </w:tcPr>
          <w:p w:rsidR="00304D04" w:rsidRPr="00240299" w:rsidRDefault="00304D04" w:rsidP="005B3510">
            <w:pPr>
              <w:pStyle w:val="TableColumnHeading"/>
              <w:spacing w:before="40" w:after="40"/>
            </w:pPr>
            <w:r w:rsidRPr="00240299">
              <w:t>Mining</w:t>
            </w:r>
          </w:p>
        </w:tc>
        <w:tc>
          <w:tcPr>
            <w:tcW w:w="786" w:type="pct"/>
            <w:tcBorders>
              <w:top w:val="single" w:sz="6" w:space="0" w:color="auto"/>
              <w:bottom w:val="single" w:sz="6" w:space="0" w:color="auto"/>
            </w:tcBorders>
            <w:vAlign w:val="bottom"/>
          </w:tcPr>
          <w:p w:rsidR="00304D04" w:rsidRPr="00240299" w:rsidRDefault="00304D04" w:rsidP="002E39AA">
            <w:pPr>
              <w:pStyle w:val="TableColumnHeading"/>
              <w:spacing w:before="40" w:after="40"/>
              <w:ind w:right="0"/>
            </w:pPr>
            <w:r w:rsidRPr="00240299">
              <w:t>Manufacturing</w:t>
            </w:r>
          </w:p>
        </w:tc>
        <w:tc>
          <w:tcPr>
            <w:tcW w:w="787" w:type="pct"/>
            <w:tcBorders>
              <w:top w:val="single" w:sz="6" w:space="0" w:color="auto"/>
              <w:bottom w:val="single" w:sz="6" w:space="0" w:color="auto"/>
            </w:tcBorders>
            <w:shd w:val="clear" w:color="auto" w:fill="auto"/>
            <w:vAlign w:val="bottom"/>
          </w:tcPr>
          <w:p w:rsidR="00304D04" w:rsidRPr="00240299" w:rsidRDefault="00304D04" w:rsidP="005B3510">
            <w:pPr>
              <w:pStyle w:val="TableColumnHeading"/>
              <w:spacing w:before="40" w:after="40"/>
            </w:pPr>
            <w:r w:rsidRPr="00240299">
              <w:t>Services</w:t>
            </w:r>
            <w:r w:rsidRPr="00240299">
              <w:rPr>
                <w:rStyle w:val="NoteLabel"/>
                <w:i w:val="0"/>
              </w:rPr>
              <w:t>c</w:t>
            </w:r>
          </w:p>
        </w:tc>
      </w:tr>
      <w:tr w:rsidR="00F20A97" w:rsidRPr="00240299" w:rsidTr="00C936FC">
        <w:tc>
          <w:tcPr>
            <w:tcW w:w="1855" w:type="pct"/>
            <w:shd w:val="clear" w:color="auto" w:fill="D9D9D9" w:themeFill="background1" w:themeFillShade="D9"/>
          </w:tcPr>
          <w:p w:rsidR="00F20A97" w:rsidRPr="00240299" w:rsidRDefault="00F20A97" w:rsidP="00C936FC">
            <w:pPr>
              <w:pStyle w:val="TableBodyText"/>
              <w:spacing w:before="40"/>
              <w:jc w:val="left"/>
            </w:pPr>
            <w:r w:rsidRPr="00240299">
              <w:t>Agriculture</w:t>
            </w:r>
          </w:p>
        </w:tc>
        <w:tc>
          <w:tcPr>
            <w:tcW w:w="786" w:type="pct"/>
            <w:shd w:val="clear" w:color="auto" w:fill="D9D9D9" w:themeFill="background1" w:themeFillShade="D9"/>
            <w:vAlign w:val="bottom"/>
          </w:tcPr>
          <w:p w:rsidR="00F20A97" w:rsidRPr="00240299" w:rsidRDefault="00F20A97" w:rsidP="00C936FC">
            <w:pPr>
              <w:pStyle w:val="TableBodyText"/>
              <w:spacing w:before="40"/>
            </w:pPr>
            <w:r w:rsidRPr="00240299">
              <w:t>18.4</w:t>
            </w:r>
          </w:p>
        </w:tc>
        <w:tc>
          <w:tcPr>
            <w:tcW w:w="786" w:type="pct"/>
            <w:shd w:val="clear" w:color="auto" w:fill="D9D9D9" w:themeFill="background1" w:themeFillShade="D9"/>
            <w:vAlign w:val="bottom"/>
          </w:tcPr>
          <w:p w:rsidR="00F20A97" w:rsidRPr="00240299" w:rsidRDefault="00F20A97" w:rsidP="00C936FC">
            <w:pPr>
              <w:pStyle w:val="TableBodyText"/>
              <w:spacing w:before="40"/>
            </w:pPr>
            <w:r w:rsidRPr="00240299">
              <w:t>0.1</w:t>
            </w:r>
          </w:p>
        </w:tc>
        <w:tc>
          <w:tcPr>
            <w:tcW w:w="786" w:type="pct"/>
            <w:shd w:val="clear" w:color="auto" w:fill="D9D9D9" w:themeFill="background1" w:themeFillShade="D9"/>
            <w:vAlign w:val="bottom"/>
          </w:tcPr>
          <w:p w:rsidR="00F20A97" w:rsidRPr="00240299" w:rsidRDefault="00F20A97" w:rsidP="00C936FC">
            <w:pPr>
              <w:pStyle w:val="TableBodyText"/>
              <w:spacing w:before="40"/>
              <w:rPr>
                <w:b/>
              </w:rPr>
            </w:pPr>
            <w:r w:rsidRPr="00240299">
              <w:rPr>
                <w:b/>
              </w:rPr>
              <w:t>7.2</w:t>
            </w:r>
          </w:p>
        </w:tc>
        <w:tc>
          <w:tcPr>
            <w:tcW w:w="787" w:type="pct"/>
            <w:shd w:val="clear" w:color="auto" w:fill="D9D9D9" w:themeFill="background1" w:themeFillShade="D9"/>
            <w:vAlign w:val="bottom"/>
          </w:tcPr>
          <w:p w:rsidR="00F20A97" w:rsidRPr="00240299" w:rsidRDefault="00F20A97" w:rsidP="00C936FC">
            <w:pPr>
              <w:pStyle w:val="TableBodyText"/>
              <w:spacing w:before="40"/>
            </w:pPr>
            <w:r w:rsidRPr="00240299">
              <w:t>0.4</w:t>
            </w:r>
          </w:p>
        </w:tc>
      </w:tr>
      <w:tr w:rsidR="00F20A97" w:rsidRPr="00240299" w:rsidTr="00C936FC">
        <w:tc>
          <w:tcPr>
            <w:tcW w:w="1855" w:type="pct"/>
          </w:tcPr>
          <w:p w:rsidR="00F20A97" w:rsidRPr="00240299" w:rsidRDefault="00F20A97" w:rsidP="00C936FC">
            <w:pPr>
              <w:pStyle w:val="TableBodyText"/>
              <w:spacing w:before="40"/>
              <w:jc w:val="left"/>
            </w:pPr>
            <w:r w:rsidRPr="00240299">
              <w:t>Mining</w:t>
            </w:r>
          </w:p>
        </w:tc>
        <w:tc>
          <w:tcPr>
            <w:tcW w:w="786" w:type="pct"/>
            <w:vAlign w:val="bottom"/>
          </w:tcPr>
          <w:p w:rsidR="00F20A97" w:rsidRPr="00240299" w:rsidRDefault="00F20A97" w:rsidP="00C936FC">
            <w:pPr>
              <w:pStyle w:val="TableBodyText"/>
              <w:spacing w:before="40"/>
            </w:pPr>
            <w:r w:rsidRPr="00240299">
              <w:t>0.1</w:t>
            </w:r>
          </w:p>
        </w:tc>
        <w:tc>
          <w:tcPr>
            <w:tcW w:w="786" w:type="pct"/>
            <w:vAlign w:val="bottom"/>
          </w:tcPr>
          <w:p w:rsidR="00F20A97" w:rsidRPr="00240299" w:rsidRDefault="00F20A97" w:rsidP="00C936FC">
            <w:pPr>
              <w:pStyle w:val="TableBodyText"/>
              <w:spacing w:before="40"/>
            </w:pPr>
            <w:r w:rsidRPr="00240299">
              <w:t>9.2</w:t>
            </w:r>
          </w:p>
        </w:tc>
        <w:tc>
          <w:tcPr>
            <w:tcW w:w="786" w:type="pct"/>
            <w:vAlign w:val="bottom"/>
          </w:tcPr>
          <w:p w:rsidR="00F20A97" w:rsidRPr="00240299" w:rsidRDefault="00F20A97" w:rsidP="00C936FC">
            <w:pPr>
              <w:pStyle w:val="TableBodyText"/>
              <w:spacing w:before="40"/>
              <w:rPr>
                <w:b/>
              </w:rPr>
            </w:pPr>
            <w:r w:rsidRPr="00240299">
              <w:rPr>
                <w:b/>
              </w:rPr>
              <w:t>8.3</w:t>
            </w:r>
          </w:p>
        </w:tc>
        <w:tc>
          <w:tcPr>
            <w:tcW w:w="787" w:type="pct"/>
            <w:shd w:val="clear" w:color="auto" w:fill="auto"/>
            <w:vAlign w:val="bottom"/>
          </w:tcPr>
          <w:p w:rsidR="00F20A97" w:rsidRPr="00240299" w:rsidRDefault="00F20A97" w:rsidP="00C936FC">
            <w:pPr>
              <w:pStyle w:val="TableBodyText"/>
              <w:spacing w:before="40"/>
            </w:pPr>
            <w:r w:rsidRPr="00240299">
              <w:t>0.4</w:t>
            </w:r>
          </w:p>
        </w:tc>
      </w:tr>
      <w:tr w:rsidR="00F20A97" w:rsidRPr="00240299" w:rsidTr="00C936FC">
        <w:tc>
          <w:tcPr>
            <w:tcW w:w="1855" w:type="pct"/>
            <w:shd w:val="clear" w:color="auto" w:fill="D9D9D9" w:themeFill="background1" w:themeFillShade="D9"/>
            <w:vAlign w:val="bottom"/>
          </w:tcPr>
          <w:p w:rsidR="00F20A97" w:rsidRPr="00240299" w:rsidRDefault="00F20A97" w:rsidP="00C936FC">
            <w:pPr>
              <w:pStyle w:val="TableBodyText"/>
              <w:spacing w:before="40"/>
              <w:jc w:val="left"/>
            </w:pPr>
            <w:r w:rsidRPr="00240299">
              <w:t>Manufacturing</w:t>
            </w:r>
          </w:p>
        </w:tc>
        <w:tc>
          <w:tcPr>
            <w:tcW w:w="786" w:type="pct"/>
            <w:shd w:val="clear" w:color="auto" w:fill="D9D9D9" w:themeFill="background1" w:themeFillShade="D9"/>
            <w:vAlign w:val="bottom"/>
          </w:tcPr>
          <w:p w:rsidR="00F20A97" w:rsidRPr="00240299" w:rsidRDefault="00F20A97" w:rsidP="00C936FC">
            <w:pPr>
              <w:pStyle w:val="TableBodyText"/>
              <w:spacing w:before="40"/>
              <w:rPr>
                <w:b/>
              </w:rPr>
            </w:pPr>
            <w:r w:rsidRPr="00240299">
              <w:rPr>
                <w:b/>
              </w:rPr>
              <w:t>8.3</w:t>
            </w:r>
          </w:p>
        </w:tc>
        <w:tc>
          <w:tcPr>
            <w:tcW w:w="786" w:type="pct"/>
            <w:shd w:val="clear" w:color="auto" w:fill="D9D9D9" w:themeFill="background1" w:themeFillShade="D9"/>
            <w:vAlign w:val="bottom"/>
          </w:tcPr>
          <w:p w:rsidR="00F20A97" w:rsidRPr="00240299" w:rsidRDefault="00F20A97" w:rsidP="00C936FC">
            <w:pPr>
              <w:pStyle w:val="TableBodyText"/>
              <w:spacing w:before="40"/>
              <w:rPr>
                <w:b/>
              </w:rPr>
            </w:pPr>
            <w:r w:rsidRPr="00240299">
              <w:rPr>
                <w:b/>
              </w:rPr>
              <w:t>5.1</w:t>
            </w:r>
          </w:p>
        </w:tc>
        <w:tc>
          <w:tcPr>
            <w:tcW w:w="786" w:type="pct"/>
            <w:shd w:val="clear" w:color="auto" w:fill="D9D9D9" w:themeFill="background1" w:themeFillShade="D9"/>
            <w:vAlign w:val="bottom"/>
          </w:tcPr>
          <w:p w:rsidR="00F20A97" w:rsidRPr="00240299" w:rsidRDefault="00F20A97" w:rsidP="00C936FC">
            <w:pPr>
              <w:pStyle w:val="TableBodyText"/>
              <w:spacing w:before="40"/>
              <w:rPr>
                <w:b/>
              </w:rPr>
            </w:pPr>
            <w:r w:rsidRPr="00240299">
              <w:rPr>
                <w:b/>
              </w:rPr>
              <w:t>19.5</w:t>
            </w:r>
          </w:p>
        </w:tc>
        <w:tc>
          <w:tcPr>
            <w:tcW w:w="787" w:type="pct"/>
            <w:shd w:val="clear" w:color="auto" w:fill="D9D9D9" w:themeFill="background1" w:themeFillShade="D9"/>
            <w:vAlign w:val="bottom"/>
          </w:tcPr>
          <w:p w:rsidR="00F20A97" w:rsidRPr="00240299" w:rsidRDefault="00F20A97" w:rsidP="00C936FC">
            <w:pPr>
              <w:pStyle w:val="TableBodyText"/>
              <w:spacing w:before="40"/>
              <w:rPr>
                <w:b/>
              </w:rPr>
            </w:pPr>
            <w:r w:rsidRPr="00240299">
              <w:rPr>
                <w:b/>
              </w:rPr>
              <w:t>6.7</w:t>
            </w:r>
          </w:p>
        </w:tc>
      </w:tr>
      <w:tr w:rsidR="00F20A97" w:rsidRPr="00240299" w:rsidTr="00C936FC">
        <w:tc>
          <w:tcPr>
            <w:tcW w:w="1855" w:type="pct"/>
            <w:vAlign w:val="bottom"/>
          </w:tcPr>
          <w:p w:rsidR="00F20A97" w:rsidRPr="00240299" w:rsidRDefault="00F20A97" w:rsidP="008E2272">
            <w:pPr>
              <w:pStyle w:val="TableBodyText"/>
              <w:jc w:val="left"/>
            </w:pPr>
            <w:r w:rsidRPr="00240299">
              <w:t>Services</w:t>
            </w:r>
            <w:r w:rsidRPr="00240299">
              <w:rPr>
                <w:rStyle w:val="NoteLabel"/>
              </w:rPr>
              <w:t>c</w:t>
            </w:r>
          </w:p>
        </w:tc>
        <w:tc>
          <w:tcPr>
            <w:tcW w:w="786" w:type="pct"/>
            <w:tcBorders>
              <w:bottom w:val="single" w:sz="4" w:space="0" w:color="auto"/>
            </w:tcBorders>
            <w:vAlign w:val="bottom"/>
          </w:tcPr>
          <w:p w:rsidR="00F20A97" w:rsidRPr="00240299" w:rsidRDefault="00F20A97" w:rsidP="008E2272">
            <w:pPr>
              <w:pStyle w:val="TableBodyText"/>
            </w:pPr>
            <w:r w:rsidRPr="00240299">
              <w:t>23.7</w:t>
            </w:r>
          </w:p>
        </w:tc>
        <w:tc>
          <w:tcPr>
            <w:tcW w:w="786" w:type="pct"/>
            <w:tcBorders>
              <w:bottom w:val="single" w:sz="4" w:space="0" w:color="auto"/>
            </w:tcBorders>
            <w:vAlign w:val="bottom"/>
          </w:tcPr>
          <w:p w:rsidR="00F20A97" w:rsidRPr="00240299" w:rsidRDefault="00F20A97" w:rsidP="008E2272">
            <w:pPr>
              <w:pStyle w:val="TableBodyText"/>
            </w:pPr>
            <w:r w:rsidRPr="00240299">
              <w:t>18.9</w:t>
            </w:r>
          </w:p>
        </w:tc>
        <w:tc>
          <w:tcPr>
            <w:tcW w:w="786" w:type="pct"/>
            <w:tcBorders>
              <w:bottom w:val="single" w:sz="4" w:space="0" w:color="auto"/>
            </w:tcBorders>
            <w:vAlign w:val="bottom"/>
          </w:tcPr>
          <w:p w:rsidR="00F20A97" w:rsidRPr="00240299" w:rsidRDefault="00F20A97" w:rsidP="008E2272">
            <w:pPr>
              <w:pStyle w:val="TableBodyText"/>
              <w:rPr>
                <w:b/>
              </w:rPr>
            </w:pPr>
            <w:r w:rsidRPr="00240299">
              <w:rPr>
                <w:b/>
              </w:rPr>
              <w:t>20.5</w:t>
            </w:r>
          </w:p>
        </w:tc>
        <w:tc>
          <w:tcPr>
            <w:tcW w:w="787" w:type="pct"/>
            <w:tcBorders>
              <w:bottom w:val="single" w:sz="4" w:space="0" w:color="auto"/>
            </w:tcBorders>
            <w:shd w:val="clear" w:color="auto" w:fill="auto"/>
            <w:vAlign w:val="bottom"/>
          </w:tcPr>
          <w:p w:rsidR="00F20A97" w:rsidRPr="00240299" w:rsidRDefault="00F20A97" w:rsidP="008E2272">
            <w:pPr>
              <w:pStyle w:val="TableBodyText"/>
            </w:pPr>
            <w:r w:rsidRPr="00240299">
              <w:t>36.6</w:t>
            </w:r>
          </w:p>
        </w:tc>
      </w:tr>
      <w:tr w:rsidR="00F20A97" w:rsidRPr="00240299" w:rsidTr="00C936FC">
        <w:tc>
          <w:tcPr>
            <w:tcW w:w="1855" w:type="pct"/>
            <w:shd w:val="clear" w:color="auto" w:fill="D9D9D9" w:themeFill="background1" w:themeFillShade="D9"/>
            <w:vAlign w:val="bottom"/>
          </w:tcPr>
          <w:p w:rsidR="00F20A97" w:rsidRPr="00240299" w:rsidRDefault="00F20A97" w:rsidP="00C936FC">
            <w:pPr>
              <w:pStyle w:val="TableBodyText"/>
              <w:spacing w:before="40"/>
              <w:jc w:val="left"/>
            </w:pPr>
            <w:r w:rsidRPr="00240299">
              <w:t xml:space="preserve">Total </w:t>
            </w:r>
            <w:r w:rsidR="002E39AA" w:rsidRPr="00240299">
              <w:t xml:space="preserve">domestic </w:t>
            </w:r>
            <w:r w:rsidRPr="00240299">
              <w:t>intermediate inputs</w:t>
            </w:r>
          </w:p>
        </w:tc>
        <w:tc>
          <w:tcPr>
            <w:tcW w:w="786" w:type="pct"/>
            <w:shd w:val="clear" w:color="auto" w:fill="D9D9D9" w:themeFill="background1" w:themeFillShade="D9"/>
            <w:vAlign w:val="bottom"/>
          </w:tcPr>
          <w:p w:rsidR="00F20A97" w:rsidRPr="00240299" w:rsidRDefault="00F20A97" w:rsidP="00C936FC">
            <w:pPr>
              <w:pStyle w:val="TableBodyText"/>
              <w:spacing w:before="40"/>
            </w:pPr>
            <w:r w:rsidRPr="00240299">
              <w:t>50.4</w:t>
            </w:r>
          </w:p>
        </w:tc>
        <w:tc>
          <w:tcPr>
            <w:tcW w:w="786" w:type="pct"/>
            <w:shd w:val="clear" w:color="auto" w:fill="D9D9D9" w:themeFill="background1" w:themeFillShade="D9"/>
            <w:vAlign w:val="bottom"/>
          </w:tcPr>
          <w:p w:rsidR="00F20A97" w:rsidRPr="00240299" w:rsidRDefault="00F20A97" w:rsidP="00C936FC">
            <w:pPr>
              <w:pStyle w:val="TableBodyText"/>
              <w:spacing w:before="40"/>
            </w:pPr>
            <w:r w:rsidRPr="00240299">
              <w:t>33.2</w:t>
            </w:r>
          </w:p>
        </w:tc>
        <w:tc>
          <w:tcPr>
            <w:tcW w:w="786" w:type="pct"/>
            <w:shd w:val="clear" w:color="auto" w:fill="D9D9D9" w:themeFill="background1" w:themeFillShade="D9"/>
            <w:vAlign w:val="bottom"/>
          </w:tcPr>
          <w:p w:rsidR="00F20A97" w:rsidRPr="00240299" w:rsidRDefault="00F20A97" w:rsidP="00C936FC">
            <w:pPr>
              <w:pStyle w:val="TableBodyText"/>
              <w:spacing w:before="40"/>
              <w:rPr>
                <w:b/>
              </w:rPr>
            </w:pPr>
            <w:r w:rsidRPr="00240299">
              <w:rPr>
                <w:b/>
              </w:rPr>
              <w:t>55.5</w:t>
            </w:r>
          </w:p>
        </w:tc>
        <w:tc>
          <w:tcPr>
            <w:tcW w:w="787" w:type="pct"/>
            <w:shd w:val="clear" w:color="auto" w:fill="D9D9D9" w:themeFill="background1" w:themeFillShade="D9"/>
            <w:vAlign w:val="bottom"/>
          </w:tcPr>
          <w:p w:rsidR="00F20A97" w:rsidRPr="00240299" w:rsidRDefault="00F20A97" w:rsidP="00C936FC">
            <w:pPr>
              <w:pStyle w:val="TableBodyText"/>
              <w:spacing w:before="40"/>
            </w:pPr>
            <w:r w:rsidRPr="00240299">
              <w:t>44.0</w:t>
            </w:r>
          </w:p>
        </w:tc>
      </w:tr>
      <w:tr w:rsidR="00F20A97" w:rsidRPr="00240299" w:rsidTr="00C936FC">
        <w:tc>
          <w:tcPr>
            <w:tcW w:w="1855" w:type="pct"/>
            <w:vAlign w:val="bottom"/>
          </w:tcPr>
          <w:p w:rsidR="00F20A97" w:rsidRPr="00240299" w:rsidRDefault="00F20A97" w:rsidP="00C936FC">
            <w:pPr>
              <w:pStyle w:val="TableBodyText"/>
              <w:spacing w:before="40"/>
              <w:jc w:val="left"/>
            </w:pPr>
            <w:r w:rsidRPr="00240299">
              <w:t>Value added</w:t>
            </w:r>
          </w:p>
        </w:tc>
        <w:tc>
          <w:tcPr>
            <w:tcW w:w="786" w:type="pct"/>
            <w:vAlign w:val="bottom"/>
          </w:tcPr>
          <w:p w:rsidR="00F20A97" w:rsidRPr="00240299" w:rsidRDefault="00F20A97" w:rsidP="00C936FC">
            <w:pPr>
              <w:pStyle w:val="TableBodyText"/>
              <w:spacing w:before="40"/>
            </w:pPr>
            <w:r w:rsidRPr="00240299">
              <w:t>41.9</w:t>
            </w:r>
          </w:p>
        </w:tc>
        <w:tc>
          <w:tcPr>
            <w:tcW w:w="786" w:type="pct"/>
            <w:vAlign w:val="bottom"/>
          </w:tcPr>
          <w:p w:rsidR="00F20A97" w:rsidRPr="00240299" w:rsidRDefault="00F20A97" w:rsidP="00C936FC">
            <w:pPr>
              <w:pStyle w:val="TableBodyText"/>
              <w:spacing w:before="40"/>
            </w:pPr>
            <w:r w:rsidRPr="00240299">
              <w:t>62.8</w:t>
            </w:r>
          </w:p>
        </w:tc>
        <w:tc>
          <w:tcPr>
            <w:tcW w:w="786" w:type="pct"/>
            <w:vAlign w:val="bottom"/>
          </w:tcPr>
          <w:p w:rsidR="00F20A97" w:rsidRPr="00240299" w:rsidRDefault="00F20A97" w:rsidP="00C936FC">
            <w:pPr>
              <w:pStyle w:val="TableBodyText"/>
              <w:spacing w:before="40"/>
              <w:rPr>
                <w:b/>
              </w:rPr>
            </w:pPr>
            <w:r w:rsidRPr="00240299">
              <w:rPr>
                <w:b/>
              </w:rPr>
              <w:t>27.7</w:t>
            </w:r>
          </w:p>
        </w:tc>
        <w:tc>
          <w:tcPr>
            <w:tcW w:w="787" w:type="pct"/>
            <w:shd w:val="clear" w:color="auto" w:fill="auto"/>
            <w:vAlign w:val="bottom"/>
          </w:tcPr>
          <w:p w:rsidR="00F20A97" w:rsidRPr="00240299" w:rsidRDefault="00F20A97" w:rsidP="00C936FC">
            <w:pPr>
              <w:pStyle w:val="TableBodyText"/>
              <w:spacing w:before="40"/>
            </w:pPr>
            <w:r w:rsidRPr="00240299">
              <w:t>51.1</w:t>
            </w:r>
          </w:p>
        </w:tc>
      </w:tr>
      <w:tr w:rsidR="00F20A97" w:rsidRPr="00240299" w:rsidTr="00C936FC">
        <w:tc>
          <w:tcPr>
            <w:tcW w:w="1855" w:type="pct"/>
            <w:shd w:val="clear" w:color="auto" w:fill="D9D9D9" w:themeFill="background1" w:themeFillShade="D9"/>
            <w:vAlign w:val="bottom"/>
          </w:tcPr>
          <w:p w:rsidR="00F20A97" w:rsidRPr="00240299" w:rsidRDefault="00F20A97" w:rsidP="008E2272">
            <w:pPr>
              <w:pStyle w:val="TableBodyText"/>
              <w:jc w:val="left"/>
            </w:pPr>
            <w:r w:rsidRPr="00240299">
              <w:t>Imports</w:t>
            </w:r>
            <w:r w:rsidRPr="00240299">
              <w:rPr>
                <w:rStyle w:val="NoteLabel"/>
              </w:rPr>
              <w:t>b</w:t>
            </w:r>
          </w:p>
        </w:tc>
        <w:tc>
          <w:tcPr>
            <w:tcW w:w="786" w:type="pct"/>
            <w:shd w:val="clear" w:color="auto" w:fill="D9D9D9" w:themeFill="background1" w:themeFillShade="D9"/>
            <w:vAlign w:val="bottom"/>
          </w:tcPr>
          <w:p w:rsidR="00F20A97" w:rsidRPr="00240299" w:rsidRDefault="00F20A97" w:rsidP="008E2272">
            <w:pPr>
              <w:pStyle w:val="TableBodyText"/>
            </w:pPr>
            <w:r w:rsidRPr="00240299">
              <w:t>7.1</w:t>
            </w:r>
          </w:p>
        </w:tc>
        <w:tc>
          <w:tcPr>
            <w:tcW w:w="786" w:type="pct"/>
            <w:shd w:val="clear" w:color="auto" w:fill="D9D9D9" w:themeFill="background1" w:themeFillShade="D9"/>
            <w:vAlign w:val="bottom"/>
          </w:tcPr>
          <w:p w:rsidR="00F20A97" w:rsidRPr="00240299" w:rsidRDefault="00F20A97" w:rsidP="008E2272">
            <w:pPr>
              <w:pStyle w:val="TableBodyText"/>
            </w:pPr>
            <w:r w:rsidRPr="00240299">
              <w:t>4.0</w:t>
            </w:r>
          </w:p>
        </w:tc>
        <w:tc>
          <w:tcPr>
            <w:tcW w:w="786" w:type="pct"/>
            <w:shd w:val="clear" w:color="auto" w:fill="D9D9D9" w:themeFill="background1" w:themeFillShade="D9"/>
            <w:vAlign w:val="bottom"/>
          </w:tcPr>
          <w:p w:rsidR="00F20A97" w:rsidRPr="00240299" w:rsidRDefault="00F20A97" w:rsidP="008E2272">
            <w:pPr>
              <w:pStyle w:val="TableBodyText"/>
              <w:rPr>
                <w:b/>
              </w:rPr>
            </w:pPr>
            <w:r w:rsidRPr="00240299">
              <w:rPr>
                <w:b/>
              </w:rPr>
              <w:t>16.2</w:t>
            </w:r>
          </w:p>
        </w:tc>
        <w:tc>
          <w:tcPr>
            <w:tcW w:w="787" w:type="pct"/>
            <w:shd w:val="clear" w:color="auto" w:fill="D9D9D9" w:themeFill="background1" w:themeFillShade="D9"/>
            <w:vAlign w:val="bottom"/>
          </w:tcPr>
          <w:p w:rsidR="00F20A97" w:rsidRPr="00240299" w:rsidRDefault="00F20A97" w:rsidP="008E2272">
            <w:pPr>
              <w:pStyle w:val="TableBodyText"/>
            </w:pPr>
            <w:r w:rsidRPr="00240299">
              <w:t>4.3</w:t>
            </w:r>
          </w:p>
        </w:tc>
      </w:tr>
      <w:tr w:rsidR="00304D04" w:rsidRPr="00240299" w:rsidTr="00C936FC">
        <w:tc>
          <w:tcPr>
            <w:tcW w:w="1855" w:type="pct"/>
            <w:tcBorders>
              <w:bottom w:val="single" w:sz="4" w:space="0" w:color="auto"/>
            </w:tcBorders>
            <w:vAlign w:val="bottom"/>
          </w:tcPr>
          <w:p w:rsidR="00304D04" w:rsidRPr="00240299" w:rsidRDefault="00304D04" w:rsidP="00C936FC">
            <w:pPr>
              <w:pStyle w:val="TableBodyText"/>
              <w:spacing w:before="40"/>
              <w:jc w:val="left"/>
            </w:pPr>
            <w:r w:rsidRPr="00240299">
              <w:t>Total output</w:t>
            </w:r>
          </w:p>
        </w:tc>
        <w:tc>
          <w:tcPr>
            <w:tcW w:w="786" w:type="pct"/>
            <w:tcBorders>
              <w:top w:val="single" w:sz="4" w:space="0" w:color="auto"/>
              <w:bottom w:val="single" w:sz="4" w:space="0" w:color="auto"/>
            </w:tcBorders>
            <w:vAlign w:val="bottom"/>
          </w:tcPr>
          <w:p w:rsidR="00304D04" w:rsidRPr="00240299" w:rsidRDefault="00304D04" w:rsidP="00C936FC">
            <w:pPr>
              <w:pStyle w:val="TableBodyText"/>
              <w:spacing w:before="40" w:line="240" w:lineRule="auto"/>
            </w:pPr>
            <w:r w:rsidRPr="00240299">
              <w:t>100.0</w:t>
            </w:r>
          </w:p>
        </w:tc>
        <w:tc>
          <w:tcPr>
            <w:tcW w:w="786" w:type="pct"/>
            <w:tcBorders>
              <w:top w:val="single" w:sz="4" w:space="0" w:color="auto"/>
              <w:bottom w:val="single" w:sz="4" w:space="0" w:color="auto"/>
            </w:tcBorders>
            <w:vAlign w:val="bottom"/>
          </w:tcPr>
          <w:p w:rsidR="00304D04" w:rsidRPr="00240299" w:rsidRDefault="00304D04" w:rsidP="00C936FC">
            <w:pPr>
              <w:pStyle w:val="TableBodyText"/>
              <w:spacing w:before="40" w:line="240" w:lineRule="auto"/>
            </w:pPr>
            <w:r w:rsidRPr="00240299">
              <w:t>100.0</w:t>
            </w:r>
          </w:p>
        </w:tc>
        <w:tc>
          <w:tcPr>
            <w:tcW w:w="786" w:type="pct"/>
            <w:tcBorders>
              <w:top w:val="single" w:sz="4" w:space="0" w:color="auto"/>
              <w:bottom w:val="single" w:sz="4" w:space="0" w:color="auto"/>
            </w:tcBorders>
            <w:vAlign w:val="bottom"/>
          </w:tcPr>
          <w:p w:rsidR="00304D04" w:rsidRPr="00240299" w:rsidRDefault="00304D04" w:rsidP="00C936FC">
            <w:pPr>
              <w:pStyle w:val="TableBodyText"/>
              <w:spacing w:before="40" w:line="240" w:lineRule="auto"/>
              <w:rPr>
                <w:b/>
              </w:rPr>
            </w:pPr>
            <w:r w:rsidRPr="00240299">
              <w:rPr>
                <w:b/>
              </w:rPr>
              <w:t>100.0</w:t>
            </w:r>
          </w:p>
        </w:tc>
        <w:tc>
          <w:tcPr>
            <w:tcW w:w="787" w:type="pct"/>
            <w:tcBorders>
              <w:top w:val="single" w:sz="4" w:space="0" w:color="auto"/>
              <w:bottom w:val="single" w:sz="4" w:space="0" w:color="auto"/>
            </w:tcBorders>
            <w:shd w:val="clear" w:color="auto" w:fill="auto"/>
            <w:vAlign w:val="bottom"/>
          </w:tcPr>
          <w:p w:rsidR="00304D04" w:rsidRPr="00240299" w:rsidRDefault="00304D04" w:rsidP="00C936FC">
            <w:pPr>
              <w:pStyle w:val="TableBodyText"/>
              <w:spacing w:before="40" w:line="240" w:lineRule="auto"/>
            </w:pPr>
            <w:r w:rsidRPr="00240299">
              <w:t>100.0</w:t>
            </w:r>
          </w:p>
        </w:tc>
      </w:tr>
    </w:tbl>
    <w:p w:rsidR="00304D04" w:rsidRPr="00240299" w:rsidRDefault="00304D04" w:rsidP="00304D04">
      <w:pPr>
        <w:pStyle w:val="Note"/>
      </w:pPr>
      <w:r w:rsidRPr="00240299">
        <w:rPr>
          <w:rStyle w:val="NoteLabel"/>
        </w:rPr>
        <w:t>a</w:t>
      </w:r>
      <w:r w:rsidRPr="00240299">
        <w:t xml:space="preserve"> Based on direct allocation of imports</w:t>
      </w:r>
      <w:r w:rsidR="00D37AB3" w:rsidRPr="00240299">
        <w:t>,</w:t>
      </w:r>
      <w:r w:rsidRPr="00240299">
        <w:t xml:space="preserve"> so the percentages</w:t>
      </w:r>
      <w:r w:rsidR="001464C6" w:rsidRPr="00240299">
        <w:t xml:space="preserve"> for</w:t>
      </w:r>
      <w:r w:rsidRPr="00240299">
        <w:t xml:space="preserve"> intermediate inputs refer only to domestically produced inputs. Percentages do not sum to 100 because the row for taxes less subsidies on products is not shown. </w:t>
      </w:r>
      <w:r w:rsidRPr="00240299">
        <w:rPr>
          <w:rStyle w:val="NoteLabel"/>
        </w:rPr>
        <w:t>b</w:t>
      </w:r>
      <w:r w:rsidRPr="00240299">
        <w:t xml:space="preserve"> Imports refer to imported intermediate goods used by column (use) industr</w:t>
      </w:r>
      <w:r w:rsidR="00767537">
        <w:t>ies</w:t>
      </w:r>
      <w:r w:rsidRPr="00240299">
        <w:t xml:space="preserve"> and can be products</w:t>
      </w:r>
      <w:r w:rsidR="001464C6" w:rsidRPr="00240299">
        <w:t xml:space="preserve"> or services</w:t>
      </w:r>
      <w:r w:rsidRPr="00240299">
        <w:t xml:space="preserve"> from any industry. </w:t>
      </w:r>
      <w:r w:rsidRPr="00240299">
        <w:rPr>
          <w:rStyle w:val="NoteLabel"/>
        </w:rPr>
        <w:t xml:space="preserve">c </w:t>
      </w:r>
      <w:r w:rsidRPr="00240299">
        <w:t xml:space="preserve">Services includes: Electricity, gas, water </w:t>
      </w:r>
      <w:r w:rsidR="005F4D52" w:rsidRPr="00240299">
        <w:t>and</w:t>
      </w:r>
      <w:r w:rsidRPr="00240299">
        <w:t xml:space="preserve"> waste services; Construction; Wholesale trade; Retail trade; Accommodation </w:t>
      </w:r>
      <w:r w:rsidR="000923ED">
        <w:t>and</w:t>
      </w:r>
      <w:r w:rsidRPr="00240299">
        <w:t xml:space="preserve"> food services; Transport, postal </w:t>
      </w:r>
      <w:r w:rsidR="005F4D52" w:rsidRPr="00240299">
        <w:t>and</w:t>
      </w:r>
      <w:r w:rsidRPr="00240299">
        <w:t xml:space="preserve"> warehousing; Information, media </w:t>
      </w:r>
      <w:r w:rsidR="005F4D52" w:rsidRPr="00240299">
        <w:t>and</w:t>
      </w:r>
      <w:r w:rsidRPr="00240299">
        <w:t xml:space="preserve"> telecommunications; Financial </w:t>
      </w:r>
      <w:r w:rsidR="005F4D52" w:rsidRPr="00240299">
        <w:t>and</w:t>
      </w:r>
      <w:r w:rsidRPr="00240299">
        <w:t xml:space="preserve"> insurance services; </w:t>
      </w:r>
      <w:r w:rsidR="00D82122" w:rsidRPr="00240299">
        <w:t xml:space="preserve">Rental, hiring </w:t>
      </w:r>
      <w:r w:rsidR="005F4D52" w:rsidRPr="00240299">
        <w:t>and</w:t>
      </w:r>
      <w:r w:rsidR="00D82122" w:rsidRPr="00240299">
        <w:t xml:space="preserve"> real estate services; Professional, scientific </w:t>
      </w:r>
      <w:r w:rsidR="005F4D52" w:rsidRPr="00240299">
        <w:t>and</w:t>
      </w:r>
      <w:r w:rsidR="00D82122" w:rsidRPr="00240299">
        <w:t xml:space="preserve"> technical services; Administrative </w:t>
      </w:r>
      <w:r w:rsidR="005F4D52" w:rsidRPr="00240299">
        <w:t>and</w:t>
      </w:r>
      <w:r w:rsidR="00D82122" w:rsidRPr="00240299">
        <w:t xml:space="preserve"> support services; Public administration </w:t>
      </w:r>
      <w:r w:rsidR="005F4D52" w:rsidRPr="00240299">
        <w:t>and</w:t>
      </w:r>
      <w:r w:rsidR="00D82122" w:rsidRPr="00240299">
        <w:t xml:space="preserve"> safety; Education </w:t>
      </w:r>
      <w:r w:rsidR="005F4D52" w:rsidRPr="00240299">
        <w:t>and</w:t>
      </w:r>
      <w:r w:rsidR="00D82122" w:rsidRPr="00240299">
        <w:t xml:space="preserve"> training; Health care </w:t>
      </w:r>
      <w:r w:rsidR="005F4D52" w:rsidRPr="00240299">
        <w:t>and</w:t>
      </w:r>
      <w:r w:rsidR="00D82122" w:rsidRPr="00240299">
        <w:t xml:space="preserve"> social assistance; </w:t>
      </w:r>
      <w:r w:rsidRPr="00240299">
        <w:t xml:space="preserve">Arts </w:t>
      </w:r>
      <w:r w:rsidR="005F4D52" w:rsidRPr="00240299">
        <w:t>and</w:t>
      </w:r>
      <w:r w:rsidRPr="00240299">
        <w:t xml:space="preserve"> recreation services</w:t>
      </w:r>
      <w:r w:rsidR="00D82122" w:rsidRPr="00240299">
        <w:t>; and Other services</w:t>
      </w:r>
      <w:r w:rsidRPr="00240299">
        <w:t xml:space="preserve">. </w:t>
      </w:r>
    </w:p>
    <w:p w:rsidR="00304D04" w:rsidRPr="00240299" w:rsidRDefault="00304D04" w:rsidP="00304D04">
      <w:pPr>
        <w:pStyle w:val="Source"/>
        <w:spacing w:line="240" w:lineRule="auto"/>
      </w:pPr>
      <w:r w:rsidRPr="00240299">
        <w:rPr>
          <w:i/>
        </w:rPr>
        <w:t>Source</w:t>
      </w:r>
      <w:r w:rsidRPr="00240299">
        <w:t>:</w:t>
      </w:r>
      <w:r w:rsidR="008C71F4" w:rsidRPr="00240299">
        <w:t xml:space="preserve"> Authors’ estimates based on</w:t>
      </w:r>
      <w:r w:rsidRPr="00240299">
        <w:t xml:space="preserve"> ABS (</w:t>
      </w:r>
      <w:r w:rsidRPr="00240299">
        <w:rPr>
          <w:i/>
        </w:rPr>
        <w:t>Australian National Accounts: Input-</w:t>
      </w:r>
      <w:r w:rsidR="00FE03DE" w:rsidRPr="00240299">
        <w:rPr>
          <w:i/>
        </w:rPr>
        <w:t>O</w:t>
      </w:r>
      <w:r w:rsidRPr="00240299">
        <w:rPr>
          <w:i/>
        </w:rPr>
        <w:t xml:space="preserve">utput Tables, </w:t>
      </w:r>
      <w:r w:rsidR="00F20A97" w:rsidRPr="00240299">
        <w:rPr>
          <w:i/>
        </w:rPr>
        <w:t>2008</w:t>
      </w:r>
      <w:r w:rsidRPr="00240299">
        <w:rPr>
          <w:i/>
        </w:rPr>
        <w:t>-0</w:t>
      </w:r>
      <w:r w:rsidR="00F20A97" w:rsidRPr="00240299">
        <w:rPr>
          <w:i/>
        </w:rPr>
        <w:t>9</w:t>
      </w:r>
      <w:r w:rsidRPr="00240299">
        <w:rPr>
          <w:i/>
        </w:rPr>
        <w:t xml:space="preserve">, </w:t>
      </w:r>
      <w:r w:rsidRPr="00240299">
        <w:t>Cat.</w:t>
      </w:r>
      <w:r w:rsidR="00624AAF">
        <w:t> </w:t>
      </w:r>
      <w:r w:rsidRPr="00240299">
        <w:t>no. 5209.0.55.001).</w:t>
      </w:r>
    </w:p>
    <w:p w:rsidR="002470A1" w:rsidRPr="00240299" w:rsidRDefault="008A3885" w:rsidP="004B3DA6">
      <w:pPr>
        <w:pStyle w:val="BodyText"/>
      </w:pPr>
      <w:r w:rsidRPr="00240299">
        <w:t>Other industries</w:t>
      </w:r>
      <w:r w:rsidR="002219C7" w:rsidRPr="00240299">
        <w:t xml:space="preserve"> </w:t>
      </w:r>
      <w:r w:rsidR="000F3FC7" w:rsidRPr="00240299">
        <w:t xml:space="preserve">within Manufacturing </w:t>
      </w:r>
      <w:r w:rsidR="0072483B" w:rsidRPr="00240299">
        <w:t>that</w:t>
      </w:r>
      <w:r w:rsidRPr="00240299">
        <w:t xml:space="preserve"> </w:t>
      </w:r>
      <w:r w:rsidR="002219C7" w:rsidRPr="00240299">
        <w:t xml:space="preserve">produce </w:t>
      </w:r>
      <w:r w:rsidRPr="00240299">
        <w:t>more elaborately</w:t>
      </w:r>
      <w:r w:rsidR="00D37AB3" w:rsidRPr="00240299">
        <w:t>-</w:t>
      </w:r>
      <w:r w:rsidRPr="00240299">
        <w:t>transformed manufactures</w:t>
      </w:r>
      <w:r w:rsidR="000F3FC7" w:rsidRPr="00240299">
        <w:t>,</w:t>
      </w:r>
      <w:r w:rsidR="004B3DA6" w:rsidRPr="00240299">
        <w:t xml:space="preserve"> such as pharmaceuticals</w:t>
      </w:r>
      <w:r w:rsidR="000F3FC7" w:rsidRPr="00240299">
        <w:t>,</w:t>
      </w:r>
      <w:r w:rsidRPr="00240299">
        <w:t xml:space="preserve"> have weaker linkages to primary sectors and stronger linkages with other parts of </w:t>
      </w:r>
      <w:r w:rsidR="000F3FC7" w:rsidRPr="00240299">
        <w:t xml:space="preserve">Manufacturing </w:t>
      </w:r>
      <w:r w:rsidRPr="00240299">
        <w:t>and the service sector.</w:t>
      </w:r>
      <w:r w:rsidR="004B3DA6" w:rsidRPr="00240299">
        <w:t xml:space="preserve"> </w:t>
      </w:r>
      <w:r w:rsidR="000D030A" w:rsidRPr="00240299">
        <w:t>Around 70</w:t>
      </w:r>
      <w:r w:rsidR="00D3269F" w:rsidRPr="00240299">
        <w:t xml:space="preserve"> per cent of </w:t>
      </w:r>
      <w:r w:rsidR="000D030A" w:rsidRPr="00240299">
        <w:t>domestically</w:t>
      </w:r>
      <w:r w:rsidR="00D22749" w:rsidRPr="00240299">
        <w:t>-</w:t>
      </w:r>
      <w:r w:rsidR="000D030A" w:rsidRPr="00240299">
        <w:t xml:space="preserve">sourced </w:t>
      </w:r>
      <w:r w:rsidR="00D3269F" w:rsidRPr="00240299">
        <w:t xml:space="preserve">intermediate inputs used in pharmaceuticals </w:t>
      </w:r>
      <w:r w:rsidR="000923ED">
        <w:t>we</w:t>
      </w:r>
      <w:r w:rsidR="00D22749" w:rsidRPr="00240299">
        <w:t>re</w:t>
      </w:r>
      <w:r w:rsidR="00D3269F" w:rsidRPr="00240299">
        <w:t xml:space="preserve"> from the service sector</w:t>
      </w:r>
      <w:r w:rsidR="000923ED" w:rsidRPr="000923ED">
        <w:t xml:space="preserve"> </w:t>
      </w:r>
      <w:r w:rsidR="000923ED">
        <w:t>in 2008-09</w:t>
      </w:r>
      <w:r w:rsidR="00D22749" w:rsidRPr="00240299">
        <w:t xml:space="preserve">, compared with a 37 per cent share </w:t>
      </w:r>
      <w:r w:rsidR="000923ED">
        <w:t>for</w:t>
      </w:r>
      <w:r w:rsidR="00D3269F" w:rsidRPr="00240299">
        <w:t xml:space="preserve"> </w:t>
      </w:r>
      <w:r w:rsidR="000F3FC7" w:rsidRPr="00240299">
        <w:t>M</w:t>
      </w:r>
      <w:r w:rsidR="00D3269F" w:rsidRPr="00240299">
        <w:t>anufacturing</w:t>
      </w:r>
      <w:r w:rsidR="000F3FC7" w:rsidRPr="00240299">
        <w:t xml:space="preserve"> in total</w:t>
      </w:r>
      <w:r w:rsidR="004B3DA6" w:rsidRPr="00240299">
        <w:t xml:space="preserve"> (ABS </w:t>
      </w:r>
      <w:r w:rsidR="00170997" w:rsidRPr="00240299">
        <w:t>2012</w:t>
      </w:r>
      <w:r w:rsidR="000B6351" w:rsidRPr="00240299">
        <w:t>a</w:t>
      </w:r>
      <w:r w:rsidR="004B3DA6" w:rsidRPr="00240299">
        <w:t xml:space="preserve">). </w:t>
      </w:r>
      <w:r w:rsidR="002F3522">
        <w:t>Some industries within Manufacturing use higher shares of imported intermediate inputs</w:t>
      </w:r>
      <w:r w:rsidR="009E7B17">
        <w:t xml:space="preserve"> than others </w:t>
      </w:r>
      <w:r w:rsidR="002F3522">
        <w:t xml:space="preserve">— for example, </w:t>
      </w:r>
      <w:r w:rsidR="000923ED">
        <w:t xml:space="preserve">in 2008-09 </w:t>
      </w:r>
      <w:r w:rsidR="000E3DA4">
        <w:t xml:space="preserve">a greater </w:t>
      </w:r>
      <w:r w:rsidR="00BF5A40">
        <w:t>proportion</w:t>
      </w:r>
      <w:r w:rsidR="000E3DA4">
        <w:t xml:space="preserve"> of</w:t>
      </w:r>
      <w:r w:rsidR="00C24C9C">
        <w:t xml:space="preserve"> intermediate inputs used in </w:t>
      </w:r>
      <w:r w:rsidR="009E7B17">
        <w:t xml:space="preserve">Petroleum and </w:t>
      </w:r>
      <w:r w:rsidR="002F3522">
        <w:t>coal</w:t>
      </w:r>
      <w:r w:rsidR="009E7B17">
        <w:t xml:space="preserve"> product manufacturing </w:t>
      </w:r>
      <w:r w:rsidR="000923ED">
        <w:t>we</w:t>
      </w:r>
      <w:r w:rsidR="00C24C9C">
        <w:t>re imported</w:t>
      </w:r>
      <w:r w:rsidR="009E7B17">
        <w:t xml:space="preserve"> compared </w:t>
      </w:r>
      <w:r w:rsidR="00623E8B">
        <w:t>with</w:t>
      </w:r>
      <w:r w:rsidR="00B014C0">
        <w:t xml:space="preserve"> </w:t>
      </w:r>
      <w:r w:rsidR="00C24C9C">
        <w:t>Manufacturing</w:t>
      </w:r>
      <w:r w:rsidR="004B5F9B">
        <w:t xml:space="preserve"> </w:t>
      </w:r>
      <w:r w:rsidR="000923ED">
        <w:t xml:space="preserve">in total </w:t>
      </w:r>
      <w:r w:rsidR="009E7B17" w:rsidRPr="00240299">
        <w:t>(ABS 2012a)</w:t>
      </w:r>
      <w:r w:rsidR="002F3522">
        <w:t xml:space="preserve">. </w:t>
      </w:r>
    </w:p>
    <w:p w:rsidR="00086317" w:rsidRPr="00240299" w:rsidRDefault="00E939E7" w:rsidP="00086317">
      <w:pPr>
        <w:pStyle w:val="BodyText"/>
        <w:rPr>
          <w:b/>
        </w:rPr>
      </w:pPr>
      <w:r w:rsidRPr="00240299">
        <w:t>While the service</w:t>
      </w:r>
      <w:r w:rsidR="00D3269F" w:rsidRPr="00240299">
        <w:t xml:space="preserve"> sector</w:t>
      </w:r>
      <w:r w:rsidRPr="00240299">
        <w:t xml:space="preserve"> </w:t>
      </w:r>
      <w:r w:rsidR="00D3269F" w:rsidRPr="00240299">
        <w:t>supplie</w:t>
      </w:r>
      <w:r w:rsidR="000923ED">
        <w:t>d</w:t>
      </w:r>
      <w:r w:rsidRPr="00240299">
        <w:t xml:space="preserve"> the largest share of </w:t>
      </w:r>
      <w:r w:rsidR="00D37AB3" w:rsidRPr="00240299">
        <w:t xml:space="preserve">domestic </w:t>
      </w:r>
      <w:r w:rsidRPr="00240299">
        <w:t>intermediate inputs</w:t>
      </w:r>
      <w:r w:rsidR="00D3269F" w:rsidRPr="00240299">
        <w:t xml:space="preserve"> used by </w:t>
      </w:r>
      <w:r w:rsidR="00D22749" w:rsidRPr="00240299">
        <w:t>other</w:t>
      </w:r>
      <w:r w:rsidR="00D3269F" w:rsidRPr="00240299">
        <w:t xml:space="preserve"> sectors</w:t>
      </w:r>
      <w:r w:rsidR="00D22749" w:rsidRPr="00240299">
        <w:t xml:space="preserve"> of the economy</w:t>
      </w:r>
      <w:r w:rsidR="00D3269F" w:rsidRPr="00240299">
        <w:t>,</w:t>
      </w:r>
      <w:r w:rsidR="009B0912" w:rsidRPr="00240299">
        <w:t xml:space="preserve"> </w:t>
      </w:r>
      <w:r w:rsidR="00BD17FD" w:rsidRPr="00240299">
        <w:t>M</w:t>
      </w:r>
      <w:r w:rsidR="009B0912" w:rsidRPr="00240299">
        <w:t>anufacturing provide</w:t>
      </w:r>
      <w:r w:rsidR="000923ED">
        <w:t>d</w:t>
      </w:r>
      <w:r w:rsidR="009B0912" w:rsidRPr="00240299">
        <w:t xml:space="preserve"> </w:t>
      </w:r>
      <w:r w:rsidR="00D22749" w:rsidRPr="00240299">
        <w:t>around 15</w:t>
      </w:r>
      <w:r w:rsidR="009B0912" w:rsidRPr="00240299">
        <w:t xml:space="preserve"> per cent of </w:t>
      </w:r>
      <w:r w:rsidR="00D37AB3" w:rsidRPr="00240299">
        <w:t xml:space="preserve">those </w:t>
      </w:r>
      <w:r w:rsidR="00C64389" w:rsidRPr="00240299">
        <w:t>inputs</w:t>
      </w:r>
      <w:r w:rsidR="009B0912" w:rsidRPr="00240299">
        <w:t xml:space="preserve"> used by</w:t>
      </w:r>
      <w:r w:rsidR="00B9275A" w:rsidRPr="00240299">
        <w:t xml:space="preserve"> Agriculture, Mining and </w:t>
      </w:r>
      <w:r w:rsidR="00D22749" w:rsidRPr="00240299">
        <w:t>S</w:t>
      </w:r>
      <w:r w:rsidR="00B9275A" w:rsidRPr="00240299">
        <w:t>ervices</w:t>
      </w:r>
      <w:r w:rsidR="004B5F9B">
        <w:t xml:space="preserve"> in 2008-09</w:t>
      </w:r>
      <w:r w:rsidR="00D22749" w:rsidRPr="00240299">
        <w:t>.</w:t>
      </w:r>
      <w:r w:rsidR="001D4831" w:rsidRPr="00240299">
        <w:rPr>
          <w:rStyle w:val="FootnoteReference"/>
        </w:rPr>
        <w:footnoteReference w:id="1"/>
      </w:r>
      <w:r w:rsidR="00B2710F" w:rsidRPr="00240299">
        <w:t xml:space="preserve"> There </w:t>
      </w:r>
      <w:r w:rsidR="000923ED">
        <w:t>wa</w:t>
      </w:r>
      <w:r w:rsidR="00B2710F" w:rsidRPr="00240299">
        <w:t>s also intra</w:t>
      </w:r>
      <w:r w:rsidR="009754C7">
        <w:noBreakHyphen/>
      </w:r>
      <w:r w:rsidR="00B2710F" w:rsidRPr="00240299">
        <w:t xml:space="preserve">industry trade within Manufacturing — over a third of the intermediate inputs used by manufacturers </w:t>
      </w:r>
      <w:r w:rsidR="000923ED">
        <w:t>we</w:t>
      </w:r>
      <w:r w:rsidR="00B2710F" w:rsidRPr="00240299">
        <w:t>re provided by other manufacturers.</w:t>
      </w:r>
      <w:r w:rsidR="001A5B97" w:rsidRPr="00240299">
        <w:t xml:space="preserve"> </w:t>
      </w:r>
    </w:p>
    <w:p w:rsidR="002811A1" w:rsidRPr="00240299" w:rsidRDefault="00C9303E" w:rsidP="002811A1">
      <w:pPr>
        <w:pStyle w:val="Heading2"/>
      </w:pPr>
      <w:bookmarkStart w:id="8" w:name="OLE_LINK16"/>
      <w:r>
        <w:lastRenderedPageBreak/>
        <w:t>2.</w:t>
      </w:r>
      <w:r w:rsidR="004456C0">
        <w:rPr>
          <w:noProof/>
        </w:rPr>
        <w:t>2</w:t>
      </w:r>
      <w:bookmarkEnd w:id="8"/>
      <w:r w:rsidR="00FC3E97" w:rsidRPr="00240299">
        <w:tab/>
      </w:r>
      <w:r w:rsidR="005B2B7E" w:rsidRPr="00240299">
        <w:t xml:space="preserve">Productivity growth in </w:t>
      </w:r>
      <w:r w:rsidR="002811A1" w:rsidRPr="00240299">
        <w:t xml:space="preserve">Manufacturing </w:t>
      </w:r>
      <w:r w:rsidR="005B2B7E" w:rsidRPr="00240299">
        <w:t>in aggregate</w:t>
      </w:r>
    </w:p>
    <w:p w:rsidR="007935B2" w:rsidRPr="00240299" w:rsidRDefault="00AC27E8" w:rsidP="007935B2">
      <w:pPr>
        <w:pStyle w:val="BodyText"/>
      </w:pPr>
      <w:r w:rsidRPr="00240299">
        <w:t xml:space="preserve">There are two commonly used measures of productivity — labour productivity (LP) and multifactor productivity (MFP). </w:t>
      </w:r>
      <w:r w:rsidR="00412BFF" w:rsidRPr="00240299">
        <w:t>LP</w:t>
      </w:r>
      <w:r w:rsidRPr="00240299">
        <w:t xml:space="preserve"> is a measure of the </w:t>
      </w:r>
      <w:r w:rsidR="000B0B53" w:rsidRPr="00240299">
        <w:t>quantity</w:t>
      </w:r>
      <w:r w:rsidRPr="00240299">
        <w:t xml:space="preserve"> of output produced per </w:t>
      </w:r>
      <w:r w:rsidR="006705FD" w:rsidRPr="00240299">
        <w:t>unit of labour</w:t>
      </w:r>
      <w:r w:rsidRPr="00240299">
        <w:t xml:space="preserve"> and MFP is a measure of the </w:t>
      </w:r>
      <w:r w:rsidR="000B0B53" w:rsidRPr="00240299">
        <w:t>quantity</w:t>
      </w:r>
      <w:r w:rsidRPr="00240299">
        <w:t xml:space="preserve"> of output </w:t>
      </w:r>
      <w:r w:rsidR="005F3AAF" w:rsidRPr="00240299">
        <w:t>per unit of combined inputs of capital and labour</w:t>
      </w:r>
      <w:r w:rsidRPr="00240299">
        <w:t xml:space="preserve">. </w:t>
      </w:r>
    </w:p>
    <w:p w:rsidR="00AC27E8" w:rsidRPr="00240299" w:rsidRDefault="004D285D" w:rsidP="007935B2">
      <w:pPr>
        <w:pStyle w:val="BodyText"/>
        <w:rPr>
          <w:rFonts w:ascii="TimesNewRoman" w:hAnsi="TimesNewRoman" w:cs="TimesNewRoman"/>
          <w:szCs w:val="26"/>
        </w:rPr>
      </w:pPr>
      <w:r>
        <w:t>B</w:t>
      </w:r>
      <w:r w:rsidR="00AC27E8" w:rsidRPr="00240299">
        <w:t xml:space="preserve">oth </w:t>
      </w:r>
      <w:r w:rsidR="00C25E81" w:rsidRPr="00240299">
        <w:t xml:space="preserve">productivity </w:t>
      </w:r>
      <w:r w:rsidR="00AC27E8" w:rsidRPr="00240299">
        <w:t>measures are useful</w:t>
      </w:r>
      <w:r>
        <w:t>.</w:t>
      </w:r>
      <w:r w:rsidR="00AC27E8" w:rsidRPr="00240299">
        <w:t xml:space="preserve"> </w:t>
      </w:r>
      <w:r w:rsidR="007935B2" w:rsidRPr="00240299">
        <w:rPr>
          <w:rFonts w:ascii="TimesNewRoman" w:hAnsi="TimesNewRoman" w:cs="TimesNewRoman"/>
          <w:szCs w:val="26"/>
        </w:rPr>
        <w:t xml:space="preserve">MFP growth measures the growth in output over and above that explained by growth in </w:t>
      </w:r>
      <w:r w:rsidR="007935B2" w:rsidRPr="00240299">
        <w:rPr>
          <w:rFonts w:ascii="TimesNewRoman,Italic" w:hAnsi="TimesNewRoman,Italic" w:cs="TimesNewRoman,Italic"/>
          <w:i/>
          <w:iCs/>
          <w:szCs w:val="26"/>
        </w:rPr>
        <w:t xml:space="preserve">both </w:t>
      </w:r>
      <w:r w:rsidR="008B71EE" w:rsidRPr="00240299">
        <w:rPr>
          <w:rFonts w:ascii="TimesNewRoman" w:hAnsi="TimesNewRoman" w:cs="TimesNewRoman"/>
          <w:szCs w:val="26"/>
        </w:rPr>
        <w:t>primary factor inputs</w:t>
      </w:r>
      <w:r w:rsidR="007935B2" w:rsidRPr="00240299">
        <w:rPr>
          <w:rFonts w:ascii="TimesNewRoman" w:hAnsi="TimesNewRoman" w:cs="TimesNewRoman"/>
          <w:szCs w:val="26"/>
        </w:rPr>
        <w:t xml:space="preserve"> </w:t>
      </w:r>
      <w:r w:rsidR="008B71EE" w:rsidRPr="00240299">
        <w:rPr>
          <w:rFonts w:ascii="TimesNewRoman" w:hAnsi="TimesNewRoman" w:cs="TimesNewRoman"/>
          <w:szCs w:val="26"/>
        </w:rPr>
        <w:t>(</w:t>
      </w:r>
      <w:r w:rsidR="007935B2" w:rsidRPr="00240299">
        <w:rPr>
          <w:rFonts w:ascii="TimesNewRoman" w:hAnsi="TimesNewRoman" w:cs="TimesNewRoman"/>
          <w:szCs w:val="26"/>
        </w:rPr>
        <w:t>capital and labour</w:t>
      </w:r>
      <w:r w:rsidR="008B71EE" w:rsidRPr="00240299">
        <w:rPr>
          <w:rFonts w:ascii="TimesNewRoman" w:hAnsi="TimesNewRoman" w:cs="TimesNewRoman"/>
          <w:szCs w:val="26"/>
        </w:rPr>
        <w:t>)</w:t>
      </w:r>
      <w:r>
        <w:rPr>
          <w:rFonts w:ascii="TimesNewRoman" w:hAnsi="TimesNewRoman" w:cs="TimesNewRoman"/>
          <w:szCs w:val="26"/>
        </w:rPr>
        <w:t xml:space="preserve">. </w:t>
      </w:r>
      <w:r w:rsidR="004F5A5B" w:rsidRPr="00240299">
        <w:rPr>
          <w:rFonts w:ascii="TimesNewRoman" w:hAnsi="TimesNewRoman" w:cs="TimesNewRoman"/>
          <w:szCs w:val="26"/>
        </w:rPr>
        <w:t>LP</w:t>
      </w:r>
      <w:r w:rsidR="007935B2" w:rsidRPr="00240299">
        <w:rPr>
          <w:rFonts w:ascii="TimesNewRoman" w:hAnsi="TimesNewRoman" w:cs="TimesNewRoman"/>
          <w:szCs w:val="26"/>
        </w:rPr>
        <w:t xml:space="preserve"> growth </w:t>
      </w:r>
      <w:r w:rsidR="002320AC">
        <w:rPr>
          <w:rFonts w:ascii="TimesNewRoman" w:hAnsi="TimesNewRoman" w:cs="TimesNewRoman"/>
          <w:szCs w:val="26"/>
        </w:rPr>
        <w:t xml:space="preserve">is a partial productivity </w:t>
      </w:r>
      <w:r>
        <w:rPr>
          <w:rFonts w:ascii="TimesNewRoman" w:hAnsi="TimesNewRoman" w:cs="TimesNewRoman"/>
          <w:szCs w:val="26"/>
        </w:rPr>
        <w:t>measure</w:t>
      </w:r>
      <w:r w:rsidR="002320AC">
        <w:rPr>
          <w:rFonts w:ascii="TimesNewRoman" w:hAnsi="TimesNewRoman" w:cs="TimesNewRoman"/>
          <w:szCs w:val="26"/>
        </w:rPr>
        <w:t xml:space="preserve"> — it measures</w:t>
      </w:r>
      <w:r>
        <w:rPr>
          <w:rFonts w:ascii="TimesNewRoman" w:hAnsi="TimesNewRoman" w:cs="TimesNewRoman"/>
          <w:szCs w:val="26"/>
        </w:rPr>
        <w:t xml:space="preserve"> growth in output over and above that explained by growth in labour</w:t>
      </w:r>
      <w:r w:rsidR="002320AC">
        <w:rPr>
          <w:rFonts w:ascii="TimesNewRoman" w:hAnsi="TimesNewRoman" w:cs="TimesNewRoman"/>
          <w:szCs w:val="26"/>
        </w:rPr>
        <w:t xml:space="preserve">, and </w:t>
      </w:r>
      <w:r w:rsidR="00E46B34">
        <w:rPr>
          <w:rFonts w:ascii="TimesNewRoman" w:hAnsi="TimesNewRoman" w:cs="TimesNewRoman"/>
          <w:szCs w:val="26"/>
        </w:rPr>
        <w:t xml:space="preserve">it </w:t>
      </w:r>
      <w:r w:rsidR="002320AC">
        <w:rPr>
          <w:rFonts w:ascii="TimesNewRoman" w:hAnsi="TimesNewRoman" w:cs="TimesNewRoman"/>
          <w:szCs w:val="26"/>
        </w:rPr>
        <w:t xml:space="preserve">is influenced by changes in the ratio of capital to labour inputs. </w:t>
      </w:r>
      <w:r w:rsidR="007935B2" w:rsidRPr="00240299">
        <w:t xml:space="preserve">Both measures </w:t>
      </w:r>
      <w:r w:rsidR="00CE219C" w:rsidRPr="00240299">
        <w:t>are</w:t>
      </w:r>
      <w:r w:rsidR="007935B2" w:rsidRPr="00240299">
        <w:t xml:space="preserve"> presented in this paper, but the focus of the analysis </w:t>
      </w:r>
      <w:r w:rsidR="00CE219C" w:rsidRPr="00240299">
        <w:t>is</w:t>
      </w:r>
      <w:r w:rsidR="007935B2" w:rsidRPr="00240299">
        <w:t xml:space="preserve"> on explaining MFP growth. </w:t>
      </w:r>
    </w:p>
    <w:p w:rsidR="007935B2" w:rsidRPr="00240299" w:rsidRDefault="007935B2" w:rsidP="007935B2">
      <w:pPr>
        <w:pStyle w:val="BodyText"/>
      </w:pPr>
      <w:r w:rsidRPr="00240299">
        <w:t xml:space="preserve">MFP growth estimates are </w:t>
      </w:r>
      <w:r w:rsidR="00054A3E" w:rsidRPr="00240299">
        <w:t>compiled</w:t>
      </w:r>
      <w:r w:rsidR="00795362" w:rsidRPr="00240299">
        <w:t xml:space="preserve"> using </w:t>
      </w:r>
      <w:r w:rsidRPr="00240299">
        <w:t xml:space="preserve">the </w:t>
      </w:r>
      <w:r w:rsidR="00795362" w:rsidRPr="00240299">
        <w:t>‘</w:t>
      </w:r>
      <w:r w:rsidRPr="00240299">
        <w:t>growth accounting framework</w:t>
      </w:r>
      <w:r w:rsidR="00795362" w:rsidRPr="00240299">
        <w:t>’</w:t>
      </w:r>
      <w:r w:rsidRPr="00240299">
        <w:t xml:space="preserve"> —</w:t>
      </w:r>
      <w:r w:rsidR="00DE2108">
        <w:t xml:space="preserve"> </w:t>
      </w:r>
      <w:r w:rsidR="00054A3E" w:rsidRPr="00240299">
        <w:t xml:space="preserve">MFP growth is derived as </w:t>
      </w:r>
      <w:r w:rsidR="007A1D1B" w:rsidRPr="00240299">
        <w:t>the</w:t>
      </w:r>
      <w:r w:rsidR="00054A3E" w:rsidRPr="00240299">
        <w:t xml:space="preserve"> residual </w:t>
      </w:r>
      <w:r w:rsidR="007A1D1B" w:rsidRPr="00240299">
        <w:t xml:space="preserve">from </w:t>
      </w:r>
      <w:r w:rsidR="00054A3E" w:rsidRPr="00240299">
        <w:t>output growth minus growth</w:t>
      </w:r>
      <w:r w:rsidR="00F7724A">
        <w:t xml:space="preserve"> of combined capital and labour inputs</w:t>
      </w:r>
      <w:r w:rsidR="00795362" w:rsidRPr="00240299">
        <w:t xml:space="preserve">. Although MFP growth is sometimes interpreted as a measure of </w:t>
      </w:r>
      <w:r w:rsidR="00FB116F" w:rsidRPr="00240299">
        <w:t>technical</w:t>
      </w:r>
      <w:r w:rsidR="00795362" w:rsidRPr="00240299">
        <w:t xml:space="preserve"> progress</w:t>
      </w:r>
      <w:r w:rsidR="00E775A9" w:rsidRPr="00240299">
        <w:t>,</w:t>
      </w:r>
      <w:r w:rsidR="00795362" w:rsidRPr="00240299">
        <w:rPr>
          <w:rStyle w:val="FootnoteReference"/>
        </w:rPr>
        <w:footnoteReference w:id="2"/>
      </w:r>
      <w:r w:rsidR="00795362" w:rsidRPr="00240299">
        <w:t xml:space="preserve"> in practice it measures much more than this</w:t>
      </w:r>
      <w:r w:rsidR="00ED2255" w:rsidRPr="00240299">
        <w:t>. Other influences on annual MFP growth include: economies of scale; changes in management practices</w:t>
      </w:r>
      <w:r w:rsidR="00D7778A">
        <w:t xml:space="preserve"> and the skill of the labour force</w:t>
      </w:r>
      <w:r w:rsidR="00ED2255" w:rsidRPr="00240299">
        <w:t xml:space="preserve">; </w:t>
      </w:r>
      <w:r w:rsidR="00176D04">
        <w:t xml:space="preserve">climate, water and other natural resource availability; </w:t>
      </w:r>
      <w:r w:rsidR="00ED2255" w:rsidRPr="00240299">
        <w:t>variations in capacity utilisation; and any errors in the measurement of inputs and outputs</w:t>
      </w:r>
      <w:r w:rsidR="007A1D1B" w:rsidRPr="00240299">
        <w:t>.</w:t>
      </w:r>
      <w:r w:rsidR="00ED2255" w:rsidRPr="00240299">
        <w:t xml:space="preserve"> </w:t>
      </w:r>
      <w:r w:rsidRPr="00240299">
        <w:t>(</w:t>
      </w:r>
      <w:r w:rsidR="007A1D1B" w:rsidRPr="00240299">
        <w:t>S</w:t>
      </w:r>
      <w:r w:rsidR="00ED2255" w:rsidRPr="00240299">
        <w:t>ee</w:t>
      </w:r>
      <w:r w:rsidRPr="00240299">
        <w:t xml:space="preserve"> </w:t>
      </w:r>
      <w:r w:rsidR="007A1D1B" w:rsidRPr="00240299">
        <w:t>appendix </w:t>
      </w:r>
      <w:r w:rsidRPr="00240299">
        <w:t>A</w:t>
      </w:r>
      <w:r w:rsidR="007A1D1B" w:rsidRPr="00240299">
        <w:t xml:space="preserve"> for further details.</w:t>
      </w:r>
      <w:r w:rsidRPr="00240299">
        <w:t xml:space="preserve">) </w:t>
      </w:r>
    </w:p>
    <w:p w:rsidR="002C4CC0" w:rsidRPr="00240299" w:rsidRDefault="007935B2" w:rsidP="007935B2">
      <w:pPr>
        <w:pStyle w:val="BodyText"/>
      </w:pPr>
      <w:r w:rsidRPr="00240299">
        <w:t xml:space="preserve">In the ABS official estimates of MFP growth for </w:t>
      </w:r>
      <w:r w:rsidR="001E2775" w:rsidRPr="00240299">
        <w:t>Manufacturing in Australia</w:t>
      </w:r>
      <w:r w:rsidR="002C4CC0" w:rsidRPr="00240299">
        <w:t xml:space="preserve"> (and throughout this paper):</w:t>
      </w:r>
    </w:p>
    <w:p w:rsidR="002C4CC0" w:rsidRPr="00240299" w:rsidRDefault="007935B2" w:rsidP="002C4CC0">
      <w:pPr>
        <w:pStyle w:val="ListBullet"/>
      </w:pPr>
      <w:r w:rsidRPr="00240299">
        <w:t>output is measured as value added (</w:t>
      </w:r>
      <w:r w:rsidR="00FB5923" w:rsidRPr="00240299">
        <w:t xml:space="preserve">that is, </w:t>
      </w:r>
      <w:r w:rsidR="00462E26" w:rsidRPr="00240299">
        <w:t>gross</w:t>
      </w:r>
      <w:r w:rsidRPr="00240299">
        <w:t xml:space="preserve"> </w:t>
      </w:r>
      <w:r w:rsidR="00462E26" w:rsidRPr="00240299">
        <w:t>output</w:t>
      </w:r>
      <w:r w:rsidRPr="00240299">
        <w:t xml:space="preserve"> less intermediate inputs</w:t>
      </w:r>
      <w:r w:rsidR="00B103E6" w:rsidRPr="00240299">
        <w:t xml:space="preserve"> such as energy, raw materials and services</w:t>
      </w:r>
      <w:r w:rsidRPr="00240299">
        <w:t>)</w:t>
      </w:r>
    </w:p>
    <w:p w:rsidR="002C4CC0" w:rsidRPr="00240299" w:rsidRDefault="00B103E6" w:rsidP="002C4CC0">
      <w:pPr>
        <w:pStyle w:val="ListBullet"/>
      </w:pPr>
      <w:r w:rsidRPr="00240299">
        <w:t>labour is measured as hours worked</w:t>
      </w:r>
    </w:p>
    <w:p w:rsidR="002C4CC0" w:rsidRPr="00240299" w:rsidRDefault="002C4CC0" w:rsidP="002C4CC0">
      <w:pPr>
        <w:pStyle w:val="ListBullet"/>
      </w:pPr>
      <w:r w:rsidRPr="00240299">
        <w:t>capital is measure</w:t>
      </w:r>
      <w:r w:rsidR="004C7229" w:rsidRPr="00240299">
        <w:t>d</w:t>
      </w:r>
      <w:r w:rsidRPr="00240299">
        <w:t xml:space="preserve"> as the flow of services from the </w:t>
      </w:r>
      <w:r w:rsidR="00692052" w:rsidRPr="00240299">
        <w:t xml:space="preserve">productive </w:t>
      </w:r>
      <w:r w:rsidRPr="00240299">
        <w:t>capital stock.</w:t>
      </w:r>
      <w:r w:rsidR="00F06C39" w:rsidRPr="00240299">
        <w:rPr>
          <w:rStyle w:val="FootnoteReference"/>
        </w:rPr>
        <w:footnoteReference w:id="3"/>
      </w:r>
      <w:r w:rsidRPr="00240299">
        <w:t xml:space="preserve"> </w:t>
      </w:r>
    </w:p>
    <w:p w:rsidR="00B61388" w:rsidRDefault="00B61388">
      <w:pPr>
        <w:rPr>
          <w:szCs w:val="20"/>
        </w:rPr>
      </w:pPr>
      <w:r>
        <w:br w:type="page"/>
      </w:r>
    </w:p>
    <w:p w:rsidR="000B0B53" w:rsidRPr="00240299" w:rsidRDefault="000B0B53" w:rsidP="000B0B53">
      <w:pPr>
        <w:pStyle w:val="BodyText"/>
      </w:pPr>
      <w:r w:rsidRPr="00240299">
        <w:lastRenderedPageBreak/>
        <w:t>Both outputs and inputs are measured in quantity or volume terms</w:t>
      </w:r>
      <w:r w:rsidR="00823F8C" w:rsidRPr="00240299">
        <w:t>, that is with the effects of price changes removed.</w:t>
      </w:r>
      <w:r w:rsidR="0023654A">
        <w:rPr>
          <w:rStyle w:val="FootnoteReference"/>
        </w:rPr>
        <w:footnoteReference w:id="4"/>
      </w:r>
      <w:r w:rsidR="00823F8C" w:rsidRPr="00240299">
        <w:t xml:space="preserve"> </w:t>
      </w:r>
      <w:r w:rsidR="00E3128E" w:rsidRPr="00240299">
        <w:t>(The measurement of outputs and inputs is discussed further in appendix A.)</w:t>
      </w:r>
    </w:p>
    <w:p w:rsidR="007935B2" w:rsidRPr="00240299" w:rsidRDefault="0040492D" w:rsidP="002C4CC0">
      <w:pPr>
        <w:pStyle w:val="BodyText"/>
      </w:pPr>
      <w:r w:rsidRPr="00240299">
        <w:t xml:space="preserve">Given these definitions, </w:t>
      </w:r>
      <w:r w:rsidR="00E775A9" w:rsidRPr="00240299">
        <w:t xml:space="preserve">MFP growth is equal to </w:t>
      </w:r>
      <w:r w:rsidR="007935B2" w:rsidRPr="00240299">
        <w:t xml:space="preserve">value added growth </w:t>
      </w:r>
      <w:r w:rsidR="00E775A9" w:rsidRPr="00240299">
        <w:t>less</w:t>
      </w:r>
      <w:r w:rsidR="007935B2" w:rsidRPr="00240299">
        <w:t xml:space="preserve"> a weighted average of capital</w:t>
      </w:r>
      <w:r w:rsidR="00862D4A" w:rsidRPr="00240299">
        <w:t xml:space="preserve"> services</w:t>
      </w:r>
      <w:r w:rsidR="007935B2" w:rsidRPr="00240299">
        <w:t xml:space="preserve"> growth and </w:t>
      </w:r>
      <w:r w:rsidR="00862D4A" w:rsidRPr="00240299">
        <w:t>hours worked</w:t>
      </w:r>
      <w:r w:rsidR="007935B2" w:rsidRPr="00240299">
        <w:t xml:space="preserve"> growth.</w:t>
      </w:r>
      <w:r w:rsidR="009D587F" w:rsidRPr="00240299">
        <w:rPr>
          <w:rStyle w:val="FootnoteReference"/>
        </w:rPr>
        <w:footnoteReference w:id="5"/>
      </w:r>
      <w:r w:rsidR="007935B2" w:rsidRPr="00240299">
        <w:t xml:space="preserve"> </w:t>
      </w:r>
      <w:r w:rsidR="00E775A9" w:rsidRPr="00240299">
        <w:t>L</w:t>
      </w:r>
      <w:r w:rsidR="00F82376" w:rsidRPr="00240299">
        <w:rPr>
          <w:szCs w:val="18"/>
        </w:rPr>
        <w:t xml:space="preserve">abour productivity growth </w:t>
      </w:r>
      <w:r w:rsidR="00780ABA" w:rsidRPr="00240299">
        <w:rPr>
          <w:szCs w:val="18"/>
        </w:rPr>
        <w:t xml:space="preserve">(value added per hour worked) </w:t>
      </w:r>
      <w:r w:rsidR="00E775A9" w:rsidRPr="00240299">
        <w:rPr>
          <w:szCs w:val="18"/>
        </w:rPr>
        <w:t xml:space="preserve">is equal to </w:t>
      </w:r>
      <w:r w:rsidR="00F82376" w:rsidRPr="00240299">
        <w:rPr>
          <w:szCs w:val="18"/>
        </w:rPr>
        <w:t xml:space="preserve">MFP growth </w:t>
      </w:r>
      <w:r w:rsidR="00E775A9" w:rsidRPr="00240299">
        <w:rPr>
          <w:szCs w:val="18"/>
        </w:rPr>
        <w:t>plus</w:t>
      </w:r>
      <w:r w:rsidR="00F82376" w:rsidRPr="00240299">
        <w:rPr>
          <w:szCs w:val="18"/>
        </w:rPr>
        <w:t xml:space="preserve"> capital deepening</w:t>
      </w:r>
      <w:r w:rsidR="00620F6B" w:rsidRPr="00240299">
        <w:rPr>
          <w:szCs w:val="18"/>
        </w:rPr>
        <w:t xml:space="preserve">. Capital deepening </w:t>
      </w:r>
      <w:r w:rsidR="00DC2F95" w:rsidRPr="00240299">
        <w:rPr>
          <w:szCs w:val="18"/>
        </w:rPr>
        <w:t xml:space="preserve">is </w:t>
      </w:r>
      <w:r w:rsidR="00831DDF" w:rsidRPr="00240299">
        <w:rPr>
          <w:szCs w:val="18"/>
        </w:rPr>
        <w:t>an increase</w:t>
      </w:r>
      <w:r w:rsidR="00DC2F95" w:rsidRPr="00240299">
        <w:rPr>
          <w:szCs w:val="18"/>
        </w:rPr>
        <w:t xml:space="preserve"> in the capital intensity of the production process (measured </w:t>
      </w:r>
      <w:r w:rsidR="00383D3C" w:rsidRPr="00240299">
        <w:rPr>
          <w:szCs w:val="18"/>
        </w:rPr>
        <w:t xml:space="preserve">as </w:t>
      </w:r>
      <w:r w:rsidR="00F82376" w:rsidRPr="00240299">
        <w:rPr>
          <w:szCs w:val="18"/>
        </w:rPr>
        <w:t xml:space="preserve">growth in the ratio of capital to labour, weighted by capital’s share </w:t>
      </w:r>
      <w:r w:rsidR="00F7724A">
        <w:rPr>
          <w:szCs w:val="18"/>
        </w:rPr>
        <w:t>of</w:t>
      </w:r>
      <w:r w:rsidR="00F7724A" w:rsidRPr="00240299">
        <w:rPr>
          <w:szCs w:val="18"/>
        </w:rPr>
        <w:t xml:space="preserve"> </w:t>
      </w:r>
      <w:r w:rsidR="00F82376" w:rsidRPr="00240299">
        <w:rPr>
          <w:szCs w:val="18"/>
        </w:rPr>
        <w:t>total income</w:t>
      </w:r>
      <w:r w:rsidR="00DC2F95" w:rsidRPr="00240299">
        <w:rPr>
          <w:szCs w:val="18"/>
        </w:rPr>
        <w:t>).</w:t>
      </w:r>
      <w:r w:rsidR="00332EF8" w:rsidRPr="00240299">
        <w:rPr>
          <w:rStyle w:val="FootnoteReference"/>
          <w:szCs w:val="18"/>
        </w:rPr>
        <w:footnoteReference w:id="6"/>
      </w:r>
      <w:r w:rsidR="00DC2F95" w:rsidRPr="00240299">
        <w:rPr>
          <w:szCs w:val="18"/>
        </w:rPr>
        <w:t xml:space="preserve"> </w:t>
      </w:r>
    </w:p>
    <w:p w:rsidR="00C96457" w:rsidRPr="00240299" w:rsidRDefault="005A6173" w:rsidP="00C96457">
      <w:pPr>
        <w:pStyle w:val="Heading3"/>
      </w:pPr>
      <w:r>
        <w:t>LP</w:t>
      </w:r>
      <w:r w:rsidR="00C96457" w:rsidRPr="00240299">
        <w:t xml:space="preserve"> growth</w:t>
      </w:r>
    </w:p>
    <w:p w:rsidR="00620F6B" w:rsidRPr="00240299" w:rsidRDefault="00F76007" w:rsidP="00620F6B">
      <w:pPr>
        <w:pStyle w:val="BodyText"/>
      </w:pPr>
      <w:r w:rsidRPr="00240299">
        <w:t xml:space="preserve">Manufacturing LP has </w:t>
      </w:r>
      <w:r w:rsidR="00831DDF" w:rsidRPr="00240299">
        <w:t xml:space="preserve">followed </w:t>
      </w:r>
      <w:r w:rsidR="009A4000" w:rsidRPr="00240299">
        <w:t xml:space="preserve">a fluctuating, but </w:t>
      </w:r>
      <w:r w:rsidRPr="00240299">
        <w:t>upward</w:t>
      </w:r>
      <w:r w:rsidR="00F7724A">
        <w:t>,</w:t>
      </w:r>
      <w:r w:rsidRPr="00240299">
        <w:t xml:space="preserve"> trend over the period 1985-86 to 2010-11 — with a</w:t>
      </w:r>
      <w:r w:rsidR="002A0D2C" w:rsidRPr="00240299">
        <w:t xml:space="preserve">verage growth </w:t>
      </w:r>
      <w:r w:rsidR="00F701E8" w:rsidRPr="00240299">
        <w:t xml:space="preserve">of </w:t>
      </w:r>
      <w:r w:rsidR="002A0D2C" w:rsidRPr="00240299">
        <w:t>1.9 per cent a year compared with 2.3 per cent a year for the market sector (figure </w:t>
      </w:r>
      <w:r w:rsidR="00C9303E">
        <w:t>2.4</w:t>
      </w:r>
      <w:r w:rsidR="002A0D2C" w:rsidRPr="00240299">
        <w:t>)</w:t>
      </w:r>
      <w:r w:rsidR="00A123A6" w:rsidRPr="00240299">
        <w:t>. After a period of growth</w:t>
      </w:r>
      <w:r w:rsidR="007A07C4" w:rsidRPr="00240299">
        <w:t xml:space="preserve"> that was </w:t>
      </w:r>
      <w:r w:rsidR="00F7724A">
        <w:t xml:space="preserve">a little </w:t>
      </w:r>
      <w:r w:rsidR="007A07C4" w:rsidRPr="00240299">
        <w:t>faster than the market sector</w:t>
      </w:r>
      <w:r w:rsidR="00A123A6" w:rsidRPr="00240299">
        <w:t xml:space="preserve"> from the late 1990s to 2003-04, growth in Manufacturing LP</w:t>
      </w:r>
      <w:r w:rsidR="00185ECC" w:rsidRPr="00240299">
        <w:t xml:space="preserve"> is now more consistent with the broader sector</w:t>
      </w:r>
      <w:r w:rsidR="00A123A6" w:rsidRPr="00240299">
        <w:t>.</w:t>
      </w:r>
    </w:p>
    <w:p w:rsidR="00C96457" w:rsidRPr="00240299" w:rsidRDefault="00C96457" w:rsidP="00C96457">
      <w:pPr>
        <w:pStyle w:val="FigureTitle"/>
        <w:spacing w:before="240"/>
      </w:pPr>
      <w:r w:rsidRPr="00240299">
        <w:rPr>
          <w:b w:val="0"/>
        </w:rPr>
        <w:lastRenderedPageBreak/>
        <w:t xml:space="preserve">Figure </w:t>
      </w:r>
      <w:bookmarkStart w:id="9" w:name="OLE_LINK14"/>
      <w:r w:rsidR="00C9303E">
        <w:rPr>
          <w:b w:val="0"/>
        </w:rPr>
        <w:t>2.</w:t>
      </w:r>
      <w:r w:rsidR="004456C0">
        <w:rPr>
          <w:b w:val="0"/>
          <w:noProof/>
        </w:rPr>
        <w:t>4</w:t>
      </w:r>
      <w:bookmarkEnd w:id="9"/>
      <w:r w:rsidRPr="00240299">
        <w:tab/>
      </w:r>
      <w:r w:rsidR="00BB72A3">
        <w:t>LP</w:t>
      </w:r>
      <w:r w:rsidR="00A06465" w:rsidRPr="00240299">
        <w:t xml:space="preserve"> in</w:t>
      </w:r>
      <w:r w:rsidR="00412BFF" w:rsidRPr="00240299">
        <w:t xml:space="preserve"> </w:t>
      </w:r>
      <w:r w:rsidRPr="00240299">
        <w:t xml:space="preserve">Manufacturing and </w:t>
      </w:r>
      <w:r w:rsidR="00412BFF" w:rsidRPr="00240299">
        <w:t xml:space="preserve">the </w:t>
      </w:r>
      <w:r w:rsidRPr="00240299">
        <w:t xml:space="preserve">market sector </w:t>
      </w:r>
    </w:p>
    <w:p w:rsidR="00C96457" w:rsidRPr="00240299" w:rsidRDefault="00C96457" w:rsidP="00C96457">
      <w:pPr>
        <w:pStyle w:val="Subtitle"/>
      </w:pPr>
      <w:r w:rsidRPr="00240299">
        <w:t>Index 2009-10 = 100</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C96457" w:rsidRPr="00240299" w:rsidTr="001552F4">
        <w:tc>
          <w:tcPr>
            <w:tcW w:w="8777" w:type="dxa"/>
          </w:tcPr>
          <w:p w:rsidR="00C96457" w:rsidRPr="00240299" w:rsidRDefault="007E3B51" w:rsidP="00C808D4">
            <w:pPr>
              <w:pStyle w:val="Figure"/>
              <w:spacing w:before="60" w:after="60"/>
            </w:pPr>
            <w:r>
              <w:pict>
                <v:shape id="_x0000_i1028" type="#_x0000_t75" alt="This figure shows that Manufacturing LP has followed a fluctuating, but upward trend over the period 1985-86 to 2010-11. During this period, LP average annual growth in Manufacturing appears lower than market sector LP growth, apart from a period of stronger growth from the late 1990s to 2003-04. More recently, the figure shows that growth in Manufacturing LP has been more consistent with the broader sector." style="width:424.5pt;height:198pt">
                  <v:imagedata r:id="rId12" o:title=""/>
                </v:shape>
              </w:pict>
            </w:r>
          </w:p>
        </w:tc>
      </w:tr>
    </w:tbl>
    <w:p w:rsidR="00C96457" w:rsidRPr="00240299" w:rsidRDefault="00C96457" w:rsidP="00C96457">
      <w:pPr>
        <w:pStyle w:val="Source"/>
      </w:pPr>
      <w:r w:rsidRPr="00240299">
        <w:rPr>
          <w:i/>
        </w:rPr>
        <w:t>Data source</w:t>
      </w:r>
      <w:r w:rsidRPr="00240299">
        <w:t>: ABS (</w:t>
      </w:r>
      <w:r w:rsidRPr="00240299">
        <w:rPr>
          <w:i/>
        </w:rPr>
        <w:t xml:space="preserve">Experimental Estimates of Industry Multifactor Productivity, 2010-11, </w:t>
      </w:r>
      <w:r w:rsidRPr="00240299">
        <w:t>Cat. no. 5260.0.55.002</w:t>
      </w:r>
      <w:r w:rsidR="00496496" w:rsidRPr="00240299">
        <w:t>)</w:t>
      </w:r>
      <w:r w:rsidRPr="00240299">
        <w:t>.</w:t>
      </w:r>
    </w:p>
    <w:p w:rsidR="00FE162B" w:rsidRDefault="00FE162B" w:rsidP="00FE162B">
      <w:pPr>
        <w:pStyle w:val="BodyText"/>
      </w:pPr>
      <w:r w:rsidRPr="00240299">
        <w:t xml:space="preserve">Productivity growth is best examined over cycles since year-to-year changes can reflect temporary influences rather than changes in underlying productive efficiency. The ABS identifies cycles </w:t>
      </w:r>
      <w:r w:rsidR="00826A60" w:rsidRPr="00240299">
        <w:t xml:space="preserve">that start and end at </w:t>
      </w:r>
      <w:r w:rsidR="00C46FFD" w:rsidRPr="00240299">
        <w:t xml:space="preserve">productivity </w:t>
      </w:r>
      <w:r w:rsidR="00BE2DD9" w:rsidRPr="00240299">
        <w:t>peaks</w:t>
      </w:r>
      <w:r w:rsidR="00C46FFD" w:rsidRPr="00240299">
        <w:t xml:space="preserve"> that are less likely to be affected by temporary influences</w:t>
      </w:r>
      <w:r w:rsidR="00826A60" w:rsidRPr="00240299">
        <w:t xml:space="preserve"> </w:t>
      </w:r>
      <w:r w:rsidRPr="00240299">
        <w:t>(box</w:t>
      </w:r>
      <w:r w:rsidR="002C6B99">
        <w:t xml:space="preserve"> </w:t>
      </w:r>
      <w:r w:rsidR="00C9303E">
        <w:t>2.1</w:t>
      </w:r>
      <w:r w:rsidRPr="00240299">
        <w:t xml:space="preserve">) — these cycles are also used to examine LP growth. Cycles </w:t>
      </w:r>
      <w:r w:rsidR="00E47264" w:rsidRPr="00240299">
        <w:t xml:space="preserve">for </w:t>
      </w:r>
      <w:r w:rsidR="00BE2DD9" w:rsidRPr="00240299">
        <w:t xml:space="preserve">individual </w:t>
      </w:r>
      <w:r w:rsidRPr="00240299">
        <w:t xml:space="preserve">industry sectors </w:t>
      </w:r>
      <w:r w:rsidR="00E47264" w:rsidRPr="00240299">
        <w:t xml:space="preserve">can vary from that </w:t>
      </w:r>
      <w:r w:rsidR="00C46FFD" w:rsidRPr="00240299">
        <w:t>for</w:t>
      </w:r>
      <w:r w:rsidR="00E47264" w:rsidRPr="00240299">
        <w:t xml:space="preserve"> the </w:t>
      </w:r>
      <w:r w:rsidR="00F7724A">
        <w:t>market sector as a whole</w:t>
      </w:r>
      <w:r w:rsidR="00E47264" w:rsidRPr="00240299">
        <w:t xml:space="preserve"> </w:t>
      </w:r>
      <w:r w:rsidRPr="00240299">
        <w:t>but</w:t>
      </w:r>
      <w:r w:rsidR="00BB72A3">
        <w:t>,</w:t>
      </w:r>
      <w:r w:rsidRPr="00240299">
        <w:t xml:space="preserve"> </w:t>
      </w:r>
      <w:r w:rsidR="00F7724A">
        <w:t xml:space="preserve">as shown in previous research, </w:t>
      </w:r>
      <w:r w:rsidRPr="00240299">
        <w:t>Manufacturing cycles coincide with the ABS market sector cycles over this period</w:t>
      </w:r>
      <w:r w:rsidR="006F1502" w:rsidRPr="00240299">
        <w:t>.</w:t>
      </w:r>
      <w:r w:rsidRPr="00240299">
        <w:rPr>
          <w:rStyle w:val="FootnoteReference"/>
        </w:rPr>
        <w:footnoteReference w:id="7"/>
      </w:r>
      <w:r w:rsidRPr="00240299">
        <w:t xml:space="preserve"> </w:t>
      </w:r>
    </w:p>
    <w:p w:rsidR="00B61388" w:rsidRPr="00240299" w:rsidRDefault="00B61388" w:rsidP="00FE162B">
      <w:pPr>
        <w:pStyle w:val="BodyText"/>
      </w:pPr>
      <w:r w:rsidRPr="00240299">
        <w:t xml:space="preserve">There have been four productivity cycles for the market sector over the period 1985-86 to 2010-11 — </w:t>
      </w:r>
      <w:r>
        <w:t>in addition to</w:t>
      </w:r>
      <w:r w:rsidRPr="00240299">
        <w:t xml:space="preserve"> incomplete cycles at the beginning and end of the time series. Table </w:t>
      </w:r>
      <w:r>
        <w:t xml:space="preserve">2.3 </w:t>
      </w:r>
      <w:r w:rsidRPr="00240299">
        <w:t xml:space="preserve">presents average annual LP growth over </w:t>
      </w:r>
      <w:r>
        <w:t>the completed</w:t>
      </w:r>
      <w:r w:rsidRPr="00240299">
        <w:t xml:space="preserve"> productivity cycles, along with the decomposition of LP growth into MFP growth and capital deepening. </w:t>
      </w:r>
    </w:p>
    <w:p w:rsidR="00573015" w:rsidRPr="00240299" w:rsidRDefault="00573015" w:rsidP="00573015">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573015" w:rsidRPr="007C5846" w:rsidTr="00444FD2">
        <w:tc>
          <w:tcPr>
            <w:tcW w:w="8771" w:type="dxa"/>
            <w:tcBorders>
              <w:top w:val="single" w:sz="6" w:space="0" w:color="auto"/>
              <w:bottom w:val="nil"/>
            </w:tcBorders>
          </w:tcPr>
          <w:p w:rsidR="00573015" w:rsidRPr="0036491A" w:rsidRDefault="00573015" w:rsidP="00444FD2">
            <w:pPr>
              <w:pStyle w:val="BoxTitle"/>
              <w:rPr>
                <w:rFonts w:cs="Arial"/>
                <w:sz w:val="24"/>
              </w:rPr>
            </w:pPr>
            <w:r w:rsidRPr="0036491A">
              <w:rPr>
                <w:rFonts w:cs="Arial"/>
                <w:b w:val="0"/>
                <w:sz w:val="24"/>
              </w:rPr>
              <w:t xml:space="preserve">Box </w:t>
            </w:r>
            <w:bookmarkStart w:id="10" w:name="OLE_LINK9"/>
            <w:r w:rsidR="00C9303E">
              <w:rPr>
                <w:rFonts w:cs="Arial"/>
                <w:b w:val="0"/>
                <w:sz w:val="24"/>
              </w:rPr>
              <w:t>2.</w:t>
            </w:r>
            <w:r w:rsidR="004456C0">
              <w:rPr>
                <w:rFonts w:cs="Arial"/>
                <w:b w:val="0"/>
                <w:noProof/>
                <w:sz w:val="24"/>
              </w:rPr>
              <w:t>1</w:t>
            </w:r>
            <w:bookmarkEnd w:id="10"/>
            <w:r w:rsidRPr="004D285D">
              <w:rPr>
                <w:rFonts w:cs="Arial"/>
                <w:sz w:val="24"/>
              </w:rPr>
              <w:tab/>
            </w:r>
            <w:r w:rsidRPr="0036491A">
              <w:rPr>
                <w:rFonts w:cs="Arial"/>
                <w:sz w:val="24"/>
              </w:rPr>
              <w:t>Examining productivity growth over cycles</w:t>
            </w:r>
          </w:p>
        </w:tc>
      </w:tr>
      <w:tr w:rsidR="00573015" w:rsidRPr="00240299" w:rsidTr="00444FD2">
        <w:trPr>
          <w:cantSplit/>
        </w:trPr>
        <w:tc>
          <w:tcPr>
            <w:tcW w:w="8771" w:type="dxa"/>
            <w:tcBorders>
              <w:top w:val="nil"/>
              <w:left w:val="single" w:sz="6" w:space="0" w:color="auto"/>
              <w:bottom w:val="nil"/>
              <w:right w:val="single" w:sz="6" w:space="0" w:color="auto"/>
            </w:tcBorders>
          </w:tcPr>
          <w:p w:rsidR="00573015" w:rsidRPr="00240299" w:rsidRDefault="00573015" w:rsidP="00444FD2">
            <w:pPr>
              <w:pStyle w:val="Box"/>
            </w:pPr>
            <w:r w:rsidRPr="00240299">
              <w:t>Year-to-year changes in MFP reflect not only technical progress, but also many temporary influences. Changes in the rate of capacity utilisation can be particularly influential —</w:t>
            </w:r>
            <w:r w:rsidR="00190D7E">
              <w:t xml:space="preserve"> </w:t>
            </w:r>
            <w:r w:rsidRPr="00240299">
              <w:t xml:space="preserve">this is not measured as a change in inputs but instead appears as a change in MFP. </w:t>
            </w:r>
            <w:r w:rsidR="008759BC" w:rsidRPr="00240299">
              <w:t>If the economy goes</w:t>
            </w:r>
            <w:r w:rsidRPr="00240299">
              <w:t xml:space="preserve"> into a downturn, MFP growth is likely to be depressed as a result of underutilised inputs that are still fully included in measured inputs. In an upturn, MFP growth can rebound</w:t>
            </w:r>
            <w:r w:rsidR="001368AE">
              <w:t>,</w:t>
            </w:r>
            <w:r w:rsidRPr="00240299">
              <w:t xml:space="preserve"> in part</w:t>
            </w:r>
            <w:r w:rsidR="001368AE">
              <w:t>,</w:t>
            </w:r>
            <w:r w:rsidRPr="00240299">
              <w:t xml:space="preserve"> as a result of previously underutilised inputs being used to generate new output growth.</w:t>
            </w:r>
          </w:p>
          <w:p w:rsidR="00573015" w:rsidRPr="00240299" w:rsidRDefault="00573015" w:rsidP="00444FD2">
            <w:pPr>
              <w:pStyle w:val="Box"/>
            </w:pPr>
            <w:r w:rsidRPr="00240299">
              <w:t xml:space="preserve">A common approach when interpreting movements in MFP is to attempt to abstract from these temporary influences through longer-term averaging of measured growth. </w:t>
            </w:r>
            <w:r w:rsidR="001368AE">
              <w:t xml:space="preserve">The </w:t>
            </w:r>
            <w:r w:rsidRPr="00240299">
              <w:t>ABS identifies periods over which to best examine market sector MFP. These are called ‘MFP growth cycles’ or ‘peak-to-peak periods’. By analysing average annual MFP growth between selected peaks, the ABS aims to minimise the effects of some of the short-term influences that are captured in year-to-year changes in measured productivity (ABS 2008</w:t>
            </w:r>
            <w:r w:rsidR="0082158C">
              <w:t>a</w:t>
            </w:r>
            <w:r w:rsidRPr="00240299">
              <w:t xml:space="preserve">). In particular, the peaks are assumed to be periods of </w:t>
            </w:r>
            <w:r w:rsidR="00692052" w:rsidRPr="00240299">
              <w:t xml:space="preserve">comparable </w:t>
            </w:r>
            <w:r w:rsidRPr="00240299">
              <w:t xml:space="preserve">capacity utilisation and therefore provide the basis for </w:t>
            </w:r>
            <w:r w:rsidRPr="00240299">
              <w:rPr>
                <w:i/>
              </w:rPr>
              <w:t>more</w:t>
            </w:r>
            <w:r w:rsidRPr="00240299">
              <w:t xml:space="preserve"> consistent comparisons (although the rate of utilisation still may not be exactly the same). Nonetheless, the rate of growth over </w:t>
            </w:r>
            <w:r w:rsidR="008759BC" w:rsidRPr="00240299">
              <w:t xml:space="preserve">a </w:t>
            </w:r>
            <w:r w:rsidRPr="00240299">
              <w:t>MFP cycle should also be interpreted carefully as it can reflect the influence of other factors</w:t>
            </w:r>
            <w:r w:rsidR="00BB72A3">
              <w:t>,</w:t>
            </w:r>
            <w:r w:rsidRPr="00240299">
              <w:t xml:space="preserve"> such as unmeasured quality change in inputs and outputs. </w:t>
            </w:r>
          </w:p>
          <w:p w:rsidR="00573015" w:rsidRPr="00240299" w:rsidRDefault="00531219" w:rsidP="00531219">
            <w:pPr>
              <w:pStyle w:val="Box"/>
            </w:pPr>
            <w:r>
              <w:rPr>
                <w:rStyle w:val="BoxChar"/>
              </w:rPr>
              <w:t>Apart from the general business cycle, there can be specific f</w:t>
            </w:r>
            <w:r w:rsidR="00573015" w:rsidRPr="00240299">
              <w:rPr>
                <w:rStyle w:val="BoxChar"/>
              </w:rPr>
              <w:t>actors that affect capacity utilisation</w:t>
            </w:r>
            <w:r>
              <w:rPr>
                <w:rStyle w:val="BoxChar"/>
              </w:rPr>
              <w:t>.</w:t>
            </w:r>
            <w:r w:rsidR="00573015" w:rsidRPr="00240299">
              <w:rPr>
                <w:rStyle w:val="BoxChar"/>
              </w:rPr>
              <w:t xml:space="preserve"> </w:t>
            </w:r>
            <w:r>
              <w:rPr>
                <w:rStyle w:val="BoxChar"/>
              </w:rPr>
              <w:t>F</w:t>
            </w:r>
            <w:r w:rsidRPr="00240299">
              <w:rPr>
                <w:rStyle w:val="BoxChar"/>
              </w:rPr>
              <w:t xml:space="preserve">or </w:t>
            </w:r>
            <w:r w:rsidR="00573015" w:rsidRPr="00240299">
              <w:rPr>
                <w:rStyle w:val="BoxChar"/>
              </w:rPr>
              <w:t xml:space="preserve">example, Agriculture is affected by droughts, Mining by resources booms, and Electricity, gas </w:t>
            </w:r>
            <w:r w:rsidR="005F4D52" w:rsidRPr="00240299">
              <w:rPr>
                <w:rStyle w:val="BoxChar"/>
              </w:rPr>
              <w:t>and</w:t>
            </w:r>
            <w:r w:rsidR="00573015" w:rsidRPr="00240299">
              <w:rPr>
                <w:rStyle w:val="BoxChar"/>
              </w:rPr>
              <w:t xml:space="preserve"> water by droughts and by an evolving policy and regulatory environment. Barnes (2011) identified industry-specific cycles as an aid to analysis of techn</w:t>
            </w:r>
            <w:r w:rsidR="00FB116F" w:rsidRPr="00240299">
              <w:rPr>
                <w:rStyle w:val="BoxChar"/>
              </w:rPr>
              <w:t>i</w:t>
            </w:r>
            <w:r w:rsidR="00573015" w:rsidRPr="00240299">
              <w:rPr>
                <w:rStyle w:val="BoxChar"/>
              </w:rPr>
              <w:t xml:space="preserve">cal progress within specific industries over time and found </w:t>
            </w:r>
            <w:r w:rsidR="008759BC" w:rsidRPr="00240299">
              <w:rPr>
                <w:rStyle w:val="BoxChar"/>
              </w:rPr>
              <w:t xml:space="preserve">that </w:t>
            </w:r>
            <w:r w:rsidR="00573015" w:rsidRPr="00240299">
              <w:rPr>
                <w:rStyle w:val="BoxChar"/>
              </w:rPr>
              <w:t xml:space="preserve">Manufacturing’s cycles coincided with those of the market sector. But there may still be differences in cycles across different parts of </w:t>
            </w:r>
            <w:r w:rsidR="00F701E8" w:rsidRPr="00240299">
              <w:rPr>
                <w:rStyle w:val="BoxChar"/>
              </w:rPr>
              <w:t xml:space="preserve">Manufacturing </w:t>
            </w:r>
            <w:r w:rsidR="00573015" w:rsidRPr="00240299">
              <w:rPr>
                <w:rStyle w:val="BoxChar"/>
              </w:rPr>
              <w:t>— this is discussed in chapter 3 and appendix C.</w:t>
            </w:r>
          </w:p>
        </w:tc>
      </w:tr>
      <w:tr w:rsidR="00573015" w:rsidRPr="00240299" w:rsidTr="00444FD2">
        <w:trPr>
          <w:cantSplit/>
        </w:trPr>
        <w:tc>
          <w:tcPr>
            <w:tcW w:w="8771" w:type="dxa"/>
            <w:tcBorders>
              <w:top w:val="nil"/>
              <w:left w:val="single" w:sz="6" w:space="0" w:color="auto"/>
              <w:bottom w:val="single" w:sz="6" w:space="0" w:color="auto"/>
              <w:right w:val="single" w:sz="6" w:space="0" w:color="auto"/>
            </w:tcBorders>
          </w:tcPr>
          <w:p w:rsidR="00573015" w:rsidRPr="00240299" w:rsidRDefault="00573015" w:rsidP="00444FD2">
            <w:pPr>
              <w:pStyle w:val="Box"/>
              <w:spacing w:before="0" w:line="120" w:lineRule="exact"/>
            </w:pPr>
          </w:p>
        </w:tc>
      </w:tr>
      <w:tr w:rsidR="00573015" w:rsidRPr="00240299" w:rsidTr="00444FD2">
        <w:tc>
          <w:tcPr>
            <w:tcW w:w="8771" w:type="dxa"/>
            <w:tcBorders>
              <w:top w:val="nil"/>
              <w:left w:val="nil"/>
              <w:bottom w:val="nil"/>
              <w:right w:val="nil"/>
            </w:tcBorders>
          </w:tcPr>
          <w:p w:rsidR="00573015" w:rsidRPr="00240299" w:rsidRDefault="00573015" w:rsidP="00444FD2">
            <w:pPr>
              <w:pStyle w:val="Box"/>
              <w:keepNext w:val="0"/>
              <w:spacing w:before="60" w:after="60" w:line="80" w:lineRule="exact"/>
              <w:rPr>
                <w:b/>
                <w:sz w:val="14"/>
              </w:rPr>
            </w:pPr>
          </w:p>
        </w:tc>
      </w:tr>
    </w:tbl>
    <w:p w:rsidR="00C13419" w:rsidRPr="00240299" w:rsidRDefault="00C13419" w:rsidP="00C13419">
      <w:pPr>
        <w:pStyle w:val="TableTitle"/>
      </w:pPr>
      <w:r w:rsidRPr="00240299">
        <w:rPr>
          <w:b w:val="0"/>
        </w:rPr>
        <w:t xml:space="preserve">Table </w:t>
      </w:r>
      <w:bookmarkStart w:id="11" w:name="OLE_LINK3"/>
      <w:r w:rsidR="00C9303E">
        <w:rPr>
          <w:b w:val="0"/>
        </w:rPr>
        <w:t>2.</w:t>
      </w:r>
      <w:r w:rsidR="004456C0">
        <w:rPr>
          <w:b w:val="0"/>
          <w:noProof/>
        </w:rPr>
        <w:t>3</w:t>
      </w:r>
      <w:bookmarkEnd w:id="11"/>
      <w:r w:rsidRPr="00240299">
        <w:tab/>
      </w:r>
      <w:r w:rsidR="00BD6875" w:rsidRPr="00240299">
        <w:t>G</w:t>
      </w:r>
      <w:r w:rsidRPr="00240299">
        <w:t>rowth in LP, MFP and capital deepening, Manufacturing</w:t>
      </w:r>
      <w:r w:rsidRPr="00240299">
        <w:rPr>
          <w:rStyle w:val="NoteLabel"/>
          <w:b/>
        </w:rPr>
        <w:t>a</w:t>
      </w:r>
    </w:p>
    <w:p w:rsidR="00C13419" w:rsidRPr="00240299" w:rsidRDefault="00BD6875" w:rsidP="00C13419">
      <w:pPr>
        <w:pStyle w:val="Subtitle"/>
      </w:pPr>
      <w:r w:rsidRPr="00240299">
        <w:t>Average annual growth rate (per cent)</w:t>
      </w:r>
    </w:p>
    <w:tbl>
      <w:tblPr>
        <w:tblW w:w="5016" w:type="pct"/>
        <w:tblLayout w:type="fixed"/>
        <w:tblCellMar>
          <w:left w:w="0" w:type="dxa"/>
          <w:right w:w="0" w:type="dxa"/>
        </w:tblCellMar>
        <w:tblLook w:val="0000" w:firstRow="0" w:lastRow="0" w:firstColumn="0" w:lastColumn="0" w:noHBand="0" w:noVBand="0"/>
      </w:tblPr>
      <w:tblGrid>
        <w:gridCol w:w="3431"/>
        <w:gridCol w:w="1796"/>
        <w:gridCol w:w="1795"/>
        <w:gridCol w:w="1795"/>
      </w:tblGrid>
      <w:tr w:rsidR="00C13419" w:rsidRPr="001F04D8" w:rsidTr="00BB72A3">
        <w:tc>
          <w:tcPr>
            <w:tcW w:w="1945" w:type="pct"/>
            <w:tcBorders>
              <w:top w:val="single" w:sz="4" w:space="0" w:color="auto"/>
            </w:tcBorders>
            <w:shd w:val="clear" w:color="auto" w:fill="auto"/>
          </w:tcPr>
          <w:p w:rsidR="00C13419" w:rsidRPr="001F04D8" w:rsidRDefault="00C13419" w:rsidP="00BB72A3">
            <w:pPr>
              <w:pStyle w:val="TableColumnHeading"/>
              <w:ind w:right="0"/>
            </w:pPr>
          </w:p>
        </w:tc>
        <w:tc>
          <w:tcPr>
            <w:tcW w:w="1018" w:type="pct"/>
            <w:tcBorders>
              <w:top w:val="single" w:sz="6" w:space="0" w:color="auto"/>
            </w:tcBorders>
          </w:tcPr>
          <w:p w:rsidR="00C13419" w:rsidRPr="001F04D8" w:rsidRDefault="00C13419" w:rsidP="00BB72A3">
            <w:pPr>
              <w:pStyle w:val="TableColumnHeading"/>
            </w:pPr>
            <w:r w:rsidRPr="001F04D8">
              <w:t>LP growth</w:t>
            </w:r>
          </w:p>
        </w:tc>
        <w:tc>
          <w:tcPr>
            <w:tcW w:w="1018" w:type="pct"/>
            <w:tcBorders>
              <w:top w:val="single" w:sz="6" w:space="0" w:color="auto"/>
              <w:bottom w:val="single" w:sz="6" w:space="0" w:color="auto"/>
            </w:tcBorders>
          </w:tcPr>
          <w:p w:rsidR="00C13419" w:rsidRPr="001F04D8" w:rsidRDefault="00C13419" w:rsidP="00BB72A3">
            <w:pPr>
              <w:pStyle w:val="TableColumnHeading"/>
            </w:pPr>
            <w:r w:rsidRPr="001F04D8">
              <w:t>MFP growth</w:t>
            </w:r>
          </w:p>
        </w:tc>
        <w:tc>
          <w:tcPr>
            <w:tcW w:w="1018" w:type="pct"/>
            <w:tcBorders>
              <w:top w:val="single" w:sz="6" w:space="0" w:color="auto"/>
              <w:bottom w:val="single" w:sz="6" w:space="0" w:color="auto"/>
            </w:tcBorders>
          </w:tcPr>
          <w:p w:rsidR="00C13419" w:rsidRPr="001F04D8" w:rsidRDefault="00C13419" w:rsidP="00BB72A3">
            <w:pPr>
              <w:pStyle w:val="TableColumnHeading"/>
            </w:pPr>
            <w:r w:rsidRPr="001F04D8">
              <w:t>Capital deepening</w:t>
            </w:r>
          </w:p>
        </w:tc>
      </w:tr>
      <w:tr w:rsidR="00C13419" w:rsidRPr="00240299" w:rsidTr="00BB72A3">
        <w:tc>
          <w:tcPr>
            <w:tcW w:w="1945" w:type="pct"/>
            <w:tcBorders>
              <w:top w:val="single" w:sz="4" w:space="0" w:color="auto"/>
            </w:tcBorders>
            <w:shd w:val="clear" w:color="auto" w:fill="D9D9D9" w:themeFill="background1" w:themeFillShade="D9"/>
          </w:tcPr>
          <w:p w:rsidR="00C13419" w:rsidRPr="00240299" w:rsidRDefault="00C13419" w:rsidP="00BB72A3">
            <w:pPr>
              <w:pStyle w:val="TableBodyText"/>
              <w:spacing w:before="60"/>
              <w:ind w:right="0"/>
              <w:jc w:val="left"/>
            </w:pPr>
            <w:r w:rsidRPr="00240299">
              <w:t xml:space="preserve">Cycle 1: 1988-89 to 1993-94 </w:t>
            </w:r>
          </w:p>
        </w:tc>
        <w:tc>
          <w:tcPr>
            <w:tcW w:w="1018" w:type="pct"/>
            <w:tcBorders>
              <w:top w:val="single" w:sz="4" w:space="0" w:color="auto"/>
            </w:tcBorders>
            <w:shd w:val="clear" w:color="auto" w:fill="D9D9D9" w:themeFill="background1" w:themeFillShade="D9"/>
          </w:tcPr>
          <w:p w:rsidR="00C13419" w:rsidRPr="00240299" w:rsidRDefault="00C13419" w:rsidP="00BB72A3">
            <w:pPr>
              <w:pStyle w:val="TableBodyText"/>
              <w:spacing w:before="60"/>
            </w:pPr>
            <w:r w:rsidRPr="00240299">
              <w:t>1.7</w:t>
            </w:r>
          </w:p>
        </w:tc>
        <w:tc>
          <w:tcPr>
            <w:tcW w:w="1018" w:type="pct"/>
            <w:tcBorders>
              <w:top w:val="single" w:sz="4" w:space="0" w:color="auto"/>
            </w:tcBorders>
            <w:shd w:val="clear" w:color="auto" w:fill="D9D9D9" w:themeFill="background1" w:themeFillShade="D9"/>
          </w:tcPr>
          <w:p w:rsidR="00C13419" w:rsidRPr="00240299" w:rsidRDefault="00C13419" w:rsidP="00BB72A3">
            <w:pPr>
              <w:pStyle w:val="TableBodyText"/>
              <w:spacing w:before="60"/>
            </w:pPr>
            <w:r w:rsidRPr="00240299">
              <w:t>0.0</w:t>
            </w:r>
          </w:p>
        </w:tc>
        <w:tc>
          <w:tcPr>
            <w:tcW w:w="1018" w:type="pct"/>
            <w:tcBorders>
              <w:top w:val="single" w:sz="4" w:space="0" w:color="auto"/>
            </w:tcBorders>
            <w:shd w:val="clear" w:color="auto" w:fill="D9D9D9" w:themeFill="background1" w:themeFillShade="D9"/>
          </w:tcPr>
          <w:p w:rsidR="00C13419" w:rsidRPr="00240299" w:rsidRDefault="00C13419" w:rsidP="00BB72A3">
            <w:pPr>
              <w:pStyle w:val="TableBodyText"/>
              <w:spacing w:before="60"/>
            </w:pPr>
            <w:r w:rsidRPr="00240299">
              <w:t>1.8</w:t>
            </w:r>
          </w:p>
        </w:tc>
      </w:tr>
      <w:tr w:rsidR="00C13419" w:rsidRPr="00240299" w:rsidTr="00BB72A3">
        <w:tc>
          <w:tcPr>
            <w:tcW w:w="1945" w:type="pct"/>
          </w:tcPr>
          <w:p w:rsidR="00C13419" w:rsidRPr="00240299" w:rsidRDefault="00C13419" w:rsidP="00BB72A3">
            <w:pPr>
              <w:pStyle w:val="TableBodyText"/>
              <w:spacing w:before="40"/>
              <w:ind w:right="0"/>
              <w:jc w:val="left"/>
            </w:pPr>
            <w:r w:rsidRPr="00240299">
              <w:t>Cycle 2: 1993-94 to 1998-99</w:t>
            </w:r>
          </w:p>
        </w:tc>
        <w:tc>
          <w:tcPr>
            <w:tcW w:w="1018" w:type="pct"/>
          </w:tcPr>
          <w:p w:rsidR="00C13419" w:rsidRPr="00240299" w:rsidRDefault="00C13419" w:rsidP="00BB72A3">
            <w:pPr>
              <w:pStyle w:val="TableBodyText"/>
              <w:spacing w:before="40"/>
            </w:pPr>
            <w:r w:rsidRPr="00240299">
              <w:t>2.1</w:t>
            </w:r>
          </w:p>
        </w:tc>
        <w:tc>
          <w:tcPr>
            <w:tcW w:w="1018" w:type="pct"/>
          </w:tcPr>
          <w:p w:rsidR="00C13419" w:rsidRPr="00240299" w:rsidRDefault="00C13419" w:rsidP="00BB72A3">
            <w:pPr>
              <w:pStyle w:val="TableBodyText"/>
              <w:spacing w:before="40"/>
            </w:pPr>
            <w:r w:rsidRPr="00240299">
              <w:t>0.6</w:t>
            </w:r>
          </w:p>
        </w:tc>
        <w:tc>
          <w:tcPr>
            <w:tcW w:w="1018" w:type="pct"/>
          </w:tcPr>
          <w:p w:rsidR="00C13419" w:rsidRPr="00240299" w:rsidRDefault="00C13419" w:rsidP="00BB72A3">
            <w:pPr>
              <w:pStyle w:val="TableBodyText"/>
              <w:spacing w:before="40"/>
            </w:pPr>
            <w:r w:rsidRPr="00240299">
              <w:t>1.5</w:t>
            </w:r>
          </w:p>
        </w:tc>
      </w:tr>
      <w:tr w:rsidR="00C13419" w:rsidRPr="00240299" w:rsidTr="00BB72A3">
        <w:tc>
          <w:tcPr>
            <w:tcW w:w="1945" w:type="pct"/>
            <w:shd w:val="clear" w:color="auto" w:fill="D9D9D9" w:themeFill="background1" w:themeFillShade="D9"/>
          </w:tcPr>
          <w:p w:rsidR="00C13419" w:rsidRPr="00240299" w:rsidRDefault="00C13419" w:rsidP="00BB72A3">
            <w:pPr>
              <w:pStyle w:val="TableBodyText"/>
              <w:spacing w:before="40"/>
              <w:ind w:right="0"/>
              <w:jc w:val="left"/>
            </w:pPr>
            <w:r w:rsidRPr="00240299">
              <w:t>Cycle 3: 1998-99 to 2003-04</w:t>
            </w:r>
          </w:p>
        </w:tc>
        <w:tc>
          <w:tcPr>
            <w:tcW w:w="1018" w:type="pct"/>
            <w:shd w:val="clear" w:color="auto" w:fill="D9D9D9" w:themeFill="background1" w:themeFillShade="D9"/>
          </w:tcPr>
          <w:p w:rsidR="00C13419" w:rsidRPr="00240299" w:rsidRDefault="00C13419" w:rsidP="00BB72A3">
            <w:pPr>
              <w:pStyle w:val="TableBodyText"/>
              <w:spacing w:before="40"/>
            </w:pPr>
            <w:r w:rsidRPr="00240299">
              <w:t>3.3</w:t>
            </w:r>
          </w:p>
        </w:tc>
        <w:tc>
          <w:tcPr>
            <w:tcW w:w="1018" w:type="pct"/>
            <w:shd w:val="clear" w:color="auto" w:fill="D9D9D9" w:themeFill="background1" w:themeFillShade="D9"/>
          </w:tcPr>
          <w:p w:rsidR="00C13419" w:rsidRPr="00240299" w:rsidRDefault="00C13419" w:rsidP="00BB72A3">
            <w:pPr>
              <w:pStyle w:val="TableBodyText"/>
              <w:spacing w:before="40"/>
            </w:pPr>
            <w:r w:rsidRPr="00240299">
              <w:t>1.3</w:t>
            </w:r>
          </w:p>
        </w:tc>
        <w:tc>
          <w:tcPr>
            <w:tcW w:w="1018" w:type="pct"/>
            <w:shd w:val="clear" w:color="auto" w:fill="D9D9D9" w:themeFill="background1" w:themeFillShade="D9"/>
          </w:tcPr>
          <w:p w:rsidR="00C13419" w:rsidRPr="00240299" w:rsidRDefault="00C13419" w:rsidP="00BB72A3">
            <w:pPr>
              <w:pStyle w:val="TableBodyText"/>
              <w:spacing w:before="40"/>
            </w:pPr>
            <w:r w:rsidRPr="00240299">
              <w:t>1.9</w:t>
            </w:r>
          </w:p>
        </w:tc>
      </w:tr>
      <w:tr w:rsidR="00C13419" w:rsidRPr="00240299" w:rsidTr="00BB72A3">
        <w:tc>
          <w:tcPr>
            <w:tcW w:w="1945" w:type="pct"/>
            <w:shd w:val="clear" w:color="auto" w:fill="auto"/>
          </w:tcPr>
          <w:p w:rsidR="00C13419" w:rsidRPr="00240299" w:rsidRDefault="00C13419" w:rsidP="00BB72A3">
            <w:pPr>
              <w:pStyle w:val="TableBodyText"/>
              <w:spacing w:before="40"/>
              <w:ind w:right="0"/>
              <w:jc w:val="left"/>
            </w:pPr>
            <w:r w:rsidRPr="00240299">
              <w:t>Cycle 4: 2003-04 to 2007-08</w:t>
            </w:r>
          </w:p>
        </w:tc>
        <w:tc>
          <w:tcPr>
            <w:tcW w:w="1018" w:type="pct"/>
          </w:tcPr>
          <w:p w:rsidR="00C13419" w:rsidRPr="00240299" w:rsidRDefault="00C13419" w:rsidP="00BB72A3">
            <w:pPr>
              <w:pStyle w:val="TableBodyText"/>
              <w:spacing w:before="40"/>
            </w:pPr>
            <w:r w:rsidRPr="00240299">
              <w:t>0.8</w:t>
            </w:r>
          </w:p>
        </w:tc>
        <w:tc>
          <w:tcPr>
            <w:tcW w:w="1018" w:type="pct"/>
          </w:tcPr>
          <w:p w:rsidR="00C13419" w:rsidRPr="00240299" w:rsidRDefault="00C13419" w:rsidP="00BB72A3">
            <w:pPr>
              <w:pStyle w:val="TableBodyText"/>
              <w:spacing w:before="40"/>
            </w:pPr>
            <w:r w:rsidRPr="00240299">
              <w:t>-1.4</w:t>
            </w:r>
          </w:p>
        </w:tc>
        <w:tc>
          <w:tcPr>
            <w:tcW w:w="1018" w:type="pct"/>
          </w:tcPr>
          <w:p w:rsidR="00C13419" w:rsidRPr="00240299" w:rsidRDefault="00C13419" w:rsidP="00BB72A3">
            <w:pPr>
              <w:pStyle w:val="TableBodyText"/>
              <w:spacing w:before="40"/>
            </w:pPr>
            <w:r w:rsidRPr="00240299">
              <w:t>2.3</w:t>
            </w:r>
          </w:p>
        </w:tc>
      </w:tr>
      <w:tr w:rsidR="00C13419" w:rsidRPr="00240299" w:rsidTr="00BB72A3">
        <w:tc>
          <w:tcPr>
            <w:tcW w:w="1945" w:type="pct"/>
            <w:shd w:val="clear" w:color="auto" w:fill="D9D9D9" w:themeFill="background1" w:themeFillShade="D9"/>
          </w:tcPr>
          <w:p w:rsidR="00C13419" w:rsidRPr="00240299" w:rsidRDefault="00C13419" w:rsidP="00BB72A3">
            <w:pPr>
              <w:pStyle w:val="TableBodyText"/>
              <w:spacing w:before="40"/>
              <w:ind w:right="0"/>
              <w:jc w:val="left"/>
            </w:pPr>
            <w:r w:rsidRPr="00240299">
              <w:t>Incomplete cycle: 2007-08 to 2010-11</w:t>
            </w:r>
          </w:p>
        </w:tc>
        <w:tc>
          <w:tcPr>
            <w:tcW w:w="1018" w:type="pct"/>
            <w:shd w:val="clear" w:color="auto" w:fill="D9D9D9" w:themeFill="background1" w:themeFillShade="D9"/>
          </w:tcPr>
          <w:p w:rsidR="00C13419" w:rsidRPr="00240299" w:rsidRDefault="00C13419" w:rsidP="00BB72A3">
            <w:pPr>
              <w:pStyle w:val="TableBodyText"/>
              <w:spacing w:before="40"/>
            </w:pPr>
            <w:r w:rsidRPr="00240299">
              <w:t>0.9</w:t>
            </w:r>
          </w:p>
        </w:tc>
        <w:tc>
          <w:tcPr>
            <w:tcW w:w="1018" w:type="pct"/>
            <w:shd w:val="clear" w:color="auto" w:fill="D9D9D9" w:themeFill="background1" w:themeFillShade="D9"/>
          </w:tcPr>
          <w:p w:rsidR="00C13419" w:rsidRPr="00240299" w:rsidRDefault="00C13419" w:rsidP="00BB72A3">
            <w:pPr>
              <w:pStyle w:val="TableBodyText"/>
              <w:spacing w:before="40"/>
            </w:pPr>
            <w:r w:rsidRPr="00240299">
              <w:t>-0.8</w:t>
            </w:r>
          </w:p>
        </w:tc>
        <w:tc>
          <w:tcPr>
            <w:tcW w:w="1018" w:type="pct"/>
            <w:shd w:val="clear" w:color="auto" w:fill="D9D9D9" w:themeFill="background1" w:themeFillShade="D9"/>
          </w:tcPr>
          <w:p w:rsidR="00C13419" w:rsidRPr="00240299" w:rsidRDefault="00C13419" w:rsidP="00BB72A3">
            <w:pPr>
              <w:pStyle w:val="TableBodyText"/>
              <w:spacing w:before="40"/>
            </w:pPr>
            <w:r w:rsidRPr="00240299">
              <w:t>1.7</w:t>
            </w:r>
          </w:p>
        </w:tc>
      </w:tr>
      <w:tr w:rsidR="00C13419" w:rsidRPr="00240299" w:rsidTr="00BB72A3">
        <w:tc>
          <w:tcPr>
            <w:tcW w:w="1945" w:type="pct"/>
            <w:tcBorders>
              <w:bottom w:val="single" w:sz="6" w:space="0" w:color="auto"/>
            </w:tcBorders>
            <w:shd w:val="clear" w:color="auto" w:fill="auto"/>
            <w:vAlign w:val="bottom"/>
          </w:tcPr>
          <w:p w:rsidR="00C13419" w:rsidRPr="00240299" w:rsidRDefault="00C13419" w:rsidP="00BB72A3">
            <w:pPr>
              <w:pStyle w:val="TableBodyText"/>
              <w:spacing w:before="120"/>
              <w:ind w:right="0"/>
              <w:jc w:val="left"/>
              <w:rPr>
                <w:i/>
              </w:rPr>
            </w:pPr>
            <w:r w:rsidRPr="00240299">
              <w:rPr>
                <w:i/>
              </w:rPr>
              <w:t>Full period: 1985-86 to 2010-11</w:t>
            </w:r>
          </w:p>
        </w:tc>
        <w:tc>
          <w:tcPr>
            <w:tcW w:w="1018" w:type="pct"/>
            <w:tcBorders>
              <w:bottom w:val="single" w:sz="6" w:space="0" w:color="auto"/>
            </w:tcBorders>
            <w:vAlign w:val="bottom"/>
          </w:tcPr>
          <w:p w:rsidR="00C13419" w:rsidRPr="00240299" w:rsidRDefault="00C13419" w:rsidP="00BB72A3">
            <w:pPr>
              <w:pStyle w:val="TableBodyText"/>
              <w:spacing w:before="120"/>
              <w:rPr>
                <w:i/>
              </w:rPr>
            </w:pPr>
            <w:r w:rsidRPr="00240299">
              <w:rPr>
                <w:i/>
              </w:rPr>
              <w:t>1.9</w:t>
            </w:r>
          </w:p>
        </w:tc>
        <w:tc>
          <w:tcPr>
            <w:tcW w:w="1018" w:type="pct"/>
            <w:tcBorders>
              <w:bottom w:val="single" w:sz="6" w:space="0" w:color="auto"/>
            </w:tcBorders>
            <w:vAlign w:val="bottom"/>
          </w:tcPr>
          <w:p w:rsidR="00C13419" w:rsidRPr="00240299" w:rsidRDefault="00C13419" w:rsidP="00BB72A3">
            <w:pPr>
              <w:pStyle w:val="TableBodyText"/>
              <w:spacing w:before="120"/>
              <w:rPr>
                <w:i/>
              </w:rPr>
            </w:pPr>
            <w:r w:rsidRPr="00240299">
              <w:rPr>
                <w:i/>
              </w:rPr>
              <w:t>0.3</w:t>
            </w:r>
          </w:p>
        </w:tc>
        <w:tc>
          <w:tcPr>
            <w:tcW w:w="1018" w:type="pct"/>
            <w:tcBorders>
              <w:bottom w:val="single" w:sz="6" w:space="0" w:color="auto"/>
            </w:tcBorders>
            <w:vAlign w:val="bottom"/>
          </w:tcPr>
          <w:p w:rsidR="00C13419" w:rsidRPr="00240299" w:rsidRDefault="00C13419" w:rsidP="00BB72A3">
            <w:pPr>
              <w:pStyle w:val="TableBodyText"/>
              <w:spacing w:before="120"/>
              <w:rPr>
                <w:i/>
              </w:rPr>
            </w:pPr>
            <w:r w:rsidRPr="00240299">
              <w:rPr>
                <w:i/>
              </w:rPr>
              <w:t>1.7</w:t>
            </w:r>
          </w:p>
        </w:tc>
      </w:tr>
    </w:tbl>
    <w:p w:rsidR="00C13419" w:rsidRPr="00240299" w:rsidRDefault="00C13419" w:rsidP="001F04D8">
      <w:pPr>
        <w:pStyle w:val="Note"/>
      </w:pPr>
      <w:r w:rsidRPr="00240299">
        <w:rPr>
          <w:rStyle w:val="NoteLabel"/>
        </w:rPr>
        <w:t xml:space="preserve">a </w:t>
      </w:r>
      <w:r w:rsidRPr="00240299">
        <w:t>LP growth is equal to MFP growth plus capital deepening. Components do not add to total due to rounding.</w:t>
      </w:r>
    </w:p>
    <w:p w:rsidR="00C13419" w:rsidRPr="00240299" w:rsidRDefault="00C13419" w:rsidP="001F04D8">
      <w:pPr>
        <w:pStyle w:val="Source"/>
      </w:pPr>
      <w:r w:rsidRPr="00240299">
        <w:rPr>
          <w:i/>
        </w:rPr>
        <w:t>Source</w:t>
      </w:r>
      <w:r w:rsidRPr="00C7431A">
        <w:t>:</w:t>
      </w:r>
      <w:r w:rsidRPr="00240299">
        <w:t xml:space="preserve"> ABS (</w:t>
      </w:r>
      <w:r w:rsidRPr="00240299">
        <w:rPr>
          <w:i/>
        </w:rPr>
        <w:t>Experimental Estimates of Industry Multifactor Productivity, 2010-11</w:t>
      </w:r>
      <w:r w:rsidRPr="00240299">
        <w:t>, Cat. no. 5260.0.55.002).</w:t>
      </w:r>
    </w:p>
    <w:p w:rsidR="00960F98" w:rsidRPr="00240299" w:rsidRDefault="002B6EFB" w:rsidP="002C51EB">
      <w:pPr>
        <w:pStyle w:val="BodyText"/>
      </w:pPr>
      <w:r w:rsidRPr="00240299">
        <w:lastRenderedPageBreak/>
        <w:t xml:space="preserve">There has been considerable variation in Manufacturing LP growth </w:t>
      </w:r>
      <w:r w:rsidR="002C51EB" w:rsidRPr="00240299">
        <w:t xml:space="preserve">over these cycles. The average rate of LP growth increased in successive cycles to reach its highest rate </w:t>
      </w:r>
      <w:r w:rsidR="00DC624E" w:rsidRPr="00240299">
        <w:t xml:space="preserve">of 3.3 per cent a year in </w:t>
      </w:r>
      <w:r w:rsidR="002C51EB" w:rsidRPr="00240299">
        <w:t>cycle 3</w:t>
      </w:r>
      <w:r w:rsidR="00695497" w:rsidRPr="00240299">
        <w:t xml:space="preserve"> (</w:t>
      </w:r>
      <w:r w:rsidR="00692052" w:rsidRPr="00240299">
        <w:t>19</w:t>
      </w:r>
      <w:r w:rsidR="0064132F">
        <w:t>98</w:t>
      </w:r>
      <w:r w:rsidR="00695497" w:rsidRPr="00240299">
        <w:t>-</w:t>
      </w:r>
      <w:r w:rsidR="00692052" w:rsidRPr="00240299">
        <w:t xml:space="preserve">99 </w:t>
      </w:r>
      <w:r w:rsidR="00695497" w:rsidRPr="00240299">
        <w:t xml:space="preserve">to </w:t>
      </w:r>
      <w:r w:rsidR="00C5509D">
        <w:t>2003-04</w:t>
      </w:r>
      <w:r w:rsidR="00695497" w:rsidRPr="00240299">
        <w:t>)</w:t>
      </w:r>
      <w:r w:rsidR="002C51EB" w:rsidRPr="00240299">
        <w:t xml:space="preserve">, before declining considerably </w:t>
      </w:r>
      <w:r w:rsidR="00DC624E" w:rsidRPr="00240299">
        <w:t xml:space="preserve">to 0.8 per cent a year </w:t>
      </w:r>
      <w:r w:rsidR="002C51EB" w:rsidRPr="00240299">
        <w:t>in cycle 4</w:t>
      </w:r>
      <w:r w:rsidR="003F7C53" w:rsidRPr="00240299">
        <w:t xml:space="preserve"> (2003-04 to 2007-08)</w:t>
      </w:r>
      <w:r w:rsidR="002C51EB" w:rsidRPr="00240299">
        <w:t xml:space="preserve">. There </w:t>
      </w:r>
      <w:r w:rsidR="00F7724A">
        <w:t>has been</w:t>
      </w:r>
      <w:r w:rsidR="00F7724A" w:rsidRPr="00240299">
        <w:t xml:space="preserve"> </w:t>
      </w:r>
      <w:r w:rsidR="002C51EB" w:rsidRPr="00240299">
        <w:t xml:space="preserve">a slight increase </w:t>
      </w:r>
      <w:r w:rsidR="00DC624E" w:rsidRPr="00240299">
        <w:t xml:space="preserve">to 0.9 per cent a year </w:t>
      </w:r>
      <w:r w:rsidR="002C51EB" w:rsidRPr="00240299">
        <w:t>in the incomplete cycle</w:t>
      </w:r>
      <w:r w:rsidR="00DC624E" w:rsidRPr="00240299">
        <w:t xml:space="preserve"> </w:t>
      </w:r>
      <w:r w:rsidR="003F7C53" w:rsidRPr="00240299">
        <w:t>(2007-08 to 2010-11)</w:t>
      </w:r>
      <w:r w:rsidR="002C51EB" w:rsidRPr="00240299">
        <w:t xml:space="preserve">. </w:t>
      </w:r>
    </w:p>
    <w:p w:rsidR="00AC60CC" w:rsidRPr="00240299" w:rsidRDefault="00F7724A" w:rsidP="002B6EFB">
      <w:pPr>
        <w:pStyle w:val="BodyText"/>
      </w:pPr>
      <w:r w:rsidRPr="00240299">
        <w:t xml:space="preserve">Although capital deepening makes a larger contribution than MFP growth to LP growth in each cycle, </w:t>
      </w:r>
      <w:r>
        <w:t>it</w:t>
      </w:r>
      <w:r w:rsidRPr="00240299">
        <w:t xml:space="preserve"> is relatively stable across cycles. </w:t>
      </w:r>
      <w:r w:rsidR="00B92AC9" w:rsidRPr="00240299">
        <w:t xml:space="preserve">The variation in the rate of </w:t>
      </w:r>
      <w:r w:rsidR="00163A60" w:rsidRPr="00240299">
        <w:t xml:space="preserve">LP growth </w:t>
      </w:r>
      <w:r w:rsidR="0060280D" w:rsidRPr="00240299">
        <w:t>across</w:t>
      </w:r>
      <w:r w:rsidR="00507F70" w:rsidRPr="00240299">
        <w:t xml:space="preserve"> the different cycles </w:t>
      </w:r>
      <w:r w:rsidR="00163A60" w:rsidRPr="00240299">
        <w:t>is mainly being driven by change</w:t>
      </w:r>
      <w:r>
        <w:t>s</w:t>
      </w:r>
      <w:r w:rsidR="00163A60" w:rsidRPr="00240299">
        <w:t xml:space="preserve"> in MFP growth. </w:t>
      </w:r>
    </w:p>
    <w:p w:rsidR="00817EA0" w:rsidRPr="00240299" w:rsidRDefault="00817EA0" w:rsidP="00817EA0">
      <w:pPr>
        <w:pStyle w:val="Heading3"/>
      </w:pPr>
      <w:r w:rsidRPr="00240299">
        <w:t>MFP growth</w:t>
      </w:r>
    </w:p>
    <w:p w:rsidR="00AE3952" w:rsidRPr="00240299" w:rsidRDefault="00C13419" w:rsidP="00C07418">
      <w:pPr>
        <w:pStyle w:val="BodyText"/>
      </w:pPr>
      <w:r w:rsidRPr="00240299">
        <w:t>A</w:t>
      </w:r>
      <w:r w:rsidR="00F32224" w:rsidRPr="00240299">
        <w:t>verage growth in Manufacturing MFP over the full period from 1985-86 to 2010</w:t>
      </w:r>
      <w:r w:rsidR="009754C7">
        <w:noBreakHyphen/>
      </w:r>
      <w:r w:rsidR="00F32224" w:rsidRPr="00240299">
        <w:t xml:space="preserve">11 </w:t>
      </w:r>
      <w:r w:rsidR="00BB72A3">
        <w:t>wa</w:t>
      </w:r>
      <w:r w:rsidR="00F32224" w:rsidRPr="00240299">
        <w:t>s modest at 0.3 per cent a year, compared with 0.9 per cent a year for the market sector</w:t>
      </w:r>
      <w:r w:rsidR="00DC624E" w:rsidRPr="00240299">
        <w:rPr>
          <w:rStyle w:val="FootnoteReference"/>
        </w:rPr>
        <w:footnoteReference w:id="8"/>
      </w:r>
      <w:r w:rsidR="00F32224" w:rsidRPr="00240299">
        <w:t xml:space="preserve"> </w:t>
      </w:r>
      <w:r w:rsidR="00F7724A">
        <w:t>(f</w:t>
      </w:r>
      <w:r w:rsidR="00AC60CC" w:rsidRPr="00240299">
        <w:t>igure</w:t>
      </w:r>
      <w:r w:rsidR="002C6B99">
        <w:t xml:space="preserve"> </w:t>
      </w:r>
      <w:r w:rsidR="00C9303E">
        <w:t>2.5</w:t>
      </w:r>
      <w:r w:rsidR="00F7724A">
        <w:t>).</w:t>
      </w:r>
      <w:r w:rsidR="00AC60CC" w:rsidRPr="00240299">
        <w:t xml:space="preserve"> </w:t>
      </w:r>
      <w:r w:rsidR="0060280D" w:rsidRPr="00240299">
        <w:t>As mentioned in chapter 1, t</w:t>
      </w:r>
      <w:r w:rsidR="00AE3952" w:rsidRPr="00240299">
        <w:t xml:space="preserve">he declining trend in Manufacturing MFP from 2003-04 to 2010-11 is the longest sustained decline in Manufacturing MFP since 1985-86. </w:t>
      </w:r>
    </w:p>
    <w:p w:rsidR="00C07418" w:rsidRDefault="00AE3952" w:rsidP="00C07418">
      <w:pPr>
        <w:pStyle w:val="BodyText"/>
      </w:pPr>
      <w:r w:rsidRPr="00240299">
        <w:t>O</w:t>
      </w:r>
      <w:r w:rsidR="00AC60CC" w:rsidRPr="00240299">
        <w:t xml:space="preserve">ver </w:t>
      </w:r>
      <w:r w:rsidRPr="00240299">
        <w:t>most</w:t>
      </w:r>
      <w:r w:rsidR="00AC60CC" w:rsidRPr="00240299">
        <w:t xml:space="preserve"> productivity cycles</w:t>
      </w:r>
      <w:r w:rsidR="00792B6D" w:rsidRPr="00240299">
        <w:t xml:space="preserve"> (denoted by the vertical lines</w:t>
      </w:r>
      <w:r w:rsidRPr="00240299">
        <w:t xml:space="preserve"> in figure</w:t>
      </w:r>
      <w:r w:rsidR="002C6B99">
        <w:t xml:space="preserve"> </w:t>
      </w:r>
      <w:r w:rsidR="00C9303E">
        <w:t>2.5</w:t>
      </w:r>
      <w:r w:rsidR="00792B6D" w:rsidRPr="00240299">
        <w:t>)</w:t>
      </w:r>
      <w:r w:rsidRPr="00240299">
        <w:t xml:space="preserve">, </w:t>
      </w:r>
      <w:r w:rsidR="00AC60CC" w:rsidRPr="00240299">
        <w:t xml:space="preserve">Manufacturing MFP growth has risen more slowly or declined more steeply than </w:t>
      </w:r>
      <w:r w:rsidR="00F925A8" w:rsidRPr="00240299">
        <w:t xml:space="preserve">that </w:t>
      </w:r>
      <w:r w:rsidR="00B216E0" w:rsidRPr="00240299">
        <w:t xml:space="preserve">for </w:t>
      </w:r>
      <w:r w:rsidR="00AC60CC" w:rsidRPr="00240299">
        <w:t>the market sector</w:t>
      </w:r>
      <w:r w:rsidR="0020036D" w:rsidRPr="00240299">
        <w:t>. The exception</w:t>
      </w:r>
      <w:r w:rsidRPr="00240299">
        <w:t xml:space="preserve"> </w:t>
      </w:r>
      <w:r w:rsidR="00072DD9" w:rsidRPr="00240299">
        <w:t xml:space="preserve">is </w:t>
      </w:r>
      <w:r w:rsidR="0020036D" w:rsidRPr="00240299">
        <w:t xml:space="preserve">cycle 3, in which Manufacturing MFP growth was marginally higher than the market sector rate. </w:t>
      </w:r>
      <w:r w:rsidR="00856104" w:rsidRPr="00240299">
        <w:t xml:space="preserve">In the current incomplete cycle, </w:t>
      </w:r>
      <w:r w:rsidR="000F3FC7" w:rsidRPr="00240299">
        <w:t>Manufacturing</w:t>
      </w:r>
      <w:r w:rsidR="00856104" w:rsidRPr="00240299">
        <w:t xml:space="preserve"> </w:t>
      </w:r>
      <w:r w:rsidR="00F925A8" w:rsidRPr="00240299">
        <w:t xml:space="preserve">MFP </w:t>
      </w:r>
      <w:r w:rsidR="00856104" w:rsidRPr="00240299">
        <w:t xml:space="preserve">has fallen marginally less than </w:t>
      </w:r>
      <w:r w:rsidR="00F925A8" w:rsidRPr="00240299">
        <w:t xml:space="preserve">that for </w:t>
      </w:r>
      <w:r w:rsidR="00856104" w:rsidRPr="00240299">
        <w:t>the market sector</w:t>
      </w:r>
      <w:r w:rsidR="00F925A8" w:rsidRPr="00240299">
        <w:t xml:space="preserve"> as a whole although it dipped during the </w:t>
      </w:r>
      <w:r w:rsidR="00E553AF" w:rsidRPr="00240299">
        <w:t>global financial crisis</w:t>
      </w:r>
      <w:r w:rsidR="00856104" w:rsidRPr="00240299">
        <w:t>.</w:t>
      </w:r>
    </w:p>
    <w:p w:rsidR="00B61388" w:rsidRPr="00240299" w:rsidRDefault="00B61388" w:rsidP="00C07418">
      <w:pPr>
        <w:pStyle w:val="BodyText"/>
      </w:pPr>
      <w:r>
        <w:t>For Manufacturing, t</w:t>
      </w:r>
      <w:r w:rsidRPr="00240299">
        <w:t xml:space="preserve">he largest </w:t>
      </w:r>
      <w:r>
        <w:t xml:space="preserve">difference in the average rate of MFP growth </w:t>
      </w:r>
      <w:r w:rsidRPr="00240299">
        <w:t xml:space="preserve">was </w:t>
      </w:r>
      <w:r w:rsidRPr="00F81C58">
        <w:rPr>
          <w:i/>
        </w:rPr>
        <w:t>between</w:t>
      </w:r>
      <w:r w:rsidRPr="00240299">
        <w:t xml:space="preserve"> cycle 3 </w:t>
      </w:r>
      <w:r>
        <w:t xml:space="preserve">(1998-99 to 2003-04) </w:t>
      </w:r>
      <w:r w:rsidRPr="00240299">
        <w:t xml:space="preserve">and </w:t>
      </w:r>
      <w:r>
        <w:t xml:space="preserve">cycle </w:t>
      </w:r>
      <w:r w:rsidRPr="00240299">
        <w:t>4</w:t>
      </w:r>
      <w:r>
        <w:t xml:space="preserve"> (2003-04 to 2007-08). There was </w:t>
      </w:r>
      <w:r w:rsidRPr="00240299">
        <w:t xml:space="preserve">a decline of 2.7 percentage points from </w:t>
      </w:r>
      <w:r>
        <w:t xml:space="preserve">the average growth of </w:t>
      </w:r>
      <w:r w:rsidRPr="00240299">
        <w:t xml:space="preserve">1.3 per cent a year </w:t>
      </w:r>
      <w:r>
        <w:t xml:space="preserve">during cycle 3 </w:t>
      </w:r>
      <w:r w:rsidRPr="00240299">
        <w:t xml:space="preserve">to </w:t>
      </w:r>
      <w:r>
        <w:t xml:space="preserve">the average growth of </w:t>
      </w:r>
      <w:r>
        <w:noBreakHyphen/>
      </w:r>
      <w:r w:rsidRPr="00240299">
        <w:t>1.4</w:t>
      </w:r>
      <w:r>
        <w:t> </w:t>
      </w:r>
      <w:r w:rsidRPr="00240299">
        <w:t xml:space="preserve">per cent a year </w:t>
      </w:r>
      <w:r>
        <w:t>during cycle 4</w:t>
      </w:r>
      <w:r w:rsidRPr="00240299">
        <w:t xml:space="preserve">. Hence, </w:t>
      </w:r>
      <w:r>
        <w:t>these two cycles are</w:t>
      </w:r>
      <w:r w:rsidRPr="00240299">
        <w:t xml:space="preserve"> the main focus of this paper.</w:t>
      </w:r>
    </w:p>
    <w:p w:rsidR="00CB3B9D" w:rsidRPr="00240299" w:rsidRDefault="00CB3B9D" w:rsidP="00CB3B9D">
      <w:pPr>
        <w:pStyle w:val="FigureTitle"/>
      </w:pPr>
      <w:r w:rsidRPr="00240299">
        <w:rPr>
          <w:b w:val="0"/>
        </w:rPr>
        <w:lastRenderedPageBreak/>
        <w:t xml:space="preserve">Figure </w:t>
      </w:r>
      <w:bookmarkStart w:id="12" w:name="OLE_LINK11"/>
      <w:r w:rsidR="00C9303E">
        <w:rPr>
          <w:b w:val="0"/>
        </w:rPr>
        <w:t>2.</w:t>
      </w:r>
      <w:r w:rsidR="004456C0">
        <w:rPr>
          <w:b w:val="0"/>
          <w:noProof/>
        </w:rPr>
        <w:t>5</w:t>
      </w:r>
      <w:bookmarkEnd w:id="12"/>
      <w:r w:rsidRPr="00240299">
        <w:tab/>
        <w:t xml:space="preserve">MFP in Manufacturing and </w:t>
      </w:r>
      <w:r w:rsidR="00412BFF" w:rsidRPr="00240299">
        <w:t>the m</w:t>
      </w:r>
      <w:r w:rsidRPr="00240299">
        <w:t>arket sector</w:t>
      </w:r>
      <w:r w:rsidRPr="00240299">
        <w:rPr>
          <w:rStyle w:val="NoteLabel"/>
          <w:b/>
        </w:rPr>
        <w:t xml:space="preserve"> </w:t>
      </w:r>
      <w:r w:rsidRPr="00240299">
        <w:t>by cycle</w:t>
      </w:r>
    </w:p>
    <w:p w:rsidR="00CB3B9D" w:rsidRPr="00240299" w:rsidRDefault="00CB3B9D" w:rsidP="00CB3B9D">
      <w:pPr>
        <w:pStyle w:val="Subtitle"/>
      </w:pPr>
      <w:r w:rsidRPr="00240299">
        <w:t>Index 2009-10 = 100</w:t>
      </w:r>
      <w:r w:rsidR="00250389" w:rsidRPr="00240299">
        <w:t xml:space="preserve"> and average annual </w:t>
      </w:r>
      <w:r w:rsidR="00BD6875" w:rsidRPr="00240299">
        <w:t>growth rate</w:t>
      </w:r>
      <w:r w:rsidR="00250389" w:rsidRPr="00240299">
        <w:t xml:space="preserve"> </w:t>
      </w:r>
      <w:r w:rsidR="00EB5E10" w:rsidRPr="00240299">
        <w:t>(</w:t>
      </w:r>
      <w:r w:rsidR="00250389" w:rsidRPr="00240299">
        <w:t>per cent</w:t>
      </w:r>
      <w:r w:rsidR="00EB5E10" w:rsidRPr="00240299">
        <w:t>)</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CB3B9D" w:rsidRPr="00240299" w:rsidTr="001552F4">
        <w:tc>
          <w:tcPr>
            <w:tcW w:w="8777" w:type="dxa"/>
          </w:tcPr>
          <w:p w:rsidR="00CB3B9D" w:rsidRPr="00240299" w:rsidRDefault="007E3B51" w:rsidP="001552F4">
            <w:pPr>
              <w:pStyle w:val="Figure"/>
              <w:spacing w:before="60" w:after="60"/>
            </w:pPr>
            <w:r>
              <w:pict>
                <v:shape id="_x0000_i1029" type="#_x0000_t75" alt="This figure shows the trend in Manufacturing MFP compared with that of the market sector. Manufacturing MFP has experienced two periods, cycle 4 and the current incomplete cycle, of negative average annual growth from 1985-86 to 2010-11. Over most productivity cycles, Manufacturing MFP growth has risen more slowly or declined more steeply than that for the market sector. The exception is cycle 3, in which Manufacturing MFP growth was marginally higher than the market sector rate. In the current incomplete cycle, Manufacturing MFP has fallen marginally less than that for the market sector as a whole although it dipped during the GFC. " style="width:424.5pt;height:198pt">
                  <v:imagedata r:id="rId13" o:title=""/>
                </v:shape>
              </w:pict>
            </w:r>
          </w:p>
        </w:tc>
      </w:tr>
    </w:tbl>
    <w:p w:rsidR="00CB3B9D" w:rsidRPr="00240299" w:rsidRDefault="00CB3B9D" w:rsidP="00CB3B9D">
      <w:pPr>
        <w:pStyle w:val="Source"/>
      </w:pPr>
      <w:r w:rsidRPr="00240299">
        <w:rPr>
          <w:i/>
        </w:rPr>
        <w:t>Data source</w:t>
      </w:r>
      <w:r w:rsidRPr="00240299">
        <w:t>: ABS (</w:t>
      </w:r>
      <w:r w:rsidRPr="00240299">
        <w:rPr>
          <w:i/>
        </w:rPr>
        <w:t xml:space="preserve">Experimental Estimates of Industry Multifactor Productivity, 2010-11, </w:t>
      </w:r>
      <w:r w:rsidRPr="00240299">
        <w:t xml:space="preserve">Cat. no. 5260.0.55.002). </w:t>
      </w:r>
    </w:p>
    <w:p w:rsidR="002811A1" w:rsidRPr="00240299" w:rsidRDefault="002811A1" w:rsidP="00D37E6B">
      <w:pPr>
        <w:pStyle w:val="Heading3"/>
      </w:pPr>
      <w:r w:rsidRPr="00240299">
        <w:t xml:space="preserve">Contribution of </w:t>
      </w:r>
      <w:r w:rsidR="00C52F36" w:rsidRPr="00240299">
        <w:t>M</w:t>
      </w:r>
      <w:r w:rsidRPr="00240299">
        <w:t>anufacturing to market sector MFP g</w:t>
      </w:r>
      <w:r w:rsidR="00B305DA" w:rsidRPr="00240299">
        <w:t>rowth</w:t>
      </w:r>
    </w:p>
    <w:p w:rsidR="00AA7DBB" w:rsidRPr="00240299" w:rsidRDefault="0010438C" w:rsidP="003E50C9">
      <w:pPr>
        <w:pStyle w:val="BodyText"/>
      </w:pPr>
      <w:r w:rsidRPr="00240299">
        <w:t xml:space="preserve">The contribution of an industry to market sector MFP growth depends on both the industry’s size and its rate of MFP growth. </w:t>
      </w:r>
      <w:r w:rsidR="00CB2472" w:rsidRPr="00240299">
        <w:t>Manufacturing</w:t>
      </w:r>
      <w:r w:rsidR="00C22114" w:rsidRPr="00240299">
        <w:t xml:space="preserve"> is </w:t>
      </w:r>
      <w:r w:rsidR="00BE6A5E" w:rsidRPr="00240299">
        <w:t xml:space="preserve">both </w:t>
      </w:r>
      <w:r w:rsidR="00CB2472" w:rsidRPr="00240299">
        <w:t xml:space="preserve">a </w:t>
      </w:r>
      <w:r w:rsidR="00F0185F" w:rsidRPr="00240299">
        <w:t xml:space="preserve">relatively </w:t>
      </w:r>
      <w:r w:rsidR="00CB2472" w:rsidRPr="00240299">
        <w:t>large industry</w:t>
      </w:r>
      <w:r w:rsidR="00BE6A5E" w:rsidRPr="00240299">
        <w:t xml:space="preserve"> and </w:t>
      </w:r>
      <w:r w:rsidR="00F0185F" w:rsidRPr="00240299">
        <w:t>one that</w:t>
      </w:r>
      <w:r w:rsidR="00BE6A5E" w:rsidRPr="00240299">
        <w:t xml:space="preserve"> has experienced </w:t>
      </w:r>
      <w:r w:rsidR="00C22114" w:rsidRPr="00240299">
        <w:t>a large decline in MFP growth</w:t>
      </w:r>
      <w:r w:rsidR="00BE6A5E" w:rsidRPr="00240299">
        <w:t>.</w:t>
      </w:r>
    </w:p>
    <w:p w:rsidR="004364DE" w:rsidRPr="00240299" w:rsidRDefault="00E54263" w:rsidP="003E50C9">
      <w:pPr>
        <w:pStyle w:val="BodyText"/>
      </w:pPr>
      <w:r w:rsidRPr="00240299">
        <w:t xml:space="preserve">Parham (2012) estimated that </w:t>
      </w:r>
      <w:r w:rsidR="003E50C9" w:rsidRPr="00240299">
        <w:t xml:space="preserve">Manufacturing made the largest contribution to the </w:t>
      </w:r>
      <w:r w:rsidR="00516377" w:rsidRPr="00240299">
        <w:t xml:space="preserve">decline in </w:t>
      </w:r>
      <w:r w:rsidR="003E50C9" w:rsidRPr="00240299">
        <w:t xml:space="preserve">market sector </w:t>
      </w:r>
      <w:r w:rsidR="00516377" w:rsidRPr="00240299">
        <w:t xml:space="preserve">MFP growth </w:t>
      </w:r>
      <w:r w:rsidR="00D3141F" w:rsidRPr="00240299">
        <w:t>between the</w:t>
      </w:r>
      <w:r w:rsidR="00CB2472" w:rsidRPr="00240299">
        <w:t xml:space="preserve"> last two complete productivity </w:t>
      </w:r>
      <w:r w:rsidR="00D3141F" w:rsidRPr="00240299">
        <w:t>cycles</w:t>
      </w:r>
      <w:r w:rsidR="00DD79D0" w:rsidRPr="00240299">
        <w:t xml:space="preserve"> (cycles 3 and 4)</w:t>
      </w:r>
      <w:r w:rsidR="008F79F5" w:rsidRPr="00240299">
        <w:t>,</w:t>
      </w:r>
      <w:r w:rsidR="00516377" w:rsidRPr="00240299">
        <w:t xml:space="preserve"> </w:t>
      </w:r>
      <w:r w:rsidR="008F79F5" w:rsidRPr="00240299">
        <w:t xml:space="preserve">contributing </w:t>
      </w:r>
      <w:r w:rsidR="00D3141F" w:rsidRPr="00240299">
        <w:t>0.5 of the 1.</w:t>
      </w:r>
      <w:r w:rsidR="00164809" w:rsidRPr="00240299">
        <w:t>1</w:t>
      </w:r>
      <w:r w:rsidR="00D3141F" w:rsidRPr="00240299">
        <w:t xml:space="preserve"> percentage points decline </w:t>
      </w:r>
      <w:r w:rsidR="00164809" w:rsidRPr="00240299">
        <w:t>(</w:t>
      </w:r>
      <w:r w:rsidR="00E04FB2" w:rsidRPr="00240299">
        <w:t>table </w:t>
      </w:r>
      <w:r w:rsidR="00C9303E">
        <w:t>2.4</w:t>
      </w:r>
      <w:r w:rsidR="00E04FB2" w:rsidRPr="00240299">
        <w:t>)</w:t>
      </w:r>
      <w:r w:rsidR="009D35A4" w:rsidRPr="00240299">
        <w:t>.</w:t>
      </w:r>
    </w:p>
    <w:p w:rsidR="00DD79D0" w:rsidRPr="00240299" w:rsidRDefault="008D436B" w:rsidP="00DD79D0">
      <w:pPr>
        <w:pStyle w:val="BodyText"/>
      </w:pPr>
      <w:r w:rsidRPr="00240299">
        <w:t>This was the result of its</w:t>
      </w:r>
      <w:r w:rsidR="00DD79D0" w:rsidRPr="00240299">
        <w:t xml:space="preserve"> relative</w:t>
      </w:r>
      <w:r w:rsidR="009D35A4" w:rsidRPr="00240299">
        <w:t>ly</w:t>
      </w:r>
      <w:r w:rsidR="00DD79D0" w:rsidRPr="00240299">
        <w:t xml:space="preserve"> large contributions to the market sector average in </w:t>
      </w:r>
      <w:r w:rsidR="00DD79D0" w:rsidRPr="00240299">
        <w:rPr>
          <w:i/>
        </w:rPr>
        <w:t>both</w:t>
      </w:r>
      <w:r w:rsidR="00DD79D0" w:rsidRPr="00240299">
        <w:t xml:space="preserve"> cycles. Manufacturing was the second largest contributor to both the positive MFP growth in the market sector in cycle 3 </w:t>
      </w:r>
      <w:r w:rsidR="00214B62" w:rsidRPr="00240299">
        <w:t>at 0.26 percentage points (</w:t>
      </w:r>
      <w:r w:rsidR="00EF6DFD">
        <w:t xml:space="preserve">second behind </w:t>
      </w:r>
      <w:r w:rsidR="00214B62" w:rsidRPr="00240299">
        <w:t xml:space="preserve">Financial services </w:t>
      </w:r>
      <w:r w:rsidR="00EF6DFD">
        <w:t>at</w:t>
      </w:r>
      <w:r w:rsidR="00EF6DFD" w:rsidRPr="00240299">
        <w:t xml:space="preserve"> </w:t>
      </w:r>
      <w:r w:rsidR="00214B62" w:rsidRPr="00240299">
        <w:t>0.37 percentage points)</w:t>
      </w:r>
      <w:r w:rsidR="00E04FB2" w:rsidRPr="00240299">
        <w:t>,</w:t>
      </w:r>
      <w:r w:rsidR="00214B62" w:rsidRPr="00240299">
        <w:t xml:space="preserve"> </w:t>
      </w:r>
      <w:r w:rsidR="00DD79D0" w:rsidRPr="00240299">
        <w:t xml:space="preserve">and to the negative MFP growth in the market sector in cycle </w:t>
      </w:r>
      <w:r w:rsidR="00214B62" w:rsidRPr="00240299">
        <w:t>4 at -0.26 percentage points (</w:t>
      </w:r>
      <w:r w:rsidR="00EF6DFD">
        <w:t xml:space="preserve">second behind </w:t>
      </w:r>
      <w:r w:rsidR="00214B62" w:rsidRPr="00240299">
        <w:t xml:space="preserve">Mining </w:t>
      </w:r>
      <w:r w:rsidR="00EF6DFD">
        <w:t>at</w:t>
      </w:r>
      <w:r w:rsidR="00EF6DFD" w:rsidRPr="00240299">
        <w:t xml:space="preserve"> </w:t>
      </w:r>
      <w:r w:rsidR="00214B62" w:rsidRPr="00240299">
        <w:t>-0.43 percentage points).</w:t>
      </w:r>
    </w:p>
    <w:p w:rsidR="00110CD9" w:rsidRPr="00240299" w:rsidRDefault="00110CD9" w:rsidP="00110CD9">
      <w:pPr>
        <w:pStyle w:val="TableTitle"/>
      </w:pPr>
      <w:r w:rsidRPr="00240299">
        <w:rPr>
          <w:b w:val="0"/>
        </w:rPr>
        <w:lastRenderedPageBreak/>
        <w:t xml:space="preserve">Table </w:t>
      </w:r>
      <w:bookmarkStart w:id="13" w:name="OLE_LINK6"/>
      <w:r w:rsidR="00C9303E">
        <w:rPr>
          <w:b w:val="0"/>
        </w:rPr>
        <w:t>2.</w:t>
      </w:r>
      <w:r w:rsidR="004456C0">
        <w:rPr>
          <w:b w:val="0"/>
          <w:noProof/>
        </w:rPr>
        <w:t>4</w:t>
      </w:r>
      <w:bookmarkEnd w:id="13"/>
      <w:r w:rsidRPr="00240299">
        <w:tab/>
        <w:t xml:space="preserve">Contributions to </w:t>
      </w:r>
      <w:r w:rsidR="00F956B5" w:rsidRPr="00240299">
        <w:t xml:space="preserve">average annual growth in </w:t>
      </w:r>
      <w:r w:rsidRPr="00240299">
        <w:t>market sector MF</w:t>
      </w:r>
      <w:r w:rsidR="00F956B5" w:rsidRPr="00240299">
        <w:t>P</w:t>
      </w:r>
    </w:p>
    <w:p w:rsidR="00110CD9" w:rsidRPr="00240299" w:rsidRDefault="00110CD9" w:rsidP="00110CD9">
      <w:pPr>
        <w:pStyle w:val="Subtitle"/>
      </w:pPr>
      <w:r w:rsidRPr="00240299">
        <w:t>Percentage point</w:t>
      </w:r>
      <w:r w:rsidR="00F52F51" w:rsidRPr="00240299">
        <w:t>s</w:t>
      </w:r>
      <w:r w:rsidRPr="00240299">
        <w:t xml:space="preserve"> </w:t>
      </w:r>
    </w:p>
    <w:tbl>
      <w:tblPr>
        <w:tblW w:w="5000" w:type="pct"/>
        <w:tblLayout w:type="fixed"/>
        <w:tblCellMar>
          <w:left w:w="0" w:type="dxa"/>
          <w:right w:w="0" w:type="dxa"/>
        </w:tblCellMar>
        <w:tblLook w:val="0000" w:firstRow="0" w:lastRow="0" w:firstColumn="0" w:lastColumn="0" w:noHBand="0" w:noVBand="0"/>
      </w:tblPr>
      <w:tblGrid>
        <w:gridCol w:w="3546"/>
        <w:gridCol w:w="1748"/>
        <w:gridCol w:w="1748"/>
        <w:gridCol w:w="1747"/>
      </w:tblGrid>
      <w:tr w:rsidR="001727A4" w:rsidRPr="001552F4" w:rsidTr="00A372DF">
        <w:tc>
          <w:tcPr>
            <w:tcW w:w="2017" w:type="pct"/>
            <w:tcBorders>
              <w:top w:val="single" w:sz="6" w:space="0" w:color="auto"/>
              <w:bottom w:val="single" w:sz="6" w:space="0" w:color="auto"/>
            </w:tcBorders>
            <w:shd w:val="clear" w:color="auto" w:fill="auto"/>
            <w:vAlign w:val="bottom"/>
          </w:tcPr>
          <w:p w:rsidR="001727A4" w:rsidRPr="00A372DF" w:rsidRDefault="00A372DF" w:rsidP="00A372DF">
            <w:pPr>
              <w:pStyle w:val="TableColumnHeading"/>
              <w:jc w:val="left"/>
            </w:pPr>
            <w:r w:rsidRPr="00A372DF">
              <w:t>Industry sector</w:t>
            </w:r>
          </w:p>
        </w:tc>
        <w:tc>
          <w:tcPr>
            <w:tcW w:w="994" w:type="pct"/>
            <w:tcBorders>
              <w:top w:val="single" w:sz="6" w:space="0" w:color="auto"/>
              <w:bottom w:val="single" w:sz="6" w:space="0" w:color="auto"/>
            </w:tcBorders>
            <w:vAlign w:val="bottom"/>
          </w:tcPr>
          <w:p w:rsidR="001727A4" w:rsidRPr="001552F4" w:rsidRDefault="001727A4" w:rsidP="00A372DF">
            <w:pPr>
              <w:pStyle w:val="TableColumnHeading"/>
            </w:pPr>
            <w:r w:rsidRPr="001552F4">
              <w:t xml:space="preserve">Cycle 3: </w:t>
            </w:r>
            <w:r w:rsidRPr="001552F4">
              <w:br/>
              <w:t xml:space="preserve">1998-99 to </w:t>
            </w:r>
            <w:r w:rsidRPr="001552F4">
              <w:br/>
              <w:t>2003-04</w:t>
            </w:r>
          </w:p>
        </w:tc>
        <w:tc>
          <w:tcPr>
            <w:tcW w:w="994" w:type="pct"/>
            <w:tcBorders>
              <w:top w:val="single" w:sz="6" w:space="0" w:color="auto"/>
              <w:bottom w:val="single" w:sz="6" w:space="0" w:color="auto"/>
            </w:tcBorders>
            <w:vAlign w:val="bottom"/>
          </w:tcPr>
          <w:p w:rsidR="001727A4" w:rsidRPr="001552F4" w:rsidRDefault="001727A4" w:rsidP="00A372DF">
            <w:pPr>
              <w:pStyle w:val="TableColumnHeading"/>
            </w:pPr>
            <w:r w:rsidRPr="001552F4">
              <w:t xml:space="preserve">Cycle 4: </w:t>
            </w:r>
            <w:r w:rsidRPr="001552F4">
              <w:br/>
              <w:t xml:space="preserve">2003-04 to </w:t>
            </w:r>
            <w:r w:rsidRPr="001552F4">
              <w:br/>
              <w:t xml:space="preserve">2007-08 </w:t>
            </w:r>
          </w:p>
        </w:tc>
        <w:tc>
          <w:tcPr>
            <w:tcW w:w="994" w:type="pct"/>
            <w:tcBorders>
              <w:top w:val="single" w:sz="6" w:space="0" w:color="auto"/>
              <w:bottom w:val="single" w:sz="6" w:space="0" w:color="auto"/>
            </w:tcBorders>
            <w:vAlign w:val="bottom"/>
          </w:tcPr>
          <w:p w:rsidR="001727A4" w:rsidRPr="001552F4" w:rsidRDefault="001727A4" w:rsidP="00A372DF">
            <w:pPr>
              <w:pStyle w:val="TableColumnHeading"/>
            </w:pPr>
            <w:r w:rsidRPr="001552F4">
              <w:t xml:space="preserve">Difference in contribution between </w:t>
            </w:r>
            <w:r w:rsidRPr="001552F4">
              <w:br/>
              <w:t>cycles 3 and 4</w:t>
            </w:r>
          </w:p>
        </w:tc>
      </w:tr>
      <w:tr w:rsidR="008F0F21" w:rsidRPr="00240299" w:rsidTr="008F0F21">
        <w:tc>
          <w:tcPr>
            <w:tcW w:w="2017" w:type="pct"/>
            <w:shd w:val="clear" w:color="auto" w:fill="D9D9D9" w:themeFill="background1" w:themeFillShade="D9"/>
            <w:vAlign w:val="bottom"/>
          </w:tcPr>
          <w:p w:rsidR="008F0F21" w:rsidRPr="00240299" w:rsidRDefault="008F0F21" w:rsidP="008F0F21">
            <w:pPr>
              <w:pStyle w:val="TableBodyText"/>
              <w:ind w:right="-566"/>
              <w:jc w:val="left"/>
            </w:pPr>
            <w:r w:rsidRPr="008F0F21">
              <w:t>Agriculture, forestry &amp; fishing</w:t>
            </w:r>
          </w:p>
        </w:tc>
        <w:tc>
          <w:tcPr>
            <w:tcW w:w="994" w:type="pct"/>
            <w:shd w:val="clear" w:color="auto" w:fill="D9D9D9" w:themeFill="background1" w:themeFillShade="D9"/>
            <w:vAlign w:val="bottom"/>
          </w:tcPr>
          <w:p w:rsidR="008F0F21" w:rsidRPr="00240299" w:rsidRDefault="008F0F21" w:rsidP="00194F8E">
            <w:pPr>
              <w:pStyle w:val="TableBodyText"/>
            </w:pPr>
            <w:r>
              <w:t>0.19</w:t>
            </w:r>
          </w:p>
        </w:tc>
        <w:tc>
          <w:tcPr>
            <w:tcW w:w="994" w:type="pct"/>
            <w:shd w:val="clear" w:color="auto" w:fill="D9D9D9" w:themeFill="background1" w:themeFillShade="D9"/>
            <w:vAlign w:val="bottom"/>
          </w:tcPr>
          <w:p w:rsidR="008F0F21" w:rsidRPr="00240299" w:rsidRDefault="008F0F21" w:rsidP="00194F8E">
            <w:pPr>
              <w:pStyle w:val="TableBodyText"/>
            </w:pPr>
            <w:r>
              <w:t>-0.06</w:t>
            </w:r>
          </w:p>
        </w:tc>
        <w:tc>
          <w:tcPr>
            <w:tcW w:w="994" w:type="pct"/>
            <w:shd w:val="clear" w:color="auto" w:fill="D9D9D9" w:themeFill="background1" w:themeFillShade="D9"/>
            <w:vAlign w:val="bottom"/>
          </w:tcPr>
          <w:p w:rsidR="008F0F21" w:rsidRPr="00240299" w:rsidRDefault="008F0F21" w:rsidP="00194F8E">
            <w:pPr>
              <w:pStyle w:val="TableBodyText"/>
              <w:ind w:right="142"/>
            </w:pPr>
            <w:r>
              <w:t>-0.25</w:t>
            </w:r>
          </w:p>
        </w:tc>
      </w:tr>
      <w:tr w:rsidR="001727A4" w:rsidRPr="00240299" w:rsidTr="00CE7837">
        <w:tc>
          <w:tcPr>
            <w:tcW w:w="2017" w:type="pct"/>
            <w:vAlign w:val="bottom"/>
          </w:tcPr>
          <w:p w:rsidR="001727A4" w:rsidRPr="00240299" w:rsidRDefault="001727A4" w:rsidP="00194F8E">
            <w:pPr>
              <w:pStyle w:val="TableBodyText"/>
              <w:ind w:right="-566"/>
              <w:jc w:val="left"/>
            </w:pPr>
            <w:r w:rsidRPr="00240299">
              <w:t>Mining</w:t>
            </w:r>
          </w:p>
        </w:tc>
        <w:tc>
          <w:tcPr>
            <w:tcW w:w="994" w:type="pct"/>
            <w:shd w:val="clear" w:color="auto" w:fill="auto"/>
            <w:vAlign w:val="bottom"/>
          </w:tcPr>
          <w:p w:rsidR="001727A4" w:rsidRPr="00240299" w:rsidRDefault="001727A4" w:rsidP="00194F8E">
            <w:pPr>
              <w:pStyle w:val="TableBodyText"/>
            </w:pPr>
            <w:r w:rsidRPr="00240299">
              <w:t>-0.01</w:t>
            </w:r>
          </w:p>
        </w:tc>
        <w:tc>
          <w:tcPr>
            <w:tcW w:w="994" w:type="pct"/>
            <w:shd w:val="clear" w:color="auto" w:fill="auto"/>
            <w:vAlign w:val="bottom"/>
          </w:tcPr>
          <w:p w:rsidR="001727A4" w:rsidRPr="00240299" w:rsidRDefault="001727A4" w:rsidP="00194F8E">
            <w:pPr>
              <w:pStyle w:val="TableBodyText"/>
            </w:pPr>
            <w:r w:rsidRPr="00240299">
              <w:t>-0.43</w:t>
            </w:r>
          </w:p>
        </w:tc>
        <w:tc>
          <w:tcPr>
            <w:tcW w:w="994" w:type="pct"/>
            <w:shd w:val="clear" w:color="auto" w:fill="auto"/>
            <w:vAlign w:val="bottom"/>
          </w:tcPr>
          <w:p w:rsidR="001727A4" w:rsidRPr="00240299" w:rsidRDefault="001727A4" w:rsidP="00194F8E">
            <w:pPr>
              <w:pStyle w:val="TableBodyText"/>
              <w:ind w:right="142"/>
            </w:pPr>
            <w:r w:rsidRPr="00240299">
              <w:t>-0.42</w:t>
            </w:r>
          </w:p>
        </w:tc>
      </w:tr>
      <w:tr w:rsidR="001727A4" w:rsidRPr="00A372DF" w:rsidTr="00CE7837">
        <w:tc>
          <w:tcPr>
            <w:tcW w:w="2017" w:type="pct"/>
            <w:shd w:val="clear" w:color="auto" w:fill="D9D9D9" w:themeFill="background1" w:themeFillShade="D9"/>
            <w:vAlign w:val="bottom"/>
          </w:tcPr>
          <w:p w:rsidR="001727A4" w:rsidRPr="00A372DF" w:rsidRDefault="001727A4" w:rsidP="00194F8E">
            <w:pPr>
              <w:pStyle w:val="TableBodyText"/>
              <w:ind w:right="-566"/>
              <w:jc w:val="left"/>
              <w:rPr>
                <w:b/>
                <w:i/>
              </w:rPr>
            </w:pPr>
            <w:r w:rsidRPr="00A372DF">
              <w:rPr>
                <w:b/>
                <w:i/>
              </w:rPr>
              <w:t>Manufacturing</w:t>
            </w:r>
          </w:p>
        </w:tc>
        <w:tc>
          <w:tcPr>
            <w:tcW w:w="994" w:type="pct"/>
            <w:shd w:val="clear" w:color="auto" w:fill="D9D9D9" w:themeFill="background1" w:themeFillShade="D9"/>
            <w:vAlign w:val="bottom"/>
          </w:tcPr>
          <w:p w:rsidR="001727A4" w:rsidRPr="00A372DF" w:rsidRDefault="001727A4" w:rsidP="00194F8E">
            <w:pPr>
              <w:pStyle w:val="TableBodyText"/>
              <w:rPr>
                <w:b/>
                <w:i/>
              </w:rPr>
            </w:pPr>
            <w:r w:rsidRPr="00A372DF">
              <w:rPr>
                <w:b/>
                <w:i/>
              </w:rPr>
              <w:t>0.26</w:t>
            </w:r>
          </w:p>
        </w:tc>
        <w:tc>
          <w:tcPr>
            <w:tcW w:w="994" w:type="pct"/>
            <w:shd w:val="clear" w:color="auto" w:fill="D9D9D9" w:themeFill="background1" w:themeFillShade="D9"/>
            <w:vAlign w:val="bottom"/>
          </w:tcPr>
          <w:p w:rsidR="001727A4" w:rsidRPr="00A372DF" w:rsidRDefault="001727A4" w:rsidP="00194F8E">
            <w:pPr>
              <w:pStyle w:val="TableBodyText"/>
              <w:rPr>
                <w:b/>
                <w:i/>
              </w:rPr>
            </w:pPr>
            <w:r w:rsidRPr="00A372DF">
              <w:rPr>
                <w:b/>
                <w:i/>
              </w:rPr>
              <w:t>-0.26</w:t>
            </w:r>
          </w:p>
        </w:tc>
        <w:tc>
          <w:tcPr>
            <w:tcW w:w="994" w:type="pct"/>
            <w:shd w:val="clear" w:color="auto" w:fill="D9D9D9" w:themeFill="background1" w:themeFillShade="D9"/>
            <w:vAlign w:val="bottom"/>
          </w:tcPr>
          <w:p w:rsidR="001727A4" w:rsidRPr="00A372DF" w:rsidRDefault="001727A4" w:rsidP="00194F8E">
            <w:pPr>
              <w:pStyle w:val="TableBodyText"/>
              <w:ind w:right="142"/>
              <w:rPr>
                <w:b/>
                <w:i/>
              </w:rPr>
            </w:pPr>
            <w:r w:rsidRPr="00A372DF">
              <w:rPr>
                <w:b/>
                <w:i/>
              </w:rPr>
              <w:t>-0.52</w:t>
            </w:r>
          </w:p>
        </w:tc>
      </w:tr>
      <w:tr w:rsidR="001727A4" w:rsidRPr="00240299" w:rsidTr="00CE7837">
        <w:tc>
          <w:tcPr>
            <w:tcW w:w="2017" w:type="pct"/>
            <w:vAlign w:val="bottom"/>
          </w:tcPr>
          <w:p w:rsidR="001727A4" w:rsidRPr="00240299" w:rsidRDefault="001727A4" w:rsidP="00194F8E">
            <w:pPr>
              <w:pStyle w:val="TableBodyText"/>
              <w:ind w:right="-566"/>
              <w:jc w:val="left"/>
            </w:pPr>
            <w:r w:rsidRPr="00240299">
              <w:t>Electricity, gas, water &amp; waste serv</w:t>
            </w:r>
            <w:r>
              <w:t>ices</w:t>
            </w:r>
          </w:p>
        </w:tc>
        <w:tc>
          <w:tcPr>
            <w:tcW w:w="994" w:type="pct"/>
            <w:shd w:val="clear" w:color="auto" w:fill="auto"/>
            <w:vAlign w:val="bottom"/>
          </w:tcPr>
          <w:p w:rsidR="001727A4" w:rsidRPr="00240299" w:rsidRDefault="001727A4" w:rsidP="00194F8E">
            <w:pPr>
              <w:pStyle w:val="TableBodyText"/>
            </w:pPr>
            <w:r w:rsidRPr="00240299">
              <w:t>-0.08</w:t>
            </w:r>
          </w:p>
        </w:tc>
        <w:tc>
          <w:tcPr>
            <w:tcW w:w="994" w:type="pct"/>
            <w:shd w:val="clear" w:color="auto" w:fill="auto"/>
            <w:vAlign w:val="bottom"/>
          </w:tcPr>
          <w:p w:rsidR="001727A4" w:rsidRPr="00240299" w:rsidRDefault="001727A4" w:rsidP="00194F8E">
            <w:pPr>
              <w:pStyle w:val="TableBodyText"/>
            </w:pPr>
            <w:r w:rsidRPr="00240299">
              <w:t>-0.18</w:t>
            </w:r>
          </w:p>
        </w:tc>
        <w:tc>
          <w:tcPr>
            <w:tcW w:w="994" w:type="pct"/>
            <w:shd w:val="clear" w:color="auto" w:fill="auto"/>
            <w:vAlign w:val="bottom"/>
          </w:tcPr>
          <w:p w:rsidR="001727A4" w:rsidRPr="00240299" w:rsidRDefault="001727A4" w:rsidP="00194F8E">
            <w:pPr>
              <w:pStyle w:val="TableBodyText"/>
              <w:ind w:right="142"/>
            </w:pPr>
            <w:r w:rsidRPr="00240299">
              <w:t>-0.10</w:t>
            </w:r>
          </w:p>
        </w:tc>
      </w:tr>
      <w:tr w:rsidR="001727A4" w:rsidRPr="001552F4" w:rsidTr="00CE7837">
        <w:tc>
          <w:tcPr>
            <w:tcW w:w="2017" w:type="pct"/>
            <w:shd w:val="clear" w:color="auto" w:fill="D9D9D9" w:themeFill="background1" w:themeFillShade="D9"/>
            <w:vAlign w:val="bottom"/>
          </w:tcPr>
          <w:p w:rsidR="001727A4" w:rsidRPr="001552F4" w:rsidRDefault="001727A4" w:rsidP="001552F4">
            <w:pPr>
              <w:pStyle w:val="TableBodyText"/>
              <w:jc w:val="left"/>
            </w:pPr>
            <w:r w:rsidRPr="001552F4">
              <w:t>Construction</w:t>
            </w:r>
          </w:p>
        </w:tc>
        <w:tc>
          <w:tcPr>
            <w:tcW w:w="994" w:type="pct"/>
            <w:shd w:val="clear" w:color="auto" w:fill="D9D9D9" w:themeFill="background1" w:themeFillShade="D9"/>
            <w:vAlign w:val="bottom"/>
          </w:tcPr>
          <w:p w:rsidR="001727A4" w:rsidRPr="001552F4" w:rsidRDefault="001727A4" w:rsidP="000F7968">
            <w:pPr>
              <w:pStyle w:val="TableBodyText"/>
            </w:pPr>
            <w:r w:rsidRPr="001552F4">
              <w:t>0.03</w:t>
            </w:r>
          </w:p>
        </w:tc>
        <w:tc>
          <w:tcPr>
            <w:tcW w:w="994" w:type="pct"/>
            <w:shd w:val="clear" w:color="auto" w:fill="D9D9D9" w:themeFill="background1" w:themeFillShade="D9"/>
            <w:vAlign w:val="bottom"/>
          </w:tcPr>
          <w:p w:rsidR="001727A4" w:rsidRPr="001552F4" w:rsidRDefault="001727A4" w:rsidP="000F7968">
            <w:pPr>
              <w:pStyle w:val="TableBodyText"/>
            </w:pPr>
            <w:r w:rsidRPr="001552F4">
              <w:t>0.07</w:t>
            </w:r>
          </w:p>
        </w:tc>
        <w:tc>
          <w:tcPr>
            <w:tcW w:w="994" w:type="pct"/>
            <w:shd w:val="clear" w:color="auto" w:fill="D9D9D9" w:themeFill="background1" w:themeFillShade="D9"/>
            <w:vAlign w:val="bottom"/>
          </w:tcPr>
          <w:p w:rsidR="001727A4" w:rsidRPr="001552F4" w:rsidRDefault="001727A4" w:rsidP="000F7968">
            <w:pPr>
              <w:pStyle w:val="TableBodyText"/>
            </w:pPr>
            <w:r w:rsidRPr="001552F4">
              <w:t>0.04</w:t>
            </w:r>
          </w:p>
        </w:tc>
      </w:tr>
      <w:tr w:rsidR="001727A4" w:rsidRPr="00240299" w:rsidTr="00CE7837">
        <w:tc>
          <w:tcPr>
            <w:tcW w:w="2017" w:type="pct"/>
            <w:vAlign w:val="bottom"/>
          </w:tcPr>
          <w:p w:rsidR="001727A4" w:rsidRPr="00240299" w:rsidRDefault="001727A4" w:rsidP="00194F8E">
            <w:pPr>
              <w:pStyle w:val="TableBodyText"/>
              <w:ind w:right="-566"/>
              <w:jc w:val="left"/>
            </w:pPr>
            <w:r w:rsidRPr="00240299">
              <w:t>Wholesale trade</w:t>
            </w:r>
          </w:p>
        </w:tc>
        <w:tc>
          <w:tcPr>
            <w:tcW w:w="994" w:type="pct"/>
            <w:shd w:val="clear" w:color="auto" w:fill="auto"/>
            <w:vAlign w:val="bottom"/>
          </w:tcPr>
          <w:p w:rsidR="001727A4" w:rsidRPr="00240299" w:rsidRDefault="001727A4" w:rsidP="00194F8E">
            <w:pPr>
              <w:pStyle w:val="TableBodyText"/>
            </w:pPr>
            <w:r w:rsidRPr="00240299">
              <w:t>0.11</w:t>
            </w:r>
          </w:p>
        </w:tc>
        <w:tc>
          <w:tcPr>
            <w:tcW w:w="994" w:type="pct"/>
            <w:shd w:val="clear" w:color="auto" w:fill="auto"/>
            <w:vAlign w:val="bottom"/>
          </w:tcPr>
          <w:p w:rsidR="001727A4" w:rsidRPr="00240299" w:rsidRDefault="001727A4" w:rsidP="00194F8E">
            <w:pPr>
              <w:pStyle w:val="TableBodyText"/>
            </w:pPr>
            <w:r w:rsidRPr="00240299">
              <w:t>0.01</w:t>
            </w:r>
          </w:p>
        </w:tc>
        <w:tc>
          <w:tcPr>
            <w:tcW w:w="994" w:type="pct"/>
            <w:shd w:val="clear" w:color="auto" w:fill="auto"/>
            <w:vAlign w:val="bottom"/>
          </w:tcPr>
          <w:p w:rsidR="001727A4" w:rsidRPr="00240299" w:rsidRDefault="001727A4" w:rsidP="00194F8E">
            <w:pPr>
              <w:pStyle w:val="TableBodyText"/>
              <w:ind w:right="142"/>
            </w:pPr>
            <w:r w:rsidRPr="00240299">
              <w:t>-0.10</w:t>
            </w:r>
          </w:p>
        </w:tc>
      </w:tr>
      <w:tr w:rsidR="001727A4" w:rsidRPr="00240299" w:rsidTr="00CE7837">
        <w:tc>
          <w:tcPr>
            <w:tcW w:w="2017" w:type="pct"/>
            <w:shd w:val="clear" w:color="auto" w:fill="D9D9D9" w:themeFill="background1" w:themeFillShade="D9"/>
            <w:vAlign w:val="bottom"/>
          </w:tcPr>
          <w:p w:rsidR="001727A4" w:rsidRPr="00240299" w:rsidRDefault="001727A4" w:rsidP="00194F8E">
            <w:pPr>
              <w:pStyle w:val="TableBodyText"/>
              <w:ind w:right="-566"/>
              <w:jc w:val="left"/>
            </w:pPr>
            <w:r w:rsidRPr="00240299">
              <w:t>Retail trade</w:t>
            </w:r>
          </w:p>
        </w:tc>
        <w:tc>
          <w:tcPr>
            <w:tcW w:w="994" w:type="pct"/>
            <w:shd w:val="clear" w:color="auto" w:fill="D9D9D9" w:themeFill="background1" w:themeFillShade="D9"/>
            <w:vAlign w:val="bottom"/>
          </w:tcPr>
          <w:p w:rsidR="001727A4" w:rsidRPr="00240299" w:rsidRDefault="001727A4" w:rsidP="00194F8E">
            <w:pPr>
              <w:pStyle w:val="TableBodyText"/>
            </w:pPr>
            <w:r w:rsidRPr="00240299">
              <w:t>0.06</w:t>
            </w:r>
          </w:p>
        </w:tc>
        <w:tc>
          <w:tcPr>
            <w:tcW w:w="994" w:type="pct"/>
            <w:shd w:val="clear" w:color="auto" w:fill="D9D9D9" w:themeFill="background1" w:themeFillShade="D9"/>
            <w:vAlign w:val="bottom"/>
          </w:tcPr>
          <w:p w:rsidR="001727A4" w:rsidRPr="00240299" w:rsidRDefault="001727A4" w:rsidP="00194F8E">
            <w:pPr>
              <w:pStyle w:val="TableBodyText"/>
            </w:pPr>
            <w:r w:rsidRPr="00240299">
              <w:t>-0.07</w:t>
            </w:r>
          </w:p>
        </w:tc>
        <w:tc>
          <w:tcPr>
            <w:tcW w:w="994" w:type="pct"/>
            <w:shd w:val="clear" w:color="auto" w:fill="D9D9D9" w:themeFill="background1" w:themeFillShade="D9"/>
            <w:vAlign w:val="bottom"/>
          </w:tcPr>
          <w:p w:rsidR="001727A4" w:rsidRPr="00240299" w:rsidRDefault="001727A4" w:rsidP="00194F8E">
            <w:pPr>
              <w:pStyle w:val="TableBodyText"/>
              <w:ind w:right="142"/>
            </w:pPr>
            <w:r w:rsidRPr="00240299">
              <w:t>-0.13</w:t>
            </w:r>
          </w:p>
        </w:tc>
      </w:tr>
      <w:tr w:rsidR="001727A4" w:rsidRPr="00240299" w:rsidTr="00CE7837">
        <w:tc>
          <w:tcPr>
            <w:tcW w:w="2017" w:type="pct"/>
            <w:vAlign w:val="bottom"/>
          </w:tcPr>
          <w:p w:rsidR="001727A4" w:rsidRPr="00240299" w:rsidRDefault="001727A4" w:rsidP="00194F8E">
            <w:pPr>
              <w:pStyle w:val="TableBodyText"/>
              <w:ind w:right="-566"/>
              <w:jc w:val="left"/>
            </w:pPr>
            <w:r w:rsidRPr="00240299">
              <w:t>Accommodation &amp; food services</w:t>
            </w:r>
          </w:p>
        </w:tc>
        <w:tc>
          <w:tcPr>
            <w:tcW w:w="994" w:type="pct"/>
            <w:vAlign w:val="bottom"/>
          </w:tcPr>
          <w:p w:rsidR="001727A4" w:rsidRPr="00240299" w:rsidRDefault="001727A4" w:rsidP="00194F8E">
            <w:pPr>
              <w:pStyle w:val="TableBodyText"/>
            </w:pPr>
            <w:r w:rsidRPr="00240299">
              <w:t>0.00</w:t>
            </w:r>
          </w:p>
        </w:tc>
        <w:tc>
          <w:tcPr>
            <w:tcW w:w="994" w:type="pct"/>
            <w:vAlign w:val="bottom"/>
          </w:tcPr>
          <w:p w:rsidR="001727A4" w:rsidRPr="00240299" w:rsidRDefault="001727A4" w:rsidP="00194F8E">
            <w:pPr>
              <w:pStyle w:val="TableBodyText"/>
            </w:pPr>
            <w:r w:rsidRPr="00240299">
              <w:t>0.00</w:t>
            </w:r>
          </w:p>
        </w:tc>
        <w:tc>
          <w:tcPr>
            <w:tcW w:w="994" w:type="pct"/>
            <w:vAlign w:val="bottom"/>
          </w:tcPr>
          <w:p w:rsidR="001727A4" w:rsidRPr="00240299" w:rsidRDefault="001727A4" w:rsidP="00194F8E">
            <w:pPr>
              <w:pStyle w:val="TableBodyText"/>
              <w:ind w:right="142"/>
            </w:pPr>
            <w:r w:rsidRPr="00240299">
              <w:t>0.00</w:t>
            </w:r>
          </w:p>
        </w:tc>
      </w:tr>
      <w:tr w:rsidR="001727A4" w:rsidRPr="00240299" w:rsidTr="00CE7837">
        <w:tc>
          <w:tcPr>
            <w:tcW w:w="2017" w:type="pct"/>
            <w:shd w:val="clear" w:color="auto" w:fill="D9D9D9" w:themeFill="background1" w:themeFillShade="D9"/>
            <w:vAlign w:val="bottom"/>
          </w:tcPr>
          <w:p w:rsidR="001727A4" w:rsidRPr="00240299" w:rsidRDefault="001727A4" w:rsidP="00194F8E">
            <w:pPr>
              <w:pStyle w:val="TableBodyText"/>
              <w:ind w:right="-566"/>
              <w:jc w:val="left"/>
            </w:pPr>
            <w:r w:rsidRPr="00240299">
              <w:t>Transport, postal &amp; warehousing</w:t>
            </w:r>
          </w:p>
        </w:tc>
        <w:tc>
          <w:tcPr>
            <w:tcW w:w="994" w:type="pct"/>
            <w:shd w:val="clear" w:color="auto" w:fill="D9D9D9" w:themeFill="background1" w:themeFillShade="D9"/>
            <w:vAlign w:val="bottom"/>
          </w:tcPr>
          <w:p w:rsidR="001727A4" w:rsidRPr="00240299" w:rsidRDefault="001727A4" w:rsidP="00194F8E">
            <w:pPr>
              <w:pStyle w:val="TableBodyText"/>
            </w:pPr>
            <w:r w:rsidRPr="00240299">
              <w:t>0.15</w:t>
            </w:r>
          </w:p>
        </w:tc>
        <w:tc>
          <w:tcPr>
            <w:tcW w:w="994" w:type="pct"/>
            <w:shd w:val="clear" w:color="auto" w:fill="D9D9D9" w:themeFill="background1" w:themeFillShade="D9"/>
            <w:vAlign w:val="bottom"/>
          </w:tcPr>
          <w:p w:rsidR="001727A4" w:rsidRPr="00240299" w:rsidRDefault="001727A4" w:rsidP="00194F8E">
            <w:pPr>
              <w:pStyle w:val="TableBodyText"/>
            </w:pPr>
            <w:r w:rsidRPr="00240299">
              <w:t>0.06</w:t>
            </w:r>
          </w:p>
        </w:tc>
        <w:tc>
          <w:tcPr>
            <w:tcW w:w="994" w:type="pct"/>
            <w:shd w:val="clear" w:color="auto" w:fill="D9D9D9" w:themeFill="background1" w:themeFillShade="D9"/>
            <w:vAlign w:val="bottom"/>
          </w:tcPr>
          <w:p w:rsidR="001727A4" w:rsidRPr="00240299" w:rsidRDefault="001727A4" w:rsidP="00194F8E">
            <w:pPr>
              <w:pStyle w:val="TableBodyText"/>
              <w:ind w:right="142"/>
            </w:pPr>
            <w:r w:rsidRPr="00240299">
              <w:t>-0.09</w:t>
            </w:r>
          </w:p>
        </w:tc>
      </w:tr>
      <w:tr w:rsidR="001727A4" w:rsidRPr="00240299" w:rsidTr="00CE7837">
        <w:tc>
          <w:tcPr>
            <w:tcW w:w="2017" w:type="pct"/>
            <w:vAlign w:val="bottom"/>
          </w:tcPr>
          <w:p w:rsidR="001727A4" w:rsidRPr="00240299" w:rsidRDefault="001727A4" w:rsidP="00194F8E">
            <w:pPr>
              <w:pStyle w:val="TableBodyText"/>
              <w:jc w:val="left"/>
            </w:pPr>
            <w:r w:rsidRPr="00240299">
              <w:t>Information, media &amp; telecoms</w:t>
            </w:r>
          </w:p>
        </w:tc>
        <w:tc>
          <w:tcPr>
            <w:tcW w:w="994" w:type="pct"/>
            <w:vAlign w:val="bottom"/>
          </w:tcPr>
          <w:p w:rsidR="001727A4" w:rsidRPr="00240299" w:rsidRDefault="001727A4" w:rsidP="00194F8E">
            <w:pPr>
              <w:pStyle w:val="TableBodyText"/>
            </w:pPr>
            <w:r w:rsidRPr="00240299">
              <w:t>-0.05</w:t>
            </w:r>
          </w:p>
        </w:tc>
        <w:tc>
          <w:tcPr>
            <w:tcW w:w="994" w:type="pct"/>
            <w:vAlign w:val="bottom"/>
          </w:tcPr>
          <w:p w:rsidR="001727A4" w:rsidRPr="00240299" w:rsidRDefault="001727A4" w:rsidP="00194F8E">
            <w:pPr>
              <w:pStyle w:val="TableBodyText"/>
            </w:pPr>
            <w:r w:rsidRPr="00240299">
              <w:t>0.00</w:t>
            </w:r>
          </w:p>
        </w:tc>
        <w:tc>
          <w:tcPr>
            <w:tcW w:w="994" w:type="pct"/>
            <w:vAlign w:val="bottom"/>
          </w:tcPr>
          <w:p w:rsidR="001727A4" w:rsidRPr="00240299" w:rsidRDefault="001727A4" w:rsidP="00194F8E">
            <w:pPr>
              <w:pStyle w:val="TableBodyText"/>
              <w:ind w:right="142"/>
            </w:pPr>
            <w:r w:rsidRPr="00240299">
              <w:t>0.05</w:t>
            </w:r>
          </w:p>
        </w:tc>
      </w:tr>
      <w:tr w:rsidR="001727A4" w:rsidRPr="00240299" w:rsidTr="00CE7837">
        <w:tc>
          <w:tcPr>
            <w:tcW w:w="2017" w:type="pct"/>
            <w:shd w:val="clear" w:color="auto" w:fill="D9D9D9" w:themeFill="background1" w:themeFillShade="D9"/>
            <w:vAlign w:val="bottom"/>
          </w:tcPr>
          <w:p w:rsidR="001727A4" w:rsidRPr="00240299" w:rsidRDefault="001727A4" w:rsidP="00194F8E">
            <w:pPr>
              <w:pStyle w:val="TableBodyText"/>
              <w:jc w:val="left"/>
            </w:pPr>
            <w:r w:rsidRPr="00240299">
              <w:t>Financial &amp; insurance services</w:t>
            </w:r>
          </w:p>
        </w:tc>
        <w:tc>
          <w:tcPr>
            <w:tcW w:w="994" w:type="pct"/>
            <w:shd w:val="clear" w:color="auto" w:fill="D9D9D9" w:themeFill="background1" w:themeFillShade="D9"/>
            <w:vAlign w:val="bottom"/>
          </w:tcPr>
          <w:p w:rsidR="001727A4" w:rsidRPr="00240299" w:rsidRDefault="001727A4" w:rsidP="00194F8E">
            <w:pPr>
              <w:pStyle w:val="TableBodyText"/>
            </w:pPr>
            <w:r w:rsidRPr="00240299">
              <w:t>0.37</w:t>
            </w:r>
          </w:p>
        </w:tc>
        <w:tc>
          <w:tcPr>
            <w:tcW w:w="994" w:type="pct"/>
            <w:shd w:val="clear" w:color="auto" w:fill="D9D9D9" w:themeFill="background1" w:themeFillShade="D9"/>
            <w:vAlign w:val="bottom"/>
          </w:tcPr>
          <w:p w:rsidR="001727A4" w:rsidRPr="00240299" w:rsidRDefault="001727A4" w:rsidP="00194F8E">
            <w:pPr>
              <w:pStyle w:val="TableBodyText"/>
            </w:pPr>
            <w:r w:rsidRPr="00240299">
              <w:t>0.81</w:t>
            </w:r>
          </w:p>
        </w:tc>
        <w:tc>
          <w:tcPr>
            <w:tcW w:w="994" w:type="pct"/>
            <w:shd w:val="clear" w:color="auto" w:fill="D9D9D9" w:themeFill="background1" w:themeFillShade="D9"/>
            <w:vAlign w:val="bottom"/>
          </w:tcPr>
          <w:p w:rsidR="001727A4" w:rsidRPr="00240299" w:rsidRDefault="001727A4" w:rsidP="00194F8E">
            <w:pPr>
              <w:pStyle w:val="TableBodyText"/>
              <w:ind w:right="142"/>
            </w:pPr>
            <w:r w:rsidRPr="00240299">
              <w:t>0.44</w:t>
            </w:r>
          </w:p>
        </w:tc>
      </w:tr>
      <w:tr w:rsidR="001727A4" w:rsidRPr="00240299" w:rsidTr="00CE7837">
        <w:tc>
          <w:tcPr>
            <w:tcW w:w="2017" w:type="pct"/>
            <w:vAlign w:val="bottom"/>
          </w:tcPr>
          <w:p w:rsidR="001727A4" w:rsidRPr="00240299" w:rsidRDefault="001727A4" w:rsidP="00194F8E">
            <w:pPr>
              <w:pStyle w:val="TableBodyText"/>
              <w:jc w:val="left"/>
            </w:pPr>
            <w:r w:rsidRPr="00240299">
              <w:t>Arts &amp; recreation services</w:t>
            </w:r>
          </w:p>
        </w:tc>
        <w:tc>
          <w:tcPr>
            <w:tcW w:w="994" w:type="pct"/>
            <w:vAlign w:val="bottom"/>
          </w:tcPr>
          <w:p w:rsidR="001727A4" w:rsidRPr="00240299" w:rsidRDefault="001727A4" w:rsidP="00194F8E">
            <w:pPr>
              <w:pStyle w:val="TableBodyText"/>
            </w:pPr>
            <w:r w:rsidRPr="00240299">
              <w:t>0.01</w:t>
            </w:r>
          </w:p>
        </w:tc>
        <w:tc>
          <w:tcPr>
            <w:tcW w:w="994" w:type="pct"/>
            <w:vAlign w:val="bottom"/>
          </w:tcPr>
          <w:p w:rsidR="001727A4" w:rsidRPr="00240299" w:rsidRDefault="001727A4" w:rsidP="00194F8E">
            <w:pPr>
              <w:pStyle w:val="TableBodyText"/>
            </w:pPr>
            <w:r w:rsidRPr="00240299">
              <w:t>-0.05</w:t>
            </w:r>
          </w:p>
        </w:tc>
        <w:tc>
          <w:tcPr>
            <w:tcW w:w="994" w:type="pct"/>
            <w:vAlign w:val="bottom"/>
          </w:tcPr>
          <w:p w:rsidR="001727A4" w:rsidRPr="00240299" w:rsidRDefault="001727A4" w:rsidP="00194F8E">
            <w:pPr>
              <w:pStyle w:val="TableBodyText"/>
              <w:ind w:right="142"/>
            </w:pPr>
            <w:r w:rsidRPr="00240299">
              <w:t>-0.06</w:t>
            </w:r>
          </w:p>
        </w:tc>
      </w:tr>
      <w:tr w:rsidR="0087254E" w:rsidRPr="00A372DF" w:rsidTr="00271A58">
        <w:trPr>
          <w:trHeight w:val="170"/>
        </w:trPr>
        <w:tc>
          <w:tcPr>
            <w:tcW w:w="2017" w:type="pct"/>
            <w:shd w:val="clear" w:color="auto" w:fill="D9D9D9" w:themeFill="background1" w:themeFillShade="D9"/>
            <w:vAlign w:val="bottom"/>
          </w:tcPr>
          <w:p w:rsidR="0087254E" w:rsidRPr="00A372DF" w:rsidRDefault="0087254E" w:rsidP="00D013F7">
            <w:pPr>
              <w:pStyle w:val="TableBodyText"/>
              <w:ind w:right="-566"/>
              <w:jc w:val="left"/>
              <w:rPr>
                <w:i/>
              </w:rPr>
            </w:pPr>
            <w:r w:rsidRPr="00A372DF">
              <w:rPr>
                <w:i/>
                <w:iCs/>
              </w:rPr>
              <w:t>Aggregate of contributions</w:t>
            </w:r>
            <w:r w:rsidRPr="00A372DF">
              <w:rPr>
                <w:rStyle w:val="NoteLabel"/>
              </w:rPr>
              <w:t>a</w:t>
            </w:r>
          </w:p>
        </w:tc>
        <w:tc>
          <w:tcPr>
            <w:tcW w:w="994" w:type="pct"/>
            <w:shd w:val="clear" w:color="auto" w:fill="D9D9D9" w:themeFill="background1" w:themeFillShade="D9"/>
            <w:vAlign w:val="bottom"/>
          </w:tcPr>
          <w:p w:rsidR="0087254E" w:rsidRPr="00A372DF" w:rsidRDefault="0087254E" w:rsidP="00D013F7">
            <w:pPr>
              <w:pStyle w:val="TableBodyText"/>
              <w:rPr>
                <w:i/>
              </w:rPr>
            </w:pPr>
            <w:r w:rsidRPr="00A372DF">
              <w:rPr>
                <w:i/>
              </w:rPr>
              <w:t>1.0</w:t>
            </w:r>
          </w:p>
        </w:tc>
        <w:tc>
          <w:tcPr>
            <w:tcW w:w="994" w:type="pct"/>
            <w:shd w:val="clear" w:color="auto" w:fill="D9D9D9" w:themeFill="background1" w:themeFillShade="D9"/>
            <w:vAlign w:val="bottom"/>
          </w:tcPr>
          <w:p w:rsidR="0087254E" w:rsidRPr="00A372DF" w:rsidRDefault="0087254E" w:rsidP="00D013F7">
            <w:pPr>
              <w:pStyle w:val="TableBodyText"/>
              <w:rPr>
                <w:i/>
              </w:rPr>
            </w:pPr>
            <w:r w:rsidRPr="00A372DF">
              <w:rPr>
                <w:i/>
              </w:rPr>
              <w:t>-0.1</w:t>
            </w:r>
          </w:p>
        </w:tc>
        <w:tc>
          <w:tcPr>
            <w:tcW w:w="994" w:type="pct"/>
            <w:shd w:val="clear" w:color="auto" w:fill="D9D9D9" w:themeFill="background1" w:themeFillShade="D9"/>
            <w:vAlign w:val="bottom"/>
          </w:tcPr>
          <w:p w:rsidR="0087254E" w:rsidRPr="00A372DF" w:rsidRDefault="0087254E" w:rsidP="00D013F7">
            <w:pPr>
              <w:pStyle w:val="TableBodyText"/>
              <w:ind w:right="142"/>
              <w:rPr>
                <w:i/>
              </w:rPr>
            </w:pPr>
            <w:r w:rsidRPr="00A372DF">
              <w:rPr>
                <w:i/>
              </w:rPr>
              <w:t>-1.1</w:t>
            </w:r>
          </w:p>
        </w:tc>
      </w:tr>
      <w:tr w:rsidR="001727A4" w:rsidRPr="00A372DF" w:rsidTr="001552F4">
        <w:tc>
          <w:tcPr>
            <w:tcW w:w="2017" w:type="pct"/>
            <w:tcBorders>
              <w:bottom w:val="single" w:sz="6" w:space="0" w:color="auto"/>
            </w:tcBorders>
            <w:shd w:val="clear" w:color="auto" w:fill="FFFFFF" w:themeFill="background1"/>
            <w:vAlign w:val="bottom"/>
          </w:tcPr>
          <w:p w:rsidR="001727A4" w:rsidRPr="00A372DF" w:rsidRDefault="001727A4" w:rsidP="00194F8E">
            <w:pPr>
              <w:pStyle w:val="TableBodyText"/>
              <w:jc w:val="left"/>
              <w:rPr>
                <w:b/>
              </w:rPr>
            </w:pPr>
            <w:r w:rsidRPr="00A372DF">
              <w:rPr>
                <w:b/>
                <w:bCs/>
              </w:rPr>
              <w:t>ABS published market sector</w:t>
            </w:r>
          </w:p>
        </w:tc>
        <w:tc>
          <w:tcPr>
            <w:tcW w:w="994" w:type="pct"/>
            <w:tcBorders>
              <w:bottom w:val="single" w:sz="6" w:space="0" w:color="auto"/>
            </w:tcBorders>
            <w:shd w:val="clear" w:color="auto" w:fill="FFFFFF" w:themeFill="background1"/>
            <w:vAlign w:val="bottom"/>
          </w:tcPr>
          <w:p w:rsidR="001727A4" w:rsidRPr="00A372DF" w:rsidRDefault="001727A4" w:rsidP="00194F8E">
            <w:pPr>
              <w:pStyle w:val="TableBodyText"/>
              <w:rPr>
                <w:b/>
              </w:rPr>
            </w:pPr>
            <w:r w:rsidRPr="00A372DF">
              <w:rPr>
                <w:b/>
              </w:rPr>
              <w:t>1.2</w:t>
            </w:r>
          </w:p>
        </w:tc>
        <w:tc>
          <w:tcPr>
            <w:tcW w:w="994" w:type="pct"/>
            <w:tcBorders>
              <w:bottom w:val="single" w:sz="6" w:space="0" w:color="auto"/>
            </w:tcBorders>
            <w:shd w:val="clear" w:color="auto" w:fill="FFFFFF" w:themeFill="background1"/>
            <w:vAlign w:val="bottom"/>
          </w:tcPr>
          <w:p w:rsidR="001727A4" w:rsidRPr="00A372DF" w:rsidRDefault="001727A4" w:rsidP="00194F8E">
            <w:pPr>
              <w:pStyle w:val="TableBodyText"/>
              <w:rPr>
                <w:b/>
              </w:rPr>
            </w:pPr>
            <w:r w:rsidRPr="00A372DF">
              <w:rPr>
                <w:b/>
              </w:rPr>
              <w:t>0.0</w:t>
            </w:r>
          </w:p>
        </w:tc>
        <w:tc>
          <w:tcPr>
            <w:tcW w:w="994" w:type="pct"/>
            <w:tcBorders>
              <w:bottom w:val="single" w:sz="6" w:space="0" w:color="auto"/>
            </w:tcBorders>
            <w:shd w:val="clear" w:color="auto" w:fill="FFFFFF" w:themeFill="background1"/>
            <w:vAlign w:val="bottom"/>
          </w:tcPr>
          <w:p w:rsidR="001727A4" w:rsidRPr="00A372DF" w:rsidRDefault="001727A4" w:rsidP="00194F8E">
            <w:pPr>
              <w:pStyle w:val="TableBodyText"/>
              <w:ind w:right="142"/>
              <w:rPr>
                <w:b/>
              </w:rPr>
            </w:pPr>
            <w:r w:rsidRPr="00A372DF">
              <w:rPr>
                <w:b/>
              </w:rPr>
              <w:t>-1.2</w:t>
            </w:r>
          </w:p>
        </w:tc>
      </w:tr>
    </w:tbl>
    <w:p w:rsidR="00110CD9" w:rsidRPr="00240299" w:rsidRDefault="005A6000" w:rsidP="0090409A">
      <w:pPr>
        <w:pStyle w:val="Note"/>
      </w:pPr>
      <w:r w:rsidRPr="00240299">
        <w:rPr>
          <w:rStyle w:val="NoteLabel"/>
        </w:rPr>
        <w:t>a</w:t>
      </w:r>
      <w:r w:rsidR="009550B0" w:rsidRPr="00240299">
        <w:rPr>
          <w:rStyle w:val="NoteLabel"/>
        </w:rPr>
        <w:t xml:space="preserve"> </w:t>
      </w:r>
      <w:r w:rsidR="00E22C65" w:rsidRPr="00240299">
        <w:t xml:space="preserve">Sum of the industry contributions. </w:t>
      </w:r>
      <w:r w:rsidR="00E04FB2" w:rsidRPr="00240299">
        <w:t xml:space="preserve">See Parham (2012, appendix A) for details of the contributions methodology and the source of the discrepancy between the aggregate of the contributions and the ABS published market sector estimates. </w:t>
      </w:r>
    </w:p>
    <w:p w:rsidR="00110CD9" w:rsidRPr="00240299" w:rsidRDefault="00110CD9" w:rsidP="00110CD9">
      <w:pPr>
        <w:pStyle w:val="Source"/>
      </w:pPr>
      <w:r w:rsidRPr="00240299">
        <w:rPr>
          <w:i/>
        </w:rPr>
        <w:t>Source</w:t>
      </w:r>
      <w:r w:rsidRPr="00240299">
        <w:t>: Parham (2012, table 3.6).</w:t>
      </w:r>
    </w:p>
    <w:p w:rsidR="002811A1" w:rsidRPr="00240299" w:rsidRDefault="00C9303E" w:rsidP="004159DB">
      <w:pPr>
        <w:pStyle w:val="Heading2"/>
        <w:keepNext w:val="0"/>
        <w:widowControl w:val="0"/>
        <w:spacing w:before="480"/>
      </w:pPr>
      <w:bookmarkStart w:id="14" w:name="OLE_LINK15"/>
      <w:r>
        <w:t>2.</w:t>
      </w:r>
      <w:r w:rsidR="004456C0">
        <w:rPr>
          <w:noProof/>
        </w:rPr>
        <w:t>3</w:t>
      </w:r>
      <w:bookmarkEnd w:id="14"/>
      <w:r w:rsidR="000A4AC2" w:rsidRPr="00240299">
        <w:tab/>
      </w:r>
      <w:r w:rsidR="009F7C21" w:rsidRPr="00240299">
        <w:t xml:space="preserve">Proximate causes of </w:t>
      </w:r>
      <w:r w:rsidR="00C52F36" w:rsidRPr="00240299">
        <w:t>M</w:t>
      </w:r>
      <w:r w:rsidR="00002967" w:rsidRPr="00240299">
        <w:t xml:space="preserve">anufacturing </w:t>
      </w:r>
      <w:r w:rsidR="009F7C21" w:rsidRPr="00240299">
        <w:t>MFP growth</w:t>
      </w:r>
    </w:p>
    <w:p w:rsidR="006B2FB0" w:rsidRPr="00240299" w:rsidRDefault="00540BDF" w:rsidP="00002967">
      <w:pPr>
        <w:pStyle w:val="BodyText"/>
      </w:pPr>
      <w:r w:rsidRPr="00240299">
        <w:t>S</w:t>
      </w:r>
      <w:r w:rsidR="008E63C5" w:rsidRPr="00240299">
        <w:t xml:space="preserve">ome </w:t>
      </w:r>
      <w:r w:rsidR="0069732D" w:rsidRPr="00240299">
        <w:t xml:space="preserve">initial </w:t>
      </w:r>
      <w:r w:rsidR="008E63C5" w:rsidRPr="00240299">
        <w:t>insight into the influences on MFP growth can be gained from examining its proximate causes</w:t>
      </w:r>
      <w:r w:rsidR="00823F8C" w:rsidRPr="00240299">
        <w:t xml:space="preserve"> —</w:t>
      </w:r>
      <w:r w:rsidR="00142FA7" w:rsidRPr="00240299">
        <w:t xml:space="preserve"> </w:t>
      </w:r>
      <w:r w:rsidR="00823F8C" w:rsidRPr="00240299">
        <w:t xml:space="preserve">growth in </w:t>
      </w:r>
      <w:r w:rsidR="00272FF0" w:rsidRPr="00240299">
        <w:t xml:space="preserve">the volumes of </w:t>
      </w:r>
      <w:r w:rsidR="00823F8C" w:rsidRPr="00240299">
        <w:t xml:space="preserve">value added, </w:t>
      </w:r>
      <w:r w:rsidR="00937221" w:rsidRPr="00240299">
        <w:t>hours worked</w:t>
      </w:r>
      <w:r w:rsidR="00823F8C" w:rsidRPr="00240299">
        <w:t xml:space="preserve"> and capital </w:t>
      </w:r>
      <w:r w:rsidR="00937221" w:rsidRPr="00240299">
        <w:t>services</w:t>
      </w:r>
      <w:r w:rsidR="00823F8C" w:rsidRPr="00240299">
        <w:t>.</w:t>
      </w:r>
      <w:r w:rsidR="00277CC2" w:rsidRPr="00240299">
        <w:t xml:space="preserve"> </w:t>
      </w:r>
      <w:r w:rsidR="009E4FBB" w:rsidRPr="00240299">
        <w:t xml:space="preserve">(What drives changes in the proximate causes is highly complex and is discussed later in this chapter and </w:t>
      </w:r>
      <w:r w:rsidR="006322B0" w:rsidRPr="00240299">
        <w:t xml:space="preserve">in </w:t>
      </w:r>
      <w:r w:rsidR="009E4FBB" w:rsidRPr="00240299">
        <w:t xml:space="preserve">subsequent chapters.) </w:t>
      </w:r>
      <w:r w:rsidR="006B2FB0" w:rsidRPr="00240299">
        <w:t>Positive MFP growth is associated with a faster rate of growth (or a slower rate of decline) in value added than in combined inputs</w:t>
      </w:r>
      <w:r w:rsidR="009805FB" w:rsidRPr="00240299">
        <w:t>, and vice versa for n</w:t>
      </w:r>
      <w:r w:rsidR="006B2FB0" w:rsidRPr="00240299">
        <w:t>egative MFP growth</w:t>
      </w:r>
      <w:r w:rsidR="0029709A" w:rsidRPr="00240299">
        <w:t>.</w:t>
      </w:r>
    </w:p>
    <w:p w:rsidR="00E247E6" w:rsidRPr="00240299" w:rsidRDefault="00AB34E3" w:rsidP="00AB34E3">
      <w:pPr>
        <w:pStyle w:val="BodyText"/>
        <w:widowControl w:val="0"/>
      </w:pPr>
      <w:r w:rsidRPr="00240299">
        <w:t xml:space="preserve">Figure </w:t>
      </w:r>
      <w:r w:rsidR="00C9303E">
        <w:t>2.6</w:t>
      </w:r>
      <w:r w:rsidR="00ED140F" w:rsidRPr="00240299">
        <w:t xml:space="preserve"> </w:t>
      </w:r>
      <w:r w:rsidRPr="00240299">
        <w:t xml:space="preserve">shows indexes of MFP and its </w:t>
      </w:r>
      <w:r w:rsidR="008E63C5" w:rsidRPr="00240299">
        <w:t>proximate causes</w:t>
      </w:r>
      <w:r w:rsidR="003D1ECE" w:rsidRPr="00240299">
        <w:t xml:space="preserve"> </w:t>
      </w:r>
      <w:r w:rsidR="00932404" w:rsidRPr="00240299">
        <w:t>over the full period from 1985-86 to 2010-11</w:t>
      </w:r>
      <w:r w:rsidRPr="00240299">
        <w:t xml:space="preserve">. A long-term decline in hours worked contrasts with a </w:t>
      </w:r>
      <w:r w:rsidR="00024648" w:rsidRPr="00240299">
        <w:t xml:space="preserve">rapid </w:t>
      </w:r>
      <w:r w:rsidRPr="00240299">
        <w:t>long-term increase in capital services. The upwards trend in value added to 2003-04 flattened out in the following years — although there was volatility in the year-to-year growth over the latter period.</w:t>
      </w:r>
      <w:r w:rsidRPr="00240299">
        <w:rPr>
          <w:rStyle w:val="FootnoteReference"/>
        </w:rPr>
        <w:footnoteReference w:id="9"/>
      </w:r>
      <w:r w:rsidRPr="00240299">
        <w:t xml:space="preserve"> </w:t>
      </w:r>
      <w:r w:rsidR="008A21C6" w:rsidRPr="00240299">
        <w:t xml:space="preserve">As already </w:t>
      </w:r>
      <w:r w:rsidR="000843D5" w:rsidRPr="00240299">
        <w:t>indicated</w:t>
      </w:r>
      <w:r w:rsidR="008A21C6" w:rsidRPr="00240299">
        <w:t>, t</w:t>
      </w:r>
      <w:r w:rsidRPr="00240299">
        <w:t xml:space="preserve">he </w:t>
      </w:r>
      <w:r w:rsidR="000843D5" w:rsidRPr="00240299">
        <w:t xml:space="preserve">resulting </w:t>
      </w:r>
      <w:r w:rsidRPr="00240299">
        <w:t xml:space="preserve">trend in MFP </w:t>
      </w:r>
      <w:r w:rsidR="00932404" w:rsidRPr="00240299">
        <w:t xml:space="preserve">was positive up to 2003-04 but </w:t>
      </w:r>
      <w:r w:rsidR="000843D5" w:rsidRPr="00240299">
        <w:t>negative</w:t>
      </w:r>
      <w:r w:rsidRPr="00240299">
        <w:t xml:space="preserve"> </w:t>
      </w:r>
      <w:r w:rsidR="00932404" w:rsidRPr="00240299">
        <w:t>thereafter</w:t>
      </w:r>
      <w:r w:rsidRPr="00240299">
        <w:t>.</w:t>
      </w:r>
      <w:r w:rsidR="00756229" w:rsidRPr="00240299">
        <w:t xml:space="preserve"> </w:t>
      </w:r>
    </w:p>
    <w:p w:rsidR="00AB34E3" w:rsidRPr="00240299" w:rsidRDefault="00AB34E3" w:rsidP="00AB34E3">
      <w:pPr>
        <w:pStyle w:val="FigureTitle"/>
      </w:pPr>
      <w:r w:rsidRPr="00240299">
        <w:rPr>
          <w:b w:val="0"/>
        </w:rPr>
        <w:lastRenderedPageBreak/>
        <w:t xml:space="preserve">Figure </w:t>
      </w:r>
      <w:bookmarkStart w:id="15" w:name="OLE_LINK1"/>
      <w:r w:rsidR="00C9303E">
        <w:rPr>
          <w:b w:val="0"/>
        </w:rPr>
        <w:t>2.</w:t>
      </w:r>
      <w:r w:rsidR="004456C0">
        <w:rPr>
          <w:b w:val="0"/>
          <w:noProof/>
        </w:rPr>
        <w:t>6</w:t>
      </w:r>
      <w:bookmarkEnd w:id="15"/>
      <w:r w:rsidRPr="00240299">
        <w:tab/>
        <w:t>MFP</w:t>
      </w:r>
      <w:r w:rsidR="006F04BA" w:rsidRPr="00240299">
        <w:t xml:space="preserve"> and its proximate causes</w:t>
      </w:r>
      <w:r w:rsidR="007D5823" w:rsidRPr="00240299">
        <w:rPr>
          <w:rStyle w:val="NoteLabel"/>
          <w:b/>
        </w:rPr>
        <w:t>a</w:t>
      </w:r>
    </w:p>
    <w:p w:rsidR="00AB34E3" w:rsidRPr="00240299" w:rsidRDefault="00AB34E3" w:rsidP="00AB34E3">
      <w:pPr>
        <w:pStyle w:val="Subtitle"/>
      </w:pPr>
      <w:r w:rsidRPr="00240299">
        <w:t>Index 2009-10 = 100</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AB34E3" w:rsidRPr="00240299" w:rsidTr="00070898">
        <w:tc>
          <w:tcPr>
            <w:tcW w:w="8777" w:type="dxa"/>
          </w:tcPr>
          <w:p w:rsidR="00AB34E3" w:rsidRPr="00240299" w:rsidRDefault="007E3B51" w:rsidP="003D44D5">
            <w:pPr>
              <w:pStyle w:val="Figure"/>
              <w:spacing w:before="60" w:after="60"/>
            </w:pPr>
            <w:r>
              <w:pict>
                <v:shape id="_x0000_i1030" type="#_x0000_t75" alt="This figure shows indexes of MFP and its proximate causes over the full period from 1985-86 to 2010-11. A long-term decline in hours worked contrasts with a rapid long-term increase in capital services. The upwards trend in value added to 2003-04 flattened out in the following years — although there was volatility in the year-to-year growth over the latter period. Hours worked stabilised from 2003-04 to 2007-08 before resuming a decline. Capital services also slowed from 2007-08. The resulting trend in MFP was positive up to 2003-04 but negative thereafter. " style="width:424.5pt;height:198pt">
                  <v:imagedata r:id="rId14" o:title=""/>
                </v:shape>
              </w:pict>
            </w:r>
          </w:p>
        </w:tc>
      </w:tr>
    </w:tbl>
    <w:p w:rsidR="00AB34E3" w:rsidRPr="00240299" w:rsidRDefault="00AB34E3" w:rsidP="00AB34E3">
      <w:pPr>
        <w:pStyle w:val="Note"/>
      </w:pPr>
      <w:r w:rsidRPr="00240299">
        <w:rPr>
          <w:rStyle w:val="NoteLabel"/>
        </w:rPr>
        <w:t>a</w:t>
      </w:r>
      <w:r w:rsidRPr="00240299">
        <w:sym w:font="Symbol" w:char="F020"/>
      </w:r>
      <w:r w:rsidR="007D5823" w:rsidRPr="00240299">
        <w:t>Value added and capital services are chain volume measures</w:t>
      </w:r>
      <w:r w:rsidRPr="00240299">
        <w:t>.</w:t>
      </w:r>
    </w:p>
    <w:p w:rsidR="00AB34E3" w:rsidRPr="00240299" w:rsidRDefault="00AB34E3" w:rsidP="00AB34E3">
      <w:pPr>
        <w:pStyle w:val="Source"/>
      </w:pPr>
      <w:r w:rsidRPr="00240299">
        <w:rPr>
          <w:i/>
        </w:rPr>
        <w:t>Data source</w:t>
      </w:r>
      <w:r w:rsidRPr="00240299">
        <w:t>: ABS (</w:t>
      </w:r>
      <w:r w:rsidRPr="00240299">
        <w:rPr>
          <w:i/>
        </w:rPr>
        <w:t xml:space="preserve">Experimental Estimates of Industry Multifactor Productivity, 2010-11, </w:t>
      </w:r>
      <w:r w:rsidRPr="00240299">
        <w:t>Cat. no. 5260.0.55.002</w:t>
      </w:r>
      <w:r w:rsidR="00C65FA7" w:rsidRPr="00240299">
        <w:t>)</w:t>
      </w:r>
      <w:r w:rsidRPr="00240299">
        <w:t>.</w:t>
      </w:r>
    </w:p>
    <w:p w:rsidR="007D2B8A" w:rsidRPr="00240299" w:rsidRDefault="007D2B8A" w:rsidP="007D2B8A">
      <w:pPr>
        <w:pStyle w:val="BodyText"/>
        <w:widowControl w:val="0"/>
      </w:pPr>
      <w:r w:rsidRPr="00240299">
        <w:t xml:space="preserve">On average over the full period, the modest MFP growth (0.3 per cent a year) was associated with </w:t>
      </w:r>
      <w:r w:rsidR="002B1B7F">
        <w:t>value added</w:t>
      </w:r>
      <w:r w:rsidR="002B1B7F" w:rsidRPr="00240299">
        <w:t xml:space="preserve"> </w:t>
      </w:r>
      <w:r w:rsidRPr="00240299">
        <w:t xml:space="preserve">growth (1.4 per cent a year) slightly above combined input growth (1.1 per cent a year). </w:t>
      </w:r>
      <w:r w:rsidR="004C0F24" w:rsidRPr="00240299">
        <w:t>W</w:t>
      </w:r>
      <w:r w:rsidRPr="00240299">
        <w:t xml:space="preserve">ithin </w:t>
      </w:r>
      <w:r w:rsidR="003B7B6C">
        <w:t>the latter</w:t>
      </w:r>
      <w:r w:rsidRPr="00240299">
        <w:t xml:space="preserve">, the contribution of capital </w:t>
      </w:r>
      <w:r w:rsidR="00B6006E" w:rsidRPr="00240299">
        <w:t xml:space="preserve">services </w:t>
      </w:r>
      <w:r w:rsidRPr="00240299">
        <w:t>grew at the same rate as value added (1.4 per cent a year) but was partially offset by an absolute decline in hours worked (-0.3 per cent a year).</w:t>
      </w:r>
    </w:p>
    <w:p w:rsidR="004F256D" w:rsidRPr="00240299" w:rsidRDefault="00FA017F" w:rsidP="007D2B8A">
      <w:pPr>
        <w:pStyle w:val="BodyText"/>
        <w:widowControl w:val="0"/>
      </w:pPr>
      <w:r w:rsidRPr="00240299">
        <w:t xml:space="preserve">The </w:t>
      </w:r>
      <w:r w:rsidR="00D0795B" w:rsidRPr="00240299">
        <w:t xml:space="preserve">differences in the trends of capital services and hours worked can also be seen in their ratio. </w:t>
      </w:r>
      <w:r w:rsidR="001D0587" w:rsidRPr="00240299">
        <w:t>Manufacturing’s</w:t>
      </w:r>
      <w:r w:rsidR="004F256D" w:rsidRPr="00240299">
        <w:t xml:space="preserve"> capital-labour ratio (the amount of capital </w:t>
      </w:r>
      <w:r w:rsidR="00F57289" w:rsidRPr="00240299">
        <w:t>per unit of labour</w:t>
      </w:r>
      <w:r w:rsidR="004F256D" w:rsidRPr="00240299">
        <w:t xml:space="preserve">) </w:t>
      </w:r>
      <w:r w:rsidR="00855A35" w:rsidRPr="00240299">
        <w:t xml:space="preserve">has generally </w:t>
      </w:r>
      <w:r w:rsidR="00B6006E" w:rsidRPr="00240299">
        <w:t>risen</w:t>
      </w:r>
      <w:r w:rsidR="00855A35" w:rsidRPr="00240299">
        <w:t xml:space="preserve"> over </w:t>
      </w:r>
      <w:r w:rsidR="0027537D" w:rsidRPr="00240299">
        <w:t>time</w:t>
      </w:r>
      <w:r w:rsidR="00D0795B" w:rsidRPr="00240299">
        <w:t xml:space="preserve"> (as noted in section </w:t>
      </w:r>
      <w:r w:rsidR="002C6B99">
        <w:t>2.2</w:t>
      </w:r>
      <w:r w:rsidR="00D0795B" w:rsidRPr="00240299">
        <w:t>)</w:t>
      </w:r>
      <w:r w:rsidR="00855A35" w:rsidRPr="00240299">
        <w:t xml:space="preserve">. But the </w:t>
      </w:r>
      <w:r w:rsidR="00E27A6F" w:rsidRPr="00240299">
        <w:t>rate of change</w:t>
      </w:r>
      <w:r w:rsidR="00855A35" w:rsidRPr="00240299">
        <w:t xml:space="preserve"> </w:t>
      </w:r>
      <w:r w:rsidR="004F256D" w:rsidRPr="00240299">
        <w:t>has increased considerably in recent years (figure</w:t>
      </w:r>
      <w:r w:rsidR="00F3303A" w:rsidRPr="00240299">
        <w:t> </w:t>
      </w:r>
      <w:r w:rsidR="00C9303E">
        <w:t>2.7</w:t>
      </w:r>
      <w:r w:rsidR="004F256D" w:rsidRPr="00240299">
        <w:t>). PC (2003) noted an increase in Manufacturing’s capital intensity from 1988-89 to 2001-02</w:t>
      </w:r>
      <w:r w:rsidR="00617EC0" w:rsidRPr="00240299">
        <w:t>, driven by technological advances in the global production of capital equipment</w:t>
      </w:r>
      <w:r w:rsidR="003B7B6C">
        <w:t>,</w:t>
      </w:r>
      <w:r w:rsidR="00617EC0" w:rsidRPr="00240299">
        <w:t xml:space="preserve"> making some capital items cheaper or, at given prices, increasing the productive capacity of capital</w:t>
      </w:r>
      <w:r w:rsidR="004F256D" w:rsidRPr="00240299">
        <w:t xml:space="preserve">. </w:t>
      </w:r>
      <w:r w:rsidR="00617EC0" w:rsidRPr="00240299">
        <w:t>Since</w:t>
      </w:r>
      <w:r w:rsidR="004F256D" w:rsidRPr="00240299">
        <w:t xml:space="preserve"> 2002-03 there has been a further increase in the rate of growth of Manufacturing’s capital-labour ratio, </w:t>
      </w:r>
      <w:r w:rsidR="00502408" w:rsidRPr="00240299">
        <w:t>and it has far exceeded that for the market sector as a whole</w:t>
      </w:r>
      <w:r w:rsidR="004F256D" w:rsidRPr="00240299">
        <w:t>.</w:t>
      </w:r>
      <w:r w:rsidR="00B6006E" w:rsidRPr="00240299">
        <w:rPr>
          <w:rStyle w:val="FootnoteReference"/>
        </w:rPr>
        <w:footnoteReference w:id="10"/>
      </w:r>
      <w:r w:rsidR="004F256D" w:rsidRPr="00240299">
        <w:t xml:space="preserve"> </w:t>
      </w:r>
    </w:p>
    <w:p w:rsidR="004F256D" w:rsidRPr="00240299" w:rsidRDefault="004F256D" w:rsidP="004F256D">
      <w:pPr>
        <w:pStyle w:val="FigureTitle"/>
        <w:spacing w:before="300"/>
      </w:pPr>
      <w:r w:rsidRPr="00240299">
        <w:rPr>
          <w:b w:val="0"/>
        </w:rPr>
        <w:lastRenderedPageBreak/>
        <w:t xml:space="preserve">Figure </w:t>
      </w:r>
      <w:bookmarkStart w:id="16" w:name="OLE_LINK5"/>
      <w:r w:rsidR="00C9303E">
        <w:rPr>
          <w:b w:val="0"/>
        </w:rPr>
        <w:t>2.</w:t>
      </w:r>
      <w:r w:rsidR="004456C0">
        <w:rPr>
          <w:b w:val="0"/>
          <w:noProof/>
        </w:rPr>
        <w:t>7</w:t>
      </w:r>
      <w:bookmarkEnd w:id="16"/>
      <w:r w:rsidRPr="00240299">
        <w:tab/>
        <w:t>Capital-labour ratio</w:t>
      </w:r>
      <w:r w:rsidR="00A21459" w:rsidRPr="00240299">
        <w:t xml:space="preserve"> in</w:t>
      </w:r>
      <w:r w:rsidRPr="00240299">
        <w:t xml:space="preserve"> Manufacturing and </w:t>
      </w:r>
      <w:r w:rsidR="002D2370" w:rsidRPr="00240299">
        <w:t xml:space="preserve">the </w:t>
      </w:r>
      <w:r w:rsidRPr="00240299">
        <w:t>market sector</w:t>
      </w:r>
    </w:p>
    <w:p w:rsidR="004F256D" w:rsidRPr="00240299" w:rsidRDefault="004F256D" w:rsidP="004F256D">
      <w:pPr>
        <w:pStyle w:val="Subtitle"/>
      </w:pPr>
      <w:r w:rsidRPr="00240299">
        <w:t>Index 1985-86 = 100</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4F256D" w:rsidRPr="00240299" w:rsidTr="00756CA4">
        <w:tc>
          <w:tcPr>
            <w:tcW w:w="8777" w:type="dxa"/>
          </w:tcPr>
          <w:p w:rsidR="004F256D" w:rsidRPr="00240299" w:rsidRDefault="007E3B51" w:rsidP="003D44D5">
            <w:pPr>
              <w:pStyle w:val="Figure"/>
              <w:spacing w:before="60" w:after="60"/>
            </w:pPr>
            <w:r>
              <w:pict>
                <v:shape id="_x0000_i1031" type="#_x0000_t75" alt="This figures shows that Manufacturing’s capital-labour ratio has generally risen over the period 1985-2010-11, but the rate of change has increased considerably in recent years. Since 2002 03 there has been a further increase in the rate of growth of Manufacturing’s capital-labour ratio, and it has far exceeded that for the market sector as a whole. " style="width:424.5pt;height:197.25pt">
                  <v:imagedata r:id="rId15" o:title=""/>
                </v:shape>
              </w:pict>
            </w:r>
          </w:p>
        </w:tc>
      </w:tr>
    </w:tbl>
    <w:p w:rsidR="004F256D" w:rsidRPr="00240299" w:rsidRDefault="004F256D" w:rsidP="004F256D">
      <w:pPr>
        <w:pStyle w:val="Source"/>
      </w:pPr>
      <w:r w:rsidRPr="00240299">
        <w:rPr>
          <w:i/>
        </w:rPr>
        <w:t>Data source</w:t>
      </w:r>
      <w:r w:rsidRPr="00240299">
        <w:t xml:space="preserve">: </w:t>
      </w:r>
      <w:r w:rsidR="00C65FA7" w:rsidRPr="00240299">
        <w:t xml:space="preserve">Authors’ estimates based on </w:t>
      </w:r>
      <w:r w:rsidRPr="00240299">
        <w:t>ABS (</w:t>
      </w:r>
      <w:r w:rsidRPr="00240299">
        <w:rPr>
          <w:i/>
        </w:rPr>
        <w:t xml:space="preserve">Experimental Estimates of Industry Multifactor Productivity, 2010-11, </w:t>
      </w:r>
      <w:r w:rsidRPr="00240299">
        <w:t>Cat. no. 5260.0.55.002</w:t>
      </w:r>
      <w:r w:rsidR="00C65FA7" w:rsidRPr="00240299">
        <w:t>)</w:t>
      </w:r>
      <w:r w:rsidRPr="00240299">
        <w:t>.</w:t>
      </w:r>
    </w:p>
    <w:p w:rsidR="00EF1ED6" w:rsidRPr="00240299" w:rsidRDefault="003B7B6C" w:rsidP="00414022">
      <w:pPr>
        <w:pStyle w:val="BodyText"/>
      </w:pPr>
      <w:r>
        <w:t>T</w:t>
      </w:r>
      <w:r w:rsidR="00537465" w:rsidRPr="00240299">
        <w:t>he dominant effect in recent years has been the increase in capital inputs</w:t>
      </w:r>
      <w:r>
        <w:t>, with the level of hours worked maintaining its slow long-term decline</w:t>
      </w:r>
      <w:r w:rsidR="00537465" w:rsidRPr="00240299">
        <w:t xml:space="preserve">. </w:t>
      </w:r>
      <w:r w:rsidR="00F703B1" w:rsidRPr="00240299">
        <w:t>Th</w:t>
      </w:r>
      <w:r w:rsidR="00F703B1">
        <w:t>e</w:t>
      </w:r>
      <w:r w:rsidR="00F703B1" w:rsidRPr="00240299">
        <w:t xml:space="preserve"> </w:t>
      </w:r>
      <w:r w:rsidR="00EC43D9" w:rsidRPr="00240299">
        <w:t xml:space="preserve">strong </w:t>
      </w:r>
      <w:r w:rsidR="00D056A4" w:rsidRPr="00240299">
        <w:t>growth in capital is also reflected in the falling average age of the capital stock</w:t>
      </w:r>
      <w:r w:rsidR="00590697" w:rsidRPr="00240299">
        <w:t xml:space="preserve"> </w:t>
      </w:r>
      <w:r w:rsidR="00D056A4" w:rsidRPr="00240299">
        <w:t>(figure</w:t>
      </w:r>
      <w:r w:rsidR="002C6B99">
        <w:t xml:space="preserve"> </w:t>
      </w:r>
      <w:r w:rsidR="00C9303E">
        <w:t>2.8</w:t>
      </w:r>
      <w:r w:rsidR="00D056A4" w:rsidRPr="00240299">
        <w:t>).</w:t>
      </w:r>
      <w:r w:rsidR="00590697" w:rsidRPr="00240299">
        <w:t xml:space="preserve"> </w:t>
      </w:r>
    </w:p>
    <w:p w:rsidR="00D056A4" w:rsidRPr="00240299" w:rsidRDefault="00D056A4">
      <w:pPr>
        <w:pStyle w:val="FigureTitle"/>
      </w:pPr>
      <w:r w:rsidRPr="00240299">
        <w:rPr>
          <w:b w:val="0"/>
        </w:rPr>
        <w:t xml:space="preserve">Figure </w:t>
      </w:r>
      <w:bookmarkStart w:id="17" w:name="OLE_LINK13"/>
      <w:r w:rsidR="00C9303E">
        <w:rPr>
          <w:b w:val="0"/>
        </w:rPr>
        <w:t>2.</w:t>
      </w:r>
      <w:r w:rsidR="004456C0">
        <w:rPr>
          <w:b w:val="0"/>
          <w:noProof/>
        </w:rPr>
        <w:t>8</w:t>
      </w:r>
      <w:bookmarkEnd w:id="17"/>
      <w:r w:rsidRPr="00240299">
        <w:tab/>
        <w:t xml:space="preserve">Average age of </w:t>
      </w:r>
      <w:r w:rsidR="00B77297">
        <w:t xml:space="preserve">the </w:t>
      </w:r>
      <w:r w:rsidRPr="00240299">
        <w:t>capital stock</w:t>
      </w:r>
      <w:r w:rsidR="00F86B00" w:rsidRPr="00240299">
        <w:rPr>
          <w:rStyle w:val="NoteLabel"/>
          <w:b/>
        </w:rPr>
        <w:t>a</w:t>
      </w:r>
      <w:r w:rsidR="00A21459" w:rsidRPr="00240299">
        <w:rPr>
          <w:rStyle w:val="NoteLabel"/>
          <w:b/>
        </w:rPr>
        <w:t xml:space="preserve"> </w:t>
      </w:r>
      <w:r w:rsidR="00A21459" w:rsidRPr="00240299">
        <w:t>in</w:t>
      </w:r>
      <w:r w:rsidR="00290F22" w:rsidRPr="00240299">
        <w:t xml:space="preserve"> Manufacturing</w:t>
      </w:r>
    </w:p>
    <w:p w:rsidR="00D056A4" w:rsidRPr="00240299" w:rsidRDefault="00D056A4">
      <w:pPr>
        <w:pStyle w:val="Subtitle"/>
      </w:pPr>
      <w:r w:rsidRPr="00240299">
        <w:t>Years</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D056A4" w:rsidRPr="00240299">
        <w:tc>
          <w:tcPr>
            <w:tcW w:w="8777" w:type="dxa"/>
          </w:tcPr>
          <w:p w:rsidR="00D056A4" w:rsidRPr="00240299" w:rsidRDefault="007E3B51" w:rsidP="007840CB">
            <w:pPr>
              <w:pStyle w:val="Figure"/>
              <w:spacing w:before="60" w:after="60"/>
            </w:pPr>
            <w:r>
              <w:pict>
                <v:shape id="_x0000_i1032" type="#_x0000_t75" alt="This figure shows that in the period 1985 86 to 2010 11, the average age of the capital stock was generally rising up to 2001-02 when it peaked at 13 years. Since then it fell to 11.6 years in 2008-09 and was 11.8 years in 2010-11." style="width:424.5pt;height:198pt">
                  <v:imagedata r:id="rId16" o:title=""/>
                </v:shape>
              </w:pict>
            </w:r>
          </w:p>
        </w:tc>
      </w:tr>
    </w:tbl>
    <w:p w:rsidR="00D056A4" w:rsidRPr="00240299" w:rsidRDefault="00D056A4">
      <w:pPr>
        <w:pStyle w:val="Note"/>
      </w:pPr>
      <w:r w:rsidRPr="00240299">
        <w:rPr>
          <w:rStyle w:val="NoteLabel"/>
        </w:rPr>
        <w:t>a</w:t>
      </w:r>
      <w:r w:rsidRPr="00240299">
        <w:t xml:space="preserve"> </w:t>
      </w:r>
      <w:r w:rsidR="00F86B00" w:rsidRPr="00240299">
        <w:t>End of year average age of gross stock.</w:t>
      </w:r>
    </w:p>
    <w:p w:rsidR="00D056A4" w:rsidRPr="00240299" w:rsidRDefault="00D056A4">
      <w:pPr>
        <w:pStyle w:val="Source"/>
      </w:pPr>
      <w:r w:rsidRPr="00240299">
        <w:rPr>
          <w:i/>
        </w:rPr>
        <w:t>Data source</w:t>
      </w:r>
      <w:r w:rsidRPr="00240299">
        <w:t>: ABS (</w:t>
      </w:r>
      <w:r w:rsidR="007960CA" w:rsidRPr="00240299">
        <w:rPr>
          <w:i/>
        </w:rPr>
        <w:t>Australian System of National Accounts, 2010-11</w:t>
      </w:r>
      <w:r w:rsidR="007960CA" w:rsidRPr="00240299">
        <w:t xml:space="preserve">, Cat. no. </w:t>
      </w:r>
      <w:r w:rsidRPr="00240299">
        <w:t>5204.0)</w:t>
      </w:r>
      <w:r w:rsidR="00F86B00" w:rsidRPr="00240299">
        <w:t>.</w:t>
      </w:r>
    </w:p>
    <w:p w:rsidR="007840CB" w:rsidRDefault="007840CB">
      <w:pPr>
        <w:rPr>
          <w:szCs w:val="20"/>
        </w:rPr>
      </w:pPr>
      <w:r>
        <w:br w:type="page"/>
      </w:r>
    </w:p>
    <w:p w:rsidR="0041728A" w:rsidRDefault="00C25DA3" w:rsidP="00414022">
      <w:pPr>
        <w:pStyle w:val="BodyText"/>
      </w:pPr>
      <w:r>
        <w:lastRenderedPageBreak/>
        <w:t>An</w:t>
      </w:r>
      <w:r w:rsidR="00355DBD">
        <w:t xml:space="preserve"> increase in the </w:t>
      </w:r>
      <w:r w:rsidR="00414022">
        <w:t xml:space="preserve">capital-labour ratio for Manufacturing in aggregate </w:t>
      </w:r>
      <w:r w:rsidR="00021A1A">
        <w:t xml:space="preserve">can result from </w:t>
      </w:r>
      <w:r>
        <w:t xml:space="preserve">the </w:t>
      </w:r>
      <w:r w:rsidR="00414022">
        <w:t>substitution of capital for labour in particular manufacturing activities</w:t>
      </w:r>
      <w:r w:rsidR="00AC3A43">
        <w:t>;</w:t>
      </w:r>
      <w:r w:rsidR="00021A1A">
        <w:t xml:space="preserve"> </w:t>
      </w:r>
      <w:r w:rsidR="00AC3A43">
        <w:t>but</w:t>
      </w:r>
      <w:r w:rsidR="00021A1A">
        <w:t xml:space="preserve"> it can </w:t>
      </w:r>
      <w:r w:rsidR="00AC3A43">
        <w:t xml:space="preserve">also </w:t>
      </w:r>
      <w:r w:rsidR="00021A1A">
        <w:t xml:space="preserve">occur </w:t>
      </w:r>
      <w:r w:rsidR="00AC3A43">
        <w:t>when there is a</w:t>
      </w:r>
      <w:r w:rsidR="00355DBD">
        <w:t xml:space="preserve"> </w:t>
      </w:r>
      <w:r w:rsidR="007078AE">
        <w:t>shift in</w:t>
      </w:r>
      <w:r w:rsidR="00414022">
        <w:t xml:space="preserve"> the composition of Manufacturing towards more </w:t>
      </w:r>
      <w:r w:rsidR="00355DBD">
        <w:t xml:space="preserve">capital-intensive activities. </w:t>
      </w:r>
      <w:r w:rsidR="009B3843">
        <w:t xml:space="preserve">The </w:t>
      </w:r>
      <w:r w:rsidR="00355DBD">
        <w:t xml:space="preserve">extent to which the rates of </w:t>
      </w:r>
      <w:r w:rsidR="00021A1A">
        <w:t xml:space="preserve">growth in </w:t>
      </w:r>
      <w:r w:rsidR="00355DBD">
        <w:t xml:space="preserve">capital and labour </w:t>
      </w:r>
      <w:r>
        <w:t xml:space="preserve">inputs </w:t>
      </w:r>
      <w:r w:rsidR="00355DBD">
        <w:t xml:space="preserve">have varied across </w:t>
      </w:r>
      <w:r w:rsidR="00021A1A">
        <w:t>different parts of Manufacturing,</w:t>
      </w:r>
      <w:r w:rsidR="00355DBD">
        <w:t xml:space="preserve"> </w:t>
      </w:r>
      <w:r w:rsidR="00021A1A">
        <w:t xml:space="preserve">and the </w:t>
      </w:r>
      <w:r>
        <w:t xml:space="preserve">underlying </w:t>
      </w:r>
      <w:r w:rsidR="00021A1A">
        <w:t>influences, are</w:t>
      </w:r>
      <w:r w:rsidR="00355DBD">
        <w:t xml:space="preserve"> examined later in the paper. </w:t>
      </w:r>
    </w:p>
    <w:p w:rsidR="00F3303A" w:rsidRPr="00240299" w:rsidRDefault="00F3303A" w:rsidP="00F3303A">
      <w:pPr>
        <w:pStyle w:val="Heading3"/>
      </w:pPr>
      <w:r w:rsidRPr="00240299">
        <w:t>Proximate causes over cycles</w:t>
      </w:r>
    </w:p>
    <w:p w:rsidR="006B2FB0" w:rsidRPr="00240299" w:rsidRDefault="002E044C" w:rsidP="006B2FB0">
      <w:pPr>
        <w:pStyle w:val="BodyText"/>
      </w:pPr>
      <w:r w:rsidRPr="00240299">
        <w:t>The proximate causes of MFP growth can also be examined over productivity cycles — f</w:t>
      </w:r>
      <w:r w:rsidR="006B2FB0" w:rsidRPr="00240299">
        <w:t xml:space="preserve">igure </w:t>
      </w:r>
      <w:r w:rsidR="00C9303E">
        <w:t>2.9</w:t>
      </w:r>
      <w:r w:rsidR="006B2FB0" w:rsidRPr="00240299">
        <w:t xml:space="preserve"> shows the last four </w:t>
      </w:r>
      <w:r w:rsidRPr="00240299">
        <w:t xml:space="preserve">complete </w:t>
      </w:r>
      <w:r w:rsidR="006B2FB0" w:rsidRPr="00240299">
        <w:t xml:space="preserve">productivity cycles and the </w:t>
      </w:r>
      <w:r w:rsidRPr="00240299">
        <w:t xml:space="preserve">current </w:t>
      </w:r>
      <w:r w:rsidR="006B2FB0" w:rsidRPr="00240299">
        <w:t>incomplete cycle. In this figure</w:t>
      </w:r>
      <w:r w:rsidR="000D6858" w:rsidRPr="00240299">
        <w:t>,</w:t>
      </w:r>
      <w:r w:rsidR="006B2FB0" w:rsidRPr="00240299">
        <w:t xml:space="preserve"> </w:t>
      </w:r>
      <w:r w:rsidRPr="00240299">
        <w:t>capital growth and labour growth are</w:t>
      </w:r>
      <w:r w:rsidR="006B2FB0" w:rsidRPr="00240299">
        <w:t xml:space="preserve"> weighted by their respective shares of fa</w:t>
      </w:r>
      <w:r w:rsidR="005109F8" w:rsidRPr="00240299">
        <w:t>ctor</w:t>
      </w:r>
      <w:r w:rsidR="006B2FB0" w:rsidRPr="00240299">
        <w:t xml:space="preserve"> income</w:t>
      </w:r>
      <w:r w:rsidR="0045243F" w:rsidRPr="00240299">
        <w:t>.</w:t>
      </w:r>
      <w:r w:rsidR="0045243F" w:rsidRPr="00240299">
        <w:rPr>
          <w:rStyle w:val="FootnoteReference"/>
        </w:rPr>
        <w:footnoteReference w:id="11"/>
      </w:r>
    </w:p>
    <w:p w:rsidR="00A0399A" w:rsidRPr="00240299" w:rsidRDefault="00A0399A" w:rsidP="00A0399A">
      <w:pPr>
        <w:pStyle w:val="FigureTitle"/>
      </w:pPr>
      <w:bookmarkStart w:id="18" w:name="OLE_LINK26"/>
      <w:r w:rsidRPr="00240299">
        <w:rPr>
          <w:b w:val="0"/>
        </w:rPr>
        <w:t xml:space="preserve">Figure </w:t>
      </w:r>
      <w:bookmarkStart w:id="19" w:name="OLE_LINK4"/>
      <w:r w:rsidR="00C9303E">
        <w:rPr>
          <w:b w:val="0"/>
        </w:rPr>
        <w:t>2.</w:t>
      </w:r>
      <w:r w:rsidR="004456C0">
        <w:rPr>
          <w:b w:val="0"/>
          <w:noProof/>
        </w:rPr>
        <w:t>9</w:t>
      </w:r>
      <w:bookmarkEnd w:id="19"/>
      <w:r w:rsidRPr="00240299">
        <w:tab/>
      </w:r>
      <w:r w:rsidR="006F04BA" w:rsidRPr="00240299">
        <w:t xml:space="preserve">Growth in Manufacturing </w:t>
      </w:r>
      <w:r w:rsidRPr="00240299">
        <w:t xml:space="preserve">MFP </w:t>
      </w:r>
      <w:r w:rsidR="006F04BA" w:rsidRPr="00240299">
        <w:t>and its proximate causes by cycle</w:t>
      </w:r>
      <w:r w:rsidRPr="00240299">
        <w:rPr>
          <w:rStyle w:val="NoteLabel"/>
          <w:b/>
        </w:rPr>
        <w:t>a</w:t>
      </w:r>
    </w:p>
    <w:p w:rsidR="00A0399A" w:rsidRPr="00240299" w:rsidRDefault="00BD6875" w:rsidP="00A0399A">
      <w:pPr>
        <w:pStyle w:val="Subtitle"/>
      </w:pPr>
      <w:r w:rsidRPr="00240299">
        <w:t>Average annual growth rate (per cent)</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A0399A" w:rsidRPr="00240299" w:rsidTr="00022BBF">
        <w:tc>
          <w:tcPr>
            <w:tcW w:w="8777" w:type="dxa"/>
          </w:tcPr>
          <w:p w:rsidR="00A0399A" w:rsidRPr="00240299" w:rsidRDefault="007E3B51" w:rsidP="005300EC">
            <w:pPr>
              <w:pStyle w:val="Figure"/>
              <w:spacing w:before="60" w:after="60"/>
            </w:pPr>
            <w:r>
              <w:pict>
                <v:shape id="_x0000_i1033" type="#_x0000_t75" alt="Details on this figure can be found within the text immediately before and after this image" style="width:424.5pt;height:211.5pt">
                  <v:imagedata r:id="rId17" o:title=""/>
                </v:shape>
              </w:pict>
            </w:r>
          </w:p>
        </w:tc>
      </w:tr>
    </w:tbl>
    <w:p w:rsidR="00A0399A" w:rsidRPr="00240299" w:rsidRDefault="00A0399A" w:rsidP="00A0399A">
      <w:pPr>
        <w:pStyle w:val="Source"/>
      </w:pPr>
      <w:r w:rsidRPr="00240299">
        <w:rPr>
          <w:rStyle w:val="NoteLabel"/>
        </w:rPr>
        <w:t xml:space="preserve">a </w:t>
      </w:r>
      <w:r w:rsidRPr="00240299">
        <w:t xml:space="preserve">Capital </w:t>
      </w:r>
      <w:r w:rsidR="003B1094" w:rsidRPr="00240299">
        <w:t xml:space="preserve">services </w:t>
      </w:r>
      <w:r w:rsidRPr="00240299">
        <w:t xml:space="preserve">and </w:t>
      </w:r>
      <w:r w:rsidR="003B1094" w:rsidRPr="00240299">
        <w:t>hours worked</w:t>
      </w:r>
      <w:r w:rsidRPr="00240299">
        <w:t xml:space="preserve"> weighted by income shares.</w:t>
      </w:r>
      <w:r w:rsidR="00B0648C">
        <w:t xml:space="preserve"> </w:t>
      </w:r>
    </w:p>
    <w:p w:rsidR="00A0399A" w:rsidRPr="00240299" w:rsidRDefault="00A0399A" w:rsidP="00A0399A">
      <w:pPr>
        <w:pStyle w:val="Source"/>
      </w:pPr>
      <w:r w:rsidRPr="00240299">
        <w:rPr>
          <w:i/>
        </w:rPr>
        <w:t>Data source</w:t>
      </w:r>
      <w:r w:rsidRPr="00240299">
        <w:t xml:space="preserve">: </w:t>
      </w:r>
      <w:r w:rsidR="00C65FA7" w:rsidRPr="00240299">
        <w:t xml:space="preserve">Authors’ estimates based on </w:t>
      </w:r>
      <w:r w:rsidRPr="00240299">
        <w:t>ABS (</w:t>
      </w:r>
      <w:r w:rsidRPr="00240299">
        <w:rPr>
          <w:i/>
        </w:rPr>
        <w:t xml:space="preserve">Experimental Estimates of Industry Multifactor Productivity, 2010-11, </w:t>
      </w:r>
      <w:r w:rsidRPr="00240299">
        <w:t>Cat. no. 5260.0.55.002</w:t>
      </w:r>
      <w:r w:rsidR="00496496" w:rsidRPr="00240299">
        <w:t>)</w:t>
      </w:r>
      <w:r w:rsidR="00322D26" w:rsidRPr="00240299">
        <w:t>.</w:t>
      </w:r>
    </w:p>
    <w:bookmarkEnd w:id="18"/>
    <w:p w:rsidR="00ED140F" w:rsidRPr="00240299" w:rsidRDefault="00ED140F" w:rsidP="00AB34E3">
      <w:pPr>
        <w:pStyle w:val="BodyText"/>
      </w:pPr>
      <w:r w:rsidRPr="00240299">
        <w:lastRenderedPageBreak/>
        <w:t>The proximate causes of Manufacturing MFP growth have varied over the cycles</w:t>
      </w:r>
      <w:r w:rsidR="00446212" w:rsidRPr="00240299">
        <w:t xml:space="preserve"> — although in each case capital services has grown faster than hours worked</w:t>
      </w:r>
      <w:r w:rsidRPr="00240299">
        <w:t>.</w:t>
      </w:r>
    </w:p>
    <w:p w:rsidR="00ED140F" w:rsidRPr="00240299" w:rsidRDefault="002E044C" w:rsidP="00775F51">
      <w:pPr>
        <w:pStyle w:val="ListBullet"/>
      </w:pPr>
      <w:r w:rsidRPr="00240299">
        <w:t xml:space="preserve">Cycle 1 — zero growth in MFP associated with zero growth in </w:t>
      </w:r>
      <w:r w:rsidR="002B1B7F">
        <w:t>value added</w:t>
      </w:r>
      <w:r w:rsidR="002B1B7F" w:rsidRPr="00240299">
        <w:t xml:space="preserve"> </w:t>
      </w:r>
      <w:r w:rsidRPr="00240299">
        <w:rPr>
          <w:i/>
        </w:rPr>
        <w:t>and</w:t>
      </w:r>
      <w:r w:rsidRPr="00240299">
        <w:t xml:space="preserve"> combined inputs.</w:t>
      </w:r>
      <w:r w:rsidR="00446212" w:rsidRPr="00240299">
        <w:t xml:space="preserve"> </w:t>
      </w:r>
      <w:r w:rsidRPr="00240299">
        <w:t>P</w:t>
      </w:r>
      <w:r w:rsidR="00ED140F" w:rsidRPr="00240299">
        <w:t xml:space="preserve">ositive capital services growth </w:t>
      </w:r>
      <w:r w:rsidR="00BD1C67" w:rsidRPr="00240299">
        <w:t>was</w:t>
      </w:r>
      <w:r w:rsidR="00ED140F" w:rsidRPr="00240299">
        <w:t xml:space="preserve"> entirely offset by </w:t>
      </w:r>
      <w:r w:rsidR="00BD1C67" w:rsidRPr="00240299">
        <w:t xml:space="preserve">the fall </w:t>
      </w:r>
      <w:r w:rsidRPr="00240299">
        <w:t>in hours worked</w:t>
      </w:r>
      <w:r w:rsidR="00ED140F" w:rsidRPr="00240299">
        <w:t xml:space="preserve">. </w:t>
      </w:r>
    </w:p>
    <w:p w:rsidR="00ED140F" w:rsidRPr="00240299" w:rsidRDefault="002E044C" w:rsidP="00446212">
      <w:pPr>
        <w:pStyle w:val="ListBullet"/>
      </w:pPr>
      <w:r w:rsidRPr="00240299">
        <w:t xml:space="preserve">Cycle 2 — </w:t>
      </w:r>
      <w:r w:rsidR="00ED140F" w:rsidRPr="00240299">
        <w:t xml:space="preserve">positive MFP growth associated with value added growth </w:t>
      </w:r>
      <w:r w:rsidR="00C6132A" w:rsidRPr="00240299">
        <w:rPr>
          <w:i/>
        </w:rPr>
        <w:t>greater than</w:t>
      </w:r>
      <w:r w:rsidR="00C6132A" w:rsidRPr="00240299">
        <w:t xml:space="preserve"> gro</w:t>
      </w:r>
      <w:r w:rsidR="00ED140F" w:rsidRPr="00240299">
        <w:t xml:space="preserve">wth in </w:t>
      </w:r>
      <w:r w:rsidR="007231D9" w:rsidRPr="00240299">
        <w:t>combined inputs</w:t>
      </w:r>
      <w:r w:rsidR="00216597" w:rsidRPr="00240299">
        <w:t>.</w:t>
      </w:r>
      <w:r w:rsidR="007231D9" w:rsidRPr="00240299">
        <w:t xml:space="preserve"> </w:t>
      </w:r>
      <w:r w:rsidRPr="00240299">
        <w:t>C</w:t>
      </w:r>
      <w:r w:rsidR="00ED140F" w:rsidRPr="00240299">
        <w:t>apital services</w:t>
      </w:r>
      <w:r w:rsidR="007231D9" w:rsidRPr="00240299">
        <w:t xml:space="preserve"> growth was lower than that of value added </w:t>
      </w:r>
      <w:r w:rsidRPr="00240299">
        <w:t>and hours worked was unchanged</w:t>
      </w:r>
      <w:r w:rsidR="007231D9" w:rsidRPr="00240299">
        <w:t>.</w:t>
      </w:r>
    </w:p>
    <w:p w:rsidR="00ED140F" w:rsidRPr="00240299" w:rsidRDefault="002E044C" w:rsidP="00446212">
      <w:pPr>
        <w:pStyle w:val="ListBullet"/>
      </w:pPr>
      <w:r w:rsidRPr="00240299">
        <w:t>C</w:t>
      </w:r>
      <w:r w:rsidR="00ED140F" w:rsidRPr="00240299">
        <w:t>ycle 3</w:t>
      </w:r>
      <w:r w:rsidRPr="00240299">
        <w:t xml:space="preserve"> —</w:t>
      </w:r>
      <w:r w:rsidR="00ED140F" w:rsidRPr="00240299">
        <w:t xml:space="preserve"> positive MFP growth </w:t>
      </w:r>
      <w:r w:rsidR="007231D9" w:rsidRPr="00240299">
        <w:t xml:space="preserve">again </w:t>
      </w:r>
      <w:r w:rsidR="00ED140F" w:rsidRPr="00240299">
        <w:t xml:space="preserve">associated </w:t>
      </w:r>
      <w:r w:rsidR="007231D9" w:rsidRPr="00240299">
        <w:t xml:space="preserve">with positive value added growth </w:t>
      </w:r>
      <w:r w:rsidR="00BD1C67" w:rsidRPr="00240299">
        <w:rPr>
          <w:i/>
        </w:rPr>
        <w:t>greater than</w:t>
      </w:r>
      <w:r w:rsidR="007231D9" w:rsidRPr="00240299">
        <w:t xml:space="preserve"> growth in combined inputs</w:t>
      </w:r>
      <w:r w:rsidR="00BD1C67" w:rsidRPr="00240299">
        <w:t>.</w:t>
      </w:r>
      <w:r w:rsidR="007231D9" w:rsidRPr="00240299">
        <w:t xml:space="preserve"> </w:t>
      </w:r>
      <w:r w:rsidRPr="00240299">
        <w:t>C</w:t>
      </w:r>
      <w:r w:rsidR="007231D9" w:rsidRPr="00240299">
        <w:t xml:space="preserve">apital services growth was lower than that of value added and there was offsetting </w:t>
      </w:r>
      <w:r w:rsidRPr="00240299">
        <w:t>negative growth in hours worked</w:t>
      </w:r>
      <w:r w:rsidR="007231D9" w:rsidRPr="00240299">
        <w:t>.</w:t>
      </w:r>
    </w:p>
    <w:p w:rsidR="00ED140F" w:rsidRPr="00240299" w:rsidRDefault="002E044C" w:rsidP="00446212">
      <w:pPr>
        <w:pStyle w:val="ListBullet"/>
      </w:pPr>
      <w:r w:rsidRPr="00240299">
        <w:t>C</w:t>
      </w:r>
      <w:r w:rsidR="00ED140F" w:rsidRPr="00240299">
        <w:t>ycle 4</w:t>
      </w:r>
      <w:r w:rsidRPr="00240299">
        <w:t xml:space="preserve"> — </w:t>
      </w:r>
      <w:r w:rsidR="007231D9" w:rsidRPr="00240299">
        <w:t xml:space="preserve">negative MFP growth associated with positive value added growth </w:t>
      </w:r>
      <w:r w:rsidR="00BD1C67" w:rsidRPr="00240299">
        <w:rPr>
          <w:i/>
        </w:rPr>
        <w:t>less than</w:t>
      </w:r>
      <w:r w:rsidR="007231D9" w:rsidRPr="00240299">
        <w:t xml:space="preserve"> growth in combined inputs</w:t>
      </w:r>
      <w:r w:rsidR="00BD1C67" w:rsidRPr="00240299">
        <w:t>.</w:t>
      </w:r>
      <w:r w:rsidR="007231D9" w:rsidRPr="00240299">
        <w:t xml:space="preserve"> </w:t>
      </w:r>
      <w:r w:rsidRPr="00240299">
        <w:t>C</w:t>
      </w:r>
      <w:r w:rsidR="007231D9" w:rsidRPr="00240299">
        <w:t xml:space="preserve">apital growth was particularly strong and there was a </w:t>
      </w:r>
      <w:r w:rsidR="00F703B1">
        <w:t>small</w:t>
      </w:r>
      <w:r w:rsidR="00F703B1" w:rsidRPr="00240299">
        <w:t xml:space="preserve"> </w:t>
      </w:r>
      <w:r w:rsidR="001F10DD" w:rsidRPr="00240299">
        <w:t>increase in hours worked.</w:t>
      </w:r>
    </w:p>
    <w:p w:rsidR="007231D9" w:rsidRPr="00240299" w:rsidRDefault="002E044C" w:rsidP="00446212">
      <w:pPr>
        <w:pStyle w:val="ListBullet"/>
      </w:pPr>
      <w:r w:rsidRPr="00240299">
        <w:t>I</w:t>
      </w:r>
      <w:r w:rsidR="007231D9" w:rsidRPr="00240299">
        <w:t>ncomplete cycle</w:t>
      </w:r>
      <w:r w:rsidRPr="00240299">
        <w:t xml:space="preserve"> — </w:t>
      </w:r>
      <w:r w:rsidR="007231D9" w:rsidRPr="00240299">
        <w:t xml:space="preserve">negative MFP growth associated with an absolute decline in value added that was </w:t>
      </w:r>
      <w:r w:rsidR="00B85EFF" w:rsidRPr="00240299">
        <w:rPr>
          <w:i/>
        </w:rPr>
        <w:t>greater than</w:t>
      </w:r>
      <w:r w:rsidR="007231D9" w:rsidRPr="00240299">
        <w:t xml:space="preserve"> the decline in combined inputs</w:t>
      </w:r>
      <w:r w:rsidR="00BD1C67" w:rsidRPr="00240299">
        <w:t>.</w:t>
      </w:r>
      <w:r w:rsidR="007231D9" w:rsidRPr="00240299">
        <w:t xml:space="preserve"> </w:t>
      </w:r>
      <w:r w:rsidRPr="00240299">
        <w:t>H</w:t>
      </w:r>
      <w:r w:rsidR="007231D9" w:rsidRPr="00240299">
        <w:t>our</w:t>
      </w:r>
      <w:r w:rsidRPr="00240299">
        <w:t>s</w:t>
      </w:r>
      <w:r w:rsidR="007231D9" w:rsidRPr="00240299">
        <w:t xml:space="preserve"> worked contracted at around the same rate as value </w:t>
      </w:r>
      <w:r w:rsidRPr="00240299">
        <w:t>added but capital services grew</w:t>
      </w:r>
      <w:r w:rsidR="007231D9" w:rsidRPr="00240299">
        <w:t>.</w:t>
      </w:r>
    </w:p>
    <w:p w:rsidR="00877A00" w:rsidRPr="00240299" w:rsidRDefault="00877A00" w:rsidP="00877A00">
      <w:pPr>
        <w:pStyle w:val="BodyText"/>
        <w:widowControl w:val="0"/>
      </w:pPr>
      <w:r w:rsidRPr="00240299">
        <w:t>Comparing the period</w:t>
      </w:r>
      <w:r w:rsidR="004355D8" w:rsidRPr="00240299">
        <w:t xml:space="preserve">s of lowest </w:t>
      </w:r>
      <w:r w:rsidR="001F5479" w:rsidRPr="00240299">
        <w:t xml:space="preserve">average </w:t>
      </w:r>
      <w:r w:rsidR="004355D8" w:rsidRPr="00240299">
        <w:t xml:space="preserve">MFP growth </w:t>
      </w:r>
      <w:r w:rsidR="001F5479" w:rsidRPr="00240299">
        <w:t xml:space="preserve">in Manufacturing </w:t>
      </w:r>
      <w:r w:rsidR="004355D8" w:rsidRPr="00240299">
        <w:t>(</w:t>
      </w:r>
      <w:r w:rsidR="0045243F" w:rsidRPr="00240299">
        <w:t>0 per cent a year</w:t>
      </w:r>
      <w:r w:rsidRPr="00240299">
        <w:t xml:space="preserve"> in cycle 1 </w:t>
      </w:r>
      <w:r w:rsidR="004355D8" w:rsidRPr="00240299">
        <w:t xml:space="preserve">and </w:t>
      </w:r>
      <w:r w:rsidR="0045243F" w:rsidRPr="00240299">
        <w:t>-1.4 per cent a year</w:t>
      </w:r>
      <w:r w:rsidRPr="00240299">
        <w:t xml:space="preserve"> in cycle 4</w:t>
      </w:r>
      <w:r w:rsidR="004355D8" w:rsidRPr="00240299">
        <w:t>)</w:t>
      </w:r>
      <w:r w:rsidR="00B85EFF" w:rsidRPr="00240299">
        <w:t xml:space="preserve"> reveals that</w:t>
      </w:r>
      <w:r w:rsidRPr="00240299">
        <w:t xml:space="preserve"> the </w:t>
      </w:r>
      <w:r w:rsidR="00E05F84" w:rsidRPr="00240299">
        <w:t xml:space="preserve">proximate causes </w:t>
      </w:r>
      <w:r w:rsidRPr="00240299">
        <w:t xml:space="preserve">were quite different (figure </w:t>
      </w:r>
      <w:r w:rsidR="00C9303E">
        <w:t>2.9</w:t>
      </w:r>
      <w:r w:rsidRPr="00240299">
        <w:t xml:space="preserve">). In cycle 1, </w:t>
      </w:r>
      <w:r w:rsidR="004631B9" w:rsidRPr="00240299">
        <w:t xml:space="preserve">Manufacturing was not growing — there was no growth in </w:t>
      </w:r>
      <w:r w:rsidR="002F5C45" w:rsidRPr="00240299">
        <w:t xml:space="preserve">output </w:t>
      </w:r>
      <w:r w:rsidR="00F703B1">
        <w:t>and</w:t>
      </w:r>
      <w:r w:rsidR="00F703B1" w:rsidRPr="00240299">
        <w:t xml:space="preserve"> </w:t>
      </w:r>
      <w:r w:rsidR="002F5C45" w:rsidRPr="00240299">
        <w:t xml:space="preserve">growth in capital </w:t>
      </w:r>
      <w:r w:rsidR="00F703B1">
        <w:t>was</w:t>
      </w:r>
      <w:r w:rsidR="00F703B1" w:rsidRPr="00240299">
        <w:t xml:space="preserve"> </w:t>
      </w:r>
      <w:r w:rsidR="002F5C45" w:rsidRPr="00240299">
        <w:t xml:space="preserve">entirely offset by </w:t>
      </w:r>
      <w:r w:rsidRPr="00240299">
        <w:t xml:space="preserve">the contraction in hours worked. </w:t>
      </w:r>
      <w:r w:rsidR="00B85EFF" w:rsidRPr="00240299">
        <w:t>By contrast</w:t>
      </w:r>
      <w:r w:rsidR="00E05F84" w:rsidRPr="00240299">
        <w:t>, i</w:t>
      </w:r>
      <w:r w:rsidRPr="00240299">
        <w:t xml:space="preserve">n cycle 4, </w:t>
      </w:r>
      <w:r w:rsidR="00582200" w:rsidRPr="00240299">
        <w:t>Manufacturing was growing,</w:t>
      </w:r>
      <w:r w:rsidR="004631B9" w:rsidRPr="00240299">
        <w:t xml:space="preserve"> but inputs (mainly capital) w</w:t>
      </w:r>
      <w:r w:rsidR="005D15C5" w:rsidRPr="00240299">
        <w:t>ere</w:t>
      </w:r>
      <w:r w:rsidR="004631B9" w:rsidRPr="00240299">
        <w:t xml:space="preserve"> growing at a faster rate than output. </w:t>
      </w:r>
    </w:p>
    <w:p w:rsidR="00ED4141" w:rsidRPr="00240299" w:rsidRDefault="004370EC" w:rsidP="00ED4141">
      <w:pPr>
        <w:pStyle w:val="Heading4"/>
      </w:pPr>
      <w:r w:rsidRPr="00240299">
        <w:t xml:space="preserve">Proximate causes of the </w:t>
      </w:r>
      <w:r w:rsidR="00ED4141" w:rsidRPr="00240299">
        <w:t xml:space="preserve">decline in </w:t>
      </w:r>
      <w:r w:rsidR="00900E81" w:rsidRPr="00240299">
        <w:t xml:space="preserve">Manufacturing </w:t>
      </w:r>
      <w:r w:rsidR="00ED4141" w:rsidRPr="00240299">
        <w:t>MFP</w:t>
      </w:r>
      <w:r w:rsidR="00446212" w:rsidRPr="00240299">
        <w:t xml:space="preserve"> between cycles 3 and 4</w:t>
      </w:r>
      <w:r w:rsidR="00ED4141" w:rsidRPr="00240299">
        <w:t xml:space="preserve"> </w:t>
      </w:r>
    </w:p>
    <w:p w:rsidR="001463EC" w:rsidRPr="00240299" w:rsidRDefault="00E83EA9" w:rsidP="00FF5A0B">
      <w:pPr>
        <w:pStyle w:val="BodyText"/>
      </w:pPr>
      <w:r w:rsidRPr="00240299">
        <w:t>T</w:t>
      </w:r>
      <w:r w:rsidR="00EA4BFF" w:rsidRPr="00240299">
        <w:t xml:space="preserve">he </w:t>
      </w:r>
      <w:r w:rsidR="009C5BA9" w:rsidRPr="00240299">
        <w:t xml:space="preserve">large </w:t>
      </w:r>
      <w:r w:rsidR="005F6B9F" w:rsidRPr="00240299">
        <w:t xml:space="preserve">decline in </w:t>
      </w:r>
      <w:r w:rsidR="00900E81" w:rsidRPr="00240299">
        <w:t xml:space="preserve">Manufacturing </w:t>
      </w:r>
      <w:r w:rsidR="005F6B9F" w:rsidRPr="00240299">
        <w:t xml:space="preserve">MFP growth </w:t>
      </w:r>
      <w:r w:rsidR="005F6B9F" w:rsidRPr="00240299">
        <w:rPr>
          <w:i/>
        </w:rPr>
        <w:t>between</w:t>
      </w:r>
      <w:r w:rsidR="005F6B9F" w:rsidRPr="00240299">
        <w:t xml:space="preserve"> cycle 3 and </w:t>
      </w:r>
      <w:r w:rsidRPr="00240299">
        <w:t xml:space="preserve">cycle </w:t>
      </w:r>
      <w:r w:rsidR="005F6B9F" w:rsidRPr="00240299">
        <w:t>4</w:t>
      </w:r>
      <w:r w:rsidR="00EA4BFF" w:rsidRPr="00240299">
        <w:t xml:space="preserve"> </w:t>
      </w:r>
      <w:r w:rsidR="00945E26">
        <w:t>was</w:t>
      </w:r>
      <w:r w:rsidR="009C5BA9" w:rsidRPr="00240299">
        <w:t xml:space="preserve"> exceptional and </w:t>
      </w:r>
      <w:r w:rsidRPr="00240299">
        <w:t xml:space="preserve">was associated with both </w:t>
      </w:r>
      <w:r w:rsidR="00EA4BFF" w:rsidRPr="00240299">
        <w:t xml:space="preserve">a decline in </w:t>
      </w:r>
      <w:r w:rsidR="002B1B7F">
        <w:t>value added</w:t>
      </w:r>
      <w:r w:rsidR="002B1B7F" w:rsidRPr="00240299">
        <w:t xml:space="preserve"> </w:t>
      </w:r>
      <w:r w:rsidR="00EA4BFF" w:rsidRPr="00240299">
        <w:t xml:space="preserve">growth </w:t>
      </w:r>
      <w:r w:rsidR="00EA4BFF" w:rsidRPr="00240299">
        <w:rPr>
          <w:i/>
        </w:rPr>
        <w:t>and</w:t>
      </w:r>
      <w:r w:rsidR="00EA4BFF" w:rsidRPr="00240299">
        <w:t xml:space="preserve"> higher input growth</w:t>
      </w:r>
      <w:r w:rsidR="00017192">
        <w:t xml:space="preserve"> (f</w:t>
      </w:r>
      <w:r w:rsidR="00EA4BFF" w:rsidRPr="00240299">
        <w:t xml:space="preserve">igure </w:t>
      </w:r>
      <w:r w:rsidR="00C9303E">
        <w:t>2.10</w:t>
      </w:r>
      <w:r w:rsidR="00017192">
        <w:t>)</w:t>
      </w:r>
      <w:r w:rsidR="002D4EA6" w:rsidRPr="00240299">
        <w:t xml:space="preserve">. </w:t>
      </w:r>
      <w:r w:rsidR="00474000" w:rsidRPr="00240299">
        <w:t xml:space="preserve">The decline of 2.7 percentage points in </w:t>
      </w:r>
      <w:r w:rsidR="00CD330E" w:rsidRPr="00240299">
        <w:t xml:space="preserve">the </w:t>
      </w:r>
      <w:r w:rsidR="00474000" w:rsidRPr="00240299">
        <w:t xml:space="preserve">average annual rate of MFP growth between cycles was associated </w:t>
      </w:r>
      <w:r w:rsidR="00CD330E" w:rsidRPr="00240299">
        <w:t>in</w:t>
      </w:r>
      <w:r w:rsidR="00474000" w:rsidRPr="00240299">
        <w:t xml:space="preserve"> nearly equal parts </w:t>
      </w:r>
      <w:r w:rsidR="00CD330E" w:rsidRPr="00240299">
        <w:t>with</w:t>
      </w:r>
      <w:r w:rsidR="0073705B">
        <w:t>:</w:t>
      </w:r>
      <w:r w:rsidR="00CD330E" w:rsidRPr="00240299">
        <w:t xml:space="preserve"> a </w:t>
      </w:r>
      <w:r w:rsidR="00474000" w:rsidRPr="00240299">
        <w:t>decline in value added growth</w:t>
      </w:r>
      <w:r w:rsidR="0073705B">
        <w:t>;</w:t>
      </w:r>
      <w:r w:rsidR="00474000" w:rsidRPr="00240299">
        <w:t xml:space="preserve"> </w:t>
      </w:r>
      <w:r w:rsidR="00CD330E" w:rsidRPr="00240299">
        <w:t xml:space="preserve">an </w:t>
      </w:r>
      <w:r w:rsidR="00474000" w:rsidRPr="00240299">
        <w:t>increase in growth in capital</w:t>
      </w:r>
      <w:r w:rsidR="00017192">
        <w:t xml:space="preserve"> (the highest it had been in the last four cycles)</w:t>
      </w:r>
      <w:r w:rsidR="0073705B">
        <w:t>;</w:t>
      </w:r>
      <w:r w:rsidR="00474000" w:rsidRPr="00240299">
        <w:t xml:space="preserve"> and a reversal of negative growth in labour</w:t>
      </w:r>
      <w:r w:rsidR="00017192" w:rsidRPr="00240299">
        <w:rPr>
          <w:rStyle w:val="FootnoteReference"/>
        </w:rPr>
        <w:footnoteReference w:id="12"/>
      </w:r>
      <w:r w:rsidR="00474000" w:rsidRPr="00240299">
        <w:t xml:space="preserve"> (the last set of columns). </w:t>
      </w:r>
    </w:p>
    <w:p w:rsidR="009153A5" w:rsidRPr="00240299" w:rsidRDefault="009153A5" w:rsidP="001463EC">
      <w:pPr>
        <w:pStyle w:val="BodyText"/>
      </w:pPr>
      <w:r w:rsidRPr="00240299">
        <w:lastRenderedPageBreak/>
        <w:t>At face value</w:t>
      </w:r>
      <w:r w:rsidR="006D38A4" w:rsidRPr="00240299">
        <w:t xml:space="preserve">, </w:t>
      </w:r>
      <w:r w:rsidRPr="00240299">
        <w:t xml:space="preserve">this increase in </w:t>
      </w:r>
      <w:r w:rsidR="00017192">
        <w:t xml:space="preserve">the rate of </w:t>
      </w:r>
      <w:r w:rsidRPr="00240299">
        <w:t>input</w:t>
      </w:r>
      <w:r w:rsidR="00CD330E" w:rsidRPr="00240299">
        <w:t xml:space="preserve"> </w:t>
      </w:r>
      <w:r w:rsidR="00017192">
        <w:t>growth</w:t>
      </w:r>
      <w:r w:rsidR="00017192" w:rsidRPr="00240299">
        <w:t xml:space="preserve"> </w:t>
      </w:r>
      <w:r w:rsidRPr="00240299">
        <w:t xml:space="preserve">as value added growth </w:t>
      </w:r>
      <w:r w:rsidR="00017192" w:rsidRPr="00240299">
        <w:t>slow</w:t>
      </w:r>
      <w:r w:rsidR="00017192">
        <w:t>ed</w:t>
      </w:r>
      <w:r w:rsidR="00017192" w:rsidRPr="00240299">
        <w:t xml:space="preserve"> </w:t>
      </w:r>
      <w:r w:rsidRPr="00240299">
        <w:t xml:space="preserve">is a puzzle. However, there are numerous factors that can influence </w:t>
      </w:r>
      <w:r w:rsidR="00E76076">
        <w:t xml:space="preserve">measured </w:t>
      </w:r>
      <w:r w:rsidRPr="00240299">
        <w:t>productivity</w:t>
      </w:r>
      <w:r w:rsidR="00E76076">
        <w:t>, as</w:t>
      </w:r>
      <w:r w:rsidRPr="00240299">
        <w:t xml:space="preserve"> discussed in the next section.</w:t>
      </w:r>
    </w:p>
    <w:p w:rsidR="00900E81" w:rsidRPr="00240299" w:rsidRDefault="00900E81" w:rsidP="00900E81">
      <w:pPr>
        <w:pStyle w:val="FigureTitle"/>
      </w:pPr>
      <w:r w:rsidRPr="00240299">
        <w:rPr>
          <w:b w:val="0"/>
        </w:rPr>
        <w:t xml:space="preserve">Figure </w:t>
      </w:r>
      <w:bookmarkStart w:id="20" w:name="OLE_LINK23"/>
      <w:r w:rsidR="00C9303E">
        <w:rPr>
          <w:b w:val="0"/>
        </w:rPr>
        <w:t>2.</w:t>
      </w:r>
      <w:r w:rsidR="004456C0">
        <w:rPr>
          <w:b w:val="0"/>
          <w:noProof/>
        </w:rPr>
        <w:t>10</w:t>
      </w:r>
      <w:bookmarkEnd w:id="20"/>
      <w:r w:rsidRPr="00240299">
        <w:tab/>
      </w:r>
      <w:r w:rsidR="006D75FE" w:rsidRPr="00240299">
        <w:t xml:space="preserve">Growth in </w:t>
      </w:r>
      <w:r w:rsidRPr="00240299">
        <w:t>Manufacturing MFP and its proximate causes</w:t>
      </w:r>
      <w:r w:rsidR="00A21459" w:rsidRPr="00240299">
        <w:t xml:space="preserve"> in</w:t>
      </w:r>
      <w:r w:rsidRPr="00240299">
        <w:t xml:space="preserve"> cycles 3 and 4</w:t>
      </w:r>
      <w:r w:rsidR="005B38DA" w:rsidRPr="005B38DA">
        <w:rPr>
          <w:rStyle w:val="NoteLabel"/>
          <w:b/>
        </w:rPr>
        <w:t>a</w:t>
      </w:r>
    </w:p>
    <w:p w:rsidR="00900E81" w:rsidRPr="00240299" w:rsidRDefault="00BD6875" w:rsidP="00900E81">
      <w:pPr>
        <w:pStyle w:val="Subtitle"/>
      </w:pPr>
      <w:r w:rsidRPr="00240299">
        <w:t>Average annual growth rate (per cent)</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900E81" w:rsidRPr="00240299" w:rsidTr="001C2BF5">
        <w:tc>
          <w:tcPr>
            <w:tcW w:w="8777" w:type="dxa"/>
          </w:tcPr>
          <w:p w:rsidR="00900E81" w:rsidRPr="00240299" w:rsidRDefault="007E3B51" w:rsidP="005300EC">
            <w:pPr>
              <w:pStyle w:val="Figure"/>
              <w:spacing w:before="60" w:after="60"/>
            </w:pPr>
            <w:r>
              <w:pict>
                <v:shape id="_x0000_i1034" type="#_x0000_t75" alt="Details on this figure can be found within the text immediately before this image" style="width:424.5pt;height:198pt">
                  <v:imagedata r:id="rId18" o:title=""/>
                </v:shape>
              </w:pict>
            </w:r>
          </w:p>
        </w:tc>
      </w:tr>
    </w:tbl>
    <w:p w:rsidR="00900E81" w:rsidRPr="00240299" w:rsidRDefault="00900E81" w:rsidP="00900E81">
      <w:pPr>
        <w:pStyle w:val="Source"/>
      </w:pPr>
      <w:r w:rsidRPr="00240299">
        <w:rPr>
          <w:rStyle w:val="NoteLabel"/>
        </w:rPr>
        <w:t xml:space="preserve">a </w:t>
      </w:r>
      <w:r w:rsidRPr="00240299">
        <w:t xml:space="preserve">Capital </w:t>
      </w:r>
      <w:r w:rsidR="003B1094" w:rsidRPr="00240299">
        <w:t xml:space="preserve">services </w:t>
      </w:r>
      <w:r w:rsidRPr="00240299">
        <w:t xml:space="preserve">and </w:t>
      </w:r>
      <w:r w:rsidR="003B1094" w:rsidRPr="00240299">
        <w:t xml:space="preserve">hours worked </w:t>
      </w:r>
      <w:r w:rsidRPr="00240299">
        <w:t xml:space="preserve">weighted by income shares. </w:t>
      </w:r>
    </w:p>
    <w:p w:rsidR="00C65FA7" w:rsidRPr="00240299" w:rsidRDefault="00C65FA7" w:rsidP="00C65FA7">
      <w:pPr>
        <w:pStyle w:val="Source"/>
      </w:pPr>
      <w:r w:rsidRPr="00240299">
        <w:rPr>
          <w:i/>
        </w:rPr>
        <w:t>Data source</w:t>
      </w:r>
      <w:r w:rsidRPr="00240299">
        <w:t>: Authors’ estimates based on ABS (</w:t>
      </w:r>
      <w:r w:rsidRPr="00240299">
        <w:rPr>
          <w:i/>
        </w:rPr>
        <w:t xml:space="preserve">Experimental Estimates of Industry Multifactor Productivity, 2010-11, </w:t>
      </w:r>
      <w:r w:rsidRPr="00240299">
        <w:t>Cat. no. 5260.0.55.002).</w:t>
      </w:r>
    </w:p>
    <w:p w:rsidR="001C76BA" w:rsidRPr="00240299" w:rsidRDefault="00C9303E" w:rsidP="001C76BA">
      <w:pPr>
        <w:pStyle w:val="Heading2"/>
      </w:pPr>
      <w:r>
        <w:t>2.</w:t>
      </w:r>
      <w:r w:rsidR="004456C0">
        <w:rPr>
          <w:noProof/>
        </w:rPr>
        <w:t>4</w:t>
      </w:r>
      <w:r w:rsidR="001C76BA" w:rsidRPr="00240299">
        <w:tab/>
      </w:r>
      <w:r w:rsidR="00B95CF2" w:rsidRPr="00240299">
        <w:t>I</w:t>
      </w:r>
      <w:r w:rsidR="001C76BA" w:rsidRPr="00240299">
        <w:t>nfluences on productivity</w:t>
      </w:r>
    </w:p>
    <w:p w:rsidR="00580DA8" w:rsidRPr="00240299" w:rsidRDefault="00580DA8" w:rsidP="00580DA8">
      <w:pPr>
        <w:pStyle w:val="BodyText"/>
      </w:pPr>
      <w:r w:rsidRPr="00240299">
        <w:t>At one level, an industry’s productivity growth performance simply reflects the rate of growth of outputs relative to inputs (the ‘proximate’ causes). But what drives changes in the pr</w:t>
      </w:r>
      <w:r w:rsidR="003809BF" w:rsidRPr="00240299">
        <w:t>oximate causes, and ultimately</w:t>
      </w:r>
      <w:r w:rsidRPr="00240299">
        <w:t xml:space="preserve"> influences productivity, is highly complex. </w:t>
      </w:r>
    </w:p>
    <w:p w:rsidR="00580DA8" w:rsidRPr="00240299" w:rsidRDefault="00580DA8" w:rsidP="00580DA8">
      <w:pPr>
        <w:pStyle w:val="BodyText"/>
      </w:pPr>
      <w:r w:rsidRPr="00240299">
        <w:t xml:space="preserve">This section </w:t>
      </w:r>
      <w:r w:rsidR="00362DE3" w:rsidRPr="00240299">
        <w:t xml:space="preserve">uses data for Manufacturing in aggregate to take an initial look at whether </w:t>
      </w:r>
      <w:r w:rsidRPr="00240299">
        <w:t xml:space="preserve">some of the commonly cited influences </w:t>
      </w:r>
      <w:r w:rsidR="00362DE3" w:rsidRPr="00240299">
        <w:t xml:space="preserve">were </w:t>
      </w:r>
      <w:r w:rsidR="00462E26" w:rsidRPr="00240299">
        <w:t xml:space="preserve">likely to be </w:t>
      </w:r>
      <w:r w:rsidR="00362DE3" w:rsidRPr="00240299">
        <w:t xml:space="preserve">the drivers of the </w:t>
      </w:r>
      <w:r w:rsidR="00362DE3" w:rsidRPr="00240299">
        <w:rPr>
          <w:i/>
        </w:rPr>
        <w:t>negative</w:t>
      </w:r>
      <w:r w:rsidR="00362DE3" w:rsidRPr="00240299">
        <w:t xml:space="preserve"> growth in MFP over cycle 4. However, before doing that it </w:t>
      </w:r>
      <w:r w:rsidRPr="00240299">
        <w:t xml:space="preserve">is </w:t>
      </w:r>
      <w:r w:rsidR="00362DE3" w:rsidRPr="00240299">
        <w:t xml:space="preserve">useful to </w:t>
      </w:r>
      <w:r w:rsidRPr="00240299">
        <w:t xml:space="preserve">consider </w:t>
      </w:r>
      <w:r w:rsidR="00EF455D" w:rsidRPr="00240299">
        <w:t xml:space="preserve">what negative MFP growth means. </w:t>
      </w:r>
    </w:p>
    <w:p w:rsidR="003247C2" w:rsidRPr="00240299" w:rsidRDefault="00EF455D" w:rsidP="003247C2">
      <w:pPr>
        <w:pStyle w:val="Heading3"/>
      </w:pPr>
      <w:r w:rsidRPr="00240299">
        <w:lastRenderedPageBreak/>
        <w:t>What does</w:t>
      </w:r>
      <w:r w:rsidR="00B3753B" w:rsidRPr="00240299">
        <w:t xml:space="preserve"> negative productivity growth</w:t>
      </w:r>
      <w:r w:rsidRPr="00240299">
        <w:t xml:space="preserve"> mean?</w:t>
      </w:r>
    </w:p>
    <w:p w:rsidR="00E1639B" w:rsidRPr="00240299" w:rsidRDefault="003809BF" w:rsidP="001258D3">
      <w:pPr>
        <w:pStyle w:val="BodyText"/>
        <w:spacing w:before="200"/>
      </w:pPr>
      <w:r w:rsidRPr="00240299">
        <w:t>MFP growth is sometimes interpreted as a measure of techn</w:t>
      </w:r>
      <w:r w:rsidR="00FB116F" w:rsidRPr="00240299">
        <w:t>ical</w:t>
      </w:r>
      <w:r w:rsidRPr="00240299">
        <w:t xml:space="preserve"> progress</w:t>
      </w:r>
      <w:r w:rsidR="009179C0" w:rsidRPr="00240299">
        <w:t xml:space="preserve"> — and in that context a negative rate of MFP growth might be thought to suggest technical regress (which would be unusual). However, </w:t>
      </w:r>
      <w:r w:rsidR="00C90CF2" w:rsidRPr="00240299">
        <w:t xml:space="preserve">as noted </w:t>
      </w:r>
      <w:r w:rsidR="00E1639B" w:rsidRPr="00240299">
        <w:t>earlier in the chapter</w:t>
      </w:r>
      <w:r w:rsidR="00C90CF2" w:rsidRPr="00240299">
        <w:t xml:space="preserve">, </w:t>
      </w:r>
      <w:r w:rsidR="0087409F">
        <w:t>many o</w:t>
      </w:r>
      <w:r w:rsidRPr="00240299">
        <w:t xml:space="preserve">ther </w:t>
      </w:r>
      <w:r w:rsidR="000F7F67" w:rsidRPr="00240299">
        <w:t>factors affect</w:t>
      </w:r>
      <w:r w:rsidRPr="00240299">
        <w:t xml:space="preserve"> the </w:t>
      </w:r>
      <w:r w:rsidR="0040060D">
        <w:t xml:space="preserve">real cost of production and hence the </w:t>
      </w:r>
      <w:r w:rsidRPr="00240299">
        <w:t>rate of MFP growth</w:t>
      </w:r>
      <w:r w:rsidR="0087409F">
        <w:t>, including:</w:t>
      </w:r>
      <w:r w:rsidR="00E1639B" w:rsidRPr="00240299">
        <w:t xml:space="preserve"> </w:t>
      </w:r>
      <w:r w:rsidRPr="00240299">
        <w:t>economies of scale</w:t>
      </w:r>
      <w:r w:rsidR="00E1639B" w:rsidRPr="00240299">
        <w:t xml:space="preserve">; </w:t>
      </w:r>
      <w:r w:rsidRPr="00240299">
        <w:t>changes in management practices</w:t>
      </w:r>
      <w:r w:rsidR="0087409F">
        <w:t xml:space="preserve"> and the skill of the labour force</w:t>
      </w:r>
      <w:r w:rsidR="00E1639B" w:rsidRPr="00240299">
        <w:t xml:space="preserve">; </w:t>
      </w:r>
      <w:r w:rsidR="0087409F">
        <w:t xml:space="preserve">and </w:t>
      </w:r>
      <w:r w:rsidR="00FB4E75" w:rsidRPr="00240299">
        <w:t>climate</w:t>
      </w:r>
      <w:r w:rsidR="002030C2">
        <w:t>, water and other natural resource</w:t>
      </w:r>
      <w:r w:rsidR="00FB4E75" w:rsidRPr="00240299">
        <w:t xml:space="preserve"> availability</w:t>
      </w:r>
      <w:r w:rsidR="00E1639B" w:rsidRPr="00240299">
        <w:t xml:space="preserve">; </w:t>
      </w:r>
      <w:r w:rsidR="002030C2">
        <w:t xml:space="preserve">and </w:t>
      </w:r>
      <w:r w:rsidRPr="00240299">
        <w:t>variations in capacity utilisation</w:t>
      </w:r>
      <w:r w:rsidR="002030C2">
        <w:t>. In addition, there can be</w:t>
      </w:r>
      <w:r w:rsidR="00E1639B" w:rsidRPr="00240299">
        <w:t xml:space="preserve"> </w:t>
      </w:r>
      <w:r w:rsidR="00FB4E75" w:rsidRPr="00240299">
        <w:t>errors in the measurement of outputs and inputs.</w:t>
      </w:r>
      <w:r w:rsidR="0087409F">
        <w:t xml:space="preserve"> </w:t>
      </w:r>
      <w:r w:rsidR="00E1639B" w:rsidRPr="00240299">
        <w:t xml:space="preserve">Given this range of factors, </w:t>
      </w:r>
      <w:r w:rsidR="009B0BD9" w:rsidRPr="00240299">
        <w:t xml:space="preserve">the possibility of </w:t>
      </w:r>
      <w:r w:rsidR="00E1639B" w:rsidRPr="00240299">
        <w:t xml:space="preserve">negative rates of growth in the MFP measure </w:t>
      </w:r>
      <w:r w:rsidR="009B0BD9" w:rsidRPr="00240299">
        <w:t>is easier to understand.</w:t>
      </w:r>
      <w:r w:rsidR="00F119ED" w:rsidRPr="00240299">
        <w:rPr>
          <w:rStyle w:val="FootnoteReference"/>
        </w:rPr>
        <w:footnoteReference w:id="13"/>
      </w:r>
      <w:r w:rsidR="00E1639B" w:rsidRPr="00240299">
        <w:t xml:space="preserve"> </w:t>
      </w:r>
    </w:p>
    <w:p w:rsidR="009B0BD9" w:rsidRPr="00240299" w:rsidRDefault="00C072D0" w:rsidP="001258D3">
      <w:pPr>
        <w:pStyle w:val="ListBullet"/>
        <w:spacing w:before="100"/>
      </w:pPr>
      <w:r w:rsidRPr="00240299">
        <w:t xml:space="preserve">A fall in capacity utilisation can lead to a decline in output without any commensurate decrease in measured inputs, so MFP growth can be negative. </w:t>
      </w:r>
    </w:p>
    <w:p w:rsidR="000F7F67" w:rsidRPr="00240299" w:rsidRDefault="00FB4E75" w:rsidP="001258D3">
      <w:pPr>
        <w:pStyle w:val="ListBullet"/>
        <w:spacing w:before="100"/>
      </w:pPr>
      <w:r w:rsidRPr="00240299">
        <w:t xml:space="preserve">Errors (or limitations) in </w:t>
      </w:r>
      <w:r w:rsidR="005D0309" w:rsidRPr="00240299">
        <w:t xml:space="preserve">measurement </w:t>
      </w:r>
      <w:r w:rsidR="0087409F">
        <w:t>— f</w:t>
      </w:r>
      <w:r w:rsidR="00C072D0" w:rsidRPr="00240299">
        <w:t>or example</w:t>
      </w:r>
      <w:r w:rsidR="005E158D" w:rsidRPr="00240299">
        <w:t>:</w:t>
      </w:r>
      <w:r w:rsidR="00C072D0" w:rsidRPr="00240299">
        <w:t xml:space="preserve"> </w:t>
      </w:r>
    </w:p>
    <w:p w:rsidR="000F7F67" w:rsidRPr="00240299" w:rsidRDefault="00C072D0" w:rsidP="001258D3">
      <w:pPr>
        <w:pStyle w:val="ListBullet2"/>
        <w:spacing w:before="100"/>
      </w:pPr>
      <w:r w:rsidRPr="00240299">
        <w:t>output</w:t>
      </w:r>
      <w:r w:rsidR="000F7F67" w:rsidRPr="00240299">
        <w:t xml:space="preserve"> growth may be understated if there have been improvements in the quality of output that are not well measured, or where the benefits of new product standards that businesses need to meet </w:t>
      </w:r>
      <w:r w:rsidR="0087409F">
        <w:t xml:space="preserve">(which require higher levels of measured inputs) </w:t>
      </w:r>
      <w:r w:rsidR="000F7F67" w:rsidRPr="00240299">
        <w:t>are not reflected in measured output</w:t>
      </w:r>
    </w:p>
    <w:p w:rsidR="000F7F67" w:rsidRPr="00240299" w:rsidRDefault="000F7F67" w:rsidP="001258D3">
      <w:pPr>
        <w:pStyle w:val="ListBullet2"/>
        <w:spacing w:before="100"/>
      </w:pPr>
      <w:r w:rsidRPr="00240299">
        <w:t>capital growth may be overstated where there is a lag between when investment is recorded and when the capital starts producing output</w:t>
      </w:r>
      <w:r w:rsidR="0087409F">
        <w:t xml:space="preserve"> (as has been amply demonstrated in Mining in recent years)</w:t>
      </w:r>
      <w:r w:rsidRPr="00240299">
        <w:t>.</w:t>
      </w:r>
    </w:p>
    <w:p w:rsidR="000F7F67" w:rsidRPr="00240299" w:rsidRDefault="005D0309" w:rsidP="001258D3">
      <w:pPr>
        <w:pStyle w:val="BodyText"/>
        <w:spacing w:before="200"/>
      </w:pPr>
      <w:r w:rsidRPr="00240299">
        <w:t>A</w:t>
      </w:r>
      <w:r w:rsidR="000F7F67" w:rsidRPr="00240299">
        <w:t>lso</w:t>
      </w:r>
      <w:r w:rsidRPr="00240299">
        <w:t xml:space="preserve">, </w:t>
      </w:r>
      <w:r w:rsidR="00FB116F" w:rsidRPr="00240299">
        <w:t xml:space="preserve">aggregate measures of MFP, such as those for an industry sector, can be affected by changes in the composition of that sector. </w:t>
      </w:r>
      <w:r w:rsidR="009A798E" w:rsidRPr="00240299">
        <w:t>A shift in the relative size of industries within Manufacturing toward those with relatively lower productivity</w:t>
      </w:r>
      <w:r w:rsidR="00FB116F" w:rsidRPr="00240299">
        <w:t xml:space="preserve"> growth</w:t>
      </w:r>
      <w:r w:rsidR="009A798E" w:rsidRPr="00240299">
        <w:t xml:space="preserve"> could result in negative MFP growth for Manufacturing in aggregate</w:t>
      </w:r>
      <w:r w:rsidR="00C96D1F">
        <w:t>, without any change in the productivity of the individual industries</w:t>
      </w:r>
      <w:r w:rsidR="009A798E" w:rsidRPr="00240299">
        <w:t>.</w:t>
      </w:r>
    </w:p>
    <w:p w:rsidR="00D5679F" w:rsidRPr="00240299" w:rsidRDefault="009A798E" w:rsidP="001258D3">
      <w:pPr>
        <w:pStyle w:val="BodyText"/>
        <w:spacing w:before="200"/>
      </w:pPr>
      <w:r w:rsidRPr="00240299">
        <w:t>It is also worth bearing in mind that some of the</w:t>
      </w:r>
      <w:r w:rsidR="00C072D0" w:rsidRPr="00240299">
        <w:t>se</w:t>
      </w:r>
      <w:r w:rsidRPr="00240299">
        <w:t xml:space="preserve"> factors are likely to be more </w:t>
      </w:r>
      <w:r w:rsidR="005573BF" w:rsidRPr="00240299">
        <w:t>pronounced</w:t>
      </w:r>
      <w:r w:rsidRPr="00240299">
        <w:t xml:space="preserve"> during periods of </w:t>
      </w:r>
      <w:r w:rsidR="004707BB">
        <w:t xml:space="preserve">more rapid </w:t>
      </w:r>
      <w:r w:rsidRPr="00240299">
        <w:t>adjustment. For example</w:t>
      </w:r>
      <w:r w:rsidR="00BC12B6" w:rsidRPr="00240299">
        <w:t xml:space="preserve">, </w:t>
      </w:r>
      <w:r w:rsidR="006322B0" w:rsidRPr="00240299">
        <w:t xml:space="preserve">a period of structural change in the economy </w:t>
      </w:r>
      <w:r w:rsidR="00635FE7" w:rsidRPr="00240299">
        <w:t>that</w:t>
      </w:r>
      <w:r w:rsidR="006322B0" w:rsidRPr="00240299">
        <w:t xml:space="preserve"> involved</w:t>
      </w:r>
      <w:r w:rsidR="00C072D0" w:rsidRPr="00240299">
        <w:t xml:space="preserve"> </w:t>
      </w:r>
      <w:r w:rsidR="006322B0" w:rsidRPr="00240299">
        <w:t>an increased</w:t>
      </w:r>
      <w:r w:rsidR="00C072D0" w:rsidRPr="00240299">
        <w:t xml:space="preserve"> rate of business creation and destruction could temporarily lower </w:t>
      </w:r>
      <w:r w:rsidR="00BC12B6" w:rsidRPr="00240299">
        <w:t xml:space="preserve">measured </w:t>
      </w:r>
      <w:r w:rsidR="00C072D0" w:rsidRPr="00240299">
        <w:t xml:space="preserve">productivity </w:t>
      </w:r>
      <w:r w:rsidR="006322B0" w:rsidRPr="00240299">
        <w:t xml:space="preserve">— </w:t>
      </w:r>
      <w:r w:rsidR="00C072D0" w:rsidRPr="00240299">
        <w:t xml:space="preserve">through </w:t>
      </w:r>
      <w:r w:rsidR="00BC12B6" w:rsidRPr="00240299">
        <w:t>decreases</w:t>
      </w:r>
      <w:r w:rsidR="00C072D0" w:rsidRPr="00240299">
        <w:t xml:space="preserve"> in </w:t>
      </w:r>
      <w:r w:rsidR="004F04C5">
        <w:t xml:space="preserve">average </w:t>
      </w:r>
      <w:r w:rsidR="00C072D0" w:rsidRPr="00240299">
        <w:t>capacity utilisation.</w:t>
      </w:r>
      <w:r w:rsidR="00BC12B6" w:rsidRPr="00240299">
        <w:t xml:space="preserve"> Similarly, shifts to new technologies and organisational structure</w:t>
      </w:r>
      <w:r w:rsidR="00DA3AA2">
        <w:t>s</w:t>
      </w:r>
      <w:r w:rsidR="00BC12B6" w:rsidRPr="00240299">
        <w:t xml:space="preserve">, which are aimed at increasing future productivity, may temporarily disrupt output or lead to </w:t>
      </w:r>
      <w:r w:rsidR="00DF7A1C">
        <w:t xml:space="preserve">an </w:t>
      </w:r>
      <w:r w:rsidR="00BC12B6" w:rsidRPr="00240299">
        <w:t>increase in inputs ahead of any increase in output.</w:t>
      </w:r>
      <w:r w:rsidR="00AC14E3">
        <w:t xml:space="preserve"> However, structural change is a response to </w:t>
      </w:r>
      <w:r w:rsidR="00D26A4E">
        <w:t xml:space="preserve">long-term </w:t>
      </w:r>
      <w:r w:rsidR="00AC14E3">
        <w:t>changes in relative prices</w:t>
      </w:r>
      <w:r w:rsidR="00D26A4E">
        <w:t xml:space="preserve">. The resulting improvement in </w:t>
      </w:r>
      <w:r w:rsidR="00AC14E3">
        <w:t xml:space="preserve">allocative efficiency, or how well resources </w:t>
      </w:r>
      <w:r w:rsidR="00AC14E3">
        <w:lastRenderedPageBreak/>
        <w:t>are allocated to production that meets the preferences of the population, is an important source of economic welfare.</w:t>
      </w:r>
    </w:p>
    <w:p w:rsidR="006A6878" w:rsidRPr="00240299" w:rsidRDefault="006A6878" w:rsidP="001258D3">
      <w:pPr>
        <w:pStyle w:val="Heading3"/>
        <w:spacing w:before="480"/>
      </w:pPr>
      <w:r w:rsidRPr="00240299">
        <w:t xml:space="preserve">Possible </w:t>
      </w:r>
      <w:r w:rsidR="002658CA" w:rsidRPr="00240299">
        <w:t xml:space="preserve">influences </w:t>
      </w:r>
      <w:r w:rsidR="00F119ED" w:rsidRPr="00240299">
        <w:t>on</w:t>
      </w:r>
      <w:r w:rsidRPr="00240299">
        <w:t xml:space="preserve"> </w:t>
      </w:r>
      <w:r w:rsidR="00F119ED" w:rsidRPr="00240299">
        <w:t xml:space="preserve">the recent decline in Manufacturing productivity </w:t>
      </w:r>
    </w:p>
    <w:p w:rsidR="005C32BB" w:rsidRPr="00240299" w:rsidRDefault="006241A5" w:rsidP="001258D3">
      <w:pPr>
        <w:pStyle w:val="BodyText"/>
        <w:spacing w:before="200"/>
        <w:rPr>
          <w:rFonts w:ascii="Arial" w:hAnsi="Arial"/>
          <w:i/>
          <w:sz w:val="24"/>
        </w:rPr>
      </w:pPr>
      <w:r w:rsidRPr="00240299">
        <w:t xml:space="preserve">Some </w:t>
      </w:r>
      <w:r w:rsidR="002658CA" w:rsidRPr="00240299">
        <w:t xml:space="preserve">influences </w:t>
      </w:r>
      <w:r w:rsidRPr="00240299">
        <w:t xml:space="preserve">are commonly cited as important </w:t>
      </w:r>
      <w:r w:rsidR="002658CA" w:rsidRPr="00240299">
        <w:t>for</w:t>
      </w:r>
      <w:r w:rsidRPr="00240299">
        <w:t xml:space="preserve"> Manufacturing productivity. But </w:t>
      </w:r>
      <w:r w:rsidR="00AB42CA">
        <w:t xml:space="preserve">it is not clear from the </w:t>
      </w:r>
      <w:r w:rsidR="00AB42CA" w:rsidRPr="0076603D">
        <w:rPr>
          <w:i/>
        </w:rPr>
        <w:t>aggregate</w:t>
      </w:r>
      <w:r w:rsidR="00AB42CA">
        <w:t xml:space="preserve"> data whether these influences played a major role </w:t>
      </w:r>
      <w:r w:rsidR="004569E0" w:rsidRPr="00240299">
        <w:t xml:space="preserve">in the </w:t>
      </w:r>
      <w:r w:rsidRPr="00240299">
        <w:t xml:space="preserve">recent </w:t>
      </w:r>
      <w:r w:rsidR="002658CA" w:rsidRPr="00240299">
        <w:t xml:space="preserve">negative growth in </w:t>
      </w:r>
      <w:r w:rsidR="00236A84" w:rsidRPr="00240299">
        <w:t xml:space="preserve">Manufacturing </w:t>
      </w:r>
      <w:r w:rsidR="002658CA" w:rsidRPr="00240299">
        <w:t>MFP</w:t>
      </w:r>
      <w:r w:rsidR="00AB42CA">
        <w:t>.</w:t>
      </w:r>
      <w:r w:rsidR="00E013CD" w:rsidRPr="00240299">
        <w:t xml:space="preserve"> </w:t>
      </w:r>
    </w:p>
    <w:p w:rsidR="00914B68" w:rsidRPr="00240299" w:rsidRDefault="000D4250" w:rsidP="001258D3">
      <w:pPr>
        <w:pStyle w:val="Heading4"/>
        <w:spacing w:before="360"/>
      </w:pPr>
      <w:r w:rsidRPr="00240299">
        <w:t>Technical progress and innovation</w:t>
      </w:r>
    </w:p>
    <w:p w:rsidR="00626C75" w:rsidRPr="00240299" w:rsidRDefault="000D4250" w:rsidP="001258D3">
      <w:pPr>
        <w:pStyle w:val="BodyText"/>
        <w:spacing w:before="200"/>
      </w:pPr>
      <w:r w:rsidRPr="00240299">
        <w:t>Research and development (</w:t>
      </w:r>
      <w:r w:rsidR="00DD65EA" w:rsidRPr="00240299">
        <w:t>R&amp;D</w:t>
      </w:r>
      <w:r w:rsidRPr="00240299">
        <w:t>)</w:t>
      </w:r>
      <w:r w:rsidR="00DD65EA" w:rsidRPr="00240299">
        <w:t xml:space="preserve"> is an underlying driver of productivity growth as it is an input </w:t>
      </w:r>
      <w:r w:rsidR="00A670A3" w:rsidRPr="00240299">
        <w:t>in</w:t>
      </w:r>
      <w:r w:rsidR="00DD65EA" w:rsidRPr="00240299">
        <w:t xml:space="preserve">to innovation, which leads to new products and more efficient production processes. </w:t>
      </w:r>
      <w:r w:rsidR="00881CB3">
        <w:t>Hence, d</w:t>
      </w:r>
      <w:r w:rsidR="0076603D">
        <w:t>eclines</w:t>
      </w:r>
      <w:r w:rsidR="0076603D" w:rsidRPr="00240299">
        <w:t xml:space="preserve"> </w:t>
      </w:r>
      <w:r w:rsidRPr="00240299">
        <w:t>in the amount of R&amp;D undertaken are often raised as a possible source of productivity slowdown.</w:t>
      </w:r>
    </w:p>
    <w:p w:rsidR="00DD65EA" w:rsidRPr="00240299" w:rsidRDefault="00881CB3" w:rsidP="001258D3">
      <w:pPr>
        <w:pStyle w:val="BodyText"/>
        <w:spacing w:before="200"/>
      </w:pPr>
      <w:r>
        <w:t xml:space="preserve">This explanation for the decline in Manufacturing </w:t>
      </w:r>
      <w:r w:rsidR="003C1025">
        <w:t xml:space="preserve">MFP </w:t>
      </w:r>
      <w:r>
        <w:t>over cycle 4 is doubtful as there was</w:t>
      </w:r>
      <w:r w:rsidR="00E013CD" w:rsidRPr="00240299">
        <w:t xml:space="preserve"> </w:t>
      </w:r>
      <w:r w:rsidR="0013483F" w:rsidRPr="00240299">
        <w:t>no</w:t>
      </w:r>
      <w:r w:rsidR="00A57AF9" w:rsidRPr="00240299">
        <w:t xml:space="preserve"> significant </w:t>
      </w:r>
      <w:r w:rsidR="0013483F" w:rsidRPr="00240299">
        <w:t xml:space="preserve">fall </w:t>
      </w:r>
      <w:r w:rsidR="00A57AF9" w:rsidRPr="00240299">
        <w:t xml:space="preserve">in R&amp;D </w:t>
      </w:r>
      <w:r w:rsidR="00635FE7" w:rsidRPr="00240299">
        <w:t>expenditure</w:t>
      </w:r>
      <w:r w:rsidR="00A57AF9" w:rsidRPr="00240299">
        <w:t xml:space="preserve"> </w:t>
      </w:r>
      <w:r w:rsidR="00996B23" w:rsidRPr="00240299">
        <w:t>in the period preceding</w:t>
      </w:r>
      <w:r w:rsidR="00A57AF9" w:rsidRPr="00240299">
        <w:t xml:space="preserve"> </w:t>
      </w:r>
      <w:r w:rsidR="0093425E" w:rsidRPr="00240299">
        <w:t>cycle </w:t>
      </w:r>
      <w:r w:rsidR="00E23E05" w:rsidRPr="00240299">
        <w:t>4</w:t>
      </w:r>
      <w:r w:rsidR="00E013CD" w:rsidRPr="00240299">
        <w:t xml:space="preserve"> (f</w:t>
      </w:r>
      <w:r w:rsidR="00DD65EA" w:rsidRPr="00240299">
        <w:t>igure</w:t>
      </w:r>
      <w:r w:rsidR="000D4250" w:rsidRPr="00240299">
        <w:t> </w:t>
      </w:r>
      <w:r w:rsidR="00C9303E">
        <w:t>2.11</w:t>
      </w:r>
      <w:r w:rsidR="005E7228" w:rsidRPr="00240299">
        <w:t>, left panel</w:t>
      </w:r>
      <w:r w:rsidR="00E013CD" w:rsidRPr="00240299">
        <w:t>)</w:t>
      </w:r>
      <w:r w:rsidR="00635FE7" w:rsidRPr="00240299">
        <w:t>.</w:t>
      </w:r>
      <w:r w:rsidR="00DD65EA" w:rsidRPr="00240299">
        <w:t xml:space="preserve"> </w:t>
      </w:r>
      <w:r w:rsidR="00524D2A" w:rsidRPr="00240299">
        <w:t>Manufacturing</w:t>
      </w:r>
      <w:r w:rsidR="00DD65EA" w:rsidRPr="00240299">
        <w:t xml:space="preserve"> R&amp;D </w:t>
      </w:r>
      <w:r w:rsidR="00E013CD" w:rsidRPr="00240299">
        <w:t>investment (</w:t>
      </w:r>
      <w:r w:rsidR="00DD65EA" w:rsidRPr="00240299">
        <w:t>in real terms</w:t>
      </w:r>
      <w:r w:rsidR="00E013CD" w:rsidRPr="00240299">
        <w:t>)</w:t>
      </w:r>
      <w:r w:rsidR="00DD65EA" w:rsidRPr="00240299">
        <w:t xml:space="preserve"> </w:t>
      </w:r>
      <w:r w:rsidR="00E013CD" w:rsidRPr="00240299">
        <w:t xml:space="preserve">increased </w:t>
      </w:r>
      <w:r w:rsidR="00DD65EA" w:rsidRPr="00240299">
        <w:t>over both cycles 3 and 4</w:t>
      </w:r>
      <w:r w:rsidR="006A77AE" w:rsidRPr="00240299">
        <w:t xml:space="preserve">, </w:t>
      </w:r>
      <w:r w:rsidR="00190EEC" w:rsidRPr="00240299">
        <w:t xml:space="preserve">and </w:t>
      </w:r>
      <w:r w:rsidR="00E013CD" w:rsidRPr="00240299">
        <w:t xml:space="preserve">the average level of the </w:t>
      </w:r>
      <w:r w:rsidR="00190EEC" w:rsidRPr="00240299">
        <w:t xml:space="preserve">R&amp;D capital stock </w:t>
      </w:r>
      <w:r w:rsidR="00E013CD" w:rsidRPr="00240299">
        <w:t xml:space="preserve">was </w:t>
      </w:r>
      <w:r w:rsidR="00190EEC" w:rsidRPr="00240299">
        <w:t>higher in cycle 4 than in cycle</w:t>
      </w:r>
      <w:r w:rsidR="00B71000" w:rsidRPr="00240299">
        <w:t> </w:t>
      </w:r>
      <w:r w:rsidR="00190EEC" w:rsidRPr="00240299">
        <w:t xml:space="preserve">3. </w:t>
      </w:r>
    </w:p>
    <w:p w:rsidR="00DD65EA" w:rsidRPr="00240299" w:rsidRDefault="00DD65EA" w:rsidP="001258D3">
      <w:pPr>
        <w:pStyle w:val="FigureTitle"/>
        <w:spacing w:before="240"/>
      </w:pPr>
      <w:r w:rsidRPr="00240299">
        <w:rPr>
          <w:b w:val="0"/>
        </w:rPr>
        <w:t xml:space="preserve">Figure </w:t>
      </w:r>
      <w:bookmarkStart w:id="21" w:name="OLE_LINK17"/>
      <w:r w:rsidR="00C9303E">
        <w:rPr>
          <w:b w:val="0"/>
        </w:rPr>
        <w:t>2.</w:t>
      </w:r>
      <w:r w:rsidR="004456C0">
        <w:rPr>
          <w:b w:val="0"/>
          <w:noProof/>
        </w:rPr>
        <w:t>11</w:t>
      </w:r>
      <w:bookmarkEnd w:id="21"/>
      <w:r w:rsidRPr="00240299">
        <w:tab/>
      </w:r>
      <w:r w:rsidR="00BC2159" w:rsidRPr="00240299">
        <w:t xml:space="preserve">Manufacturing </w:t>
      </w:r>
      <w:r w:rsidRPr="00240299">
        <w:t>R&amp;D</w:t>
      </w:r>
      <w:r w:rsidR="005E7228" w:rsidRPr="00240299">
        <w:rPr>
          <w:rStyle w:val="NoteLabel"/>
          <w:b/>
        </w:rPr>
        <w:t>a</w:t>
      </w:r>
      <w:r w:rsidRPr="00240299">
        <w:t xml:space="preserve"> and MFP</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4388"/>
        <w:gridCol w:w="4389"/>
      </w:tblGrid>
      <w:tr w:rsidR="008F0B62" w:rsidRPr="00240299" w:rsidTr="00FF3B97">
        <w:tc>
          <w:tcPr>
            <w:tcW w:w="4388" w:type="dxa"/>
          </w:tcPr>
          <w:p w:rsidR="008F0B62" w:rsidRPr="00240299" w:rsidRDefault="007E3B51" w:rsidP="00980B53">
            <w:pPr>
              <w:pStyle w:val="Figure"/>
              <w:spacing w:before="0" w:after="0"/>
            </w:pPr>
            <w:r>
              <w:pict>
                <v:shape id="_x0000_i1035" type="#_x0000_t75" alt="This figure comprises two charts. The first chart shows that there was not a significant fall in R&amp;D expenditure in the period preceding the recent decline in Manufacturing MFP over cycle 4. Manufacturing R&amp;D investment (in real terms) increased over both cycles 3 and 4, and the average level of the R&amp;D capital stock was higher in cycle 4 than in cycle 3. The second chart shows that Manufacturing’s ‘R&amp;D intensity’ was also higher in cycle 4 than cycle 3." style="width:206.25pt;height:198pt">
                  <v:imagedata r:id="rId19" o:title=""/>
                </v:shape>
              </w:pict>
            </w:r>
          </w:p>
        </w:tc>
        <w:tc>
          <w:tcPr>
            <w:tcW w:w="4389" w:type="dxa"/>
          </w:tcPr>
          <w:p w:rsidR="008F0B62" w:rsidRPr="00240299" w:rsidRDefault="007E3B51" w:rsidP="00980B53">
            <w:pPr>
              <w:pStyle w:val="Figure"/>
              <w:spacing w:before="0" w:after="0"/>
            </w:pPr>
            <w:r>
              <w:pict>
                <v:shape id="_x0000_i1036" type="#_x0000_t75" alt="This figure comprises two charts. The first chart shows that there was not a significant fall in R&amp;D expenditure in the period preceding the recent decline in Manufacturing MFP over cycle 4. Manufacturing R&amp;D investment (in real terms) increased over both cycles 3 and 4, and the average level of the R&amp;D capital stock was higher in cycle 4 than in cycle 3. The second chart shows that Manufacturing’s ‘R&amp;D intensity’ was also higher in cycle 4 than cycle 3." style="width:206.25pt;height:198pt">
                  <v:imagedata r:id="rId20" o:title=""/>
                </v:shape>
              </w:pict>
            </w:r>
          </w:p>
        </w:tc>
      </w:tr>
    </w:tbl>
    <w:p w:rsidR="000111FC" w:rsidRPr="00240299" w:rsidRDefault="000111FC" w:rsidP="000111FC">
      <w:pPr>
        <w:pStyle w:val="Note"/>
      </w:pPr>
      <w:r w:rsidRPr="00240299">
        <w:rPr>
          <w:rStyle w:val="NoteLabel"/>
        </w:rPr>
        <w:t xml:space="preserve">a </w:t>
      </w:r>
      <w:r w:rsidRPr="00240299">
        <w:t xml:space="preserve">R&amp;D investment measure </w:t>
      </w:r>
      <w:r w:rsidR="008709B9" w:rsidRPr="00240299">
        <w:t>is R&amp;D gross fixed capital formation</w:t>
      </w:r>
      <w:r w:rsidR="00A12FE9" w:rsidRPr="00240299">
        <w:t xml:space="preserve"> </w:t>
      </w:r>
      <w:r w:rsidR="00F956B5" w:rsidRPr="00240299">
        <w:t>(</w:t>
      </w:r>
      <w:r w:rsidR="00A12FE9" w:rsidRPr="00240299">
        <w:t>chain volume measure</w:t>
      </w:r>
      <w:r w:rsidR="00F956B5" w:rsidRPr="00240299">
        <w:t>)</w:t>
      </w:r>
      <w:r w:rsidR="008709B9" w:rsidRPr="00240299">
        <w:t>. R&amp;D capital stock measure is R&amp;D net capital stock</w:t>
      </w:r>
      <w:r w:rsidR="00F956B5" w:rsidRPr="00240299">
        <w:t xml:space="preserve"> (chain volume measure)</w:t>
      </w:r>
      <w:r w:rsidR="0093425E" w:rsidRPr="00240299">
        <w:t>. R&amp;D intensity is R&amp;D gross fixed capital formation as a percentage of value added (current prices).</w:t>
      </w:r>
    </w:p>
    <w:p w:rsidR="00DD65EA" w:rsidRPr="00240299" w:rsidRDefault="00DD65EA" w:rsidP="00DD65EA">
      <w:pPr>
        <w:pStyle w:val="Source"/>
      </w:pPr>
      <w:r w:rsidRPr="00240299">
        <w:rPr>
          <w:i/>
        </w:rPr>
        <w:t>Data source</w:t>
      </w:r>
      <w:r w:rsidR="0087304C" w:rsidRPr="00240299">
        <w:rPr>
          <w:i/>
        </w:rPr>
        <w:t>s</w:t>
      </w:r>
      <w:r w:rsidRPr="00240299">
        <w:t>: ABS (</w:t>
      </w:r>
      <w:r w:rsidRPr="00240299">
        <w:rPr>
          <w:i/>
        </w:rPr>
        <w:t xml:space="preserve">Australian System of National Accounts, 2010-11, </w:t>
      </w:r>
      <w:r w:rsidRPr="00240299">
        <w:t>Cat. no. 5204.0); ABS</w:t>
      </w:r>
      <w:r w:rsidRPr="00240299">
        <w:rPr>
          <w:i/>
        </w:rPr>
        <w:t xml:space="preserve"> </w:t>
      </w:r>
      <w:r w:rsidRPr="00240299">
        <w:t>(</w:t>
      </w:r>
      <w:r w:rsidRPr="00240299">
        <w:rPr>
          <w:i/>
        </w:rPr>
        <w:t xml:space="preserve">Experimental Estimates of Industry Multifactor Productivity, 2010-11, </w:t>
      </w:r>
      <w:r w:rsidRPr="00240299">
        <w:t>Cat. no. 5260.0.55.002).</w:t>
      </w:r>
    </w:p>
    <w:p w:rsidR="007E0661" w:rsidRPr="00240299" w:rsidRDefault="007E0661" w:rsidP="007E0661">
      <w:pPr>
        <w:pStyle w:val="BodyText"/>
      </w:pPr>
      <w:r w:rsidRPr="00240299">
        <w:lastRenderedPageBreak/>
        <w:t xml:space="preserve">Manufacturing’s ‘R&amp;D intensity’ (R&amp;D investment as a share of value added) was also higher in cycle 4 than cycle 3 — 2.9 per cent on average compared with 1.8 per cent (figure </w:t>
      </w:r>
      <w:r w:rsidR="00C9303E">
        <w:t>2.11</w:t>
      </w:r>
      <w:r w:rsidRPr="00240299">
        <w:t xml:space="preserve">, right panel). Moreover, R&amp;D intensity increased at a faster rate in cycle 4 (13.0 per cent a year) than in cycle 3 (8.4 per cent a year), due to stronger growth in R&amp;D investment </w:t>
      </w:r>
      <w:r w:rsidRPr="00240299">
        <w:rPr>
          <w:i/>
        </w:rPr>
        <w:t>and</w:t>
      </w:r>
      <w:r w:rsidRPr="00240299">
        <w:t xml:space="preserve"> slower growth in value added.</w:t>
      </w:r>
      <w:r w:rsidRPr="00240299">
        <w:rPr>
          <w:rStyle w:val="FootnoteReference"/>
        </w:rPr>
        <w:footnoteReference w:id="14"/>
      </w:r>
      <w:r w:rsidRPr="00240299">
        <w:t xml:space="preserve"> </w:t>
      </w:r>
    </w:p>
    <w:p w:rsidR="00ED0822" w:rsidRPr="00240299" w:rsidRDefault="00DD65EA" w:rsidP="00DD65EA">
      <w:pPr>
        <w:pStyle w:val="BodyText"/>
      </w:pPr>
      <w:r w:rsidRPr="00240299">
        <w:t xml:space="preserve">Given that the rate of growth of R&amp;D investment and R&amp;D intensity </w:t>
      </w:r>
      <w:r w:rsidR="00C752E8">
        <w:t>has</w:t>
      </w:r>
      <w:r w:rsidRPr="00240299">
        <w:t xml:space="preserve"> been strong over both cycles, this would tend to diminish the argument that a </w:t>
      </w:r>
      <w:r w:rsidR="006521C3">
        <w:t>decline in</w:t>
      </w:r>
      <w:r w:rsidRPr="00240299">
        <w:t xml:space="preserve"> recent R&amp;D activity by </w:t>
      </w:r>
      <w:r w:rsidR="000F3FC7" w:rsidRPr="00240299">
        <w:t xml:space="preserve">Manufacturing </w:t>
      </w:r>
      <w:r w:rsidRPr="00240299">
        <w:t xml:space="preserve">is </w:t>
      </w:r>
      <w:r w:rsidR="00886A33" w:rsidRPr="00240299">
        <w:t xml:space="preserve">a major driver of the steep decline in </w:t>
      </w:r>
      <w:r w:rsidRPr="00240299">
        <w:t xml:space="preserve">MFP during </w:t>
      </w:r>
      <w:r w:rsidR="00886A33" w:rsidRPr="00240299">
        <w:t>cycle 4</w:t>
      </w:r>
      <w:r w:rsidRPr="00240299">
        <w:t>.</w:t>
      </w:r>
      <w:r w:rsidR="0049538B" w:rsidRPr="00240299">
        <w:t xml:space="preserve"> </w:t>
      </w:r>
      <w:r w:rsidR="00ED0822" w:rsidRPr="00240299">
        <w:t xml:space="preserve">However, this does not rule out insufficient R&amp;D in previous </w:t>
      </w:r>
      <w:r w:rsidR="00C2799C" w:rsidRPr="00240299">
        <w:t>cycles</w:t>
      </w:r>
      <w:r w:rsidR="007D7487" w:rsidRPr="00240299">
        <w:t>,</w:t>
      </w:r>
      <w:r w:rsidR="00ED0822" w:rsidRPr="00240299">
        <w:t xml:space="preserve"> or in some parts of </w:t>
      </w:r>
      <w:r w:rsidR="000F3FC7" w:rsidRPr="00240299">
        <w:t>Manufacturing</w:t>
      </w:r>
      <w:r w:rsidR="007D7487" w:rsidRPr="00240299">
        <w:t>,</w:t>
      </w:r>
      <w:r w:rsidR="00ED0822" w:rsidRPr="00240299">
        <w:t xml:space="preserve"> </w:t>
      </w:r>
      <w:r w:rsidR="00503831">
        <w:t xml:space="preserve">as </w:t>
      </w:r>
      <w:r w:rsidR="00ED0822" w:rsidRPr="00240299">
        <w:t>be</w:t>
      </w:r>
      <w:r w:rsidR="002453E8" w:rsidRPr="00240299">
        <w:t>ing</w:t>
      </w:r>
      <w:r w:rsidR="00ED0822" w:rsidRPr="00240299">
        <w:t xml:space="preserve"> </w:t>
      </w:r>
      <w:r w:rsidR="00C2799C" w:rsidRPr="00240299">
        <w:t xml:space="preserve">potentially </w:t>
      </w:r>
      <w:r w:rsidR="00ED0822" w:rsidRPr="00240299">
        <w:t xml:space="preserve">associated with a decline in </w:t>
      </w:r>
      <w:r w:rsidR="00C2799C" w:rsidRPr="00240299">
        <w:t>MFP</w:t>
      </w:r>
      <w:r w:rsidR="00ED0822" w:rsidRPr="00240299">
        <w:t>.</w:t>
      </w:r>
    </w:p>
    <w:p w:rsidR="00DC19FF" w:rsidRPr="00240299" w:rsidRDefault="00FE02C3" w:rsidP="00DD65EA">
      <w:pPr>
        <w:pStyle w:val="BodyText"/>
      </w:pPr>
      <w:r w:rsidRPr="00240299">
        <w:t xml:space="preserve">Also, </w:t>
      </w:r>
      <w:r w:rsidR="0097634C" w:rsidRPr="00240299">
        <w:t xml:space="preserve">domestic R&amp;D expenditure is </w:t>
      </w:r>
      <w:r w:rsidR="001714D6">
        <w:t xml:space="preserve">one of many </w:t>
      </w:r>
      <w:r w:rsidR="0097634C" w:rsidRPr="00240299">
        <w:t>source</w:t>
      </w:r>
      <w:r w:rsidR="001714D6">
        <w:t>s</w:t>
      </w:r>
      <w:r w:rsidR="0097634C" w:rsidRPr="00240299">
        <w:t xml:space="preserve"> of </w:t>
      </w:r>
      <w:r w:rsidR="00DC19FF" w:rsidRPr="00240299">
        <w:t>technological innovation</w:t>
      </w:r>
      <w:r w:rsidR="0097634C" w:rsidRPr="00240299">
        <w:t xml:space="preserve"> </w:t>
      </w:r>
      <w:r w:rsidR="00232928" w:rsidRPr="00240299">
        <w:t>for Australian businesses</w:t>
      </w:r>
      <w:r w:rsidR="001714D6">
        <w:t>. Much of the</w:t>
      </w:r>
      <w:r w:rsidR="0097634C" w:rsidRPr="00240299">
        <w:t xml:space="preserve"> technological innovation</w:t>
      </w:r>
      <w:r w:rsidR="00DC19FF" w:rsidRPr="00240299">
        <w:t xml:space="preserve"> occurs outside Australia and is imported either directly as knowledge or embedded </w:t>
      </w:r>
      <w:r w:rsidR="002453E8" w:rsidRPr="00240299">
        <w:t xml:space="preserve">in </w:t>
      </w:r>
      <w:r w:rsidR="00DC19FF" w:rsidRPr="00240299">
        <w:t xml:space="preserve">equipment. </w:t>
      </w:r>
    </w:p>
    <w:p w:rsidR="009016E5" w:rsidRPr="00240299" w:rsidRDefault="009016E5" w:rsidP="009016E5">
      <w:pPr>
        <w:pStyle w:val="Heading4"/>
      </w:pPr>
      <w:r w:rsidRPr="00240299">
        <w:t xml:space="preserve">Capacity utilisation </w:t>
      </w:r>
    </w:p>
    <w:p w:rsidR="006C6F55" w:rsidRDefault="001B043B" w:rsidP="006322B0">
      <w:pPr>
        <w:pStyle w:val="BodyText"/>
      </w:pPr>
      <w:r w:rsidRPr="00240299">
        <w:t xml:space="preserve">The rate at which Manufacturing capacity is utilised for production can fluctuate in response to changes in the business operating environment. These changes may be economy- or industry-wide (such as those related to their business cycles) or more specific to particular activities (such as the availability of raw materials for a manufactured product). </w:t>
      </w:r>
      <w:r w:rsidR="006C6F55">
        <w:t>O</w:t>
      </w:r>
      <w:r w:rsidR="006C6F55" w:rsidRPr="00240299">
        <w:t xml:space="preserve">ne possible explanation for a decline in </w:t>
      </w:r>
      <w:r w:rsidR="006C6F55" w:rsidRPr="00240299">
        <w:rPr>
          <w:i/>
        </w:rPr>
        <w:t>measured</w:t>
      </w:r>
      <w:r w:rsidR="006C6F55" w:rsidRPr="00240299">
        <w:t xml:space="preserve"> productivity is a decrease in the </w:t>
      </w:r>
      <w:r w:rsidR="006C6F55">
        <w:t xml:space="preserve">average </w:t>
      </w:r>
      <w:r w:rsidR="006C6F55" w:rsidRPr="00240299">
        <w:t>rate of capacity utilisation</w:t>
      </w:r>
      <w:r w:rsidR="006C6F55">
        <w:t xml:space="preserve"> over the cycle.</w:t>
      </w:r>
    </w:p>
    <w:p w:rsidR="006322B0" w:rsidRPr="00240299" w:rsidRDefault="009016E5" w:rsidP="006322B0">
      <w:pPr>
        <w:pStyle w:val="BodyText"/>
      </w:pPr>
      <w:r w:rsidRPr="00240299">
        <w:rPr>
          <w:rStyle w:val="BodyTextChar"/>
        </w:rPr>
        <w:t xml:space="preserve">While there are no official ABS measures of capacity utilisation, two industry associations collect </w:t>
      </w:r>
      <w:r w:rsidR="00635FE7" w:rsidRPr="00240299">
        <w:rPr>
          <w:rStyle w:val="BodyTextChar"/>
        </w:rPr>
        <w:t xml:space="preserve">capacity </w:t>
      </w:r>
      <w:r w:rsidRPr="00240299">
        <w:rPr>
          <w:rStyle w:val="BodyTextChar"/>
        </w:rPr>
        <w:t>utilisation data in their Manufacturing surveys</w:t>
      </w:r>
      <w:r w:rsidR="00A5487B" w:rsidRPr="00240299">
        <w:rPr>
          <w:rStyle w:val="BodyTextChar"/>
        </w:rPr>
        <w:t xml:space="preserve"> (figure</w:t>
      </w:r>
      <w:r w:rsidR="00635FE7" w:rsidRPr="00240299">
        <w:t> </w:t>
      </w:r>
      <w:r w:rsidR="00C9303E">
        <w:t>2.12</w:t>
      </w:r>
      <w:r w:rsidR="00A5487B" w:rsidRPr="00240299">
        <w:t>).</w:t>
      </w:r>
      <w:r w:rsidRPr="00240299">
        <w:t xml:space="preserve"> </w:t>
      </w:r>
      <w:r w:rsidR="006322B0" w:rsidRPr="00240299">
        <w:rPr>
          <w:rStyle w:val="BodyTextChar"/>
        </w:rPr>
        <w:t>The Australian Industry Group (</w:t>
      </w:r>
      <w:r w:rsidR="00E13D69" w:rsidRPr="00240299">
        <w:rPr>
          <w:rStyle w:val="BodyTextChar"/>
        </w:rPr>
        <w:t>A</w:t>
      </w:r>
      <w:r w:rsidR="00E13D69">
        <w:rPr>
          <w:rStyle w:val="BodyTextChar"/>
        </w:rPr>
        <w:t>i Group</w:t>
      </w:r>
      <w:r w:rsidR="006322B0" w:rsidRPr="00240299">
        <w:rPr>
          <w:rStyle w:val="BodyTextChar"/>
        </w:rPr>
        <w:t xml:space="preserve">) measure (top panel) is the average capacity utilisation rate of surveyed manufacturers. </w:t>
      </w:r>
      <w:r w:rsidR="006322B0" w:rsidRPr="00240299">
        <w:t xml:space="preserve">There is an increasing overall trend in average capacity utilisation over that part of cycle 3 for which data are available and a slightly decreasing trend over cycle 4. But, in both cycles, the change in average </w:t>
      </w:r>
      <w:r w:rsidR="003F6DA7" w:rsidRPr="00240299">
        <w:t xml:space="preserve">capacity </w:t>
      </w:r>
      <w:r w:rsidR="006322B0" w:rsidRPr="00240299">
        <w:t xml:space="preserve">utilisation is small. </w:t>
      </w:r>
    </w:p>
    <w:p w:rsidR="0004266C" w:rsidRPr="00240299" w:rsidRDefault="0004266C" w:rsidP="0004266C">
      <w:pPr>
        <w:pStyle w:val="BodyText"/>
      </w:pPr>
      <w:r w:rsidRPr="00240299">
        <w:lastRenderedPageBreak/>
        <w:t xml:space="preserve">The </w:t>
      </w:r>
      <w:r w:rsidRPr="00240299">
        <w:rPr>
          <w:rStyle w:val="BodyTextChar"/>
        </w:rPr>
        <w:t>Australian Chamber of Commerce and Industry</w:t>
      </w:r>
      <w:r w:rsidR="006521C3">
        <w:rPr>
          <w:rStyle w:val="BodyTextChar"/>
        </w:rPr>
        <w:t xml:space="preserve"> and </w:t>
      </w:r>
      <w:r>
        <w:rPr>
          <w:rStyle w:val="BodyTextChar"/>
        </w:rPr>
        <w:t>Westpac</w:t>
      </w:r>
      <w:r w:rsidRPr="00240299">
        <w:rPr>
          <w:rStyle w:val="BodyTextChar"/>
        </w:rPr>
        <w:t xml:space="preserve"> (ACCI</w:t>
      </w:r>
      <w:r>
        <w:rPr>
          <w:rStyle w:val="BodyTextChar"/>
        </w:rPr>
        <w:t>-Westpac</w:t>
      </w:r>
      <w:r w:rsidRPr="00240299">
        <w:rPr>
          <w:rStyle w:val="BodyTextChar"/>
        </w:rPr>
        <w:t xml:space="preserve">) </w:t>
      </w:r>
      <w:r w:rsidRPr="00240299">
        <w:t xml:space="preserve">measure identifies the share of firms surveyed whose capacity utilisation is above normal, at normal or below normal. Figure </w:t>
      </w:r>
      <w:r w:rsidR="00C9303E">
        <w:t>2.12</w:t>
      </w:r>
      <w:r w:rsidRPr="00240299">
        <w:t xml:space="preserve"> (bottom panel) shows the share of firms at normal capacity (solid line) and the net balance of firms above and below normal (d</w:t>
      </w:r>
      <w:r w:rsidR="006521C3">
        <w:t>ashe</w:t>
      </w:r>
      <w:r w:rsidRPr="00240299">
        <w:t xml:space="preserve">d line). Where the net balance is negative the percentage of firms operating below normal is more than that above normal. </w:t>
      </w:r>
    </w:p>
    <w:p w:rsidR="009016E5" w:rsidRPr="00240299" w:rsidRDefault="009016E5" w:rsidP="009016E5">
      <w:pPr>
        <w:pStyle w:val="FigureTitle"/>
      </w:pPr>
      <w:r w:rsidRPr="00240299">
        <w:rPr>
          <w:b w:val="0"/>
        </w:rPr>
        <w:t xml:space="preserve">Figure </w:t>
      </w:r>
      <w:bookmarkStart w:id="22" w:name="OLE_LINK22"/>
      <w:r w:rsidR="00C9303E">
        <w:rPr>
          <w:b w:val="0"/>
        </w:rPr>
        <w:t>2.</w:t>
      </w:r>
      <w:r w:rsidR="004456C0">
        <w:rPr>
          <w:b w:val="0"/>
          <w:noProof/>
        </w:rPr>
        <w:t>12</w:t>
      </w:r>
      <w:bookmarkEnd w:id="22"/>
      <w:r w:rsidRPr="00240299">
        <w:tab/>
      </w:r>
      <w:r w:rsidR="00A21459" w:rsidRPr="00240299">
        <w:t>Manufacturing c</w:t>
      </w:r>
      <w:r w:rsidRPr="00240299">
        <w:t>apacity utilisation measures</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4388"/>
        <w:gridCol w:w="4389"/>
      </w:tblGrid>
      <w:tr w:rsidR="00ED5931" w:rsidRPr="00240299" w:rsidTr="00BF701A">
        <w:tc>
          <w:tcPr>
            <w:tcW w:w="8777" w:type="dxa"/>
            <w:gridSpan w:val="2"/>
            <w:tcBorders>
              <w:bottom w:val="nil"/>
            </w:tcBorders>
          </w:tcPr>
          <w:p w:rsidR="00ED5931" w:rsidRPr="00240299" w:rsidRDefault="00ED5931" w:rsidP="001258D3">
            <w:pPr>
              <w:pStyle w:val="Figure"/>
              <w:spacing w:before="60" w:after="0"/>
              <w:rPr>
                <w:noProof/>
              </w:rPr>
            </w:pPr>
            <w:r w:rsidRPr="001258D3">
              <w:rPr>
                <w:i/>
                <w:noProof/>
                <w:sz w:val="22"/>
                <w:szCs w:val="22"/>
              </w:rPr>
              <w:t>A</w:t>
            </w:r>
            <w:r w:rsidR="00E13D69" w:rsidRPr="001258D3">
              <w:rPr>
                <w:i/>
                <w:noProof/>
                <w:sz w:val="22"/>
                <w:szCs w:val="22"/>
              </w:rPr>
              <w:t>i</w:t>
            </w:r>
            <w:r w:rsidRPr="001258D3">
              <w:rPr>
                <w:i/>
                <w:noProof/>
                <w:sz w:val="22"/>
                <w:szCs w:val="22"/>
              </w:rPr>
              <w:t xml:space="preserve"> Group: Rate of utilisation</w:t>
            </w:r>
            <w:r w:rsidRPr="00240299">
              <w:rPr>
                <w:rStyle w:val="NoteLabel"/>
              </w:rPr>
              <w:t>a</w:t>
            </w:r>
          </w:p>
        </w:tc>
      </w:tr>
      <w:tr w:rsidR="009016E5" w:rsidRPr="00240299" w:rsidTr="00BF701A">
        <w:tc>
          <w:tcPr>
            <w:tcW w:w="8777" w:type="dxa"/>
            <w:gridSpan w:val="2"/>
            <w:tcBorders>
              <w:top w:val="nil"/>
              <w:bottom w:val="nil"/>
            </w:tcBorders>
          </w:tcPr>
          <w:p w:rsidR="009016E5" w:rsidRPr="00240299" w:rsidRDefault="007E3B51" w:rsidP="00ED5931">
            <w:pPr>
              <w:pStyle w:val="Figure"/>
              <w:spacing w:before="40" w:after="0"/>
              <w:rPr>
                <w:noProof/>
              </w:rPr>
            </w:pPr>
            <w:r>
              <w:rPr>
                <w:noProof/>
              </w:rPr>
              <w:pict>
                <v:shape id="_x0000_i1037" type="#_x0000_t75" alt="This figure contains three charts, the first chart shows the Australian Industry Group measure for the average capacity utilisation rate of surveyed manufacturers. There is an increasing overall trend in average capacity utilisation over that part of cycle 3 for which data are available and a slightly decreasing trend over cycle 4. But, in both cycles, the change in average capacity utilisation is small. The next two charts show the Australian Chamber of Commerce and Industry measure, which identifies the share of firms surveyed whose capacity utilisation is at normal capacity and the net balance of firms above and below normal capacity. The share of firms at normal capacity has increased fairly steadily in both cycles. Over cycle 3, this trend of increase in ‘normal’ utilisation was reinforced by an upward trend in the net balance. During most of cycle 4, the share of firms above and below normal utilisation were broadly offsetting, so that the net balance was fairly stable. " style="width:424.5pt;height:183.75pt">
                  <v:imagedata r:id="rId21" o:title=""/>
                </v:shape>
              </w:pict>
            </w:r>
          </w:p>
        </w:tc>
      </w:tr>
      <w:tr w:rsidR="00ED5931" w:rsidRPr="00240299" w:rsidTr="00BF701A">
        <w:tc>
          <w:tcPr>
            <w:tcW w:w="8777" w:type="dxa"/>
            <w:gridSpan w:val="2"/>
            <w:tcBorders>
              <w:top w:val="nil"/>
              <w:bottom w:val="nil"/>
            </w:tcBorders>
          </w:tcPr>
          <w:p w:rsidR="00ED5931" w:rsidRPr="00240299" w:rsidRDefault="00ED5931" w:rsidP="001258D3">
            <w:pPr>
              <w:pStyle w:val="Figure"/>
              <w:spacing w:after="0"/>
              <w:rPr>
                <w:i/>
                <w:noProof/>
              </w:rPr>
            </w:pPr>
            <w:r w:rsidRPr="001258D3">
              <w:rPr>
                <w:i/>
                <w:noProof/>
                <w:sz w:val="22"/>
                <w:szCs w:val="22"/>
              </w:rPr>
              <w:t xml:space="preserve">ACCI-Westpac: Capacity utilisation </w:t>
            </w:r>
            <w:r w:rsidR="004107E6" w:rsidRPr="001258D3">
              <w:rPr>
                <w:i/>
                <w:noProof/>
                <w:sz w:val="22"/>
                <w:szCs w:val="22"/>
              </w:rPr>
              <w:t>categories</w:t>
            </w:r>
            <w:r w:rsidRPr="00240299">
              <w:rPr>
                <w:rStyle w:val="NoteLabel"/>
              </w:rPr>
              <w:t>b</w:t>
            </w:r>
          </w:p>
        </w:tc>
      </w:tr>
      <w:tr w:rsidR="00A5487B" w:rsidRPr="00240299" w:rsidTr="00FF3B97">
        <w:tc>
          <w:tcPr>
            <w:tcW w:w="4388" w:type="dxa"/>
            <w:tcBorders>
              <w:top w:val="nil"/>
            </w:tcBorders>
          </w:tcPr>
          <w:p w:rsidR="00A5487B" w:rsidRPr="00240299" w:rsidRDefault="007E3B51" w:rsidP="001258D3">
            <w:pPr>
              <w:pStyle w:val="Figure"/>
              <w:spacing w:before="40" w:after="0"/>
              <w:ind w:right="-104"/>
              <w:rPr>
                <w:i/>
                <w:noProof/>
              </w:rPr>
            </w:pPr>
            <w:r>
              <w:rPr>
                <w:i/>
                <w:noProof/>
              </w:rPr>
              <w:pict>
                <v:shape id="_x0000_i1038" type="#_x0000_t75" alt="This figure contains three charts, the first chart shows the Australian Industry Group measure for the average capacity utilisation rate of surveyed manufacturers. There is an increasing overall trend in average capacity utilisation over that part of cycle 3 for which data are available and a slightly decreasing trend over cycle 4. But, in both cycles, the change in average capacity utilisation is small. The next two charts show the Australian Chamber of Commerce and Industry measure, which identifies the share of firms surveyed whose capacity utilisation is at normal capacity and the net balance of firms above and below normal capacity. The share of firms at normal capacity has increased fairly steadily in both cycles. Over cycle 3, this trend of increase in ‘normal’ utilisation was reinforced by an upward trend in the net balance. During most of cycle 4, the share of firms above and below normal utilisation were broadly offsetting, so that the net balance was fairly stable. " style="width:206.25pt;height:198pt">
                  <v:imagedata r:id="rId22" o:title=""/>
                </v:shape>
              </w:pict>
            </w:r>
          </w:p>
        </w:tc>
        <w:tc>
          <w:tcPr>
            <w:tcW w:w="4389" w:type="dxa"/>
            <w:tcBorders>
              <w:top w:val="nil"/>
            </w:tcBorders>
          </w:tcPr>
          <w:p w:rsidR="00A5487B" w:rsidRPr="00240299" w:rsidRDefault="007E3B51" w:rsidP="001258D3">
            <w:pPr>
              <w:pStyle w:val="Figure"/>
              <w:spacing w:before="40" w:after="0"/>
              <w:ind w:right="-109"/>
              <w:rPr>
                <w:i/>
                <w:noProof/>
              </w:rPr>
            </w:pPr>
            <w:r>
              <w:rPr>
                <w:i/>
                <w:noProof/>
              </w:rPr>
              <w:pict>
                <v:shape id="_x0000_i1039" type="#_x0000_t75" alt="This figure contains three charts, the first chart shows the Australian Industry Group measure for the average capacity utilisation rate of surveyed manufacturers. There is an increasing overall trend in average capacity utilisation over that part of cycle 3 for which data are available and a slightly decreasing trend over cycle 4. But, in both cycles, the change in average capacity utilisation is small. The next two charts show the Australian Chamber of Commerce and Industry measure, which identifies the share of firms surveyed whose capacity utilisation is at normal capacity and the net balance of firms above and below normal capacity. The share of firms at normal capacity has increased fairly steadily in both cycles. Over cycle 3, this trend of increase in ‘normal’ utilisation was reinforced by an upward trend in the net balance. During most of cycle 4, the share of firms above and below normal utilisation were broadly offsetting, so that the net balance was fairly stable. " style="width:206.25pt;height:198pt">
                  <v:imagedata r:id="rId23" o:title=""/>
                </v:shape>
              </w:pict>
            </w:r>
          </w:p>
        </w:tc>
      </w:tr>
    </w:tbl>
    <w:p w:rsidR="009016E5" w:rsidRPr="00240299" w:rsidRDefault="009016E5" w:rsidP="009016E5">
      <w:pPr>
        <w:pStyle w:val="Note"/>
      </w:pPr>
      <w:r w:rsidRPr="00240299">
        <w:rPr>
          <w:rStyle w:val="NoteLabel"/>
        </w:rPr>
        <w:t>a</w:t>
      </w:r>
      <w:r w:rsidRPr="00240299">
        <w:t xml:space="preserve"> </w:t>
      </w:r>
      <w:r w:rsidR="00E13D69" w:rsidRPr="00240299">
        <w:t>A</w:t>
      </w:r>
      <w:r w:rsidR="00E13D69">
        <w:t>i Group</w:t>
      </w:r>
      <w:r w:rsidR="00E13D69" w:rsidRPr="00240299">
        <w:t xml:space="preserve"> </w:t>
      </w:r>
      <w:r w:rsidRPr="00240299">
        <w:t xml:space="preserve">capacity utilisation measure is </w:t>
      </w:r>
      <w:r w:rsidR="006521C3">
        <w:t xml:space="preserve">the </w:t>
      </w:r>
      <w:r w:rsidRPr="00240299">
        <w:t>survey average of percentage utilisation</w:t>
      </w:r>
      <w:r w:rsidR="00D31A35" w:rsidRPr="00240299">
        <w:t xml:space="preserve"> rates reported by firms</w:t>
      </w:r>
      <w:r w:rsidRPr="00240299">
        <w:t>.</w:t>
      </w:r>
      <w:r w:rsidR="006521C3">
        <w:t xml:space="preserve"> </w:t>
      </w:r>
      <w:r w:rsidR="00C5083C" w:rsidRPr="00240299">
        <w:rPr>
          <w:rStyle w:val="NoteLabel"/>
        </w:rPr>
        <w:t>b</w:t>
      </w:r>
      <w:r w:rsidR="00C5083C">
        <w:t> </w:t>
      </w:r>
      <w:r w:rsidRPr="00240299">
        <w:t>ACCI-Westpac capacity utilisation measure</w:t>
      </w:r>
      <w:r w:rsidR="004737C8" w:rsidRPr="00240299">
        <w:t xml:space="preserve"> is based on the </w:t>
      </w:r>
      <w:r w:rsidR="00107DF4" w:rsidRPr="00240299">
        <w:t xml:space="preserve">percentages of firms surveyed that report </w:t>
      </w:r>
      <w:r w:rsidR="004737C8" w:rsidRPr="00240299">
        <w:t xml:space="preserve">working </w:t>
      </w:r>
      <w:r w:rsidR="00107DF4" w:rsidRPr="00240299">
        <w:t xml:space="preserve">in each of the following categories — </w:t>
      </w:r>
      <w:r w:rsidR="004737C8" w:rsidRPr="00240299">
        <w:t>above ‘normal’ capacity</w:t>
      </w:r>
      <w:r w:rsidR="00107DF4" w:rsidRPr="00240299">
        <w:t>, ‘normal’ capacity,</w:t>
      </w:r>
      <w:r w:rsidR="004737C8" w:rsidRPr="00240299">
        <w:t xml:space="preserve"> </w:t>
      </w:r>
      <w:r w:rsidR="00107DF4" w:rsidRPr="00240299">
        <w:t>and</w:t>
      </w:r>
      <w:r w:rsidR="004737C8" w:rsidRPr="00240299">
        <w:t xml:space="preserve"> below ‘normal</w:t>
      </w:r>
      <w:r w:rsidR="00C7431A">
        <w:t>’</w:t>
      </w:r>
      <w:r w:rsidR="004737C8" w:rsidRPr="00240299">
        <w:t xml:space="preserve"> capacity. T</w:t>
      </w:r>
      <w:r w:rsidRPr="00240299">
        <w:t>he net balance of the firms working above their ‘normal’ capacity and below their ‘normal’ capacity</w:t>
      </w:r>
      <w:r w:rsidR="004737C8" w:rsidRPr="00240299">
        <w:t xml:space="preserve"> is the </w:t>
      </w:r>
      <w:r w:rsidR="00107DF4" w:rsidRPr="00240299">
        <w:t>p</w:t>
      </w:r>
      <w:r w:rsidR="004737C8" w:rsidRPr="00240299">
        <w:t>ercentage of firms</w:t>
      </w:r>
      <w:r w:rsidR="00107DF4" w:rsidRPr="00240299">
        <w:t xml:space="preserve"> working above capacity less the percentage of firms working below capacity.</w:t>
      </w:r>
      <w:r w:rsidR="004737C8" w:rsidRPr="00240299">
        <w:t xml:space="preserve"> </w:t>
      </w:r>
    </w:p>
    <w:p w:rsidR="009016E5" w:rsidRPr="00240299" w:rsidRDefault="009016E5" w:rsidP="009016E5">
      <w:pPr>
        <w:pStyle w:val="Source"/>
      </w:pPr>
      <w:r w:rsidRPr="00240299">
        <w:rPr>
          <w:i/>
        </w:rPr>
        <w:t>Data source</w:t>
      </w:r>
      <w:r w:rsidR="00B71000" w:rsidRPr="00240299">
        <w:rPr>
          <w:i/>
        </w:rPr>
        <w:t>s</w:t>
      </w:r>
      <w:r w:rsidRPr="00240299">
        <w:t xml:space="preserve">: </w:t>
      </w:r>
      <w:r w:rsidR="00232C54" w:rsidRPr="00240299">
        <w:t xml:space="preserve">Authors’ estimates based on </w:t>
      </w:r>
      <w:r w:rsidR="00E13D69" w:rsidRPr="00240299">
        <w:t>A</w:t>
      </w:r>
      <w:r w:rsidR="00E13D69">
        <w:t>i Group</w:t>
      </w:r>
      <w:r w:rsidR="00C14D5F">
        <w:t xml:space="preserve"> Performance of Manufacturing Index (database)</w:t>
      </w:r>
      <w:r w:rsidRPr="00240299">
        <w:t>;</w:t>
      </w:r>
      <w:r w:rsidR="004107E6" w:rsidRPr="00240299">
        <w:t xml:space="preserve"> </w:t>
      </w:r>
      <w:r w:rsidR="00232C54" w:rsidRPr="00240299">
        <w:t xml:space="preserve">and </w:t>
      </w:r>
      <w:r w:rsidRPr="00240299">
        <w:t xml:space="preserve">ACCI-Westpac </w:t>
      </w:r>
      <w:r w:rsidR="00C14D5F">
        <w:t xml:space="preserve">Survey of Industrial Trends </w:t>
      </w:r>
      <w:r w:rsidRPr="00240299">
        <w:t>(</w:t>
      </w:r>
      <w:r w:rsidR="00C14D5F">
        <w:t>database</w:t>
      </w:r>
      <w:r w:rsidRPr="00240299">
        <w:t>).</w:t>
      </w:r>
    </w:p>
    <w:p w:rsidR="009016E5" w:rsidRPr="00240299" w:rsidRDefault="009016E5" w:rsidP="009016E5">
      <w:pPr>
        <w:pStyle w:val="BodyText"/>
      </w:pPr>
      <w:r w:rsidRPr="00240299">
        <w:lastRenderedPageBreak/>
        <w:t>The share of firms at normal capacity has increased fairly steadily in both cycles. Over cycle 3, this trend of increase in ‘normal’ utilisation was reinforced by an upward trend in the net balance. During most of cycle 4, the share</w:t>
      </w:r>
      <w:r w:rsidR="001B6F43">
        <w:t>s</w:t>
      </w:r>
      <w:r w:rsidRPr="00240299">
        <w:t xml:space="preserve"> of firms above and below normal utilisation were broadly offsetting, so </w:t>
      </w:r>
      <w:r w:rsidR="004D5A4A" w:rsidRPr="00240299">
        <w:t xml:space="preserve">that </w:t>
      </w:r>
      <w:r w:rsidRPr="00240299">
        <w:t xml:space="preserve">the net balance was fairly stable. </w:t>
      </w:r>
      <w:r w:rsidR="001C1225">
        <w:t>In the incomplete cycle, the net balance fell to the level of the late 1990s.</w:t>
      </w:r>
    </w:p>
    <w:p w:rsidR="00C25668" w:rsidRPr="00240299" w:rsidRDefault="009016E5" w:rsidP="009016E5">
      <w:pPr>
        <w:pStyle w:val="BodyText"/>
      </w:pPr>
      <w:r w:rsidRPr="00240299">
        <w:rPr>
          <w:rStyle w:val="BodyTextChar"/>
        </w:rPr>
        <w:t xml:space="preserve">Overall, the evidence from these measures </w:t>
      </w:r>
      <w:r w:rsidR="004D5A4A" w:rsidRPr="00240299">
        <w:rPr>
          <w:rStyle w:val="BodyTextChar"/>
        </w:rPr>
        <w:t xml:space="preserve">of capacity utilisation </w:t>
      </w:r>
      <w:r w:rsidRPr="00240299">
        <w:rPr>
          <w:rStyle w:val="BodyTextChar"/>
        </w:rPr>
        <w:t xml:space="preserve">is mixed. Both measures suggest there may have been some increase in capacity utilisation during the period of relatively strong MFP growth in Manufacturing (cycle 3). </w:t>
      </w:r>
      <w:r w:rsidR="00E9585E" w:rsidRPr="00240299">
        <w:rPr>
          <w:rStyle w:val="BodyTextChar"/>
        </w:rPr>
        <w:t>However, d</w:t>
      </w:r>
      <w:r w:rsidRPr="00240299">
        <w:rPr>
          <w:rStyle w:val="BodyTextChar"/>
        </w:rPr>
        <w:t xml:space="preserve">uring the period in which Manufacturing MFP declined in absolute terms (cycle 4), only the </w:t>
      </w:r>
      <w:r w:rsidR="00E13D69" w:rsidRPr="00240299">
        <w:rPr>
          <w:rStyle w:val="BodyTextChar"/>
        </w:rPr>
        <w:t>A</w:t>
      </w:r>
      <w:r w:rsidR="00E13D69">
        <w:rPr>
          <w:rStyle w:val="BodyTextChar"/>
        </w:rPr>
        <w:t>i Group</w:t>
      </w:r>
      <w:r w:rsidR="00E13D69" w:rsidRPr="00240299">
        <w:rPr>
          <w:rStyle w:val="BodyTextChar"/>
        </w:rPr>
        <w:t xml:space="preserve"> </w:t>
      </w:r>
      <w:r w:rsidRPr="00240299">
        <w:rPr>
          <w:rStyle w:val="BodyTextChar"/>
        </w:rPr>
        <w:t xml:space="preserve">measure shows a decline in capacity utilisation and it is small. </w:t>
      </w:r>
      <w:r w:rsidR="006521C3">
        <w:t>But</w:t>
      </w:r>
      <w:r w:rsidRPr="00240299">
        <w:t xml:space="preserve"> neither </w:t>
      </w:r>
      <w:r w:rsidR="002A64AA" w:rsidRPr="00240299">
        <w:t xml:space="preserve">the </w:t>
      </w:r>
      <w:r w:rsidR="00E13D69" w:rsidRPr="00240299">
        <w:t>A</w:t>
      </w:r>
      <w:r w:rsidR="00E13D69">
        <w:t>i Group</w:t>
      </w:r>
      <w:r w:rsidR="00E13D69" w:rsidRPr="00240299">
        <w:t xml:space="preserve"> </w:t>
      </w:r>
      <w:r w:rsidR="002A64AA" w:rsidRPr="00240299">
        <w:t>nor the ACCI</w:t>
      </w:r>
      <w:r w:rsidR="00F95B37">
        <w:t>-Westpac</w:t>
      </w:r>
      <w:r w:rsidRPr="00240299">
        <w:t xml:space="preserve"> measure </w:t>
      </w:r>
      <w:r w:rsidR="002A64AA" w:rsidRPr="00240299">
        <w:t>is</w:t>
      </w:r>
      <w:r w:rsidRPr="00240299">
        <w:t xml:space="preserve"> weighted for the size of the firm or, in the case of the ACCI</w:t>
      </w:r>
      <w:r w:rsidR="00F95B37">
        <w:t>-Westpac</w:t>
      </w:r>
      <w:r w:rsidRPr="00240299">
        <w:t xml:space="preserve"> measure, the extent to which the firm is above or below ‘normal’ capacity. Therefore, the average rate of utilisation may have changed more or less than is apparent from these measures. Some parts of Manufacturing may be more affected by changes in utilisation than others. Unfortunately, more disaggregated utilisation data are not available from these surveys.</w:t>
      </w:r>
      <w:r w:rsidR="00C25668" w:rsidRPr="00240299">
        <w:t xml:space="preserve"> </w:t>
      </w:r>
    </w:p>
    <w:p w:rsidR="009016E5" w:rsidRPr="00240299" w:rsidRDefault="00C25668" w:rsidP="009016E5">
      <w:pPr>
        <w:pStyle w:val="BodyText"/>
      </w:pPr>
      <w:r w:rsidRPr="00240299">
        <w:t xml:space="preserve">The drivers of the change in </w:t>
      </w:r>
      <w:r w:rsidR="00FB62CE" w:rsidRPr="00240299">
        <w:t xml:space="preserve">capacity </w:t>
      </w:r>
      <w:r w:rsidRPr="00240299">
        <w:t xml:space="preserve">utilisation are likely to vary across parts of Manufacturing — some </w:t>
      </w:r>
      <w:r w:rsidR="00A35EC8" w:rsidRPr="00240299">
        <w:t>subsector-</w:t>
      </w:r>
      <w:r w:rsidRPr="00240299">
        <w:t xml:space="preserve">specific factors are discussed in the following chapters. </w:t>
      </w:r>
      <w:r w:rsidR="00741462" w:rsidRPr="00240299">
        <w:t xml:space="preserve">But the appreciation of the Australian dollar is </w:t>
      </w:r>
      <w:r w:rsidR="00E12314" w:rsidRPr="00240299">
        <w:t>one factor that</w:t>
      </w:r>
      <w:r w:rsidR="00741462" w:rsidRPr="00240299">
        <w:t xml:space="preserve"> </w:t>
      </w:r>
      <w:r w:rsidR="001D11DE" w:rsidRPr="00240299">
        <w:t xml:space="preserve">may have affected </w:t>
      </w:r>
      <w:r w:rsidR="00FB62CE" w:rsidRPr="00240299">
        <w:t>capacity utilisation</w:t>
      </w:r>
      <w:r w:rsidR="001D11DE" w:rsidRPr="00240299">
        <w:t xml:space="preserve"> in</w:t>
      </w:r>
      <w:r w:rsidR="00741462" w:rsidRPr="00240299">
        <w:t xml:space="preserve"> many parts of </w:t>
      </w:r>
      <w:r w:rsidR="00FB4E75" w:rsidRPr="00240299">
        <w:t>Manufacturing</w:t>
      </w:r>
      <w:r w:rsidRPr="00240299">
        <w:t>.</w:t>
      </w:r>
    </w:p>
    <w:p w:rsidR="00DD65EA" w:rsidRPr="00240299" w:rsidRDefault="00DD65EA" w:rsidP="00AF1D1F">
      <w:pPr>
        <w:pStyle w:val="Heading5"/>
      </w:pPr>
      <w:r w:rsidRPr="00240299">
        <w:t>Exchange rate and trade exposure</w:t>
      </w:r>
    </w:p>
    <w:p w:rsidR="00EA4F88" w:rsidRPr="00240299" w:rsidRDefault="00DD65EA" w:rsidP="00DD65EA">
      <w:pPr>
        <w:pStyle w:val="BodyText"/>
      </w:pPr>
      <w:r w:rsidRPr="00240299">
        <w:t xml:space="preserve">The adverse effects of the appreciation of the Australian dollar on Australian </w:t>
      </w:r>
      <w:r w:rsidR="00FB69F4" w:rsidRPr="00240299">
        <w:t>Manufacturing</w:t>
      </w:r>
      <w:r w:rsidRPr="00240299">
        <w:t xml:space="preserve"> are commonly raised (for example, Prime Minister’s </w:t>
      </w:r>
      <w:r w:rsidR="00057C1C" w:rsidRPr="00240299">
        <w:t xml:space="preserve">Taskforce on </w:t>
      </w:r>
      <w:r w:rsidRPr="00240299">
        <w:t>Manufacturing 2012)</w:t>
      </w:r>
      <w:r w:rsidR="00444FD2" w:rsidRPr="00240299">
        <w:t xml:space="preserve">. </w:t>
      </w:r>
      <w:r w:rsidR="008111DB" w:rsidRPr="00240299">
        <w:t>A</w:t>
      </w:r>
      <w:r w:rsidRPr="00240299">
        <w:t xml:space="preserve">n appreciation of the dollar can affect </w:t>
      </w:r>
      <w:r w:rsidR="00D34424" w:rsidRPr="00240299">
        <w:t>M</w:t>
      </w:r>
      <w:r w:rsidR="008111DB" w:rsidRPr="00240299">
        <w:t>anufacturing</w:t>
      </w:r>
      <w:r w:rsidR="00221AB1" w:rsidRPr="00240299">
        <w:t xml:space="preserve"> </w:t>
      </w:r>
      <w:r w:rsidRPr="00240299">
        <w:t xml:space="preserve">in several ways. For example, a higher dollar (all else </w:t>
      </w:r>
      <w:r w:rsidR="00D21539" w:rsidRPr="00240299">
        <w:t xml:space="preserve">being </w:t>
      </w:r>
      <w:r w:rsidRPr="00240299">
        <w:t>equal) makes imports of manufactured goods cheaper than domestically</w:t>
      </w:r>
      <w:r w:rsidR="008111DB" w:rsidRPr="00240299">
        <w:t>-</w:t>
      </w:r>
      <w:r w:rsidRPr="00240299">
        <w:t>produced goods</w:t>
      </w:r>
      <w:r w:rsidR="00BD6D2D" w:rsidRPr="00240299">
        <w:t>, and makes exports less competitive</w:t>
      </w:r>
      <w:r w:rsidRPr="00240299">
        <w:t>. This, in turn, reduces demand and output in the</w:t>
      </w:r>
      <w:r w:rsidR="00221AB1" w:rsidRPr="00240299">
        <w:t xml:space="preserve"> domestic industry</w:t>
      </w:r>
      <w:r w:rsidR="00BD6D2D" w:rsidRPr="00240299">
        <w:t xml:space="preserve">, which may </w:t>
      </w:r>
      <w:r w:rsidR="003F6DA7" w:rsidRPr="00240299">
        <w:t xml:space="preserve">also </w:t>
      </w:r>
      <w:r w:rsidR="00BD6D2D" w:rsidRPr="00240299">
        <w:t>reduce capacity utilisation and MFP</w:t>
      </w:r>
      <w:r w:rsidRPr="00240299">
        <w:t xml:space="preserve">. </w:t>
      </w:r>
      <w:r w:rsidR="0020405D">
        <w:t xml:space="preserve">Change in the composition of output of the Australian economy </w:t>
      </w:r>
      <w:r w:rsidR="00136A35">
        <w:t>is an essential part of the process of structural change</w:t>
      </w:r>
      <w:r w:rsidR="00B46618">
        <w:t>.</w:t>
      </w:r>
      <w:r w:rsidR="00136A35">
        <w:t xml:space="preserve"> </w:t>
      </w:r>
      <w:r w:rsidR="0020405D">
        <w:rPr>
          <w:szCs w:val="26"/>
        </w:rPr>
        <w:t>As the supply of factors of production is not unlimited, expansion in one industry or sector can only occur if some other contract</w:t>
      </w:r>
      <w:r w:rsidR="006521C3">
        <w:rPr>
          <w:szCs w:val="26"/>
        </w:rPr>
        <w:t>s</w:t>
      </w:r>
      <w:r w:rsidR="0020405D">
        <w:rPr>
          <w:szCs w:val="26"/>
        </w:rPr>
        <w:t xml:space="preserve"> in relative or absolute terms.</w:t>
      </w:r>
      <w:r w:rsidR="00587F3B">
        <w:rPr>
          <w:rStyle w:val="FootnoteReference"/>
          <w:szCs w:val="26"/>
        </w:rPr>
        <w:footnoteReference w:id="15"/>
      </w:r>
      <w:r w:rsidR="00587F3B">
        <w:rPr>
          <w:szCs w:val="26"/>
        </w:rPr>
        <w:t xml:space="preserve"> </w:t>
      </w:r>
    </w:p>
    <w:p w:rsidR="00D225BB" w:rsidRDefault="001405D6" w:rsidP="00DD65EA">
      <w:pPr>
        <w:pStyle w:val="BodyText"/>
      </w:pPr>
      <w:r w:rsidRPr="00240299">
        <w:lastRenderedPageBreak/>
        <w:t xml:space="preserve">However, drawing a link between changes in trade volumes, the exchange rate and productivity is not simple. </w:t>
      </w:r>
      <w:r w:rsidR="002A64AA" w:rsidRPr="00240299">
        <w:t>Apart from the value of the Australian dollar, i</w:t>
      </w:r>
      <w:r w:rsidR="00BA0436" w:rsidRPr="00240299">
        <w:t>mports and exports will also be influenced by o</w:t>
      </w:r>
      <w:r w:rsidR="008260BB" w:rsidRPr="00240299">
        <w:t xml:space="preserve">ther factors </w:t>
      </w:r>
      <w:r w:rsidR="00BA0436" w:rsidRPr="00240299">
        <w:t>that</w:t>
      </w:r>
      <w:r w:rsidR="008260BB" w:rsidRPr="00240299">
        <w:t xml:space="preserve"> affect the competitiveness of domestically produced goods, including </w:t>
      </w:r>
      <w:r w:rsidR="00D225BB">
        <w:t>changes in</w:t>
      </w:r>
      <w:r w:rsidR="00D225BB" w:rsidRPr="00240299">
        <w:t xml:space="preserve"> </w:t>
      </w:r>
      <w:r w:rsidR="002A64AA" w:rsidRPr="00240299">
        <w:t xml:space="preserve">domestic </w:t>
      </w:r>
      <w:r w:rsidR="008260BB" w:rsidRPr="00240299">
        <w:t>input costs</w:t>
      </w:r>
      <w:r w:rsidR="00BA0436" w:rsidRPr="00240299">
        <w:t xml:space="preserve">. </w:t>
      </w:r>
    </w:p>
    <w:p w:rsidR="00221AB1" w:rsidRPr="00240299" w:rsidRDefault="00D225BB" w:rsidP="00DD65EA">
      <w:pPr>
        <w:pStyle w:val="BodyText"/>
      </w:pPr>
      <w:r>
        <w:t>Apart from increased price competitiveness, imports</w:t>
      </w:r>
      <w:r w:rsidR="0025237C">
        <w:t xml:space="preserve"> </w:t>
      </w:r>
      <w:r w:rsidR="008260BB" w:rsidRPr="00240299">
        <w:t xml:space="preserve">may increase to supply domestic demand where domestic production is constrained because of reduced </w:t>
      </w:r>
      <w:r w:rsidR="00BF701A" w:rsidRPr="00240299">
        <w:t xml:space="preserve">availability of agricultural </w:t>
      </w:r>
      <w:r w:rsidR="008260BB" w:rsidRPr="00240299">
        <w:t>input</w:t>
      </w:r>
      <w:r w:rsidR="00BF701A" w:rsidRPr="00240299">
        <w:t>s</w:t>
      </w:r>
      <w:r w:rsidR="008260BB" w:rsidRPr="00240299">
        <w:t xml:space="preserve"> during drought or where current domestic capacity is insufficient to meet a steep rise in demand</w:t>
      </w:r>
      <w:r w:rsidR="00EA4F88" w:rsidRPr="00240299">
        <w:t xml:space="preserve">. </w:t>
      </w:r>
      <w:r w:rsidR="0025237C">
        <w:t>Of course, s</w:t>
      </w:r>
      <w:r w:rsidR="00BB175D" w:rsidRPr="00240299">
        <w:t>ome goods are not produced in Australia</w:t>
      </w:r>
      <w:r w:rsidR="0025237C">
        <w:t xml:space="preserve">, in which case imports </w:t>
      </w:r>
      <w:r w:rsidR="00BB175D" w:rsidRPr="00240299">
        <w:t xml:space="preserve">will not directly compete with domestic production. </w:t>
      </w:r>
      <w:r w:rsidR="00C25668" w:rsidRPr="00240299">
        <w:t>A higher dollar may also benefit domestic manufacturers through cheaper imported intermediate inputs and capital goods, in addition to the benefits to consumers of cheaper imported consumption goods.</w:t>
      </w:r>
    </w:p>
    <w:p w:rsidR="004F3C5F" w:rsidRDefault="007544F7" w:rsidP="00DD65EA">
      <w:pPr>
        <w:pStyle w:val="BodyText"/>
      </w:pPr>
      <w:r w:rsidRPr="00240299">
        <w:t xml:space="preserve">The </w:t>
      </w:r>
      <w:r w:rsidR="00221AB1" w:rsidRPr="00240299">
        <w:t xml:space="preserve">effects of </w:t>
      </w:r>
      <w:r w:rsidR="008260BB" w:rsidRPr="00240299">
        <w:t xml:space="preserve">an increase in competing </w:t>
      </w:r>
      <w:r w:rsidR="00CD2816" w:rsidRPr="00240299">
        <w:t xml:space="preserve">imports </w:t>
      </w:r>
      <w:r w:rsidR="00221AB1" w:rsidRPr="00240299">
        <w:t>on</w:t>
      </w:r>
      <w:r w:rsidRPr="00240299">
        <w:t xml:space="preserve"> </w:t>
      </w:r>
      <w:r w:rsidR="009E54BC" w:rsidRPr="001E2FF1">
        <w:t>MFP</w:t>
      </w:r>
      <w:r w:rsidRPr="00240299">
        <w:t xml:space="preserve"> can be quite complex </w:t>
      </w:r>
      <w:r w:rsidR="00492507" w:rsidRPr="00240299">
        <w:t xml:space="preserve">and </w:t>
      </w:r>
      <w:r w:rsidR="00696503" w:rsidRPr="00240299">
        <w:t xml:space="preserve">may differ across industries within Manufacturing. </w:t>
      </w:r>
      <w:r w:rsidR="008260BB" w:rsidRPr="00240299">
        <w:t>While ultimately productivity might be expected to rise in response to an increase in competitive pressure, in the short term</w:t>
      </w:r>
      <w:r w:rsidR="005149EC" w:rsidRPr="00240299">
        <w:t>,</w:t>
      </w:r>
      <w:r w:rsidR="008260BB" w:rsidRPr="00240299">
        <w:t xml:space="preserve"> as firms adjust</w:t>
      </w:r>
      <w:r w:rsidR="005149EC" w:rsidRPr="00240299">
        <w:t>,</w:t>
      </w:r>
      <w:r w:rsidR="008260BB" w:rsidRPr="00240299">
        <w:t xml:space="preserve"> </w:t>
      </w:r>
      <w:r w:rsidR="00C473E9" w:rsidRPr="00240299">
        <w:t>measured productivity</w:t>
      </w:r>
      <w:r w:rsidR="008260BB" w:rsidRPr="00240299">
        <w:t xml:space="preserve"> may be reduced (box </w:t>
      </w:r>
      <w:r w:rsidR="00C9303E">
        <w:t>2.2</w:t>
      </w:r>
      <w:r w:rsidR="002C6B99">
        <w:t>)</w:t>
      </w:r>
      <w:r w:rsidR="008260BB" w:rsidRPr="00240299">
        <w:t xml:space="preserve">. </w:t>
      </w:r>
    </w:p>
    <w:p w:rsidR="00B61388" w:rsidRPr="00240299" w:rsidRDefault="00B61388" w:rsidP="00DD65EA">
      <w:pPr>
        <w:pStyle w:val="BodyText"/>
      </w:pPr>
      <w:r w:rsidRPr="00240299">
        <w:t xml:space="preserve">Recent changes in trade volumes for manufactures in aggregate and in the trade-weighted index (TWI) of exchange rates are shown in figure </w:t>
      </w:r>
      <w:r>
        <w:t>2.13</w:t>
      </w:r>
      <w:r w:rsidRPr="00240299">
        <w:t>. The TWI increased over both cycles 3 and 4 — but at a higher rate of 3.2 per cent a year over cycle 4 (the period of MFP decline) compared with 2.4 per cent a year over cycle 3 (the period of higher MFP growth). Import volume growth was also significantly higher in cycle 4. Export volumes grew marginally in each cycle at just under 2</w:t>
      </w:r>
      <w:r>
        <w:t> </w:t>
      </w:r>
      <w:r w:rsidRPr="00240299">
        <w:t>per</w:t>
      </w:r>
      <w:r>
        <w:t> </w:t>
      </w:r>
      <w:r w:rsidRPr="00240299">
        <w:t>cent a year on average. For Manufacturing as a whole, therefore, the change in the exchange rate between the two cycles appears to have had a larger effect on imports than exports.</w:t>
      </w:r>
      <w:r w:rsidRPr="00240299">
        <w:rPr>
          <w:rStyle w:val="FootnoteReference"/>
        </w:rPr>
        <w:footnoteReference w:id="16"/>
      </w:r>
      <w:r w:rsidRPr="00240299">
        <w:t xml:space="preserve"> </w:t>
      </w:r>
    </w:p>
    <w:p w:rsidR="003F6DA7" w:rsidRPr="00240299" w:rsidRDefault="003F6DA7" w:rsidP="003F6DA7">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3F6DA7" w:rsidRPr="007C5846" w:rsidTr="00A533DC">
        <w:tc>
          <w:tcPr>
            <w:tcW w:w="8771" w:type="dxa"/>
            <w:tcBorders>
              <w:top w:val="single" w:sz="6" w:space="0" w:color="auto"/>
              <w:bottom w:val="nil"/>
            </w:tcBorders>
          </w:tcPr>
          <w:p w:rsidR="003F6DA7" w:rsidRPr="00505141" w:rsidRDefault="003F6DA7" w:rsidP="00F07D06">
            <w:pPr>
              <w:pStyle w:val="BoxTitle"/>
              <w:tabs>
                <w:tab w:val="left" w:pos="5517"/>
              </w:tabs>
              <w:rPr>
                <w:rFonts w:cs="Arial"/>
                <w:sz w:val="24"/>
              </w:rPr>
            </w:pPr>
            <w:r w:rsidRPr="00505141">
              <w:rPr>
                <w:rFonts w:cs="Arial"/>
                <w:b w:val="0"/>
                <w:sz w:val="24"/>
              </w:rPr>
              <w:t xml:space="preserve">Box </w:t>
            </w:r>
            <w:bookmarkStart w:id="23" w:name="OLE_LINK24"/>
            <w:r w:rsidR="00C9303E">
              <w:rPr>
                <w:rFonts w:cs="Arial"/>
                <w:b w:val="0"/>
                <w:sz w:val="24"/>
              </w:rPr>
              <w:t>2.</w:t>
            </w:r>
            <w:r w:rsidR="004456C0">
              <w:rPr>
                <w:rFonts w:cs="Arial"/>
                <w:b w:val="0"/>
                <w:noProof/>
                <w:sz w:val="24"/>
              </w:rPr>
              <w:t>2</w:t>
            </w:r>
            <w:bookmarkEnd w:id="23"/>
            <w:r w:rsidRPr="00505141">
              <w:rPr>
                <w:rFonts w:cs="Arial"/>
                <w:sz w:val="24"/>
              </w:rPr>
              <w:tab/>
            </w:r>
            <w:r w:rsidR="00F07D06" w:rsidRPr="00505141">
              <w:rPr>
                <w:rFonts w:cs="Arial"/>
                <w:sz w:val="24"/>
              </w:rPr>
              <w:t xml:space="preserve">Gains to trade </w:t>
            </w:r>
            <w:r w:rsidRPr="00505141">
              <w:rPr>
                <w:rFonts w:cs="Arial"/>
                <w:sz w:val="24"/>
              </w:rPr>
              <w:t>and productivity</w:t>
            </w:r>
          </w:p>
        </w:tc>
      </w:tr>
      <w:tr w:rsidR="003F6DA7" w:rsidRPr="00240299" w:rsidTr="00A533DC">
        <w:trPr>
          <w:cantSplit/>
        </w:trPr>
        <w:tc>
          <w:tcPr>
            <w:tcW w:w="8771" w:type="dxa"/>
            <w:tcBorders>
              <w:top w:val="nil"/>
              <w:left w:val="single" w:sz="6" w:space="0" w:color="auto"/>
              <w:bottom w:val="nil"/>
              <w:right w:val="single" w:sz="6" w:space="0" w:color="auto"/>
            </w:tcBorders>
          </w:tcPr>
          <w:p w:rsidR="003F6DA7" w:rsidRPr="00240299" w:rsidRDefault="003F6DA7" w:rsidP="00A533DC">
            <w:pPr>
              <w:pStyle w:val="Box"/>
            </w:pPr>
            <w:r w:rsidRPr="00240299">
              <w:t>Foreign trade helps support higher living standards by ensuring that an economy plays to its comparative strengths</w:t>
            </w:r>
            <w:r w:rsidR="001E0218">
              <w:t xml:space="preserve">, exporting what it is comparatively good at producing and importing goods and services that are either not produced locally or where other countries have the </w:t>
            </w:r>
            <w:r w:rsidR="00D36CEB">
              <w:t>comparative</w:t>
            </w:r>
            <w:r w:rsidR="001E0218">
              <w:t xml:space="preserve"> advantage. </w:t>
            </w:r>
            <w:r w:rsidRPr="00240299">
              <w:t xml:space="preserve">(For a detailed discussion of the effects of trade on income and welfare in the domestic economy, see, for example, PC 2000.) </w:t>
            </w:r>
          </w:p>
          <w:p w:rsidR="003F6DA7" w:rsidRPr="00240299" w:rsidRDefault="003F6DA7" w:rsidP="00A533DC">
            <w:pPr>
              <w:pStyle w:val="Box"/>
            </w:pPr>
            <w:r w:rsidRPr="00240299">
              <w:t xml:space="preserve">Trade volumes can change over time for a variety of reasons, including exchange rate movements. In this study, changes in trade are examined </w:t>
            </w:r>
            <w:r w:rsidR="00085A5B">
              <w:t xml:space="preserve">solely </w:t>
            </w:r>
            <w:r w:rsidRPr="00240299">
              <w:t xml:space="preserve">from the perspective of their effect on measured productivity. </w:t>
            </w:r>
            <w:r w:rsidR="00085A5B">
              <w:t>This can be quite complex.</w:t>
            </w:r>
          </w:p>
          <w:p w:rsidR="003F6DA7" w:rsidRDefault="003F6DA7" w:rsidP="00B61388">
            <w:pPr>
              <w:pStyle w:val="Box"/>
            </w:pPr>
            <w:r w:rsidRPr="00240299">
              <w:t xml:space="preserve">In most years since 1988-89, the volume of imports of manufactured goods has grown (figure </w:t>
            </w:r>
            <w:r w:rsidR="00C9303E">
              <w:t>2.13</w:t>
            </w:r>
            <w:r w:rsidRPr="00240299">
              <w:t xml:space="preserve">) and, </w:t>
            </w:r>
            <w:r w:rsidR="00085A5B">
              <w:t>stimulated</w:t>
            </w:r>
            <w:r w:rsidR="00085A5B" w:rsidRPr="00240299">
              <w:t xml:space="preserve"> </w:t>
            </w:r>
            <w:r w:rsidRPr="00240299">
              <w:t xml:space="preserve">by an appreciating Australian dollar, that growth accelerated in cycle 4. The share of imported products in domestic consumption was also higher in this cycle, compared with previous periods (figure </w:t>
            </w:r>
            <w:r w:rsidR="00C9303E">
              <w:t>2.14</w:t>
            </w:r>
            <w:r w:rsidRPr="00240299">
              <w:t xml:space="preserve">). </w:t>
            </w:r>
          </w:p>
          <w:p w:rsidR="002050C4" w:rsidRPr="00240299" w:rsidRDefault="002050C4" w:rsidP="002050C4">
            <w:pPr>
              <w:pStyle w:val="Box"/>
            </w:pPr>
            <w:r w:rsidRPr="00240299">
              <w:t xml:space="preserve">What is the likely impact of increased imports on the long-run productivity of domestic manufacturing? </w:t>
            </w:r>
          </w:p>
          <w:p w:rsidR="002050C4" w:rsidRPr="00240299" w:rsidRDefault="002050C4" w:rsidP="002050C4">
            <w:pPr>
              <w:pStyle w:val="BoxListBullet"/>
              <w:spacing w:before="60"/>
            </w:pPr>
            <w:r w:rsidRPr="00240299">
              <w:t>Imports of products similar to those produced by domestic firms will expose those firms to additional pressures of competition. Market competition encourag</w:t>
            </w:r>
            <w:r>
              <w:t>es</w:t>
            </w:r>
            <w:r w:rsidRPr="00240299">
              <w:t xml:space="preserve"> cost reductions and product and process improvements, including </w:t>
            </w:r>
            <w:r>
              <w:t xml:space="preserve">potentially </w:t>
            </w:r>
            <w:r w:rsidRPr="00240299">
              <w:t>through higher rates of innovation and diffusion (PC 2009). This suggests that competing imports are likely to have positive impact on the productivity of domestic firms.</w:t>
            </w:r>
          </w:p>
          <w:p w:rsidR="002050C4" w:rsidRPr="00240299" w:rsidRDefault="002050C4" w:rsidP="002050C4">
            <w:pPr>
              <w:pStyle w:val="BoxListBullet"/>
              <w:spacing w:before="60"/>
            </w:pPr>
            <w:r w:rsidRPr="00240299">
              <w:t>To the extent that imports intensify competition in the domestic market, some domestic businesses may not be able to compete and may exit the industry. Less productive firms are more likely to leave the industry and, if this is the case, the average productivity of the industry increases.</w:t>
            </w:r>
          </w:p>
          <w:p w:rsidR="002050C4" w:rsidRPr="00240299" w:rsidRDefault="002050C4" w:rsidP="002050C4">
            <w:pPr>
              <w:pStyle w:val="Box"/>
            </w:pPr>
            <w:r w:rsidRPr="00240299">
              <w:t>However, there may be an adjustment period during which the effects on measured productivity may be different from those outlined above. The short-term impact is likely to be complex and vary from firm to firm. But the effect for productivity can be negative in the short term, in some circumstances. For example:</w:t>
            </w:r>
          </w:p>
          <w:p w:rsidR="002050C4" w:rsidRPr="00240299" w:rsidRDefault="002050C4" w:rsidP="002050C4">
            <w:pPr>
              <w:pStyle w:val="BoxListBullet"/>
              <w:spacing w:before="60"/>
            </w:pPr>
            <w:r w:rsidRPr="00240299">
              <w:t>When a firm closes, the decline in output will be measured immediately but some of its capital may continue to remain ‘on the books’ in the statistics as an input even though it is not being utilised — thus depressing measured productivity.</w:t>
            </w:r>
          </w:p>
          <w:p w:rsidR="002050C4" w:rsidRPr="00240299" w:rsidRDefault="002050C4" w:rsidP="002050C4">
            <w:pPr>
              <w:pStyle w:val="BoxListBullet"/>
            </w:pPr>
            <w:r w:rsidRPr="00240299">
              <w:t>When a firm alters its production process to improve its efficiency and competitiveness, this adjustment process may require additional inputs and/or disruptions to production ahead of any improvements — thus initially depressing measured productivity.</w:t>
            </w:r>
          </w:p>
        </w:tc>
      </w:tr>
      <w:tr w:rsidR="003F6DA7" w:rsidRPr="00240299" w:rsidTr="00A533DC">
        <w:trPr>
          <w:cantSplit/>
        </w:trPr>
        <w:tc>
          <w:tcPr>
            <w:tcW w:w="8771" w:type="dxa"/>
            <w:tcBorders>
              <w:top w:val="nil"/>
              <w:left w:val="single" w:sz="6" w:space="0" w:color="auto"/>
              <w:bottom w:val="single" w:sz="6" w:space="0" w:color="auto"/>
              <w:right w:val="single" w:sz="6" w:space="0" w:color="auto"/>
            </w:tcBorders>
          </w:tcPr>
          <w:p w:rsidR="003F6DA7" w:rsidRPr="00240299" w:rsidRDefault="003F6DA7" w:rsidP="00A533DC">
            <w:pPr>
              <w:pStyle w:val="Box"/>
              <w:spacing w:before="0" w:line="120" w:lineRule="exact"/>
            </w:pPr>
          </w:p>
        </w:tc>
      </w:tr>
      <w:tr w:rsidR="003F6DA7" w:rsidRPr="00240299" w:rsidTr="00A533DC">
        <w:tc>
          <w:tcPr>
            <w:tcW w:w="8771" w:type="dxa"/>
            <w:tcBorders>
              <w:top w:val="nil"/>
              <w:left w:val="nil"/>
              <w:bottom w:val="nil"/>
              <w:right w:val="nil"/>
            </w:tcBorders>
          </w:tcPr>
          <w:p w:rsidR="003F6DA7" w:rsidRPr="00240299" w:rsidRDefault="003F6DA7" w:rsidP="00A533DC">
            <w:pPr>
              <w:pStyle w:val="BoxSpaceBelow"/>
              <w:spacing w:before="0" w:after="0"/>
            </w:pPr>
          </w:p>
        </w:tc>
      </w:tr>
    </w:tbl>
    <w:p w:rsidR="00762BC6" w:rsidRPr="00240299" w:rsidRDefault="00762BC6" w:rsidP="00762BC6">
      <w:pPr>
        <w:pStyle w:val="FigureTitle"/>
        <w:spacing w:before="200"/>
      </w:pPr>
      <w:r w:rsidRPr="00240299">
        <w:rPr>
          <w:b w:val="0"/>
        </w:rPr>
        <w:lastRenderedPageBreak/>
        <w:t xml:space="preserve">Figure </w:t>
      </w:r>
      <w:bookmarkStart w:id="24" w:name="OLE_LINK25"/>
      <w:r w:rsidR="00C9303E">
        <w:rPr>
          <w:b w:val="0"/>
        </w:rPr>
        <w:t>2.</w:t>
      </w:r>
      <w:r w:rsidR="004456C0">
        <w:rPr>
          <w:b w:val="0"/>
          <w:noProof/>
        </w:rPr>
        <w:t>13</w:t>
      </w:r>
      <w:bookmarkEnd w:id="24"/>
      <w:r w:rsidRPr="00240299">
        <w:tab/>
        <w:t>Manufacturing trade volumes</w:t>
      </w:r>
      <w:r w:rsidRPr="00240299">
        <w:rPr>
          <w:rStyle w:val="NoteLabel"/>
          <w:b/>
        </w:rPr>
        <w:t>a</w:t>
      </w:r>
      <w:r w:rsidRPr="00240299">
        <w:t xml:space="preserve"> and the exchange rate</w:t>
      </w:r>
      <w:r w:rsidR="00F5761B" w:rsidRPr="001E2FF1">
        <w:rPr>
          <w:rStyle w:val="NoteLabel"/>
          <w:b/>
        </w:rPr>
        <w:t>b</w:t>
      </w:r>
    </w:p>
    <w:p w:rsidR="00762BC6" w:rsidRPr="00240299" w:rsidRDefault="00762BC6" w:rsidP="00762BC6">
      <w:pPr>
        <w:pStyle w:val="Subtitle"/>
      </w:pPr>
      <w:r w:rsidRPr="00240299">
        <w:t>2009-10 $m (LHS); Index 2009-10 = 100 (RHS)</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762BC6" w:rsidRPr="00240299" w:rsidTr="00F23657">
        <w:tc>
          <w:tcPr>
            <w:tcW w:w="8777" w:type="dxa"/>
          </w:tcPr>
          <w:p w:rsidR="00762BC6" w:rsidRPr="00240299" w:rsidRDefault="007E3B51" w:rsidP="00FB001A">
            <w:pPr>
              <w:pStyle w:val="Figure"/>
              <w:spacing w:before="60" w:after="60"/>
            </w:pPr>
            <w:r>
              <w:pict>
                <v:shape id="_x0000_i1040" type="#_x0000_t75" alt="This figures shows that the trade-weighted index increased over both cycles 3 and 4 — but at a higher rate over cycle 4 compared with cycle 3. The trade weighted index was 81.2 in 1998 99 and increased to 101.1 in 2007-08. The change in the exchange rate between the two cycles appears to have had a larger effect on imports than exports. In 2009-10 dollars, import volumes grew from $83 billion to $187 billion over the period 1998-99 to 2007-08, while export volumes increased from $74 billion to $87 billion. " style="width:424.5pt;height:198pt">
                  <v:imagedata r:id="rId24" o:title=""/>
                </v:shape>
              </w:pict>
            </w:r>
          </w:p>
        </w:tc>
      </w:tr>
    </w:tbl>
    <w:p w:rsidR="00762BC6" w:rsidRPr="00240299" w:rsidRDefault="00762BC6" w:rsidP="00762BC6">
      <w:pPr>
        <w:pStyle w:val="Note"/>
      </w:pPr>
      <w:r w:rsidRPr="00240299">
        <w:rPr>
          <w:rStyle w:val="NoteLabel"/>
        </w:rPr>
        <w:t>a</w:t>
      </w:r>
      <w:r w:rsidRPr="00240299">
        <w:t xml:space="preserve"> Chain volume measures. </w:t>
      </w:r>
      <w:r w:rsidR="00F5761B" w:rsidRPr="00B60243">
        <w:rPr>
          <w:rStyle w:val="NoteLabel"/>
        </w:rPr>
        <w:t>b</w:t>
      </w:r>
      <w:r w:rsidR="00F5761B" w:rsidRPr="00B60243">
        <w:t xml:space="preserve"> </w:t>
      </w:r>
      <w:r w:rsidR="00F5761B">
        <w:t>TWI (</w:t>
      </w:r>
      <w:r w:rsidR="00F5761B" w:rsidRPr="00B60243">
        <w:t>trade weighted index</w:t>
      </w:r>
      <w:r w:rsidR="00F5761B">
        <w:t>)</w:t>
      </w:r>
      <w:r w:rsidR="00F5761B" w:rsidRPr="00B60243">
        <w:t xml:space="preserve"> is the m</w:t>
      </w:r>
      <w:r w:rsidR="00F5761B" w:rsidRPr="00B60243">
        <w:rPr>
          <w:iCs/>
        </w:rPr>
        <w:t>ultilateral exchange rate $A against trade-weighted average of trading partner currencies.</w:t>
      </w:r>
    </w:p>
    <w:p w:rsidR="00762BC6" w:rsidRPr="00240299" w:rsidRDefault="00762BC6" w:rsidP="00FB001A">
      <w:pPr>
        <w:pStyle w:val="Source"/>
      </w:pPr>
      <w:r w:rsidRPr="00240299">
        <w:rPr>
          <w:i/>
        </w:rPr>
        <w:t>Data sources</w:t>
      </w:r>
      <w:r w:rsidRPr="00240299">
        <w:t>: Authors’ estimates based on ABS (</w:t>
      </w:r>
      <w:r w:rsidRPr="00240299">
        <w:rPr>
          <w:i/>
        </w:rPr>
        <w:t>International Trade in Goods and Services, Australia</w:t>
      </w:r>
      <w:r w:rsidRPr="00240299">
        <w:t xml:space="preserve">, various issues, Cat. no. 5368.0); </w:t>
      </w:r>
      <w:r>
        <w:t xml:space="preserve">and </w:t>
      </w:r>
      <w:r w:rsidRPr="00240299">
        <w:t>ABS (</w:t>
      </w:r>
      <w:r w:rsidRPr="001C6BCF">
        <w:rPr>
          <w:i/>
        </w:rPr>
        <w:t>International Trade Price Indexes,</w:t>
      </w:r>
      <w:r w:rsidRPr="001C6BCF">
        <w:t xml:space="preserve"> various issues</w:t>
      </w:r>
      <w:r w:rsidRPr="00163D4A">
        <w:t>,</w:t>
      </w:r>
      <w:r w:rsidRPr="001C6BCF">
        <w:t xml:space="preserve"> Cat. no. 6457.0</w:t>
      </w:r>
      <w:r w:rsidRPr="00240299">
        <w:t>).</w:t>
      </w:r>
    </w:p>
    <w:p w:rsidR="00004981" w:rsidRPr="00240299" w:rsidRDefault="002F79CF" w:rsidP="003F6DA7">
      <w:pPr>
        <w:pStyle w:val="BodyText"/>
      </w:pPr>
      <w:r w:rsidRPr="00240299">
        <w:t>‘Import penetration’ and ‘export propensity’ measures provide a</w:t>
      </w:r>
      <w:r w:rsidR="00646A45" w:rsidRPr="00240299">
        <w:t>nother</w:t>
      </w:r>
      <w:r w:rsidRPr="00240299">
        <w:t xml:space="preserve"> perspective</w:t>
      </w:r>
      <w:r w:rsidR="00726242" w:rsidRPr="00240299">
        <w:t xml:space="preserve"> on exchange rate effects</w:t>
      </w:r>
      <w:r w:rsidR="004F3C5F" w:rsidRPr="00240299">
        <w:t>.</w:t>
      </w:r>
      <w:r w:rsidRPr="00240299">
        <w:t xml:space="preserve"> </w:t>
      </w:r>
      <w:r w:rsidR="00DD65EA" w:rsidRPr="00240299">
        <w:t xml:space="preserve">Import penetration measures the value of imported manufactures as a share of domestic consumption of manufactured goods. Export propensity measures the value of Australia’s manufactured exports </w:t>
      </w:r>
      <w:r w:rsidR="00F74154" w:rsidRPr="00240299">
        <w:t>as a share of total production.</w:t>
      </w:r>
      <w:r w:rsidR="00AB395E" w:rsidRPr="00240299">
        <w:t xml:space="preserve"> </w:t>
      </w:r>
      <w:r w:rsidR="00004981" w:rsidRPr="00240299">
        <w:t xml:space="preserve">Import penetration in </w:t>
      </w:r>
      <w:r w:rsidR="00524D2A" w:rsidRPr="00240299">
        <w:t>Manufacturing</w:t>
      </w:r>
      <w:r w:rsidR="00004981" w:rsidRPr="00240299">
        <w:t xml:space="preserve"> </w:t>
      </w:r>
      <w:r w:rsidR="00F86F31" w:rsidRPr="00240299">
        <w:t>rose</w:t>
      </w:r>
      <w:r w:rsidR="00004981" w:rsidRPr="00240299">
        <w:t xml:space="preserve"> steadily until just after the beginning of cycle 3, </w:t>
      </w:r>
      <w:r w:rsidR="00F86F31" w:rsidRPr="00240299">
        <w:t>declined</w:t>
      </w:r>
      <w:r w:rsidR="00004981" w:rsidRPr="00240299">
        <w:t xml:space="preserve"> over cycle 3 and then </w:t>
      </w:r>
      <w:r w:rsidR="00F86F31" w:rsidRPr="00240299">
        <w:t xml:space="preserve">rose </w:t>
      </w:r>
      <w:r w:rsidR="00004981" w:rsidRPr="00240299">
        <w:t xml:space="preserve">again over cycle 4 (figure </w:t>
      </w:r>
      <w:r w:rsidR="00C9303E">
        <w:t>2.14</w:t>
      </w:r>
      <w:r w:rsidR="00004981" w:rsidRPr="00240299">
        <w:t xml:space="preserve">). </w:t>
      </w:r>
      <w:r w:rsidR="00F86F31" w:rsidRPr="00240299">
        <w:t>Export propensity has a</w:t>
      </w:r>
      <w:r w:rsidR="00004981" w:rsidRPr="00240299">
        <w:t xml:space="preserve"> similar pattern, although </w:t>
      </w:r>
      <w:r w:rsidR="006E4225" w:rsidRPr="00240299">
        <w:t xml:space="preserve">its </w:t>
      </w:r>
      <w:r w:rsidR="00004981" w:rsidRPr="00240299">
        <w:t>decline over cycle</w:t>
      </w:r>
      <w:r w:rsidR="00762BC6">
        <w:t> </w:t>
      </w:r>
      <w:r w:rsidR="00004981" w:rsidRPr="00240299">
        <w:t xml:space="preserve">3 </w:t>
      </w:r>
      <w:r w:rsidR="006E4225" w:rsidRPr="00240299">
        <w:t xml:space="preserve">was </w:t>
      </w:r>
      <w:r w:rsidR="00004981" w:rsidRPr="00240299">
        <w:t xml:space="preserve">more pronounced and </w:t>
      </w:r>
      <w:r w:rsidR="006E4225" w:rsidRPr="00240299">
        <w:t xml:space="preserve">it began </w:t>
      </w:r>
      <w:r w:rsidR="00004981" w:rsidRPr="00240299">
        <w:t xml:space="preserve">to taper off </w:t>
      </w:r>
      <w:r w:rsidR="006E4225" w:rsidRPr="00240299">
        <w:t>in the incomplete cycle</w:t>
      </w:r>
      <w:r w:rsidR="00004981" w:rsidRPr="00240299">
        <w:t xml:space="preserve">. </w:t>
      </w:r>
    </w:p>
    <w:p w:rsidR="00004981" w:rsidRPr="00240299" w:rsidRDefault="00004981" w:rsidP="00004981">
      <w:pPr>
        <w:pStyle w:val="BodyText"/>
      </w:pPr>
      <w:r w:rsidRPr="00240299">
        <w:t xml:space="preserve">Comparing these patterns of trade exposure with MFP gives a mixed picture </w:t>
      </w:r>
      <w:r w:rsidR="00FB69F4" w:rsidRPr="00240299">
        <w:t>for M</w:t>
      </w:r>
      <w:r w:rsidRPr="00240299">
        <w:t xml:space="preserve">anufacturing </w:t>
      </w:r>
      <w:r w:rsidR="00FB69F4" w:rsidRPr="00240299">
        <w:t>in aggregate</w:t>
      </w:r>
      <w:r w:rsidRPr="00240299">
        <w:t>. There does not appear to be a consistent correlation between rising import penetration and falling MFP (this did occur over cycle 4</w:t>
      </w:r>
      <w:r w:rsidR="00CF18B6" w:rsidRPr="00240299">
        <w:t xml:space="preserve"> but not prior to cycle 3</w:t>
      </w:r>
      <w:r w:rsidRPr="00240299">
        <w:t xml:space="preserve">). Nor is </w:t>
      </w:r>
      <w:r w:rsidR="00461C0E" w:rsidRPr="00240299">
        <w:t xml:space="preserve">there </w:t>
      </w:r>
      <w:r w:rsidRPr="00240299">
        <w:t xml:space="preserve">a clear correlation between falling export propensity and falling MFP. </w:t>
      </w:r>
      <w:r w:rsidR="00461C0E" w:rsidRPr="00240299">
        <w:t>However, i</w:t>
      </w:r>
      <w:r w:rsidR="00A333A4" w:rsidRPr="00240299">
        <w:t xml:space="preserve">t is likely that </w:t>
      </w:r>
      <w:r w:rsidR="00FB25E3" w:rsidRPr="00240299">
        <w:t>the aggregate measure</w:t>
      </w:r>
      <w:r w:rsidR="00461C0E" w:rsidRPr="00240299">
        <w:t>s</w:t>
      </w:r>
      <w:r w:rsidR="00FB25E3" w:rsidRPr="00240299">
        <w:t xml:space="preserve"> conceal </w:t>
      </w:r>
      <w:r w:rsidR="00A333A4" w:rsidRPr="00240299">
        <w:t>differ</w:t>
      </w:r>
      <w:r w:rsidR="00FB25E3" w:rsidRPr="00240299">
        <w:t>ences</w:t>
      </w:r>
      <w:r w:rsidR="00A333A4" w:rsidRPr="00240299">
        <w:t xml:space="preserve"> across industries within Manufacturing</w:t>
      </w:r>
      <w:r w:rsidR="00FB25E3" w:rsidRPr="00240299">
        <w:t xml:space="preserve"> — this is </w:t>
      </w:r>
      <w:r w:rsidR="00A20E4C" w:rsidRPr="00240299">
        <w:t xml:space="preserve">examined in </w:t>
      </w:r>
      <w:r w:rsidR="00E0081A" w:rsidRPr="00240299">
        <w:t xml:space="preserve">later </w:t>
      </w:r>
      <w:r w:rsidR="006E4225" w:rsidRPr="00240299">
        <w:t>chapters</w:t>
      </w:r>
      <w:r w:rsidR="00A333A4" w:rsidRPr="00240299">
        <w:t xml:space="preserve">. </w:t>
      </w:r>
    </w:p>
    <w:p w:rsidR="00DD65EA" w:rsidRPr="00240299" w:rsidRDefault="00DD65EA" w:rsidP="00DD65EA">
      <w:pPr>
        <w:pStyle w:val="FigureTitle"/>
      </w:pPr>
      <w:r w:rsidRPr="00240299">
        <w:rPr>
          <w:b w:val="0"/>
        </w:rPr>
        <w:lastRenderedPageBreak/>
        <w:t xml:space="preserve">Figure </w:t>
      </w:r>
      <w:bookmarkStart w:id="25" w:name="OLE_LINK28"/>
      <w:r w:rsidR="00C9303E">
        <w:rPr>
          <w:b w:val="0"/>
        </w:rPr>
        <w:t>2.</w:t>
      </w:r>
      <w:r w:rsidR="004456C0">
        <w:rPr>
          <w:b w:val="0"/>
          <w:noProof/>
        </w:rPr>
        <w:t>14</w:t>
      </w:r>
      <w:bookmarkEnd w:id="25"/>
      <w:r w:rsidRPr="00240299">
        <w:tab/>
        <w:t>Import penetration</w:t>
      </w:r>
      <w:r w:rsidR="00A17643" w:rsidRPr="00240299">
        <w:rPr>
          <w:rStyle w:val="NoteLabel"/>
          <w:b/>
        </w:rPr>
        <w:t>a</w:t>
      </w:r>
      <w:r w:rsidR="00D977E2" w:rsidRPr="00240299">
        <w:t>,</w:t>
      </w:r>
      <w:r w:rsidRPr="00240299">
        <w:t xml:space="preserve"> export propensity </w:t>
      </w:r>
      <w:r w:rsidR="00D977E2" w:rsidRPr="00240299">
        <w:t xml:space="preserve">and MFP </w:t>
      </w:r>
      <w:r w:rsidRPr="00240299">
        <w:t xml:space="preserve">in </w:t>
      </w:r>
      <w:r w:rsidR="00524D2A" w:rsidRPr="00240299">
        <w:t>Manufacturing</w:t>
      </w:r>
    </w:p>
    <w:p w:rsidR="00DD65EA" w:rsidRPr="00240299" w:rsidRDefault="00A978B7" w:rsidP="00DD65EA">
      <w:pPr>
        <w:pStyle w:val="Subtitle"/>
      </w:pPr>
      <w:r w:rsidRPr="00240299">
        <w:t>S</w:t>
      </w:r>
      <w:r w:rsidR="00D977E2" w:rsidRPr="00240299">
        <w:t>hare</w:t>
      </w:r>
      <w:r w:rsidR="006F2194" w:rsidRPr="00240299">
        <w:t>s</w:t>
      </w:r>
      <w:r w:rsidR="00492EF0" w:rsidRPr="00240299">
        <w:t xml:space="preserve"> </w:t>
      </w:r>
      <w:r w:rsidR="009339E1" w:rsidRPr="00240299">
        <w:t>(LHS)</w:t>
      </w:r>
      <w:r w:rsidR="00D977E2" w:rsidRPr="00240299">
        <w:t>; Index 2009-10</w:t>
      </w:r>
      <w:r w:rsidRPr="00240299">
        <w:t xml:space="preserve"> </w:t>
      </w:r>
      <w:r w:rsidR="00D977E2" w:rsidRPr="00240299">
        <w:t>=</w:t>
      </w:r>
      <w:r w:rsidRPr="00240299">
        <w:t xml:space="preserve"> </w:t>
      </w:r>
      <w:r w:rsidR="00D977E2" w:rsidRPr="00240299">
        <w:t>100</w:t>
      </w:r>
      <w:r w:rsidR="009339E1" w:rsidRPr="00240299">
        <w:t xml:space="preserve"> (RHS)</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DD65EA" w:rsidRPr="00240299" w:rsidTr="00444FD2">
        <w:tc>
          <w:tcPr>
            <w:tcW w:w="8777" w:type="dxa"/>
          </w:tcPr>
          <w:p w:rsidR="00DD65EA" w:rsidRPr="00240299" w:rsidRDefault="007E3B51" w:rsidP="009D757F">
            <w:pPr>
              <w:pStyle w:val="Figure"/>
              <w:spacing w:before="60" w:after="60"/>
            </w:pPr>
            <w:r>
              <w:pict>
                <v:shape id="_x0000_i1041" type="#_x0000_t75" alt="This figure shows that import penetration in Manufacturing rose steadily until just after the beginning of cycle 3, declined over cycle 3 and then rose again over cycle 4. Export propensity has a similar pattern, although its decline over cycle 3 was more pronounced. When comparing these with MFP trend in Manufacturing, there does not appear to be a consistent correlation between rising import penetration and falling MFP. Nor is there a clear correlation between falling export propensity and falling MFP." style="width:424.5pt;height:198pt">
                  <v:imagedata r:id="rId25" o:title=""/>
                </v:shape>
              </w:pict>
            </w:r>
          </w:p>
        </w:tc>
      </w:tr>
    </w:tbl>
    <w:p w:rsidR="00DD65EA" w:rsidRPr="00240299" w:rsidRDefault="00DD65EA" w:rsidP="005149EC">
      <w:pPr>
        <w:pStyle w:val="Note"/>
        <w:spacing w:before="40"/>
      </w:pPr>
      <w:r w:rsidRPr="00240299">
        <w:rPr>
          <w:rStyle w:val="NoteLabel"/>
        </w:rPr>
        <w:t>a</w:t>
      </w:r>
      <w:r w:rsidRPr="00240299">
        <w:t xml:space="preserve"> Domestic consumption is derived as the sales of manufactured goods less the value o</w:t>
      </w:r>
      <w:r w:rsidR="009F3872" w:rsidRPr="00240299">
        <w:t>f exports</w:t>
      </w:r>
      <w:r w:rsidR="006B2A77" w:rsidRPr="00240299">
        <w:t xml:space="preserve"> plus consumption of imports</w:t>
      </w:r>
      <w:r w:rsidR="00E859E2" w:rsidRPr="00240299">
        <w:t xml:space="preserve">. </w:t>
      </w:r>
    </w:p>
    <w:p w:rsidR="00DD65EA" w:rsidRPr="00240299" w:rsidRDefault="009F3872" w:rsidP="009D757F">
      <w:pPr>
        <w:pStyle w:val="Source"/>
      </w:pPr>
      <w:r w:rsidRPr="00240299">
        <w:rPr>
          <w:i/>
        </w:rPr>
        <w:t>Data source</w:t>
      </w:r>
      <w:r w:rsidR="0087304C" w:rsidRPr="00240299">
        <w:rPr>
          <w:i/>
        </w:rPr>
        <w:t>s</w:t>
      </w:r>
      <w:r w:rsidRPr="00C7431A">
        <w:t>:</w:t>
      </w:r>
      <w:r w:rsidRPr="00240299">
        <w:t xml:space="preserve"> </w:t>
      </w:r>
      <w:r w:rsidR="000A10EF" w:rsidRPr="00240299">
        <w:t>PC (2003); a</w:t>
      </w:r>
      <w:r w:rsidR="00DD65EA" w:rsidRPr="00240299">
        <w:t xml:space="preserve">uthors’ estimates based on ABS </w:t>
      </w:r>
      <w:r w:rsidR="00602C1F" w:rsidRPr="00240299">
        <w:t>(</w:t>
      </w:r>
      <w:r w:rsidR="00602C1F" w:rsidRPr="00240299">
        <w:rPr>
          <w:i/>
        </w:rPr>
        <w:t xml:space="preserve">International Trade in Goods and Services, </w:t>
      </w:r>
      <w:r w:rsidR="00602C1F" w:rsidRPr="00240299">
        <w:t xml:space="preserve">Australia, </w:t>
      </w:r>
      <w:r w:rsidR="00E0081A" w:rsidRPr="00240299">
        <w:t xml:space="preserve">various issues, </w:t>
      </w:r>
      <w:r w:rsidR="00602C1F" w:rsidRPr="00240299">
        <w:t xml:space="preserve">Cat. no. </w:t>
      </w:r>
      <w:r w:rsidR="00DD65EA" w:rsidRPr="00240299">
        <w:t>5368</w:t>
      </w:r>
      <w:r w:rsidR="00602C1F" w:rsidRPr="00240299">
        <w:t>.0)</w:t>
      </w:r>
      <w:r w:rsidR="00E859E2" w:rsidRPr="00240299">
        <w:t>;</w:t>
      </w:r>
      <w:r w:rsidR="00DD65EA" w:rsidRPr="00240299">
        <w:t xml:space="preserve"> </w:t>
      </w:r>
      <w:r w:rsidR="00602C1F" w:rsidRPr="00240299">
        <w:t>ABS (</w:t>
      </w:r>
      <w:r w:rsidR="00C858D3" w:rsidRPr="001C6BCF">
        <w:rPr>
          <w:i/>
        </w:rPr>
        <w:t>International Trade Price Indexes,</w:t>
      </w:r>
      <w:r w:rsidR="00C858D3" w:rsidRPr="001C6BCF">
        <w:t xml:space="preserve"> various issues</w:t>
      </w:r>
      <w:r w:rsidR="00C858D3" w:rsidRPr="00C06347">
        <w:t>,</w:t>
      </w:r>
      <w:r w:rsidR="00C858D3" w:rsidRPr="001C6BCF">
        <w:t xml:space="preserve"> Cat.</w:t>
      </w:r>
      <w:r w:rsidR="00624AAF">
        <w:t> </w:t>
      </w:r>
      <w:r w:rsidR="00C858D3" w:rsidRPr="001C6BCF">
        <w:t>no.</w:t>
      </w:r>
      <w:r w:rsidR="00C858D3">
        <w:t> </w:t>
      </w:r>
      <w:r w:rsidR="00C858D3" w:rsidRPr="001C6BCF">
        <w:t>6457.0</w:t>
      </w:r>
      <w:r w:rsidR="00602C1F" w:rsidRPr="00240299">
        <w:t xml:space="preserve">); </w:t>
      </w:r>
      <w:r w:rsidR="00561F04" w:rsidRPr="00240299">
        <w:t xml:space="preserve">and </w:t>
      </w:r>
      <w:r w:rsidR="00602C1F" w:rsidRPr="00240299">
        <w:t>ABS (</w:t>
      </w:r>
      <w:r w:rsidR="00602C1F" w:rsidRPr="00240299">
        <w:rPr>
          <w:i/>
        </w:rPr>
        <w:t>Australian Industry</w:t>
      </w:r>
      <w:r w:rsidR="00602C1F" w:rsidRPr="00240299">
        <w:t xml:space="preserve">, </w:t>
      </w:r>
      <w:r w:rsidR="007458B5" w:rsidRPr="00240299">
        <w:t xml:space="preserve">various issues, </w:t>
      </w:r>
      <w:r w:rsidR="00602C1F" w:rsidRPr="00240299">
        <w:t xml:space="preserve">Cat. no. </w:t>
      </w:r>
      <w:r w:rsidR="00DD65EA" w:rsidRPr="00240299">
        <w:t>8155</w:t>
      </w:r>
      <w:r w:rsidR="000A10EF" w:rsidRPr="00240299">
        <w:t>.0)</w:t>
      </w:r>
      <w:r w:rsidR="00DD65EA" w:rsidRPr="00240299">
        <w:t>.</w:t>
      </w:r>
    </w:p>
    <w:p w:rsidR="006D2D4A" w:rsidRPr="00240299" w:rsidRDefault="005D034A" w:rsidP="00DD65EA">
      <w:pPr>
        <w:pStyle w:val="Heading4"/>
      </w:pPr>
      <w:r w:rsidRPr="00240299">
        <w:t>C</w:t>
      </w:r>
      <w:r w:rsidR="006D2D4A" w:rsidRPr="00240299">
        <w:t xml:space="preserve">hange in the composition of </w:t>
      </w:r>
      <w:r w:rsidR="00602B84" w:rsidRPr="00240299">
        <w:t>Manufacturing</w:t>
      </w:r>
    </w:p>
    <w:p w:rsidR="004D4B7B" w:rsidRDefault="0018747A" w:rsidP="00416385">
      <w:pPr>
        <w:pStyle w:val="BodyText"/>
      </w:pPr>
      <w:r w:rsidRPr="00240299">
        <w:t>Negative productivity growth may also occur if there is c</w:t>
      </w:r>
      <w:r w:rsidR="00685262" w:rsidRPr="00240299">
        <w:t xml:space="preserve">ompositional change within </w:t>
      </w:r>
      <w:r w:rsidR="00C52F36" w:rsidRPr="00240299">
        <w:t>Manufacturing</w:t>
      </w:r>
      <w:r w:rsidR="00685262" w:rsidRPr="00240299">
        <w:t xml:space="preserve"> towards activities with relatively low </w:t>
      </w:r>
      <w:r w:rsidR="006400E0">
        <w:t xml:space="preserve">measured </w:t>
      </w:r>
      <w:r w:rsidR="00685262" w:rsidRPr="00240299">
        <w:t xml:space="preserve">productivity. </w:t>
      </w:r>
      <w:r w:rsidR="00005A99" w:rsidRPr="00240299">
        <w:t xml:space="preserve">One reason for a </w:t>
      </w:r>
      <w:r w:rsidR="00C7243F" w:rsidRPr="00240299">
        <w:t xml:space="preserve">production </w:t>
      </w:r>
      <w:r w:rsidR="00005A99" w:rsidRPr="00240299">
        <w:t>shift to lower</w:t>
      </w:r>
      <w:r w:rsidR="00C7243F" w:rsidRPr="00240299">
        <w:t>-</w:t>
      </w:r>
      <w:r w:rsidR="00005A99" w:rsidRPr="00240299">
        <w:t xml:space="preserve">productivity activities </w:t>
      </w:r>
      <w:r w:rsidR="00737BD8" w:rsidRPr="00240299">
        <w:t xml:space="preserve">can be </w:t>
      </w:r>
      <w:r w:rsidR="00005A99" w:rsidRPr="00240299">
        <w:t>that</w:t>
      </w:r>
      <w:r w:rsidR="00CF291C" w:rsidRPr="00240299">
        <w:t>,</w:t>
      </w:r>
      <w:r w:rsidR="00005A99" w:rsidRPr="00240299">
        <w:t xml:space="preserve"> </w:t>
      </w:r>
      <w:r w:rsidR="00CD4EF2" w:rsidRPr="00240299">
        <w:t xml:space="preserve">in the </w:t>
      </w:r>
      <w:r w:rsidR="00005A99" w:rsidRPr="00240299">
        <w:t>short</w:t>
      </w:r>
      <w:r w:rsidR="00B74B00" w:rsidRPr="00240299">
        <w:t xml:space="preserve"> </w:t>
      </w:r>
      <w:r w:rsidR="00005A99" w:rsidRPr="00240299">
        <w:t>term</w:t>
      </w:r>
      <w:r w:rsidR="00CF291C" w:rsidRPr="00240299">
        <w:t>,</w:t>
      </w:r>
      <w:r w:rsidR="00005A99" w:rsidRPr="00240299">
        <w:t xml:space="preserve"> these activities have become more profitable. For example, Topp</w:t>
      </w:r>
      <w:r w:rsidR="00154744" w:rsidRPr="00240299">
        <w:t> </w:t>
      </w:r>
      <w:r w:rsidR="00005A99" w:rsidRPr="00240299">
        <w:t>et</w:t>
      </w:r>
      <w:r w:rsidR="00154744" w:rsidRPr="00240299">
        <w:t> </w:t>
      </w:r>
      <w:r w:rsidR="00005A99" w:rsidRPr="00240299">
        <w:t>al.</w:t>
      </w:r>
      <w:r w:rsidR="003C4C13" w:rsidRPr="00240299">
        <w:t> </w:t>
      </w:r>
      <w:r w:rsidR="00005A99" w:rsidRPr="00240299">
        <w:t xml:space="preserve">(2008) found this to be the case </w:t>
      </w:r>
      <w:r w:rsidR="004B4279" w:rsidRPr="00240299">
        <w:t xml:space="preserve">within </w:t>
      </w:r>
      <w:r w:rsidR="00005A99" w:rsidRPr="00240299">
        <w:t xml:space="preserve">Mining, </w:t>
      </w:r>
      <w:r w:rsidR="00F71452">
        <w:t>with lower grade deposits being mined (</w:t>
      </w:r>
      <w:r w:rsidR="00C06347">
        <w:t xml:space="preserve">with </w:t>
      </w:r>
      <w:r w:rsidR="00F71452">
        <w:t>greater input use per unit of output) in response</w:t>
      </w:r>
      <w:r w:rsidR="00005A99" w:rsidRPr="00240299">
        <w:t xml:space="preserve"> to increases in </w:t>
      </w:r>
      <w:r w:rsidR="00C7243F" w:rsidRPr="00240299">
        <w:t xml:space="preserve">the prices of some </w:t>
      </w:r>
      <w:r w:rsidR="00005A99" w:rsidRPr="00240299">
        <w:t>commodit</w:t>
      </w:r>
      <w:r w:rsidR="00C7243F" w:rsidRPr="00240299">
        <w:t>ies</w:t>
      </w:r>
      <w:r w:rsidR="00005A99" w:rsidRPr="00240299">
        <w:t xml:space="preserve">. </w:t>
      </w:r>
      <w:r w:rsidR="00C61D62" w:rsidRPr="00240299">
        <w:t xml:space="preserve">In other cases, profitable activities may appear to have lower productivity because </w:t>
      </w:r>
      <w:r w:rsidR="000D4E58" w:rsidRPr="00240299">
        <w:t xml:space="preserve">output is understated as a result </w:t>
      </w:r>
      <w:r w:rsidR="00C61D62" w:rsidRPr="00240299">
        <w:t xml:space="preserve">of </w:t>
      </w:r>
      <w:r w:rsidR="000D4E58" w:rsidRPr="00240299">
        <w:t xml:space="preserve">difficulties in measuring </w:t>
      </w:r>
      <w:r w:rsidR="00C61D62" w:rsidRPr="00240299">
        <w:t xml:space="preserve">improvements in the quality of </w:t>
      </w:r>
      <w:r w:rsidR="00F71452">
        <w:t xml:space="preserve">the </w:t>
      </w:r>
      <w:r w:rsidR="00C61D62" w:rsidRPr="00240299">
        <w:t xml:space="preserve">output. </w:t>
      </w:r>
    </w:p>
    <w:p w:rsidR="002C6B99" w:rsidRPr="00240299" w:rsidRDefault="002C6B99" w:rsidP="002C6B99">
      <w:pPr>
        <w:pStyle w:val="BodyText"/>
        <w:spacing w:before="360"/>
      </w:pPr>
      <w:r w:rsidRPr="00240299">
        <w:t xml:space="preserve">The data for Manufacturing </w:t>
      </w:r>
      <w:r w:rsidRPr="00603601">
        <w:t>as a</w:t>
      </w:r>
      <w:r>
        <w:rPr>
          <w:i/>
        </w:rPr>
        <w:t xml:space="preserve"> </w:t>
      </w:r>
      <w:r w:rsidRPr="00603601">
        <w:t>whole</w:t>
      </w:r>
      <w:r>
        <w:t>, however,</w:t>
      </w:r>
      <w:r w:rsidRPr="00240299">
        <w:t xml:space="preserve"> suggest that the decline in MFP growth </w:t>
      </w:r>
      <w:r>
        <w:t>in cycle 4 (and subsequently) coincided with a decline, rather than an increase in</w:t>
      </w:r>
      <w:r w:rsidRPr="00240299">
        <w:t xml:space="preserve"> profitability</w:t>
      </w:r>
      <w:r>
        <w:t xml:space="preserve"> (f</w:t>
      </w:r>
      <w:r w:rsidRPr="00240299">
        <w:t xml:space="preserve">igure </w:t>
      </w:r>
      <w:r w:rsidR="00C9303E">
        <w:t>2.15</w:t>
      </w:r>
      <w:r>
        <w:t>).</w:t>
      </w:r>
      <w:r w:rsidRPr="00240299">
        <w:t xml:space="preserve"> </w:t>
      </w:r>
    </w:p>
    <w:p w:rsidR="002050C4" w:rsidRDefault="002050C4">
      <w:pPr>
        <w:rPr>
          <w:szCs w:val="20"/>
        </w:rPr>
      </w:pPr>
      <w:r>
        <w:br w:type="page"/>
      </w:r>
    </w:p>
    <w:p w:rsidR="002C6B99" w:rsidRPr="00624AAF" w:rsidRDefault="002C6B99" w:rsidP="002C6B99">
      <w:pPr>
        <w:pStyle w:val="BodyText"/>
      </w:pPr>
      <w:r>
        <w:lastRenderedPageBreak/>
        <w:t>T</w:t>
      </w:r>
      <w:r w:rsidRPr="00240299">
        <w:t xml:space="preserve">he importance of particular influences on productivity (including compositional change) may be masked in the aggregate level data by offsetting changes in different parts of Manufacturing. The remainder of this paper examines Manufacturing at a more disaggregated level. Chapter 3 presents new estimates of MFP for subsectors within Manufacturing. The effects of particular influences on the productivity of some of these individual subsectors are then examined in the later chapters. </w:t>
      </w:r>
    </w:p>
    <w:p w:rsidR="00685262" w:rsidRPr="00240299" w:rsidRDefault="00685262" w:rsidP="00685262">
      <w:pPr>
        <w:pStyle w:val="FigureTitle"/>
        <w:rPr>
          <w:rStyle w:val="NoteLabel"/>
          <w:b/>
        </w:rPr>
      </w:pPr>
      <w:r w:rsidRPr="00240299">
        <w:rPr>
          <w:b w:val="0"/>
        </w:rPr>
        <w:t xml:space="preserve">Figure </w:t>
      </w:r>
      <w:bookmarkStart w:id="26" w:name="OLE_LINK2"/>
      <w:r w:rsidR="00C9303E">
        <w:rPr>
          <w:b w:val="0"/>
        </w:rPr>
        <w:t>2.</w:t>
      </w:r>
      <w:r w:rsidR="004456C0">
        <w:rPr>
          <w:b w:val="0"/>
          <w:noProof/>
        </w:rPr>
        <w:t>15</w:t>
      </w:r>
      <w:bookmarkEnd w:id="26"/>
      <w:r w:rsidRPr="00240299">
        <w:tab/>
      </w:r>
      <w:r w:rsidR="00BB717E" w:rsidRPr="00240299">
        <w:t>Manufacturing MFP and profit</w:t>
      </w:r>
      <w:r w:rsidR="007D4B99" w:rsidRPr="00240299">
        <w:t>ability</w:t>
      </w:r>
      <w:r w:rsidR="00540CE7" w:rsidRPr="00240299">
        <w:rPr>
          <w:rStyle w:val="NoteLabel"/>
          <w:b/>
        </w:rPr>
        <w:t>a</w:t>
      </w:r>
    </w:p>
    <w:p w:rsidR="00A12B70" w:rsidRPr="00240299" w:rsidRDefault="00910224" w:rsidP="00A12B70">
      <w:pPr>
        <w:pStyle w:val="Subtitle"/>
      </w:pPr>
      <w:r w:rsidRPr="00240299">
        <w:t>I</w:t>
      </w:r>
      <w:r w:rsidR="00A12B70" w:rsidRPr="00240299">
        <w:t xml:space="preserve">ndex </w:t>
      </w:r>
      <w:r w:rsidR="008333DD">
        <w:t>1989-90</w:t>
      </w:r>
      <w:r w:rsidR="00A12B70" w:rsidRPr="00240299">
        <w:t xml:space="preserve"> = 100</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7D4B99" w:rsidRPr="00240299" w:rsidTr="00BB717E">
        <w:tc>
          <w:tcPr>
            <w:tcW w:w="8777" w:type="dxa"/>
            <w:tcBorders>
              <w:top w:val="single" w:sz="4" w:space="0" w:color="auto"/>
            </w:tcBorders>
          </w:tcPr>
          <w:p w:rsidR="007D4B99" w:rsidRPr="00240299" w:rsidRDefault="007E3B51" w:rsidP="005751D6">
            <w:pPr>
              <w:pStyle w:val="Figure"/>
              <w:spacing w:before="0" w:after="0"/>
            </w:pPr>
            <w:r>
              <w:pict>
                <v:shape id="_x0000_i1042" type="#_x0000_t75" alt="This figure shows that the MFP decline of Manufacturing as whole does not occur at a time of increased profitability. Profitability and MFP growth declined over cycle 4 and the incomplete cycle. " style="width:424.5pt;height:198pt">
                  <v:imagedata r:id="rId26" o:title=""/>
                </v:shape>
              </w:pict>
            </w:r>
          </w:p>
        </w:tc>
      </w:tr>
    </w:tbl>
    <w:p w:rsidR="00685262" w:rsidRPr="00240299" w:rsidRDefault="00685262" w:rsidP="00685262">
      <w:pPr>
        <w:pStyle w:val="Note"/>
      </w:pPr>
      <w:r w:rsidRPr="00240299">
        <w:rPr>
          <w:rStyle w:val="NoteLabel"/>
        </w:rPr>
        <w:t>a</w:t>
      </w:r>
      <w:r w:rsidR="00817EAC" w:rsidRPr="00240299">
        <w:t xml:space="preserve"> </w:t>
      </w:r>
      <w:r w:rsidR="00540CE7" w:rsidRPr="00240299">
        <w:t xml:space="preserve">Profitability </w:t>
      </w:r>
      <w:r w:rsidR="00AE0C2D">
        <w:t xml:space="preserve">can be measured in different ways. In this figure the ‘profitability’ </w:t>
      </w:r>
      <w:r w:rsidR="00540CE7" w:rsidRPr="00240299">
        <w:t xml:space="preserve">measure is </w:t>
      </w:r>
      <w:r w:rsidR="00817EAC" w:rsidRPr="00240299">
        <w:t xml:space="preserve">the </w:t>
      </w:r>
      <w:r w:rsidR="00540CE7" w:rsidRPr="00240299">
        <w:t xml:space="preserve">ratio of </w:t>
      </w:r>
      <w:r w:rsidR="009E0424" w:rsidRPr="00240299">
        <w:t>gross operating surplus (GOS) to net capital stock (</w:t>
      </w:r>
      <w:r w:rsidR="007B120C" w:rsidRPr="00240299">
        <w:t xml:space="preserve">both </w:t>
      </w:r>
      <w:r w:rsidR="0088387E" w:rsidRPr="00240299">
        <w:t>at</w:t>
      </w:r>
      <w:r w:rsidR="009E0424" w:rsidRPr="00240299">
        <w:t xml:space="preserve"> current prices). GOS is </w:t>
      </w:r>
      <w:r w:rsidR="00266BD2">
        <w:t>gross operating surplus</w:t>
      </w:r>
      <w:r w:rsidR="001E23AF" w:rsidRPr="00240299">
        <w:t xml:space="preserve"> of the corporate sector</w:t>
      </w:r>
      <w:r w:rsidR="009E0424" w:rsidRPr="00240299">
        <w:t xml:space="preserve"> plus gross mixed income from ABS </w:t>
      </w:r>
      <w:r w:rsidR="003E7B57" w:rsidRPr="00240299">
        <w:t>National Accounts</w:t>
      </w:r>
      <w:r w:rsidR="00266BD2">
        <w:t>,</w:t>
      </w:r>
      <w:r w:rsidR="003E7B57" w:rsidRPr="00240299">
        <w:t xml:space="preserve"> </w:t>
      </w:r>
      <w:r w:rsidR="009E0424" w:rsidRPr="00240299">
        <w:t>adjusted to exclude</w:t>
      </w:r>
      <w:r w:rsidR="00C06347">
        <w:t xml:space="preserve"> the</w:t>
      </w:r>
      <w:r w:rsidR="009E0424" w:rsidRPr="00240299">
        <w:t xml:space="preserve"> labour share of gross mixed income.</w:t>
      </w:r>
      <w:r w:rsidR="006D4835">
        <w:t xml:space="preserve"> Gross operating surplus of the corporate </w:t>
      </w:r>
      <w:r w:rsidR="006D4835" w:rsidRPr="006D4835">
        <w:t>sector is the excess of gross output over the sum of intermediate consumption, compensation of employees, and taxes less subsidies on production and imports. It is calculated before deduction of consumption of fixed capital, dividends, interest, royalties and land rent, and direct taxes payable, but after deducting the inventory valuation adjustment.</w:t>
      </w:r>
    </w:p>
    <w:p w:rsidR="00685262" w:rsidRDefault="00685262" w:rsidP="00685262">
      <w:pPr>
        <w:pStyle w:val="Source"/>
      </w:pPr>
      <w:r w:rsidRPr="00240299">
        <w:rPr>
          <w:i/>
        </w:rPr>
        <w:t>Data source</w:t>
      </w:r>
      <w:r w:rsidR="0087304C" w:rsidRPr="00240299">
        <w:rPr>
          <w:i/>
        </w:rPr>
        <w:t>s</w:t>
      </w:r>
      <w:r w:rsidRPr="00240299">
        <w:t>: ABS (</w:t>
      </w:r>
      <w:r w:rsidRPr="00240299">
        <w:rPr>
          <w:i/>
        </w:rPr>
        <w:t xml:space="preserve">Experimental Estimates of Industry Multifactor Productivity, 2010-11, </w:t>
      </w:r>
      <w:r w:rsidRPr="00240299">
        <w:t>Cat. no. 5260.0.55.002</w:t>
      </w:r>
      <w:r w:rsidR="001E69D3" w:rsidRPr="00240299">
        <w:t>)</w:t>
      </w:r>
      <w:r w:rsidR="00496496" w:rsidRPr="00240299">
        <w:t>;</w:t>
      </w:r>
      <w:r w:rsidR="001E69D3" w:rsidRPr="00240299">
        <w:t xml:space="preserve"> </w:t>
      </w:r>
      <w:r w:rsidR="000A10EF" w:rsidRPr="00240299">
        <w:t xml:space="preserve">authors’ estimates based on </w:t>
      </w:r>
      <w:r w:rsidRPr="00240299">
        <w:t>ABS (</w:t>
      </w:r>
      <w:r w:rsidRPr="00240299">
        <w:rPr>
          <w:i/>
        </w:rPr>
        <w:t xml:space="preserve">Australian System of National Accounts, 2010-11, </w:t>
      </w:r>
      <w:r w:rsidR="001E69D3" w:rsidRPr="00240299">
        <w:t>Cat. no. 5204.0)</w:t>
      </w:r>
      <w:r w:rsidR="009D5CB0" w:rsidRPr="00240299">
        <w:t>.</w:t>
      </w:r>
    </w:p>
    <w:p w:rsidR="00C9303E" w:rsidRPr="00C9303E" w:rsidRDefault="00C9303E" w:rsidP="00C9303E">
      <w:pPr>
        <w:pStyle w:val="BodyText"/>
      </w:pPr>
    </w:p>
    <w:p w:rsidR="00C9303E" w:rsidRDefault="00C9303E">
      <w:pPr>
        <w:pStyle w:val="BodyText"/>
        <w:sectPr w:rsidR="00C9303E" w:rsidSect="00EC2B6E">
          <w:headerReference w:type="even" r:id="rId27"/>
          <w:headerReference w:type="default" r:id="rId28"/>
          <w:footerReference w:type="even" r:id="rId29"/>
          <w:footerReference w:type="default" r:id="rId30"/>
          <w:pgSz w:w="11907" w:h="16840" w:code="9"/>
          <w:pgMar w:top="1985" w:right="1304" w:bottom="1418" w:left="1814" w:header="1701" w:footer="567" w:gutter="0"/>
          <w:pgNumType w:start="23" w:chapSep="period"/>
          <w:cols w:space="720"/>
        </w:sectPr>
      </w:pPr>
    </w:p>
    <w:p w:rsidR="002C6B99" w:rsidRPr="00624AAF" w:rsidRDefault="002C6B99">
      <w:pPr>
        <w:pStyle w:val="BodyText"/>
      </w:pPr>
    </w:p>
    <w:sectPr w:rsidR="002C6B99" w:rsidRPr="00624AAF" w:rsidSect="00C9303E">
      <w:headerReference w:type="even" r:id="rId31"/>
      <w:footerReference w:type="even" r:id="rId32"/>
      <w:type w:val="evenPage"/>
      <w:pgSz w:w="11907" w:h="16840" w:code="9"/>
      <w:pgMar w:top="1985" w:right="1304" w:bottom="1418" w:left="1814" w:header="1701" w:footer="567" w:gutter="0"/>
      <w:pgNumType w:start="7"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1388" w:rsidRDefault="00B61388">
      <w:r>
        <w:separator/>
      </w:r>
    </w:p>
  </w:endnote>
  <w:endnote w:type="continuationSeparator" w:id="0">
    <w:p w:rsidR="00B61388" w:rsidRDefault="00B613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JECLE F+ Helvetica Neue">
    <w:altName w:val="Helvetica Neue"/>
    <w:panose1 w:val="00000000000000000000"/>
    <w:charset w:val="00"/>
    <w:family w:val="swiss"/>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TimesNewRoman,Italic">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B61388">
      <w:trPr>
        <w:trHeight w:hRule="exact" w:val="740"/>
      </w:trPr>
      <w:tc>
        <w:tcPr>
          <w:tcW w:w="510" w:type="dxa"/>
          <w:tcBorders>
            <w:top w:val="single" w:sz="6" w:space="0" w:color="auto"/>
          </w:tcBorders>
        </w:tcPr>
        <w:p w:rsidR="00B61388" w:rsidRDefault="00B61388" w:rsidP="00C9303E">
          <w:pPr>
            <w:pStyle w:val="Footer"/>
            <w:tabs>
              <w:tab w:val="left" w:pos="0"/>
            </w:tabs>
            <w:ind w:right="0"/>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060BA0">
            <w:rPr>
              <w:rStyle w:val="PageNumber"/>
              <w:noProof/>
            </w:rPr>
            <w:t>46</w:t>
          </w:r>
          <w:r>
            <w:rPr>
              <w:rStyle w:val="PageNumber"/>
            </w:rPr>
            <w:fldChar w:fldCharType="end"/>
          </w:r>
        </w:p>
      </w:tc>
      <w:tc>
        <w:tcPr>
          <w:tcW w:w="1644" w:type="dxa"/>
          <w:tcBorders>
            <w:top w:val="single" w:sz="6" w:space="0" w:color="auto"/>
          </w:tcBorders>
        </w:tcPr>
        <w:p w:rsidR="00B61388" w:rsidRDefault="00060BA0" w:rsidP="0019293B">
          <w:pPr>
            <w:pStyle w:val="Footer"/>
          </w:pPr>
          <w:r>
            <w:fldChar w:fldCharType="begin"/>
          </w:r>
          <w:r>
            <w:instrText xml:space="preserve"> SUBJECT  \* MERGEFORMAT </w:instrText>
          </w:r>
          <w:r>
            <w:fldChar w:fldCharType="separate"/>
          </w:r>
          <w:r w:rsidR="0039109E">
            <w:t>Productivity in Manufacturing</w:t>
          </w:r>
          <w:r>
            <w:fldChar w:fldCharType="end"/>
          </w:r>
        </w:p>
      </w:tc>
      <w:tc>
        <w:tcPr>
          <w:tcW w:w="6634" w:type="dxa"/>
        </w:tcPr>
        <w:p w:rsidR="00B61388" w:rsidRDefault="00B61388" w:rsidP="0019293B">
          <w:pPr>
            <w:pStyle w:val="Footer"/>
          </w:pPr>
        </w:p>
      </w:tc>
    </w:tr>
  </w:tbl>
  <w:p w:rsidR="00B61388" w:rsidRDefault="00B61388"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B61388">
      <w:trPr>
        <w:trHeight w:hRule="exact" w:val="740"/>
      </w:trPr>
      <w:tc>
        <w:tcPr>
          <w:tcW w:w="6634" w:type="dxa"/>
        </w:tcPr>
        <w:p w:rsidR="00B61388" w:rsidRDefault="00B61388" w:rsidP="00A374B9">
          <w:pPr>
            <w:pStyle w:val="Footer"/>
            <w:ind w:right="360" w:firstLine="360"/>
          </w:pPr>
        </w:p>
      </w:tc>
      <w:tc>
        <w:tcPr>
          <w:tcW w:w="1644" w:type="dxa"/>
          <w:tcBorders>
            <w:top w:val="single" w:sz="6" w:space="0" w:color="auto"/>
          </w:tcBorders>
        </w:tcPr>
        <w:p w:rsidR="00B61388" w:rsidRDefault="00060BA0">
          <w:pPr>
            <w:pStyle w:val="Footer"/>
          </w:pPr>
          <w:r>
            <w:fldChar w:fldCharType="begin"/>
          </w:r>
          <w:r>
            <w:instrText xml:space="preserve"> TITLE  \* MERGEFORMAT </w:instrText>
          </w:r>
          <w:r>
            <w:fldChar w:fldCharType="separate"/>
          </w:r>
          <w:r w:rsidR="0039109E">
            <w:t>Aggregate Manufacturing productivity</w:t>
          </w:r>
          <w:r>
            <w:fldChar w:fldCharType="end"/>
          </w:r>
        </w:p>
      </w:tc>
      <w:tc>
        <w:tcPr>
          <w:tcW w:w="510" w:type="dxa"/>
          <w:tcBorders>
            <w:top w:val="single" w:sz="6" w:space="0" w:color="auto"/>
          </w:tcBorders>
        </w:tcPr>
        <w:p w:rsidR="00B61388" w:rsidRDefault="00B61388">
          <w:pPr>
            <w:pStyle w:val="Footer"/>
            <w:jc w:val="right"/>
          </w:pPr>
          <w:r>
            <w:rPr>
              <w:rStyle w:val="PageNumber"/>
            </w:rPr>
            <w:fldChar w:fldCharType="begin"/>
          </w:r>
          <w:r>
            <w:rPr>
              <w:rStyle w:val="PageNumber"/>
            </w:rPr>
            <w:instrText xml:space="preserve">PAGE  </w:instrText>
          </w:r>
          <w:r>
            <w:rPr>
              <w:rStyle w:val="PageNumber"/>
            </w:rPr>
            <w:fldChar w:fldCharType="separate"/>
          </w:r>
          <w:r w:rsidR="00060BA0">
            <w:rPr>
              <w:rStyle w:val="PageNumber"/>
              <w:noProof/>
            </w:rPr>
            <w:t>23</w:t>
          </w:r>
          <w:r>
            <w:rPr>
              <w:rStyle w:val="PageNumber"/>
            </w:rPr>
            <w:fldChar w:fldCharType="end"/>
          </w:r>
        </w:p>
      </w:tc>
    </w:tr>
  </w:tbl>
  <w:p w:rsidR="00B61388" w:rsidRDefault="00B61388">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1388" w:rsidRDefault="00B61388" w:rsidP="0019293B">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1388" w:rsidRDefault="00B61388">
      <w:r>
        <w:separator/>
      </w:r>
    </w:p>
  </w:footnote>
  <w:footnote w:type="continuationSeparator" w:id="0">
    <w:p w:rsidR="00B61388" w:rsidRDefault="00B61388">
      <w:r>
        <w:continuationSeparator/>
      </w:r>
    </w:p>
  </w:footnote>
  <w:footnote w:id="1">
    <w:p w:rsidR="00B61388" w:rsidRDefault="00B61388" w:rsidP="001D4831">
      <w:pPr>
        <w:pStyle w:val="FootnoteText"/>
      </w:pPr>
      <w:r>
        <w:rPr>
          <w:rStyle w:val="FootnoteReference"/>
        </w:rPr>
        <w:footnoteRef/>
      </w:r>
      <w:r>
        <w:t xml:space="preserve"> </w:t>
      </w:r>
      <w:r>
        <w:tab/>
        <w:t xml:space="preserve">These proportions are calculated from table </w:t>
      </w:r>
      <w:r>
        <w:fldChar w:fldCharType="begin"/>
      </w:r>
      <w:r>
        <w:instrText xml:space="preserve"> LINK Word.Document.12 "\\\\nch1\\groups\\GRB\\Projects and papers\\Current\\Manufacturing\\Drafts\\Chapter 2 MFP in Manufacturing.docx" "OLE_LINK10" \a \t </w:instrText>
      </w:r>
      <w:r>
        <w:fldChar w:fldCharType="separate"/>
      </w:r>
      <w:r>
        <w:t>2.2</w:t>
      </w:r>
      <w:r>
        <w:fldChar w:fldCharType="end"/>
      </w:r>
      <w:r>
        <w:t xml:space="preserve"> by dividing the intermediate inputs supplied from Manufacturing to the different sectors by the total intermediate inputs used by each sector (that is, dividing the ‘Manufacturing’ row by the ‘Total domestic intermediate inputs’ row).</w:t>
      </w:r>
    </w:p>
  </w:footnote>
  <w:footnote w:id="2">
    <w:p w:rsidR="00B61388" w:rsidRDefault="00B61388">
      <w:pPr>
        <w:pStyle w:val="FootnoteText"/>
      </w:pPr>
      <w:r>
        <w:rPr>
          <w:rStyle w:val="FootnoteReference"/>
        </w:rPr>
        <w:footnoteRef/>
      </w:r>
      <w:r>
        <w:t xml:space="preserve"> </w:t>
      </w:r>
      <w:r>
        <w:tab/>
        <w:t xml:space="preserve">In this case disembodied technical change. Technical change can also be embodied in capital equipment. See </w:t>
      </w:r>
      <w:r w:rsidRPr="008E21BD">
        <w:t>Dowrick (2004)</w:t>
      </w:r>
      <w:r>
        <w:t xml:space="preserve"> for a discussion.</w:t>
      </w:r>
    </w:p>
  </w:footnote>
  <w:footnote w:id="3">
    <w:p w:rsidR="00B61388" w:rsidRDefault="00B61388" w:rsidP="00F06C39">
      <w:pPr>
        <w:pStyle w:val="FootnoteText"/>
      </w:pPr>
      <w:r>
        <w:rPr>
          <w:rStyle w:val="FootnoteReference"/>
        </w:rPr>
        <w:footnoteRef/>
      </w:r>
      <w:r>
        <w:t xml:space="preserve"> </w:t>
      </w:r>
      <w:r>
        <w:tab/>
        <w:t xml:space="preserve">R&amp;D and computer software, which are intangible assets, are included in the measure of capital. For a discussion of Manufacturing investment in other intangible assets and productivity, see Barnes (2010). </w:t>
      </w:r>
    </w:p>
  </w:footnote>
  <w:footnote w:id="4">
    <w:p w:rsidR="00B61388" w:rsidRDefault="00B61388" w:rsidP="0023654A">
      <w:pPr>
        <w:pStyle w:val="FootnoteText"/>
      </w:pPr>
      <w:r>
        <w:rPr>
          <w:rStyle w:val="FootnoteReference"/>
        </w:rPr>
        <w:footnoteRef/>
      </w:r>
      <w:r>
        <w:t xml:space="preserve"> </w:t>
      </w:r>
      <w:r>
        <w:tab/>
        <w:t>In this paper, value added, labour, and capital refer to volume (real) measures unless otherwise specified.</w:t>
      </w:r>
    </w:p>
  </w:footnote>
  <w:footnote w:id="5">
    <w:p w:rsidR="00B61388" w:rsidRDefault="00B61388" w:rsidP="009D587F">
      <w:pPr>
        <w:pStyle w:val="FootnoteText"/>
      </w:pPr>
      <w:r w:rsidRPr="0093629D">
        <w:rPr>
          <w:rStyle w:val="FootnoteReference"/>
        </w:rPr>
        <w:footnoteRef/>
      </w:r>
      <w:r w:rsidRPr="0093629D">
        <w:t xml:space="preserve"> </w:t>
      </w:r>
      <w:r>
        <w:tab/>
        <w:t xml:space="preserve">The terms </w:t>
      </w:r>
      <w:r w:rsidRPr="00132282">
        <w:t>multifactor productivity (MFP) and total factor productivity (TFP) are often used interchangeably. Some</w:t>
      </w:r>
      <w:r>
        <w:t xml:space="preserve"> authors</w:t>
      </w:r>
      <w:r w:rsidRPr="00132282">
        <w:t xml:space="preserve">, however, distinguish between the terms by referring to TFP growth as the growth in </w:t>
      </w:r>
      <w:r w:rsidRPr="00132282">
        <w:rPr>
          <w:i/>
        </w:rPr>
        <w:t>gross output</w:t>
      </w:r>
      <w:r w:rsidRPr="00132282">
        <w:t xml:space="preserve"> not explained by the combined input growth of </w:t>
      </w:r>
      <w:r w:rsidRPr="00132282">
        <w:rPr>
          <w:i/>
        </w:rPr>
        <w:t>intermediate inputs</w:t>
      </w:r>
      <w:r w:rsidRPr="00132282">
        <w:t xml:space="preserve">, labour and capital; and referring to MFP growth as the growth in </w:t>
      </w:r>
      <w:r w:rsidRPr="00132282">
        <w:rPr>
          <w:i/>
        </w:rPr>
        <w:t>value added</w:t>
      </w:r>
      <w:r w:rsidRPr="00132282">
        <w:t xml:space="preserve"> not explained by the combined input growth of labour and capital. The two measures are closely related as value added is defined as gross inputs less intermediate inputs but growth rates may differ. This paper uses MFP in order to be consistent with the main productivity measures reported by the ABS, and because sufficient data are not readily available to estimate TFP for subsectors within Manufacturing.</w:t>
      </w:r>
    </w:p>
  </w:footnote>
  <w:footnote w:id="6">
    <w:p w:rsidR="00B61388" w:rsidRDefault="00B61388">
      <w:pPr>
        <w:pStyle w:val="FootnoteText"/>
      </w:pPr>
      <w:r>
        <w:rPr>
          <w:rStyle w:val="FootnoteReference"/>
        </w:rPr>
        <w:footnoteRef/>
      </w:r>
      <w:r>
        <w:t xml:space="preserve"> </w:t>
      </w:r>
      <w:r>
        <w:tab/>
        <w:t xml:space="preserve">Capital deepening is positive when </w:t>
      </w:r>
      <w:r w:rsidRPr="00383D3C">
        <w:t>capital</w:t>
      </w:r>
      <w:r>
        <w:t xml:space="preserve"> services</w:t>
      </w:r>
      <w:r w:rsidRPr="00383D3C">
        <w:t xml:space="preserve"> grow faster (or contract more slowly) than hours worked. Negative rates of capital</w:t>
      </w:r>
      <w:r>
        <w:t xml:space="preserve"> deepening (also called capital shallowing) occur when hours worked grow faster (or contract more slowly) than capital services.</w:t>
      </w:r>
    </w:p>
  </w:footnote>
  <w:footnote w:id="7">
    <w:p w:rsidR="00B61388" w:rsidRDefault="00B61388" w:rsidP="00FE162B">
      <w:pPr>
        <w:pStyle w:val="FootnoteText"/>
      </w:pPr>
      <w:r>
        <w:rPr>
          <w:rStyle w:val="FootnoteReference"/>
        </w:rPr>
        <w:footnoteRef/>
      </w:r>
      <w:r>
        <w:t xml:space="preserve"> </w:t>
      </w:r>
      <w:r>
        <w:tab/>
        <w:t>Barnes (2011) examined the period 1985-86 to 2008-09. Applying the same methodology to revised ABS MFP estimates for Manufacturing from 1985-86 to 2010-11 confirms this result.</w:t>
      </w:r>
    </w:p>
  </w:footnote>
  <w:footnote w:id="8">
    <w:p w:rsidR="00B61388" w:rsidRDefault="00B61388" w:rsidP="00DC624E">
      <w:pPr>
        <w:pStyle w:val="FootnoteText"/>
      </w:pPr>
      <w:r>
        <w:rPr>
          <w:rStyle w:val="FootnoteReference"/>
        </w:rPr>
        <w:footnoteRef/>
      </w:r>
      <w:r>
        <w:t xml:space="preserve"> </w:t>
      </w:r>
      <w:r>
        <w:tab/>
        <w:t xml:space="preserve">The ABS MFP time series used in this paper is from the 2010-11 issue of ABS </w:t>
      </w:r>
      <w:r w:rsidRPr="00240299">
        <w:rPr>
          <w:i/>
        </w:rPr>
        <w:t xml:space="preserve">Experimental Estimates of Industry Multifactor Productivity </w:t>
      </w:r>
      <w:r w:rsidRPr="0008229D">
        <w:t>(</w:t>
      </w:r>
      <w:r>
        <w:t xml:space="preserve">Cat. no. 5260.0.55.002), which covers 1985-86 to 2010-11. 1985-86 is the earliest year for which official ABS MFP estimates are available for Manufacturing as defined in the current ABS industry classification, ANZSIC06. </w:t>
      </w:r>
    </w:p>
  </w:footnote>
  <w:footnote w:id="9">
    <w:p w:rsidR="00B61388" w:rsidRDefault="00B61388" w:rsidP="00AB34E3">
      <w:pPr>
        <w:pStyle w:val="FootnoteText"/>
      </w:pPr>
      <w:r>
        <w:rPr>
          <w:rStyle w:val="FootnoteReference"/>
        </w:rPr>
        <w:footnoteRef/>
      </w:r>
      <w:r>
        <w:t xml:space="preserve"> </w:t>
      </w:r>
      <w:r>
        <w:tab/>
        <w:t>Including higher growth in 2007-08 followed by contraction in 2008-09 (a year affected by the global financial crisis).</w:t>
      </w:r>
    </w:p>
  </w:footnote>
  <w:footnote w:id="10">
    <w:p w:rsidR="00B61388" w:rsidRDefault="00B61388" w:rsidP="00B6006E">
      <w:pPr>
        <w:pStyle w:val="FootnoteText"/>
      </w:pPr>
      <w:r>
        <w:rPr>
          <w:rStyle w:val="FootnoteReference"/>
        </w:rPr>
        <w:footnoteRef/>
      </w:r>
      <w:r>
        <w:t xml:space="preserve"> </w:t>
      </w:r>
      <w:r>
        <w:tab/>
        <w:t>This is consistent with technical change embodied within capital, in addition to disembodied technical change (which is captured within MFP growth). Complementarities between capital and labour may also lead to additional spillovers that are captured in MFP growth.</w:t>
      </w:r>
    </w:p>
  </w:footnote>
  <w:footnote w:id="11">
    <w:p w:rsidR="00B61388" w:rsidRPr="00BE5C6C" w:rsidRDefault="00B61388">
      <w:pPr>
        <w:pStyle w:val="FootnoteText"/>
      </w:pPr>
      <w:r>
        <w:rPr>
          <w:rStyle w:val="FootnoteReference"/>
        </w:rPr>
        <w:footnoteRef/>
      </w:r>
      <w:r>
        <w:t xml:space="preserve"> </w:t>
      </w:r>
      <w:r>
        <w:tab/>
        <w:t>As noted above, MFP growth is derived as the difference between growth in value added and growth in combined inputs (hours worked and capital services). G</w:t>
      </w:r>
      <w:r w:rsidRPr="0045243F">
        <w:t xml:space="preserve">rowth in combined inputs </w:t>
      </w:r>
      <w:r>
        <w:t xml:space="preserve">is equal to the </w:t>
      </w:r>
      <w:r w:rsidRPr="0045243F">
        <w:t xml:space="preserve">sum of </w:t>
      </w:r>
      <w:r>
        <w:t xml:space="preserve">the growth rates of the two inputs weighted by their average shares of total factor income </w:t>
      </w:r>
      <w:r w:rsidRPr="0045243F">
        <w:t xml:space="preserve">(effectively a weighted average of the growth rates </w:t>
      </w:r>
      <w:r>
        <w:t>of</w:t>
      </w:r>
      <w:r w:rsidRPr="0045243F">
        <w:t xml:space="preserve"> the two inputs).</w:t>
      </w:r>
      <w:r>
        <w:t xml:space="preserve"> The income share weights are the average of all years in the cycle. </w:t>
      </w:r>
      <w:r w:rsidRPr="00240299">
        <w:t xml:space="preserve">Growth in </w:t>
      </w:r>
      <w:r>
        <w:t>value added</w:t>
      </w:r>
      <w:r w:rsidRPr="00240299">
        <w:t xml:space="preserve"> less growth in hours worked and capital services do not add exactly to MFP growth </w:t>
      </w:r>
      <w:r>
        <w:t>due to approximation errors</w:t>
      </w:r>
      <w:r w:rsidRPr="00240299">
        <w:t>.</w:t>
      </w:r>
    </w:p>
  </w:footnote>
  <w:footnote w:id="12">
    <w:p w:rsidR="00B61388" w:rsidRDefault="00B61388" w:rsidP="00017192">
      <w:pPr>
        <w:pStyle w:val="FootnoteText"/>
      </w:pPr>
      <w:r>
        <w:rPr>
          <w:rStyle w:val="FootnoteReference"/>
        </w:rPr>
        <w:footnoteRef/>
      </w:r>
      <w:r>
        <w:t xml:space="preserve"> </w:t>
      </w:r>
      <w:r>
        <w:tab/>
        <w:t>In this paper, hours worked is not adjusted for any change in the quality of labour (which as a consequence is captured in the measure of MFP growth). However, recent ABS estimates of change in the quality of labour in Manufacturing show that the difference in the rate of change in the quality of labour between cycles 3 and 4 was not a significant factor in the decline in MFP growth over this period. See ABS (2012b) for details.</w:t>
      </w:r>
    </w:p>
  </w:footnote>
  <w:footnote w:id="13">
    <w:p w:rsidR="00B61388" w:rsidRDefault="00B61388" w:rsidP="00F119ED">
      <w:pPr>
        <w:pStyle w:val="FootnoteText"/>
      </w:pPr>
      <w:r>
        <w:rPr>
          <w:rStyle w:val="FootnoteReference"/>
        </w:rPr>
        <w:footnoteRef/>
      </w:r>
      <w:r>
        <w:t xml:space="preserve"> See PC (2013a) for a discussion of a framework for examining the influences underlying positive productivity growth.</w:t>
      </w:r>
    </w:p>
  </w:footnote>
  <w:footnote w:id="14">
    <w:p w:rsidR="00B61388" w:rsidRPr="00803D08" w:rsidRDefault="00B61388" w:rsidP="007E0661">
      <w:pPr>
        <w:pStyle w:val="FootnoteText"/>
        <w:rPr>
          <w:b/>
        </w:rPr>
      </w:pPr>
      <w:r>
        <w:rPr>
          <w:rStyle w:val="FootnoteReference"/>
        </w:rPr>
        <w:footnoteRef/>
      </w:r>
      <w:r>
        <w:t xml:space="preserve"> </w:t>
      </w:r>
      <w:r>
        <w:tab/>
        <w:t xml:space="preserve">Manufacturing R&amp;D measures in this chapter are based on R&amp;D expenditure by Manufacturing businesses. Other R&amp;D activity, such as that carried out by the government and education sectors, may lead to technological ‘spillovers’, which could also affect Manufacturing productivity. However, there has not been a major change in the level of non-business R&amp;D relative to value added for the total economy over the last two complete productivity cycles (ABS 2011). Information on the proportion of non-business R&amp;D that may be relevant to Manufacturing is not readily available. </w:t>
      </w:r>
    </w:p>
  </w:footnote>
  <w:footnote w:id="15">
    <w:p w:rsidR="00B61388" w:rsidRDefault="00B61388">
      <w:pPr>
        <w:pStyle w:val="FootnoteText"/>
      </w:pPr>
      <w:r>
        <w:rPr>
          <w:rStyle w:val="FootnoteReference"/>
        </w:rPr>
        <w:footnoteRef/>
      </w:r>
      <w:r>
        <w:t xml:space="preserve"> </w:t>
      </w:r>
      <w:r>
        <w:tab/>
      </w:r>
      <w:r>
        <w:rPr>
          <w:szCs w:val="26"/>
        </w:rPr>
        <w:t>See PC (2013b) for a discussion of structural change over the last decade in the Australian economy and the effects of the mining boom.</w:t>
      </w:r>
    </w:p>
  </w:footnote>
  <w:footnote w:id="16">
    <w:p w:rsidR="00B61388" w:rsidRDefault="00B61388" w:rsidP="00B61388">
      <w:pPr>
        <w:pStyle w:val="FootnoteText"/>
      </w:pPr>
      <w:r>
        <w:rPr>
          <w:rStyle w:val="FootnoteReference"/>
        </w:rPr>
        <w:footnoteRef/>
      </w:r>
      <w:r>
        <w:t xml:space="preserve"> </w:t>
      </w:r>
      <w:r>
        <w:tab/>
        <w:t xml:space="preserve">For manufactures in total, it is not possible to distinguish imports for industry use from imports for final consumption (data are only available for some selected goods, including food and beverage products).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B61388">
      <w:tc>
        <w:tcPr>
          <w:tcW w:w="2155" w:type="dxa"/>
          <w:tcBorders>
            <w:top w:val="single" w:sz="24" w:space="0" w:color="auto"/>
          </w:tcBorders>
        </w:tcPr>
        <w:p w:rsidR="00B61388" w:rsidRDefault="00B61388" w:rsidP="0019293B">
          <w:pPr>
            <w:pStyle w:val="HeaderEven"/>
          </w:pPr>
        </w:p>
      </w:tc>
      <w:tc>
        <w:tcPr>
          <w:tcW w:w="6634" w:type="dxa"/>
          <w:tcBorders>
            <w:top w:val="single" w:sz="6" w:space="0" w:color="auto"/>
          </w:tcBorders>
        </w:tcPr>
        <w:p w:rsidR="00B61388" w:rsidRDefault="00B61388" w:rsidP="0019293B">
          <w:pPr>
            <w:pStyle w:val="HeaderEven"/>
          </w:pPr>
        </w:p>
      </w:tc>
    </w:tr>
  </w:tbl>
  <w:p w:rsidR="00B61388" w:rsidRDefault="00B61388"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B61388">
      <w:tc>
        <w:tcPr>
          <w:tcW w:w="6634" w:type="dxa"/>
          <w:tcBorders>
            <w:top w:val="single" w:sz="6" w:space="0" w:color="auto"/>
          </w:tcBorders>
        </w:tcPr>
        <w:p w:rsidR="00B61388" w:rsidRDefault="00B61388" w:rsidP="00E669E2">
          <w:pPr>
            <w:pStyle w:val="HeaderOdd"/>
          </w:pPr>
        </w:p>
      </w:tc>
      <w:tc>
        <w:tcPr>
          <w:tcW w:w="2155" w:type="dxa"/>
          <w:tcBorders>
            <w:top w:val="single" w:sz="24" w:space="0" w:color="auto"/>
          </w:tcBorders>
        </w:tcPr>
        <w:p w:rsidR="00B61388" w:rsidRDefault="00B61388" w:rsidP="00E669E2">
          <w:pPr>
            <w:pStyle w:val="HeaderOdd"/>
          </w:pPr>
        </w:p>
      </w:tc>
    </w:tr>
  </w:tbl>
  <w:p w:rsidR="00B61388" w:rsidRDefault="00B61388" w:rsidP="00E669E2">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1388" w:rsidRDefault="00B61388" w:rsidP="0019293B">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4429520"/>
    <w:lvl w:ilvl="0">
      <w:start w:val="1"/>
      <w:numFmt w:val="decimal"/>
      <w:lvlText w:val="%1."/>
      <w:lvlJc w:val="left"/>
      <w:pPr>
        <w:tabs>
          <w:tab w:val="num" w:pos="1492"/>
        </w:tabs>
        <w:ind w:left="1492" w:hanging="360"/>
      </w:pPr>
    </w:lvl>
  </w:abstractNum>
  <w:abstractNum w:abstractNumId="1">
    <w:nsid w:val="FFFFFF7D"/>
    <w:multiLevelType w:val="singleLevel"/>
    <w:tmpl w:val="FA38EAC6"/>
    <w:lvl w:ilvl="0">
      <w:start w:val="1"/>
      <w:numFmt w:val="decimal"/>
      <w:lvlText w:val="%1."/>
      <w:lvlJc w:val="left"/>
      <w:pPr>
        <w:tabs>
          <w:tab w:val="num" w:pos="1209"/>
        </w:tabs>
        <w:ind w:left="1209" w:hanging="360"/>
      </w:pPr>
    </w:lvl>
  </w:abstractNum>
  <w:abstractNum w:abstractNumId="2">
    <w:nsid w:val="FFFFFF80"/>
    <w:multiLevelType w:val="singleLevel"/>
    <w:tmpl w:val="1FC050B0"/>
    <w:lvl w:ilvl="0">
      <w:start w:val="1"/>
      <w:numFmt w:val="bullet"/>
      <w:lvlText w:val=""/>
      <w:lvlJc w:val="left"/>
      <w:pPr>
        <w:tabs>
          <w:tab w:val="num" w:pos="1492"/>
        </w:tabs>
        <w:ind w:left="1492" w:hanging="360"/>
      </w:pPr>
      <w:rPr>
        <w:rFonts w:ascii="Symbol" w:hAnsi="Symbol" w:hint="default"/>
      </w:rPr>
    </w:lvl>
  </w:abstractNum>
  <w:abstractNum w:abstractNumId="3">
    <w:nsid w:val="FFFFFF81"/>
    <w:multiLevelType w:val="singleLevel"/>
    <w:tmpl w:val="087CC612"/>
    <w:lvl w:ilvl="0">
      <w:start w:val="1"/>
      <w:numFmt w:val="bullet"/>
      <w:lvlText w:val=""/>
      <w:lvlJc w:val="left"/>
      <w:pPr>
        <w:tabs>
          <w:tab w:val="num" w:pos="1209"/>
        </w:tabs>
        <w:ind w:left="1209" w:hanging="360"/>
      </w:pPr>
      <w:rPr>
        <w:rFonts w:ascii="Symbol" w:hAnsi="Symbol" w:hint="default"/>
      </w:rPr>
    </w:lvl>
  </w:abstractNum>
  <w:abstractNum w:abstractNumId="4">
    <w:nsid w:val="FFFFFF88"/>
    <w:multiLevelType w:val="singleLevel"/>
    <w:tmpl w:val="0B5AF1CA"/>
    <w:lvl w:ilvl="0">
      <w:start w:val="1"/>
      <w:numFmt w:val="decimal"/>
      <w:lvlText w:val="%1."/>
      <w:lvlJc w:val="left"/>
      <w:pPr>
        <w:tabs>
          <w:tab w:val="num" w:pos="360"/>
        </w:tabs>
        <w:ind w:left="360" w:hanging="360"/>
      </w:pPr>
    </w:lvl>
  </w:abstractNum>
  <w:abstractNum w:abstractNumId="5">
    <w:nsid w:val="FFFFFFFE"/>
    <w:multiLevelType w:val="singleLevel"/>
    <w:tmpl w:val="FFFFFFFF"/>
    <w:lvl w:ilvl="0">
      <w:numFmt w:val="decimal"/>
      <w:lvlText w:val="*"/>
      <w:lvlJc w:val="left"/>
    </w:lvl>
  </w:abstractNum>
  <w:abstractNum w:abstractNumId="6">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8">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9">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5D40DE5"/>
    <w:multiLevelType w:val="hybridMultilevel"/>
    <w:tmpl w:val="C428C516"/>
    <w:lvl w:ilvl="0" w:tplc="847049A6">
      <w:start w:val="1998"/>
      <w:numFmt w:val="bullet"/>
      <w:lvlText w:val=""/>
      <w:lvlJc w:val="left"/>
      <w:pPr>
        <w:ind w:left="405" w:hanging="360"/>
      </w:pPr>
      <w:rPr>
        <w:rFonts w:ascii="Wingdings" w:eastAsia="Times New Roman" w:hAnsi="Wingdings" w:cs="Times New Roman" w:hint="default"/>
      </w:rPr>
    </w:lvl>
    <w:lvl w:ilvl="1" w:tplc="0C090003" w:tentative="1">
      <w:start w:val="1"/>
      <w:numFmt w:val="bullet"/>
      <w:lvlText w:val="o"/>
      <w:lvlJc w:val="left"/>
      <w:pPr>
        <w:ind w:left="1125" w:hanging="360"/>
      </w:pPr>
      <w:rPr>
        <w:rFonts w:ascii="Courier New" w:hAnsi="Courier New" w:cs="Courier New" w:hint="default"/>
      </w:rPr>
    </w:lvl>
    <w:lvl w:ilvl="2" w:tplc="0C090005" w:tentative="1">
      <w:start w:val="1"/>
      <w:numFmt w:val="bullet"/>
      <w:lvlText w:val=""/>
      <w:lvlJc w:val="left"/>
      <w:pPr>
        <w:ind w:left="1845" w:hanging="360"/>
      </w:pPr>
      <w:rPr>
        <w:rFonts w:ascii="Wingdings" w:hAnsi="Wingdings" w:hint="default"/>
      </w:rPr>
    </w:lvl>
    <w:lvl w:ilvl="3" w:tplc="0C090001" w:tentative="1">
      <w:start w:val="1"/>
      <w:numFmt w:val="bullet"/>
      <w:lvlText w:val=""/>
      <w:lvlJc w:val="left"/>
      <w:pPr>
        <w:ind w:left="2565" w:hanging="360"/>
      </w:pPr>
      <w:rPr>
        <w:rFonts w:ascii="Symbol" w:hAnsi="Symbol" w:hint="default"/>
      </w:rPr>
    </w:lvl>
    <w:lvl w:ilvl="4" w:tplc="0C090003" w:tentative="1">
      <w:start w:val="1"/>
      <w:numFmt w:val="bullet"/>
      <w:lvlText w:val="o"/>
      <w:lvlJc w:val="left"/>
      <w:pPr>
        <w:ind w:left="3285" w:hanging="360"/>
      </w:pPr>
      <w:rPr>
        <w:rFonts w:ascii="Courier New" w:hAnsi="Courier New" w:cs="Courier New" w:hint="default"/>
      </w:rPr>
    </w:lvl>
    <w:lvl w:ilvl="5" w:tplc="0C090005" w:tentative="1">
      <w:start w:val="1"/>
      <w:numFmt w:val="bullet"/>
      <w:lvlText w:val=""/>
      <w:lvlJc w:val="left"/>
      <w:pPr>
        <w:ind w:left="4005" w:hanging="360"/>
      </w:pPr>
      <w:rPr>
        <w:rFonts w:ascii="Wingdings" w:hAnsi="Wingdings" w:hint="default"/>
      </w:rPr>
    </w:lvl>
    <w:lvl w:ilvl="6" w:tplc="0C090001" w:tentative="1">
      <w:start w:val="1"/>
      <w:numFmt w:val="bullet"/>
      <w:lvlText w:val=""/>
      <w:lvlJc w:val="left"/>
      <w:pPr>
        <w:ind w:left="4725" w:hanging="360"/>
      </w:pPr>
      <w:rPr>
        <w:rFonts w:ascii="Symbol" w:hAnsi="Symbol" w:hint="default"/>
      </w:rPr>
    </w:lvl>
    <w:lvl w:ilvl="7" w:tplc="0C090003" w:tentative="1">
      <w:start w:val="1"/>
      <w:numFmt w:val="bullet"/>
      <w:lvlText w:val="o"/>
      <w:lvlJc w:val="left"/>
      <w:pPr>
        <w:ind w:left="5445" w:hanging="360"/>
      </w:pPr>
      <w:rPr>
        <w:rFonts w:ascii="Courier New" w:hAnsi="Courier New" w:cs="Courier New" w:hint="default"/>
      </w:rPr>
    </w:lvl>
    <w:lvl w:ilvl="8" w:tplc="0C090005" w:tentative="1">
      <w:start w:val="1"/>
      <w:numFmt w:val="bullet"/>
      <w:lvlText w:val=""/>
      <w:lvlJc w:val="left"/>
      <w:pPr>
        <w:ind w:left="6165" w:hanging="360"/>
      </w:pPr>
      <w:rPr>
        <w:rFonts w:ascii="Wingdings" w:hAnsi="Wingdings" w:hint="default"/>
      </w:rPr>
    </w:lvl>
  </w:abstractNum>
  <w:abstractNum w:abstractNumId="13">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4">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7">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9">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0">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4"/>
  </w:num>
  <w:num w:numId="2">
    <w:abstractNumId w:val="8"/>
  </w:num>
  <w:num w:numId="3">
    <w:abstractNumId w:val="19"/>
  </w:num>
  <w:num w:numId="4">
    <w:abstractNumId w:val="6"/>
  </w:num>
  <w:num w:numId="5">
    <w:abstractNumId w:val="15"/>
  </w:num>
  <w:num w:numId="6">
    <w:abstractNumId w:val="7"/>
  </w:num>
  <w:num w:numId="7">
    <w:abstractNumId w:val="18"/>
  </w:num>
  <w:num w:numId="8">
    <w:abstractNumId w:val="17"/>
  </w:num>
  <w:num w:numId="9">
    <w:abstractNumId w:val="20"/>
  </w:num>
  <w:num w:numId="10">
    <w:abstractNumId w:val="11"/>
  </w:num>
  <w:num w:numId="11">
    <w:abstractNumId w:val="16"/>
  </w:num>
  <w:num w:numId="12">
    <w:abstractNumId w:val="10"/>
  </w:num>
  <w:num w:numId="13">
    <w:abstractNumId w:val="9"/>
  </w:num>
  <w:num w:numId="14">
    <w:abstractNumId w:val="13"/>
  </w:num>
  <w:num w:numId="15">
    <w:abstractNumId w:val="12"/>
  </w:num>
  <w:num w:numId="16">
    <w:abstractNumId w:val="3"/>
  </w:num>
  <w:num w:numId="17">
    <w:abstractNumId w:val="2"/>
  </w:num>
  <w:num w:numId="18">
    <w:abstractNumId w:val="1"/>
  </w:num>
  <w:num w:numId="19">
    <w:abstractNumId w:val="0"/>
  </w:num>
  <w:num w:numId="20">
    <w:abstractNumId w:val="5"/>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21">
    <w:abstractNumId w:val="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4423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Aggregate Manufacturing productivity"/>
    <w:docVar w:name="ShortReportTitle" w:val="Productivity in Manufacturing"/>
  </w:docVars>
  <w:rsids>
    <w:rsidRoot w:val="00AB55AE"/>
    <w:rsid w:val="00001AF3"/>
    <w:rsid w:val="00001EE6"/>
    <w:rsid w:val="00002967"/>
    <w:rsid w:val="0000383E"/>
    <w:rsid w:val="00003BB5"/>
    <w:rsid w:val="00003F10"/>
    <w:rsid w:val="00004981"/>
    <w:rsid w:val="000051F5"/>
    <w:rsid w:val="0000543F"/>
    <w:rsid w:val="00005916"/>
    <w:rsid w:val="00005A99"/>
    <w:rsid w:val="00005C5A"/>
    <w:rsid w:val="00007551"/>
    <w:rsid w:val="00010184"/>
    <w:rsid w:val="000111FC"/>
    <w:rsid w:val="00011479"/>
    <w:rsid w:val="00011E46"/>
    <w:rsid w:val="00012422"/>
    <w:rsid w:val="00013094"/>
    <w:rsid w:val="00015DBB"/>
    <w:rsid w:val="0001687B"/>
    <w:rsid w:val="00017192"/>
    <w:rsid w:val="00017C32"/>
    <w:rsid w:val="00021A1A"/>
    <w:rsid w:val="00021CAA"/>
    <w:rsid w:val="0002204A"/>
    <w:rsid w:val="000229D5"/>
    <w:rsid w:val="00022BBF"/>
    <w:rsid w:val="000245AA"/>
    <w:rsid w:val="00024648"/>
    <w:rsid w:val="00025E89"/>
    <w:rsid w:val="000260FF"/>
    <w:rsid w:val="000268E0"/>
    <w:rsid w:val="00026E6D"/>
    <w:rsid w:val="0003086F"/>
    <w:rsid w:val="000336C5"/>
    <w:rsid w:val="00035785"/>
    <w:rsid w:val="0003664B"/>
    <w:rsid w:val="00037BD0"/>
    <w:rsid w:val="0004003B"/>
    <w:rsid w:val="0004111F"/>
    <w:rsid w:val="0004266C"/>
    <w:rsid w:val="000433BF"/>
    <w:rsid w:val="000448D4"/>
    <w:rsid w:val="0004578A"/>
    <w:rsid w:val="000459A8"/>
    <w:rsid w:val="000473B4"/>
    <w:rsid w:val="00051B3C"/>
    <w:rsid w:val="00051CBA"/>
    <w:rsid w:val="0005237B"/>
    <w:rsid w:val="00053A07"/>
    <w:rsid w:val="00054A3E"/>
    <w:rsid w:val="00055D15"/>
    <w:rsid w:val="0005655C"/>
    <w:rsid w:val="000565B3"/>
    <w:rsid w:val="00056C80"/>
    <w:rsid w:val="000577A8"/>
    <w:rsid w:val="00057C1C"/>
    <w:rsid w:val="000600B5"/>
    <w:rsid w:val="00060BA0"/>
    <w:rsid w:val="00062D00"/>
    <w:rsid w:val="000635CF"/>
    <w:rsid w:val="000648BD"/>
    <w:rsid w:val="00065218"/>
    <w:rsid w:val="00065692"/>
    <w:rsid w:val="00066FB5"/>
    <w:rsid w:val="00070046"/>
    <w:rsid w:val="00070898"/>
    <w:rsid w:val="0007150B"/>
    <w:rsid w:val="00071638"/>
    <w:rsid w:val="00071730"/>
    <w:rsid w:val="00071EA5"/>
    <w:rsid w:val="000726AD"/>
    <w:rsid w:val="00072DD9"/>
    <w:rsid w:val="0007306D"/>
    <w:rsid w:val="00074465"/>
    <w:rsid w:val="00074DCB"/>
    <w:rsid w:val="000766B5"/>
    <w:rsid w:val="0008229D"/>
    <w:rsid w:val="0008257E"/>
    <w:rsid w:val="00082D84"/>
    <w:rsid w:val="000830C7"/>
    <w:rsid w:val="00083BE7"/>
    <w:rsid w:val="00083F08"/>
    <w:rsid w:val="000842E5"/>
    <w:rsid w:val="000843D5"/>
    <w:rsid w:val="00085435"/>
    <w:rsid w:val="00085A5B"/>
    <w:rsid w:val="00086317"/>
    <w:rsid w:val="00087571"/>
    <w:rsid w:val="00087591"/>
    <w:rsid w:val="00087DBE"/>
    <w:rsid w:val="000904E3"/>
    <w:rsid w:val="00090C60"/>
    <w:rsid w:val="00091826"/>
    <w:rsid w:val="0009195F"/>
    <w:rsid w:val="00092186"/>
    <w:rsid w:val="000923ED"/>
    <w:rsid w:val="000938F5"/>
    <w:rsid w:val="00093F7B"/>
    <w:rsid w:val="00095006"/>
    <w:rsid w:val="00095533"/>
    <w:rsid w:val="00096560"/>
    <w:rsid w:val="000969F0"/>
    <w:rsid w:val="000A10EF"/>
    <w:rsid w:val="000A1AAE"/>
    <w:rsid w:val="000A4AC2"/>
    <w:rsid w:val="000A52BF"/>
    <w:rsid w:val="000A5A0D"/>
    <w:rsid w:val="000A63E2"/>
    <w:rsid w:val="000A6827"/>
    <w:rsid w:val="000B0B53"/>
    <w:rsid w:val="000B1856"/>
    <w:rsid w:val="000B1C91"/>
    <w:rsid w:val="000B284F"/>
    <w:rsid w:val="000B4639"/>
    <w:rsid w:val="000B52AE"/>
    <w:rsid w:val="000B5912"/>
    <w:rsid w:val="000B5D48"/>
    <w:rsid w:val="000B601B"/>
    <w:rsid w:val="000B6351"/>
    <w:rsid w:val="000B63AA"/>
    <w:rsid w:val="000B6DBC"/>
    <w:rsid w:val="000B7CC8"/>
    <w:rsid w:val="000C055E"/>
    <w:rsid w:val="000C0FEE"/>
    <w:rsid w:val="000C1B05"/>
    <w:rsid w:val="000C207E"/>
    <w:rsid w:val="000C20CA"/>
    <w:rsid w:val="000C3D3A"/>
    <w:rsid w:val="000C3FA2"/>
    <w:rsid w:val="000C6A30"/>
    <w:rsid w:val="000C7A22"/>
    <w:rsid w:val="000C7D37"/>
    <w:rsid w:val="000C7E46"/>
    <w:rsid w:val="000D030A"/>
    <w:rsid w:val="000D0D4D"/>
    <w:rsid w:val="000D0E85"/>
    <w:rsid w:val="000D230E"/>
    <w:rsid w:val="000D2A26"/>
    <w:rsid w:val="000D3325"/>
    <w:rsid w:val="000D35CA"/>
    <w:rsid w:val="000D4250"/>
    <w:rsid w:val="000D44B7"/>
    <w:rsid w:val="000D4A6C"/>
    <w:rsid w:val="000D4E58"/>
    <w:rsid w:val="000D587E"/>
    <w:rsid w:val="000D5A58"/>
    <w:rsid w:val="000D6305"/>
    <w:rsid w:val="000D6654"/>
    <w:rsid w:val="000D6858"/>
    <w:rsid w:val="000D6D36"/>
    <w:rsid w:val="000D7A74"/>
    <w:rsid w:val="000E10EE"/>
    <w:rsid w:val="000E18D5"/>
    <w:rsid w:val="000E21CA"/>
    <w:rsid w:val="000E3DA4"/>
    <w:rsid w:val="000E5773"/>
    <w:rsid w:val="000E5A0E"/>
    <w:rsid w:val="000E6358"/>
    <w:rsid w:val="000E665E"/>
    <w:rsid w:val="000F0938"/>
    <w:rsid w:val="000F1F08"/>
    <w:rsid w:val="000F3FC7"/>
    <w:rsid w:val="000F6272"/>
    <w:rsid w:val="000F7968"/>
    <w:rsid w:val="000F7A3C"/>
    <w:rsid w:val="000F7EF2"/>
    <w:rsid w:val="000F7F67"/>
    <w:rsid w:val="00100C6C"/>
    <w:rsid w:val="00102632"/>
    <w:rsid w:val="0010438C"/>
    <w:rsid w:val="001066DD"/>
    <w:rsid w:val="001067CF"/>
    <w:rsid w:val="0010692E"/>
    <w:rsid w:val="00106FFB"/>
    <w:rsid w:val="001070CD"/>
    <w:rsid w:val="0010790D"/>
    <w:rsid w:val="00107A09"/>
    <w:rsid w:val="00107DF4"/>
    <w:rsid w:val="00110116"/>
    <w:rsid w:val="00110444"/>
    <w:rsid w:val="00110AF9"/>
    <w:rsid w:val="00110CD9"/>
    <w:rsid w:val="00110F86"/>
    <w:rsid w:val="0011106D"/>
    <w:rsid w:val="0011290E"/>
    <w:rsid w:val="00112CB4"/>
    <w:rsid w:val="00113898"/>
    <w:rsid w:val="00113DE9"/>
    <w:rsid w:val="00116B6A"/>
    <w:rsid w:val="00117664"/>
    <w:rsid w:val="00117B25"/>
    <w:rsid w:val="00117D6C"/>
    <w:rsid w:val="001204FF"/>
    <w:rsid w:val="00121C0A"/>
    <w:rsid w:val="0012426C"/>
    <w:rsid w:val="00124671"/>
    <w:rsid w:val="00124950"/>
    <w:rsid w:val="00125318"/>
    <w:rsid w:val="001258D3"/>
    <w:rsid w:val="00126EB8"/>
    <w:rsid w:val="00127BC8"/>
    <w:rsid w:val="00127D5B"/>
    <w:rsid w:val="00131EDC"/>
    <w:rsid w:val="00132089"/>
    <w:rsid w:val="00132269"/>
    <w:rsid w:val="00132C84"/>
    <w:rsid w:val="00133B12"/>
    <w:rsid w:val="00133B94"/>
    <w:rsid w:val="00134648"/>
    <w:rsid w:val="0013483F"/>
    <w:rsid w:val="001349B8"/>
    <w:rsid w:val="00134F56"/>
    <w:rsid w:val="00135485"/>
    <w:rsid w:val="00135831"/>
    <w:rsid w:val="001363AA"/>
    <w:rsid w:val="001368AE"/>
    <w:rsid w:val="00136A35"/>
    <w:rsid w:val="00136C03"/>
    <w:rsid w:val="00140162"/>
    <w:rsid w:val="001405D6"/>
    <w:rsid w:val="00141626"/>
    <w:rsid w:val="00141A27"/>
    <w:rsid w:val="00141C65"/>
    <w:rsid w:val="001427D8"/>
    <w:rsid w:val="00142FA7"/>
    <w:rsid w:val="00143223"/>
    <w:rsid w:val="001440AE"/>
    <w:rsid w:val="0014595A"/>
    <w:rsid w:val="00145F19"/>
    <w:rsid w:val="001463EC"/>
    <w:rsid w:val="001464C6"/>
    <w:rsid w:val="001467B8"/>
    <w:rsid w:val="00146C7C"/>
    <w:rsid w:val="00147592"/>
    <w:rsid w:val="00147946"/>
    <w:rsid w:val="00147B6C"/>
    <w:rsid w:val="001505D5"/>
    <w:rsid w:val="00151A8F"/>
    <w:rsid w:val="00154744"/>
    <w:rsid w:val="00154B49"/>
    <w:rsid w:val="001552F4"/>
    <w:rsid w:val="00156229"/>
    <w:rsid w:val="00157868"/>
    <w:rsid w:val="00160427"/>
    <w:rsid w:val="00160877"/>
    <w:rsid w:val="00160BD9"/>
    <w:rsid w:val="00160E9C"/>
    <w:rsid w:val="00163A60"/>
    <w:rsid w:val="00163D4A"/>
    <w:rsid w:val="00163F9C"/>
    <w:rsid w:val="00164809"/>
    <w:rsid w:val="001668EA"/>
    <w:rsid w:val="00167EF7"/>
    <w:rsid w:val="00170997"/>
    <w:rsid w:val="001714D6"/>
    <w:rsid w:val="001727A4"/>
    <w:rsid w:val="001748DA"/>
    <w:rsid w:val="001755D3"/>
    <w:rsid w:val="0017639E"/>
    <w:rsid w:val="00176611"/>
    <w:rsid w:val="00176D04"/>
    <w:rsid w:val="00176FEA"/>
    <w:rsid w:val="00180066"/>
    <w:rsid w:val="00181F3F"/>
    <w:rsid w:val="00181F72"/>
    <w:rsid w:val="00182842"/>
    <w:rsid w:val="00183E82"/>
    <w:rsid w:val="00185ECC"/>
    <w:rsid w:val="0018747A"/>
    <w:rsid w:val="001909AA"/>
    <w:rsid w:val="00190D7E"/>
    <w:rsid w:val="00190EEC"/>
    <w:rsid w:val="0019293B"/>
    <w:rsid w:val="00192A07"/>
    <w:rsid w:val="001934DE"/>
    <w:rsid w:val="00194F8E"/>
    <w:rsid w:val="0019526F"/>
    <w:rsid w:val="00195F94"/>
    <w:rsid w:val="00196130"/>
    <w:rsid w:val="001A5B97"/>
    <w:rsid w:val="001A60AB"/>
    <w:rsid w:val="001B0041"/>
    <w:rsid w:val="001B043B"/>
    <w:rsid w:val="001B0607"/>
    <w:rsid w:val="001B0EA3"/>
    <w:rsid w:val="001B274C"/>
    <w:rsid w:val="001B280A"/>
    <w:rsid w:val="001B353F"/>
    <w:rsid w:val="001B4060"/>
    <w:rsid w:val="001B57F8"/>
    <w:rsid w:val="001B5C1D"/>
    <w:rsid w:val="001B6281"/>
    <w:rsid w:val="001B6F43"/>
    <w:rsid w:val="001B784B"/>
    <w:rsid w:val="001B7F71"/>
    <w:rsid w:val="001C0865"/>
    <w:rsid w:val="001C1225"/>
    <w:rsid w:val="001C1633"/>
    <w:rsid w:val="001C1D10"/>
    <w:rsid w:val="001C262E"/>
    <w:rsid w:val="001C2BF5"/>
    <w:rsid w:val="001C3ABA"/>
    <w:rsid w:val="001C45DA"/>
    <w:rsid w:val="001C5E9B"/>
    <w:rsid w:val="001C64A9"/>
    <w:rsid w:val="001C6ADC"/>
    <w:rsid w:val="001C73C7"/>
    <w:rsid w:val="001C7533"/>
    <w:rsid w:val="001C76BA"/>
    <w:rsid w:val="001C7E54"/>
    <w:rsid w:val="001D0587"/>
    <w:rsid w:val="001D11DE"/>
    <w:rsid w:val="001D1C4F"/>
    <w:rsid w:val="001D347D"/>
    <w:rsid w:val="001D3664"/>
    <w:rsid w:val="001D41B8"/>
    <w:rsid w:val="001D4831"/>
    <w:rsid w:val="001D4DB0"/>
    <w:rsid w:val="001D5138"/>
    <w:rsid w:val="001D60C7"/>
    <w:rsid w:val="001D7FB5"/>
    <w:rsid w:val="001E0218"/>
    <w:rsid w:val="001E0B50"/>
    <w:rsid w:val="001E1816"/>
    <w:rsid w:val="001E23AF"/>
    <w:rsid w:val="001E2775"/>
    <w:rsid w:val="001E2FF1"/>
    <w:rsid w:val="001E59C4"/>
    <w:rsid w:val="001E5B21"/>
    <w:rsid w:val="001E69D3"/>
    <w:rsid w:val="001E7BE8"/>
    <w:rsid w:val="001F0248"/>
    <w:rsid w:val="001F04D8"/>
    <w:rsid w:val="001F08D1"/>
    <w:rsid w:val="001F10DD"/>
    <w:rsid w:val="001F1409"/>
    <w:rsid w:val="001F15AE"/>
    <w:rsid w:val="001F3EB3"/>
    <w:rsid w:val="001F5479"/>
    <w:rsid w:val="001F585B"/>
    <w:rsid w:val="001F5BAA"/>
    <w:rsid w:val="001F64EE"/>
    <w:rsid w:val="001F7240"/>
    <w:rsid w:val="0020036D"/>
    <w:rsid w:val="00202C2C"/>
    <w:rsid w:val="002030C2"/>
    <w:rsid w:val="0020405D"/>
    <w:rsid w:val="00204C6D"/>
    <w:rsid w:val="002050C4"/>
    <w:rsid w:val="002056F0"/>
    <w:rsid w:val="00206530"/>
    <w:rsid w:val="002065B7"/>
    <w:rsid w:val="00206F0B"/>
    <w:rsid w:val="002076B5"/>
    <w:rsid w:val="00207968"/>
    <w:rsid w:val="002104CF"/>
    <w:rsid w:val="00210677"/>
    <w:rsid w:val="00212691"/>
    <w:rsid w:val="00213FA7"/>
    <w:rsid w:val="00214292"/>
    <w:rsid w:val="00214750"/>
    <w:rsid w:val="00214B62"/>
    <w:rsid w:val="002156DB"/>
    <w:rsid w:val="00215E13"/>
    <w:rsid w:val="002161DD"/>
    <w:rsid w:val="002161E8"/>
    <w:rsid w:val="0021649A"/>
    <w:rsid w:val="00216597"/>
    <w:rsid w:val="002166D1"/>
    <w:rsid w:val="00216A76"/>
    <w:rsid w:val="00217806"/>
    <w:rsid w:val="00217B89"/>
    <w:rsid w:val="002212E5"/>
    <w:rsid w:val="002219C7"/>
    <w:rsid w:val="00221AB1"/>
    <w:rsid w:val="00222C14"/>
    <w:rsid w:val="002232E7"/>
    <w:rsid w:val="00224591"/>
    <w:rsid w:val="00225551"/>
    <w:rsid w:val="00227AEB"/>
    <w:rsid w:val="00227B3C"/>
    <w:rsid w:val="00227F9C"/>
    <w:rsid w:val="00230167"/>
    <w:rsid w:val="00231506"/>
    <w:rsid w:val="00231F8C"/>
    <w:rsid w:val="002320AC"/>
    <w:rsid w:val="002323FC"/>
    <w:rsid w:val="00232928"/>
    <w:rsid w:val="002329B4"/>
    <w:rsid w:val="00232C54"/>
    <w:rsid w:val="0023654A"/>
    <w:rsid w:val="00236A84"/>
    <w:rsid w:val="00236D5E"/>
    <w:rsid w:val="00240299"/>
    <w:rsid w:val="0024042A"/>
    <w:rsid w:val="00242279"/>
    <w:rsid w:val="0024522F"/>
    <w:rsid w:val="002453E8"/>
    <w:rsid w:val="00245C82"/>
    <w:rsid w:val="00246516"/>
    <w:rsid w:val="0024690A"/>
    <w:rsid w:val="00246A19"/>
    <w:rsid w:val="002470A1"/>
    <w:rsid w:val="00247F05"/>
    <w:rsid w:val="00250389"/>
    <w:rsid w:val="00250418"/>
    <w:rsid w:val="00250445"/>
    <w:rsid w:val="0025237C"/>
    <w:rsid w:val="002528B7"/>
    <w:rsid w:val="002533CB"/>
    <w:rsid w:val="002565A4"/>
    <w:rsid w:val="00257607"/>
    <w:rsid w:val="00257B13"/>
    <w:rsid w:val="00261AFF"/>
    <w:rsid w:val="00261F95"/>
    <w:rsid w:val="00262067"/>
    <w:rsid w:val="0026225E"/>
    <w:rsid w:val="002645A4"/>
    <w:rsid w:val="00264C66"/>
    <w:rsid w:val="002658CA"/>
    <w:rsid w:val="00266A15"/>
    <w:rsid w:val="00266BD2"/>
    <w:rsid w:val="0026747E"/>
    <w:rsid w:val="00267D71"/>
    <w:rsid w:val="00270942"/>
    <w:rsid w:val="00271A58"/>
    <w:rsid w:val="00272FD2"/>
    <w:rsid w:val="00272FF0"/>
    <w:rsid w:val="002735F5"/>
    <w:rsid w:val="0027537D"/>
    <w:rsid w:val="0027626D"/>
    <w:rsid w:val="00277CC2"/>
    <w:rsid w:val="00280228"/>
    <w:rsid w:val="002802B9"/>
    <w:rsid w:val="00280D69"/>
    <w:rsid w:val="002811A1"/>
    <w:rsid w:val="00281CFA"/>
    <w:rsid w:val="00282C33"/>
    <w:rsid w:val="00283391"/>
    <w:rsid w:val="00286724"/>
    <w:rsid w:val="002879E2"/>
    <w:rsid w:val="00290912"/>
    <w:rsid w:val="00290B22"/>
    <w:rsid w:val="00290F22"/>
    <w:rsid w:val="00291B40"/>
    <w:rsid w:val="00292649"/>
    <w:rsid w:val="00294432"/>
    <w:rsid w:val="0029541A"/>
    <w:rsid w:val="00295F73"/>
    <w:rsid w:val="00296A86"/>
    <w:rsid w:val="0029709A"/>
    <w:rsid w:val="002971F8"/>
    <w:rsid w:val="00297920"/>
    <w:rsid w:val="002A0D2C"/>
    <w:rsid w:val="002A2458"/>
    <w:rsid w:val="002A3870"/>
    <w:rsid w:val="002A397B"/>
    <w:rsid w:val="002A4ED6"/>
    <w:rsid w:val="002A53C6"/>
    <w:rsid w:val="002A64AA"/>
    <w:rsid w:val="002A6520"/>
    <w:rsid w:val="002A7050"/>
    <w:rsid w:val="002B1262"/>
    <w:rsid w:val="002B1B7F"/>
    <w:rsid w:val="002B1CCB"/>
    <w:rsid w:val="002B37B4"/>
    <w:rsid w:val="002B3A81"/>
    <w:rsid w:val="002B4008"/>
    <w:rsid w:val="002B4084"/>
    <w:rsid w:val="002B4A13"/>
    <w:rsid w:val="002B53A0"/>
    <w:rsid w:val="002B6133"/>
    <w:rsid w:val="002B684B"/>
    <w:rsid w:val="002B6EFB"/>
    <w:rsid w:val="002B7965"/>
    <w:rsid w:val="002B7C55"/>
    <w:rsid w:val="002B7E24"/>
    <w:rsid w:val="002C1B8C"/>
    <w:rsid w:val="002C2127"/>
    <w:rsid w:val="002C25C7"/>
    <w:rsid w:val="002C40FF"/>
    <w:rsid w:val="002C4CC0"/>
    <w:rsid w:val="002C51EB"/>
    <w:rsid w:val="002C6B99"/>
    <w:rsid w:val="002C6F18"/>
    <w:rsid w:val="002D02E0"/>
    <w:rsid w:val="002D03CC"/>
    <w:rsid w:val="002D0E8E"/>
    <w:rsid w:val="002D1586"/>
    <w:rsid w:val="002D2296"/>
    <w:rsid w:val="002D2370"/>
    <w:rsid w:val="002D2689"/>
    <w:rsid w:val="002D48DE"/>
    <w:rsid w:val="002D4CC5"/>
    <w:rsid w:val="002D4DBF"/>
    <w:rsid w:val="002D4E8F"/>
    <w:rsid w:val="002D4EA6"/>
    <w:rsid w:val="002D6CEC"/>
    <w:rsid w:val="002D7101"/>
    <w:rsid w:val="002E044C"/>
    <w:rsid w:val="002E10D0"/>
    <w:rsid w:val="002E39AA"/>
    <w:rsid w:val="002F04AB"/>
    <w:rsid w:val="002F1016"/>
    <w:rsid w:val="002F16E3"/>
    <w:rsid w:val="002F30BE"/>
    <w:rsid w:val="002F327E"/>
    <w:rsid w:val="002F3522"/>
    <w:rsid w:val="002F3A07"/>
    <w:rsid w:val="002F3BCB"/>
    <w:rsid w:val="002F3D66"/>
    <w:rsid w:val="002F5421"/>
    <w:rsid w:val="002F5C45"/>
    <w:rsid w:val="002F5D8C"/>
    <w:rsid w:val="002F62B8"/>
    <w:rsid w:val="002F79CF"/>
    <w:rsid w:val="00300DA7"/>
    <w:rsid w:val="00301189"/>
    <w:rsid w:val="00301EAF"/>
    <w:rsid w:val="003027B9"/>
    <w:rsid w:val="00304D04"/>
    <w:rsid w:val="00306823"/>
    <w:rsid w:val="003069D6"/>
    <w:rsid w:val="00306CD6"/>
    <w:rsid w:val="00307BF6"/>
    <w:rsid w:val="00310B77"/>
    <w:rsid w:val="0031140E"/>
    <w:rsid w:val="0031156B"/>
    <w:rsid w:val="00313358"/>
    <w:rsid w:val="0031486C"/>
    <w:rsid w:val="003166BB"/>
    <w:rsid w:val="00317359"/>
    <w:rsid w:val="00321035"/>
    <w:rsid w:val="00321539"/>
    <w:rsid w:val="00322589"/>
    <w:rsid w:val="00322D26"/>
    <w:rsid w:val="003230EA"/>
    <w:rsid w:val="00323D1F"/>
    <w:rsid w:val="00323E09"/>
    <w:rsid w:val="003243B8"/>
    <w:rsid w:val="003247C2"/>
    <w:rsid w:val="00326577"/>
    <w:rsid w:val="00326B04"/>
    <w:rsid w:val="003275CF"/>
    <w:rsid w:val="003301BE"/>
    <w:rsid w:val="00330805"/>
    <w:rsid w:val="00330848"/>
    <w:rsid w:val="00332227"/>
    <w:rsid w:val="00332EF8"/>
    <w:rsid w:val="00333122"/>
    <w:rsid w:val="00333932"/>
    <w:rsid w:val="00333E6E"/>
    <w:rsid w:val="003345A2"/>
    <w:rsid w:val="00337734"/>
    <w:rsid w:val="00340DFC"/>
    <w:rsid w:val="0034186F"/>
    <w:rsid w:val="00341C40"/>
    <w:rsid w:val="00342300"/>
    <w:rsid w:val="003441A8"/>
    <w:rsid w:val="00347757"/>
    <w:rsid w:val="00347770"/>
    <w:rsid w:val="003518AA"/>
    <w:rsid w:val="00352165"/>
    <w:rsid w:val="003527B0"/>
    <w:rsid w:val="00353182"/>
    <w:rsid w:val="003532B3"/>
    <w:rsid w:val="00354554"/>
    <w:rsid w:val="00354BD5"/>
    <w:rsid w:val="00355171"/>
    <w:rsid w:val="00355DBD"/>
    <w:rsid w:val="003565D9"/>
    <w:rsid w:val="00356D20"/>
    <w:rsid w:val="00357551"/>
    <w:rsid w:val="003576FA"/>
    <w:rsid w:val="00360031"/>
    <w:rsid w:val="003601C4"/>
    <w:rsid w:val="003602E1"/>
    <w:rsid w:val="00361123"/>
    <w:rsid w:val="00361ABA"/>
    <w:rsid w:val="00361C61"/>
    <w:rsid w:val="00362979"/>
    <w:rsid w:val="00362DE3"/>
    <w:rsid w:val="0036337D"/>
    <w:rsid w:val="00364091"/>
    <w:rsid w:val="003648D5"/>
    <w:rsid w:val="0036491A"/>
    <w:rsid w:val="0036651F"/>
    <w:rsid w:val="0036652D"/>
    <w:rsid w:val="0036775E"/>
    <w:rsid w:val="0037026F"/>
    <w:rsid w:val="003710B2"/>
    <w:rsid w:val="003710FA"/>
    <w:rsid w:val="00371240"/>
    <w:rsid w:val="00372181"/>
    <w:rsid w:val="00372874"/>
    <w:rsid w:val="00373811"/>
    <w:rsid w:val="0037417A"/>
    <w:rsid w:val="00374731"/>
    <w:rsid w:val="003748FF"/>
    <w:rsid w:val="003749A3"/>
    <w:rsid w:val="00374C5C"/>
    <w:rsid w:val="003751F1"/>
    <w:rsid w:val="00375281"/>
    <w:rsid w:val="00375769"/>
    <w:rsid w:val="0037657F"/>
    <w:rsid w:val="00376C3B"/>
    <w:rsid w:val="00376EDE"/>
    <w:rsid w:val="00377E5B"/>
    <w:rsid w:val="003809BF"/>
    <w:rsid w:val="00380AFF"/>
    <w:rsid w:val="00383D3C"/>
    <w:rsid w:val="00384B16"/>
    <w:rsid w:val="00384DDB"/>
    <w:rsid w:val="00384EAF"/>
    <w:rsid w:val="00384FD1"/>
    <w:rsid w:val="00387C58"/>
    <w:rsid w:val="00387CEA"/>
    <w:rsid w:val="003900C3"/>
    <w:rsid w:val="00390F22"/>
    <w:rsid w:val="0039109E"/>
    <w:rsid w:val="003914E0"/>
    <w:rsid w:val="003919F9"/>
    <w:rsid w:val="00392E3A"/>
    <w:rsid w:val="003940BB"/>
    <w:rsid w:val="00396579"/>
    <w:rsid w:val="003968BC"/>
    <w:rsid w:val="00397398"/>
    <w:rsid w:val="003A1DBF"/>
    <w:rsid w:val="003A5E18"/>
    <w:rsid w:val="003A7029"/>
    <w:rsid w:val="003A7350"/>
    <w:rsid w:val="003A7D84"/>
    <w:rsid w:val="003B0A36"/>
    <w:rsid w:val="003B1094"/>
    <w:rsid w:val="003B672C"/>
    <w:rsid w:val="003B6742"/>
    <w:rsid w:val="003B7B6C"/>
    <w:rsid w:val="003B7BBD"/>
    <w:rsid w:val="003C0076"/>
    <w:rsid w:val="003C0D3D"/>
    <w:rsid w:val="003C1025"/>
    <w:rsid w:val="003C2BE0"/>
    <w:rsid w:val="003C2C3F"/>
    <w:rsid w:val="003C2E8D"/>
    <w:rsid w:val="003C2F2B"/>
    <w:rsid w:val="003C38B5"/>
    <w:rsid w:val="003C3AEB"/>
    <w:rsid w:val="003C459A"/>
    <w:rsid w:val="003C4B03"/>
    <w:rsid w:val="003C4C13"/>
    <w:rsid w:val="003C5305"/>
    <w:rsid w:val="003C5448"/>
    <w:rsid w:val="003C5721"/>
    <w:rsid w:val="003C5D99"/>
    <w:rsid w:val="003C72DC"/>
    <w:rsid w:val="003C768D"/>
    <w:rsid w:val="003C786A"/>
    <w:rsid w:val="003D057E"/>
    <w:rsid w:val="003D0F1E"/>
    <w:rsid w:val="003D1ABF"/>
    <w:rsid w:val="003D1E2D"/>
    <w:rsid w:val="003D1ECE"/>
    <w:rsid w:val="003D2E33"/>
    <w:rsid w:val="003D2F8C"/>
    <w:rsid w:val="003D44D5"/>
    <w:rsid w:val="003D6347"/>
    <w:rsid w:val="003D648F"/>
    <w:rsid w:val="003D6A5E"/>
    <w:rsid w:val="003D771D"/>
    <w:rsid w:val="003E07CF"/>
    <w:rsid w:val="003E0965"/>
    <w:rsid w:val="003E15EA"/>
    <w:rsid w:val="003E2B48"/>
    <w:rsid w:val="003E2E1D"/>
    <w:rsid w:val="003E50C9"/>
    <w:rsid w:val="003E5480"/>
    <w:rsid w:val="003E6035"/>
    <w:rsid w:val="003E61CF"/>
    <w:rsid w:val="003E7B57"/>
    <w:rsid w:val="003F0789"/>
    <w:rsid w:val="003F13C2"/>
    <w:rsid w:val="003F1972"/>
    <w:rsid w:val="003F1E29"/>
    <w:rsid w:val="003F5298"/>
    <w:rsid w:val="003F60F7"/>
    <w:rsid w:val="003F6C93"/>
    <w:rsid w:val="003F6DA7"/>
    <w:rsid w:val="003F7C53"/>
    <w:rsid w:val="0040055C"/>
    <w:rsid w:val="0040060D"/>
    <w:rsid w:val="00401882"/>
    <w:rsid w:val="00401AFC"/>
    <w:rsid w:val="00401C31"/>
    <w:rsid w:val="004026B2"/>
    <w:rsid w:val="00403447"/>
    <w:rsid w:val="00404303"/>
    <w:rsid w:val="0040492D"/>
    <w:rsid w:val="00405E54"/>
    <w:rsid w:val="00406BC0"/>
    <w:rsid w:val="0040700E"/>
    <w:rsid w:val="004100C8"/>
    <w:rsid w:val="004107E6"/>
    <w:rsid w:val="00411577"/>
    <w:rsid w:val="0041217D"/>
    <w:rsid w:val="00412933"/>
    <w:rsid w:val="00412ACE"/>
    <w:rsid w:val="00412BFF"/>
    <w:rsid w:val="00413ED6"/>
    <w:rsid w:val="00414022"/>
    <w:rsid w:val="00414228"/>
    <w:rsid w:val="004159DB"/>
    <w:rsid w:val="00416385"/>
    <w:rsid w:val="004163CF"/>
    <w:rsid w:val="0041728A"/>
    <w:rsid w:val="00417A1B"/>
    <w:rsid w:val="00422A35"/>
    <w:rsid w:val="00422DED"/>
    <w:rsid w:val="004257C7"/>
    <w:rsid w:val="00425BED"/>
    <w:rsid w:val="00425F05"/>
    <w:rsid w:val="004267DB"/>
    <w:rsid w:val="00426A51"/>
    <w:rsid w:val="0043055B"/>
    <w:rsid w:val="00431249"/>
    <w:rsid w:val="0043210F"/>
    <w:rsid w:val="0043229C"/>
    <w:rsid w:val="004335ED"/>
    <w:rsid w:val="00434AEA"/>
    <w:rsid w:val="00434C19"/>
    <w:rsid w:val="004355D8"/>
    <w:rsid w:val="00435837"/>
    <w:rsid w:val="004364DB"/>
    <w:rsid w:val="004364DE"/>
    <w:rsid w:val="00436A13"/>
    <w:rsid w:val="004370EC"/>
    <w:rsid w:val="004414F1"/>
    <w:rsid w:val="00443F65"/>
    <w:rsid w:val="0044421A"/>
    <w:rsid w:val="00444921"/>
    <w:rsid w:val="00444FD2"/>
    <w:rsid w:val="004456C0"/>
    <w:rsid w:val="004458C7"/>
    <w:rsid w:val="00445E4D"/>
    <w:rsid w:val="00446212"/>
    <w:rsid w:val="004472C8"/>
    <w:rsid w:val="00450810"/>
    <w:rsid w:val="00452202"/>
    <w:rsid w:val="0045238E"/>
    <w:rsid w:val="0045243F"/>
    <w:rsid w:val="00452D96"/>
    <w:rsid w:val="00455054"/>
    <w:rsid w:val="00455F28"/>
    <w:rsid w:val="004569E0"/>
    <w:rsid w:val="004608F1"/>
    <w:rsid w:val="0046097A"/>
    <w:rsid w:val="00461C0E"/>
    <w:rsid w:val="00462E26"/>
    <w:rsid w:val="00462FA1"/>
    <w:rsid w:val="004631B9"/>
    <w:rsid w:val="00464936"/>
    <w:rsid w:val="004707BB"/>
    <w:rsid w:val="0047325C"/>
    <w:rsid w:val="004737C8"/>
    <w:rsid w:val="00474000"/>
    <w:rsid w:val="004748D5"/>
    <w:rsid w:val="00474BA0"/>
    <w:rsid w:val="00476413"/>
    <w:rsid w:val="0047655B"/>
    <w:rsid w:val="00476AC2"/>
    <w:rsid w:val="00477144"/>
    <w:rsid w:val="004775D2"/>
    <w:rsid w:val="00480061"/>
    <w:rsid w:val="00480AC3"/>
    <w:rsid w:val="004816C8"/>
    <w:rsid w:val="004824E0"/>
    <w:rsid w:val="0048367E"/>
    <w:rsid w:val="00484B13"/>
    <w:rsid w:val="004859E8"/>
    <w:rsid w:val="00485AED"/>
    <w:rsid w:val="00485DB3"/>
    <w:rsid w:val="00485E08"/>
    <w:rsid w:val="00486101"/>
    <w:rsid w:val="00486125"/>
    <w:rsid w:val="00490A35"/>
    <w:rsid w:val="00492507"/>
    <w:rsid w:val="00492891"/>
    <w:rsid w:val="00492E35"/>
    <w:rsid w:val="00492EF0"/>
    <w:rsid w:val="0049459F"/>
    <w:rsid w:val="00494644"/>
    <w:rsid w:val="0049499F"/>
    <w:rsid w:val="0049538B"/>
    <w:rsid w:val="004957BB"/>
    <w:rsid w:val="00496496"/>
    <w:rsid w:val="0049707C"/>
    <w:rsid w:val="00497EB1"/>
    <w:rsid w:val="004A27D6"/>
    <w:rsid w:val="004A3309"/>
    <w:rsid w:val="004A3594"/>
    <w:rsid w:val="004A3673"/>
    <w:rsid w:val="004A38DD"/>
    <w:rsid w:val="004A4F7F"/>
    <w:rsid w:val="004A53DA"/>
    <w:rsid w:val="004A5F8E"/>
    <w:rsid w:val="004A68E0"/>
    <w:rsid w:val="004A69DE"/>
    <w:rsid w:val="004A6D84"/>
    <w:rsid w:val="004A6EEA"/>
    <w:rsid w:val="004A744E"/>
    <w:rsid w:val="004A7AEC"/>
    <w:rsid w:val="004B022B"/>
    <w:rsid w:val="004B0C5B"/>
    <w:rsid w:val="004B1851"/>
    <w:rsid w:val="004B2872"/>
    <w:rsid w:val="004B2FFF"/>
    <w:rsid w:val="004B32D5"/>
    <w:rsid w:val="004B38AC"/>
    <w:rsid w:val="004B3DA6"/>
    <w:rsid w:val="004B3E78"/>
    <w:rsid w:val="004B4279"/>
    <w:rsid w:val="004B43AE"/>
    <w:rsid w:val="004B496B"/>
    <w:rsid w:val="004B4B75"/>
    <w:rsid w:val="004B4FE7"/>
    <w:rsid w:val="004B58EC"/>
    <w:rsid w:val="004B5F9B"/>
    <w:rsid w:val="004B625B"/>
    <w:rsid w:val="004B625C"/>
    <w:rsid w:val="004B681C"/>
    <w:rsid w:val="004B6A16"/>
    <w:rsid w:val="004B71A0"/>
    <w:rsid w:val="004B7590"/>
    <w:rsid w:val="004B7A11"/>
    <w:rsid w:val="004C09EE"/>
    <w:rsid w:val="004C0F24"/>
    <w:rsid w:val="004C154F"/>
    <w:rsid w:val="004C1C4B"/>
    <w:rsid w:val="004C294F"/>
    <w:rsid w:val="004C30ED"/>
    <w:rsid w:val="004C3FE9"/>
    <w:rsid w:val="004C5339"/>
    <w:rsid w:val="004C5ABC"/>
    <w:rsid w:val="004C605D"/>
    <w:rsid w:val="004C66DC"/>
    <w:rsid w:val="004C7229"/>
    <w:rsid w:val="004C74EE"/>
    <w:rsid w:val="004D0805"/>
    <w:rsid w:val="004D27DC"/>
    <w:rsid w:val="004D285D"/>
    <w:rsid w:val="004D3F81"/>
    <w:rsid w:val="004D4054"/>
    <w:rsid w:val="004D4B7B"/>
    <w:rsid w:val="004D4CEC"/>
    <w:rsid w:val="004D5675"/>
    <w:rsid w:val="004D5995"/>
    <w:rsid w:val="004D5A4A"/>
    <w:rsid w:val="004D6514"/>
    <w:rsid w:val="004D6F25"/>
    <w:rsid w:val="004D76F6"/>
    <w:rsid w:val="004D7934"/>
    <w:rsid w:val="004E092D"/>
    <w:rsid w:val="004E14B3"/>
    <w:rsid w:val="004E20D2"/>
    <w:rsid w:val="004E327F"/>
    <w:rsid w:val="004E4087"/>
    <w:rsid w:val="004E4B6A"/>
    <w:rsid w:val="004E5BC6"/>
    <w:rsid w:val="004E6FB3"/>
    <w:rsid w:val="004E7791"/>
    <w:rsid w:val="004E782E"/>
    <w:rsid w:val="004E7B0E"/>
    <w:rsid w:val="004F0271"/>
    <w:rsid w:val="004F04C5"/>
    <w:rsid w:val="004F08C1"/>
    <w:rsid w:val="004F17C5"/>
    <w:rsid w:val="004F256D"/>
    <w:rsid w:val="004F3C5F"/>
    <w:rsid w:val="004F47F0"/>
    <w:rsid w:val="004F5A5B"/>
    <w:rsid w:val="004F5B3F"/>
    <w:rsid w:val="004F5F8E"/>
    <w:rsid w:val="004F6429"/>
    <w:rsid w:val="00500139"/>
    <w:rsid w:val="0050058A"/>
    <w:rsid w:val="00501E80"/>
    <w:rsid w:val="00502408"/>
    <w:rsid w:val="00503620"/>
    <w:rsid w:val="00503831"/>
    <w:rsid w:val="00505141"/>
    <w:rsid w:val="005056BC"/>
    <w:rsid w:val="005063E9"/>
    <w:rsid w:val="005064DE"/>
    <w:rsid w:val="00507F70"/>
    <w:rsid w:val="005109F8"/>
    <w:rsid w:val="005111EA"/>
    <w:rsid w:val="00514303"/>
    <w:rsid w:val="00514722"/>
    <w:rsid w:val="005149EC"/>
    <w:rsid w:val="0051523F"/>
    <w:rsid w:val="005162E2"/>
    <w:rsid w:val="00516377"/>
    <w:rsid w:val="00517C57"/>
    <w:rsid w:val="00521E13"/>
    <w:rsid w:val="00523639"/>
    <w:rsid w:val="00524D2A"/>
    <w:rsid w:val="00525980"/>
    <w:rsid w:val="005266AA"/>
    <w:rsid w:val="005300EC"/>
    <w:rsid w:val="00531219"/>
    <w:rsid w:val="0053146C"/>
    <w:rsid w:val="00532B02"/>
    <w:rsid w:val="00532B56"/>
    <w:rsid w:val="00533F69"/>
    <w:rsid w:val="00534C06"/>
    <w:rsid w:val="005361CD"/>
    <w:rsid w:val="005369CB"/>
    <w:rsid w:val="00536B03"/>
    <w:rsid w:val="00536C9C"/>
    <w:rsid w:val="00537465"/>
    <w:rsid w:val="00537FBF"/>
    <w:rsid w:val="00540BDF"/>
    <w:rsid w:val="00540CE7"/>
    <w:rsid w:val="00540DE5"/>
    <w:rsid w:val="00541450"/>
    <w:rsid w:val="005415B7"/>
    <w:rsid w:val="00541D01"/>
    <w:rsid w:val="00541E0D"/>
    <w:rsid w:val="005431D9"/>
    <w:rsid w:val="00543D4E"/>
    <w:rsid w:val="0054432F"/>
    <w:rsid w:val="00544358"/>
    <w:rsid w:val="00544994"/>
    <w:rsid w:val="00545610"/>
    <w:rsid w:val="00547B00"/>
    <w:rsid w:val="0055031D"/>
    <w:rsid w:val="0055165B"/>
    <w:rsid w:val="0055324F"/>
    <w:rsid w:val="00553DE0"/>
    <w:rsid w:val="00554E0E"/>
    <w:rsid w:val="00555441"/>
    <w:rsid w:val="00555D61"/>
    <w:rsid w:val="005568CC"/>
    <w:rsid w:val="00556DF2"/>
    <w:rsid w:val="005573BF"/>
    <w:rsid w:val="005575C8"/>
    <w:rsid w:val="0056050B"/>
    <w:rsid w:val="00561F04"/>
    <w:rsid w:val="00563502"/>
    <w:rsid w:val="0056610D"/>
    <w:rsid w:val="00571A9B"/>
    <w:rsid w:val="00573015"/>
    <w:rsid w:val="005734BE"/>
    <w:rsid w:val="005751D6"/>
    <w:rsid w:val="00575831"/>
    <w:rsid w:val="00575A5B"/>
    <w:rsid w:val="00576171"/>
    <w:rsid w:val="00577912"/>
    <w:rsid w:val="00580781"/>
    <w:rsid w:val="005808E9"/>
    <w:rsid w:val="00580D2F"/>
    <w:rsid w:val="00580DA8"/>
    <w:rsid w:val="00582200"/>
    <w:rsid w:val="00582B6E"/>
    <w:rsid w:val="00583C39"/>
    <w:rsid w:val="00583D2F"/>
    <w:rsid w:val="00583EDD"/>
    <w:rsid w:val="00584702"/>
    <w:rsid w:val="0058506C"/>
    <w:rsid w:val="005867A1"/>
    <w:rsid w:val="00587874"/>
    <w:rsid w:val="00587A7B"/>
    <w:rsid w:val="00587B23"/>
    <w:rsid w:val="00587F3B"/>
    <w:rsid w:val="00590697"/>
    <w:rsid w:val="005909CF"/>
    <w:rsid w:val="00591198"/>
    <w:rsid w:val="00591E71"/>
    <w:rsid w:val="005927DA"/>
    <w:rsid w:val="00593426"/>
    <w:rsid w:val="00595131"/>
    <w:rsid w:val="005A0D41"/>
    <w:rsid w:val="005A0ECE"/>
    <w:rsid w:val="005A196A"/>
    <w:rsid w:val="005A19FA"/>
    <w:rsid w:val="005A2D27"/>
    <w:rsid w:val="005A4326"/>
    <w:rsid w:val="005A4D2E"/>
    <w:rsid w:val="005A56F3"/>
    <w:rsid w:val="005A6000"/>
    <w:rsid w:val="005A6173"/>
    <w:rsid w:val="005A663A"/>
    <w:rsid w:val="005A7014"/>
    <w:rsid w:val="005A76AD"/>
    <w:rsid w:val="005B06AE"/>
    <w:rsid w:val="005B0F1B"/>
    <w:rsid w:val="005B26F9"/>
    <w:rsid w:val="005B2B7E"/>
    <w:rsid w:val="005B3510"/>
    <w:rsid w:val="005B38DA"/>
    <w:rsid w:val="005B45CF"/>
    <w:rsid w:val="005B732A"/>
    <w:rsid w:val="005C1379"/>
    <w:rsid w:val="005C1C30"/>
    <w:rsid w:val="005C2381"/>
    <w:rsid w:val="005C32BB"/>
    <w:rsid w:val="005C4F17"/>
    <w:rsid w:val="005C528F"/>
    <w:rsid w:val="005C60F4"/>
    <w:rsid w:val="005C6992"/>
    <w:rsid w:val="005C75BD"/>
    <w:rsid w:val="005C78DE"/>
    <w:rsid w:val="005D0309"/>
    <w:rsid w:val="005D034A"/>
    <w:rsid w:val="005D0599"/>
    <w:rsid w:val="005D15C5"/>
    <w:rsid w:val="005D30A2"/>
    <w:rsid w:val="005D5384"/>
    <w:rsid w:val="005D5A92"/>
    <w:rsid w:val="005D5B05"/>
    <w:rsid w:val="005D74DC"/>
    <w:rsid w:val="005D78E4"/>
    <w:rsid w:val="005E0AC2"/>
    <w:rsid w:val="005E158D"/>
    <w:rsid w:val="005E28D5"/>
    <w:rsid w:val="005E32D4"/>
    <w:rsid w:val="005E3437"/>
    <w:rsid w:val="005E7228"/>
    <w:rsid w:val="005E75FD"/>
    <w:rsid w:val="005E7B96"/>
    <w:rsid w:val="005F0E4D"/>
    <w:rsid w:val="005F19BD"/>
    <w:rsid w:val="005F1E21"/>
    <w:rsid w:val="005F34B4"/>
    <w:rsid w:val="005F3AAF"/>
    <w:rsid w:val="005F4172"/>
    <w:rsid w:val="005F44E6"/>
    <w:rsid w:val="005F4547"/>
    <w:rsid w:val="005F4576"/>
    <w:rsid w:val="005F4D52"/>
    <w:rsid w:val="005F6163"/>
    <w:rsid w:val="005F6A9B"/>
    <w:rsid w:val="005F6B9F"/>
    <w:rsid w:val="005F72F8"/>
    <w:rsid w:val="0060079A"/>
    <w:rsid w:val="0060114D"/>
    <w:rsid w:val="00601F76"/>
    <w:rsid w:val="006023E5"/>
    <w:rsid w:val="0060280D"/>
    <w:rsid w:val="00602996"/>
    <w:rsid w:val="00602B84"/>
    <w:rsid w:val="00602C1F"/>
    <w:rsid w:val="00602F79"/>
    <w:rsid w:val="00603601"/>
    <w:rsid w:val="00607BF1"/>
    <w:rsid w:val="006109AD"/>
    <w:rsid w:val="00614585"/>
    <w:rsid w:val="00615652"/>
    <w:rsid w:val="00616C71"/>
    <w:rsid w:val="00617EC0"/>
    <w:rsid w:val="00620993"/>
    <w:rsid w:val="00620F6B"/>
    <w:rsid w:val="006214FA"/>
    <w:rsid w:val="00623E8B"/>
    <w:rsid w:val="006241A5"/>
    <w:rsid w:val="00624AAF"/>
    <w:rsid w:val="00624D3E"/>
    <w:rsid w:val="00624F66"/>
    <w:rsid w:val="00624FCE"/>
    <w:rsid w:val="006259FC"/>
    <w:rsid w:val="00626C75"/>
    <w:rsid w:val="006274A9"/>
    <w:rsid w:val="006306C4"/>
    <w:rsid w:val="00630D4D"/>
    <w:rsid w:val="006322B0"/>
    <w:rsid w:val="00632382"/>
    <w:rsid w:val="00632A74"/>
    <w:rsid w:val="00632D1E"/>
    <w:rsid w:val="00633805"/>
    <w:rsid w:val="00633962"/>
    <w:rsid w:val="00633BB4"/>
    <w:rsid w:val="006347BE"/>
    <w:rsid w:val="006359EA"/>
    <w:rsid w:val="00635FE7"/>
    <w:rsid w:val="00636AF3"/>
    <w:rsid w:val="00636B05"/>
    <w:rsid w:val="006400E0"/>
    <w:rsid w:val="0064108C"/>
    <w:rsid w:val="0064132F"/>
    <w:rsid w:val="00642EE5"/>
    <w:rsid w:val="00643397"/>
    <w:rsid w:val="00644EDF"/>
    <w:rsid w:val="00646A45"/>
    <w:rsid w:val="00646B52"/>
    <w:rsid w:val="006519CA"/>
    <w:rsid w:val="006521C3"/>
    <w:rsid w:val="00652D10"/>
    <w:rsid w:val="00654B85"/>
    <w:rsid w:val="00655050"/>
    <w:rsid w:val="006566A3"/>
    <w:rsid w:val="00656A86"/>
    <w:rsid w:val="0065781D"/>
    <w:rsid w:val="00657FEB"/>
    <w:rsid w:val="006602FE"/>
    <w:rsid w:val="006603E2"/>
    <w:rsid w:val="00660E83"/>
    <w:rsid w:val="00661D90"/>
    <w:rsid w:val="0066383B"/>
    <w:rsid w:val="00663C98"/>
    <w:rsid w:val="00664B95"/>
    <w:rsid w:val="00670219"/>
    <w:rsid w:val="006705FD"/>
    <w:rsid w:val="00671731"/>
    <w:rsid w:val="0067241D"/>
    <w:rsid w:val="00672DCA"/>
    <w:rsid w:val="00673845"/>
    <w:rsid w:val="00674555"/>
    <w:rsid w:val="0067505A"/>
    <w:rsid w:val="00675214"/>
    <w:rsid w:val="00676E03"/>
    <w:rsid w:val="00677D45"/>
    <w:rsid w:val="006804B3"/>
    <w:rsid w:val="00682DE2"/>
    <w:rsid w:val="00683DF4"/>
    <w:rsid w:val="006847A8"/>
    <w:rsid w:val="00685110"/>
    <w:rsid w:val="00685262"/>
    <w:rsid w:val="00685736"/>
    <w:rsid w:val="00686812"/>
    <w:rsid w:val="006875E1"/>
    <w:rsid w:val="006908DB"/>
    <w:rsid w:val="00691B1E"/>
    <w:rsid w:val="00692052"/>
    <w:rsid w:val="00692B74"/>
    <w:rsid w:val="00692CEC"/>
    <w:rsid w:val="00692FA1"/>
    <w:rsid w:val="006933B2"/>
    <w:rsid w:val="006937E3"/>
    <w:rsid w:val="00693898"/>
    <w:rsid w:val="00694496"/>
    <w:rsid w:val="00695260"/>
    <w:rsid w:val="00695497"/>
    <w:rsid w:val="00696503"/>
    <w:rsid w:val="00696B4D"/>
    <w:rsid w:val="0069732D"/>
    <w:rsid w:val="00697461"/>
    <w:rsid w:val="006A099B"/>
    <w:rsid w:val="006A0F45"/>
    <w:rsid w:val="006A225E"/>
    <w:rsid w:val="006A230F"/>
    <w:rsid w:val="006A4082"/>
    <w:rsid w:val="006A4655"/>
    <w:rsid w:val="006A626A"/>
    <w:rsid w:val="006A6878"/>
    <w:rsid w:val="006A764B"/>
    <w:rsid w:val="006A77AE"/>
    <w:rsid w:val="006B00AA"/>
    <w:rsid w:val="006B06CE"/>
    <w:rsid w:val="006B0B62"/>
    <w:rsid w:val="006B1894"/>
    <w:rsid w:val="006B22C1"/>
    <w:rsid w:val="006B2374"/>
    <w:rsid w:val="006B2A77"/>
    <w:rsid w:val="006B2B3C"/>
    <w:rsid w:val="006B2DF0"/>
    <w:rsid w:val="006B2FB0"/>
    <w:rsid w:val="006B3E9C"/>
    <w:rsid w:val="006B42BC"/>
    <w:rsid w:val="006B47A9"/>
    <w:rsid w:val="006B6303"/>
    <w:rsid w:val="006B7964"/>
    <w:rsid w:val="006C11D9"/>
    <w:rsid w:val="006C3C52"/>
    <w:rsid w:val="006C422A"/>
    <w:rsid w:val="006C4ABF"/>
    <w:rsid w:val="006C4B88"/>
    <w:rsid w:val="006C500D"/>
    <w:rsid w:val="006C52CA"/>
    <w:rsid w:val="006C5AFA"/>
    <w:rsid w:val="006C5BB8"/>
    <w:rsid w:val="006C689E"/>
    <w:rsid w:val="006C6F55"/>
    <w:rsid w:val="006C7038"/>
    <w:rsid w:val="006C71EC"/>
    <w:rsid w:val="006C72A2"/>
    <w:rsid w:val="006C72BC"/>
    <w:rsid w:val="006D02F5"/>
    <w:rsid w:val="006D0E88"/>
    <w:rsid w:val="006D0FFC"/>
    <w:rsid w:val="006D10DE"/>
    <w:rsid w:val="006D195B"/>
    <w:rsid w:val="006D2D4A"/>
    <w:rsid w:val="006D3472"/>
    <w:rsid w:val="006D38A4"/>
    <w:rsid w:val="006D3C6D"/>
    <w:rsid w:val="006D4835"/>
    <w:rsid w:val="006D70FC"/>
    <w:rsid w:val="006D75FE"/>
    <w:rsid w:val="006E059E"/>
    <w:rsid w:val="006E0F70"/>
    <w:rsid w:val="006E1F25"/>
    <w:rsid w:val="006E25AA"/>
    <w:rsid w:val="006E4225"/>
    <w:rsid w:val="006E42A2"/>
    <w:rsid w:val="006E5C54"/>
    <w:rsid w:val="006E666F"/>
    <w:rsid w:val="006E73EF"/>
    <w:rsid w:val="006E79D6"/>
    <w:rsid w:val="006E79F6"/>
    <w:rsid w:val="006F04BA"/>
    <w:rsid w:val="006F07DF"/>
    <w:rsid w:val="006F1502"/>
    <w:rsid w:val="006F166F"/>
    <w:rsid w:val="006F2013"/>
    <w:rsid w:val="006F2194"/>
    <w:rsid w:val="006F7A86"/>
    <w:rsid w:val="0070084C"/>
    <w:rsid w:val="00702C5C"/>
    <w:rsid w:val="00703294"/>
    <w:rsid w:val="0070357C"/>
    <w:rsid w:val="007049C8"/>
    <w:rsid w:val="0070505B"/>
    <w:rsid w:val="007060B2"/>
    <w:rsid w:val="00706195"/>
    <w:rsid w:val="007078AE"/>
    <w:rsid w:val="0071151D"/>
    <w:rsid w:val="007127EF"/>
    <w:rsid w:val="00713914"/>
    <w:rsid w:val="00714D4D"/>
    <w:rsid w:val="00714E50"/>
    <w:rsid w:val="0071511D"/>
    <w:rsid w:val="00715349"/>
    <w:rsid w:val="00716902"/>
    <w:rsid w:val="00720C1E"/>
    <w:rsid w:val="00721067"/>
    <w:rsid w:val="0072145C"/>
    <w:rsid w:val="00722676"/>
    <w:rsid w:val="0072270D"/>
    <w:rsid w:val="007231D9"/>
    <w:rsid w:val="00723AC7"/>
    <w:rsid w:val="0072483B"/>
    <w:rsid w:val="0072485C"/>
    <w:rsid w:val="0072525C"/>
    <w:rsid w:val="00726242"/>
    <w:rsid w:val="00726E78"/>
    <w:rsid w:val="00727924"/>
    <w:rsid w:val="007305C5"/>
    <w:rsid w:val="007314BC"/>
    <w:rsid w:val="00731974"/>
    <w:rsid w:val="00731F55"/>
    <w:rsid w:val="00733045"/>
    <w:rsid w:val="00733D16"/>
    <w:rsid w:val="007340D3"/>
    <w:rsid w:val="00734C51"/>
    <w:rsid w:val="00735DF2"/>
    <w:rsid w:val="0073699B"/>
    <w:rsid w:val="00736A17"/>
    <w:rsid w:val="00736EC8"/>
    <w:rsid w:val="0073705B"/>
    <w:rsid w:val="00737BD8"/>
    <w:rsid w:val="00741462"/>
    <w:rsid w:val="00741944"/>
    <w:rsid w:val="0074262C"/>
    <w:rsid w:val="0074348F"/>
    <w:rsid w:val="007446A0"/>
    <w:rsid w:val="00744CD9"/>
    <w:rsid w:val="007456CA"/>
    <w:rsid w:val="007458B5"/>
    <w:rsid w:val="00747446"/>
    <w:rsid w:val="00747C58"/>
    <w:rsid w:val="007544F7"/>
    <w:rsid w:val="00754B61"/>
    <w:rsid w:val="007551E3"/>
    <w:rsid w:val="007560D5"/>
    <w:rsid w:val="00756229"/>
    <w:rsid w:val="007564BD"/>
    <w:rsid w:val="00756CA4"/>
    <w:rsid w:val="00756EC7"/>
    <w:rsid w:val="007604BB"/>
    <w:rsid w:val="007605F8"/>
    <w:rsid w:val="007607FD"/>
    <w:rsid w:val="00760916"/>
    <w:rsid w:val="007613FB"/>
    <w:rsid w:val="00762BC6"/>
    <w:rsid w:val="00763DAC"/>
    <w:rsid w:val="007645F4"/>
    <w:rsid w:val="00764D51"/>
    <w:rsid w:val="0076603D"/>
    <w:rsid w:val="007670FE"/>
    <w:rsid w:val="00767537"/>
    <w:rsid w:val="00767772"/>
    <w:rsid w:val="0077015D"/>
    <w:rsid w:val="00770ED2"/>
    <w:rsid w:val="00772FFF"/>
    <w:rsid w:val="007739FE"/>
    <w:rsid w:val="007754D7"/>
    <w:rsid w:val="00775F51"/>
    <w:rsid w:val="007770BA"/>
    <w:rsid w:val="00780A3B"/>
    <w:rsid w:val="00780ABA"/>
    <w:rsid w:val="00780D12"/>
    <w:rsid w:val="00782D84"/>
    <w:rsid w:val="00782DFA"/>
    <w:rsid w:val="00783610"/>
    <w:rsid w:val="007840CB"/>
    <w:rsid w:val="00785232"/>
    <w:rsid w:val="007859C9"/>
    <w:rsid w:val="00786ED2"/>
    <w:rsid w:val="007908F3"/>
    <w:rsid w:val="00790939"/>
    <w:rsid w:val="00791CCB"/>
    <w:rsid w:val="00792A6C"/>
    <w:rsid w:val="00792B6D"/>
    <w:rsid w:val="007935B2"/>
    <w:rsid w:val="0079458E"/>
    <w:rsid w:val="00795362"/>
    <w:rsid w:val="00795B40"/>
    <w:rsid w:val="007960CA"/>
    <w:rsid w:val="0079665F"/>
    <w:rsid w:val="00796B21"/>
    <w:rsid w:val="00797CB7"/>
    <w:rsid w:val="00797CC2"/>
    <w:rsid w:val="007A07C4"/>
    <w:rsid w:val="007A1D1B"/>
    <w:rsid w:val="007A21EB"/>
    <w:rsid w:val="007A302E"/>
    <w:rsid w:val="007A4000"/>
    <w:rsid w:val="007A55F4"/>
    <w:rsid w:val="007B1154"/>
    <w:rsid w:val="007B120C"/>
    <w:rsid w:val="007B171B"/>
    <w:rsid w:val="007B66F7"/>
    <w:rsid w:val="007B7612"/>
    <w:rsid w:val="007C0A79"/>
    <w:rsid w:val="007C0C6E"/>
    <w:rsid w:val="007C28DD"/>
    <w:rsid w:val="007C3185"/>
    <w:rsid w:val="007C34D1"/>
    <w:rsid w:val="007C36C9"/>
    <w:rsid w:val="007C37FD"/>
    <w:rsid w:val="007C5846"/>
    <w:rsid w:val="007C6014"/>
    <w:rsid w:val="007C6CE6"/>
    <w:rsid w:val="007C74FD"/>
    <w:rsid w:val="007D00FA"/>
    <w:rsid w:val="007D1212"/>
    <w:rsid w:val="007D1748"/>
    <w:rsid w:val="007D1B17"/>
    <w:rsid w:val="007D271B"/>
    <w:rsid w:val="007D27E5"/>
    <w:rsid w:val="007D2B8A"/>
    <w:rsid w:val="007D321B"/>
    <w:rsid w:val="007D4B53"/>
    <w:rsid w:val="007D4B99"/>
    <w:rsid w:val="007D5823"/>
    <w:rsid w:val="007D63D3"/>
    <w:rsid w:val="007D6440"/>
    <w:rsid w:val="007D67C0"/>
    <w:rsid w:val="007D6E5E"/>
    <w:rsid w:val="007D7487"/>
    <w:rsid w:val="007D756F"/>
    <w:rsid w:val="007D7919"/>
    <w:rsid w:val="007E01E4"/>
    <w:rsid w:val="007E0661"/>
    <w:rsid w:val="007E0D8C"/>
    <w:rsid w:val="007E10AB"/>
    <w:rsid w:val="007E23CC"/>
    <w:rsid w:val="007E3670"/>
    <w:rsid w:val="007E3B51"/>
    <w:rsid w:val="007E4911"/>
    <w:rsid w:val="007E4B1D"/>
    <w:rsid w:val="007E6084"/>
    <w:rsid w:val="007E67B8"/>
    <w:rsid w:val="007E796C"/>
    <w:rsid w:val="007E7C52"/>
    <w:rsid w:val="007F005F"/>
    <w:rsid w:val="007F097D"/>
    <w:rsid w:val="007F2691"/>
    <w:rsid w:val="007F2813"/>
    <w:rsid w:val="007F28D5"/>
    <w:rsid w:val="007F6FD8"/>
    <w:rsid w:val="007F7107"/>
    <w:rsid w:val="00801327"/>
    <w:rsid w:val="008014FC"/>
    <w:rsid w:val="008018C3"/>
    <w:rsid w:val="00801FEB"/>
    <w:rsid w:val="008035A6"/>
    <w:rsid w:val="00803D08"/>
    <w:rsid w:val="00804625"/>
    <w:rsid w:val="00806746"/>
    <w:rsid w:val="00806AC2"/>
    <w:rsid w:val="0081030F"/>
    <w:rsid w:val="008105B5"/>
    <w:rsid w:val="0081097E"/>
    <w:rsid w:val="00810FD6"/>
    <w:rsid w:val="008111DB"/>
    <w:rsid w:val="00811974"/>
    <w:rsid w:val="008139A3"/>
    <w:rsid w:val="00813C1E"/>
    <w:rsid w:val="00814891"/>
    <w:rsid w:val="0081641B"/>
    <w:rsid w:val="00817791"/>
    <w:rsid w:val="00817EA0"/>
    <w:rsid w:val="00817EAC"/>
    <w:rsid w:val="008207EE"/>
    <w:rsid w:val="0082087D"/>
    <w:rsid w:val="008208D8"/>
    <w:rsid w:val="0082158C"/>
    <w:rsid w:val="008227CB"/>
    <w:rsid w:val="00822E07"/>
    <w:rsid w:val="00823E1C"/>
    <w:rsid w:val="00823F8C"/>
    <w:rsid w:val="00824264"/>
    <w:rsid w:val="008243E8"/>
    <w:rsid w:val="008244DF"/>
    <w:rsid w:val="00825198"/>
    <w:rsid w:val="00825D61"/>
    <w:rsid w:val="008260BB"/>
    <w:rsid w:val="00826A60"/>
    <w:rsid w:val="00827306"/>
    <w:rsid w:val="00830458"/>
    <w:rsid w:val="00831158"/>
    <w:rsid w:val="00831BCF"/>
    <w:rsid w:val="00831DDF"/>
    <w:rsid w:val="00833294"/>
    <w:rsid w:val="008333DD"/>
    <w:rsid w:val="008345E4"/>
    <w:rsid w:val="00834F0D"/>
    <w:rsid w:val="00836370"/>
    <w:rsid w:val="00837087"/>
    <w:rsid w:val="0083730D"/>
    <w:rsid w:val="008415AD"/>
    <w:rsid w:val="00842933"/>
    <w:rsid w:val="00842B9A"/>
    <w:rsid w:val="00842E26"/>
    <w:rsid w:val="00845089"/>
    <w:rsid w:val="008452EB"/>
    <w:rsid w:val="00846393"/>
    <w:rsid w:val="00850D44"/>
    <w:rsid w:val="008514BB"/>
    <w:rsid w:val="0085171C"/>
    <w:rsid w:val="00851BF2"/>
    <w:rsid w:val="00852F9E"/>
    <w:rsid w:val="00854ED3"/>
    <w:rsid w:val="00855A35"/>
    <w:rsid w:val="00856104"/>
    <w:rsid w:val="008566B8"/>
    <w:rsid w:val="00856F16"/>
    <w:rsid w:val="00857290"/>
    <w:rsid w:val="0086082C"/>
    <w:rsid w:val="00860833"/>
    <w:rsid w:val="00862212"/>
    <w:rsid w:val="00862A4F"/>
    <w:rsid w:val="00862D4A"/>
    <w:rsid w:val="00864ADC"/>
    <w:rsid w:val="008655F4"/>
    <w:rsid w:val="00866459"/>
    <w:rsid w:val="00866ADE"/>
    <w:rsid w:val="00866C2D"/>
    <w:rsid w:val="008675B5"/>
    <w:rsid w:val="00867889"/>
    <w:rsid w:val="0086794A"/>
    <w:rsid w:val="00867D37"/>
    <w:rsid w:val="0087045B"/>
    <w:rsid w:val="008709B9"/>
    <w:rsid w:val="008717BC"/>
    <w:rsid w:val="0087254E"/>
    <w:rsid w:val="00872937"/>
    <w:rsid w:val="0087304C"/>
    <w:rsid w:val="0087409F"/>
    <w:rsid w:val="008748B2"/>
    <w:rsid w:val="008749AE"/>
    <w:rsid w:val="008759BC"/>
    <w:rsid w:val="0087603D"/>
    <w:rsid w:val="00876B02"/>
    <w:rsid w:val="00877A00"/>
    <w:rsid w:val="00880153"/>
    <w:rsid w:val="00880F97"/>
    <w:rsid w:val="0088133A"/>
    <w:rsid w:val="00881CB3"/>
    <w:rsid w:val="00882A59"/>
    <w:rsid w:val="008836EB"/>
    <w:rsid w:val="0088387E"/>
    <w:rsid w:val="00884E82"/>
    <w:rsid w:val="008855D5"/>
    <w:rsid w:val="00885663"/>
    <w:rsid w:val="0088637A"/>
    <w:rsid w:val="00886A33"/>
    <w:rsid w:val="008870C2"/>
    <w:rsid w:val="0088793F"/>
    <w:rsid w:val="00891711"/>
    <w:rsid w:val="0089285E"/>
    <w:rsid w:val="00893179"/>
    <w:rsid w:val="00893A19"/>
    <w:rsid w:val="0089430B"/>
    <w:rsid w:val="0089436C"/>
    <w:rsid w:val="008944C4"/>
    <w:rsid w:val="00896F53"/>
    <w:rsid w:val="00897B99"/>
    <w:rsid w:val="008A0108"/>
    <w:rsid w:val="008A10ED"/>
    <w:rsid w:val="008A162C"/>
    <w:rsid w:val="008A1D40"/>
    <w:rsid w:val="008A21C6"/>
    <w:rsid w:val="008A244D"/>
    <w:rsid w:val="008A27F8"/>
    <w:rsid w:val="008A3885"/>
    <w:rsid w:val="008A4351"/>
    <w:rsid w:val="008A4494"/>
    <w:rsid w:val="008A457F"/>
    <w:rsid w:val="008A4DEB"/>
    <w:rsid w:val="008A61D4"/>
    <w:rsid w:val="008A6684"/>
    <w:rsid w:val="008A6BBA"/>
    <w:rsid w:val="008A732B"/>
    <w:rsid w:val="008A767D"/>
    <w:rsid w:val="008B07CD"/>
    <w:rsid w:val="008B0E7C"/>
    <w:rsid w:val="008B2252"/>
    <w:rsid w:val="008B3D65"/>
    <w:rsid w:val="008B401C"/>
    <w:rsid w:val="008B43A0"/>
    <w:rsid w:val="008B5E94"/>
    <w:rsid w:val="008B5F39"/>
    <w:rsid w:val="008B6F7A"/>
    <w:rsid w:val="008B71EE"/>
    <w:rsid w:val="008C00F9"/>
    <w:rsid w:val="008C0770"/>
    <w:rsid w:val="008C40EF"/>
    <w:rsid w:val="008C6A24"/>
    <w:rsid w:val="008C71F4"/>
    <w:rsid w:val="008D0728"/>
    <w:rsid w:val="008D1D18"/>
    <w:rsid w:val="008D2453"/>
    <w:rsid w:val="008D2F8F"/>
    <w:rsid w:val="008D35CF"/>
    <w:rsid w:val="008D365C"/>
    <w:rsid w:val="008D39B7"/>
    <w:rsid w:val="008D3AD6"/>
    <w:rsid w:val="008D3C7F"/>
    <w:rsid w:val="008D436B"/>
    <w:rsid w:val="008D7244"/>
    <w:rsid w:val="008D7910"/>
    <w:rsid w:val="008E1B63"/>
    <w:rsid w:val="008E21BD"/>
    <w:rsid w:val="008E224B"/>
    <w:rsid w:val="008E2272"/>
    <w:rsid w:val="008E2596"/>
    <w:rsid w:val="008E2BDF"/>
    <w:rsid w:val="008E436E"/>
    <w:rsid w:val="008E44EF"/>
    <w:rsid w:val="008E4DF6"/>
    <w:rsid w:val="008E50E5"/>
    <w:rsid w:val="008E5A7F"/>
    <w:rsid w:val="008E5BE5"/>
    <w:rsid w:val="008E63C5"/>
    <w:rsid w:val="008E6427"/>
    <w:rsid w:val="008E6B7A"/>
    <w:rsid w:val="008F0B62"/>
    <w:rsid w:val="008F0F21"/>
    <w:rsid w:val="008F38AB"/>
    <w:rsid w:val="008F4F28"/>
    <w:rsid w:val="008F596C"/>
    <w:rsid w:val="008F6C4A"/>
    <w:rsid w:val="008F759B"/>
    <w:rsid w:val="008F79F5"/>
    <w:rsid w:val="008F7FCD"/>
    <w:rsid w:val="00900CC5"/>
    <w:rsid w:val="00900E81"/>
    <w:rsid w:val="0090100F"/>
    <w:rsid w:val="009016E5"/>
    <w:rsid w:val="009018B3"/>
    <w:rsid w:val="009030BF"/>
    <w:rsid w:val="009031CA"/>
    <w:rsid w:val="00903332"/>
    <w:rsid w:val="00903A13"/>
    <w:rsid w:val="0090409A"/>
    <w:rsid w:val="0090473A"/>
    <w:rsid w:val="00904B0C"/>
    <w:rsid w:val="009056C4"/>
    <w:rsid w:val="00906156"/>
    <w:rsid w:val="00910224"/>
    <w:rsid w:val="00911EC6"/>
    <w:rsid w:val="00912317"/>
    <w:rsid w:val="00913A77"/>
    <w:rsid w:val="00914069"/>
    <w:rsid w:val="00914368"/>
    <w:rsid w:val="00914374"/>
    <w:rsid w:val="00914B68"/>
    <w:rsid w:val="009153A5"/>
    <w:rsid w:val="009179C0"/>
    <w:rsid w:val="009201F7"/>
    <w:rsid w:val="00920704"/>
    <w:rsid w:val="00920AB8"/>
    <w:rsid w:val="00921463"/>
    <w:rsid w:val="00921F85"/>
    <w:rsid w:val="0092317F"/>
    <w:rsid w:val="00923DFB"/>
    <w:rsid w:val="009257D2"/>
    <w:rsid w:val="00925979"/>
    <w:rsid w:val="00926316"/>
    <w:rsid w:val="009271E2"/>
    <w:rsid w:val="00927EF2"/>
    <w:rsid w:val="00930550"/>
    <w:rsid w:val="00930CA4"/>
    <w:rsid w:val="00931076"/>
    <w:rsid w:val="0093107A"/>
    <w:rsid w:val="00932404"/>
    <w:rsid w:val="00932B70"/>
    <w:rsid w:val="009339E1"/>
    <w:rsid w:val="0093425E"/>
    <w:rsid w:val="009345D9"/>
    <w:rsid w:val="00934872"/>
    <w:rsid w:val="00934B15"/>
    <w:rsid w:val="00934B6F"/>
    <w:rsid w:val="0093629D"/>
    <w:rsid w:val="00936646"/>
    <w:rsid w:val="00937190"/>
    <w:rsid w:val="00937221"/>
    <w:rsid w:val="0093784A"/>
    <w:rsid w:val="00937FB5"/>
    <w:rsid w:val="0094026E"/>
    <w:rsid w:val="009409F2"/>
    <w:rsid w:val="009414A9"/>
    <w:rsid w:val="0094215A"/>
    <w:rsid w:val="00942B62"/>
    <w:rsid w:val="009441F2"/>
    <w:rsid w:val="009447EB"/>
    <w:rsid w:val="00944BB0"/>
    <w:rsid w:val="00945E26"/>
    <w:rsid w:val="00946099"/>
    <w:rsid w:val="0094767C"/>
    <w:rsid w:val="0095034B"/>
    <w:rsid w:val="0095046C"/>
    <w:rsid w:val="00953C1F"/>
    <w:rsid w:val="00953E96"/>
    <w:rsid w:val="00954297"/>
    <w:rsid w:val="00954364"/>
    <w:rsid w:val="00954F1E"/>
    <w:rsid w:val="009550B0"/>
    <w:rsid w:val="0095579B"/>
    <w:rsid w:val="00956172"/>
    <w:rsid w:val="00956A0C"/>
    <w:rsid w:val="00956BD9"/>
    <w:rsid w:val="00957EA1"/>
    <w:rsid w:val="009606B8"/>
    <w:rsid w:val="00960F98"/>
    <w:rsid w:val="00961225"/>
    <w:rsid w:val="0096136E"/>
    <w:rsid w:val="00962489"/>
    <w:rsid w:val="009627D1"/>
    <w:rsid w:val="00962F67"/>
    <w:rsid w:val="009645AD"/>
    <w:rsid w:val="00964658"/>
    <w:rsid w:val="00964679"/>
    <w:rsid w:val="00965B4F"/>
    <w:rsid w:val="00966432"/>
    <w:rsid w:val="00966441"/>
    <w:rsid w:val="009705D2"/>
    <w:rsid w:val="009716AB"/>
    <w:rsid w:val="00973819"/>
    <w:rsid w:val="00973AA5"/>
    <w:rsid w:val="009752BE"/>
    <w:rsid w:val="009754C7"/>
    <w:rsid w:val="0097634C"/>
    <w:rsid w:val="009765E2"/>
    <w:rsid w:val="00976B45"/>
    <w:rsid w:val="009805FB"/>
    <w:rsid w:val="0098088C"/>
    <w:rsid w:val="00980911"/>
    <w:rsid w:val="00980B53"/>
    <w:rsid w:val="0098128A"/>
    <w:rsid w:val="00982A21"/>
    <w:rsid w:val="009839F5"/>
    <w:rsid w:val="00983BB4"/>
    <w:rsid w:val="0098434F"/>
    <w:rsid w:val="009848D7"/>
    <w:rsid w:val="00984A55"/>
    <w:rsid w:val="009867A7"/>
    <w:rsid w:val="00990C2C"/>
    <w:rsid w:val="00992FBC"/>
    <w:rsid w:val="009941B0"/>
    <w:rsid w:val="009959E2"/>
    <w:rsid w:val="00996B23"/>
    <w:rsid w:val="009A0C6A"/>
    <w:rsid w:val="009A11AE"/>
    <w:rsid w:val="009A2357"/>
    <w:rsid w:val="009A2557"/>
    <w:rsid w:val="009A2B03"/>
    <w:rsid w:val="009A4000"/>
    <w:rsid w:val="009A41BC"/>
    <w:rsid w:val="009A798E"/>
    <w:rsid w:val="009B0912"/>
    <w:rsid w:val="009B0BD9"/>
    <w:rsid w:val="009B0C42"/>
    <w:rsid w:val="009B0E55"/>
    <w:rsid w:val="009B1392"/>
    <w:rsid w:val="009B269E"/>
    <w:rsid w:val="009B3843"/>
    <w:rsid w:val="009B3F91"/>
    <w:rsid w:val="009B435E"/>
    <w:rsid w:val="009B716C"/>
    <w:rsid w:val="009B751A"/>
    <w:rsid w:val="009C0B2E"/>
    <w:rsid w:val="009C1795"/>
    <w:rsid w:val="009C18B0"/>
    <w:rsid w:val="009C2879"/>
    <w:rsid w:val="009C2903"/>
    <w:rsid w:val="009C3B53"/>
    <w:rsid w:val="009C4381"/>
    <w:rsid w:val="009C4E69"/>
    <w:rsid w:val="009C52E9"/>
    <w:rsid w:val="009C5BA9"/>
    <w:rsid w:val="009C6783"/>
    <w:rsid w:val="009C6D94"/>
    <w:rsid w:val="009C7029"/>
    <w:rsid w:val="009D084C"/>
    <w:rsid w:val="009D11BD"/>
    <w:rsid w:val="009D1A37"/>
    <w:rsid w:val="009D1F20"/>
    <w:rsid w:val="009D23AC"/>
    <w:rsid w:val="009D35A4"/>
    <w:rsid w:val="009D587F"/>
    <w:rsid w:val="009D5CB0"/>
    <w:rsid w:val="009D5F91"/>
    <w:rsid w:val="009D6675"/>
    <w:rsid w:val="009D6B88"/>
    <w:rsid w:val="009D757F"/>
    <w:rsid w:val="009E0424"/>
    <w:rsid w:val="009E1832"/>
    <w:rsid w:val="009E238C"/>
    <w:rsid w:val="009E25E3"/>
    <w:rsid w:val="009E3D2F"/>
    <w:rsid w:val="009E4FBB"/>
    <w:rsid w:val="009E54BC"/>
    <w:rsid w:val="009E5EC9"/>
    <w:rsid w:val="009E620E"/>
    <w:rsid w:val="009E6A4E"/>
    <w:rsid w:val="009E71BB"/>
    <w:rsid w:val="009E7B17"/>
    <w:rsid w:val="009F138E"/>
    <w:rsid w:val="009F36CF"/>
    <w:rsid w:val="009F3872"/>
    <w:rsid w:val="009F3B55"/>
    <w:rsid w:val="009F559F"/>
    <w:rsid w:val="009F696D"/>
    <w:rsid w:val="009F6BC6"/>
    <w:rsid w:val="009F6E5F"/>
    <w:rsid w:val="009F71B6"/>
    <w:rsid w:val="009F79F2"/>
    <w:rsid w:val="009F7C21"/>
    <w:rsid w:val="00A018BC"/>
    <w:rsid w:val="00A02091"/>
    <w:rsid w:val="00A022E3"/>
    <w:rsid w:val="00A0399A"/>
    <w:rsid w:val="00A03E3B"/>
    <w:rsid w:val="00A045FA"/>
    <w:rsid w:val="00A0483A"/>
    <w:rsid w:val="00A052BE"/>
    <w:rsid w:val="00A05E8D"/>
    <w:rsid w:val="00A06465"/>
    <w:rsid w:val="00A066ED"/>
    <w:rsid w:val="00A06921"/>
    <w:rsid w:val="00A07EB4"/>
    <w:rsid w:val="00A1075A"/>
    <w:rsid w:val="00A115B9"/>
    <w:rsid w:val="00A123A6"/>
    <w:rsid w:val="00A12B70"/>
    <w:rsid w:val="00A12FE9"/>
    <w:rsid w:val="00A1410D"/>
    <w:rsid w:val="00A16B51"/>
    <w:rsid w:val="00A1706E"/>
    <w:rsid w:val="00A17328"/>
    <w:rsid w:val="00A17643"/>
    <w:rsid w:val="00A179E8"/>
    <w:rsid w:val="00A20336"/>
    <w:rsid w:val="00A20E4C"/>
    <w:rsid w:val="00A21459"/>
    <w:rsid w:val="00A21619"/>
    <w:rsid w:val="00A23A20"/>
    <w:rsid w:val="00A243FD"/>
    <w:rsid w:val="00A249E6"/>
    <w:rsid w:val="00A2614A"/>
    <w:rsid w:val="00A268B9"/>
    <w:rsid w:val="00A2703A"/>
    <w:rsid w:val="00A273C7"/>
    <w:rsid w:val="00A27DEC"/>
    <w:rsid w:val="00A30B59"/>
    <w:rsid w:val="00A31B6D"/>
    <w:rsid w:val="00A31C0A"/>
    <w:rsid w:val="00A32567"/>
    <w:rsid w:val="00A333A4"/>
    <w:rsid w:val="00A338E7"/>
    <w:rsid w:val="00A33DFF"/>
    <w:rsid w:val="00A346A1"/>
    <w:rsid w:val="00A35115"/>
    <w:rsid w:val="00A35EC8"/>
    <w:rsid w:val="00A372DF"/>
    <w:rsid w:val="00A374B9"/>
    <w:rsid w:val="00A3750D"/>
    <w:rsid w:val="00A409C7"/>
    <w:rsid w:val="00A40B4D"/>
    <w:rsid w:val="00A41C63"/>
    <w:rsid w:val="00A4277D"/>
    <w:rsid w:val="00A455A8"/>
    <w:rsid w:val="00A45DCF"/>
    <w:rsid w:val="00A46363"/>
    <w:rsid w:val="00A46476"/>
    <w:rsid w:val="00A47541"/>
    <w:rsid w:val="00A47B8A"/>
    <w:rsid w:val="00A47F91"/>
    <w:rsid w:val="00A50423"/>
    <w:rsid w:val="00A51605"/>
    <w:rsid w:val="00A51756"/>
    <w:rsid w:val="00A51F30"/>
    <w:rsid w:val="00A52C5A"/>
    <w:rsid w:val="00A5308F"/>
    <w:rsid w:val="00A533DC"/>
    <w:rsid w:val="00A538FB"/>
    <w:rsid w:val="00A53E44"/>
    <w:rsid w:val="00A5415D"/>
    <w:rsid w:val="00A5487B"/>
    <w:rsid w:val="00A54A0E"/>
    <w:rsid w:val="00A554AB"/>
    <w:rsid w:val="00A55F36"/>
    <w:rsid w:val="00A5683B"/>
    <w:rsid w:val="00A56D38"/>
    <w:rsid w:val="00A57AF9"/>
    <w:rsid w:val="00A61614"/>
    <w:rsid w:val="00A62EAE"/>
    <w:rsid w:val="00A63074"/>
    <w:rsid w:val="00A644A5"/>
    <w:rsid w:val="00A66CFA"/>
    <w:rsid w:val="00A670A3"/>
    <w:rsid w:val="00A7004D"/>
    <w:rsid w:val="00A70396"/>
    <w:rsid w:val="00A73FA1"/>
    <w:rsid w:val="00A74138"/>
    <w:rsid w:val="00A75A99"/>
    <w:rsid w:val="00A75C25"/>
    <w:rsid w:val="00A7781D"/>
    <w:rsid w:val="00A77A83"/>
    <w:rsid w:val="00A77C53"/>
    <w:rsid w:val="00A8017E"/>
    <w:rsid w:val="00A81077"/>
    <w:rsid w:val="00A83110"/>
    <w:rsid w:val="00A83131"/>
    <w:rsid w:val="00A83280"/>
    <w:rsid w:val="00A8332A"/>
    <w:rsid w:val="00A84933"/>
    <w:rsid w:val="00A866D9"/>
    <w:rsid w:val="00A8684F"/>
    <w:rsid w:val="00A86A90"/>
    <w:rsid w:val="00A86D83"/>
    <w:rsid w:val="00A875C2"/>
    <w:rsid w:val="00A87715"/>
    <w:rsid w:val="00A91170"/>
    <w:rsid w:val="00A922A7"/>
    <w:rsid w:val="00A92B53"/>
    <w:rsid w:val="00A92C98"/>
    <w:rsid w:val="00A9310E"/>
    <w:rsid w:val="00A940EA"/>
    <w:rsid w:val="00A94FA6"/>
    <w:rsid w:val="00A9678B"/>
    <w:rsid w:val="00A978B7"/>
    <w:rsid w:val="00AA01DA"/>
    <w:rsid w:val="00AA02E6"/>
    <w:rsid w:val="00AA1AD4"/>
    <w:rsid w:val="00AA2224"/>
    <w:rsid w:val="00AA3584"/>
    <w:rsid w:val="00AA4226"/>
    <w:rsid w:val="00AA49A0"/>
    <w:rsid w:val="00AA6074"/>
    <w:rsid w:val="00AA6710"/>
    <w:rsid w:val="00AA7DBB"/>
    <w:rsid w:val="00AA7E69"/>
    <w:rsid w:val="00AA7EAC"/>
    <w:rsid w:val="00AB040C"/>
    <w:rsid w:val="00AB0681"/>
    <w:rsid w:val="00AB06F8"/>
    <w:rsid w:val="00AB17DB"/>
    <w:rsid w:val="00AB1DEF"/>
    <w:rsid w:val="00AB30C4"/>
    <w:rsid w:val="00AB34E3"/>
    <w:rsid w:val="00AB395E"/>
    <w:rsid w:val="00AB41B7"/>
    <w:rsid w:val="00AB42CA"/>
    <w:rsid w:val="00AB54C2"/>
    <w:rsid w:val="00AB55AE"/>
    <w:rsid w:val="00AB74E7"/>
    <w:rsid w:val="00AC07E2"/>
    <w:rsid w:val="00AC14E3"/>
    <w:rsid w:val="00AC1D1E"/>
    <w:rsid w:val="00AC1FF8"/>
    <w:rsid w:val="00AC27E8"/>
    <w:rsid w:val="00AC369D"/>
    <w:rsid w:val="00AC3A43"/>
    <w:rsid w:val="00AC432F"/>
    <w:rsid w:val="00AC574F"/>
    <w:rsid w:val="00AC60CC"/>
    <w:rsid w:val="00AC69E2"/>
    <w:rsid w:val="00AC7BD4"/>
    <w:rsid w:val="00AD1171"/>
    <w:rsid w:val="00AD184D"/>
    <w:rsid w:val="00AD36E5"/>
    <w:rsid w:val="00AD46C9"/>
    <w:rsid w:val="00AE0C2D"/>
    <w:rsid w:val="00AE15CF"/>
    <w:rsid w:val="00AE1D16"/>
    <w:rsid w:val="00AE2CF8"/>
    <w:rsid w:val="00AE30AD"/>
    <w:rsid w:val="00AE3952"/>
    <w:rsid w:val="00AE5323"/>
    <w:rsid w:val="00AE53A4"/>
    <w:rsid w:val="00AE5463"/>
    <w:rsid w:val="00AE67EA"/>
    <w:rsid w:val="00AE77BA"/>
    <w:rsid w:val="00AF0961"/>
    <w:rsid w:val="00AF1D1F"/>
    <w:rsid w:val="00AF4C84"/>
    <w:rsid w:val="00AF58BE"/>
    <w:rsid w:val="00AF5F90"/>
    <w:rsid w:val="00AF638D"/>
    <w:rsid w:val="00B00238"/>
    <w:rsid w:val="00B00337"/>
    <w:rsid w:val="00B003D0"/>
    <w:rsid w:val="00B014C0"/>
    <w:rsid w:val="00B022B3"/>
    <w:rsid w:val="00B022C5"/>
    <w:rsid w:val="00B02887"/>
    <w:rsid w:val="00B03A0F"/>
    <w:rsid w:val="00B0541E"/>
    <w:rsid w:val="00B0648C"/>
    <w:rsid w:val="00B103E6"/>
    <w:rsid w:val="00B108D2"/>
    <w:rsid w:val="00B1119D"/>
    <w:rsid w:val="00B14706"/>
    <w:rsid w:val="00B16E8E"/>
    <w:rsid w:val="00B21480"/>
    <w:rsid w:val="00B216E0"/>
    <w:rsid w:val="00B21C22"/>
    <w:rsid w:val="00B224EB"/>
    <w:rsid w:val="00B24043"/>
    <w:rsid w:val="00B250E8"/>
    <w:rsid w:val="00B2659C"/>
    <w:rsid w:val="00B2710F"/>
    <w:rsid w:val="00B2738D"/>
    <w:rsid w:val="00B305DA"/>
    <w:rsid w:val="00B3427D"/>
    <w:rsid w:val="00B343D8"/>
    <w:rsid w:val="00B36778"/>
    <w:rsid w:val="00B3753B"/>
    <w:rsid w:val="00B37779"/>
    <w:rsid w:val="00B40790"/>
    <w:rsid w:val="00B40BBE"/>
    <w:rsid w:val="00B42E58"/>
    <w:rsid w:val="00B440AD"/>
    <w:rsid w:val="00B44851"/>
    <w:rsid w:val="00B4590E"/>
    <w:rsid w:val="00B46229"/>
    <w:rsid w:val="00B46618"/>
    <w:rsid w:val="00B46E98"/>
    <w:rsid w:val="00B5103A"/>
    <w:rsid w:val="00B525FD"/>
    <w:rsid w:val="00B53E7E"/>
    <w:rsid w:val="00B53FC5"/>
    <w:rsid w:val="00B54BC9"/>
    <w:rsid w:val="00B6006E"/>
    <w:rsid w:val="00B608C0"/>
    <w:rsid w:val="00B61388"/>
    <w:rsid w:val="00B633B9"/>
    <w:rsid w:val="00B6342E"/>
    <w:rsid w:val="00B6372D"/>
    <w:rsid w:val="00B66AF7"/>
    <w:rsid w:val="00B674FA"/>
    <w:rsid w:val="00B71000"/>
    <w:rsid w:val="00B7113F"/>
    <w:rsid w:val="00B71374"/>
    <w:rsid w:val="00B717EA"/>
    <w:rsid w:val="00B72653"/>
    <w:rsid w:val="00B7305B"/>
    <w:rsid w:val="00B74198"/>
    <w:rsid w:val="00B74B00"/>
    <w:rsid w:val="00B7544E"/>
    <w:rsid w:val="00B7605C"/>
    <w:rsid w:val="00B77297"/>
    <w:rsid w:val="00B80935"/>
    <w:rsid w:val="00B8164E"/>
    <w:rsid w:val="00B821AD"/>
    <w:rsid w:val="00B82CAC"/>
    <w:rsid w:val="00B83C2B"/>
    <w:rsid w:val="00B8596E"/>
    <w:rsid w:val="00B85EFF"/>
    <w:rsid w:val="00B86745"/>
    <w:rsid w:val="00B9117D"/>
    <w:rsid w:val="00B9161E"/>
    <w:rsid w:val="00B91853"/>
    <w:rsid w:val="00B92062"/>
    <w:rsid w:val="00B9223F"/>
    <w:rsid w:val="00B92325"/>
    <w:rsid w:val="00B925C3"/>
    <w:rsid w:val="00B9275A"/>
    <w:rsid w:val="00B929CB"/>
    <w:rsid w:val="00B92AC9"/>
    <w:rsid w:val="00B92E88"/>
    <w:rsid w:val="00B9393F"/>
    <w:rsid w:val="00B94265"/>
    <w:rsid w:val="00B94FDB"/>
    <w:rsid w:val="00B952CE"/>
    <w:rsid w:val="00B95526"/>
    <w:rsid w:val="00B95B70"/>
    <w:rsid w:val="00B95CF2"/>
    <w:rsid w:val="00B96292"/>
    <w:rsid w:val="00B966F4"/>
    <w:rsid w:val="00B96A2A"/>
    <w:rsid w:val="00B97520"/>
    <w:rsid w:val="00BA009B"/>
    <w:rsid w:val="00BA0436"/>
    <w:rsid w:val="00BA06DF"/>
    <w:rsid w:val="00BA0DCE"/>
    <w:rsid w:val="00BA11E0"/>
    <w:rsid w:val="00BA1A67"/>
    <w:rsid w:val="00BA2441"/>
    <w:rsid w:val="00BA2683"/>
    <w:rsid w:val="00BA2E21"/>
    <w:rsid w:val="00BA3682"/>
    <w:rsid w:val="00BA5283"/>
    <w:rsid w:val="00BA5B37"/>
    <w:rsid w:val="00BA73B6"/>
    <w:rsid w:val="00BA7AE4"/>
    <w:rsid w:val="00BB0209"/>
    <w:rsid w:val="00BB04B9"/>
    <w:rsid w:val="00BB146A"/>
    <w:rsid w:val="00BB175D"/>
    <w:rsid w:val="00BB2183"/>
    <w:rsid w:val="00BB3148"/>
    <w:rsid w:val="00BB47D5"/>
    <w:rsid w:val="00BB4FCD"/>
    <w:rsid w:val="00BB4FFF"/>
    <w:rsid w:val="00BB717E"/>
    <w:rsid w:val="00BB7242"/>
    <w:rsid w:val="00BB72A3"/>
    <w:rsid w:val="00BB7759"/>
    <w:rsid w:val="00BB7930"/>
    <w:rsid w:val="00BB7974"/>
    <w:rsid w:val="00BC12B6"/>
    <w:rsid w:val="00BC2159"/>
    <w:rsid w:val="00BC4083"/>
    <w:rsid w:val="00BC5FBF"/>
    <w:rsid w:val="00BD13EA"/>
    <w:rsid w:val="00BD17FD"/>
    <w:rsid w:val="00BD1C67"/>
    <w:rsid w:val="00BD4BB7"/>
    <w:rsid w:val="00BD4F95"/>
    <w:rsid w:val="00BD5040"/>
    <w:rsid w:val="00BD6875"/>
    <w:rsid w:val="00BD6D2D"/>
    <w:rsid w:val="00BD6E2E"/>
    <w:rsid w:val="00BE024D"/>
    <w:rsid w:val="00BE072B"/>
    <w:rsid w:val="00BE0D0A"/>
    <w:rsid w:val="00BE1E4A"/>
    <w:rsid w:val="00BE2DD9"/>
    <w:rsid w:val="00BE31B4"/>
    <w:rsid w:val="00BE3808"/>
    <w:rsid w:val="00BE40D2"/>
    <w:rsid w:val="00BE5C6C"/>
    <w:rsid w:val="00BE6A5E"/>
    <w:rsid w:val="00BE6E7C"/>
    <w:rsid w:val="00BE70DF"/>
    <w:rsid w:val="00BE7FA1"/>
    <w:rsid w:val="00BF1709"/>
    <w:rsid w:val="00BF17A7"/>
    <w:rsid w:val="00BF1E38"/>
    <w:rsid w:val="00BF1FF3"/>
    <w:rsid w:val="00BF3DEE"/>
    <w:rsid w:val="00BF5A40"/>
    <w:rsid w:val="00BF62BE"/>
    <w:rsid w:val="00BF6B6A"/>
    <w:rsid w:val="00BF701A"/>
    <w:rsid w:val="00BF713A"/>
    <w:rsid w:val="00C002BD"/>
    <w:rsid w:val="00C018AB"/>
    <w:rsid w:val="00C03ACD"/>
    <w:rsid w:val="00C040B2"/>
    <w:rsid w:val="00C0524D"/>
    <w:rsid w:val="00C05E8A"/>
    <w:rsid w:val="00C062E9"/>
    <w:rsid w:val="00C06347"/>
    <w:rsid w:val="00C072D0"/>
    <w:rsid w:val="00C07418"/>
    <w:rsid w:val="00C07B17"/>
    <w:rsid w:val="00C07B64"/>
    <w:rsid w:val="00C13419"/>
    <w:rsid w:val="00C13721"/>
    <w:rsid w:val="00C13D9B"/>
    <w:rsid w:val="00C14329"/>
    <w:rsid w:val="00C14D5F"/>
    <w:rsid w:val="00C15395"/>
    <w:rsid w:val="00C20632"/>
    <w:rsid w:val="00C21A92"/>
    <w:rsid w:val="00C22114"/>
    <w:rsid w:val="00C236F0"/>
    <w:rsid w:val="00C24C9C"/>
    <w:rsid w:val="00C25668"/>
    <w:rsid w:val="00C25D16"/>
    <w:rsid w:val="00C25DA3"/>
    <w:rsid w:val="00C25E81"/>
    <w:rsid w:val="00C2637D"/>
    <w:rsid w:val="00C27124"/>
    <w:rsid w:val="00C2799C"/>
    <w:rsid w:val="00C27A1B"/>
    <w:rsid w:val="00C3066D"/>
    <w:rsid w:val="00C33D9E"/>
    <w:rsid w:val="00C35AFC"/>
    <w:rsid w:val="00C36336"/>
    <w:rsid w:val="00C36AE9"/>
    <w:rsid w:val="00C37395"/>
    <w:rsid w:val="00C377B2"/>
    <w:rsid w:val="00C40001"/>
    <w:rsid w:val="00C407FD"/>
    <w:rsid w:val="00C41A85"/>
    <w:rsid w:val="00C44676"/>
    <w:rsid w:val="00C45970"/>
    <w:rsid w:val="00C46110"/>
    <w:rsid w:val="00C464C9"/>
    <w:rsid w:val="00C46B9B"/>
    <w:rsid w:val="00C46C78"/>
    <w:rsid w:val="00C46FFD"/>
    <w:rsid w:val="00C47033"/>
    <w:rsid w:val="00C47206"/>
    <w:rsid w:val="00C473E9"/>
    <w:rsid w:val="00C50214"/>
    <w:rsid w:val="00C5083C"/>
    <w:rsid w:val="00C50D4E"/>
    <w:rsid w:val="00C52AB6"/>
    <w:rsid w:val="00C52F36"/>
    <w:rsid w:val="00C543F4"/>
    <w:rsid w:val="00C54B5C"/>
    <w:rsid w:val="00C54CD5"/>
    <w:rsid w:val="00C5509D"/>
    <w:rsid w:val="00C56089"/>
    <w:rsid w:val="00C56FF7"/>
    <w:rsid w:val="00C57652"/>
    <w:rsid w:val="00C57A4B"/>
    <w:rsid w:val="00C60892"/>
    <w:rsid w:val="00C6132A"/>
    <w:rsid w:val="00C61D62"/>
    <w:rsid w:val="00C61F8D"/>
    <w:rsid w:val="00C6291C"/>
    <w:rsid w:val="00C633CB"/>
    <w:rsid w:val="00C63B57"/>
    <w:rsid w:val="00C63EC5"/>
    <w:rsid w:val="00C64389"/>
    <w:rsid w:val="00C64744"/>
    <w:rsid w:val="00C648F3"/>
    <w:rsid w:val="00C649B8"/>
    <w:rsid w:val="00C64E83"/>
    <w:rsid w:val="00C65FA7"/>
    <w:rsid w:val="00C663C0"/>
    <w:rsid w:val="00C669FB"/>
    <w:rsid w:val="00C7124E"/>
    <w:rsid w:val="00C7243F"/>
    <w:rsid w:val="00C72827"/>
    <w:rsid w:val="00C742E1"/>
    <w:rsid w:val="00C7431A"/>
    <w:rsid w:val="00C752E8"/>
    <w:rsid w:val="00C75A75"/>
    <w:rsid w:val="00C7634D"/>
    <w:rsid w:val="00C775F7"/>
    <w:rsid w:val="00C807D5"/>
    <w:rsid w:val="00C808D4"/>
    <w:rsid w:val="00C81281"/>
    <w:rsid w:val="00C8235D"/>
    <w:rsid w:val="00C83605"/>
    <w:rsid w:val="00C858D3"/>
    <w:rsid w:val="00C8666F"/>
    <w:rsid w:val="00C86718"/>
    <w:rsid w:val="00C8762C"/>
    <w:rsid w:val="00C90CF2"/>
    <w:rsid w:val="00C911DC"/>
    <w:rsid w:val="00C92626"/>
    <w:rsid w:val="00C9303E"/>
    <w:rsid w:val="00C936FC"/>
    <w:rsid w:val="00C942B7"/>
    <w:rsid w:val="00C94381"/>
    <w:rsid w:val="00C94E4F"/>
    <w:rsid w:val="00C9636A"/>
    <w:rsid w:val="00C96457"/>
    <w:rsid w:val="00C96D1F"/>
    <w:rsid w:val="00C971F2"/>
    <w:rsid w:val="00C975FB"/>
    <w:rsid w:val="00CA00F9"/>
    <w:rsid w:val="00CA1230"/>
    <w:rsid w:val="00CA1E31"/>
    <w:rsid w:val="00CA2961"/>
    <w:rsid w:val="00CA2999"/>
    <w:rsid w:val="00CA3146"/>
    <w:rsid w:val="00CA3473"/>
    <w:rsid w:val="00CA5184"/>
    <w:rsid w:val="00CB09CA"/>
    <w:rsid w:val="00CB116D"/>
    <w:rsid w:val="00CB1FE9"/>
    <w:rsid w:val="00CB2472"/>
    <w:rsid w:val="00CB3B9D"/>
    <w:rsid w:val="00CB401E"/>
    <w:rsid w:val="00CB4898"/>
    <w:rsid w:val="00CB4A81"/>
    <w:rsid w:val="00CB50D7"/>
    <w:rsid w:val="00CB6497"/>
    <w:rsid w:val="00CB6969"/>
    <w:rsid w:val="00CB7177"/>
    <w:rsid w:val="00CC03DA"/>
    <w:rsid w:val="00CC0BDF"/>
    <w:rsid w:val="00CC1998"/>
    <w:rsid w:val="00CC1E7E"/>
    <w:rsid w:val="00CC221C"/>
    <w:rsid w:val="00CC2A01"/>
    <w:rsid w:val="00CC2B91"/>
    <w:rsid w:val="00CC4946"/>
    <w:rsid w:val="00CC5BA1"/>
    <w:rsid w:val="00CC6CC5"/>
    <w:rsid w:val="00CD2816"/>
    <w:rsid w:val="00CD330E"/>
    <w:rsid w:val="00CD3CE1"/>
    <w:rsid w:val="00CD44BB"/>
    <w:rsid w:val="00CD45A1"/>
    <w:rsid w:val="00CD4EF2"/>
    <w:rsid w:val="00CD6438"/>
    <w:rsid w:val="00CD6A21"/>
    <w:rsid w:val="00CD6B28"/>
    <w:rsid w:val="00CD7186"/>
    <w:rsid w:val="00CD748D"/>
    <w:rsid w:val="00CD75A1"/>
    <w:rsid w:val="00CD7D62"/>
    <w:rsid w:val="00CD7DEC"/>
    <w:rsid w:val="00CE219C"/>
    <w:rsid w:val="00CE318E"/>
    <w:rsid w:val="00CE64E5"/>
    <w:rsid w:val="00CE76D3"/>
    <w:rsid w:val="00CE7837"/>
    <w:rsid w:val="00CE7F17"/>
    <w:rsid w:val="00CE7F47"/>
    <w:rsid w:val="00CF162A"/>
    <w:rsid w:val="00CF18B6"/>
    <w:rsid w:val="00CF2044"/>
    <w:rsid w:val="00CF291C"/>
    <w:rsid w:val="00CF4F0F"/>
    <w:rsid w:val="00CF6A28"/>
    <w:rsid w:val="00CF716A"/>
    <w:rsid w:val="00CF7A22"/>
    <w:rsid w:val="00D0008E"/>
    <w:rsid w:val="00D013F7"/>
    <w:rsid w:val="00D01EC1"/>
    <w:rsid w:val="00D02863"/>
    <w:rsid w:val="00D050D1"/>
    <w:rsid w:val="00D056A4"/>
    <w:rsid w:val="00D0597E"/>
    <w:rsid w:val="00D0623F"/>
    <w:rsid w:val="00D06CAC"/>
    <w:rsid w:val="00D06D79"/>
    <w:rsid w:val="00D0795B"/>
    <w:rsid w:val="00D11B9E"/>
    <w:rsid w:val="00D13B4A"/>
    <w:rsid w:val="00D14303"/>
    <w:rsid w:val="00D14DA7"/>
    <w:rsid w:val="00D154A4"/>
    <w:rsid w:val="00D15861"/>
    <w:rsid w:val="00D15A5B"/>
    <w:rsid w:val="00D1627F"/>
    <w:rsid w:val="00D17942"/>
    <w:rsid w:val="00D21268"/>
    <w:rsid w:val="00D21539"/>
    <w:rsid w:val="00D22343"/>
    <w:rsid w:val="00D225BB"/>
    <w:rsid w:val="00D22749"/>
    <w:rsid w:val="00D2330A"/>
    <w:rsid w:val="00D24E65"/>
    <w:rsid w:val="00D26127"/>
    <w:rsid w:val="00D26A4E"/>
    <w:rsid w:val="00D270A4"/>
    <w:rsid w:val="00D30C2B"/>
    <w:rsid w:val="00D3141F"/>
    <w:rsid w:val="00D31A35"/>
    <w:rsid w:val="00D3269F"/>
    <w:rsid w:val="00D33099"/>
    <w:rsid w:val="00D34424"/>
    <w:rsid w:val="00D34E1B"/>
    <w:rsid w:val="00D351A4"/>
    <w:rsid w:val="00D3568C"/>
    <w:rsid w:val="00D35DD0"/>
    <w:rsid w:val="00D36CEB"/>
    <w:rsid w:val="00D370CD"/>
    <w:rsid w:val="00D37229"/>
    <w:rsid w:val="00D376BA"/>
    <w:rsid w:val="00D37A87"/>
    <w:rsid w:val="00D37AB3"/>
    <w:rsid w:val="00D37E6B"/>
    <w:rsid w:val="00D40542"/>
    <w:rsid w:val="00D412A0"/>
    <w:rsid w:val="00D4138B"/>
    <w:rsid w:val="00D413C3"/>
    <w:rsid w:val="00D41725"/>
    <w:rsid w:val="00D41A37"/>
    <w:rsid w:val="00D423BB"/>
    <w:rsid w:val="00D43045"/>
    <w:rsid w:val="00D43463"/>
    <w:rsid w:val="00D45972"/>
    <w:rsid w:val="00D460FC"/>
    <w:rsid w:val="00D46226"/>
    <w:rsid w:val="00D465CE"/>
    <w:rsid w:val="00D46CA8"/>
    <w:rsid w:val="00D46F05"/>
    <w:rsid w:val="00D50C8B"/>
    <w:rsid w:val="00D50D1D"/>
    <w:rsid w:val="00D516A7"/>
    <w:rsid w:val="00D51E1E"/>
    <w:rsid w:val="00D545AE"/>
    <w:rsid w:val="00D5527A"/>
    <w:rsid w:val="00D55521"/>
    <w:rsid w:val="00D55679"/>
    <w:rsid w:val="00D5568A"/>
    <w:rsid w:val="00D55BE5"/>
    <w:rsid w:val="00D55FE5"/>
    <w:rsid w:val="00D5679F"/>
    <w:rsid w:val="00D60350"/>
    <w:rsid w:val="00D60C0B"/>
    <w:rsid w:val="00D638BD"/>
    <w:rsid w:val="00D63D73"/>
    <w:rsid w:val="00D66245"/>
    <w:rsid w:val="00D66548"/>
    <w:rsid w:val="00D66AB6"/>
    <w:rsid w:val="00D66E1E"/>
    <w:rsid w:val="00D674DB"/>
    <w:rsid w:val="00D676CC"/>
    <w:rsid w:val="00D67F10"/>
    <w:rsid w:val="00D70FB7"/>
    <w:rsid w:val="00D726D6"/>
    <w:rsid w:val="00D755A7"/>
    <w:rsid w:val="00D75722"/>
    <w:rsid w:val="00D7709E"/>
    <w:rsid w:val="00D7713C"/>
    <w:rsid w:val="00D7729C"/>
    <w:rsid w:val="00D7778A"/>
    <w:rsid w:val="00D77DA8"/>
    <w:rsid w:val="00D813BA"/>
    <w:rsid w:val="00D8178E"/>
    <w:rsid w:val="00D82122"/>
    <w:rsid w:val="00D84743"/>
    <w:rsid w:val="00D84B13"/>
    <w:rsid w:val="00D84D9A"/>
    <w:rsid w:val="00D87F7D"/>
    <w:rsid w:val="00D905FA"/>
    <w:rsid w:val="00D90D9F"/>
    <w:rsid w:val="00D91AA9"/>
    <w:rsid w:val="00D925C5"/>
    <w:rsid w:val="00D93196"/>
    <w:rsid w:val="00D940CC"/>
    <w:rsid w:val="00D957AD"/>
    <w:rsid w:val="00D95854"/>
    <w:rsid w:val="00D975B7"/>
    <w:rsid w:val="00D977E2"/>
    <w:rsid w:val="00DA2425"/>
    <w:rsid w:val="00DA3AA2"/>
    <w:rsid w:val="00DA5BBA"/>
    <w:rsid w:val="00DA621A"/>
    <w:rsid w:val="00DB1019"/>
    <w:rsid w:val="00DB109D"/>
    <w:rsid w:val="00DB17FF"/>
    <w:rsid w:val="00DB19E8"/>
    <w:rsid w:val="00DB1B0E"/>
    <w:rsid w:val="00DB1B75"/>
    <w:rsid w:val="00DB39F0"/>
    <w:rsid w:val="00DB4234"/>
    <w:rsid w:val="00DB4257"/>
    <w:rsid w:val="00DB64B6"/>
    <w:rsid w:val="00DB6654"/>
    <w:rsid w:val="00DB67C9"/>
    <w:rsid w:val="00DB69D3"/>
    <w:rsid w:val="00DC0C95"/>
    <w:rsid w:val="00DC1620"/>
    <w:rsid w:val="00DC19DF"/>
    <w:rsid w:val="00DC19FF"/>
    <w:rsid w:val="00DC2234"/>
    <w:rsid w:val="00DC2407"/>
    <w:rsid w:val="00DC283C"/>
    <w:rsid w:val="00DC2F95"/>
    <w:rsid w:val="00DC624E"/>
    <w:rsid w:val="00DC653C"/>
    <w:rsid w:val="00DC6CE8"/>
    <w:rsid w:val="00DC6EB9"/>
    <w:rsid w:val="00DC7388"/>
    <w:rsid w:val="00DC7452"/>
    <w:rsid w:val="00DD02E0"/>
    <w:rsid w:val="00DD1331"/>
    <w:rsid w:val="00DD1E12"/>
    <w:rsid w:val="00DD20CD"/>
    <w:rsid w:val="00DD3FB4"/>
    <w:rsid w:val="00DD4948"/>
    <w:rsid w:val="00DD5492"/>
    <w:rsid w:val="00DD5664"/>
    <w:rsid w:val="00DD5C8E"/>
    <w:rsid w:val="00DD6580"/>
    <w:rsid w:val="00DD65EA"/>
    <w:rsid w:val="00DD79D0"/>
    <w:rsid w:val="00DD7D74"/>
    <w:rsid w:val="00DE2108"/>
    <w:rsid w:val="00DE30B3"/>
    <w:rsid w:val="00DE33E8"/>
    <w:rsid w:val="00DE358A"/>
    <w:rsid w:val="00DE4142"/>
    <w:rsid w:val="00DE4C21"/>
    <w:rsid w:val="00DE557E"/>
    <w:rsid w:val="00DE5846"/>
    <w:rsid w:val="00DE6838"/>
    <w:rsid w:val="00DF008D"/>
    <w:rsid w:val="00DF26BE"/>
    <w:rsid w:val="00DF353D"/>
    <w:rsid w:val="00DF3920"/>
    <w:rsid w:val="00DF4C62"/>
    <w:rsid w:val="00DF4F12"/>
    <w:rsid w:val="00DF5630"/>
    <w:rsid w:val="00DF66B6"/>
    <w:rsid w:val="00DF73E8"/>
    <w:rsid w:val="00DF7A1C"/>
    <w:rsid w:val="00E007F6"/>
    <w:rsid w:val="00E0081A"/>
    <w:rsid w:val="00E01263"/>
    <w:rsid w:val="00E013CD"/>
    <w:rsid w:val="00E02083"/>
    <w:rsid w:val="00E0311B"/>
    <w:rsid w:val="00E03EFE"/>
    <w:rsid w:val="00E03F39"/>
    <w:rsid w:val="00E04538"/>
    <w:rsid w:val="00E04FB2"/>
    <w:rsid w:val="00E050B0"/>
    <w:rsid w:val="00E05874"/>
    <w:rsid w:val="00E05F84"/>
    <w:rsid w:val="00E0671D"/>
    <w:rsid w:val="00E1037F"/>
    <w:rsid w:val="00E10954"/>
    <w:rsid w:val="00E10FFA"/>
    <w:rsid w:val="00E11371"/>
    <w:rsid w:val="00E1146E"/>
    <w:rsid w:val="00E12314"/>
    <w:rsid w:val="00E13D69"/>
    <w:rsid w:val="00E14251"/>
    <w:rsid w:val="00E145B1"/>
    <w:rsid w:val="00E15D6D"/>
    <w:rsid w:val="00E161C2"/>
    <w:rsid w:val="00E1639B"/>
    <w:rsid w:val="00E17C72"/>
    <w:rsid w:val="00E2077F"/>
    <w:rsid w:val="00E20BE7"/>
    <w:rsid w:val="00E20EA8"/>
    <w:rsid w:val="00E21FC6"/>
    <w:rsid w:val="00E221CE"/>
    <w:rsid w:val="00E222AF"/>
    <w:rsid w:val="00E22C65"/>
    <w:rsid w:val="00E22E67"/>
    <w:rsid w:val="00E23B64"/>
    <w:rsid w:val="00E23E05"/>
    <w:rsid w:val="00E23E3C"/>
    <w:rsid w:val="00E2439B"/>
    <w:rsid w:val="00E247E6"/>
    <w:rsid w:val="00E25CEB"/>
    <w:rsid w:val="00E25EB4"/>
    <w:rsid w:val="00E25FA1"/>
    <w:rsid w:val="00E26459"/>
    <w:rsid w:val="00E26C93"/>
    <w:rsid w:val="00E272C7"/>
    <w:rsid w:val="00E27A6F"/>
    <w:rsid w:val="00E30CC4"/>
    <w:rsid w:val="00E3128E"/>
    <w:rsid w:val="00E31E76"/>
    <w:rsid w:val="00E328DA"/>
    <w:rsid w:val="00E34720"/>
    <w:rsid w:val="00E35D1D"/>
    <w:rsid w:val="00E372BD"/>
    <w:rsid w:val="00E405AA"/>
    <w:rsid w:val="00E41F96"/>
    <w:rsid w:val="00E4240D"/>
    <w:rsid w:val="00E42BA3"/>
    <w:rsid w:val="00E432FD"/>
    <w:rsid w:val="00E43418"/>
    <w:rsid w:val="00E4646F"/>
    <w:rsid w:val="00E467B9"/>
    <w:rsid w:val="00E46AED"/>
    <w:rsid w:val="00E46B34"/>
    <w:rsid w:val="00E47264"/>
    <w:rsid w:val="00E47A0D"/>
    <w:rsid w:val="00E50CEE"/>
    <w:rsid w:val="00E51420"/>
    <w:rsid w:val="00E52669"/>
    <w:rsid w:val="00E528EE"/>
    <w:rsid w:val="00E52E3B"/>
    <w:rsid w:val="00E534F4"/>
    <w:rsid w:val="00E5375C"/>
    <w:rsid w:val="00E53DC3"/>
    <w:rsid w:val="00E53EDE"/>
    <w:rsid w:val="00E54263"/>
    <w:rsid w:val="00E54D4A"/>
    <w:rsid w:val="00E553AF"/>
    <w:rsid w:val="00E55620"/>
    <w:rsid w:val="00E56D68"/>
    <w:rsid w:val="00E57670"/>
    <w:rsid w:val="00E57BA5"/>
    <w:rsid w:val="00E57EFF"/>
    <w:rsid w:val="00E60206"/>
    <w:rsid w:val="00E61C76"/>
    <w:rsid w:val="00E61E26"/>
    <w:rsid w:val="00E625AF"/>
    <w:rsid w:val="00E63708"/>
    <w:rsid w:val="00E64625"/>
    <w:rsid w:val="00E64F22"/>
    <w:rsid w:val="00E65455"/>
    <w:rsid w:val="00E669E2"/>
    <w:rsid w:val="00E72C50"/>
    <w:rsid w:val="00E73918"/>
    <w:rsid w:val="00E75FA3"/>
    <w:rsid w:val="00E76076"/>
    <w:rsid w:val="00E76135"/>
    <w:rsid w:val="00E775A9"/>
    <w:rsid w:val="00E77A71"/>
    <w:rsid w:val="00E77F79"/>
    <w:rsid w:val="00E80048"/>
    <w:rsid w:val="00E803AE"/>
    <w:rsid w:val="00E82526"/>
    <w:rsid w:val="00E828B6"/>
    <w:rsid w:val="00E82D57"/>
    <w:rsid w:val="00E83EA9"/>
    <w:rsid w:val="00E84ADB"/>
    <w:rsid w:val="00E858CA"/>
    <w:rsid w:val="00E859E2"/>
    <w:rsid w:val="00E87017"/>
    <w:rsid w:val="00E90361"/>
    <w:rsid w:val="00E9036D"/>
    <w:rsid w:val="00E920CE"/>
    <w:rsid w:val="00E9323B"/>
    <w:rsid w:val="00E939E7"/>
    <w:rsid w:val="00E9419D"/>
    <w:rsid w:val="00E9494A"/>
    <w:rsid w:val="00E9585E"/>
    <w:rsid w:val="00E95AF1"/>
    <w:rsid w:val="00E95CCD"/>
    <w:rsid w:val="00E97E87"/>
    <w:rsid w:val="00EA0E62"/>
    <w:rsid w:val="00EA2F1F"/>
    <w:rsid w:val="00EA3D52"/>
    <w:rsid w:val="00EA4BC2"/>
    <w:rsid w:val="00EA4BFF"/>
    <w:rsid w:val="00EA4F88"/>
    <w:rsid w:val="00EA5FBB"/>
    <w:rsid w:val="00EA6A72"/>
    <w:rsid w:val="00EB3014"/>
    <w:rsid w:val="00EB376A"/>
    <w:rsid w:val="00EB3F64"/>
    <w:rsid w:val="00EB5870"/>
    <w:rsid w:val="00EB58B6"/>
    <w:rsid w:val="00EB5E10"/>
    <w:rsid w:val="00EB6799"/>
    <w:rsid w:val="00EB7073"/>
    <w:rsid w:val="00EB7081"/>
    <w:rsid w:val="00EB70EA"/>
    <w:rsid w:val="00EC001C"/>
    <w:rsid w:val="00EC02BF"/>
    <w:rsid w:val="00EC036A"/>
    <w:rsid w:val="00EC0D18"/>
    <w:rsid w:val="00EC0E1B"/>
    <w:rsid w:val="00EC1589"/>
    <w:rsid w:val="00EC17FD"/>
    <w:rsid w:val="00EC2021"/>
    <w:rsid w:val="00EC2821"/>
    <w:rsid w:val="00EC2844"/>
    <w:rsid w:val="00EC2B6E"/>
    <w:rsid w:val="00EC328F"/>
    <w:rsid w:val="00EC35DF"/>
    <w:rsid w:val="00EC3F18"/>
    <w:rsid w:val="00EC43D9"/>
    <w:rsid w:val="00EC511D"/>
    <w:rsid w:val="00EC59D2"/>
    <w:rsid w:val="00EC6D8F"/>
    <w:rsid w:val="00ED0422"/>
    <w:rsid w:val="00ED0822"/>
    <w:rsid w:val="00ED140F"/>
    <w:rsid w:val="00ED156D"/>
    <w:rsid w:val="00ED16F4"/>
    <w:rsid w:val="00ED2255"/>
    <w:rsid w:val="00ED25ED"/>
    <w:rsid w:val="00ED2E05"/>
    <w:rsid w:val="00ED2F17"/>
    <w:rsid w:val="00ED2F79"/>
    <w:rsid w:val="00ED360B"/>
    <w:rsid w:val="00ED4141"/>
    <w:rsid w:val="00ED562E"/>
    <w:rsid w:val="00ED5931"/>
    <w:rsid w:val="00ED5D4D"/>
    <w:rsid w:val="00ED70F5"/>
    <w:rsid w:val="00EE0F1A"/>
    <w:rsid w:val="00EE16D2"/>
    <w:rsid w:val="00EE382F"/>
    <w:rsid w:val="00EE5455"/>
    <w:rsid w:val="00EE67F1"/>
    <w:rsid w:val="00EE781C"/>
    <w:rsid w:val="00EF0A4B"/>
    <w:rsid w:val="00EF120F"/>
    <w:rsid w:val="00EF1ED6"/>
    <w:rsid w:val="00EF222A"/>
    <w:rsid w:val="00EF3CFC"/>
    <w:rsid w:val="00EF434E"/>
    <w:rsid w:val="00EF455D"/>
    <w:rsid w:val="00EF47A5"/>
    <w:rsid w:val="00EF6430"/>
    <w:rsid w:val="00EF64C6"/>
    <w:rsid w:val="00EF6681"/>
    <w:rsid w:val="00EF6AFE"/>
    <w:rsid w:val="00EF6C6C"/>
    <w:rsid w:val="00EF6DFD"/>
    <w:rsid w:val="00EF7873"/>
    <w:rsid w:val="00EF7C41"/>
    <w:rsid w:val="00EF7D37"/>
    <w:rsid w:val="00F00021"/>
    <w:rsid w:val="00F002AF"/>
    <w:rsid w:val="00F0185F"/>
    <w:rsid w:val="00F02445"/>
    <w:rsid w:val="00F05590"/>
    <w:rsid w:val="00F05691"/>
    <w:rsid w:val="00F056FC"/>
    <w:rsid w:val="00F06671"/>
    <w:rsid w:val="00F06C39"/>
    <w:rsid w:val="00F0705E"/>
    <w:rsid w:val="00F0757D"/>
    <w:rsid w:val="00F07D06"/>
    <w:rsid w:val="00F10476"/>
    <w:rsid w:val="00F10587"/>
    <w:rsid w:val="00F10660"/>
    <w:rsid w:val="00F10859"/>
    <w:rsid w:val="00F11059"/>
    <w:rsid w:val="00F114C4"/>
    <w:rsid w:val="00F119ED"/>
    <w:rsid w:val="00F11E4D"/>
    <w:rsid w:val="00F1231E"/>
    <w:rsid w:val="00F128C6"/>
    <w:rsid w:val="00F12DC6"/>
    <w:rsid w:val="00F12F7F"/>
    <w:rsid w:val="00F13454"/>
    <w:rsid w:val="00F135D8"/>
    <w:rsid w:val="00F1421C"/>
    <w:rsid w:val="00F14A24"/>
    <w:rsid w:val="00F15E41"/>
    <w:rsid w:val="00F16BDF"/>
    <w:rsid w:val="00F16E18"/>
    <w:rsid w:val="00F16F58"/>
    <w:rsid w:val="00F17F8E"/>
    <w:rsid w:val="00F20A97"/>
    <w:rsid w:val="00F2101A"/>
    <w:rsid w:val="00F21D76"/>
    <w:rsid w:val="00F22086"/>
    <w:rsid w:val="00F23657"/>
    <w:rsid w:val="00F2375B"/>
    <w:rsid w:val="00F23927"/>
    <w:rsid w:val="00F242DB"/>
    <w:rsid w:val="00F25063"/>
    <w:rsid w:val="00F272E9"/>
    <w:rsid w:val="00F3111B"/>
    <w:rsid w:val="00F31299"/>
    <w:rsid w:val="00F31338"/>
    <w:rsid w:val="00F31FF9"/>
    <w:rsid w:val="00F32149"/>
    <w:rsid w:val="00F32224"/>
    <w:rsid w:val="00F3303A"/>
    <w:rsid w:val="00F33B37"/>
    <w:rsid w:val="00F33E21"/>
    <w:rsid w:val="00F34022"/>
    <w:rsid w:val="00F340B4"/>
    <w:rsid w:val="00F34363"/>
    <w:rsid w:val="00F34E73"/>
    <w:rsid w:val="00F35313"/>
    <w:rsid w:val="00F3534A"/>
    <w:rsid w:val="00F35E1D"/>
    <w:rsid w:val="00F3770F"/>
    <w:rsid w:val="00F41341"/>
    <w:rsid w:val="00F42324"/>
    <w:rsid w:val="00F43283"/>
    <w:rsid w:val="00F44356"/>
    <w:rsid w:val="00F445FB"/>
    <w:rsid w:val="00F46729"/>
    <w:rsid w:val="00F51ED3"/>
    <w:rsid w:val="00F52F51"/>
    <w:rsid w:val="00F5418E"/>
    <w:rsid w:val="00F5428B"/>
    <w:rsid w:val="00F548EB"/>
    <w:rsid w:val="00F54A82"/>
    <w:rsid w:val="00F54AB7"/>
    <w:rsid w:val="00F54F9C"/>
    <w:rsid w:val="00F5516D"/>
    <w:rsid w:val="00F56604"/>
    <w:rsid w:val="00F56C29"/>
    <w:rsid w:val="00F57289"/>
    <w:rsid w:val="00F5761B"/>
    <w:rsid w:val="00F57695"/>
    <w:rsid w:val="00F61EBB"/>
    <w:rsid w:val="00F65CA2"/>
    <w:rsid w:val="00F67EDA"/>
    <w:rsid w:val="00F701E8"/>
    <w:rsid w:val="00F70330"/>
    <w:rsid w:val="00F703B1"/>
    <w:rsid w:val="00F706DB"/>
    <w:rsid w:val="00F70DAF"/>
    <w:rsid w:val="00F71190"/>
    <w:rsid w:val="00F712CA"/>
    <w:rsid w:val="00F71452"/>
    <w:rsid w:val="00F72EB8"/>
    <w:rsid w:val="00F7383A"/>
    <w:rsid w:val="00F74154"/>
    <w:rsid w:val="00F75DCD"/>
    <w:rsid w:val="00F76007"/>
    <w:rsid w:val="00F7724A"/>
    <w:rsid w:val="00F776A7"/>
    <w:rsid w:val="00F77952"/>
    <w:rsid w:val="00F809F4"/>
    <w:rsid w:val="00F80A32"/>
    <w:rsid w:val="00F80C9C"/>
    <w:rsid w:val="00F818DC"/>
    <w:rsid w:val="00F81C58"/>
    <w:rsid w:val="00F82376"/>
    <w:rsid w:val="00F82B3C"/>
    <w:rsid w:val="00F85325"/>
    <w:rsid w:val="00F86B00"/>
    <w:rsid w:val="00F86F31"/>
    <w:rsid w:val="00F87BEC"/>
    <w:rsid w:val="00F9072F"/>
    <w:rsid w:val="00F9088D"/>
    <w:rsid w:val="00F9151B"/>
    <w:rsid w:val="00F91D74"/>
    <w:rsid w:val="00F925A8"/>
    <w:rsid w:val="00F948EA"/>
    <w:rsid w:val="00F956B5"/>
    <w:rsid w:val="00F956E1"/>
    <w:rsid w:val="00F95B37"/>
    <w:rsid w:val="00F95F5A"/>
    <w:rsid w:val="00F97BE4"/>
    <w:rsid w:val="00FA017F"/>
    <w:rsid w:val="00FA03D9"/>
    <w:rsid w:val="00FA059A"/>
    <w:rsid w:val="00FA2E41"/>
    <w:rsid w:val="00FA5192"/>
    <w:rsid w:val="00FA52B6"/>
    <w:rsid w:val="00FA55B6"/>
    <w:rsid w:val="00FA6192"/>
    <w:rsid w:val="00FA667B"/>
    <w:rsid w:val="00FA73D4"/>
    <w:rsid w:val="00FA7573"/>
    <w:rsid w:val="00FA77B5"/>
    <w:rsid w:val="00FB001A"/>
    <w:rsid w:val="00FB116F"/>
    <w:rsid w:val="00FB163F"/>
    <w:rsid w:val="00FB1780"/>
    <w:rsid w:val="00FB25E3"/>
    <w:rsid w:val="00FB298A"/>
    <w:rsid w:val="00FB341C"/>
    <w:rsid w:val="00FB4E75"/>
    <w:rsid w:val="00FB56D4"/>
    <w:rsid w:val="00FB5923"/>
    <w:rsid w:val="00FB62CE"/>
    <w:rsid w:val="00FB69F4"/>
    <w:rsid w:val="00FC3E97"/>
    <w:rsid w:val="00FC433F"/>
    <w:rsid w:val="00FC46C9"/>
    <w:rsid w:val="00FC5146"/>
    <w:rsid w:val="00FC5927"/>
    <w:rsid w:val="00FC6812"/>
    <w:rsid w:val="00FC78AC"/>
    <w:rsid w:val="00FD0AE4"/>
    <w:rsid w:val="00FD22B1"/>
    <w:rsid w:val="00FD22E1"/>
    <w:rsid w:val="00FD31B9"/>
    <w:rsid w:val="00FD39FF"/>
    <w:rsid w:val="00FD51FB"/>
    <w:rsid w:val="00FD55C0"/>
    <w:rsid w:val="00FD59D8"/>
    <w:rsid w:val="00FD6322"/>
    <w:rsid w:val="00FD678F"/>
    <w:rsid w:val="00FD6BC8"/>
    <w:rsid w:val="00FE02C3"/>
    <w:rsid w:val="00FE03DE"/>
    <w:rsid w:val="00FE162B"/>
    <w:rsid w:val="00FE2E47"/>
    <w:rsid w:val="00FE3795"/>
    <w:rsid w:val="00FE542B"/>
    <w:rsid w:val="00FE5529"/>
    <w:rsid w:val="00FF0350"/>
    <w:rsid w:val="00FF09E7"/>
    <w:rsid w:val="00FF18C0"/>
    <w:rsid w:val="00FF2745"/>
    <w:rsid w:val="00FF36FD"/>
    <w:rsid w:val="00FF3702"/>
    <w:rsid w:val="00FF3B97"/>
    <w:rsid w:val="00FF46CF"/>
    <w:rsid w:val="00FF5A0B"/>
    <w:rsid w:val="00FF62D8"/>
    <w:rsid w:val="00FF63A7"/>
    <w:rsid w:val="00FF69A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23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footnote reference" w:uiPriority="99"/>
    <w:lsdException w:name="Body Text" w:qFormat="1"/>
    <w:lsdException w:name="Subtitle"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926316"/>
    <w:rPr>
      <w:sz w:val="26"/>
      <w:szCs w:val="24"/>
    </w:rPr>
  </w:style>
  <w:style w:type="paragraph" w:styleId="Heading1">
    <w:name w:val="heading 1"/>
    <w:basedOn w:val="BodyText"/>
    <w:next w:val="BodyText"/>
    <w:link w:val="Heading1Char"/>
    <w:qForma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link w:val="FooterChar"/>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rsid w:val="00C543F4"/>
  </w:style>
  <w:style w:type="paragraph" w:customStyle="1" w:styleId="HeaderOdd">
    <w:name w:val="Header Odd"/>
    <w:basedOn w:val="Header"/>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13"/>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A17328"/>
    <w:pPr>
      <w:spacing w:before="120" w:after="0"/>
      <w:ind w:left="1304" w:hanging="1304"/>
    </w:p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semiHidden/>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A17328"/>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A17328"/>
    <w:pPr>
      <w:keepNext/>
      <w:framePr w:hSpace="181" w:wrap="notBeside" w:vAnchor="text" w:hAnchor="text" w:xAlign="outside" w:y="1"/>
    </w:pPr>
    <w:rPr>
      <w:caps/>
      <w:sz w:val="16"/>
    </w:rPr>
  </w:style>
  <w:style w:type="paragraph" w:customStyle="1" w:styleId="FindingTitle">
    <w:name w:val="Finding Title"/>
    <w:basedOn w:val="RecTitle"/>
    <w:next w:val="Finding"/>
    <w:rsid w:val="00A17328"/>
    <w:pPr>
      <w:framePr w:wrap="notBeside"/>
    </w:pPr>
  </w:style>
  <w:style w:type="character" w:styleId="FootnoteReference">
    <w:name w:val="footnote reference"/>
    <w:basedOn w:val="DefaultParagraphFont"/>
    <w:uiPriority w:val="99"/>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5"/>
      </w:numPr>
      <w:spacing w:before="120"/>
    </w:pPr>
  </w:style>
  <w:style w:type="paragraph" w:styleId="ListBullet2">
    <w:name w:val="List Bullet 2"/>
    <w:basedOn w:val="BodyText"/>
    <w:rsid w:val="00DB67C9"/>
    <w:pPr>
      <w:numPr>
        <w:numId w:val="6"/>
      </w:numPr>
      <w:spacing w:before="120"/>
    </w:pPr>
  </w:style>
  <w:style w:type="paragraph" w:styleId="ListBullet3">
    <w:name w:val="List Bullet 3"/>
    <w:basedOn w:val="BodyText"/>
    <w:rsid w:val="00DB67C9"/>
    <w:pPr>
      <w:numPr>
        <w:numId w:val="7"/>
      </w:numPr>
      <w:spacing w:before="120"/>
    </w:pPr>
  </w:style>
  <w:style w:type="paragraph" w:styleId="ListNumber">
    <w:name w:val="List Number"/>
    <w:basedOn w:val="BodyText"/>
    <w:rsid w:val="00864ADC"/>
    <w:pPr>
      <w:numPr>
        <w:numId w:val="1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8"/>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9"/>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4"/>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0"/>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1"/>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A17328"/>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character" w:customStyle="1" w:styleId="BodyTextChar">
    <w:name w:val="Body Text Char"/>
    <w:link w:val="BodyText"/>
    <w:locked/>
    <w:rsid w:val="00926316"/>
    <w:rPr>
      <w:sz w:val="26"/>
    </w:rPr>
  </w:style>
  <w:style w:type="character" w:customStyle="1" w:styleId="ReferenceChar">
    <w:name w:val="Reference Char"/>
    <w:link w:val="Reference"/>
    <w:rsid w:val="00355171"/>
    <w:rPr>
      <w:sz w:val="26"/>
    </w:rPr>
  </w:style>
  <w:style w:type="character" w:customStyle="1" w:styleId="CommentTextChar">
    <w:name w:val="Comment Text Char"/>
    <w:basedOn w:val="DefaultParagraphFont"/>
    <w:link w:val="CommentText"/>
    <w:semiHidden/>
    <w:rsid w:val="0055165B"/>
    <w:rPr>
      <w:szCs w:val="24"/>
    </w:rPr>
  </w:style>
  <w:style w:type="character" w:styleId="Hyperlink">
    <w:name w:val="Hyperlink"/>
    <w:basedOn w:val="DefaultParagraphFont"/>
    <w:rsid w:val="0055165B"/>
    <w:rPr>
      <w:color w:val="0000FF" w:themeColor="hyperlink"/>
      <w:u w:val="single"/>
    </w:rPr>
  </w:style>
  <w:style w:type="character" w:styleId="FollowedHyperlink">
    <w:name w:val="FollowedHyperlink"/>
    <w:basedOn w:val="DefaultParagraphFont"/>
    <w:rsid w:val="0055165B"/>
    <w:rPr>
      <w:color w:val="800080" w:themeColor="followedHyperlink"/>
      <w:u w:val="single"/>
    </w:rPr>
  </w:style>
  <w:style w:type="paragraph" w:styleId="CommentSubject">
    <w:name w:val="annotation subject"/>
    <w:basedOn w:val="CommentText"/>
    <w:next w:val="CommentText"/>
    <w:link w:val="CommentSubjectChar"/>
    <w:rsid w:val="00DE4C21"/>
    <w:pPr>
      <w:spacing w:before="0" w:line="240" w:lineRule="auto"/>
      <w:ind w:left="0" w:firstLine="0"/>
    </w:pPr>
    <w:rPr>
      <w:b/>
      <w:bCs/>
      <w:szCs w:val="20"/>
    </w:rPr>
  </w:style>
  <w:style w:type="character" w:customStyle="1" w:styleId="CommentSubjectChar">
    <w:name w:val="Comment Subject Char"/>
    <w:basedOn w:val="CommentTextChar"/>
    <w:link w:val="CommentSubject"/>
    <w:rsid w:val="00DE4C21"/>
    <w:rPr>
      <w:b/>
      <w:bCs/>
      <w:szCs w:val="24"/>
    </w:rPr>
  </w:style>
  <w:style w:type="paragraph" w:styleId="ListParagraph">
    <w:name w:val="List Paragraph"/>
    <w:basedOn w:val="Normal"/>
    <w:uiPriority w:val="34"/>
    <w:qFormat/>
    <w:rsid w:val="00BE024D"/>
    <w:pPr>
      <w:ind w:left="720"/>
      <w:contextualSpacing/>
    </w:pPr>
  </w:style>
  <w:style w:type="character" w:customStyle="1" w:styleId="FootnoteTextChar">
    <w:name w:val="Footnote Text Char"/>
    <w:basedOn w:val="BodyTextChar"/>
    <w:link w:val="FootnoteText"/>
    <w:rsid w:val="003E50C9"/>
    <w:rPr>
      <w:sz w:val="22"/>
    </w:rPr>
  </w:style>
  <w:style w:type="character" w:customStyle="1" w:styleId="FooterChar">
    <w:name w:val="Footer Char"/>
    <w:basedOn w:val="DefaultParagraphFont"/>
    <w:link w:val="Footer"/>
    <w:rsid w:val="00FA667B"/>
    <w:rPr>
      <w:caps/>
      <w:spacing w:val="-4"/>
      <w:sz w:val="16"/>
    </w:rPr>
  </w:style>
  <w:style w:type="character" w:customStyle="1" w:styleId="BoxChar">
    <w:name w:val="Box Char"/>
    <w:link w:val="Box"/>
    <w:locked/>
    <w:rsid w:val="006E0F70"/>
    <w:rPr>
      <w:rFonts w:ascii="Arial" w:hAnsi="Arial"/>
      <w:sz w:val="22"/>
    </w:rPr>
  </w:style>
  <w:style w:type="paragraph" w:styleId="NormalWeb">
    <w:name w:val="Normal (Web)"/>
    <w:basedOn w:val="Normal"/>
    <w:uiPriority w:val="99"/>
    <w:unhideWhenUsed/>
    <w:rsid w:val="00280228"/>
    <w:pPr>
      <w:spacing w:before="100" w:beforeAutospacing="1" w:after="100" w:afterAutospacing="1"/>
    </w:pPr>
    <w:rPr>
      <w:sz w:val="24"/>
    </w:rPr>
  </w:style>
  <w:style w:type="paragraph" w:customStyle="1" w:styleId="BoxSpaceAbove">
    <w:name w:val="Box Space Above"/>
    <w:basedOn w:val="BodyText"/>
    <w:rsid w:val="009F7C21"/>
    <w:pPr>
      <w:keepNext/>
      <w:spacing w:before="360" w:line="80" w:lineRule="exact"/>
      <w:jc w:val="left"/>
    </w:pPr>
  </w:style>
  <w:style w:type="paragraph" w:customStyle="1" w:styleId="BoxSpaceBelow">
    <w:name w:val="Box Space Below"/>
    <w:basedOn w:val="Box"/>
    <w:rsid w:val="009F7C21"/>
    <w:pPr>
      <w:keepNext w:val="0"/>
      <w:spacing w:before="60" w:after="60" w:line="80" w:lineRule="exact"/>
    </w:pPr>
    <w:rPr>
      <w:sz w:val="14"/>
    </w:rPr>
  </w:style>
  <w:style w:type="paragraph" w:customStyle="1" w:styleId="Default">
    <w:name w:val="Default"/>
    <w:rsid w:val="006B2374"/>
    <w:pPr>
      <w:autoSpaceDE w:val="0"/>
      <w:autoSpaceDN w:val="0"/>
      <w:adjustRightInd w:val="0"/>
    </w:pPr>
    <w:rPr>
      <w:color w:val="000000"/>
      <w:sz w:val="24"/>
      <w:szCs w:val="24"/>
    </w:rPr>
  </w:style>
  <w:style w:type="paragraph" w:customStyle="1" w:styleId="CM79">
    <w:name w:val="CM79"/>
    <w:basedOn w:val="Normal"/>
    <w:next w:val="Normal"/>
    <w:uiPriority w:val="99"/>
    <w:rsid w:val="00DD65EA"/>
    <w:pPr>
      <w:autoSpaceDE w:val="0"/>
      <w:autoSpaceDN w:val="0"/>
      <w:adjustRightInd w:val="0"/>
    </w:pPr>
    <w:rPr>
      <w:rFonts w:ascii="JECLE F+ Helvetica Neue" w:hAnsi="JECLE F+ Helvetica Neue"/>
      <w:sz w:val="24"/>
    </w:rPr>
  </w:style>
  <w:style w:type="paragraph" w:styleId="Revision">
    <w:name w:val="Revision"/>
    <w:hidden/>
    <w:uiPriority w:val="99"/>
    <w:semiHidden/>
    <w:rsid w:val="005F3AAF"/>
    <w:rPr>
      <w:sz w:val="26"/>
      <w:szCs w:val="24"/>
    </w:rPr>
  </w:style>
  <w:style w:type="table" w:styleId="TableGrid">
    <w:name w:val="Table Grid"/>
    <w:basedOn w:val="TableNormal"/>
    <w:rsid w:val="00DC6E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DC6EB9"/>
    <w:rPr>
      <w:sz w:val="52"/>
    </w:rPr>
  </w:style>
  <w:style w:type="character" w:customStyle="1" w:styleId="apple-converted-space">
    <w:name w:val="apple-converted-space"/>
    <w:basedOn w:val="DefaultParagraphFont"/>
    <w:rsid w:val="006D483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footnote reference" w:uiPriority="99"/>
    <w:lsdException w:name="Body Text" w:qFormat="1"/>
    <w:lsdException w:name="Subtitle"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926316"/>
    <w:rPr>
      <w:sz w:val="26"/>
      <w:szCs w:val="24"/>
    </w:rPr>
  </w:style>
  <w:style w:type="paragraph" w:styleId="Heading1">
    <w:name w:val="heading 1"/>
    <w:basedOn w:val="BodyText"/>
    <w:next w:val="BodyText"/>
    <w:link w:val="Heading1Char"/>
    <w:qForma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link w:val="FooterChar"/>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rsid w:val="00C543F4"/>
  </w:style>
  <w:style w:type="paragraph" w:customStyle="1" w:styleId="HeaderOdd">
    <w:name w:val="Header Odd"/>
    <w:basedOn w:val="Header"/>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13"/>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A17328"/>
    <w:pPr>
      <w:spacing w:before="120" w:after="0"/>
      <w:ind w:left="1304" w:hanging="1304"/>
    </w:p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semiHidden/>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A17328"/>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A17328"/>
    <w:pPr>
      <w:keepNext/>
      <w:framePr w:hSpace="181" w:wrap="notBeside" w:vAnchor="text" w:hAnchor="text" w:xAlign="outside" w:y="1"/>
    </w:pPr>
    <w:rPr>
      <w:caps/>
      <w:sz w:val="16"/>
    </w:rPr>
  </w:style>
  <w:style w:type="paragraph" w:customStyle="1" w:styleId="FindingTitle">
    <w:name w:val="Finding Title"/>
    <w:basedOn w:val="RecTitle"/>
    <w:next w:val="Finding"/>
    <w:rsid w:val="00A17328"/>
    <w:pPr>
      <w:framePr w:wrap="notBeside"/>
    </w:pPr>
  </w:style>
  <w:style w:type="character" w:styleId="FootnoteReference">
    <w:name w:val="footnote reference"/>
    <w:basedOn w:val="DefaultParagraphFont"/>
    <w:uiPriority w:val="99"/>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5"/>
      </w:numPr>
      <w:spacing w:before="120"/>
    </w:pPr>
  </w:style>
  <w:style w:type="paragraph" w:styleId="ListBullet2">
    <w:name w:val="List Bullet 2"/>
    <w:basedOn w:val="BodyText"/>
    <w:rsid w:val="00DB67C9"/>
    <w:pPr>
      <w:numPr>
        <w:numId w:val="6"/>
      </w:numPr>
      <w:spacing w:before="120"/>
    </w:pPr>
  </w:style>
  <w:style w:type="paragraph" w:styleId="ListBullet3">
    <w:name w:val="List Bullet 3"/>
    <w:basedOn w:val="BodyText"/>
    <w:rsid w:val="00DB67C9"/>
    <w:pPr>
      <w:numPr>
        <w:numId w:val="7"/>
      </w:numPr>
      <w:spacing w:before="120"/>
    </w:pPr>
  </w:style>
  <w:style w:type="paragraph" w:styleId="ListNumber">
    <w:name w:val="List Number"/>
    <w:basedOn w:val="BodyText"/>
    <w:rsid w:val="00864ADC"/>
    <w:pPr>
      <w:numPr>
        <w:numId w:val="1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8"/>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9"/>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4"/>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0"/>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1"/>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A17328"/>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character" w:customStyle="1" w:styleId="BodyTextChar">
    <w:name w:val="Body Text Char"/>
    <w:link w:val="BodyText"/>
    <w:locked/>
    <w:rsid w:val="00926316"/>
    <w:rPr>
      <w:sz w:val="26"/>
    </w:rPr>
  </w:style>
  <w:style w:type="character" w:customStyle="1" w:styleId="ReferenceChar">
    <w:name w:val="Reference Char"/>
    <w:link w:val="Reference"/>
    <w:rsid w:val="00355171"/>
    <w:rPr>
      <w:sz w:val="26"/>
    </w:rPr>
  </w:style>
  <w:style w:type="character" w:customStyle="1" w:styleId="CommentTextChar">
    <w:name w:val="Comment Text Char"/>
    <w:basedOn w:val="DefaultParagraphFont"/>
    <w:link w:val="CommentText"/>
    <w:semiHidden/>
    <w:rsid w:val="0055165B"/>
    <w:rPr>
      <w:szCs w:val="24"/>
    </w:rPr>
  </w:style>
  <w:style w:type="character" w:styleId="Hyperlink">
    <w:name w:val="Hyperlink"/>
    <w:basedOn w:val="DefaultParagraphFont"/>
    <w:rsid w:val="0055165B"/>
    <w:rPr>
      <w:color w:val="0000FF" w:themeColor="hyperlink"/>
      <w:u w:val="single"/>
    </w:rPr>
  </w:style>
  <w:style w:type="character" w:styleId="FollowedHyperlink">
    <w:name w:val="FollowedHyperlink"/>
    <w:basedOn w:val="DefaultParagraphFont"/>
    <w:rsid w:val="0055165B"/>
    <w:rPr>
      <w:color w:val="800080" w:themeColor="followedHyperlink"/>
      <w:u w:val="single"/>
    </w:rPr>
  </w:style>
  <w:style w:type="paragraph" w:styleId="CommentSubject">
    <w:name w:val="annotation subject"/>
    <w:basedOn w:val="CommentText"/>
    <w:next w:val="CommentText"/>
    <w:link w:val="CommentSubjectChar"/>
    <w:rsid w:val="00DE4C21"/>
    <w:pPr>
      <w:spacing w:before="0" w:line="240" w:lineRule="auto"/>
      <w:ind w:left="0" w:firstLine="0"/>
    </w:pPr>
    <w:rPr>
      <w:b/>
      <w:bCs/>
      <w:szCs w:val="20"/>
    </w:rPr>
  </w:style>
  <w:style w:type="character" w:customStyle="1" w:styleId="CommentSubjectChar">
    <w:name w:val="Comment Subject Char"/>
    <w:basedOn w:val="CommentTextChar"/>
    <w:link w:val="CommentSubject"/>
    <w:rsid w:val="00DE4C21"/>
    <w:rPr>
      <w:b/>
      <w:bCs/>
      <w:szCs w:val="24"/>
    </w:rPr>
  </w:style>
  <w:style w:type="paragraph" w:styleId="ListParagraph">
    <w:name w:val="List Paragraph"/>
    <w:basedOn w:val="Normal"/>
    <w:uiPriority w:val="34"/>
    <w:qFormat/>
    <w:rsid w:val="00BE024D"/>
    <w:pPr>
      <w:ind w:left="720"/>
      <w:contextualSpacing/>
    </w:pPr>
  </w:style>
  <w:style w:type="character" w:customStyle="1" w:styleId="FootnoteTextChar">
    <w:name w:val="Footnote Text Char"/>
    <w:basedOn w:val="BodyTextChar"/>
    <w:link w:val="FootnoteText"/>
    <w:rsid w:val="003E50C9"/>
    <w:rPr>
      <w:sz w:val="22"/>
    </w:rPr>
  </w:style>
  <w:style w:type="character" w:customStyle="1" w:styleId="FooterChar">
    <w:name w:val="Footer Char"/>
    <w:basedOn w:val="DefaultParagraphFont"/>
    <w:link w:val="Footer"/>
    <w:rsid w:val="00FA667B"/>
    <w:rPr>
      <w:caps/>
      <w:spacing w:val="-4"/>
      <w:sz w:val="16"/>
    </w:rPr>
  </w:style>
  <w:style w:type="character" w:customStyle="1" w:styleId="BoxChar">
    <w:name w:val="Box Char"/>
    <w:link w:val="Box"/>
    <w:locked/>
    <w:rsid w:val="006E0F70"/>
    <w:rPr>
      <w:rFonts w:ascii="Arial" w:hAnsi="Arial"/>
      <w:sz w:val="22"/>
    </w:rPr>
  </w:style>
  <w:style w:type="paragraph" w:styleId="NormalWeb">
    <w:name w:val="Normal (Web)"/>
    <w:basedOn w:val="Normal"/>
    <w:uiPriority w:val="99"/>
    <w:unhideWhenUsed/>
    <w:rsid w:val="00280228"/>
    <w:pPr>
      <w:spacing w:before="100" w:beforeAutospacing="1" w:after="100" w:afterAutospacing="1"/>
    </w:pPr>
    <w:rPr>
      <w:sz w:val="24"/>
    </w:rPr>
  </w:style>
  <w:style w:type="paragraph" w:customStyle="1" w:styleId="BoxSpaceAbove">
    <w:name w:val="Box Space Above"/>
    <w:basedOn w:val="BodyText"/>
    <w:rsid w:val="009F7C21"/>
    <w:pPr>
      <w:keepNext/>
      <w:spacing w:before="360" w:line="80" w:lineRule="exact"/>
      <w:jc w:val="left"/>
    </w:pPr>
  </w:style>
  <w:style w:type="paragraph" w:customStyle="1" w:styleId="BoxSpaceBelow">
    <w:name w:val="Box Space Below"/>
    <w:basedOn w:val="Box"/>
    <w:rsid w:val="009F7C21"/>
    <w:pPr>
      <w:keepNext w:val="0"/>
      <w:spacing w:before="60" w:after="60" w:line="80" w:lineRule="exact"/>
    </w:pPr>
    <w:rPr>
      <w:sz w:val="14"/>
    </w:rPr>
  </w:style>
  <w:style w:type="paragraph" w:customStyle="1" w:styleId="Default">
    <w:name w:val="Default"/>
    <w:rsid w:val="006B2374"/>
    <w:pPr>
      <w:autoSpaceDE w:val="0"/>
      <w:autoSpaceDN w:val="0"/>
      <w:adjustRightInd w:val="0"/>
    </w:pPr>
    <w:rPr>
      <w:color w:val="000000"/>
      <w:sz w:val="24"/>
      <w:szCs w:val="24"/>
    </w:rPr>
  </w:style>
  <w:style w:type="paragraph" w:customStyle="1" w:styleId="CM79">
    <w:name w:val="CM79"/>
    <w:basedOn w:val="Normal"/>
    <w:next w:val="Normal"/>
    <w:uiPriority w:val="99"/>
    <w:rsid w:val="00DD65EA"/>
    <w:pPr>
      <w:autoSpaceDE w:val="0"/>
      <w:autoSpaceDN w:val="0"/>
      <w:adjustRightInd w:val="0"/>
    </w:pPr>
    <w:rPr>
      <w:rFonts w:ascii="JECLE F+ Helvetica Neue" w:hAnsi="JECLE F+ Helvetica Neue"/>
      <w:sz w:val="24"/>
    </w:rPr>
  </w:style>
  <w:style w:type="paragraph" w:styleId="Revision">
    <w:name w:val="Revision"/>
    <w:hidden/>
    <w:uiPriority w:val="99"/>
    <w:semiHidden/>
    <w:rsid w:val="005F3AAF"/>
    <w:rPr>
      <w:sz w:val="26"/>
      <w:szCs w:val="24"/>
    </w:rPr>
  </w:style>
  <w:style w:type="table" w:styleId="TableGrid">
    <w:name w:val="Table Grid"/>
    <w:basedOn w:val="TableNormal"/>
    <w:rsid w:val="00DC6E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DC6EB9"/>
    <w:rPr>
      <w:sz w:val="52"/>
    </w:rPr>
  </w:style>
  <w:style w:type="character" w:customStyle="1" w:styleId="apple-converted-space">
    <w:name w:val="apple-converted-space"/>
    <w:basedOn w:val="DefaultParagraphFont"/>
    <w:rsid w:val="006D48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048853">
      <w:bodyDiv w:val="1"/>
      <w:marLeft w:val="0"/>
      <w:marRight w:val="0"/>
      <w:marTop w:val="0"/>
      <w:marBottom w:val="0"/>
      <w:divBdr>
        <w:top w:val="none" w:sz="0" w:space="0" w:color="auto"/>
        <w:left w:val="none" w:sz="0" w:space="0" w:color="auto"/>
        <w:bottom w:val="none" w:sz="0" w:space="0" w:color="auto"/>
        <w:right w:val="none" w:sz="0" w:space="0" w:color="auto"/>
      </w:divBdr>
    </w:div>
    <w:div w:id="54746739">
      <w:bodyDiv w:val="1"/>
      <w:marLeft w:val="0"/>
      <w:marRight w:val="0"/>
      <w:marTop w:val="0"/>
      <w:marBottom w:val="0"/>
      <w:divBdr>
        <w:top w:val="none" w:sz="0" w:space="0" w:color="auto"/>
        <w:left w:val="none" w:sz="0" w:space="0" w:color="auto"/>
        <w:bottom w:val="none" w:sz="0" w:space="0" w:color="auto"/>
        <w:right w:val="none" w:sz="0" w:space="0" w:color="auto"/>
      </w:divBdr>
    </w:div>
    <w:div w:id="123039475">
      <w:bodyDiv w:val="1"/>
      <w:marLeft w:val="0"/>
      <w:marRight w:val="0"/>
      <w:marTop w:val="0"/>
      <w:marBottom w:val="0"/>
      <w:divBdr>
        <w:top w:val="none" w:sz="0" w:space="0" w:color="auto"/>
        <w:left w:val="none" w:sz="0" w:space="0" w:color="auto"/>
        <w:bottom w:val="none" w:sz="0" w:space="0" w:color="auto"/>
        <w:right w:val="none" w:sz="0" w:space="0" w:color="auto"/>
      </w:divBdr>
    </w:div>
    <w:div w:id="202401326">
      <w:bodyDiv w:val="1"/>
      <w:marLeft w:val="0"/>
      <w:marRight w:val="0"/>
      <w:marTop w:val="0"/>
      <w:marBottom w:val="0"/>
      <w:divBdr>
        <w:top w:val="none" w:sz="0" w:space="0" w:color="auto"/>
        <w:left w:val="none" w:sz="0" w:space="0" w:color="auto"/>
        <w:bottom w:val="none" w:sz="0" w:space="0" w:color="auto"/>
        <w:right w:val="none" w:sz="0" w:space="0" w:color="auto"/>
      </w:divBdr>
    </w:div>
    <w:div w:id="251746608">
      <w:bodyDiv w:val="1"/>
      <w:marLeft w:val="0"/>
      <w:marRight w:val="0"/>
      <w:marTop w:val="0"/>
      <w:marBottom w:val="0"/>
      <w:divBdr>
        <w:top w:val="none" w:sz="0" w:space="0" w:color="auto"/>
        <w:left w:val="none" w:sz="0" w:space="0" w:color="auto"/>
        <w:bottom w:val="none" w:sz="0" w:space="0" w:color="auto"/>
        <w:right w:val="none" w:sz="0" w:space="0" w:color="auto"/>
      </w:divBdr>
    </w:div>
    <w:div w:id="287276835">
      <w:bodyDiv w:val="1"/>
      <w:marLeft w:val="0"/>
      <w:marRight w:val="0"/>
      <w:marTop w:val="0"/>
      <w:marBottom w:val="0"/>
      <w:divBdr>
        <w:top w:val="none" w:sz="0" w:space="0" w:color="auto"/>
        <w:left w:val="none" w:sz="0" w:space="0" w:color="auto"/>
        <w:bottom w:val="none" w:sz="0" w:space="0" w:color="auto"/>
        <w:right w:val="none" w:sz="0" w:space="0" w:color="auto"/>
      </w:divBdr>
    </w:div>
    <w:div w:id="422722042">
      <w:bodyDiv w:val="1"/>
      <w:marLeft w:val="0"/>
      <w:marRight w:val="0"/>
      <w:marTop w:val="0"/>
      <w:marBottom w:val="0"/>
      <w:divBdr>
        <w:top w:val="none" w:sz="0" w:space="0" w:color="auto"/>
        <w:left w:val="none" w:sz="0" w:space="0" w:color="auto"/>
        <w:bottom w:val="none" w:sz="0" w:space="0" w:color="auto"/>
        <w:right w:val="none" w:sz="0" w:space="0" w:color="auto"/>
      </w:divBdr>
    </w:div>
    <w:div w:id="430245396">
      <w:bodyDiv w:val="1"/>
      <w:marLeft w:val="0"/>
      <w:marRight w:val="0"/>
      <w:marTop w:val="0"/>
      <w:marBottom w:val="0"/>
      <w:divBdr>
        <w:top w:val="none" w:sz="0" w:space="0" w:color="auto"/>
        <w:left w:val="none" w:sz="0" w:space="0" w:color="auto"/>
        <w:bottom w:val="none" w:sz="0" w:space="0" w:color="auto"/>
        <w:right w:val="none" w:sz="0" w:space="0" w:color="auto"/>
      </w:divBdr>
    </w:div>
    <w:div w:id="518852674">
      <w:bodyDiv w:val="1"/>
      <w:marLeft w:val="0"/>
      <w:marRight w:val="0"/>
      <w:marTop w:val="0"/>
      <w:marBottom w:val="0"/>
      <w:divBdr>
        <w:top w:val="none" w:sz="0" w:space="0" w:color="auto"/>
        <w:left w:val="none" w:sz="0" w:space="0" w:color="auto"/>
        <w:bottom w:val="none" w:sz="0" w:space="0" w:color="auto"/>
        <w:right w:val="none" w:sz="0" w:space="0" w:color="auto"/>
      </w:divBdr>
    </w:div>
    <w:div w:id="707409589">
      <w:bodyDiv w:val="1"/>
      <w:marLeft w:val="0"/>
      <w:marRight w:val="0"/>
      <w:marTop w:val="0"/>
      <w:marBottom w:val="0"/>
      <w:divBdr>
        <w:top w:val="none" w:sz="0" w:space="0" w:color="auto"/>
        <w:left w:val="none" w:sz="0" w:space="0" w:color="auto"/>
        <w:bottom w:val="none" w:sz="0" w:space="0" w:color="auto"/>
        <w:right w:val="none" w:sz="0" w:space="0" w:color="auto"/>
      </w:divBdr>
    </w:div>
    <w:div w:id="723212000">
      <w:bodyDiv w:val="1"/>
      <w:marLeft w:val="0"/>
      <w:marRight w:val="0"/>
      <w:marTop w:val="0"/>
      <w:marBottom w:val="0"/>
      <w:divBdr>
        <w:top w:val="none" w:sz="0" w:space="0" w:color="auto"/>
        <w:left w:val="none" w:sz="0" w:space="0" w:color="auto"/>
        <w:bottom w:val="none" w:sz="0" w:space="0" w:color="auto"/>
        <w:right w:val="none" w:sz="0" w:space="0" w:color="auto"/>
      </w:divBdr>
      <w:divsChild>
        <w:div w:id="35350198">
          <w:marLeft w:val="259"/>
          <w:marRight w:val="0"/>
          <w:marTop w:val="86"/>
          <w:marBottom w:val="0"/>
          <w:divBdr>
            <w:top w:val="none" w:sz="0" w:space="0" w:color="auto"/>
            <w:left w:val="none" w:sz="0" w:space="0" w:color="auto"/>
            <w:bottom w:val="none" w:sz="0" w:space="0" w:color="auto"/>
            <w:right w:val="none" w:sz="0" w:space="0" w:color="auto"/>
          </w:divBdr>
        </w:div>
        <w:div w:id="1661692419">
          <w:marLeft w:val="979"/>
          <w:marRight w:val="0"/>
          <w:marTop w:val="86"/>
          <w:marBottom w:val="0"/>
          <w:divBdr>
            <w:top w:val="none" w:sz="0" w:space="0" w:color="auto"/>
            <w:left w:val="none" w:sz="0" w:space="0" w:color="auto"/>
            <w:bottom w:val="none" w:sz="0" w:space="0" w:color="auto"/>
            <w:right w:val="none" w:sz="0" w:space="0" w:color="auto"/>
          </w:divBdr>
        </w:div>
      </w:divsChild>
    </w:div>
    <w:div w:id="853881194">
      <w:bodyDiv w:val="1"/>
      <w:marLeft w:val="0"/>
      <w:marRight w:val="0"/>
      <w:marTop w:val="0"/>
      <w:marBottom w:val="0"/>
      <w:divBdr>
        <w:top w:val="none" w:sz="0" w:space="0" w:color="auto"/>
        <w:left w:val="none" w:sz="0" w:space="0" w:color="auto"/>
        <w:bottom w:val="none" w:sz="0" w:space="0" w:color="auto"/>
        <w:right w:val="none" w:sz="0" w:space="0" w:color="auto"/>
      </w:divBdr>
    </w:div>
    <w:div w:id="855382173">
      <w:bodyDiv w:val="1"/>
      <w:marLeft w:val="0"/>
      <w:marRight w:val="0"/>
      <w:marTop w:val="0"/>
      <w:marBottom w:val="0"/>
      <w:divBdr>
        <w:top w:val="none" w:sz="0" w:space="0" w:color="auto"/>
        <w:left w:val="none" w:sz="0" w:space="0" w:color="auto"/>
        <w:bottom w:val="none" w:sz="0" w:space="0" w:color="auto"/>
        <w:right w:val="none" w:sz="0" w:space="0" w:color="auto"/>
      </w:divBdr>
      <w:divsChild>
        <w:div w:id="1600287027">
          <w:marLeft w:val="274"/>
          <w:marRight w:val="0"/>
          <w:marTop w:val="86"/>
          <w:marBottom w:val="0"/>
          <w:divBdr>
            <w:top w:val="none" w:sz="0" w:space="0" w:color="auto"/>
            <w:left w:val="none" w:sz="0" w:space="0" w:color="auto"/>
            <w:bottom w:val="none" w:sz="0" w:space="0" w:color="auto"/>
            <w:right w:val="none" w:sz="0" w:space="0" w:color="auto"/>
          </w:divBdr>
        </w:div>
        <w:div w:id="1664309511">
          <w:marLeft w:val="274"/>
          <w:marRight w:val="0"/>
          <w:marTop w:val="86"/>
          <w:marBottom w:val="0"/>
          <w:divBdr>
            <w:top w:val="none" w:sz="0" w:space="0" w:color="auto"/>
            <w:left w:val="none" w:sz="0" w:space="0" w:color="auto"/>
            <w:bottom w:val="none" w:sz="0" w:space="0" w:color="auto"/>
            <w:right w:val="none" w:sz="0" w:space="0" w:color="auto"/>
          </w:divBdr>
        </w:div>
        <w:div w:id="937178569">
          <w:marLeft w:val="274"/>
          <w:marRight w:val="0"/>
          <w:marTop w:val="86"/>
          <w:marBottom w:val="0"/>
          <w:divBdr>
            <w:top w:val="none" w:sz="0" w:space="0" w:color="auto"/>
            <w:left w:val="none" w:sz="0" w:space="0" w:color="auto"/>
            <w:bottom w:val="none" w:sz="0" w:space="0" w:color="auto"/>
            <w:right w:val="none" w:sz="0" w:space="0" w:color="auto"/>
          </w:divBdr>
        </w:div>
        <w:div w:id="1010375220">
          <w:marLeft w:val="274"/>
          <w:marRight w:val="0"/>
          <w:marTop w:val="86"/>
          <w:marBottom w:val="0"/>
          <w:divBdr>
            <w:top w:val="none" w:sz="0" w:space="0" w:color="auto"/>
            <w:left w:val="none" w:sz="0" w:space="0" w:color="auto"/>
            <w:bottom w:val="none" w:sz="0" w:space="0" w:color="auto"/>
            <w:right w:val="none" w:sz="0" w:space="0" w:color="auto"/>
          </w:divBdr>
        </w:div>
        <w:div w:id="1517646933">
          <w:marLeft w:val="274"/>
          <w:marRight w:val="0"/>
          <w:marTop w:val="86"/>
          <w:marBottom w:val="0"/>
          <w:divBdr>
            <w:top w:val="none" w:sz="0" w:space="0" w:color="auto"/>
            <w:left w:val="none" w:sz="0" w:space="0" w:color="auto"/>
            <w:bottom w:val="none" w:sz="0" w:space="0" w:color="auto"/>
            <w:right w:val="none" w:sz="0" w:space="0" w:color="auto"/>
          </w:divBdr>
        </w:div>
        <w:div w:id="56444257">
          <w:marLeft w:val="994"/>
          <w:marRight w:val="0"/>
          <w:marTop w:val="86"/>
          <w:marBottom w:val="0"/>
          <w:divBdr>
            <w:top w:val="none" w:sz="0" w:space="0" w:color="auto"/>
            <w:left w:val="none" w:sz="0" w:space="0" w:color="auto"/>
            <w:bottom w:val="none" w:sz="0" w:space="0" w:color="auto"/>
            <w:right w:val="none" w:sz="0" w:space="0" w:color="auto"/>
          </w:divBdr>
        </w:div>
        <w:div w:id="704985429">
          <w:marLeft w:val="979"/>
          <w:marRight w:val="0"/>
          <w:marTop w:val="86"/>
          <w:marBottom w:val="0"/>
          <w:divBdr>
            <w:top w:val="none" w:sz="0" w:space="0" w:color="auto"/>
            <w:left w:val="none" w:sz="0" w:space="0" w:color="auto"/>
            <w:bottom w:val="none" w:sz="0" w:space="0" w:color="auto"/>
            <w:right w:val="none" w:sz="0" w:space="0" w:color="auto"/>
          </w:divBdr>
        </w:div>
        <w:div w:id="995574182">
          <w:marLeft w:val="274"/>
          <w:marRight w:val="0"/>
          <w:marTop w:val="86"/>
          <w:marBottom w:val="0"/>
          <w:divBdr>
            <w:top w:val="none" w:sz="0" w:space="0" w:color="auto"/>
            <w:left w:val="none" w:sz="0" w:space="0" w:color="auto"/>
            <w:bottom w:val="none" w:sz="0" w:space="0" w:color="auto"/>
            <w:right w:val="none" w:sz="0" w:space="0" w:color="auto"/>
          </w:divBdr>
        </w:div>
        <w:div w:id="1292396647">
          <w:marLeft w:val="994"/>
          <w:marRight w:val="0"/>
          <w:marTop w:val="86"/>
          <w:marBottom w:val="0"/>
          <w:divBdr>
            <w:top w:val="none" w:sz="0" w:space="0" w:color="auto"/>
            <w:left w:val="none" w:sz="0" w:space="0" w:color="auto"/>
            <w:bottom w:val="none" w:sz="0" w:space="0" w:color="auto"/>
            <w:right w:val="none" w:sz="0" w:space="0" w:color="auto"/>
          </w:divBdr>
        </w:div>
        <w:div w:id="1814369920">
          <w:marLeft w:val="1714"/>
          <w:marRight w:val="0"/>
          <w:marTop w:val="86"/>
          <w:marBottom w:val="0"/>
          <w:divBdr>
            <w:top w:val="none" w:sz="0" w:space="0" w:color="auto"/>
            <w:left w:val="none" w:sz="0" w:space="0" w:color="auto"/>
            <w:bottom w:val="none" w:sz="0" w:space="0" w:color="auto"/>
            <w:right w:val="none" w:sz="0" w:space="0" w:color="auto"/>
          </w:divBdr>
        </w:div>
        <w:div w:id="1197624480">
          <w:marLeft w:val="1685"/>
          <w:marRight w:val="0"/>
          <w:marTop w:val="86"/>
          <w:marBottom w:val="0"/>
          <w:divBdr>
            <w:top w:val="none" w:sz="0" w:space="0" w:color="auto"/>
            <w:left w:val="none" w:sz="0" w:space="0" w:color="auto"/>
            <w:bottom w:val="none" w:sz="0" w:space="0" w:color="auto"/>
            <w:right w:val="none" w:sz="0" w:space="0" w:color="auto"/>
          </w:divBdr>
        </w:div>
        <w:div w:id="1491749339">
          <w:marLeft w:val="2390"/>
          <w:marRight w:val="0"/>
          <w:marTop w:val="86"/>
          <w:marBottom w:val="0"/>
          <w:divBdr>
            <w:top w:val="none" w:sz="0" w:space="0" w:color="auto"/>
            <w:left w:val="none" w:sz="0" w:space="0" w:color="auto"/>
            <w:bottom w:val="none" w:sz="0" w:space="0" w:color="auto"/>
            <w:right w:val="none" w:sz="0" w:space="0" w:color="auto"/>
          </w:divBdr>
        </w:div>
        <w:div w:id="980504393">
          <w:marLeft w:val="2390"/>
          <w:marRight w:val="0"/>
          <w:marTop w:val="86"/>
          <w:marBottom w:val="0"/>
          <w:divBdr>
            <w:top w:val="none" w:sz="0" w:space="0" w:color="auto"/>
            <w:left w:val="none" w:sz="0" w:space="0" w:color="auto"/>
            <w:bottom w:val="none" w:sz="0" w:space="0" w:color="auto"/>
            <w:right w:val="none" w:sz="0" w:space="0" w:color="auto"/>
          </w:divBdr>
        </w:div>
      </w:divsChild>
    </w:div>
    <w:div w:id="866140446">
      <w:bodyDiv w:val="1"/>
      <w:marLeft w:val="0"/>
      <w:marRight w:val="0"/>
      <w:marTop w:val="0"/>
      <w:marBottom w:val="0"/>
      <w:divBdr>
        <w:top w:val="none" w:sz="0" w:space="0" w:color="auto"/>
        <w:left w:val="none" w:sz="0" w:space="0" w:color="auto"/>
        <w:bottom w:val="none" w:sz="0" w:space="0" w:color="auto"/>
        <w:right w:val="none" w:sz="0" w:space="0" w:color="auto"/>
      </w:divBdr>
    </w:div>
    <w:div w:id="1248997167">
      <w:bodyDiv w:val="1"/>
      <w:marLeft w:val="0"/>
      <w:marRight w:val="0"/>
      <w:marTop w:val="0"/>
      <w:marBottom w:val="0"/>
      <w:divBdr>
        <w:top w:val="none" w:sz="0" w:space="0" w:color="auto"/>
        <w:left w:val="none" w:sz="0" w:space="0" w:color="auto"/>
        <w:bottom w:val="none" w:sz="0" w:space="0" w:color="auto"/>
        <w:right w:val="none" w:sz="0" w:space="0" w:color="auto"/>
      </w:divBdr>
    </w:div>
    <w:div w:id="1266384115">
      <w:bodyDiv w:val="1"/>
      <w:marLeft w:val="0"/>
      <w:marRight w:val="0"/>
      <w:marTop w:val="0"/>
      <w:marBottom w:val="0"/>
      <w:divBdr>
        <w:top w:val="none" w:sz="0" w:space="0" w:color="auto"/>
        <w:left w:val="none" w:sz="0" w:space="0" w:color="auto"/>
        <w:bottom w:val="none" w:sz="0" w:space="0" w:color="auto"/>
        <w:right w:val="none" w:sz="0" w:space="0" w:color="auto"/>
      </w:divBdr>
    </w:div>
    <w:div w:id="1326278249">
      <w:bodyDiv w:val="1"/>
      <w:marLeft w:val="0"/>
      <w:marRight w:val="0"/>
      <w:marTop w:val="0"/>
      <w:marBottom w:val="0"/>
      <w:divBdr>
        <w:top w:val="none" w:sz="0" w:space="0" w:color="auto"/>
        <w:left w:val="none" w:sz="0" w:space="0" w:color="auto"/>
        <w:bottom w:val="none" w:sz="0" w:space="0" w:color="auto"/>
        <w:right w:val="none" w:sz="0" w:space="0" w:color="auto"/>
      </w:divBdr>
    </w:div>
    <w:div w:id="1518228633">
      <w:bodyDiv w:val="1"/>
      <w:marLeft w:val="0"/>
      <w:marRight w:val="0"/>
      <w:marTop w:val="0"/>
      <w:marBottom w:val="0"/>
      <w:divBdr>
        <w:top w:val="none" w:sz="0" w:space="0" w:color="auto"/>
        <w:left w:val="none" w:sz="0" w:space="0" w:color="auto"/>
        <w:bottom w:val="none" w:sz="0" w:space="0" w:color="auto"/>
        <w:right w:val="none" w:sz="0" w:space="0" w:color="auto"/>
      </w:divBdr>
    </w:div>
    <w:div w:id="1544438060">
      <w:bodyDiv w:val="1"/>
      <w:marLeft w:val="0"/>
      <w:marRight w:val="0"/>
      <w:marTop w:val="0"/>
      <w:marBottom w:val="0"/>
      <w:divBdr>
        <w:top w:val="none" w:sz="0" w:space="0" w:color="auto"/>
        <w:left w:val="none" w:sz="0" w:space="0" w:color="auto"/>
        <w:bottom w:val="none" w:sz="0" w:space="0" w:color="auto"/>
        <w:right w:val="none" w:sz="0" w:space="0" w:color="auto"/>
      </w:divBdr>
    </w:div>
    <w:div w:id="1693873659">
      <w:bodyDiv w:val="1"/>
      <w:marLeft w:val="0"/>
      <w:marRight w:val="0"/>
      <w:marTop w:val="0"/>
      <w:marBottom w:val="0"/>
      <w:divBdr>
        <w:top w:val="none" w:sz="0" w:space="0" w:color="auto"/>
        <w:left w:val="none" w:sz="0" w:space="0" w:color="auto"/>
        <w:bottom w:val="none" w:sz="0" w:space="0" w:color="auto"/>
        <w:right w:val="none" w:sz="0" w:space="0" w:color="auto"/>
      </w:divBdr>
    </w:div>
    <w:div w:id="1733579877">
      <w:bodyDiv w:val="1"/>
      <w:marLeft w:val="0"/>
      <w:marRight w:val="0"/>
      <w:marTop w:val="0"/>
      <w:marBottom w:val="0"/>
      <w:divBdr>
        <w:top w:val="none" w:sz="0" w:space="0" w:color="auto"/>
        <w:left w:val="none" w:sz="0" w:space="0" w:color="auto"/>
        <w:bottom w:val="none" w:sz="0" w:space="0" w:color="auto"/>
        <w:right w:val="none" w:sz="0" w:space="0" w:color="auto"/>
      </w:divBdr>
    </w:div>
    <w:div w:id="1739784899">
      <w:bodyDiv w:val="1"/>
      <w:marLeft w:val="0"/>
      <w:marRight w:val="0"/>
      <w:marTop w:val="0"/>
      <w:marBottom w:val="0"/>
      <w:divBdr>
        <w:top w:val="none" w:sz="0" w:space="0" w:color="auto"/>
        <w:left w:val="none" w:sz="0" w:space="0" w:color="auto"/>
        <w:bottom w:val="none" w:sz="0" w:space="0" w:color="auto"/>
        <w:right w:val="none" w:sz="0" w:space="0" w:color="auto"/>
      </w:divBdr>
    </w:div>
    <w:div w:id="1892838526">
      <w:bodyDiv w:val="1"/>
      <w:marLeft w:val="0"/>
      <w:marRight w:val="0"/>
      <w:marTop w:val="0"/>
      <w:marBottom w:val="0"/>
      <w:divBdr>
        <w:top w:val="none" w:sz="0" w:space="0" w:color="auto"/>
        <w:left w:val="none" w:sz="0" w:space="0" w:color="auto"/>
        <w:bottom w:val="none" w:sz="0" w:space="0" w:color="auto"/>
        <w:right w:val="none" w:sz="0" w:space="0" w:color="auto"/>
      </w:divBdr>
    </w:div>
    <w:div w:id="2020233603">
      <w:bodyDiv w:val="1"/>
      <w:marLeft w:val="0"/>
      <w:marRight w:val="0"/>
      <w:marTop w:val="0"/>
      <w:marBottom w:val="0"/>
      <w:divBdr>
        <w:top w:val="none" w:sz="0" w:space="0" w:color="auto"/>
        <w:left w:val="none" w:sz="0" w:space="0" w:color="auto"/>
        <w:bottom w:val="none" w:sz="0" w:space="0" w:color="auto"/>
        <w:right w:val="none" w:sz="0" w:space="0" w:color="auto"/>
      </w:divBdr>
    </w:div>
    <w:div w:id="2045396908">
      <w:bodyDiv w:val="1"/>
      <w:marLeft w:val="0"/>
      <w:marRight w:val="0"/>
      <w:marTop w:val="0"/>
      <w:marBottom w:val="0"/>
      <w:divBdr>
        <w:top w:val="none" w:sz="0" w:space="0" w:color="auto"/>
        <w:left w:val="none" w:sz="0" w:space="0" w:color="auto"/>
        <w:bottom w:val="none" w:sz="0" w:space="0" w:color="auto"/>
        <w:right w:val="none" w:sz="0" w:space="0" w:color="auto"/>
      </w:divBdr>
    </w:div>
    <w:div w:id="2061512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image" Target="media/image18.emf"/><Relationship Id="rId3" Type="http://schemas.openxmlformats.org/officeDocument/2006/relationships/styles" Target="styles.xml"/><Relationship Id="rId21" Type="http://schemas.openxmlformats.org/officeDocument/2006/relationships/image" Target="media/image13.emf"/><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image" Target="media/image17.emf"/><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image" Target="media/image16.emf"/><Relationship Id="rId32"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header" Target="header2.xml"/><Relationship Id="rId10" Type="http://schemas.openxmlformats.org/officeDocument/2006/relationships/image" Target="media/image2.emf"/><Relationship Id="rId19" Type="http://schemas.openxmlformats.org/officeDocument/2006/relationships/image" Target="media/image11.emf"/><Relationship Id="rId31"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header" Target="header1.xml"/><Relationship Id="rId30"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CE04D0-E482-4642-89A0-4D77CF9691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0</TotalTime>
  <Pages>28</Pages>
  <Words>7392</Words>
  <Characters>39772</Characters>
  <Application>Microsoft Office Word</Application>
  <DocSecurity>0</DocSecurity>
  <Lines>903</Lines>
  <Paragraphs>471</Paragraphs>
  <ScaleCrop>false</ScaleCrop>
  <HeadingPairs>
    <vt:vector size="2" baseType="variant">
      <vt:variant>
        <vt:lpstr>Title</vt:lpstr>
      </vt:variant>
      <vt:variant>
        <vt:i4>1</vt:i4>
      </vt:variant>
    </vt:vector>
  </HeadingPairs>
  <TitlesOfParts>
    <vt:vector size="1" baseType="lpstr">
      <vt:lpstr>Aggregate Manufacturing productivity</vt:lpstr>
    </vt:vector>
  </TitlesOfParts>
  <Company>Productivity Commission</Company>
  <LinksUpToDate>false</LinksUpToDate>
  <CharactersWithSpaces>46693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Aggregate Manufacturing productivity</dc:title>
  <dc:subject>Productivity in Manufacturing</dc:subject>
  <dc:creator>Productivity Commission</dc:creator>
  <dc:description>2.</dc:description>
  <cp:lastModifiedBy>Productivity Commission</cp:lastModifiedBy>
  <cp:revision>2</cp:revision>
  <cp:lastPrinted>2013-11-27T23:15:00Z</cp:lastPrinted>
  <dcterms:created xsi:type="dcterms:W3CDTF">2013-12-03T22:53:00Z</dcterms:created>
  <dcterms:modified xsi:type="dcterms:W3CDTF">2013-12-03T22:53:00Z</dcterms:modified>
</cp:coreProperties>
</file>