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ED7488" w:rsidRDefault="00E257AB" w:rsidP="00A14316">
      <w:pPr>
        <w:pStyle w:val="Heading1"/>
        <w:spacing w:after="1280"/>
      </w:pPr>
      <w:bookmarkStart w:id="0" w:name="ChapterNumber"/>
      <w:bookmarkStart w:id="1" w:name="_GoBack"/>
      <w:bookmarkEnd w:id="1"/>
      <w:r>
        <w:t>3</w:t>
      </w:r>
      <w:bookmarkEnd w:id="0"/>
      <w:r>
        <w:tab/>
      </w:r>
      <w:bookmarkStart w:id="2" w:name="ChapterTitle"/>
      <w:r>
        <w:t>Productivity growth at the subsector level</w:t>
      </w:r>
      <w:bookmarkEnd w:id="2"/>
    </w:p>
    <w:p w:rsidR="007310E3" w:rsidRPr="00E6731C" w:rsidRDefault="0083522C" w:rsidP="002013C6">
      <w:pPr>
        <w:pStyle w:val="BodyText"/>
        <w:spacing w:before="200"/>
      </w:pPr>
      <w:bookmarkStart w:id="3" w:name="begin"/>
      <w:bookmarkEnd w:id="3"/>
      <w:r>
        <w:t xml:space="preserve">The productivity trends evident for </w:t>
      </w:r>
      <w:r w:rsidR="00DC5BD7">
        <w:t>Manufacturing</w:t>
      </w:r>
      <w:r>
        <w:t xml:space="preserve"> </w:t>
      </w:r>
      <w:r w:rsidR="00696281">
        <w:t>as a whole</w:t>
      </w:r>
      <w:r>
        <w:t xml:space="preserve"> are the </w:t>
      </w:r>
      <w:r w:rsidR="00AD1F07">
        <w:t xml:space="preserve">net result </w:t>
      </w:r>
      <w:r>
        <w:t xml:space="preserve">of a potentially diverse range of trends for the </w:t>
      </w:r>
      <w:r w:rsidR="006E452D">
        <w:t>individual</w:t>
      </w:r>
      <w:r>
        <w:t xml:space="preserve"> industries in the sector.</w:t>
      </w:r>
      <w:r w:rsidR="007310E3" w:rsidRPr="00E6731C">
        <w:t xml:space="preserve"> This chapter examines the productivity of </w:t>
      </w:r>
      <w:r w:rsidR="00DC5BD7">
        <w:t>Manufacturing</w:t>
      </w:r>
      <w:r w:rsidR="007310E3" w:rsidRPr="00E6731C">
        <w:t xml:space="preserve"> at </w:t>
      </w:r>
      <w:r w:rsidR="008B72AB">
        <w:t xml:space="preserve">the subsector </w:t>
      </w:r>
      <w:r w:rsidR="007310E3" w:rsidRPr="00E6731C">
        <w:t xml:space="preserve">level and identifies the subsectors that contributed </w:t>
      </w:r>
      <w:r w:rsidR="00AD1F07">
        <w:t xml:space="preserve">the most </w:t>
      </w:r>
      <w:r w:rsidR="007310E3" w:rsidRPr="00E6731C">
        <w:t xml:space="preserve">to the recent decline in </w:t>
      </w:r>
      <w:r w:rsidR="00DC5BD7">
        <w:t>Manufacturing</w:t>
      </w:r>
      <w:r w:rsidR="007310E3" w:rsidRPr="00E6731C">
        <w:t xml:space="preserve"> productivity.</w:t>
      </w:r>
    </w:p>
    <w:p w:rsidR="007310E3" w:rsidRDefault="00E257AB" w:rsidP="00A14316">
      <w:pPr>
        <w:pStyle w:val="Heading2"/>
        <w:spacing w:before="520"/>
      </w:pPr>
      <w:r>
        <w:t>3.</w:t>
      </w:r>
      <w:r w:rsidR="003538B8">
        <w:rPr>
          <w:noProof/>
        </w:rPr>
        <w:t>1</w:t>
      </w:r>
      <w:r w:rsidR="007310E3" w:rsidRPr="00DC55E5">
        <w:tab/>
      </w:r>
      <w:r w:rsidR="007310E3">
        <w:t xml:space="preserve">Subsectors within </w:t>
      </w:r>
      <w:r w:rsidR="00DC5BD7">
        <w:t>Manufacturing</w:t>
      </w:r>
    </w:p>
    <w:p w:rsidR="007310E3" w:rsidRDefault="007310E3" w:rsidP="002013C6">
      <w:pPr>
        <w:pStyle w:val="BodyText"/>
        <w:spacing w:before="200"/>
      </w:pPr>
      <w:r>
        <w:t>The</w:t>
      </w:r>
      <w:r w:rsidR="00871B7A">
        <w:t xml:space="preserve"> </w:t>
      </w:r>
      <w:r>
        <w:t xml:space="preserve">ABS </w:t>
      </w:r>
      <w:r w:rsidR="00230299">
        <w:t xml:space="preserve">divides Manufacturing into eight subsectors for the purpose of </w:t>
      </w:r>
      <w:r>
        <w:t>estimat</w:t>
      </w:r>
      <w:r w:rsidR="00230299">
        <w:t>ing</w:t>
      </w:r>
      <w:r>
        <w:t xml:space="preserve"> the volume of output</w:t>
      </w:r>
      <w:r w:rsidR="00255EF0">
        <w:t xml:space="preserve"> (value added)</w:t>
      </w:r>
      <w:r>
        <w:t>:</w:t>
      </w:r>
    </w:p>
    <w:p w:rsidR="007310E3" w:rsidRDefault="007310E3" w:rsidP="00A14316">
      <w:pPr>
        <w:pStyle w:val="ListBullet"/>
        <w:spacing w:before="100"/>
      </w:pPr>
      <w:r>
        <w:t xml:space="preserve">Food, beverage </w:t>
      </w:r>
      <w:r w:rsidR="008C261E">
        <w:t>and</w:t>
      </w:r>
      <w:r w:rsidR="00881AB4">
        <w:t xml:space="preserve"> tobacco products</w:t>
      </w:r>
    </w:p>
    <w:p w:rsidR="007310E3" w:rsidRDefault="007310E3" w:rsidP="00A14316">
      <w:pPr>
        <w:pStyle w:val="ListBullet"/>
        <w:spacing w:before="100"/>
      </w:pPr>
      <w:r w:rsidRPr="00CC0019">
        <w:t xml:space="preserve">Textile, clothing </w:t>
      </w:r>
      <w:r w:rsidR="008C261E">
        <w:t>and</w:t>
      </w:r>
      <w:r w:rsidRPr="00CC0019">
        <w:t xml:space="preserve"> other manufacturing</w:t>
      </w:r>
    </w:p>
    <w:p w:rsidR="007310E3" w:rsidRDefault="007310E3" w:rsidP="00A14316">
      <w:pPr>
        <w:pStyle w:val="ListBullet"/>
        <w:spacing w:before="100"/>
      </w:pPr>
      <w:r w:rsidRPr="00CC0019">
        <w:t xml:space="preserve">Wood </w:t>
      </w:r>
      <w:r w:rsidR="008C261E">
        <w:t>and</w:t>
      </w:r>
      <w:r w:rsidRPr="00CC0019">
        <w:t xml:space="preserve"> paper products</w:t>
      </w:r>
    </w:p>
    <w:p w:rsidR="007310E3" w:rsidRDefault="007310E3" w:rsidP="00A14316">
      <w:pPr>
        <w:pStyle w:val="ListBullet"/>
        <w:spacing w:before="100"/>
      </w:pPr>
      <w:r w:rsidRPr="00CC0019">
        <w:t xml:space="preserve">Printing </w:t>
      </w:r>
      <w:r w:rsidR="008C261E">
        <w:t>and</w:t>
      </w:r>
      <w:r w:rsidRPr="00CC0019">
        <w:t xml:space="preserve"> recorded media</w:t>
      </w:r>
    </w:p>
    <w:p w:rsidR="007310E3" w:rsidRDefault="007310E3" w:rsidP="00A14316">
      <w:pPr>
        <w:pStyle w:val="ListBullet"/>
        <w:spacing w:before="100"/>
      </w:pPr>
      <w:r w:rsidRPr="00CC0019">
        <w:t xml:space="preserve">Petroleum, coal, chemical </w:t>
      </w:r>
      <w:r w:rsidR="008C261E">
        <w:t>and</w:t>
      </w:r>
      <w:r w:rsidRPr="00CC0019">
        <w:t xml:space="preserve"> rubber products</w:t>
      </w:r>
    </w:p>
    <w:p w:rsidR="007310E3" w:rsidRDefault="00881AB4" w:rsidP="00A14316">
      <w:pPr>
        <w:pStyle w:val="ListBullet"/>
        <w:spacing w:before="100"/>
      </w:pPr>
      <w:r>
        <w:t>Non-metallic mineral products</w:t>
      </w:r>
    </w:p>
    <w:p w:rsidR="007310E3" w:rsidRDefault="00881AB4" w:rsidP="00A14316">
      <w:pPr>
        <w:pStyle w:val="ListBullet"/>
        <w:spacing w:before="100"/>
      </w:pPr>
      <w:r>
        <w:t>Metal products</w:t>
      </w:r>
    </w:p>
    <w:p w:rsidR="007310E3" w:rsidRDefault="007310E3" w:rsidP="00A14316">
      <w:pPr>
        <w:pStyle w:val="ListBullet"/>
        <w:spacing w:before="100"/>
      </w:pPr>
      <w:r w:rsidRPr="00CC0019">
        <w:t xml:space="preserve">Machinery </w:t>
      </w:r>
      <w:r w:rsidR="008C261E">
        <w:t>and</w:t>
      </w:r>
      <w:r w:rsidRPr="00CC0019">
        <w:t xml:space="preserve"> equipment</w:t>
      </w:r>
      <w:r>
        <w:t xml:space="preserve"> manufacturing.</w:t>
      </w:r>
      <w:r w:rsidR="00690EFD">
        <w:rPr>
          <w:rStyle w:val="FootnoteReference"/>
        </w:rPr>
        <w:footnoteReference w:id="1"/>
      </w:r>
    </w:p>
    <w:p w:rsidR="00E433FE" w:rsidRDefault="007310E3" w:rsidP="002013C6">
      <w:pPr>
        <w:pStyle w:val="BodyText"/>
        <w:spacing w:before="200"/>
      </w:pPr>
      <w:r>
        <w:t>Figure </w:t>
      </w:r>
      <w:r w:rsidR="00E257AB">
        <w:t>3.1</w:t>
      </w:r>
      <w:r>
        <w:t xml:space="preserve"> shows the distribution of value added</w:t>
      </w:r>
      <w:r w:rsidR="00B349A3">
        <w:t xml:space="preserve"> </w:t>
      </w:r>
      <w:r>
        <w:t xml:space="preserve">across </w:t>
      </w:r>
      <w:r w:rsidR="00DC5BD7">
        <w:t>Manufacturing</w:t>
      </w:r>
      <w:r>
        <w:t xml:space="preserve"> subsectors in 2009-10. The larger subsectors are </w:t>
      </w:r>
      <w:r w:rsidR="007316B0">
        <w:t>Food, beverage and tobacco products</w:t>
      </w:r>
      <w:r>
        <w:t xml:space="preserve">, </w:t>
      </w:r>
      <w:r w:rsidR="007316B0">
        <w:t>Metal products</w:t>
      </w:r>
      <w:r w:rsidR="00B349A3">
        <w:t>,</w:t>
      </w:r>
      <w:r>
        <w:t xml:space="preserve"> </w:t>
      </w:r>
      <w:r w:rsidR="007316B0">
        <w:t>Machinery and equipment manufacturing</w:t>
      </w:r>
      <w:r w:rsidR="00B349A3">
        <w:t xml:space="preserve"> </w:t>
      </w:r>
      <w:r w:rsidR="00E433FE">
        <w:t xml:space="preserve">and </w:t>
      </w:r>
      <w:r w:rsidR="007316B0">
        <w:t>Petroleum, coal, chemicals and rubber products</w:t>
      </w:r>
      <w:r w:rsidR="00E433FE">
        <w:t>, which together</w:t>
      </w:r>
      <w:r>
        <w:t xml:space="preserve"> </w:t>
      </w:r>
      <w:r w:rsidR="00E433FE">
        <w:t xml:space="preserve">make up </w:t>
      </w:r>
      <w:r>
        <w:t xml:space="preserve">almost three quarters of </w:t>
      </w:r>
      <w:r w:rsidR="00DC5BD7">
        <w:t>Manufacturing</w:t>
      </w:r>
      <w:r>
        <w:t xml:space="preserve"> </w:t>
      </w:r>
      <w:r w:rsidR="0063615A">
        <w:t>value added</w:t>
      </w:r>
      <w:r>
        <w:t>.</w:t>
      </w:r>
      <w:r w:rsidR="00E433FE">
        <w:t xml:space="preserve"> The relative size of each of the subsectors has been fairly stable </w:t>
      </w:r>
      <w:r w:rsidR="00690EFD">
        <w:t>since 1985-86</w:t>
      </w:r>
      <w:r w:rsidR="00E433FE">
        <w:t xml:space="preserve"> (figure </w:t>
      </w:r>
      <w:r w:rsidR="00E257AB">
        <w:t>3.2</w:t>
      </w:r>
      <w:r w:rsidR="00E433FE">
        <w:t xml:space="preserve">). </w:t>
      </w:r>
      <w:r w:rsidR="00685B05">
        <w:t xml:space="preserve">This stability may mask changes in the mix of activities within the subsectors. </w:t>
      </w:r>
      <w:r w:rsidR="00E433FE">
        <w:t xml:space="preserve">However, insufficient data for value added volumes are available to </w:t>
      </w:r>
      <w:r w:rsidR="00685B05">
        <w:t xml:space="preserve">be able to </w:t>
      </w:r>
      <w:r w:rsidR="00E433FE">
        <w:t xml:space="preserve">estimate </w:t>
      </w:r>
      <w:r w:rsidR="00685B05">
        <w:t>productivity</w:t>
      </w:r>
      <w:r w:rsidR="00E433FE">
        <w:t xml:space="preserve"> at a more disaggregated level</w:t>
      </w:r>
      <w:r w:rsidR="00685B05">
        <w:t xml:space="preserve"> in this study</w:t>
      </w:r>
      <w:r w:rsidR="00881AB4">
        <w:t>.</w:t>
      </w:r>
    </w:p>
    <w:p w:rsidR="007310E3" w:rsidRPr="00132C2C" w:rsidRDefault="007310E3" w:rsidP="00132C2C">
      <w:pPr>
        <w:pStyle w:val="FigureTitle"/>
      </w:pPr>
      <w:r w:rsidRPr="00132C2C">
        <w:rPr>
          <w:b w:val="0"/>
        </w:rPr>
        <w:lastRenderedPageBreak/>
        <w:t xml:space="preserve">Figure </w:t>
      </w:r>
      <w:bookmarkStart w:id="4" w:name="OLE_LINK10"/>
      <w:r w:rsidR="00E257AB">
        <w:rPr>
          <w:b w:val="0"/>
        </w:rPr>
        <w:t>3.</w:t>
      </w:r>
      <w:r w:rsidR="003538B8">
        <w:rPr>
          <w:b w:val="0"/>
          <w:noProof/>
        </w:rPr>
        <w:t>1</w:t>
      </w:r>
      <w:bookmarkEnd w:id="4"/>
      <w:r w:rsidRPr="00132C2C">
        <w:tab/>
      </w:r>
      <w:r w:rsidR="004D0942" w:rsidRPr="00132C2C">
        <w:t>Subsector shares of Manufacturing v</w:t>
      </w:r>
      <w:r w:rsidR="00CF59D2" w:rsidRPr="00132C2C">
        <w:t>alue</w:t>
      </w:r>
      <w:r w:rsidR="004D0942" w:rsidRPr="00132C2C">
        <w:t xml:space="preserve"> added</w:t>
      </w:r>
      <w:r w:rsidRPr="00132C2C">
        <w:t>, 2009-10</w:t>
      </w:r>
      <w:r w:rsidRPr="00132C2C">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0E3" w:rsidTr="007423CC">
        <w:tc>
          <w:tcPr>
            <w:tcW w:w="8777" w:type="dxa"/>
          </w:tcPr>
          <w:p w:rsidR="007310E3" w:rsidRDefault="00AF5615" w:rsidP="00A14316">
            <w:pPr>
              <w:pStyle w:val="Figure"/>
              <w:spacing w:before="60" w:after="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distribution of value added across subsectors within Manufacturing in 2009-10. Four of the subsectors (FBT, MP, ME and PCCR) account for 77 per cent of the sector’s value added (in fairly equal shares), with the other four subsectors contributing the remaining 23 per cent (ranging from 4 to 7 percentage points each). " style="width:424.5pt;height:204pt">
                  <v:imagedata r:id="rId9" o:title=""/>
                </v:shape>
              </w:pict>
            </w:r>
          </w:p>
        </w:tc>
      </w:tr>
    </w:tbl>
    <w:p w:rsidR="00CF59D2" w:rsidRDefault="00CF59D2" w:rsidP="00311B79">
      <w:pPr>
        <w:pStyle w:val="Note"/>
      </w:pPr>
      <w:r w:rsidRPr="004427E1">
        <w:rPr>
          <w:rStyle w:val="NoteLabel"/>
        </w:rPr>
        <w:t>a</w:t>
      </w:r>
      <w:r>
        <w:t xml:space="preserve"> Value added measure is gross value added at </w:t>
      </w:r>
      <w:r w:rsidR="00E776C9">
        <w:t xml:space="preserve">current </w:t>
      </w:r>
      <w:r>
        <w:t xml:space="preserve">basic prices. </w:t>
      </w:r>
    </w:p>
    <w:p w:rsidR="007310E3" w:rsidRDefault="007310E3" w:rsidP="00311B79">
      <w:pPr>
        <w:pStyle w:val="Source"/>
      </w:pPr>
      <w:r>
        <w:rPr>
          <w:i/>
        </w:rPr>
        <w:t>Data source</w:t>
      </w:r>
      <w:r w:rsidRPr="00167F06">
        <w:t xml:space="preserve">: </w:t>
      </w:r>
      <w:r w:rsidRPr="00E20591">
        <w:t>ABS (</w:t>
      </w:r>
      <w:r w:rsidRPr="00E20591">
        <w:rPr>
          <w:i/>
        </w:rPr>
        <w:t>Australian System of National Accounts, 2010-11</w:t>
      </w:r>
      <w:r w:rsidRPr="00E20591">
        <w:t>, Cat. no. 5204.0</w:t>
      </w:r>
      <w:r>
        <w:t>)</w:t>
      </w:r>
      <w:r w:rsidRPr="00E20591">
        <w:t>.</w:t>
      </w:r>
      <w:r>
        <w:t xml:space="preserve"> </w:t>
      </w:r>
    </w:p>
    <w:p w:rsidR="007310E3" w:rsidRPr="00132C2C" w:rsidRDefault="007310E3" w:rsidP="00A14316">
      <w:pPr>
        <w:pStyle w:val="FigureTitle"/>
        <w:spacing w:before="480"/>
      </w:pPr>
      <w:r w:rsidRPr="00132C2C">
        <w:rPr>
          <w:b w:val="0"/>
        </w:rPr>
        <w:t xml:space="preserve">Figure </w:t>
      </w:r>
      <w:bookmarkStart w:id="5" w:name="OLE_LINK6"/>
      <w:r w:rsidR="00E257AB">
        <w:rPr>
          <w:b w:val="0"/>
        </w:rPr>
        <w:t>3.</w:t>
      </w:r>
      <w:r w:rsidR="003538B8">
        <w:rPr>
          <w:b w:val="0"/>
          <w:noProof/>
        </w:rPr>
        <w:t>2</w:t>
      </w:r>
      <w:bookmarkEnd w:id="5"/>
      <w:r w:rsidRPr="00132C2C">
        <w:tab/>
      </w:r>
      <w:r w:rsidR="004D0942" w:rsidRPr="00132C2C">
        <w:t>S</w:t>
      </w:r>
      <w:r w:rsidR="00602CF7" w:rsidRPr="00132C2C">
        <w:t xml:space="preserve">ubsector </w:t>
      </w:r>
      <w:r w:rsidR="00032914" w:rsidRPr="00132C2C">
        <w:t xml:space="preserve">shares of Manufacturing </w:t>
      </w:r>
      <w:r w:rsidR="004D0942" w:rsidRPr="00132C2C">
        <w:t>value added</w:t>
      </w:r>
      <w:r w:rsidR="00602CF7" w:rsidRPr="00132C2C">
        <w:t xml:space="preserve">, </w:t>
      </w:r>
      <w:r w:rsidRPr="00132C2C">
        <w:t>1985-86 to 2010-11</w:t>
      </w:r>
      <w:r w:rsidRPr="00132C2C">
        <w:rPr>
          <w:rStyle w:val="NoteLabel"/>
          <w:b/>
        </w:rPr>
        <w:t>a</w:t>
      </w:r>
    </w:p>
    <w:p w:rsidR="007310E3" w:rsidRPr="00132C2C" w:rsidRDefault="007310E3" w:rsidP="00132C2C">
      <w:pPr>
        <w:pStyle w:val="Subtitle"/>
      </w:pPr>
      <w:r w:rsidRPr="00132C2C">
        <w:t>Percentage shares</w:t>
      </w:r>
      <w:r w:rsidR="00602CF7" w:rsidRPr="00132C2C">
        <w:t xml:space="preserve"> of total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310E3" w:rsidTr="007423CC">
        <w:tc>
          <w:tcPr>
            <w:tcW w:w="8777" w:type="dxa"/>
          </w:tcPr>
          <w:p w:rsidR="007310E3" w:rsidRDefault="00AF5615" w:rsidP="00A14316">
            <w:pPr>
              <w:pStyle w:val="Figure"/>
              <w:spacing w:after="60"/>
            </w:pPr>
            <w:r>
              <w:pict>
                <v:shape id="_x0000_i1026" type="#_x0000_t75" alt="This figure shows that the relative sizes of each subsector within Manufacturing, in terms of value added, has been fairly stable over the last 25 years, with ME, MP, PCCR and FBT consistently making up the larger shares between 1985-86 to 2010-11. " style="width:424.5pt;height:212.25pt">
                  <v:imagedata r:id="rId10" o:title=""/>
                </v:shape>
              </w:pict>
            </w:r>
          </w:p>
        </w:tc>
      </w:tr>
    </w:tbl>
    <w:p w:rsidR="007310E3" w:rsidRPr="00AD6275" w:rsidRDefault="007310E3" w:rsidP="00311B79">
      <w:pPr>
        <w:pStyle w:val="Note"/>
      </w:pPr>
      <w:r w:rsidRPr="00AD6275">
        <w:rPr>
          <w:rStyle w:val="NoteLabel"/>
        </w:rPr>
        <w:t>a</w:t>
      </w:r>
      <w:r w:rsidRPr="00AD6275">
        <w:t xml:space="preserve"> </w:t>
      </w:r>
      <w:r w:rsidR="00E776C9" w:rsidRPr="005F7209">
        <w:t xml:space="preserve">Value added measure is </w:t>
      </w:r>
      <w:r w:rsidR="00022AA5">
        <w:t xml:space="preserve">industry value added </w:t>
      </w:r>
      <w:r w:rsidR="00E776C9" w:rsidRPr="005F7209">
        <w:t xml:space="preserve">at </w:t>
      </w:r>
      <w:r w:rsidR="00E776C9">
        <w:t xml:space="preserve">current </w:t>
      </w:r>
      <w:r w:rsidR="00E776C9" w:rsidRPr="005F7209">
        <w:t>prices</w:t>
      </w:r>
      <w:r w:rsidR="00022AA5">
        <w:t xml:space="preserve"> from the ABS </w:t>
      </w:r>
      <w:r w:rsidR="00022AA5">
        <w:rPr>
          <w:i/>
        </w:rPr>
        <w:t>Economic Activity Survey</w:t>
      </w:r>
      <w:r w:rsidR="00E776C9">
        <w:t>.</w:t>
      </w:r>
      <w:r w:rsidR="00E776C9" w:rsidRPr="00AD6275">
        <w:t xml:space="preserve"> </w:t>
      </w:r>
      <w:r w:rsidR="00C82799" w:rsidRPr="00AD6275">
        <w:t xml:space="preserve">Data prior to 2006-07 have been converted onto an </w:t>
      </w:r>
      <w:proofErr w:type="spellStart"/>
      <w:r w:rsidR="00C82799" w:rsidRPr="00AD6275">
        <w:t>ANZSIC06</w:t>
      </w:r>
      <w:proofErr w:type="spellEnd"/>
      <w:r w:rsidR="00C82799" w:rsidRPr="00AD6275">
        <w:t xml:space="preserve"> basis using a broad concordance </w:t>
      </w:r>
      <w:r w:rsidR="00E776C9">
        <w:t xml:space="preserve">and </w:t>
      </w:r>
      <w:r w:rsidR="00022AA5">
        <w:t xml:space="preserve">the series has been </w:t>
      </w:r>
      <w:r w:rsidR="00E776C9">
        <w:t xml:space="preserve">benchmarked to </w:t>
      </w:r>
      <w:r w:rsidR="00022AA5">
        <w:t xml:space="preserve">value added for 2009-10 from the </w:t>
      </w:r>
      <w:r w:rsidR="00E776C9">
        <w:t xml:space="preserve">ABS National Accounts </w:t>
      </w:r>
      <w:r w:rsidR="00C82799" w:rsidRPr="00AD6275">
        <w:t>(appendix</w:t>
      </w:r>
      <w:r w:rsidR="00E776C9">
        <w:t> </w:t>
      </w:r>
      <w:r w:rsidR="00C82799" w:rsidRPr="00AD6275">
        <w:t>A)</w:t>
      </w:r>
      <w:r w:rsidRPr="00AD6275">
        <w:t xml:space="preserve">. </w:t>
      </w:r>
    </w:p>
    <w:p w:rsidR="007310E3" w:rsidRPr="00D143E1" w:rsidRDefault="007310E3" w:rsidP="00A14316">
      <w:pPr>
        <w:pStyle w:val="Source"/>
      </w:pPr>
      <w:r w:rsidRPr="00D143E1">
        <w:rPr>
          <w:i/>
        </w:rPr>
        <w:t>Data source</w:t>
      </w:r>
      <w:r w:rsidR="00CC2454" w:rsidRPr="00D143E1">
        <w:rPr>
          <w:i/>
        </w:rPr>
        <w:t>s</w:t>
      </w:r>
      <w:r w:rsidRPr="00D143E1">
        <w:t xml:space="preserve">: </w:t>
      </w:r>
      <w:r w:rsidR="00B82D7A">
        <w:t xml:space="preserve">Authors’ estimates based on </w:t>
      </w:r>
      <w:r w:rsidRPr="00D143E1">
        <w:t>ABS (</w:t>
      </w:r>
      <w:bookmarkStart w:id="6" w:name="OLE_LINK24"/>
      <w:r w:rsidR="00194D63" w:rsidRPr="00D143E1">
        <w:rPr>
          <w:i/>
        </w:rPr>
        <w:t>Australian Industry</w:t>
      </w:r>
      <w:r w:rsidR="00977C78">
        <w:rPr>
          <w:i/>
        </w:rPr>
        <w:t xml:space="preserve">, </w:t>
      </w:r>
      <w:r w:rsidR="00977C78">
        <w:t>various issues, Cat. no. 8155.0); ABS</w:t>
      </w:r>
      <w:r w:rsidR="00D652FD">
        <w:t> </w:t>
      </w:r>
      <w:r w:rsidR="00977C78">
        <w:t>(</w:t>
      </w:r>
      <w:r w:rsidRPr="00D143E1">
        <w:rPr>
          <w:i/>
        </w:rPr>
        <w:t>M</w:t>
      </w:r>
      <w:r w:rsidR="00194D63" w:rsidRPr="00D143E1">
        <w:rPr>
          <w:i/>
        </w:rPr>
        <w:t>anufacturing Industry</w:t>
      </w:r>
      <w:r w:rsidR="00977C78">
        <w:t>,</w:t>
      </w:r>
      <w:r w:rsidR="00977C78">
        <w:rPr>
          <w:i/>
        </w:rPr>
        <w:t xml:space="preserve"> Australia</w:t>
      </w:r>
      <w:r w:rsidR="00977C78" w:rsidRPr="00977C78">
        <w:t>,</w:t>
      </w:r>
      <w:r w:rsidR="00977C78">
        <w:t xml:space="preserve"> various issues, Cat. no. 8221.0); ABS (</w:t>
      </w:r>
      <w:r w:rsidR="00FB1A8F" w:rsidRPr="00D143E1">
        <w:rPr>
          <w:i/>
        </w:rPr>
        <w:t>Enterprise Statistics</w:t>
      </w:r>
      <w:r w:rsidR="00977C78">
        <w:t xml:space="preserve">, various issues, Cat. no. 8103.0); </w:t>
      </w:r>
      <w:r w:rsidR="00CB5978">
        <w:t xml:space="preserve">and </w:t>
      </w:r>
      <w:r w:rsidR="00977C78">
        <w:t>ABS (</w:t>
      </w:r>
      <w:r w:rsidRPr="00D143E1">
        <w:rPr>
          <w:i/>
        </w:rPr>
        <w:t>Australian System of National Accounts</w:t>
      </w:r>
      <w:r w:rsidRPr="00D143E1">
        <w:t xml:space="preserve">, </w:t>
      </w:r>
      <w:r w:rsidR="00977C78">
        <w:rPr>
          <w:i/>
        </w:rPr>
        <w:t>2010-11</w:t>
      </w:r>
      <w:r w:rsidR="00977C78" w:rsidRPr="00977C78">
        <w:t>,</w:t>
      </w:r>
      <w:r w:rsidR="00977C78">
        <w:rPr>
          <w:i/>
        </w:rPr>
        <w:t xml:space="preserve"> </w:t>
      </w:r>
      <w:r w:rsidRPr="00D143E1">
        <w:t>Cat. no</w:t>
      </w:r>
      <w:r w:rsidR="00977C78">
        <w:t>.</w:t>
      </w:r>
      <w:r w:rsidR="00B349A3" w:rsidRPr="00D143E1">
        <w:t> </w:t>
      </w:r>
      <w:r w:rsidRPr="00D143E1">
        <w:t>5204</w:t>
      </w:r>
      <w:r w:rsidR="002C3EF6" w:rsidRPr="00D143E1">
        <w:t>.0</w:t>
      </w:r>
      <w:bookmarkEnd w:id="6"/>
      <w:r w:rsidR="002C3EF6" w:rsidRPr="00D143E1">
        <w:t>).</w:t>
      </w:r>
    </w:p>
    <w:p w:rsidR="007310E3" w:rsidRDefault="00E257AB" w:rsidP="007310E3">
      <w:pPr>
        <w:pStyle w:val="Heading2"/>
      </w:pPr>
      <w:r>
        <w:lastRenderedPageBreak/>
        <w:t>3.</w:t>
      </w:r>
      <w:r w:rsidR="003538B8">
        <w:rPr>
          <w:noProof/>
        </w:rPr>
        <w:t>2</w:t>
      </w:r>
      <w:r w:rsidR="007310E3" w:rsidRPr="00DC55E5">
        <w:tab/>
      </w:r>
      <w:r w:rsidR="007310E3">
        <w:t xml:space="preserve">Productivity growth in </w:t>
      </w:r>
      <w:r w:rsidR="00DC5BD7">
        <w:t>Manufacturing</w:t>
      </w:r>
      <w:r w:rsidR="007310E3">
        <w:t xml:space="preserve"> subsectors</w:t>
      </w:r>
    </w:p>
    <w:p w:rsidR="007310E3" w:rsidRDefault="007310E3" w:rsidP="007310E3">
      <w:pPr>
        <w:pStyle w:val="BodyText"/>
      </w:pPr>
      <w:r>
        <w:t xml:space="preserve">The ABS estimates productivity growth for </w:t>
      </w:r>
      <w:r w:rsidR="00DC5BD7">
        <w:t>Manufacturing</w:t>
      </w:r>
      <w:r>
        <w:t xml:space="preserve"> </w:t>
      </w:r>
      <w:r w:rsidR="00BA63E2">
        <w:t>as a whole</w:t>
      </w:r>
      <w:r w:rsidR="00672896">
        <w:t>,</w:t>
      </w:r>
      <w:r>
        <w:t xml:space="preserve"> but not for subsectors within </w:t>
      </w:r>
      <w:r w:rsidR="00DC5BD7">
        <w:t>Manufacturing</w:t>
      </w:r>
      <w:r>
        <w:t>. This section outlines the approach used</w:t>
      </w:r>
      <w:r w:rsidR="00BA1EA0">
        <w:t xml:space="preserve"> </w:t>
      </w:r>
      <w:r w:rsidR="00685B05">
        <w:t>in this study</w:t>
      </w:r>
      <w:r>
        <w:t xml:space="preserve"> to estimate productivity at a more disaggregated level and presents estimates for the eight subsectors within </w:t>
      </w:r>
      <w:r w:rsidR="00DC5BD7">
        <w:t>Manufacturing</w:t>
      </w:r>
      <w:r>
        <w:t xml:space="preserve">. </w:t>
      </w:r>
    </w:p>
    <w:p w:rsidR="007310E3" w:rsidRDefault="007310E3" w:rsidP="007310E3">
      <w:pPr>
        <w:pStyle w:val="Heading3"/>
      </w:pPr>
      <w:r>
        <w:t xml:space="preserve">Estimation methodology </w:t>
      </w:r>
    </w:p>
    <w:p w:rsidR="007310E3" w:rsidRPr="0036501A" w:rsidRDefault="007310E3" w:rsidP="0036501A">
      <w:pPr>
        <w:pStyle w:val="BodyText"/>
      </w:pPr>
      <w:r w:rsidRPr="0036501A">
        <w:t>As outlined in chapter 2, multifactor productivity (MFP) growth is derived as the difference between growth in value added and growth in combined inputs</w:t>
      </w:r>
      <w:r w:rsidR="00015ECF">
        <w:rPr>
          <w:rStyle w:val="FootnoteReference"/>
        </w:rPr>
        <w:footnoteReference w:id="2"/>
      </w:r>
      <w:r w:rsidRPr="0036501A">
        <w:t xml:space="preserve"> (the average of growth in capital and in labour, weighted by their respective income shares). And labour productivity (LP) growth is </w:t>
      </w:r>
      <w:r w:rsidR="005F7209">
        <w:t xml:space="preserve">defined as </w:t>
      </w:r>
      <w:r w:rsidRPr="0036501A">
        <w:t xml:space="preserve">growth in value added per hour worked. Therefore, to construct subsector estimates of LP and MFP, subsector level data for value added, hours worked, capital services and factor income shares </w:t>
      </w:r>
      <w:r w:rsidR="00E7277D">
        <w:t xml:space="preserve">(as weights) </w:t>
      </w:r>
      <w:r w:rsidRPr="0036501A">
        <w:t xml:space="preserve">are required. </w:t>
      </w:r>
    </w:p>
    <w:p w:rsidR="00CA37FE" w:rsidRDefault="00DB6C6E" w:rsidP="007310E3">
      <w:pPr>
        <w:pStyle w:val="BodyText"/>
      </w:pPr>
      <w:r>
        <w:t>Where possible, subsector MFP estimates were based on the same methodology and data sources used by the ABS in its estimates for Manufacturing MFP</w:t>
      </w:r>
      <w:r w:rsidR="00D52B99">
        <w:t xml:space="preserve"> (</w:t>
      </w:r>
      <w:r>
        <w:t>in order to be consistent with those ABS estimates</w:t>
      </w:r>
      <w:r w:rsidR="00D52B99">
        <w:t>)</w:t>
      </w:r>
      <w:r>
        <w:t xml:space="preserve">. </w:t>
      </w:r>
      <w:r w:rsidR="00CA37FE">
        <w:t>However</w:t>
      </w:r>
      <w:r w:rsidR="005F7209">
        <w:t>,</w:t>
      </w:r>
      <w:r w:rsidR="007310E3">
        <w:t xml:space="preserve"> data limitations necessitated the use of </w:t>
      </w:r>
      <w:r w:rsidR="003811BB">
        <w:t xml:space="preserve">simplified methodology and </w:t>
      </w:r>
      <w:r w:rsidR="007310E3">
        <w:t>different data sources</w:t>
      </w:r>
      <w:r w:rsidR="00531938" w:rsidRPr="00531938">
        <w:t xml:space="preserve"> </w:t>
      </w:r>
      <w:r w:rsidR="00531938">
        <w:t>for some variables</w:t>
      </w:r>
      <w:r w:rsidR="007310E3">
        <w:t xml:space="preserve">. </w:t>
      </w:r>
    </w:p>
    <w:p w:rsidR="007310E3" w:rsidRDefault="007310E3" w:rsidP="007310E3">
      <w:pPr>
        <w:pStyle w:val="BodyText"/>
      </w:pPr>
      <w:r>
        <w:t xml:space="preserve">In most cases, the </w:t>
      </w:r>
      <w:r w:rsidR="005F7209">
        <w:t xml:space="preserve">required </w:t>
      </w:r>
      <w:r>
        <w:t>data were available from the ABS in a single industry classification</w:t>
      </w:r>
      <w:r w:rsidR="0073548C">
        <w:t xml:space="preserve">, </w:t>
      </w:r>
      <w:r w:rsidR="0073548C" w:rsidRPr="0073548C">
        <w:rPr>
          <w:i/>
        </w:rPr>
        <w:t>Australian and New Zealand Standard Industrial Classification 2006</w:t>
      </w:r>
      <w:r>
        <w:t xml:space="preserve"> (</w:t>
      </w:r>
      <w:proofErr w:type="spellStart"/>
      <w:r>
        <w:t>ANZSIC06</w:t>
      </w:r>
      <w:proofErr w:type="spellEnd"/>
      <w:r>
        <w:t>).</w:t>
      </w:r>
      <w:r>
        <w:rPr>
          <w:rStyle w:val="FootnoteReference"/>
        </w:rPr>
        <w:footnoteReference w:id="3"/>
      </w:r>
      <w:r>
        <w:t xml:space="preserve"> In a few cases, data were </w:t>
      </w:r>
      <w:proofErr w:type="spellStart"/>
      <w:r>
        <w:t>backcast</w:t>
      </w:r>
      <w:proofErr w:type="spellEnd"/>
      <w:r>
        <w:t xml:space="preserve"> into </w:t>
      </w:r>
      <w:proofErr w:type="spellStart"/>
      <w:r>
        <w:t>ANZSIC06</w:t>
      </w:r>
      <w:proofErr w:type="spellEnd"/>
      <w:r>
        <w:t xml:space="preserve"> using a broad </w:t>
      </w:r>
      <w:r w:rsidR="005F7209">
        <w:t xml:space="preserve">concordance </w:t>
      </w:r>
      <w:r>
        <w:t>between industry classifications.</w:t>
      </w:r>
    </w:p>
    <w:p w:rsidR="007310E3" w:rsidRDefault="007310E3" w:rsidP="007310E3">
      <w:pPr>
        <w:pStyle w:val="BodyText"/>
      </w:pPr>
      <w:r>
        <w:t xml:space="preserve">Full details of the methodology, data sources and assumptions are provided in appendix A. In broad terms, the subsector estimates for value added and hours worked most closely match the ABS </w:t>
      </w:r>
      <w:r w:rsidR="00356C57">
        <w:t>total</w:t>
      </w:r>
      <w:r>
        <w:t xml:space="preserve"> for </w:t>
      </w:r>
      <w:r w:rsidR="00DC5BD7">
        <w:t>Manufacturing</w:t>
      </w:r>
      <w:r>
        <w:t xml:space="preserve">. </w:t>
      </w:r>
    </w:p>
    <w:p w:rsidR="007310E3" w:rsidRDefault="007310E3" w:rsidP="007310E3">
      <w:pPr>
        <w:pStyle w:val="ListBullet"/>
      </w:pPr>
      <w:r>
        <w:t xml:space="preserve">Value added (volume) for the subsectors </w:t>
      </w:r>
      <w:r w:rsidR="00696281">
        <w:t>wa</w:t>
      </w:r>
      <w:r>
        <w:t xml:space="preserve">s available from the ABS </w:t>
      </w:r>
      <w:r w:rsidR="00DB73F1">
        <w:t>N</w:t>
      </w:r>
      <w:r>
        <w:t xml:space="preserve">ational </w:t>
      </w:r>
      <w:r w:rsidR="00DB73F1">
        <w:t>A</w:t>
      </w:r>
      <w:r>
        <w:t xml:space="preserve">ccounts — the same source used by the ABS for estimating </w:t>
      </w:r>
      <w:r w:rsidR="00DC5BD7">
        <w:t>Manufacturing</w:t>
      </w:r>
      <w:r>
        <w:t xml:space="preserve"> MFP. </w:t>
      </w:r>
    </w:p>
    <w:p w:rsidR="001E30AF" w:rsidRDefault="001E30AF" w:rsidP="007310E3">
      <w:pPr>
        <w:pStyle w:val="ListBullet"/>
      </w:pPr>
      <w:r>
        <w:lastRenderedPageBreak/>
        <w:t xml:space="preserve">Hours worked in each of the subsectors was derived from the specific measure of hours worked for Manufacturing in total that the ABS uses in its estimation of Manufacturing MFP. </w:t>
      </w:r>
      <w:r w:rsidR="00AF5F5B">
        <w:t>Th</w:t>
      </w:r>
      <w:r w:rsidR="001511AE">
        <w:t>is</w:t>
      </w:r>
      <w:r w:rsidR="005D4737">
        <w:t xml:space="preserve"> specific measure </w:t>
      </w:r>
      <w:r w:rsidR="00AF5F5B">
        <w:t xml:space="preserve">is based on </w:t>
      </w:r>
      <w:r w:rsidR="005D4737">
        <w:t>published</w:t>
      </w:r>
      <w:r w:rsidR="00AF5F5B">
        <w:t xml:space="preserve"> </w:t>
      </w:r>
      <w:r w:rsidR="005D4737">
        <w:t xml:space="preserve">data from the ABS </w:t>
      </w:r>
      <w:r w:rsidR="00AF5F5B">
        <w:t xml:space="preserve">quarterly </w:t>
      </w:r>
      <w:r w:rsidR="00AF5F5B" w:rsidRPr="00AF5F5B">
        <w:rPr>
          <w:i/>
        </w:rPr>
        <w:t>Labour Force Survey</w:t>
      </w:r>
      <w:r w:rsidR="00AF5F5B">
        <w:rPr>
          <w:i/>
        </w:rPr>
        <w:t xml:space="preserve">, </w:t>
      </w:r>
      <w:r w:rsidR="00AF5F5B">
        <w:t xml:space="preserve">but </w:t>
      </w:r>
      <w:r w:rsidR="001511AE">
        <w:t xml:space="preserve">has been adjusted by the ABS for </w:t>
      </w:r>
      <w:r w:rsidR="00D15B6F">
        <w:t xml:space="preserve">changes in survey methodology over time and </w:t>
      </w:r>
      <w:r w:rsidR="005D4737">
        <w:t>annualise</w:t>
      </w:r>
      <w:r w:rsidR="001511AE">
        <w:t>d</w:t>
      </w:r>
      <w:r w:rsidR="005D4737">
        <w:t xml:space="preserve"> </w:t>
      </w:r>
      <w:r w:rsidR="00D15B6F">
        <w:t xml:space="preserve">(including </w:t>
      </w:r>
      <w:r w:rsidR="001511AE">
        <w:t>adjustment for</w:t>
      </w:r>
      <w:r w:rsidR="00D15B6F">
        <w:t xml:space="preserve"> </w:t>
      </w:r>
      <w:r w:rsidR="00AF5F5B">
        <w:t>holidays</w:t>
      </w:r>
      <w:r w:rsidR="00D15B6F">
        <w:t>)</w:t>
      </w:r>
      <w:r w:rsidR="00AF5F5B">
        <w:t xml:space="preserve">. </w:t>
      </w:r>
      <w:r w:rsidR="001C4EF1">
        <w:t xml:space="preserve">Information about the distribution of hours worked, also from the </w:t>
      </w:r>
      <w:r w:rsidR="001C4EF1">
        <w:rPr>
          <w:i/>
        </w:rPr>
        <w:t xml:space="preserve">Labour Force Survey, </w:t>
      </w:r>
      <w:r w:rsidR="001C4EF1">
        <w:t xml:space="preserve">was used to allocate this </w:t>
      </w:r>
      <w:r w:rsidR="00F65F11">
        <w:t xml:space="preserve">adjusted </w:t>
      </w:r>
      <w:r w:rsidR="001C4EF1">
        <w:t xml:space="preserve">total across </w:t>
      </w:r>
      <w:r w:rsidR="00AF5F5B">
        <w:t>s</w:t>
      </w:r>
      <w:r w:rsidR="00AF5F5B" w:rsidRPr="001E30AF">
        <w:t>ubsector</w:t>
      </w:r>
      <w:r w:rsidR="00AF5F5B">
        <w:t>s</w:t>
      </w:r>
      <w:r w:rsidR="001C4EF1">
        <w:t>.</w:t>
      </w:r>
    </w:p>
    <w:p w:rsidR="00A72B95" w:rsidRDefault="00A72B95" w:rsidP="00E7277D">
      <w:pPr>
        <w:pStyle w:val="BodyText"/>
      </w:pPr>
      <w:r>
        <w:t xml:space="preserve">The subsector estimates of capital services and factor income shares required the use of different data sources and additional assumptions. </w:t>
      </w:r>
    </w:p>
    <w:p w:rsidR="007310E3" w:rsidRDefault="007310E3" w:rsidP="007310E3">
      <w:pPr>
        <w:pStyle w:val="ListBullet"/>
      </w:pPr>
      <w:r>
        <w:t xml:space="preserve">Subsector capital services indexes were estimated using a range of data sources and assumptions. Where possible, subsector estimates for investment by asset type were </w:t>
      </w:r>
      <w:r w:rsidR="00BC711E">
        <w:t>benchmarked to</w:t>
      </w:r>
      <w:r>
        <w:t xml:space="preserve"> the ABS </w:t>
      </w:r>
      <w:r w:rsidR="00BA63E2">
        <w:t xml:space="preserve">estimates for </w:t>
      </w:r>
      <w:r w:rsidR="00DC5BD7">
        <w:t>Manufacturing</w:t>
      </w:r>
      <w:r>
        <w:t xml:space="preserve"> </w:t>
      </w:r>
      <w:r w:rsidR="00BA63E2">
        <w:t>in total</w:t>
      </w:r>
      <w:r w:rsidRPr="00D41BBA">
        <w:t xml:space="preserve"> </w:t>
      </w:r>
      <w:r>
        <w:t>(box </w:t>
      </w:r>
      <w:r w:rsidR="00E257AB">
        <w:t>3.1</w:t>
      </w:r>
      <w:r>
        <w:t>). But, as a result of data limitations, there is a discrepancy between the</w:t>
      </w:r>
      <w:r w:rsidR="006D52EB">
        <w:t xml:space="preserve"> sum of the </w:t>
      </w:r>
      <w:r>
        <w:t xml:space="preserve">subsector estimates for capital services and the ABS </w:t>
      </w:r>
      <w:r w:rsidR="00356C57">
        <w:t>total</w:t>
      </w:r>
      <w:r>
        <w:t xml:space="preserve"> for </w:t>
      </w:r>
      <w:r w:rsidR="00DC5BD7">
        <w:t>Manufacturing</w:t>
      </w:r>
      <w:r>
        <w:t>.</w:t>
      </w:r>
    </w:p>
    <w:p w:rsidR="007310E3" w:rsidRDefault="007310E3" w:rsidP="007310E3">
      <w:pPr>
        <w:pStyle w:val="ListBullet"/>
      </w:pPr>
      <w:r>
        <w:t xml:space="preserve">Labour income and capital income shares for the subsectors were derived using data from the ABS </w:t>
      </w:r>
      <w:r w:rsidRPr="00685B05">
        <w:rPr>
          <w:i/>
        </w:rPr>
        <w:t>Economic Activity Survey</w:t>
      </w:r>
      <w:r>
        <w:t xml:space="preserve">. These data were adjusted for changes in industry classification and survey methodology, to improve consistency over time. This data source is different to that used by the ABS for estimating </w:t>
      </w:r>
      <w:r w:rsidR="00DC5BD7">
        <w:t>Manufacturing</w:t>
      </w:r>
      <w:r>
        <w:t xml:space="preserve"> </w:t>
      </w:r>
      <w:r w:rsidR="00BA63E2">
        <w:t xml:space="preserve">in total </w:t>
      </w:r>
      <w:r>
        <w:t xml:space="preserve">and insufficient data were available to </w:t>
      </w:r>
      <w:r w:rsidR="00556A60">
        <w:t>align</w:t>
      </w:r>
      <w:r>
        <w:t xml:space="preserve"> the subsector shares with those for </w:t>
      </w:r>
      <w:r w:rsidR="00DC5BD7">
        <w:t>Manufacturing</w:t>
      </w:r>
      <w:r w:rsidR="00556A60">
        <w:t xml:space="preserve"> in </w:t>
      </w:r>
      <w:r w:rsidR="00356C57">
        <w:t>total</w:t>
      </w:r>
      <w:r>
        <w:t xml:space="preserve">. </w:t>
      </w:r>
    </w:p>
    <w:p w:rsidR="00383339" w:rsidRPr="00B11C4A" w:rsidRDefault="00383339" w:rsidP="00383339">
      <w:pPr>
        <w:pStyle w:val="BodyText"/>
      </w:pPr>
      <w:r w:rsidRPr="00B11C4A">
        <w:t xml:space="preserve">Given the data limitations, the subsector estimates presented in this paper </w:t>
      </w:r>
      <w:r>
        <w:t xml:space="preserve">are of lesser quality </w:t>
      </w:r>
      <w:r w:rsidR="00D700C8">
        <w:t>than</w:t>
      </w:r>
      <w:r>
        <w:t xml:space="preserve"> </w:t>
      </w:r>
      <w:r w:rsidRPr="00B11C4A">
        <w:t xml:space="preserve">the ABS </w:t>
      </w:r>
      <w:r w:rsidR="00556A60">
        <w:t xml:space="preserve">estimates for </w:t>
      </w:r>
      <w:r>
        <w:t>Manufacturing</w:t>
      </w:r>
      <w:r w:rsidRPr="00B11C4A">
        <w:t xml:space="preserve"> </w:t>
      </w:r>
      <w:r w:rsidR="00556A60">
        <w:t>as a whole</w:t>
      </w:r>
      <w:r w:rsidRPr="00B11C4A">
        <w:t xml:space="preserve">, and will not necessarily </w:t>
      </w:r>
      <w:r w:rsidR="005F7209">
        <w:t>sum</w:t>
      </w:r>
      <w:r w:rsidR="005F7209" w:rsidRPr="00B11C4A">
        <w:t xml:space="preserve"> </w:t>
      </w:r>
      <w:r w:rsidRPr="00B11C4A">
        <w:t xml:space="preserve">to </w:t>
      </w:r>
      <w:r w:rsidR="00D700C8" w:rsidRPr="00B11C4A">
        <w:t>th</w:t>
      </w:r>
      <w:r w:rsidR="00D700C8">
        <w:t>ose</w:t>
      </w:r>
      <w:r w:rsidR="00D700C8" w:rsidRPr="00B11C4A">
        <w:t xml:space="preserve"> </w:t>
      </w:r>
      <w:r w:rsidRPr="00B11C4A">
        <w:t xml:space="preserve">ABS estimates. Therefore the subsector estimates should be regarded as indicators of differences within the </w:t>
      </w:r>
      <w:r>
        <w:t>Manufacturing</w:t>
      </w:r>
      <w:r w:rsidRPr="00B11C4A">
        <w:t xml:space="preserve"> sector, rather than </w:t>
      </w:r>
      <w:r w:rsidR="005F7209">
        <w:t xml:space="preserve">as </w:t>
      </w:r>
      <w:r w:rsidRPr="00B11C4A">
        <w:t>precise estimates.</w:t>
      </w:r>
      <w:r w:rsidRPr="00B11C4A">
        <w:rPr>
          <w:rStyle w:val="FootnoteReference"/>
        </w:rPr>
        <w:footnoteReference w:id="4"/>
      </w:r>
      <w:r w:rsidRPr="00B11C4A">
        <w:t xml:space="preserve"> </w:t>
      </w:r>
    </w:p>
    <w:p w:rsidR="007310E3" w:rsidRDefault="007310E3" w:rsidP="007310E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0E3" w:rsidTr="007423CC">
        <w:tc>
          <w:tcPr>
            <w:tcW w:w="8771" w:type="dxa"/>
            <w:tcBorders>
              <w:top w:val="single" w:sz="6" w:space="0" w:color="auto"/>
              <w:bottom w:val="nil"/>
            </w:tcBorders>
          </w:tcPr>
          <w:p w:rsidR="007310E3" w:rsidRDefault="007310E3" w:rsidP="007423CC">
            <w:pPr>
              <w:pStyle w:val="BoxTitle"/>
            </w:pPr>
            <w:r>
              <w:rPr>
                <w:b w:val="0"/>
              </w:rPr>
              <w:t xml:space="preserve">Box </w:t>
            </w:r>
            <w:bookmarkStart w:id="7" w:name="OLE_LINK13"/>
            <w:r w:rsidR="00E257AB">
              <w:rPr>
                <w:b w:val="0"/>
              </w:rPr>
              <w:t>3.</w:t>
            </w:r>
            <w:r w:rsidR="003538B8">
              <w:rPr>
                <w:b w:val="0"/>
                <w:noProof/>
              </w:rPr>
              <w:t>1</w:t>
            </w:r>
            <w:bookmarkEnd w:id="7"/>
            <w:r>
              <w:tab/>
              <w:t>Estimation of subsector capital services</w:t>
            </w:r>
          </w:p>
        </w:tc>
      </w:tr>
      <w:tr w:rsidR="007310E3" w:rsidTr="007423CC">
        <w:trPr>
          <w:cantSplit/>
        </w:trPr>
        <w:tc>
          <w:tcPr>
            <w:tcW w:w="8771" w:type="dxa"/>
            <w:tcBorders>
              <w:top w:val="nil"/>
              <w:left w:val="single" w:sz="6" w:space="0" w:color="auto"/>
              <w:bottom w:val="nil"/>
              <w:right w:val="single" w:sz="6" w:space="0" w:color="auto"/>
            </w:tcBorders>
          </w:tcPr>
          <w:p w:rsidR="00F96325" w:rsidRDefault="00FD57EF" w:rsidP="00F96325">
            <w:pPr>
              <w:pStyle w:val="Box"/>
              <w:rPr>
                <w:rStyle w:val="BodyTextChar"/>
                <w:sz w:val="22"/>
              </w:rPr>
            </w:pPr>
            <w:r>
              <w:rPr>
                <w:rStyle w:val="BodyTextChar"/>
                <w:sz w:val="22"/>
              </w:rPr>
              <w:t>An estimate of the</w:t>
            </w:r>
            <w:r w:rsidR="001E616E">
              <w:rPr>
                <w:rStyle w:val="BodyTextChar"/>
                <w:sz w:val="22"/>
              </w:rPr>
              <w:t xml:space="preserve"> annual flow of capital services is required for </w:t>
            </w:r>
            <w:r>
              <w:rPr>
                <w:rStyle w:val="BodyTextChar"/>
                <w:sz w:val="22"/>
              </w:rPr>
              <w:t xml:space="preserve">the estimation of MFP growth. </w:t>
            </w:r>
            <w:r w:rsidR="00F96325" w:rsidRPr="00F96325">
              <w:rPr>
                <w:rStyle w:val="BodyTextChar"/>
                <w:sz w:val="22"/>
              </w:rPr>
              <w:t xml:space="preserve">For each </w:t>
            </w:r>
            <w:r>
              <w:rPr>
                <w:rStyle w:val="BodyTextChar"/>
                <w:sz w:val="22"/>
              </w:rPr>
              <w:t xml:space="preserve">capital </w:t>
            </w:r>
            <w:r w:rsidR="00F96325" w:rsidRPr="00F96325">
              <w:rPr>
                <w:rStyle w:val="BodyTextChar"/>
                <w:sz w:val="22"/>
              </w:rPr>
              <w:t xml:space="preserve">asset, the services provided are directly proportional to the asset's productive capital </w:t>
            </w:r>
            <w:r w:rsidR="00976377">
              <w:rPr>
                <w:rStyle w:val="BodyTextChar"/>
                <w:sz w:val="22"/>
              </w:rPr>
              <w:t>stock</w:t>
            </w:r>
            <w:r w:rsidR="00F96325" w:rsidRPr="00F96325">
              <w:rPr>
                <w:rStyle w:val="BodyTextChar"/>
                <w:sz w:val="22"/>
              </w:rPr>
              <w:t xml:space="preserve">. Aggregate capital services indexes are created using the volume index of the productive capital stock of each asset weighted using rental </w:t>
            </w:r>
            <w:r w:rsidR="00F96325" w:rsidRPr="00FE4BF8">
              <w:rPr>
                <w:rStyle w:val="BodyTextChar"/>
                <w:sz w:val="22"/>
              </w:rPr>
              <w:t xml:space="preserve">prices. </w:t>
            </w:r>
          </w:p>
          <w:p w:rsidR="00560675" w:rsidRDefault="00F96325" w:rsidP="00F96325">
            <w:pPr>
              <w:pStyle w:val="Box"/>
            </w:pPr>
            <w:r w:rsidRPr="006909C5">
              <w:t xml:space="preserve">The </w:t>
            </w:r>
            <w:r w:rsidRPr="006909C5">
              <w:rPr>
                <w:i/>
              </w:rPr>
              <w:t>productive capital stock</w:t>
            </w:r>
            <w:r w:rsidRPr="006909C5">
              <w:t xml:space="preserve"> of an asset is the </w:t>
            </w:r>
            <w:r>
              <w:t xml:space="preserve">real </w:t>
            </w:r>
            <w:r w:rsidRPr="006909C5">
              <w:t xml:space="preserve">stock of capital, adjusted for </w:t>
            </w:r>
            <w:r w:rsidR="001B302D">
              <w:t xml:space="preserve">retirement of capital and </w:t>
            </w:r>
            <w:r w:rsidRPr="006909C5">
              <w:t xml:space="preserve">efficiency losses related to age. </w:t>
            </w:r>
            <w:r w:rsidR="00560675">
              <w:t xml:space="preserve">The </w:t>
            </w:r>
            <w:r w:rsidR="00D652FD" w:rsidRPr="00486618">
              <w:t>productive capital stock</w:t>
            </w:r>
            <w:r w:rsidR="00560675">
              <w:t xml:space="preserve"> </w:t>
            </w:r>
            <w:r w:rsidR="00FD57EF">
              <w:t xml:space="preserve">is estimated </w:t>
            </w:r>
            <w:r w:rsidR="00560675">
              <w:t xml:space="preserve">using new investment data and </w:t>
            </w:r>
            <w:r w:rsidR="00BC711E">
              <w:t xml:space="preserve">an assumed </w:t>
            </w:r>
            <w:r w:rsidR="00560675">
              <w:t xml:space="preserve">decline in efficiency of previous investment that has aged. </w:t>
            </w:r>
          </w:p>
          <w:p w:rsidR="00071738" w:rsidRDefault="004D6836" w:rsidP="00F96325">
            <w:pPr>
              <w:pStyle w:val="Box"/>
            </w:pPr>
            <w:r>
              <w:t>T</w:t>
            </w:r>
            <w:r w:rsidR="00F96325" w:rsidRPr="006909C5">
              <w:t xml:space="preserve">he </w:t>
            </w:r>
            <w:r w:rsidR="00F96325" w:rsidRPr="006909C5">
              <w:rPr>
                <w:i/>
              </w:rPr>
              <w:t>rental price</w:t>
            </w:r>
            <w:r w:rsidR="00F96325" w:rsidRPr="006909C5">
              <w:t xml:space="preserve"> </w:t>
            </w:r>
            <w:r w:rsidR="00356C57">
              <w:t>of an</w:t>
            </w:r>
            <w:r w:rsidR="00F96325" w:rsidRPr="006909C5">
              <w:t xml:space="preserve"> asset type can be thought of as </w:t>
            </w:r>
            <w:r w:rsidR="00356C57">
              <w:t xml:space="preserve">an </w:t>
            </w:r>
            <w:r w:rsidR="00F96325" w:rsidRPr="006909C5">
              <w:t xml:space="preserve">estimate of the rate </w:t>
            </w:r>
            <w:r w:rsidR="00791000">
              <w:t>that</w:t>
            </w:r>
            <w:r w:rsidR="00F96325" w:rsidRPr="006909C5">
              <w:t xml:space="preserve"> </w:t>
            </w:r>
            <w:r w:rsidR="006D3EF7">
              <w:t xml:space="preserve">the </w:t>
            </w:r>
            <w:r w:rsidR="00F96325" w:rsidRPr="006909C5">
              <w:t xml:space="preserve">asset type would attract if leased under a commercial agreement. </w:t>
            </w:r>
            <w:r w:rsidR="00071738" w:rsidRPr="006909C5">
              <w:t>The use of rental prices as weights assumes that the rental price reflects the marginal product of an asset</w:t>
            </w:r>
            <w:r w:rsidR="00791000">
              <w:t>.</w:t>
            </w:r>
            <w:r w:rsidR="00071738" w:rsidRPr="006909C5">
              <w:t xml:space="preserve"> </w:t>
            </w:r>
            <w:r w:rsidR="00791000">
              <w:t>M</w:t>
            </w:r>
            <w:r w:rsidR="00071738" w:rsidRPr="006909C5">
              <w:t>ore productive assets have a higher rental price and</w:t>
            </w:r>
            <w:r w:rsidR="00EA388D">
              <w:t>,</w:t>
            </w:r>
            <w:r w:rsidR="00071738" w:rsidRPr="006909C5">
              <w:t xml:space="preserve"> therefore</w:t>
            </w:r>
            <w:r w:rsidR="00EA388D">
              <w:t>,</w:t>
            </w:r>
            <w:r w:rsidR="00071738" w:rsidRPr="006909C5">
              <w:t xml:space="preserve"> a higher weight in the aggregate capital services measure.</w:t>
            </w:r>
            <w:r w:rsidR="00071738">
              <w:t xml:space="preserve"> </w:t>
            </w:r>
          </w:p>
          <w:p w:rsidR="004D6836" w:rsidRDefault="004D6836" w:rsidP="00F96325">
            <w:pPr>
              <w:pStyle w:val="Box"/>
            </w:pPr>
            <w:r>
              <w:t xml:space="preserve">The rental price of an asset includes: </w:t>
            </w:r>
            <w:r w:rsidRPr="006909C5">
              <w:t>t</w:t>
            </w:r>
            <w:r>
              <w:t>he expected return on the asset</w:t>
            </w:r>
            <w:r w:rsidRPr="006909C5">
              <w:t>;</w:t>
            </w:r>
            <w:r w:rsidR="00D162A0">
              <w:t xml:space="preserve"> depreciation</w:t>
            </w:r>
            <w:r w:rsidRPr="006909C5">
              <w:t>; the capital gain or loss due to asset price inflation/deflation; a</w:t>
            </w:r>
            <w:r w:rsidR="00B04D38">
              <w:t xml:space="preserve">nd tax adjustments (particularly to </w:t>
            </w:r>
            <w:r w:rsidRPr="006909C5">
              <w:t>correct for distortions in rental prices due to differential tax treatment across capital items</w:t>
            </w:r>
            <w:r w:rsidR="00B04D38">
              <w:t>)</w:t>
            </w:r>
            <w:r w:rsidRPr="006909C5">
              <w:t>.</w:t>
            </w:r>
            <w:r w:rsidR="003F311B" w:rsidRPr="00FE4BF8">
              <w:rPr>
                <w:rStyle w:val="BodyTextChar"/>
                <w:sz w:val="22"/>
              </w:rPr>
              <w:t xml:space="preserve"> See ABS </w:t>
            </w:r>
            <w:r w:rsidR="003F311B">
              <w:rPr>
                <w:rStyle w:val="BodyTextChar"/>
                <w:sz w:val="22"/>
              </w:rPr>
              <w:t>(</w:t>
            </w:r>
            <w:proofErr w:type="spellStart"/>
            <w:r w:rsidR="003F311B" w:rsidRPr="00FE4BF8">
              <w:rPr>
                <w:rStyle w:val="BodyTextChar"/>
                <w:sz w:val="22"/>
              </w:rPr>
              <w:t>20</w:t>
            </w:r>
            <w:r w:rsidR="00976377">
              <w:rPr>
                <w:rStyle w:val="BodyTextChar"/>
                <w:sz w:val="22"/>
              </w:rPr>
              <w:t>12</w:t>
            </w:r>
            <w:r w:rsidR="00CB5A27">
              <w:rPr>
                <w:rStyle w:val="BodyTextChar"/>
                <w:sz w:val="22"/>
              </w:rPr>
              <w:t>c</w:t>
            </w:r>
            <w:proofErr w:type="spellEnd"/>
            <w:r w:rsidR="003F311B">
              <w:rPr>
                <w:rStyle w:val="BodyTextChar"/>
                <w:sz w:val="22"/>
              </w:rPr>
              <w:t>) for further details.</w:t>
            </w:r>
          </w:p>
          <w:p w:rsidR="007723CD" w:rsidRDefault="00925176" w:rsidP="00EE41E5">
            <w:pPr>
              <w:pStyle w:val="Box"/>
            </w:pPr>
            <w:r w:rsidRPr="00DE26DD">
              <w:t>Data limitations lead to some differences in methodology and data sources</w:t>
            </w:r>
            <w:r w:rsidR="00C70977">
              <w:t xml:space="preserve"> </w:t>
            </w:r>
            <w:r w:rsidR="00C96869">
              <w:t xml:space="preserve">to those </w:t>
            </w:r>
            <w:r w:rsidR="00C96869" w:rsidRPr="00DE26DD">
              <w:t xml:space="preserve">used by the ABS for </w:t>
            </w:r>
            <w:r w:rsidR="00C96869">
              <w:t>Manufacturing</w:t>
            </w:r>
            <w:r w:rsidR="006813AB">
              <w:t xml:space="preserve"> in </w:t>
            </w:r>
            <w:r w:rsidR="00791000">
              <w:t>total</w:t>
            </w:r>
            <w:r w:rsidR="007723CD">
              <w:t>.</w:t>
            </w:r>
          </w:p>
          <w:p w:rsidR="00EE41E5" w:rsidRPr="00DE26DD" w:rsidRDefault="00925176" w:rsidP="00EE41E5">
            <w:pPr>
              <w:pStyle w:val="Box"/>
            </w:pPr>
            <w:r w:rsidRPr="00DE26DD">
              <w:t>The main differences are</w:t>
            </w:r>
            <w:r w:rsidR="007723CD">
              <w:t>:</w:t>
            </w:r>
          </w:p>
          <w:p w:rsidR="00EE41E5" w:rsidRPr="00DE26DD" w:rsidRDefault="007723CD" w:rsidP="00A94A9C">
            <w:pPr>
              <w:pStyle w:val="BoxListBullet"/>
            </w:pPr>
            <w:r>
              <w:t>f</w:t>
            </w:r>
            <w:r w:rsidR="00EE41E5" w:rsidRPr="00DE26DD">
              <w:t xml:space="preserve">ewer </w:t>
            </w:r>
            <w:r w:rsidR="00DB6C6E">
              <w:t xml:space="preserve">and less detailed </w:t>
            </w:r>
            <w:r w:rsidR="00EE41E5" w:rsidRPr="00DE26DD">
              <w:t>asset types</w:t>
            </w:r>
            <w:r w:rsidR="00936553" w:rsidRPr="00DE26DD">
              <w:t xml:space="preserve"> </w:t>
            </w:r>
            <w:r w:rsidR="00791000">
              <w:t>we</w:t>
            </w:r>
            <w:r w:rsidR="00DB6C6E">
              <w:t>re</w:t>
            </w:r>
            <w:r w:rsidR="00071738" w:rsidRPr="00DE26DD">
              <w:t xml:space="preserve"> included </w:t>
            </w:r>
            <w:r w:rsidR="00DB6C6E">
              <w:t>at</w:t>
            </w:r>
            <w:r w:rsidR="00050664">
              <w:t xml:space="preserve"> the</w:t>
            </w:r>
            <w:r w:rsidR="00745C2C">
              <w:t xml:space="preserve"> subsector</w:t>
            </w:r>
            <w:r w:rsidR="00050664">
              <w:t xml:space="preserve"> </w:t>
            </w:r>
            <w:r w:rsidR="00DB6C6E">
              <w:t>level</w:t>
            </w:r>
          </w:p>
          <w:p w:rsidR="00DF17D0" w:rsidRPr="00DE26DD" w:rsidRDefault="007723CD" w:rsidP="00A94A9C">
            <w:pPr>
              <w:pStyle w:val="BoxListBullet"/>
            </w:pPr>
            <w:r>
              <w:t>s</w:t>
            </w:r>
            <w:r w:rsidR="00071738" w:rsidRPr="00DE26DD">
              <w:t xml:space="preserve">ome parameters used in rental price estimation </w:t>
            </w:r>
            <w:r w:rsidR="00791000">
              <w:t>we</w:t>
            </w:r>
            <w:r w:rsidR="00071738" w:rsidRPr="00DE26DD">
              <w:t>re not available on a subsector</w:t>
            </w:r>
            <w:r w:rsidR="00791000">
              <w:t>-</w:t>
            </w:r>
            <w:r w:rsidR="00071738" w:rsidRPr="00DE26DD">
              <w:t>specific basis —</w:t>
            </w:r>
            <w:r w:rsidR="00791000">
              <w:t xml:space="preserve"> </w:t>
            </w:r>
            <w:r w:rsidR="00EA388D">
              <w:t xml:space="preserve">they were </w:t>
            </w:r>
            <w:r w:rsidR="00071738" w:rsidRPr="00DE26DD">
              <w:t>assumed to be the same as</w:t>
            </w:r>
            <w:r w:rsidR="00791000">
              <w:t xml:space="preserve"> for</w:t>
            </w:r>
            <w:r w:rsidR="00071738" w:rsidRPr="00DE26DD">
              <w:t xml:space="preserve"> </w:t>
            </w:r>
            <w:r w:rsidR="00DC5BD7">
              <w:t>Manufacturing</w:t>
            </w:r>
            <w:r w:rsidR="00071738" w:rsidRPr="00DE26DD">
              <w:t xml:space="preserve"> in </w:t>
            </w:r>
            <w:r w:rsidR="00791000">
              <w:t>total</w:t>
            </w:r>
          </w:p>
          <w:p w:rsidR="00FA73B8" w:rsidRPr="00DE26DD" w:rsidRDefault="00791000" w:rsidP="00306F13">
            <w:pPr>
              <w:pStyle w:val="BoxListBullet"/>
            </w:pPr>
            <w:r>
              <w:t xml:space="preserve">a </w:t>
            </w:r>
            <w:r w:rsidR="007723CD">
              <w:t>d</w:t>
            </w:r>
            <w:r w:rsidR="00A94A9C" w:rsidRPr="00DE26DD">
              <w:t xml:space="preserve">ifferent </w:t>
            </w:r>
            <w:r w:rsidR="00071738" w:rsidRPr="00DE26DD">
              <w:t xml:space="preserve">primary </w:t>
            </w:r>
            <w:r>
              <w:t xml:space="preserve">data </w:t>
            </w:r>
            <w:r w:rsidR="00A94A9C" w:rsidRPr="00DE26DD">
              <w:t xml:space="preserve">source </w:t>
            </w:r>
            <w:r>
              <w:t xml:space="preserve">was used </w:t>
            </w:r>
            <w:r w:rsidR="00A94A9C" w:rsidRPr="00DE26DD">
              <w:t xml:space="preserve">for investment by subsector — </w:t>
            </w:r>
            <w:r w:rsidR="00071738" w:rsidRPr="00DE26DD">
              <w:t xml:space="preserve">but </w:t>
            </w:r>
            <w:r>
              <w:t xml:space="preserve">these data were </w:t>
            </w:r>
            <w:r w:rsidR="00BC711E">
              <w:t>benchmarked to</w:t>
            </w:r>
            <w:r w:rsidR="00023901" w:rsidRPr="00DE26DD">
              <w:t xml:space="preserve"> ABS </w:t>
            </w:r>
            <w:r w:rsidR="00556A60">
              <w:t>estimates for</w:t>
            </w:r>
            <w:r w:rsidR="00023901" w:rsidRPr="00DE26DD">
              <w:t xml:space="preserve"> </w:t>
            </w:r>
            <w:r w:rsidR="00DC5BD7">
              <w:t>Manufacturing</w:t>
            </w:r>
            <w:r w:rsidR="00023901" w:rsidRPr="00DE26DD">
              <w:t xml:space="preserve"> </w:t>
            </w:r>
            <w:r w:rsidR="00556A60">
              <w:t>in total,</w:t>
            </w:r>
            <w:r w:rsidR="00023901" w:rsidRPr="00DE26DD">
              <w:t xml:space="preserve"> by applying the subsector shares to that total. </w:t>
            </w:r>
          </w:p>
          <w:p w:rsidR="00936553" w:rsidRPr="00F96325" w:rsidRDefault="00071738" w:rsidP="00791000">
            <w:pPr>
              <w:pStyle w:val="Box"/>
            </w:pPr>
            <w:r>
              <w:t xml:space="preserve">The resulting discrepancy between the </w:t>
            </w:r>
            <w:r w:rsidR="00556A60">
              <w:t xml:space="preserve">ABS Manufacturing estimates </w:t>
            </w:r>
            <w:r w:rsidR="00EA388D">
              <w:t>and</w:t>
            </w:r>
            <w:r>
              <w:t xml:space="preserve"> the </w:t>
            </w:r>
            <w:r w:rsidR="00556A60">
              <w:t xml:space="preserve">aggregate of the </w:t>
            </w:r>
            <w:r>
              <w:t xml:space="preserve">subsector estimates </w:t>
            </w:r>
            <w:r w:rsidR="00EA388D">
              <w:t xml:space="preserve">for capital services </w:t>
            </w:r>
            <w:r>
              <w:t>varies over time</w:t>
            </w:r>
            <w:r w:rsidR="00791000">
              <w:t>.</w:t>
            </w:r>
            <w:r>
              <w:t xml:space="preserve"> </w:t>
            </w:r>
            <w:r w:rsidR="00791000">
              <w:t>B</w:t>
            </w:r>
            <w:r>
              <w:t xml:space="preserve">ut </w:t>
            </w:r>
            <w:r w:rsidR="00791000">
              <w:t xml:space="preserve">it </w:t>
            </w:r>
            <w:r>
              <w:t xml:space="preserve">is relatively small over the cycles </w:t>
            </w:r>
            <w:r w:rsidR="00791000">
              <w:t xml:space="preserve">that are the main </w:t>
            </w:r>
            <w:r>
              <w:t xml:space="preserve">focus in this study (cycles 3 and 4). Appendix A provides full details of the method and compares subsector estimates with the ABS </w:t>
            </w:r>
            <w:r w:rsidR="00DC5BD7">
              <w:t>Manufacturing</w:t>
            </w:r>
            <w:r w:rsidR="00556A60">
              <w:t xml:space="preserve"> estimates</w:t>
            </w:r>
            <w:r>
              <w:t xml:space="preserve">. </w:t>
            </w:r>
          </w:p>
        </w:tc>
      </w:tr>
      <w:tr w:rsidR="007310E3" w:rsidTr="007423CC">
        <w:trPr>
          <w:cantSplit/>
        </w:trPr>
        <w:tc>
          <w:tcPr>
            <w:tcW w:w="8771" w:type="dxa"/>
            <w:tcBorders>
              <w:top w:val="nil"/>
              <w:left w:val="single" w:sz="6" w:space="0" w:color="auto"/>
              <w:bottom w:val="single" w:sz="6" w:space="0" w:color="auto"/>
              <w:right w:val="single" w:sz="6" w:space="0" w:color="auto"/>
            </w:tcBorders>
          </w:tcPr>
          <w:p w:rsidR="007310E3" w:rsidRDefault="007310E3" w:rsidP="007423CC">
            <w:pPr>
              <w:pStyle w:val="Box"/>
              <w:spacing w:before="0" w:line="120" w:lineRule="exact"/>
            </w:pPr>
          </w:p>
        </w:tc>
      </w:tr>
      <w:tr w:rsidR="007310E3" w:rsidRPr="000863A5" w:rsidTr="007423CC">
        <w:tc>
          <w:tcPr>
            <w:tcW w:w="8771" w:type="dxa"/>
            <w:tcBorders>
              <w:top w:val="nil"/>
              <w:left w:val="nil"/>
              <w:bottom w:val="nil"/>
              <w:right w:val="nil"/>
            </w:tcBorders>
          </w:tcPr>
          <w:p w:rsidR="007310E3" w:rsidRPr="00626D32" w:rsidRDefault="007310E3" w:rsidP="007423CC">
            <w:pPr>
              <w:pStyle w:val="BoxSpaceBelow"/>
            </w:pPr>
          </w:p>
        </w:tc>
      </w:tr>
    </w:tbl>
    <w:p w:rsidR="007310E3" w:rsidRPr="00B11C4A" w:rsidRDefault="007310E3" w:rsidP="007310E3">
      <w:pPr>
        <w:pStyle w:val="Heading4"/>
      </w:pPr>
      <w:r w:rsidRPr="00B11C4A">
        <w:t xml:space="preserve">Consistency with ABS </w:t>
      </w:r>
      <w:r w:rsidR="00DC5BD7">
        <w:t>Manufacturing</w:t>
      </w:r>
      <w:r w:rsidRPr="00B11C4A">
        <w:t xml:space="preserve"> estimates.</w:t>
      </w:r>
    </w:p>
    <w:p w:rsidR="007310E3" w:rsidRDefault="007310E3" w:rsidP="007310E3">
      <w:pPr>
        <w:pStyle w:val="BodyText"/>
      </w:pPr>
      <w:r w:rsidRPr="00B11C4A">
        <w:t xml:space="preserve">The most significant of </w:t>
      </w:r>
      <w:r w:rsidR="0052483E">
        <w:t xml:space="preserve">the discrepancies between the ABS </w:t>
      </w:r>
      <w:r w:rsidR="0041431C">
        <w:t>estimates for</w:t>
      </w:r>
      <w:r w:rsidR="0052483E">
        <w:t xml:space="preserve"> </w:t>
      </w:r>
      <w:r w:rsidR="00DC5BD7">
        <w:t>Manufacturing</w:t>
      </w:r>
      <w:r w:rsidR="0052483E">
        <w:t xml:space="preserve"> </w:t>
      </w:r>
      <w:r w:rsidR="0041431C">
        <w:t>in total</w:t>
      </w:r>
      <w:r w:rsidR="0052483E">
        <w:t xml:space="preserve"> and the aggregate of the subsector estimates</w:t>
      </w:r>
      <w:r w:rsidR="0052483E" w:rsidRPr="00B11C4A">
        <w:t xml:space="preserve"> </w:t>
      </w:r>
      <w:r w:rsidRPr="00B11C4A">
        <w:t xml:space="preserve">is in capital services and this flows through to the MFP estimates </w:t>
      </w:r>
      <w:r w:rsidR="00AA5277" w:rsidRPr="00B11C4A">
        <w:t>(figure</w:t>
      </w:r>
      <w:r w:rsidR="00AA5277">
        <w:t> </w:t>
      </w:r>
      <w:r w:rsidR="00E257AB">
        <w:t>3.3</w:t>
      </w:r>
      <w:r w:rsidR="00AA5277" w:rsidRPr="00B11C4A">
        <w:t>)</w:t>
      </w:r>
      <w:r w:rsidRPr="00B11C4A">
        <w:t>.</w:t>
      </w:r>
      <w:r>
        <w:t xml:space="preserve"> </w:t>
      </w:r>
    </w:p>
    <w:p w:rsidR="007310E3" w:rsidRDefault="007310E3" w:rsidP="007310E3">
      <w:pPr>
        <w:pStyle w:val="FigureTitle"/>
      </w:pPr>
      <w:r>
        <w:rPr>
          <w:b w:val="0"/>
        </w:rPr>
        <w:lastRenderedPageBreak/>
        <w:t xml:space="preserve">Figure </w:t>
      </w:r>
      <w:bookmarkStart w:id="8" w:name="OLE_LINK15"/>
      <w:r w:rsidR="00E257AB">
        <w:rPr>
          <w:b w:val="0"/>
        </w:rPr>
        <w:t>3.</w:t>
      </w:r>
      <w:r w:rsidR="003538B8">
        <w:rPr>
          <w:b w:val="0"/>
          <w:noProof/>
        </w:rPr>
        <w:t>3</w:t>
      </w:r>
      <w:bookmarkEnd w:id="8"/>
      <w:r>
        <w:tab/>
      </w:r>
      <w:r w:rsidR="00D24D34">
        <w:t>D</w:t>
      </w:r>
      <w:r>
        <w:t>iscrepanc</w:t>
      </w:r>
      <w:r w:rsidR="00D24D34">
        <w:t>ies in capital services and MFP</w:t>
      </w:r>
    </w:p>
    <w:p w:rsidR="007310E3" w:rsidRDefault="007310E3" w:rsidP="007310E3">
      <w:pPr>
        <w:pStyle w:val="Subtitle"/>
      </w:pPr>
      <w:r>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311B79" w:rsidRPr="00311B79" w:rsidTr="00D24D34">
        <w:tc>
          <w:tcPr>
            <w:tcW w:w="4388" w:type="dxa"/>
          </w:tcPr>
          <w:p w:rsidR="00311B79" w:rsidRPr="00311B79" w:rsidRDefault="00311B79" w:rsidP="00311B79">
            <w:pPr>
              <w:pStyle w:val="Figure"/>
              <w:spacing w:after="0" w:line="200" w:lineRule="atLeast"/>
              <w:rPr>
                <w:i/>
                <w:noProof/>
                <w:sz w:val="22"/>
                <w:szCs w:val="22"/>
              </w:rPr>
            </w:pPr>
            <w:r w:rsidRPr="00311B79">
              <w:rPr>
                <w:i/>
                <w:noProof/>
                <w:sz w:val="22"/>
                <w:szCs w:val="22"/>
              </w:rPr>
              <w:t>Capital services</w:t>
            </w:r>
          </w:p>
        </w:tc>
        <w:tc>
          <w:tcPr>
            <w:tcW w:w="4389" w:type="dxa"/>
          </w:tcPr>
          <w:p w:rsidR="00311B79" w:rsidRPr="00311B79" w:rsidRDefault="00311B79" w:rsidP="00311B79">
            <w:pPr>
              <w:pStyle w:val="Figure"/>
              <w:spacing w:after="0"/>
              <w:rPr>
                <w:i/>
                <w:sz w:val="22"/>
                <w:szCs w:val="22"/>
              </w:rPr>
            </w:pPr>
            <w:r w:rsidRPr="00311B79">
              <w:rPr>
                <w:i/>
                <w:sz w:val="22"/>
                <w:szCs w:val="22"/>
              </w:rPr>
              <w:t>MFP</w:t>
            </w:r>
          </w:p>
        </w:tc>
      </w:tr>
      <w:tr w:rsidR="00D24D34" w:rsidTr="00D24D34">
        <w:tc>
          <w:tcPr>
            <w:tcW w:w="4388" w:type="dxa"/>
          </w:tcPr>
          <w:p w:rsidR="00D24D34" w:rsidRPr="00923738" w:rsidRDefault="00AF5615" w:rsidP="004D580D">
            <w:pPr>
              <w:pStyle w:val="Figure"/>
              <w:spacing w:before="0" w:after="0"/>
              <w:rPr>
                <w:i/>
              </w:rPr>
            </w:pPr>
            <w:r>
              <w:rPr>
                <w:i/>
                <w:noProof/>
              </w:rPr>
              <w:pict>
                <v:shape id="_x0000_i1027" type="#_x0000_t75" alt="The left panel of this figure shows that the aggregate of subsector capital services index does not exactly match that published by the ABS for Manufacturing in total for the period 1985-86 to 2010-11. The ABS total Manufacturing series is slightly higher than for the aggregate of subsector estimates series. &#10;The right panel of this figure shows that the aggregate of subsector MFP index does not exactly match that published by the ABS for Manufacturing in total over the period 1985-86 to 2010-11. The ABS total Manufacturing series is slightly higher than for the aggregate of subsector estimates series.&#10;" style="width:212.25pt;height:197.25pt">
                  <v:imagedata r:id="rId11" o:title=""/>
                </v:shape>
              </w:pict>
            </w:r>
          </w:p>
        </w:tc>
        <w:tc>
          <w:tcPr>
            <w:tcW w:w="4389" w:type="dxa"/>
          </w:tcPr>
          <w:p w:rsidR="00D24D34" w:rsidRPr="00923738" w:rsidRDefault="00AF5615" w:rsidP="000209C0">
            <w:pPr>
              <w:pStyle w:val="Figure"/>
              <w:spacing w:before="0" w:after="0" w:line="200" w:lineRule="atLeast"/>
              <w:rPr>
                <w:i/>
              </w:rPr>
            </w:pPr>
            <w:r>
              <w:rPr>
                <w:i/>
              </w:rPr>
              <w:pict>
                <v:shape id="_x0000_i1028" type="#_x0000_t75" alt="The left panel of this figure shows that the aggregate of subsector capital services index does not exactly match that published by the ABS for Manufacturing in total for the period 1985-86 to 2010-11. The ABS total Manufacturing series is slightly higher than for the aggregate of subsector estimates series. &#10;The right panel of this figure shows that the aggregate of subsector MFP index does not exactly match that published by the ABS for Manufacturing in total over the period 1985-86 to 2010-11. The ABS total Manufacturing series is slightly higher than for the aggregate of subsector estimates series.&#10;" style="width:212.25pt;height:197.25pt">
                  <v:imagedata r:id="rId12" o:title=""/>
                </v:shape>
              </w:pict>
            </w:r>
          </w:p>
        </w:tc>
      </w:tr>
      <w:tr w:rsidR="00D24D34" w:rsidTr="00D24D34">
        <w:tc>
          <w:tcPr>
            <w:tcW w:w="8777" w:type="dxa"/>
            <w:gridSpan w:val="2"/>
          </w:tcPr>
          <w:p w:rsidR="00D24D34" w:rsidRDefault="00AF5615" w:rsidP="003C664D">
            <w:pPr>
              <w:pStyle w:val="Figure"/>
              <w:spacing w:before="0" w:after="0"/>
            </w:pPr>
            <w:r>
              <w:pict>
                <v:shape id="_x0000_i1029" type="#_x0000_t75" alt="The left panel of this figure shows that the aggregate of subsector capital services index does not exactly match that published by the ABS for Manufacturing in total for the period 1985-86 to 2010-11. The ABS total Manufacturing series is slightly higher than for the aggregate of subsector estimates series. &#10;The right panel of this figure shows that the aggregate of subsector MFP index does not exactly match that published by the ABS for Manufacturing in total over the period 1985-86 to 2010-11. The ABS total Manufacturing series is slightly higher than for the aggregate of subsector estimates series.&#10;" style="width:408.75pt;height:20.25pt">
                  <v:imagedata r:id="rId13" o:title=""/>
                </v:shape>
              </w:pict>
            </w:r>
          </w:p>
        </w:tc>
      </w:tr>
    </w:tbl>
    <w:p w:rsidR="007310E3" w:rsidRDefault="007310E3" w:rsidP="007310E3">
      <w:pPr>
        <w:pStyle w:val="Source"/>
      </w:pPr>
      <w:r>
        <w:rPr>
          <w:i/>
        </w:rPr>
        <w:t>Data source</w:t>
      </w:r>
      <w:r w:rsidR="00F54230">
        <w:rPr>
          <w:i/>
        </w:rPr>
        <w:t>s</w:t>
      </w:r>
      <w:r w:rsidRPr="00167F06">
        <w:t xml:space="preserve">: </w:t>
      </w:r>
      <w:r>
        <w:t>Authors’ estimates; ABS (</w:t>
      </w:r>
      <w:r w:rsidRPr="0050427A">
        <w:rPr>
          <w:i/>
        </w:rPr>
        <w:t>Experimental Estimates of Industry Mu</w:t>
      </w:r>
      <w:r>
        <w:rPr>
          <w:i/>
        </w:rPr>
        <w:t xml:space="preserve">ltifactor Productivity, 2010-11, </w:t>
      </w:r>
      <w:r>
        <w:t>Cat. no. 5260.0.55.002).</w:t>
      </w:r>
    </w:p>
    <w:p w:rsidR="007310E3" w:rsidRPr="000E305B" w:rsidRDefault="00EA388D" w:rsidP="0081112D">
      <w:pPr>
        <w:pStyle w:val="BodyText"/>
        <w:spacing w:before="200"/>
      </w:pPr>
      <w:r>
        <w:t xml:space="preserve">Nonetheless, the </w:t>
      </w:r>
      <w:r w:rsidR="007310E3">
        <w:t>discrepancies are relatively small over the last two complete productivity cycles</w:t>
      </w:r>
      <w:r w:rsidR="00D640B5">
        <w:t xml:space="preserve"> (appendix A)</w:t>
      </w:r>
      <w:r w:rsidR="007310E3">
        <w:t xml:space="preserve">, which are the focus of this paper. </w:t>
      </w:r>
      <w:r w:rsidR="0010119C">
        <w:t>And t</w:t>
      </w:r>
      <w:r w:rsidR="000D02D8" w:rsidRPr="000D02D8">
        <w:t xml:space="preserve">he broad pattern of subsector MFP growth </w:t>
      </w:r>
      <w:r>
        <w:t>across</w:t>
      </w:r>
      <w:r w:rsidRPr="000D02D8">
        <w:t xml:space="preserve"> </w:t>
      </w:r>
      <w:r w:rsidR="000D02D8" w:rsidRPr="000D02D8">
        <w:t>cycles does not change substantially with the use of alternative capital data or alternative assumptions regarding R&amp;D</w:t>
      </w:r>
      <w:r w:rsidR="00556446">
        <w:t xml:space="preserve"> capital</w:t>
      </w:r>
      <w:r w:rsidR="000D02D8" w:rsidRPr="000D02D8">
        <w:t xml:space="preserve">. The magnitude of the changes in inputs and outputs underlying the subsector productivity estimates makes it unlikely that the declines in </w:t>
      </w:r>
      <w:r w:rsidR="00AD0513">
        <w:t xml:space="preserve">subsector </w:t>
      </w:r>
      <w:r w:rsidR="000D02D8" w:rsidRPr="000D02D8">
        <w:t>productivity are the result of statistical error in the data</w:t>
      </w:r>
      <w:r w:rsidR="000D02D8">
        <w:t xml:space="preserve"> </w:t>
      </w:r>
      <w:r w:rsidR="007310E3" w:rsidRPr="000E305B">
        <w:t xml:space="preserve">(appendix </w:t>
      </w:r>
      <w:r w:rsidR="003A5343">
        <w:t>E</w:t>
      </w:r>
      <w:r w:rsidR="007310E3" w:rsidRPr="000E305B">
        <w:t>).</w:t>
      </w:r>
    </w:p>
    <w:p w:rsidR="00BB46DD" w:rsidRPr="00BB46DD" w:rsidRDefault="00077ABB" w:rsidP="0081112D">
      <w:pPr>
        <w:pStyle w:val="BodyText"/>
        <w:spacing w:before="200"/>
      </w:pPr>
      <w:r>
        <w:t xml:space="preserve">In the remainder of the chapter, all tables include both the aggregate of the subsectors estimates and the ABS </w:t>
      </w:r>
      <w:r w:rsidR="00B860F8">
        <w:t xml:space="preserve">estimates for </w:t>
      </w:r>
      <w:r w:rsidR="00DC5BD7">
        <w:t>Manufacturing</w:t>
      </w:r>
      <w:r>
        <w:t xml:space="preserve"> </w:t>
      </w:r>
      <w:r w:rsidR="007735FA">
        <w:t>in total</w:t>
      </w:r>
      <w:r>
        <w:t xml:space="preserve">. But, for clarity, charts include only the ABS </w:t>
      </w:r>
      <w:r w:rsidR="00B860F8">
        <w:t xml:space="preserve">estimates for </w:t>
      </w:r>
      <w:r w:rsidR="00DC5BD7">
        <w:t>Manufacturing</w:t>
      </w:r>
      <w:r w:rsidR="00B860F8">
        <w:t xml:space="preserve"> </w:t>
      </w:r>
      <w:r>
        <w:t>(unless otherwise specified)</w:t>
      </w:r>
      <w:r w:rsidR="003E6EC8">
        <w:t>.</w:t>
      </w:r>
    </w:p>
    <w:p w:rsidR="007310E3" w:rsidRDefault="007310E3" w:rsidP="0081112D">
      <w:pPr>
        <w:pStyle w:val="Heading3"/>
        <w:spacing w:before="500"/>
      </w:pPr>
      <w:r>
        <w:t>Subsector-specific estimates</w:t>
      </w:r>
    </w:p>
    <w:p w:rsidR="006440C2" w:rsidRDefault="007310E3" w:rsidP="0081112D">
      <w:pPr>
        <w:pStyle w:val="BodyText"/>
        <w:spacing w:before="200"/>
      </w:pPr>
      <w:r>
        <w:t xml:space="preserve">From 1985-86 to 2010-11, the MFP trend for </w:t>
      </w:r>
      <w:r w:rsidR="00DC5BD7">
        <w:t>Manufacturing</w:t>
      </w:r>
      <w:r>
        <w:t xml:space="preserve"> as a whole was relatively flat (with average annual growth of around 0.3 per cent). However,</w:t>
      </w:r>
      <w:r w:rsidR="00815D92">
        <w:t xml:space="preserve"> this aggregate disguise</w:t>
      </w:r>
      <w:r w:rsidR="0073548C">
        <w:t>s</w:t>
      </w:r>
      <w:r w:rsidR="00AD0513">
        <w:t xml:space="preserve"> </w:t>
      </w:r>
      <w:r>
        <w:t>considerable variation among the subsectors, with some subsectors experiencing positive growth and others experiencing ne</w:t>
      </w:r>
      <w:r w:rsidR="009A725D">
        <w:t>gative growth in MFP</w:t>
      </w:r>
      <w:r w:rsidR="00AD0513">
        <w:t>,</w:t>
      </w:r>
      <w:r w:rsidR="009A725D">
        <w:t xml:space="preserve"> on average</w:t>
      </w:r>
      <w:r w:rsidR="00BA61D7">
        <w:t xml:space="preserve"> (figure </w:t>
      </w:r>
      <w:r w:rsidR="00E257AB">
        <w:t>3.4</w:t>
      </w:r>
      <w:r w:rsidR="00BA61D7">
        <w:t>)</w:t>
      </w:r>
      <w:r w:rsidR="00551F62">
        <w:t xml:space="preserve">. </w:t>
      </w:r>
      <w:r w:rsidR="00AD0513">
        <w:t xml:space="preserve">Over the period, </w:t>
      </w:r>
      <w:r w:rsidR="00BC2365" w:rsidRPr="00CC0019">
        <w:t>Non-metallic mineral products</w:t>
      </w:r>
      <w:r>
        <w:t xml:space="preserve"> had the highest </w:t>
      </w:r>
      <w:r w:rsidR="004C2C72">
        <w:t xml:space="preserve">average </w:t>
      </w:r>
      <w:r>
        <w:t xml:space="preserve">annual MFP growth </w:t>
      </w:r>
      <w:r w:rsidR="00DB668F">
        <w:t xml:space="preserve">at </w:t>
      </w:r>
      <w:r>
        <w:t xml:space="preserve">1.4 </w:t>
      </w:r>
      <w:r w:rsidR="009A725D">
        <w:t xml:space="preserve">per cent and </w:t>
      </w:r>
      <w:r w:rsidR="00BC2365" w:rsidRPr="00CC0019">
        <w:t xml:space="preserve">Textile, clothing </w:t>
      </w:r>
      <w:r w:rsidR="00BC2365">
        <w:t>and</w:t>
      </w:r>
      <w:r w:rsidR="00BC2365" w:rsidRPr="00CC0019">
        <w:t xml:space="preserve"> other manufacturing</w:t>
      </w:r>
      <w:r w:rsidR="009A725D">
        <w:t xml:space="preserve"> the lowest</w:t>
      </w:r>
      <w:r>
        <w:t xml:space="preserve"> at -1.4 per cent.</w:t>
      </w:r>
      <w:r w:rsidR="006440C2" w:rsidRPr="006440C2">
        <w:t xml:space="preserve"> </w:t>
      </w:r>
    </w:p>
    <w:p w:rsidR="00AE1799" w:rsidRDefault="00AE1799" w:rsidP="00AE1799">
      <w:pPr>
        <w:pStyle w:val="BodyText"/>
      </w:pPr>
      <w:r>
        <w:lastRenderedPageBreak/>
        <w:t>Three subsectors had MFP growth above the average for Manufacturing as a whole (figure 3.4,</w:t>
      </w:r>
      <w:r w:rsidRPr="00D640B5">
        <w:t xml:space="preserve"> </w:t>
      </w:r>
      <w:r>
        <w:t>top panel) and five subsectors had below average growth (bottom panel).</w:t>
      </w:r>
      <w:r w:rsidRPr="00770625">
        <w:t xml:space="preserve"> </w:t>
      </w:r>
      <w:r>
        <w:t xml:space="preserve">All the subsectors in the bottom panel experienced </w:t>
      </w:r>
      <w:r w:rsidRPr="006B7028">
        <w:rPr>
          <w:i/>
        </w:rPr>
        <w:t>negative</w:t>
      </w:r>
      <w:r>
        <w:t xml:space="preserve"> MFP growth on average over the full period. However, in most subsectors, the rate of MFP growth varied considerably over time. </w:t>
      </w:r>
    </w:p>
    <w:p w:rsidR="007310E3" w:rsidRDefault="007310E3" w:rsidP="00CB16CA">
      <w:pPr>
        <w:pStyle w:val="FigureTitle"/>
        <w:spacing w:before="240"/>
      </w:pPr>
      <w:r>
        <w:rPr>
          <w:b w:val="0"/>
        </w:rPr>
        <w:t xml:space="preserve">Figure </w:t>
      </w:r>
      <w:bookmarkStart w:id="9" w:name="OLE_LINK1"/>
      <w:r w:rsidR="00E257AB">
        <w:rPr>
          <w:b w:val="0"/>
        </w:rPr>
        <w:t>3.</w:t>
      </w:r>
      <w:r w:rsidR="003538B8">
        <w:rPr>
          <w:b w:val="0"/>
          <w:noProof/>
        </w:rPr>
        <w:t>4</w:t>
      </w:r>
      <w:bookmarkEnd w:id="9"/>
      <w:r>
        <w:tab/>
        <w:t xml:space="preserve">MFP by </w:t>
      </w:r>
      <w:r w:rsidR="00032914">
        <w:t xml:space="preserve">Manufacturing </w:t>
      </w:r>
      <w:r>
        <w:t>subsector</w:t>
      </w:r>
      <w:r w:rsidR="0063615A" w:rsidRPr="0063615A">
        <w:rPr>
          <w:rStyle w:val="NoteLabel"/>
          <w:b/>
        </w:rPr>
        <w:t>a</w:t>
      </w:r>
    </w:p>
    <w:p w:rsidR="007310E3" w:rsidRDefault="007310E3" w:rsidP="007310E3">
      <w:pPr>
        <w:pStyle w:val="Subtitle"/>
      </w:pPr>
      <w:r>
        <w:t>Index 2009-10</w:t>
      </w:r>
      <w:r w:rsidR="004610A5">
        <w:t xml:space="preserve"> </w:t>
      </w:r>
      <w:r>
        <w:t>=</w:t>
      </w:r>
      <w:r w:rsidR="004610A5">
        <w:t xml:space="preserve"> </w:t>
      </w:r>
      <w:r>
        <w:t>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A3CE7" w:rsidTr="007423CC">
        <w:tc>
          <w:tcPr>
            <w:tcW w:w="8777" w:type="dxa"/>
          </w:tcPr>
          <w:p w:rsidR="00FA3CE7" w:rsidRDefault="00FA3CE7" w:rsidP="0081112D">
            <w:pPr>
              <w:pStyle w:val="Figure"/>
              <w:spacing w:before="60" w:after="0"/>
              <w:rPr>
                <w:noProof/>
              </w:rPr>
            </w:pPr>
            <w:r w:rsidRPr="00A51108">
              <w:rPr>
                <w:i/>
                <w:iCs/>
                <w:noProof/>
                <w:sz w:val="22"/>
                <w:szCs w:val="22"/>
              </w:rPr>
              <w:t>Subsectors with above average MFP growth</w:t>
            </w:r>
            <w:r w:rsidR="0063615A">
              <w:rPr>
                <w:rStyle w:val="NoteLabel"/>
              </w:rPr>
              <w:t>b</w:t>
            </w:r>
          </w:p>
        </w:tc>
      </w:tr>
      <w:tr w:rsidR="007310E3" w:rsidTr="007423CC">
        <w:tc>
          <w:tcPr>
            <w:tcW w:w="8777" w:type="dxa"/>
          </w:tcPr>
          <w:p w:rsidR="007310E3" w:rsidRDefault="00AF5615" w:rsidP="004D0942">
            <w:pPr>
              <w:pStyle w:val="Figure"/>
              <w:spacing w:before="0" w:after="0"/>
            </w:pPr>
            <w:r>
              <w:rPr>
                <w:noProof/>
              </w:rPr>
              <w:pict>
                <v:shape id="_x0000_i1030" type="#_x0000_t75" alt="This figure comprises two charts showing subsectors with above and below average MFP growth respectively from 1985 86 to 2010-11. The MFP trend for Manufacturing as a whole was relatively flat but there is considerable variation among the subsectors. Over the period, NM appears to have had the highest average annual MFP growth, especially with a strong period of MFP growth between 1995 96 to 2006-07. TCO appears to have had the lowest average annual MFP growth over the period, especially with a considerable decline in MFP post 2007-08. Only MP, NM and ME had MFP growth above the average for Manufacturing as a whole over the full period." style="width:424.5pt;height:198pt">
                  <v:imagedata r:id="rId14" o:title=""/>
                </v:shape>
              </w:pict>
            </w:r>
          </w:p>
        </w:tc>
      </w:tr>
      <w:tr w:rsidR="00FA3CE7" w:rsidTr="007423CC">
        <w:tc>
          <w:tcPr>
            <w:tcW w:w="8777" w:type="dxa"/>
          </w:tcPr>
          <w:p w:rsidR="00FA3CE7" w:rsidRDefault="00FA3CE7" w:rsidP="0081112D">
            <w:pPr>
              <w:pStyle w:val="Figure"/>
              <w:spacing w:before="240" w:after="0"/>
              <w:rPr>
                <w:noProof/>
              </w:rPr>
            </w:pPr>
            <w:r w:rsidRPr="00A51108">
              <w:rPr>
                <w:i/>
                <w:iCs/>
                <w:noProof/>
                <w:sz w:val="22"/>
                <w:szCs w:val="22"/>
              </w:rPr>
              <w:t>Subsectors with below average MFP growth</w:t>
            </w:r>
            <w:r w:rsidR="0063615A">
              <w:rPr>
                <w:rStyle w:val="NoteLabel"/>
              </w:rPr>
              <w:t>b</w:t>
            </w:r>
          </w:p>
        </w:tc>
      </w:tr>
      <w:tr w:rsidR="007310E3" w:rsidTr="007423CC">
        <w:tc>
          <w:tcPr>
            <w:tcW w:w="8777" w:type="dxa"/>
          </w:tcPr>
          <w:p w:rsidR="007310E3" w:rsidRDefault="00AF5615" w:rsidP="0081112D">
            <w:pPr>
              <w:pStyle w:val="Figure"/>
              <w:spacing w:before="0" w:after="60"/>
              <w:rPr>
                <w:noProof/>
              </w:rPr>
            </w:pPr>
            <w:r>
              <w:rPr>
                <w:noProof/>
              </w:rPr>
              <w:pict>
                <v:shape id="_x0000_i1031" type="#_x0000_t75" alt="This figure comprises two charts showing subsectors with above and below average MFP growth respectively from 1985 86 to 2010-11. The MFP trend for Manufacturing as a whole was relatively flat but there is considerable variation among the subsectors. Over the period, NM appears to have had the highest average annual MFP growth, especially with a strong period of MFP growth between 1995 96 to 2006-07. TCO appears to have had the lowest average annual MFP growth over the period, especially with a considerable decline in MFP post 2007-08. Only MP, NM and ME had MFP growth above the average for Manufacturing as a whole over the full period." style="width:424.5pt;height:198pt">
                  <v:imagedata r:id="rId15" o:title=""/>
                </v:shape>
              </w:pict>
            </w:r>
          </w:p>
        </w:tc>
      </w:tr>
    </w:tbl>
    <w:p w:rsidR="00FF5D81" w:rsidRDefault="00F55B2F" w:rsidP="0081112D">
      <w:pPr>
        <w:pStyle w:val="Note"/>
      </w:pPr>
      <w:r>
        <w:rPr>
          <w:rStyle w:val="NoteLabel"/>
        </w:rPr>
        <w:t xml:space="preserve">a </w:t>
      </w:r>
      <w:proofErr w:type="spellStart"/>
      <w:r w:rsidRPr="009654AC">
        <w:rPr>
          <w:rStyle w:val="NoteLabel"/>
          <w:b w:val="0"/>
          <w:position w:val="0"/>
        </w:rPr>
        <w:t>FBT</w:t>
      </w:r>
      <w:proofErr w:type="spellEnd"/>
      <w:r w:rsidRPr="009654AC">
        <w:rPr>
          <w:rStyle w:val="NoteLabel"/>
          <w:b w:val="0"/>
          <w:position w:val="0"/>
        </w:rPr>
        <w:t xml:space="preserve"> is Food, beverage &amp; tobacco products; </w:t>
      </w:r>
      <w:proofErr w:type="spellStart"/>
      <w:r w:rsidRPr="009654AC">
        <w:rPr>
          <w:rStyle w:val="NoteLabel"/>
          <w:b w:val="0"/>
          <w:position w:val="0"/>
        </w:rPr>
        <w:t>TCO</w:t>
      </w:r>
      <w:proofErr w:type="spellEnd"/>
      <w:r w:rsidRPr="009654AC">
        <w:rPr>
          <w:rStyle w:val="NoteLabel"/>
          <w:b w:val="0"/>
          <w:position w:val="0"/>
        </w:rPr>
        <w:t xml:space="preserve"> is Textile, clothing &amp; other manufacturing; WP is Wood </w:t>
      </w:r>
      <w:r>
        <w:rPr>
          <w:rStyle w:val="NoteLabel"/>
          <w:b w:val="0"/>
          <w:position w:val="0"/>
        </w:rPr>
        <w:t xml:space="preserve">&amp; paper </w:t>
      </w:r>
      <w:r w:rsidRPr="009654AC">
        <w:rPr>
          <w:rStyle w:val="NoteLabel"/>
          <w:b w:val="0"/>
          <w:position w:val="0"/>
        </w:rPr>
        <w:t xml:space="preserve">products; </w:t>
      </w:r>
      <w:proofErr w:type="spellStart"/>
      <w:r w:rsidRPr="009654AC">
        <w:rPr>
          <w:rStyle w:val="NoteLabel"/>
          <w:b w:val="0"/>
          <w:position w:val="0"/>
        </w:rPr>
        <w:t>PRM</w:t>
      </w:r>
      <w:proofErr w:type="spellEnd"/>
      <w:r w:rsidRPr="009654AC">
        <w:rPr>
          <w:rStyle w:val="NoteLabel"/>
          <w:b w:val="0"/>
          <w:position w:val="0"/>
        </w:rPr>
        <w:t xml:space="preserve"> is Printing &amp; recorded media; </w:t>
      </w:r>
      <w:proofErr w:type="spellStart"/>
      <w:r w:rsidRPr="009654AC">
        <w:rPr>
          <w:rStyle w:val="NoteLabel"/>
          <w:b w:val="0"/>
          <w:position w:val="0"/>
        </w:rPr>
        <w:t>PCCR</w:t>
      </w:r>
      <w:proofErr w:type="spellEnd"/>
      <w:r w:rsidRPr="009654AC">
        <w:rPr>
          <w:rStyle w:val="NoteLabel"/>
          <w:b w:val="0"/>
          <w:position w:val="0"/>
        </w:rPr>
        <w:t xml:space="preserve"> is Petroleum, coal, chemical </w:t>
      </w:r>
      <w:r w:rsidR="004A7D58">
        <w:rPr>
          <w:rStyle w:val="NoteLabel"/>
          <w:b w:val="0"/>
          <w:position w:val="0"/>
        </w:rPr>
        <w:t>&amp;</w:t>
      </w:r>
      <w:r w:rsidRPr="009654AC">
        <w:rPr>
          <w:rStyle w:val="NoteLabel"/>
          <w:b w:val="0"/>
          <w:position w:val="0"/>
        </w:rPr>
        <w:t xml:space="preserve"> rubber products; NM is Non-metallic mineral products; MP is Metal products; ME is Machinery &amp; equipment manufacturing.</w:t>
      </w:r>
      <w:r>
        <w:t xml:space="preserve"> </w:t>
      </w:r>
      <w:r w:rsidR="0063615A">
        <w:rPr>
          <w:rStyle w:val="NoteLabel"/>
        </w:rPr>
        <w:t>b</w:t>
      </w:r>
      <w:r>
        <w:t> </w:t>
      </w:r>
      <w:r w:rsidR="00FF5D81">
        <w:t>As 2009-10 is the base year</w:t>
      </w:r>
      <w:r w:rsidR="0014428E">
        <w:t xml:space="preserve"> of the indexes</w:t>
      </w:r>
      <w:r w:rsidR="00FF5D81">
        <w:t xml:space="preserve">, </w:t>
      </w:r>
      <w:r w:rsidR="00483F30">
        <w:t xml:space="preserve">those subsectors with an index value below that for total Manufacturing in 1985-86 have </w:t>
      </w:r>
      <w:r w:rsidR="00D91E28">
        <w:t xml:space="preserve">higher </w:t>
      </w:r>
      <w:r w:rsidR="00483F30">
        <w:t xml:space="preserve">average MFP growth </w:t>
      </w:r>
      <w:r w:rsidR="00D91E28">
        <w:t>than</w:t>
      </w:r>
      <w:r w:rsidR="00483F30">
        <w:t xml:space="preserve"> Manufacturing </w:t>
      </w:r>
      <w:r w:rsidR="0014428E">
        <w:t>over the period 1985</w:t>
      </w:r>
      <w:r w:rsidR="008847C8">
        <w:noBreakHyphen/>
      </w:r>
      <w:r w:rsidR="0014428E">
        <w:t xml:space="preserve">86 to 2009-10 </w:t>
      </w:r>
      <w:r w:rsidR="00483F30">
        <w:t>(and vice versa)</w:t>
      </w:r>
      <w:r w:rsidR="001914CB">
        <w:t>.</w:t>
      </w:r>
    </w:p>
    <w:p w:rsidR="00C329A2" w:rsidRDefault="007310E3" w:rsidP="0081112D">
      <w:pPr>
        <w:pStyle w:val="Source"/>
      </w:pPr>
      <w:r>
        <w:rPr>
          <w:i/>
        </w:rPr>
        <w:t>Data source</w:t>
      </w:r>
      <w:r w:rsidR="00F54230">
        <w:rPr>
          <w:i/>
        </w:rPr>
        <w:t>s</w:t>
      </w:r>
      <w:r w:rsidRPr="00167F06">
        <w:t xml:space="preserve">: </w:t>
      </w:r>
      <w:r>
        <w:t>Authors’ estimates;</w:t>
      </w:r>
      <w:r w:rsidRPr="0050427A">
        <w:t xml:space="preserve"> </w:t>
      </w:r>
      <w:r>
        <w:t>ABS (</w:t>
      </w:r>
      <w:r w:rsidRPr="0050427A">
        <w:rPr>
          <w:i/>
        </w:rPr>
        <w:t>Experimental Estimates of Industry Mu</w:t>
      </w:r>
      <w:r>
        <w:rPr>
          <w:i/>
        </w:rPr>
        <w:t xml:space="preserve">ltifactor Productivity, 2010-11, </w:t>
      </w:r>
      <w:r>
        <w:t>Cat. no. 5260.0.55.002)</w:t>
      </w:r>
      <w:r w:rsidR="00BB6FE4">
        <w:t>.</w:t>
      </w:r>
      <w:r w:rsidR="00C329A2">
        <w:t xml:space="preserve"> </w:t>
      </w:r>
    </w:p>
    <w:p w:rsidR="007310E3" w:rsidRDefault="007310E3" w:rsidP="007310E3">
      <w:pPr>
        <w:pStyle w:val="Heading4"/>
      </w:pPr>
      <w:r>
        <w:lastRenderedPageBreak/>
        <w:t xml:space="preserve">MFP growth </w:t>
      </w:r>
      <w:r w:rsidR="004C2C72">
        <w:t xml:space="preserve">over </w:t>
      </w:r>
      <w:r>
        <w:t>productivity cycles</w:t>
      </w:r>
    </w:p>
    <w:p w:rsidR="007310E3" w:rsidRDefault="007310E3" w:rsidP="007310E3">
      <w:pPr>
        <w:pStyle w:val="BodyText"/>
      </w:pPr>
      <w:r>
        <w:t>As noted in chapter 2, examining average productivity growth over cycles gives a better indication of underlying productivity performance.</w:t>
      </w:r>
      <w:r w:rsidR="00194B6A">
        <w:rPr>
          <w:rStyle w:val="FootnoteReference"/>
        </w:rPr>
        <w:footnoteReference w:id="5"/>
      </w:r>
      <w:r w:rsidR="0073548C">
        <w:t xml:space="preserve"> </w:t>
      </w:r>
      <w:r w:rsidR="008C461E">
        <w:t xml:space="preserve">Table </w:t>
      </w:r>
      <w:r w:rsidR="00E257AB">
        <w:t>3.1</w:t>
      </w:r>
      <w:r w:rsidR="006469F4">
        <w:t xml:space="preserve"> </w:t>
      </w:r>
      <w:r w:rsidR="008C461E">
        <w:t>shows average annual MFP growth for the subsectors over the last four complete productivity cycles and the current incomplete cycle.</w:t>
      </w:r>
      <w:r>
        <w:t xml:space="preserve"> </w:t>
      </w:r>
      <w:r w:rsidR="00594C5D">
        <w:t>(The growth rates over the incomplete cycle that are presented in this chapter should be interpreted with caution because they may be influenced by temporary factors.)</w:t>
      </w:r>
    </w:p>
    <w:p w:rsidR="008C6747" w:rsidRDefault="008C6747" w:rsidP="008C6747">
      <w:pPr>
        <w:pStyle w:val="TableTitle"/>
      </w:pPr>
      <w:r>
        <w:rPr>
          <w:b w:val="0"/>
        </w:rPr>
        <w:t xml:space="preserve">Table </w:t>
      </w:r>
      <w:bookmarkStart w:id="10" w:name="OLE_LINK18"/>
      <w:r w:rsidR="00E257AB">
        <w:rPr>
          <w:b w:val="0"/>
        </w:rPr>
        <w:t>3.</w:t>
      </w:r>
      <w:r w:rsidR="003538B8">
        <w:rPr>
          <w:b w:val="0"/>
          <w:noProof/>
        </w:rPr>
        <w:t>1</w:t>
      </w:r>
      <w:bookmarkEnd w:id="10"/>
      <w:r>
        <w:tab/>
        <w:t>Manufacturing subsector MFP growth by cycle</w:t>
      </w:r>
    </w:p>
    <w:p w:rsidR="008C6747" w:rsidRDefault="0076550A" w:rsidP="008C6747">
      <w:pPr>
        <w:pStyle w:val="Subtitle"/>
      </w:pPr>
      <w:r>
        <w:t>Average annual growth rate (per cent)</w:t>
      </w:r>
    </w:p>
    <w:tbl>
      <w:tblPr>
        <w:tblW w:w="5000" w:type="pct"/>
        <w:tblLayout w:type="fixed"/>
        <w:tblCellMar>
          <w:left w:w="0" w:type="dxa"/>
          <w:right w:w="0" w:type="dxa"/>
        </w:tblCellMar>
        <w:tblLook w:val="0000" w:firstRow="0" w:lastRow="0" w:firstColumn="0" w:lastColumn="0" w:noHBand="0" w:noVBand="0"/>
      </w:tblPr>
      <w:tblGrid>
        <w:gridCol w:w="2971"/>
        <w:gridCol w:w="1164"/>
        <w:gridCol w:w="1164"/>
        <w:gridCol w:w="1164"/>
        <w:gridCol w:w="1164"/>
        <w:gridCol w:w="1162"/>
      </w:tblGrid>
      <w:tr w:rsidR="006C1A8F" w:rsidRPr="0081112D" w:rsidTr="005806ED">
        <w:tc>
          <w:tcPr>
            <w:tcW w:w="1691" w:type="pct"/>
            <w:tcBorders>
              <w:top w:val="single" w:sz="6" w:space="0" w:color="auto"/>
              <w:bottom w:val="single" w:sz="6" w:space="0" w:color="auto"/>
            </w:tcBorders>
            <w:shd w:val="clear" w:color="auto" w:fill="auto"/>
            <w:vAlign w:val="bottom"/>
          </w:tcPr>
          <w:p w:rsidR="008C6747" w:rsidRPr="0081112D" w:rsidRDefault="00914EFA" w:rsidP="0081112D">
            <w:pPr>
              <w:pStyle w:val="TableColumnHeading"/>
              <w:jc w:val="left"/>
            </w:pPr>
            <w:r w:rsidRPr="0081112D">
              <w:br/>
            </w:r>
            <w:r w:rsidRPr="0081112D">
              <w:br/>
            </w:r>
            <w:r w:rsidRPr="0081112D">
              <w:br/>
              <w:t>Subsectors</w:t>
            </w:r>
          </w:p>
        </w:tc>
        <w:tc>
          <w:tcPr>
            <w:tcW w:w="662" w:type="pct"/>
            <w:tcBorders>
              <w:top w:val="single" w:sz="6" w:space="0" w:color="auto"/>
              <w:bottom w:val="single" w:sz="6" w:space="0" w:color="auto"/>
            </w:tcBorders>
            <w:shd w:val="clear" w:color="auto" w:fill="auto"/>
            <w:vAlign w:val="bottom"/>
          </w:tcPr>
          <w:p w:rsidR="008C6747" w:rsidRPr="0081112D" w:rsidRDefault="008C6747" w:rsidP="0081112D">
            <w:pPr>
              <w:pStyle w:val="TableColumnHeading"/>
            </w:pPr>
            <w:r w:rsidRPr="0081112D">
              <w:t xml:space="preserve">Cycle 1: </w:t>
            </w:r>
            <w:r w:rsidRPr="0081112D">
              <w:br/>
              <w:t>1988-89 to 1993-94</w:t>
            </w:r>
          </w:p>
        </w:tc>
        <w:tc>
          <w:tcPr>
            <w:tcW w:w="662" w:type="pct"/>
            <w:tcBorders>
              <w:top w:val="single" w:sz="6" w:space="0" w:color="auto"/>
              <w:bottom w:val="single" w:sz="6" w:space="0" w:color="auto"/>
            </w:tcBorders>
            <w:shd w:val="clear" w:color="auto" w:fill="auto"/>
            <w:vAlign w:val="bottom"/>
          </w:tcPr>
          <w:p w:rsidR="008C6747" w:rsidRPr="0081112D" w:rsidRDefault="008C6747" w:rsidP="0081112D">
            <w:pPr>
              <w:pStyle w:val="TableColumnHeading"/>
            </w:pPr>
            <w:r w:rsidRPr="0081112D">
              <w:t xml:space="preserve">Cycle 2: </w:t>
            </w:r>
            <w:r w:rsidRPr="0081112D">
              <w:br/>
              <w:t>1993-94 to 1998-99</w:t>
            </w:r>
          </w:p>
        </w:tc>
        <w:tc>
          <w:tcPr>
            <w:tcW w:w="662" w:type="pct"/>
            <w:tcBorders>
              <w:top w:val="single" w:sz="6" w:space="0" w:color="auto"/>
              <w:bottom w:val="single" w:sz="6" w:space="0" w:color="auto"/>
            </w:tcBorders>
            <w:shd w:val="clear" w:color="auto" w:fill="auto"/>
            <w:vAlign w:val="bottom"/>
          </w:tcPr>
          <w:p w:rsidR="008C6747" w:rsidRPr="0081112D" w:rsidRDefault="008C6747" w:rsidP="0081112D">
            <w:pPr>
              <w:pStyle w:val="TableColumnHeading"/>
            </w:pPr>
            <w:r w:rsidRPr="0081112D">
              <w:t xml:space="preserve">Cycle 3: </w:t>
            </w:r>
            <w:r w:rsidRPr="0081112D">
              <w:br/>
              <w:t>1998-99 to 2003-04</w:t>
            </w:r>
          </w:p>
        </w:tc>
        <w:tc>
          <w:tcPr>
            <w:tcW w:w="662" w:type="pct"/>
            <w:tcBorders>
              <w:top w:val="single" w:sz="6" w:space="0" w:color="auto"/>
              <w:bottom w:val="single" w:sz="6" w:space="0" w:color="auto"/>
            </w:tcBorders>
            <w:shd w:val="clear" w:color="auto" w:fill="auto"/>
            <w:vAlign w:val="bottom"/>
          </w:tcPr>
          <w:p w:rsidR="008C6747" w:rsidRPr="0081112D" w:rsidRDefault="008C6747" w:rsidP="0081112D">
            <w:pPr>
              <w:pStyle w:val="TableColumnHeading"/>
            </w:pPr>
            <w:r w:rsidRPr="0081112D">
              <w:t xml:space="preserve">Cycle 4: </w:t>
            </w:r>
            <w:r w:rsidRPr="0081112D">
              <w:br/>
              <w:t>2003-04 to 2007-08</w:t>
            </w:r>
          </w:p>
        </w:tc>
        <w:tc>
          <w:tcPr>
            <w:tcW w:w="662" w:type="pct"/>
            <w:tcBorders>
              <w:top w:val="single" w:sz="6" w:space="0" w:color="auto"/>
              <w:bottom w:val="single" w:sz="6" w:space="0" w:color="auto"/>
            </w:tcBorders>
            <w:shd w:val="clear" w:color="auto" w:fill="auto"/>
            <w:vAlign w:val="bottom"/>
          </w:tcPr>
          <w:p w:rsidR="008C6747" w:rsidRPr="0081112D" w:rsidRDefault="008C6747" w:rsidP="0081112D">
            <w:pPr>
              <w:pStyle w:val="TableColumnHeading"/>
            </w:pPr>
            <w:r w:rsidRPr="0081112D">
              <w:t xml:space="preserve">Incomplete cycle: </w:t>
            </w:r>
            <w:r w:rsidRPr="0081112D">
              <w:br/>
              <w:t xml:space="preserve">2007-08 to 2010-11 </w:t>
            </w:r>
          </w:p>
        </w:tc>
      </w:tr>
      <w:tr w:rsidR="006C1A8F" w:rsidTr="005806ED">
        <w:trPr>
          <w:trHeight w:val="295"/>
        </w:trPr>
        <w:tc>
          <w:tcPr>
            <w:tcW w:w="1691" w:type="pct"/>
            <w:shd w:val="clear" w:color="auto" w:fill="D9D9D9" w:themeFill="background1" w:themeFillShade="D9"/>
            <w:vAlign w:val="bottom"/>
          </w:tcPr>
          <w:p w:rsidR="008C6747" w:rsidRDefault="006C1A8F" w:rsidP="0081112D">
            <w:pPr>
              <w:pStyle w:val="TableBodyText"/>
              <w:spacing w:before="40"/>
              <w:jc w:val="left"/>
            </w:pPr>
            <w:r>
              <w:t xml:space="preserve">Food, beverage &amp; </w:t>
            </w:r>
            <w:proofErr w:type="spellStart"/>
            <w:r>
              <w:t>tob</w:t>
            </w:r>
            <w:proofErr w:type="spellEnd"/>
            <w:r>
              <w:t>. products</w:t>
            </w:r>
          </w:p>
        </w:tc>
        <w:tc>
          <w:tcPr>
            <w:tcW w:w="662" w:type="pct"/>
            <w:shd w:val="clear" w:color="auto" w:fill="D9D9D9" w:themeFill="background1" w:themeFillShade="D9"/>
            <w:vAlign w:val="bottom"/>
          </w:tcPr>
          <w:p w:rsidR="008C6747" w:rsidRDefault="008C6747" w:rsidP="0081112D">
            <w:pPr>
              <w:pStyle w:val="TableBodyText"/>
              <w:spacing w:before="40"/>
            </w:pPr>
            <w:r>
              <w:t>0.55</w:t>
            </w:r>
          </w:p>
        </w:tc>
        <w:tc>
          <w:tcPr>
            <w:tcW w:w="662" w:type="pct"/>
            <w:shd w:val="clear" w:color="auto" w:fill="D9D9D9" w:themeFill="background1" w:themeFillShade="D9"/>
            <w:vAlign w:val="bottom"/>
          </w:tcPr>
          <w:p w:rsidR="008C6747" w:rsidRDefault="008C6747" w:rsidP="0081112D">
            <w:pPr>
              <w:pStyle w:val="TableBodyText"/>
              <w:spacing w:before="40"/>
            </w:pPr>
            <w:r>
              <w:t>0.66</w:t>
            </w:r>
          </w:p>
        </w:tc>
        <w:tc>
          <w:tcPr>
            <w:tcW w:w="662" w:type="pct"/>
            <w:shd w:val="clear" w:color="auto" w:fill="D9D9D9" w:themeFill="background1" w:themeFillShade="D9"/>
            <w:vAlign w:val="bottom"/>
          </w:tcPr>
          <w:p w:rsidR="008C6747" w:rsidRDefault="008C6747" w:rsidP="0081112D">
            <w:pPr>
              <w:pStyle w:val="TableBodyText"/>
              <w:spacing w:before="40"/>
            </w:pPr>
            <w:r>
              <w:t>-0.53</w:t>
            </w:r>
          </w:p>
        </w:tc>
        <w:tc>
          <w:tcPr>
            <w:tcW w:w="662" w:type="pct"/>
            <w:shd w:val="clear" w:color="auto" w:fill="D9D9D9" w:themeFill="background1" w:themeFillShade="D9"/>
            <w:vAlign w:val="bottom"/>
          </w:tcPr>
          <w:p w:rsidR="008C6747" w:rsidRDefault="008C6747" w:rsidP="0081112D">
            <w:pPr>
              <w:pStyle w:val="TableBodyText"/>
              <w:spacing w:before="40"/>
            </w:pPr>
            <w:r>
              <w:t>-4.23</w:t>
            </w:r>
          </w:p>
        </w:tc>
        <w:tc>
          <w:tcPr>
            <w:tcW w:w="662" w:type="pct"/>
            <w:shd w:val="clear" w:color="auto" w:fill="D9D9D9" w:themeFill="background1" w:themeFillShade="D9"/>
            <w:vAlign w:val="bottom"/>
          </w:tcPr>
          <w:p w:rsidR="008C6747" w:rsidRDefault="008C6747" w:rsidP="0081112D">
            <w:pPr>
              <w:pStyle w:val="TableBodyText"/>
              <w:spacing w:before="40"/>
            </w:pPr>
            <w:r>
              <w:t>-1.12</w:t>
            </w:r>
          </w:p>
        </w:tc>
      </w:tr>
      <w:tr w:rsidR="006C1A8F" w:rsidTr="005806ED">
        <w:trPr>
          <w:trHeight w:val="295"/>
        </w:trPr>
        <w:tc>
          <w:tcPr>
            <w:tcW w:w="1691" w:type="pct"/>
            <w:vAlign w:val="bottom"/>
          </w:tcPr>
          <w:p w:rsidR="008C6747" w:rsidRDefault="006C1A8F" w:rsidP="00CB16CA">
            <w:pPr>
              <w:pStyle w:val="TableBodyText"/>
              <w:jc w:val="left"/>
            </w:pPr>
            <w:r>
              <w:t xml:space="preserve">Textile, clothing &amp; other </w:t>
            </w:r>
            <w:proofErr w:type="spellStart"/>
            <w:r>
              <w:t>mfg</w:t>
            </w:r>
            <w:proofErr w:type="spellEnd"/>
          </w:p>
        </w:tc>
        <w:tc>
          <w:tcPr>
            <w:tcW w:w="662" w:type="pct"/>
            <w:vAlign w:val="bottom"/>
          </w:tcPr>
          <w:p w:rsidR="008C6747" w:rsidRDefault="008C6747" w:rsidP="00CB16CA">
            <w:pPr>
              <w:pStyle w:val="TableBodyText"/>
            </w:pPr>
            <w:r>
              <w:t>-2.27</w:t>
            </w:r>
          </w:p>
        </w:tc>
        <w:tc>
          <w:tcPr>
            <w:tcW w:w="662" w:type="pct"/>
            <w:vAlign w:val="bottom"/>
          </w:tcPr>
          <w:p w:rsidR="008C6747" w:rsidRDefault="008C6747" w:rsidP="00CB16CA">
            <w:pPr>
              <w:pStyle w:val="TableBodyText"/>
            </w:pPr>
            <w:r>
              <w:t>0.53</w:t>
            </w:r>
          </w:p>
        </w:tc>
        <w:tc>
          <w:tcPr>
            <w:tcW w:w="662" w:type="pct"/>
            <w:vAlign w:val="bottom"/>
          </w:tcPr>
          <w:p w:rsidR="008C6747" w:rsidRDefault="008C6747" w:rsidP="00CB16CA">
            <w:pPr>
              <w:pStyle w:val="TableBodyText"/>
            </w:pPr>
            <w:r>
              <w:t>2.53</w:t>
            </w:r>
          </w:p>
        </w:tc>
        <w:tc>
          <w:tcPr>
            <w:tcW w:w="662" w:type="pct"/>
            <w:vAlign w:val="bottom"/>
          </w:tcPr>
          <w:p w:rsidR="008C6747" w:rsidRDefault="008C6747" w:rsidP="00CB16CA">
            <w:pPr>
              <w:pStyle w:val="TableBodyText"/>
            </w:pPr>
            <w:r>
              <w:t>-1.62</w:t>
            </w:r>
          </w:p>
        </w:tc>
        <w:tc>
          <w:tcPr>
            <w:tcW w:w="662" w:type="pct"/>
            <w:vAlign w:val="bottom"/>
          </w:tcPr>
          <w:p w:rsidR="008C6747" w:rsidRDefault="008C6747" w:rsidP="00CB16CA">
            <w:pPr>
              <w:pStyle w:val="TableBodyText"/>
            </w:pPr>
            <w:r>
              <w:t>-9.28</w:t>
            </w:r>
          </w:p>
        </w:tc>
      </w:tr>
      <w:tr w:rsidR="006C1A8F" w:rsidTr="005806ED">
        <w:trPr>
          <w:trHeight w:val="295"/>
        </w:trPr>
        <w:tc>
          <w:tcPr>
            <w:tcW w:w="1691" w:type="pct"/>
            <w:shd w:val="clear" w:color="auto" w:fill="D9D9D9" w:themeFill="background1" w:themeFillShade="D9"/>
            <w:vAlign w:val="bottom"/>
          </w:tcPr>
          <w:p w:rsidR="008C6747" w:rsidRDefault="006C1A8F" w:rsidP="00CB16CA">
            <w:pPr>
              <w:pStyle w:val="TableBodyText"/>
              <w:jc w:val="left"/>
            </w:pPr>
            <w:r>
              <w:t>Wood &amp; paper products</w:t>
            </w:r>
          </w:p>
        </w:tc>
        <w:tc>
          <w:tcPr>
            <w:tcW w:w="662" w:type="pct"/>
            <w:shd w:val="clear" w:color="auto" w:fill="D9D9D9" w:themeFill="background1" w:themeFillShade="D9"/>
            <w:vAlign w:val="bottom"/>
          </w:tcPr>
          <w:p w:rsidR="008C6747" w:rsidRDefault="008C6747" w:rsidP="00CB16CA">
            <w:pPr>
              <w:pStyle w:val="TableBodyText"/>
            </w:pPr>
            <w:r>
              <w:t>-2.52</w:t>
            </w:r>
          </w:p>
        </w:tc>
        <w:tc>
          <w:tcPr>
            <w:tcW w:w="662" w:type="pct"/>
            <w:shd w:val="clear" w:color="auto" w:fill="D9D9D9" w:themeFill="background1" w:themeFillShade="D9"/>
            <w:vAlign w:val="bottom"/>
          </w:tcPr>
          <w:p w:rsidR="008C6747" w:rsidRDefault="008C6747" w:rsidP="00CB16CA">
            <w:pPr>
              <w:pStyle w:val="TableBodyText"/>
            </w:pPr>
            <w:r>
              <w:t>-1.00</w:t>
            </w:r>
          </w:p>
        </w:tc>
        <w:tc>
          <w:tcPr>
            <w:tcW w:w="662" w:type="pct"/>
            <w:shd w:val="clear" w:color="auto" w:fill="D9D9D9" w:themeFill="background1" w:themeFillShade="D9"/>
            <w:vAlign w:val="bottom"/>
          </w:tcPr>
          <w:p w:rsidR="008C6747" w:rsidRDefault="008C6747" w:rsidP="00CB16CA">
            <w:pPr>
              <w:pStyle w:val="TableBodyText"/>
            </w:pPr>
            <w:r>
              <w:t>-1.13</w:t>
            </w:r>
          </w:p>
        </w:tc>
        <w:tc>
          <w:tcPr>
            <w:tcW w:w="662" w:type="pct"/>
            <w:shd w:val="clear" w:color="auto" w:fill="D9D9D9" w:themeFill="background1" w:themeFillShade="D9"/>
            <w:vAlign w:val="bottom"/>
          </w:tcPr>
          <w:p w:rsidR="008C6747" w:rsidRDefault="008C6747" w:rsidP="00CB16CA">
            <w:pPr>
              <w:pStyle w:val="TableBodyText"/>
            </w:pPr>
            <w:r>
              <w:t>-1.19</w:t>
            </w:r>
          </w:p>
        </w:tc>
        <w:tc>
          <w:tcPr>
            <w:tcW w:w="662" w:type="pct"/>
            <w:shd w:val="clear" w:color="auto" w:fill="D9D9D9" w:themeFill="background1" w:themeFillShade="D9"/>
            <w:vAlign w:val="bottom"/>
          </w:tcPr>
          <w:p w:rsidR="008C6747" w:rsidRDefault="008C6747" w:rsidP="00CB16CA">
            <w:pPr>
              <w:pStyle w:val="TableBodyText"/>
            </w:pPr>
            <w:r>
              <w:t>1.91</w:t>
            </w:r>
          </w:p>
        </w:tc>
      </w:tr>
      <w:tr w:rsidR="006C1A8F" w:rsidTr="005806ED">
        <w:trPr>
          <w:trHeight w:val="295"/>
        </w:trPr>
        <w:tc>
          <w:tcPr>
            <w:tcW w:w="1691" w:type="pct"/>
            <w:vAlign w:val="bottom"/>
          </w:tcPr>
          <w:p w:rsidR="008C6747" w:rsidRDefault="006C1A8F" w:rsidP="00CB16CA">
            <w:pPr>
              <w:pStyle w:val="TableBodyText"/>
              <w:jc w:val="left"/>
            </w:pPr>
            <w:r>
              <w:t>Printing &amp; recorded media</w:t>
            </w:r>
          </w:p>
        </w:tc>
        <w:tc>
          <w:tcPr>
            <w:tcW w:w="662" w:type="pct"/>
            <w:vAlign w:val="bottom"/>
          </w:tcPr>
          <w:p w:rsidR="008C6747" w:rsidRDefault="008C6747" w:rsidP="00CB16CA">
            <w:pPr>
              <w:pStyle w:val="TableBodyText"/>
            </w:pPr>
            <w:r>
              <w:t>-1.28</w:t>
            </w:r>
          </w:p>
        </w:tc>
        <w:tc>
          <w:tcPr>
            <w:tcW w:w="662" w:type="pct"/>
            <w:vAlign w:val="bottom"/>
          </w:tcPr>
          <w:p w:rsidR="008C6747" w:rsidRDefault="008C6747" w:rsidP="00CB16CA">
            <w:pPr>
              <w:pStyle w:val="TableBodyText"/>
            </w:pPr>
            <w:r>
              <w:t>-1.83</w:t>
            </w:r>
          </w:p>
        </w:tc>
        <w:tc>
          <w:tcPr>
            <w:tcW w:w="662" w:type="pct"/>
            <w:vAlign w:val="bottom"/>
          </w:tcPr>
          <w:p w:rsidR="008C6747" w:rsidRDefault="008C6747" w:rsidP="00CB16CA">
            <w:pPr>
              <w:pStyle w:val="TableBodyText"/>
            </w:pPr>
            <w:r>
              <w:t>6.45</w:t>
            </w:r>
          </w:p>
        </w:tc>
        <w:tc>
          <w:tcPr>
            <w:tcW w:w="662" w:type="pct"/>
            <w:vAlign w:val="bottom"/>
          </w:tcPr>
          <w:p w:rsidR="008C6747" w:rsidRDefault="008C6747" w:rsidP="00CB16CA">
            <w:pPr>
              <w:pStyle w:val="TableBodyText"/>
            </w:pPr>
            <w:r>
              <w:t>-2.84</w:t>
            </w:r>
          </w:p>
        </w:tc>
        <w:tc>
          <w:tcPr>
            <w:tcW w:w="662" w:type="pct"/>
            <w:vAlign w:val="bottom"/>
          </w:tcPr>
          <w:p w:rsidR="008C6747" w:rsidRDefault="008C6747" w:rsidP="00CB16CA">
            <w:pPr>
              <w:pStyle w:val="TableBodyText"/>
            </w:pPr>
            <w:r>
              <w:t>-9.15</w:t>
            </w:r>
          </w:p>
        </w:tc>
      </w:tr>
      <w:tr w:rsidR="006C1A8F" w:rsidTr="005806ED">
        <w:trPr>
          <w:trHeight w:val="295"/>
        </w:trPr>
        <w:tc>
          <w:tcPr>
            <w:tcW w:w="1691" w:type="pct"/>
            <w:shd w:val="clear" w:color="auto" w:fill="D9D9D9" w:themeFill="background1" w:themeFillShade="D9"/>
            <w:vAlign w:val="bottom"/>
          </w:tcPr>
          <w:p w:rsidR="008C6747" w:rsidRDefault="00E8433A" w:rsidP="00CB16CA">
            <w:pPr>
              <w:pStyle w:val="TableBodyText"/>
              <w:ind w:right="1"/>
              <w:jc w:val="left"/>
            </w:pPr>
            <w:r>
              <w:t>Petrol., coal, chem. &amp;</w:t>
            </w:r>
            <w:r w:rsidR="006C1A8F">
              <w:t xml:space="preserve"> rubber </w:t>
            </w:r>
          </w:p>
        </w:tc>
        <w:tc>
          <w:tcPr>
            <w:tcW w:w="662" w:type="pct"/>
            <w:shd w:val="clear" w:color="auto" w:fill="D9D9D9" w:themeFill="background1" w:themeFillShade="D9"/>
            <w:vAlign w:val="bottom"/>
          </w:tcPr>
          <w:p w:rsidR="008C6747" w:rsidRDefault="008C6747" w:rsidP="00CB16CA">
            <w:pPr>
              <w:pStyle w:val="TableBodyText"/>
            </w:pPr>
            <w:r>
              <w:t>-2.64</w:t>
            </w:r>
          </w:p>
        </w:tc>
        <w:tc>
          <w:tcPr>
            <w:tcW w:w="662" w:type="pct"/>
            <w:shd w:val="clear" w:color="auto" w:fill="D9D9D9" w:themeFill="background1" w:themeFillShade="D9"/>
            <w:vAlign w:val="bottom"/>
          </w:tcPr>
          <w:p w:rsidR="008C6747" w:rsidRDefault="008C6747" w:rsidP="00CB16CA">
            <w:pPr>
              <w:pStyle w:val="TableBodyText"/>
            </w:pPr>
            <w:r>
              <w:t>1.13</w:t>
            </w:r>
          </w:p>
        </w:tc>
        <w:tc>
          <w:tcPr>
            <w:tcW w:w="662" w:type="pct"/>
            <w:shd w:val="clear" w:color="auto" w:fill="D9D9D9" w:themeFill="background1" w:themeFillShade="D9"/>
            <w:vAlign w:val="bottom"/>
          </w:tcPr>
          <w:p w:rsidR="008C6747" w:rsidRDefault="008C6747" w:rsidP="00CB16CA">
            <w:pPr>
              <w:pStyle w:val="TableBodyText"/>
            </w:pPr>
            <w:r>
              <w:t>0.57</w:t>
            </w:r>
          </w:p>
        </w:tc>
        <w:tc>
          <w:tcPr>
            <w:tcW w:w="662" w:type="pct"/>
            <w:shd w:val="clear" w:color="auto" w:fill="D9D9D9" w:themeFill="background1" w:themeFillShade="D9"/>
            <w:vAlign w:val="bottom"/>
          </w:tcPr>
          <w:p w:rsidR="008C6747" w:rsidRDefault="008C6747" w:rsidP="00CB16CA">
            <w:pPr>
              <w:pStyle w:val="TableBodyText"/>
            </w:pPr>
            <w:r>
              <w:t>-4.09</w:t>
            </w:r>
          </w:p>
        </w:tc>
        <w:tc>
          <w:tcPr>
            <w:tcW w:w="662" w:type="pct"/>
            <w:shd w:val="clear" w:color="auto" w:fill="D9D9D9" w:themeFill="background1" w:themeFillShade="D9"/>
            <w:vAlign w:val="bottom"/>
          </w:tcPr>
          <w:p w:rsidR="008C6747" w:rsidRDefault="008C6747" w:rsidP="00CB16CA">
            <w:pPr>
              <w:pStyle w:val="TableBodyText"/>
            </w:pPr>
            <w:r>
              <w:t>-1.15</w:t>
            </w:r>
          </w:p>
        </w:tc>
      </w:tr>
      <w:tr w:rsidR="006C1A8F" w:rsidTr="005806ED">
        <w:trPr>
          <w:trHeight w:val="295"/>
        </w:trPr>
        <w:tc>
          <w:tcPr>
            <w:tcW w:w="1691" w:type="pct"/>
            <w:vAlign w:val="bottom"/>
          </w:tcPr>
          <w:p w:rsidR="008C6747" w:rsidRDefault="006C1A8F" w:rsidP="00CB16CA">
            <w:pPr>
              <w:pStyle w:val="TableBodyText"/>
              <w:jc w:val="left"/>
            </w:pPr>
            <w:r>
              <w:t>Non-metallic mineral products</w:t>
            </w:r>
          </w:p>
        </w:tc>
        <w:tc>
          <w:tcPr>
            <w:tcW w:w="662" w:type="pct"/>
            <w:vAlign w:val="bottom"/>
          </w:tcPr>
          <w:p w:rsidR="008C6747" w:rsidRDefault="008C6747" w:rsidP="00CB16CA">
            <w:pPr>
              <w:pStyle w:val="TableBodyText"/>
            </w:pPr>
            <w:r>
              <w:t>-2.54</w:t>
            </w:r>
          </w:p>
        </w:tc>
        <w:tc>
          <w:tcPr>
            <w:tcW w:w="662" w:type="pct"/>
            <w:vAlign w:val="bottom"/>
          </w:tcPr>
          <w:p w:rsidR="008C6747" w:rsidRDefault="008C6747" w:rsidP="00CB16CA">
            <w:pPr>
              <w:pStyle w:val="TableBodyText"/>
            </w:pPr>
            <w:r>
              <w:t>0.32</w:t>
            </w:r>
          </w:p>
        </w:tc>
        <w:tc>
          <w:tcPr>
            <w:tcW w:w="662" w:type="pct"/>
            <w:vAlign w:val="bottom"/>
          </w:tcPr>
          <w:p w:rsidR="008C6747" w:rsidRDefault="008C6747" w:rsidP="00CB16CA">
            <w:pPr>
              <w:pStyle w:val="TableBodyText"/>
            </w:pPr>
            <w:r>
              <w:t>6.33</w:t>
            </w:r>
          </w:p>
        </w:tc>
        <w:tc>
          <w:tcPr>
            <w:tcW w:w="662" w:type="pct"/>
            <w:vAlign w:val="bottom"/>
          </w:tcPr>
          <w:p w:rsidR="008C6747" w:rsidRDefault="008C6747" w:rsidP="00CB16CA">
            <w:pPr>
              <w:pStyle w:val="TableBodyText"/>
            </w:pPr>
            <w:r>
              <w:t>4.89</w:t>
            </w:r>
          </w:p>
        </w:tc>
        <w:tc>
          <w:tcPr>
            <w:tcW w:w="662" w:type="pct"/>
            <w:vAlign w:val="bottom"/>
          </w:tcPr>
          <w:p w:rsidR="008C6747" w:rsidRDefault="008C6747" w:rsidP="00CB16CA">
            <w:pPr>
              <w:pStyle w:val="TableBodyText"/>
            </w:pPr>
            <w:r>
              <w:t>-0.33</w:t>
            </w:r>
          </w:p>
        </w:tc>
      </w:tr>
      <w:tr w:rsidR="006C1A8F" w:rsidTr="005806ED">
        <w:trPr>
          <w:trHeight w:val="295"/>
        </w:trPr>
        <w:tc>
          <w:tcPr>
            <w:tcW w:w="1691" w:type="pct"/>
            <w:shd w:val="clear" w:color="auto" w:fill="D9D9D9" w:themeFill="background1" w:themeFillShade="D9"/>
            <w:vAlign w:val="bottom"/>
          </w:tcPr>
          <w:p w:rsidR="008C6747" w:rsidRDefault="006C1A8F" w:rsidP="00CB16CA">
            <w:pPr>
              <w:pStyle w:val="TableBodyText"/>
              <w:jc w:val="left"/>
            </w:pPr>
            <w:r>
              <w:t>Metal products</w:t>
            </w:r>
          </w:p>
        </w:tc>
        <w:tc>
          <w:tcPr>
            <w:tcW w:w="662" w:type="pct"/>
            <w:shd w:val="clear" w:color="auto" w:fill="D9D9D9" w:themeFill="background1" w:themeFillShade="D9"/>
            <w:vAlign w:val="bottom"/>
          </w:tcPr>
          <w:p w:rsidR="008C6747" w:rsidRDefault="008C6747" w:rsidP="00CB16CA">
            <w:pPr>
              <w:pStyle w:val="TableBodyText"/>
            </w:pPr>
            <w:r>
              <w:t>0.97</w:t>
            </w:r>
          </w:p>
        </w:tc>
        <w:tc>
          <w:tcPr>
            <w:tcW w:w="662" w:type="pct"/>
            <w:shd w:val="clear" w:color="auto" w:fill="D9D9D9" w:themeFill="background1" w:themeFillShade="D9"/>
            <w:vAlign w:val="bottom"/>
          </w:tcPr>
          <w:p w:rsidR="008C6747" w:rsidRDefault="008C6747" w:rsidP="00CB16CA">
            <w:pPr>
              <w:pStyle w:val="TableBodyText"/>
            </w:pPr>
            <w:r>
              <w:t>1.05</w:t>
            </w:r>
          </w:p>
        </w:tc>
        <w:tc>
          <w:tcPr>
            <w:tcW w:w="662" w:type="pct"/>
            <w:shd w:val="clear" w:color="auto" w:fill="D9D9D9" w:themeFill="background1" w:themeFillShade="D9"/>
            <w:vAlign w:val="bottom"/>
          </w:tcPr>
          <w:p w:rsidR="008C6747" w:rsidRDefault="008C6747" w:rsidP="00CB16CA">
            <w:pPr>
              <w:pStyle w:val="TableBodyText"/>
            </w:pPr>
            <w:r>
              <w:t>1.44</w:t>
            </w:r>
          </w:p>
        </w:tc>
        <w:tc>
          <w:tcPr>
            <w:tcW w:w="662" w:type="pct"/>
            <w:shd w:val="clear" w:color="auto" w:fill="D9D9D9" w:themeFill="background1" w:themeFillShade="D9"/>
            <w:vAlign w:val="bottom"/>
          </w:tcPr>
          <w:p w:rsidR="008C6747" w:rsidRDefault="008C6747" w:rsidP="00CB16CA">
            <w:pPr>
              <w:pStyle w:val="TableBodyText"/>
            </w:pPr>
            <w:r>
              <w:t>-0.85</w:t>
            </w:r>
          </w:p>
        </w:tc>
        <w:tc>
          <w:tcPr>
            <w:tcW w:w="662" w:type="pct"/>
            <w:shd w:val="clear" w:color="auto" w:fill="D9D9D9" w:themeFill="background1" w:themeFillShade="D9"/>
            <w:vAlign w:val="bottom"/>
          </w:tcPr>
          <w:p w:rsidR="008C6747" w:rsidRDefault="008C6747" w:rsidP="00CB16CA">
            <w:pPr>
              <w:pStyle w:val="TableBodyText"/>
            </w:pPr>
            <w:r>
              <w:t>0.11</w:t>
            </w:r>
          </w:p>
        </w:tc>
      </w:tr>
      <w:tr w:rsidR="006C1A8F" w:rsidTr="005806ED">
        <w:trPr>
          <w:trHeight w:val="295"/>
        </w:trPr>
        <w:tc>
          <w:tcPr>
            <w:tcW w:w="1691" w:type="pct"/>
            <w:vAlign w:val="bottom"/>
          </w:tcPr>
          <w:p w:rsidR="008C6747" w:rsidRDefault="006C1A8F" w:rsidP="00CB16CA">
            <w:pPr>
              <w:pStyle w:val="TableBodyText"/>
              <w:jc w:val="left"/>
            </w:pPr>
            <w:r>
              <w:t xml:space="preserve">Machinery &amp; equipment </w:t>
            </w:r>
            <w:proofErr w:type="spellStart"/>
            <w:r>
              <w:t>mfg</w:t>
            </w:r>
            <w:proofErr w:type="spellEnd"/>
          </w:p>
        </w:tc>
        <w:tc>
          <w:tcPr>
            <w:tcW w:w="662" w:type="pct"/>
            <w:vAlign w:val="bottom"/>
          </w:tcPr>
          <w:p w:rsidR="008C6747" w:rsidRDefault="008C6747" w:rsidP="00CB16CA">
            <w:pPr>
              <w:pStyle w:val="TableBodyText"/>
            </w:pPr>
            <w:r>
              <w:t>1.98</w:t>
            </w:r>
          </w:p>
        </w:tc>
        <w:tc>
          <w:tcPr>
            <w:tcW w:w="662" w:type="pct"/>
            <w:vAlign w:val="bottom"/>
          </w:tcPr>
          <w:p w:rsidR="008C6747" w:rsidRDefault="008C6747" w:rsidP="00CB16CA">
            <w:pPr>
              <w:pStyle w:val="TableBodyText"/>
            </w:pPr>
            <w:r>
              <w:t>2.53</w:t>
            </w:r>
          </w:p>
        </w:tc>
        <w:tc>
          <w:tcPr>
            <w:tcW w:w="662" w:type="pct"/>
            <w:vAlign w:val="bottom"/>
          </w:tcPr>
          <w:p w:rsidR="008C6747" w:rsidRDefault="008C6747" w:rsidP="00CB16CA">
            <w:pPr>
              <w:pStyle w:val="TableBodyText"/>
            </w:pPr>
            <w:r>
              <w:t>1.62</w:t>
            </w:r>
          </w:p>
        </w:tc>
        <w:tc>
          <w:tcPr>
            <w:tcW w:w="662" w:type="pct"/>
            <w:vAlign w:val="bottom"/>
          </w:tcPr>
          <w:p w:rsidR="008C6747" w:rsidRDefault="008C6747" w:rsidP="00CB16CA">
            <w:pPr>
              <w:pStyle w:val="TableBodyText"/>
            </w:pPr>
            <w:r>
              <w:t>-0.21</w:t>
            </w:r>
          </w:p>
        </w:tc>
        <w:tc>
          <w:tcPr>
            <w:tcW w:w="662" w:type="pct"/>
            <w:vAlign w:val="bottom"/>
          </w:tcPr>
          <w:p w:rsidR="008C6747" w:rsidRDefault="008C6747" w:rsidP="00CB16CA">
            <w:pPr>
              <w:pStyle w:val="TableBodyText"/>
            </w:pPr>
            <w:r>
              <w:t>0.29</w:t>
            </w:r>
          </w:p>
        </w:tc>
      </w:tr>
      <w:tr w:rsidR="006C1A8F" w:rsidRPr="00486618" w:rsidTr="005806ED">
        <w:trPr>
          <w:trHeight w:val="295"/>
        </w:trPr>
        <w:tc>
          <w:tcPr>
            <w:tcW w:w="1691" w:type="pct"/>
            <w:shd w:val="clear" w:color="auto" w:fill="D9D9D9" w:themeFill="background1" w:themeFillShade="D9"/>
            <w:vAlign w:val="bottom"/>
          </w:tcPr>
          <w:p w:rsidR="008C6747" w:rsidRPr="00486618" w:rsidRDefault="008C6747" w:rsidP="00CB16CA">
            <w:pPr>
              <w:pStyle w:val="TableBodyText"/>
              <w:jc w:val="left"/>
              <w:rPr>
                <w:i/>
              </w:rPr>
            </w:pPr>
            <w:r w:rsidRPr="00486618">
              <w:rPr>
                <w:i/>
              </w:rPr>
              <w:t>Aggregate of subsectors</w:t>
            </w:r>
          </w:p>
        </w:tc>
        <w:tc>
          <w:tcPr>
            <w:tcW w:w="662" w:type="pct"/>
            <w:shd w:val="clear" w:color="auto" w:fill="D9D9D9" w:themeFill="background1" w:themeFillShade="D9"/>
            <w:vAlign w:val="bottom"/>
          </w:tcPr>
          <w:p w:rsidR="008C6747" w:rsidRPr="00486618" w:rsidRDefault="008C6747" w:rsidP="00CB16CA">
            <w:pPr>
              <w:pStyle w:val="TableBodyText"/>
              <w:rPr>
                <w:i/>
              </w:rPr>
            </w:pPr>
            <w:r w:rsidRPr="00486618">
              <w:rPr>
                <w:i/>
              </w:rPr>
              <w:t>-0.40</w:t>
            </w:r>
          </w:p>
        </w:tc>
        <w:tc>
          <w:tcPr>
            <w:tcW w:w="662" w:type="pct"/>
            <w:shd w:val="clear" w:color="auto" w:fill="D9D9D9" w:themeFill="background1" w:themeFillShade="D9"/>
            <w:vAlign w:val="bottom"/>
          </w:tcPr>
          <w:p w:rsidR="008C6747" w:rsidRPr="00486618" w:rsidRDefault="008C6747" w:rsidP="00CB16CA">
            <w:pPr>
              <w:pStyle w:val="TableBodyText"/>
              <w:rPr>
                <w:i/>
              </w:rPr>
            </w:pPr>
            <w:r w:rsidRPr="00486618">
              <w:rPr>
                <w:i/>
              </w:rPr>
              <w:t>0.87</w:t>
            </w:r>
          </w:p>
        </w:tc>
        <w:tc>
          <w:tcPr>
            <w:tcW w:w="662" w:type="pct"/>
            <w:shd w:val="clear" w:color="auto" w:fill="D9D9D9" w:themeFill="background1" w:themeFillShade="D9"/>
            <w:vAlign w:val="bottom"/>
          </w:tcPr>
          <w:p w:rsidR="008C6747" w:rsidRPr="00486618" w:rsidRDefault="008C6747" w:rsidP="00CB16CA">
            <w:pPr>
              <w:pStyle w:val="TableBodyText"/>
              <w:rPr>
                <w:i/>
              </w:rPr>
            </w:pPr>
            <w:r w:rsidRPr="00486618">
              <w:rPr>
                <w:i/>
              </w:rPr>
              <w:t>1.37</w:t>
            </w:r>
          </w:p>
        </w:tc>
        <w:tc>
          <w:tcPr>
            <w:tcW w:w="662" w:type="pct"/>
            <w:shd w:val="clear" w:color="auto" w:fill="D9D9D9" w:themeFill="background1" w:themeFillShade="D9"/>
            <w:vAlign w:val="bottom"/>
          </w:tcPr>
          <w:p w:rsidR="008C6747" w:rsidRPr="00486618" w:rsidRDefault="008C6747" w:rsidP="00CB16CA">
            <w:pPr>
              <w:pStyle w:val="TableBodyText"/>
              <w:rPr>
                <w:i/>
              </w:rPr>
            </w:pPr>
            <w:r w:rsidRPr="00486618">
              <w:rPr>
                <w:i/>
              </w:rPr>
              <w:t>-1.52</w:t>
            </w:r>
          </w:p>
        </w:tc>
        <w:tc>
          <w:tcPr>
            <w:tcW w:w="662" w:type="pct"/>
            <w:shd w:val="clear" w:color="auto" w:fill="D9D9D9" w:themeFill="background1" w:themeFillShade="D9"/>
            <w:vAlign w:val="bottom"/>
          </w:tcPr>
          <w:p w:rsidR="008C6747" w:rsidRPr="00486618" w:rsidRDefault="008C6747" w:rsidP="00CB16CA">
            <w:pPr>
              <w:pStyle w:val="TableBodyText"/>
              <w:rPr>
                <w:i/>
              </w:rPr>
            </w:pPr>
            <w:r w:rsidRPr="00486618">
              <w:rPr>
                <w:i/>
              </w:rPr>
              <w:t>-1.29</w:t>
            </w:r>
          </w:p>
        </w:tc>
      </w:tr>
      <w:tr w:rsidR="006C1A8F" w:rsidRPr="005961D0" w:rsidTr="005806ED">
        <w:trPr>
          <w:trHeight w:val="295"/>
        </w:trPr>
        <w:tc>
          <w:tcPr>
            <w:tcW w:w="1691" w:type="pct"/>
            <w:tcBorders>
              <w:bottom w:val="single" w:sz="4" w:space="0" w:color="auto"/>
            </w:tcBorders>
            <w:vAlign w:val="bottom"/>
          </w:tcPr>
          <w:p w:rsidR="008C6747" w:rsidRPr="007B0D84" w:rsidRDefault="000C1641" w:rsidP="004E1B85">
            <w:pPr>
              <w:pStyle w:val="TableBodyText"/>
              <w:ind w:right="0"/>
              <w:jc w:val="left"/>
              <w:rPr>
                <w:b/>
              </w:rPr>
            </w:pPr>
            <w:r>
              <w:rPr>
                <w:b/>
              </w:rPr>
              <w:t>Total</w:t>
            </w:r>
            <w:r w:rsidR="008C6747" w:rsidRPr="005961D0">
              <w:rPr>
                <w:b/>
              </w:rPr>
              <w:t xml:space="preserve"> </w:t>
            </w:r>
            <w:r w:rsidR="00DC5BD7">
              <w:rPr>
                <w:b/>
              </w:rPr>
              <w:t>Manufacturing</w:t>
            </w:r>
            <w:r>
              <w:rPr>
                <w:b/>
              </w:rPr>
              <w:t xml:space="preserve"> (ABS)</w:t>
            </w:r>
          </w:p>
        </w:tc>
        <w:tc>
          <w:tcPr>
            <w:tcW w:w="662" w:type="pct"/>
            <w:tcBorders>
              <w:bottom w:val="single" w:sz="4" w:space="0" w:color="auto"/>
            </w:tcBorders>
            <w:vAlign w:val="bottom"/>
          </w:tcPr>
          <w:p w:rsidR="008C6747" w:rsidRPr="009878A7" w:rsidRDefault="008C6747" w:rsidP="004E1B85">
            <w:pPr>
              <w:pStyle w:val="TableBodyText"/>
              <w:framePr w:w="2155" w:hSpace="227" w:vSpace="181" w:wrap="around" w:vAnchor="text" w:hAnchor="page" w:xAlign="outside" w:y="1"/>
              <w:rPr>
                <w:b/>
              </w:rPr>
            </w:pPr>
            <w:r w:rsidRPr="009878A7">
              <w:rPr>
                <w:b/>
              </w:rPr>
              <w:t>-0.02</w:t>
            </w:r>
          </w:p>
        </w:tc>
        <w:tc>
          <w:tcPr>
            <w:tcW w:w="662" w:type="pct"/>
            <w:tcBorders>
              <w:bottom w:val="single" w:sz="4" w:space="0" w:color="auto"/>
            </w:tcBorders>
            <w:vAlign w:val="bottom"/>
          </w:tcPr>
          <w:p w:rsidR="008C6747" w:rsidRPr="009878A7" w:rsidRDefault="008C6747" w:rsidP="004E1B85">
            <w:pPr>
              <w:pStyle w:val="TableBodyText"/>
              <w:framePr w:w="2155" w:hSpace="227" w:vSpace="181" w:wrap="around" w:vAnchor="text" w:hAnchor="page" w:xAlign="outside" w:y="1"/>
              <w:rPr>
                <w:b/>
              </w:rPr>
            </w:pPr>
            <w:r w:rsidRPr="009878A7">
              <w:rPr>
                <w:b/>
              </w:rPr>
              <w:t>0.59</w:t>
            </w:r>
          </w:p>
        </w:tc>
        <w:tc>
          <w:tcPr>
            <w:tcW w:w="662" w:type="pct"/>
            <w:tcBorders>
              <w:bottom w:val="single" w:sz="4" w:space="0" w:color="auto"/>
            </w:tcBorders>
            <w:vAlign w:val="bottom"/>
          </w:tcPr>
          <w:p w:rsidR="008C6747" w:rsidRPr="009878A7" w:rsidRDefault="008C6747" w:rsidP="004E1B85">
            <w:pPr>
              <w:pStyle w:val="TableBodyText"/>
              <w:framePr w:w="2155" w:hSpace="227" w:vSpace="181" w:wrap="around" w:vAnchor="text" w:hAnchor="page" w:xAlign="outside" w:y="1"/>
              <w:rPr>
                <w:b/>
              </w:rPr>
            </w:pPr>
            <w:r w:rsidRPr="009878A7">
              <w:rPr>
                <w:b/>
              </w:rPr>
              <w:t>1.34</w:t>
            </w:r>
          </w:p>
        </w:tc>
        <w:tc>
          <w:tcPr>
            <w:tcW w:w="662" w:type="pct"/>
            <w:tcBorders>
              <w:bottom w:val="single" w:sz="4" w:space="0" w:color="auto"/>
            </w:tcBorders>
            <w:vAlign w:val="bottom"/>
          </w:tcPr>
          <w:p w:rsidR="008C6747" w:rsidRPr="009878A7" w:rsidRDefault="008C6747" w:rsidP="004E1B85">
            <w:pPr>
              <w:pStyle w:val="TableBodyText"/>
              <w:framePr w:w="2155" w:hSpace="227" w:vSpace="181" w:wrap="around" w:vAnchor="text" w:hAnchor="page" w:xAlign="outside" w:y="1"/>
              <w:rPr>
                <w:b/>
              </w:rPr>
            </w:pPr>
            <w:r w:rsidRPr="009878A7">
              <w:rPr>
                <w:b/>
              </w:rPr>
              <w:t>-1.38</w:t>
            </w:r>
          </w:p>
        </w:tc>
        <w:tc>
          <w:tcPr>
            <w:tcW w:w="662" w:type="pct"/>
            <w:tcBorders>
              <w:bottom w:val="single" w:sz="4" w:space="0" w:color="auto"/>
            </w:tcBorders>
            <w:vAlign w:val="bottom"/>
          </w:tcPr>
          <w:p w:rsidR="008C6747" w:rsidRPr="009878A7" w:rsidRDefault="008C6747" w:rsidP="004E1B85">
            <w:pPr>
              <w:pStyle w:val="TableBodyText"/>
              <w:framePr w:w="2155" w:hSpace="227" w:vSpace="181" w:wrap="around" w:vAnchor="text" w:hAnchor="page" w:xAlign="outside" w:y="1"/>
              <w:rPr>
                <w:b/>
              </w:rPr>
            </w:pPr>
            <w:r w:rsidRPr="009878A7">
              <w:rPr>
                <w:b/>
              </w:rPr>
              <w:t>-0.79</w:t>
            </w:r>
          </w:p>
        </w:tc>
      </w:tr>
    </w:tbl>
    <w:p w:rsidR="008C6747" w:rsidRPr="0050427A" w:rsidRDefault="008C6747" w:rsidP="008C6747">
      <w:pPr>
        <w:pStyle w:val="Source"/>
      </w:pPr>
      <w:r>
        <w:rPr>
          <w:i/>
        </w:rPr>
        <w:t>Source</w:t>
      </w:r>
      <w:r w:rsidR="00F54230">
        <w:rPr>
          <w:i/>
        </w:rPr>
        <w:t>s</w:t>
      </w:r>
      <w:r>
        <w:t>: Authors’ estimates; ABS (</w:t>
      </w:r>
      <w:r w:rsidRPr="0050427A">
        <w:rPr>
          <w:i/>
        </w:rPr>
        <w:t>Experimental Estimates of Industry Mu</w:t>
      </w:r>
      <w:r>
        <w:rPr>
          <w:i/>
        </w:rPr>
        <w:t xml:space="preserve">ltifactor Productivity, 2010-11, </w:t>
      </w:r>
      <w:r>
        <w:t>Cat</w:t>
      </w:r>
      <w:r w:rsidR="005A3787">
        <w:t>. </w:t>
      </w:r>
      <w:r>
        <w:t>no. 5260.0.55.002).</w:t>
      </w:r>
    </w:p>
    <w:p w:rsidR="007310E3" w:rsidRDefault="008C461E" w:rsidP="007310E3">
      <w:pPr>
        <w:pStyle w:val="BodyText"/>
      </w:pPr>
      <w:r>
        <w:t>In most cycles, MFP growth has been quite variable across subsectors, with both positive and negative rates of growth</w:t>
      </w:r>
      <w:r w:rsidR="00AD0513">
        <w:t xml:space="preserve"> coexisting</w:t>
      </w:r>
      <w:r>
        <w:t xml:space="preserve"> in every cycle.</w:t>
      </w:r>
      <w:r w:rsidR="007310E3">
        <w:t xml:space="preserve"> </w:t>
      </w:r>
      <w:r>
        <w:t>I</w:t>
      </w:r>
      <w:r w:rsidR="007310E3">
        <w:t>n cycle 1, most of the subsectors had negative MFP growth</w:t>
      </w:r>
      <w:r>
        <w:t xml:space="preserve">, but </w:t>
      </w:r>
      <w:r w:rsidR="00B92EB5">
        <w:t xml:space="preserve">three </w:t>
      </w:r>
      <w:r>
        <w:t>had positive MFP growth</w:t>
      </w:r>
      <w:r w:rsidR="007310E3">
        <w:t>. In cycles 2 and 3, there was an improvement in MFP growth rates</w:t>
      </w:r>
      <w:r w:rsidR="00DB668F">
        <w:t xml:space="preserve"> in most subsectors</w:t>
      </w:r>
      <w:r w:rsidR="007310E3">
        <w:t>,</w:t>
      </w:r>
      <w:r w:rsidR="00DB668F">
        <w:t xml:space="preserve"> with </w:t>
      </w:r>
      <w:r w:rsidR="00CC7CD1">
        <w:t xml:space="preserve">only two </w:t>
      </w:r>
      <w:r w:rsidR="00DB668F">
        <w:t>subsectors recording negative rates of MFP growth.</w:t>
      </w:r>
      <w:r w:rsidR="0018152D">
        <w:t xml:space="preserve"> (In each cycle, </w:t>
      </w:r>
      <w:r w:rsidR="00BC2365" w:rsidRPr="00CC0019">
        <w:t xml:space="preserve">Wood </w:t>
      </w:r>
      <w:r w:rsidR="00BC2365">
        <w:t>and</w:t>
      </w:r>
      <w:r w:rsidR="00BC2365" w:rsidRPr="00CC0019">
        <w:t xml:space="preserve"> paper products</w:t>
      </w:r>
      <w:r w:rsidR="0018152D">
        <w:t xml:space="preserve"> had negative growth.)</w:t>
      </w:r>
      <w:r w:rsidR="00DB668F">
        <w:t xml:space="preserve"> </w:t>
      </w:r>
    </w:p>
    <w:p w:rsidR="00763F3A" w:rsidRDefault="007310E3" w:rsidP="007310E3">
      <w:pPr>
        <w:pStyle w:val="BodyText"/>
      </w:pPr>
      <w:r>
        <w:lastRenderedPageBreak/>
        <w:t>In cycle 4, however, there was negative MFP</w:t>
      </w:r>
      <w:r w:rsidR="00551F62">
        <w:t xml:space="preserve"> growth</w:t>
      </w:r>
      <w:r>
        <w:t xml:space="preserve"> in almost all the subsectors (the sole exception being </w:t>
      </w:r>
      <w:r w:rsidR="00BC2365" w:rsidRPr="00CC0019">
        <w:t>Non-metallic mineral products</w:t>
      </w:r>
      <w:r w:rsidR="00194B6A">
        <w:t xml:space="preserve">, </w:t>
      </w:r>
      <w:r w:rsidR="00EC6CB0">
        <w:t>which was also strongly positive in cycle</w:t>
      </w:r>
      <w:r w:rsidR="000C1641">
        <w:t> </w:t>
      </w:r>
      <w:r w:rsidR="00EC6CB0">
        <w:t>3</w:t>
      </w:r>
      <w:r>
        <w:t>)</w:t>
      </w:r>
      <w:r w:rsidR="00C84741">
        <w:t xml:space="preserve">. And </w:t>
      </w:r>
      <w:r>
        <w:t xml:space="preserve">the rate of decline in some of the subsectors was particularly sharp. </w:t>
      </w:r>
      <w:r w:rsidR="00BC2365">
        <w:t xml:space="preserve">Food, beverage and tobacco products </w:t>
      </w:r>
      <w:r>
        <w:t xml:space="preserve">and </w:t>
      </w:r>
      <w:r w:rsidR="00BC2365" w:rsidRPr="00CC0019">
        <w:t xml:space="preserve">Petroleum, coal, chemical </w:t>
      </w:r>
      <w:r w:rsidR="00BC2365">
        <w:t>and</w:t>
      </w:r>
      <w:r w:rsidR="00BC2365" w:rsidRPr="00CC0019">
        <w:t xml:space="preserve"> rubber products</w:t>
      </w:r>
      <w:r>
        <w:t xml:space="preserve"> had MFP growth rates of </w:t>
      </w:r>
      <w:r w:rsidR="00A56BD6">
        <w:t>around</w:t>
      </w:r>
      <w:r>
        <w:t xml:space="preserve"> </w:t>
      </w:r>
      <w:r w:rsidR="00551F62">
        <w:t>-4</w:t>
      </w:r>
      <w:r>
        <w:t xml:space="preserve"> per cent a year</w:t>
      </w:r>
      <w:r w:rsidR="00C84741">
        <w:t xml:space="preserve"> —</w:t>
      </w:r>
      <w:r>
        <w:t xml:space="preserve"> </w:t>
      </w:r>
      <w:r w:rsidR="00DB668F">
        <w:t xml:space="preserve">higher </w:t>
      </w:r>
      <w:r>
        <w:t>rate</w:t>
      </w:r>
      <w:r w:rsidR="00C84741">
        <w:t>s</w:t>
      </w:r>
      <w:r>
        <w:t xml:space="preserve"> of decline </w:t>
      </w:r>
      <w:r w:rsidR="00DB668F">
        <w:t xml:space="preserve">than </w:t>
      </w:r>
      <w:r>
        <w:t xml:space="preserve">in any of the subsectors in the previous three cycles. </w:t>
      </w:r>
    </w:p>
    <w:p w:rsidR="007310E3" w:rsidRDefault="007310E3" w:rsidP="007310E3">
      <w:pPr>
        <w:pStyle w:val="BodyText"/>
      </w:pPr>
      <w:r>
        <w:t xml:space="preserve">In the incomplete cycle, the smaller subsectors of </w:t>
      </w:r>
      <w:r w:rsidR="00BC2365" w:rsidRPr="00CC0019">
        <w:t xml:space="preserve">Textile, clothing </w:t>
      </w:r>
      <w:r w:rsidR="00BC2365">
        <w:t>and</w:t>
      </w:r>
      <w:r w:rsidR="00BC2365" w:rsidRPr="00CC0019">
        <w:t xml:space="preserve"> other manufacturing</w:t>
      </w:r>
      <w:r>
        <w:t xml:space="preserve"> and </w:t>
      </w:r>
      <w:r w:rsidR="00BC2365" w:rsidRPr="00CC0019">
        <w:t xml:space="preserve">Printing </w:t>
      </w:r>
      <w:r w:rsidR="00BC2365">
        <w:t>and</w:t>
      </w:r>
      <w:r w:rsidR="00BC2365" w:rsidRPr="00CC0019">
        <w:t xml:space="preserve"> recorded media</w:t>
      </w:r>
      <w:r>
        <w:t xml:space="preserve"> </w:t>
      </w:r>
      <w:r w:rsidR="00C84741">
        <w:t xml:space="preserve">had </w:t>
      </w:r>
      <w:r>
        <w:t xml:space="preserve">even sharper declines in MFP, with growth rates of </w:t>
      </w:r>
      <w:r w:rsidR="00A56BD6">
        <w:t>around</w:t>
      </w:r>
      <w:r>
        <w:t xml:space="preserve"> </w:t>
      </w:r>
      <w:r w:rsidR="00551F62">
        <w:t>-9</w:t>
      </w:r>
      <w:r>
        <w:t xml:space="preserve"> per cent a year. </w:t>
      </w:r>
      <w:r w:rsidR="00AD0513">
        <w:t>By contrast</w:t>
      </w:r>
      <w:r>
        <w:t xml:space="preserve">, the larger subsectors improved their MFP growth rates, with some (such as </w:t>
      </w:r>
      <w:r w:rsidR="00BC2365">
        <w:t>Metal products</w:t>
      </w:r>
      <w:r>
        <w:t xml:space="preserve"> and </w:t>
      </w:r>
      <w:r w:rsidR="00BC2365" w:rsidRPr="00CC0019">
        <w:t xml:space="preserve">Machinery </w:t>
      </w:r>
      <w:r w:rsidR="00BC2365">
        <w:t>and</w:t>
      </w:r>
      <w:r w:rsidR="00BC2365" w:rsidRPr="00CC0019">
        <w:t xml:space="preserve"> equipment</w:t>
      </w:r>
      <w:r w:rsidR="00BC2365">
        <w:t xml:space="preserve"> manufacturing</w:t>
      </w:r>
      <w:r>
        <w:t>) experiencing positive growth</w:t>
      </w:r>
      <w:r w:rsidR="00AD0513">
        <w:t xml:space="preserve"> once again</w:t>
      </w:r>
      <w:r>
        <w:t xml:space="preserve">. For </w:t>
      </w:r>
      <w:r w:rsidR="00DC5BD7">
        <w:t>Manufacturing</w:t>
      </w:r>
      <w:r>
        <w:t xml:space="preserve"> as a whole, the decline in MFP also became less severe. </w:t>
      </w:r>
    </w:p>
    <w:p w:rsidR="00077907" w:rsidRDefault="007310E3" w:rsidP="007310E3">
      <w:pPr>
        <w:pStyle w:val="BodyText"/>
      </w:pPr>
      <w:r w:rsidRPr="000B65C1">
        <w:t xml:space="preserve">Focusing on the </w:t>
      </w:r>
      <w:r w:rsidR="00C84ED9" w:rsidRPr="000B65C1">
        <w:t xml:space="preserve">most </w:t>
      </w:r>
      <w:r w:rsidRPr="000B65C1">
        <w:t xml:space="preserve">recent </w:t>
      </w:r>
      <w:r w:rsidR="000B65C1" w:rsidRPr="000B65C1">
        <w:t xml:space="preserve">complete </w:t>
      </w:r>
      <w:r w:rsidR="00C84ED9" w:rsidRPr="000B65C1">
        <w:t>cycles</w:t>
      </w:r>
      <w:r w:rsidRPr="000B65C1">
        <w:t xml:space="preserve">, figure </w:t>
      </w:r>
      <w:r w:rsidR="00E257AB">
        <w:t>3.5</w:t>
      </w:r>
      <w:r w:rsidRPr="000B65C1">
        <w:t xml:space="preserve"> shows </w:t>
      </w:r>
      <w:r w:rsidR="008D7A21" w:rsidRPr="000B65C1">
        <w:t xml:space="preserve">that </w:t>
      </w:r>
      <w:r w:rsidR="000B65C1" w:rsidRPr="004E1B85">
        <w:rPr>
          <w:i/>
        </w:rPr>
        <w:t>b</w:t>
      </w:r>
      <w:r w:rsidRPr="004E1B85">
        <w:rPr>
          <w:i/>
        </w:rPr>
        <w:t>etween</w:t>
      </w:r>
      <w:r>
        <w:t xml:space="preserve"> cycles 3 and 4, MFP growth fell in all subsectors</w:t>
      </w:r>
      <w:r w:rsidR="00AF3B0C">
        <w:t xml:space="preserve"> as well as for </w:t>
      </w:r>
      <w:r w:rsidR="00DC5BD7">
        <w:t>Manufacturing</w:t>
      </w:r>
      <w:r w:rsidR="00AF3B0C">
        <w:t xml:space="preserve"> in total. </w:t>
      </w:r>
      <w:r w:rsidR="00DB668F">
        <w:t xml:space="preserve">In most subsectors, </w:t>
      </w:r>
      <w:r w:rsidR="004E1B85">
        <w:t xml:space="preserve">this was a fall from an average rate of </w:t>
      </w:r>
      <w:r w:rsidR="00AF3B0C">
        <w:t xml:space="preserve">MFP growth </w:t>
      </w:r>
      <w:r w:rsidR="004E1B85">
        <w:t xml:space="preserve">that </w:t>
      </w:r>
      <w:r w:rsidR="00AF3B0C">
        <w:t xml:space="preserve">was positive in cycle 3 </w:t>
      </w:r>
      <w:r w:rsidR="004E1B85">
        <w:t>to one that was</w:t>
      </w:r>
      <w:r w:rsidR="00AF3B0C">
        <w:t xml:space="preserve"> negative in cycle 4. </w:t>
      </w:r>
    </w:p>
    <w:p w:rsidR="007310E3" w:rsidRDefault="007310E3" w:rsidP="00A14316">
      <w:pPr>
        <w:pStyle w:val="FigureTitle"/>
      </w:pPr>
      <w:r>
        <w:rPr>
          <w:b w:val="0"/>
        </w:rPr>
        <w:t xml:space="preserve">Figure </w:t>
      </w:r>
      <w:bookmarkStart w:id="11" w:name="OLE_LINK9"/>
      <w:r w:rsidR="00E257AB">
        <w:rPr>
          <w:b w:val="0"/>
        </w:rPr>
        <w:t>3.</w:t>
      </w:r>
      <w:r w:rsidR="003538B8">
        <w:rPr>
          <w:b w:val="0"/>
          <w:noProof/>
        </w:rPr>
        <w:t>5</w:t>
      </w:r>
      <w:bookmarkEnd w:id="11"/>
      <w:r>
        <w:tab/>
        <w:t xml:space="preserve">Change in </w:t>
      </w:r>
      <w:r w:rsidR="00032914">
        <w:t xml:space="preserve">subsector </w:t>
      </w:r>
      <w:r>
        <w:t>MFP growth rates between cycles</w:t>
      </w:r>
      <w:r w:rsidR="000B65C1">
        <w:t xml:space="preserve"> 3 and 4</w:t>
      </w:r>
      <w:r w:rsidR="00FB76E9" w:rsidRPr="00344546">
        <w:rPr>
          <w:rStyle w:val="NoteLabel"/>
          <w:b/>
        </w:rPr>
        <w:t>a</w:t>
      </w:r>
    </w:p>
    <w:p w:rsidR="007310E3" w:rsidRDefault="007310E3" w:rsidP="007310E3">
      <w:pPr>
        <w:pStyle w:val="Subtitle"/>
      </w:pPr>
      <w:r>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0E3" w:rsidTr="000B65C1">
        <w:tc>
          <w:tcPr>
            <w:tcW w:w="8777" w:type="dxa"/>
          </w:tcPr>
          <w:p w:rsidR="007310E3" w:rsidRPr="00FB76E9" w:rsidRDefault="00AF5615" w:rsidP="00A14316">
            <w:pPr>
              <w:pStyle w:val="Figure"/>
              <w:spacing w:after="60"/>
              <w:rPr>
                <w:b/>
              </w:rPr>
            </w:pPr>
            <w:r>
              <w:rPr>
                <w:b/>
              </w:rPr>
              <w:pict>
                <v:shape id="_x0000_i1032" type="#_x0000_t75" alt="This figures shows that between cycles 3 and 4, MFP growth fell in all subsectors as well as for Manufacturing in total. In order of sectors from largest to smallest fall in MFP growth are: PRM, PCCR, TCO, FBT, Total manufacturing (ABS), MP, ME, NM, and WP. " style="width:424.5pt;height:197.25pt">
                  <v:imagedata r:id="rId16" o:title=""/>
                </v:shape>
              </w:pict>
            </w:r>
          </w:p>
        </w:tc>
      </w:tr>
    </w:tbl>
    <w:p w:rsidR="00FB12C7" w:rsidRDefault="007310E3" w:rsidP="0081112D">
      <w:pPr>
        <w:pStyle w:val="Source"/>
      </w:pPr>
      <w:r>
        <w:rPr>
          <w:i/>
        </w:rPr>
        <w:t>Data source</w:t>
      </w:r>
      <w:r w:rsidR="00F54230">
        <w:rPr>
          <w:i/>
        </w:rPr>
        <w:t>s</w:t>
      </w:r>
      <w:r w:rsidRPr="00167F06">
        <w:t xml:space="preserve">: </w:t>
      </w:r>
      <w:r>
        <w:t>Authors’ estimates; ABS (</w:t>
      </w:r>
      <w:r w:rsidRPr="0050427A">
        <w:rPr>
          <w:i/>
        </w:rPr>
        <w:t>Experimental Estimates of Industry Mu</w:t>
      </w:r>
      <w:r>
        <w:rPr>
          <w:i/>
        </w:rPr>
        <w:t xml:space="preserve">ltifactor Productivity, 2010-11, </w:t>
      </w:r>
      <w:r>
        <w:t>Cat. no. 5260.0.55.002)</w:t>
      </w:r>
      <w:r w:rsidR="002C4B1E">
        <w:t>.</w:t>
      </w:r>
    </w:p>
    <w:p w:rsidR="00A14316" w:rsidRDefault="00A14316">
      <w:pPr>
        <w:rPr>
          <w:rFonts w:ascii="Arial" w:hAnsi="Arial"/>
          <w:i/>
          <w:sz w:val="24"/>
          <w:szCs w:val="20"/>
        </w:rPr>
      </w:pPr>
      <w:r>
        <w:br w:type="page"/>
      </w:r>
    </w:p>
    <w:p w:rsidR="007310E3" w:rsidRPr="00784E53" w:rsidRDefault="004E1B85" w:rsidP="00784E53">
      <w:pPr>
        <w:pStyle w:val="Heading4"/>
      </w:pPr>
      <w:r>
        <w:lastRenderedPageBreak/>
        <w:t>LP</w:t>
      </w:r>
      <w:r w:rsidR="007310E3" w:rsidRPr="00784E53">
        <w:t xml:space="preserve"> </w:t>
      </w:r>
      <w:r w:rsidR="0036501A" w:rsidRPr="00784E53">
        <w:t xml:space="preserve">growth </w:t>
      </w:r>
      <w:r w:rsidR="004C2C72" w:rsidRPr="00784E53">
        <w:t>over</w:t>
      </w:r>
      <w:r w:rsidR="007310E3" w:rsidRPr="00784E53">
        <w:t xml:space="preserve"> cycles</w:t>
      </w:r>
    </w:p>
    <w:p w:rsidR="00C27650" w:rsidRDefault="0063615A" w:rsidP="009463A0">
      <w:pPr>
        <w:pStyle w:val="BodyText"/>
      </w:pPr>
      <w:r>
        <w:t>LP</w:t>
      </w:r>
      <w:r w:rsidR="00182F26">
        <w:t xml:space="preserve"> growth has also been quite variable across subsectors in each cycle (table </w:t>
      </w:r>
      <w:r w:rsidR="00E257AB">
        <w:t>3.2</w:t>
      </w:r>
      <w:r w:rsidR="00182F26">
        <w:t xml:space="preserve">). However, </w:t>
      </w:r>
      <w:r w:rsidR="00094465">
        <w:t xml:space="preserve">unlike MFP growth, </w:t>
      </w:r>
      <w:r w:rsidR="00182F26">
        <w:t>LP growth remained positive in most subsectors in each cycle, supported by consistently positive capital deepening</w:t>
      </w:r>
      <w:r w:rsidR="009463A0">
        <w:t>.</w:t>
      </w:r>
      <w:r w:rsidR="00C27650">
        <w:t xml:space="preserve"> (As noted in chapter 2, LP growth can be broken down into capital deepening and MFP growth. </w:t>
      </w:r>
      <w:r w:rsidR="00B57944" w:rsidRPr="00240299">
        <w:rPr>
          <w:szCs w:val="18"/>
        </w:rPr>
        <w:t>Capital deepening is an increase in the capital intensity of the production process</w:t>
      </w:r>
      <w:r w:rsidR="004E1B85">
        <w:rPr>
          <w:szCs w:val="18"/>
        </w:rPr>
        <w:t>.</w:t>
      </w:r>
      <w:r w:rsidR="00C27650">
        <w:t>)</w:t>
      </w:r>
    </w:p>
    <w:p w:rsidR="007310E3" w:rsidRDefault="007310E3" w:rsidP="007310E3">
      <w:pPr>
        <w:pStyle w:val="TableTitle"/>
      </w:pPr>
      <w:r>
        <w:rPr>
          <w:b w:val="0"/>
        </w:rPr>
        <w:t xml:space="preserve">Table </w:t>
      </w:r>
      <w:bookmarkStart w:id="12" w:name="OLE_LINK12"/>
      <w:r w:rsidR="00E257AB">
        <w:rPr>
          <w:b w:val="0"/>
        </w:rPr>
        <w:t>3.</w:t>
      </w:r>
      <w:r w:rsidR="003538B8">
        <w:rPr>
          <w:b w:val="0"/>
          <w:noProof/>
        </w:rPr>
        <w:t>2</w:t>
      </w:r>
      <w:bookmarkEnd w:id="12"/>
      <w:r>
        <w:tab/>
      </w:r>
      <w:r w:rsidR="00032914">
        <w:t>Manufacturing s</w:t>
      </w:r>
      <w:r w:rsidR="004610A5">
        <w:t xml:space="preserve">ubsector </w:t>
      </w:r>
      <w:r w:rsidR="00032914">
        <w:t>LP</w:t>
      </w:r>
      <w:r>
        <w:t xml:space="preserve"> growth by cycle </w:t>
      </w:r>
    </w:p>
    <w:p w:rsidR="007310E3" w:rsidRDefault="0076550A" w:rsidP="007310E3">
      <w:pPr>
        <w:pStyle w:val="Subtitle"/>
      </w:pPr>
      <w:r>
        <w:t>Average annual growth rate (per cent)</w:t>
      </w:r>
    </w:p>
    <w:tbl>
      <w:tblPr>
        <w:tblW w:w="5000" w:type="pct"/>
        <w:tblLayout w:type="fixed"/>
        <w:tblCellMar>
          <w:left w:w="0" w:type="dxa"/>
          <w:right w:w="0" w:type="dxa"/>
        </w:tblCellMar>
        <w:tblLook w:val="0000" w:firstRow="0" w:lastRow="0" w:firstColumn="0" w:lastColumn="0" w:noHBand="0" w:noVBand="0"/>
      </w:tblPr>
      <w:tblGrid>
        <w:gridCol w:w="2979"/>
        <w:gridCol w:w="1162"/>
        <w:gridCol w:w="1162"/>
        <w:gridCol w:w="1162"/>
        <w:gridCol w:w="1162"/>
        <w:gridCol w:w="1162"/>
      </w:tblGrid>
      <w:tr w:rsidR="00CE2E49" w:rsidRPr="00C52ECD" w:rsidTr="00390E36">
        <w:tc>
          <w:tcPr>
            <w:tcW w:w="1695" w:type="pct"/>
            <w:tcBorders>
              <w:top w:val="single" w:sz="6" w:space="0" w:color="auto"/>
              <w:bottom w:val="single" w:sz="6" w:space="0" w:color="auto"/>
            </w:tcBorders>
            <w:shd w:val="clear" w:color="auto" w:fill="auto"/>
            <w:vAlign w:val="bottom"/>
          </w:tcPr>
          <w:p w:rsidR="00CE2E49" w:rsidRPr="00C52ECD" w:rsidRDefault="00914EFA" w:rsidP="00CB16CA">
            <w:pPr>
              <w:pStyle w:val="TableColumnHeading"/>
              <w:jc w:val="left"/>
            </w:pPr>
            <w:r>
              <w:br/>
            </w:r>
            <w:r>
              <w:br/>
            </w:r>
            <w:r>
              <w:br/>
              <w:t>Subsectors</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1: </w:t>
            </w:r>
            <w:r w:rsidRPr="00C52ECD">
              <w:br/>
              <w:t>1988-89 to 1993-94</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2: </w:t>
            </w:r>
            <w:r w:rsidRPr="00C52ECD">
              <w:br/>
              <w:t>1993-94 to 1998-99</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3: </w:t>
            </w:r>
            <w:r w:rsidRPr="00C52ECD">
              <w:br/>
              <w:t>1998-99 to 2003-04</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4: </w:t>
            </w:r>
            <w:r w:rsidRPr="00C52ECD">
              <w:br/>
              <w:t>2003-04 to 2007-08</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Incomplete cycle: </w:t>
            </w:r>
            <w:r w:rsidRPr="00C52ECD">
              <w:br/>
              <w:t>2007-08 to 2010-11</w:t>
            </w:r>
          </w:p>
        </w:tc>
      </w:tr>
      <w:tr w:rsidR="004626FB" w:rsidTr="00390E36">
        <w:trPr>
          <w:trHeight w:val="295"/>
        </w:trPr>
        <w:tc>
          <w:tcPr>
            <w:tcW w:w="1695" w:type="pct"/>
            <w:shd w:val="clear" w:color="auto" w:fill="D9D9D9" w:themeFill="background1" w:themeFillShade="D9"/>
            <w:vAlign w:val="bottom"/>
          </w:tcPr>
          <w:p w:rsidR="004626FB" w:rsidRDefault="004626FB" w:rsidP="00F124DA">
            <w:pPr>
              <w:pStyle w:val="TableBodyText"/>
              <w:spacing w:before="40"/>
              <w:jc w:val="left"/>
            </w:pPr>
            <w:r>
              <w:t xml:space="preserve">Food, beverage &amp; </w:t>
            </w:r>
            <w:proofErr w:type="spellStart"/>
            <w:r>
              <w:t>tob</w:t>
            </w:r>
            <w:proofErr w:type="spellEnd"/>
            <w:r>
              <w:t>. products</w:t>
            </w:r>
          </w:p>
        </w:tc>
        <w:tc>
          <w:tcPr>
            <w:tcW w:w="661" w:type="pct"/>
            <w:shd w:val="clear" w:color="auto" w:fill="D9D9D9" w:themeFill="background1" w:themeFillShade="D9"/>
            <w:vAlign w:val="bottom"/>
          </w:tcPr>
          <w:p w:rsidR="004626FB" w:rsidRDefault="004626FB" w:rsidP="00F124DA">
            <w:pPr>
              <w:pStyle w:val="TableBodyText"/>
              <w:spacing w:before="40"/>
            </w:pPr>
            <w:r>
              <w:t>1.97</w:t>
            </w:r>
          </w:p>
        </w:tc>
        <w:tc>
          <w:tcPr>
            <w:tcW w:w="661" w:type="pct"/>
            <w:shd w:val="clear" w:color="auto" w:fill="D9D9D9" w:themeFill="background1" w:themeFillShade="D9"/>
            <w:vAlign w:val="bottom"/>
          </w:tcPr>
          <w:p w:rsidR="004626FB" w:rsidRDefault="004626FB" w:rsidP="00F124DA">
            <w:pPr>
              <w:pStyle w:val="TableBodyText"/>
              <w:spacing w:before="40"/>
            </w:pPr>
            <w:r>
              <w:t>2.11</w:t>
            </w:r>
          </w:p>
        </w:tc>
        <w:tc>
          <w:tcPr>
            <w:tcW w:w="661" w:type="pct"/>
            <w:shd w:val="clear" w:color="auto" w:fill="D9D9D9" w:themeFill="background1" w:themeFillShade="D9"/>
            <w:vAlign w:val="bottom"/>
          </w:tcPr>
          <w:p w:rsidR="004626FB" w:rsidRDefault="004626FB" w:rsidP="00F124DA">
            <w:pPr>
              <w:pStyle w:val="TableBodyText"/>
              <w:spacing w:before="40"/>
            </w:pPr>
            <w:r>
              <w:t>2.12</w:t>
            </w:r>
          </w:p>
        </w:tc>
        <w:tc>
          <w:tcPr>
            <w:tcW w:w="661" w:type="pct"/>
            <w:shd w:val="clear" w:color="auto" w:fill="D9D9D9" w:themeFill="background1" w:themeFillShade="D9"/>
            <w:vAlign w:val="bottom"/>
          </w:tcPr>
          <w:p w:rsidR="004626FB" w:rsidRDefault="004626FB" w:rsidP="00F124DA">
            <w:pPr>
              <w:pStyle w:val="TableBodyText"/>
              <w:spacing w:before="40"/>
            </w:pPr>
            <w:r>
              <w:t>-4.00</w:t>
            </w:r>
          </w:p>
        </w:tc>
        <w:tc>
          <w:tcPr>
            <w:tcW w:w="661" w:type="pct"/>
            <w:shd w:val="clear" w:color="auto" w:fill="D9D9D9" w:themeFill="background1" w:themeFillShade="D9"/>
            <w:vAlign w:val="bottom"/>
          </w:tcPr>
          <w:p w:rsidR="004626FB" w:rsidRDefault="004626FB" w:rsidP="00F124DA">
            <w:pPr>
              <w:pStyle w:val="TableBodyText"/>
              <w:spacing w:before="40"/>
            </w:pPr>
            <w:r>
              <w:t>0.61</w:t>
            </w:r>
          </w:p>
        </w:tc>
      </w:tr>
      <w:tr w:rsidR="004626FB" w:rsidTr="00390E36">
        <w:trPr>
          <w:trHeight w:val="295"/>
        </w:trPr>
        <w:tc>
          <w:tcPr>
            <w:tcW w:w="1695" w:type="pct"/>
            <w:vAlign w:val="bottom"/>
          </w:tcPr>
          <w:p w:rsidR="004626FB" w:rsidRDefault="004626FB" w:rsidP="00CB16CA">
            <w:pPr>
              <w:pStyle w:val="TableBodyText"/>
              <w:jc w:val="left"/>
            </w:pPr>
            <w:r>
              <w:t xml:space="preserve">Textile, clothing &amp; other </w:t>
            </w:r>
            <w:proofErr w:type="spellStart"/>
            <w:r>
              <w:t>mfg</w:t>
            </w:r>
            <w:proofErr w:type="spellEnd"/>
          </w:p>
        </w:tc>
        <w:tc>
          <w:tcPr>
            <w:tcW w:w="661" w:type="pct"/>
            <w:vAlign w:val="bottom"/>
          </w:tcPr>
          <w:p w:rsidR="004626FB" w:rsidRDefault="004626FB" w:rsidP="00CB16CA">
            <w:pPr>
              <w:pStyle w:val="TableBodyText"/>
            </w:pPr>
            <w:r>
              <w:t>-1.43</w:t>
            </w:r>
          </w:p>
        </w:tc>
        <w:tc>
          <w:tcPr>
            <w:tcW w:w="661" w:type="pct"/>
            <w:vAlign w:val="bottom"/>
          </w:tcPr>
          <w:p w:rsidR="004626FB" w:rsidRDefault="004626FB" w:rsidP="00CB16CA">
            <w:pPr>
              <w:pStyle w:val="TableBodyText"/>
            </w:pPr>
            <w:r>
              <w:t>0.81</w:t>
            </w:r>
          </w:p>
        </w:tc>
        <w:tc>
          <w:tcPr>
            <w:tcW w:w="661" w:type="pct"/>
            <w:vAlign w:val="bottom"/>
          </w:tcPr>
          <w:p w:rsidR="004626FB" w:rsidRDefault="004626FB" w:rsidP="00CB16CA">
            <w:pPr>
              <w:pStyle w:val="TableBodyText"/>
            </w:pPr>
            <w:r>
              <w:t>3.76</w:t>
            </w:r>
          </w:p>
        </w:tc>
        <w:tc>
          <w:tcPr>
            <w:tcW w:w="661" w:type="pct"/>
            <w:vAlign w:val="bottom"/>
          </w:tcPr>
          <w:p w:rsidR="004626FB" w:rsidRDefault="004626FB" w:rsidP="00CB16CA">
            <w:pPr>
              <w:pStyle w:val="TableBodyText"/>
            </w:pPr>
            <w:r>
              <w:t>0.28</w:t>
            </w:r>
          </w:p>
        </w:tc>
        <w:tc>
          <w:tcPr>
            <w:tcW w:w="661" w:type="pct"/>
            <w:vAlign w:val="bottom"/>
          </w:tcPr>
          <w:p w:rsidR="004626FB" w:rsidRDefault="004626FB" w:rsidP="00CB16CA">
            <w:pPr>
              <w:pStyle w:val="TableBodyText"/>
            </w:pPr>
            <w:r>
              <w:t>-7.82</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Wood &amp; paper products</w:t>
            </w:r>
          </w:p>
        </w:tc>
        <w:tc>
          <w:tcPr>
            <w:tcW w:w="661" w:type="pct"/>
            <w:shd w:val="clear" w:color="auto" w:fill="D9D9D9" w:themeFill="background1" w:themeFillShade="D9"/>
            <w:vAlign w:val="bottom"/>
          </w:tcPr>
          <w:p w:rsidR="004626FB" w:rsidRDefault="004626FB" w:rsidP="00CB16CA">
            <w:pPr>
              <w:pStyle w:val="TableBodyText"/>
            </w:pPr>
            <w:r>
              <w:t>-1.28</w:t>
            </w:r>
          </w:p>
        </w:tc>
        <w:tc>
          <w:tcPr>
            <w:tcW w:w="661" w:type="pct"/>
            <w:shd w:val="clear" w:color="auto" w:fill="D9D9D9" w:themeFill="background1" w:themeFillShade="D9"/>
            <w:vAlign w:val="bottom"/>
          </w:tcPr>
          <w:p w:rsidR="004626FB" w:rsidRDefault="004626FB" w:rsidP="00CB16CA">
            <w:pPr>
              <w:pStyle w:val="TableBodyText"/>
            </w:pPr>
            <w:r>
              <w:t>1.96</w:t>
            </w:r>
          </w:p>
        </w:tc>
        <w:tc>
          <w:tcPr>
            <w:tcW w:w="661" w:type="pct"/>
            <w:shd w:val="clear" w:color="auto" w:fill="D9D9D9" w:themeFill="background1" w:themeFillShade="D9"/>
            <w:vAlign w:val="bottom"/>
          </w:tcPr>
          <w:p w:rsidR="004626FB" w:rsidRDefault="004626FB" w:rsidP="00CB16CA">
            <w:pPr>
              <w:pStyle w:val="TableBodyText"/>
            </w:pPr>
            <w:r>
              <w:t>-1.68</w:t>
            </w:r>
          </w:p>
        </w:tc>
        <w:tc>
          <w:tcPr>
            <w:tcW w:w="661" w:type="pct"/>
            <w:shd w:val="clear" w:color="auto" w:fill="D9D9D9" w:themeFill="background1" w:themeFillShade="D9"/>
            <w:vAlign w:val="bottom"/>
          </w:tcPr>
          <w:p w:rsidR="004626FB" w:rsidRDefault="004626FB" w:rsidP="00CB16CA">
            <w:pPr>
              <w:pStyle w:val="TableBodyText"/>
            </w:pPr>
            <w:r>
              <w:t>2.60</w:t>
            </w:r>
          </w:p>
        </w:tc>
        <w:tc>
          <w:tcPr>
            <w:tcW w:w="661" w:type="pct"/>
            <w:shd w:val="clear" w:color="auto" w:fill="D9D9D9" w:themeFill="background1" w:themeFillShade="D9"/>
            <w:vAlign w:val="bottom"/>
          </w:tcPr>
          <w:p w:rsidR="004626FB" w:rsidRDefault="004626FB" w:rsidP="00CB16CA">
            <w:pPr>
              <w:pStyle w:val="TableBodyText"/>
            </w:pPr>
            <w:r>
              <w:t>5.31</w:t>
            </w:r>
          </w:p>
        </w:tc>
      </w:tr>
      <w:tr w:rsidR="004626FB" w:rsidTr="00390E36">
        <w:trPr>
          <w:trHeight w:val="295"/>
        </w:trPr>
        <w:tc>
          <w:tcPr>
            <w:tcW w:w="1695" w:type="pct"/>
            <w:vAlign w:val="bottom"/>
          </w:tcPr>
          <w:p w:rsidR="004626FB" w:rsidRDefault="004626FB" w:rsidP="00CB16CA">
            <w:pPr>
              <w:pStyle w:val="TableBodyText"/>
              <w:jc w:val="left"/>
            </w:pPr>
            <w:r>
              <w:t>Printing &amp; recorded media</w:t>
            </w:r>
          </w:p>
        </w:tc>
        <w:tc>
          <w:tcPr>
            <w:tcW w:w="661" w:type="pct"/>
            <w:vAlign w:val="bottom"/>
          </w:tcPr>
          <w:p w:rsidR="004626FB" w:rsidRDefault="004626FB" w:rsidP="00CB16CA">
            <w:pPr>
              <w:pStyle w:val="TableBodyText"/>
            </w:pPr>
            <w:r>
              <w:t>1.07</w:t>
            </w:r>
          </w:p>
        </w:tc>
        <w:tc>
          <w:tcPr>
            <w:tcW w:w="661" w:type="pct"/>
            <w:vAlign w:val="bottom"/>
          </w:tcPr>
          <w:p w:rsidR="004626FB" w:rsidRDefault="004626FB" w:rsidP="00CB16CA">
            <w:pPr>
              <w:pStyle w:val="TableBodyText"/>
            </w:pPr>
            <w:r>
              <w:t>-0.83</w:t>
            </w:r>
          </w:p>
        </w:tc>
        <w:tc>
          <w:tcPr>
            <w:tcW w:w="661" w:type="pct"/>
            <w:vAlign w:val="bottom"/>
          </w:tcPr>
          <w:p w:rsidR="004626FB" w:rsidRDefault="004626FB" w:rsidP="00CB16CA">
            <w:pPr>
              <w:pStyle w:val="TableBodyText"/>
            </w:pPr>
            <w:r>
              <w:t>8.26</w:t>
            </w:r>
          </w:p>
        </w:tc>
        <w:tc>
          <w:tcPr>
            <w:tcW w:w="661" w:type="pct"/>
            <w:vAlign w:val="bottom"/>
          </w:tcPr>
          <w:p w:rsidR="004626FB" w:rsidRDefault="004626FB" w:rsidP="00CB16CA">
            <w:pPr>
              <w:pStyle w:val="TableBodyText"/>
            </w:pPr>
            <w:r>
              <w:t>-0.75</w:t>
            </w:r>
          </w:p>
        </w:tc>
        <w:tc>
          <w:tcPr>
            <w:tcW w:w="661" w:type="pct"/>
            <w:vAlign w:val="bottom"/>
          </w:tcPr>
          <w:p w:rsidR="004626FB" w:rsidRDefault="004626FB" w:rsidP="00CB16CA">
            <w:pPr>
              <w:pStyle w:val="TableBodyText"/>
            </w:pPr>
            <w:r>
              <w:t>-9.09</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 xml:space="preserve">Petrol., coal, chem. &amp; rubber </w:t>
            </w:r>
          </w:p>
        </w:tc>
        <w:tc>
          <w:tcPr>
            <w:tcW w:w="661" w:type="pct"/>
            <w:shd w:val="clear" w:color="auto" w:fill="D9D9D9" w:themeFill="background1" w:themeFillShade="D9"/>
            <w:vAlign w:val="bottom"/>
          </w:tcPr>
          <w:p w:rsidR="004626FB" w:rsidRDefault="004626FB" w:rsidP="00CB16CA">
            <w:pPr>
              <w:pStyle w:val="TableBodyText"/>
            </w:pPr>
            <w:r>
              <w:t>0.13</w:t>
            </w:r>
          </w:p>
        </w:tc>
        <w:tc>
          <w:tcPr>
            <w:tcW w:w="661" w:type="pct"/>
            <w:shd w:val="clear" w:color="auto" w:fill="D9D9D9" w:themeFill="background1" w:themeFillShade="D9"/>
            <w:vAlign w:val="bottom"/>
          </w:tcPr>
          <w:p w:rsidR="004626FB" w:rsidRDefault="004626FB" w:rsidP="00CB16CA">
            <w:pPr>
              <w:pStyle w:val="TableBodyText"/>
            </w:pPr>
            <w:r>
              <w:t>2.79</w:t>
            </w:r>
          </w:p>
        </w:tc>
        <w:tc>
          <w:tcPr>
            <w:tcW w:w="661" w:type="pct"/>
            <w:shd w:val="clear" w:color="auto" w:fill="D9D9D9" w:themeFill="background1" w:themeFillShade="D9"/>
            <w:vAlign w:val="bottom"/>
          </w:tcPr>
          <w:p w:rsidR="004626FB" w:rsidRDefault="004626FB" w:rsidP="00CB16CA">
            <w:pPr>
              <w:pStyle w:val="TableBodyText"/>
            </w:pPr>
            <w:r>
              <w:t>2.91</w:t>
            </w:r>
          </w:p>
        </w:tc>
        <w:tc>
          <w:tcPr>
            <w:tcW w:w="661" w:type="pct"/>
            <w:shd w:val="clear" w:color="auto" w:fill="D9D9D9" w:themeFill="background1" w:themeFillShade="D9"/>
            <w:vAlign w:val="bottom"/>
          </w:tcPr>
          <w:p w:rsidR="004626FB" w:rsidRDefault="004626FB" w:rsidP="00CB16CA">
            <w:pPr>
              <w:pStyle w:val="TableBodyText"/>
            </w:pPr>
            <w:r>
              <w:t>-0.64</w:t>
            </w:r>
          </w:p>
        </w:tc>
        <w:tc>
          <w:tcPr>
            <w:tcW w:w="661" w:type="pct"/>
            <w:shd w:val="clear" w:color="auto" w:fill="D9D9D9" w:themeFill="background1" w:themeFillShade="D9"/>
            <w:vAlign w:val="bottom"/>
          </w:tcPr>
          <w:p w:rsidR="004626FB" w:rsidRDefault="004626FB" w:rsidP="00CB16CA">
            <w:pPr>
              <w:pStyle w:val="TableBodyText"/>
            </w:pPr>
            <w:r>
              <w:t>3.17</w:t>
            </w:r>
          </w:p>
        </w:tc>
      </w:tr>
      <w:tr w:rsidR="004626FB" w:rsidTr="00390E36">
        <w:trPr>
          <w:trHeight w:val="295"/>
        </w:trPr>
        <w:tc>
          <w:tcPr>
            <w:tcW w:w="1695" w:type="pct"/>
            <w:vAlign w:val="bottom"/>
          </w:tcPr>
          <w:p w:rsidR="004626FB" w:rsidRDefault="004626FB" w:rsidP="00CB16CA">
            <w:pPr>
              <w:pStyle w:val="TableBodyText"/>
              <w:jc w:val="left"/>
            </w:pPr>
            <w:r>
              <w:t>Non-metallic mineral products</w:t>
            </w:r>
          </w:p>
        </w:tc>
        <w:tc>
          <w:tcPr>
            <w:tcW w:w="661" w:type="pct"/>
            <w:vAlign w:val="bottom"/>
          </w:tcPr>
          <w:p w:rsidR="004626FB" w:rsidRDefault="004626FB" w:rsidP="00CB16CA">
            <w:pPr>
              <w:pStyle w:val="TableBodyText"/>
            </w:pPr>
            <w:r>
              <w:t>0.08</w:t>
            </w:r>
          </w:p>
        </w:tc>
        <w:tc>
          <w:tcPr>
            <w:tcW w:w="661" w:type="pct"/>
            <w:vAlign w:val="bottom"/>
          </w:tcPr>
          <w:p w:rsidR="004626FB" w:rsidRDefault="004626FB" w:rsidP="00CB16CA">
            <w:pPr>
              <w:pStyle w:val="TableBodyText"/>
            </w:pPr>
            <w:r>
              <w:t>2.16</w:t>
            </w:r>
          </w:p>
        </w:tc>
        <w:tc>
          <w:tcPr>
            <w:tcW w:w="661" w:type="pct"/>
            <w:vAlign w:val="bottom"/>
          </w:tcPr>
          <w:p w:rsidR="004626FB" w:rsidRDefault="004626FB" w:rsidP="00CB16CA">
            <w:pPr>
              <w:pStyle w:val="TableBodyText"/>
            </w:pPr>
            <w:r>
              <w:t>7.39</w:t>
            </w:r>
          </w:p>
        </w:tc>
        <w:tc>
          <w:tcPr>
            <w:tcW w:w="661" w:type="pct"/>
            <w:vAlign w:val="bottom"/>
          </w:tcPr>
          <w:p w:rsidR="004626FB" w:rsidRDefault="004626FB" w:rsidP="00CB16CA">
            <w:pPr>
              <w:pStyle w:val="TableBodyText"/>
            </w:pPr>
            <w:r>
              <w:t>5.12</w:t>
            </w:r>
          </w:p>
        </w:tc>
        <w:tc>
          <w:tcPr>
            <w:tcW w:w="661" w:type="pct"/>
            <w:vAlign w:val="bottom"/>
          </w:tcPr>
          <w:p w:rsidR="004626FB" w:rsidRDefault="004626FB" w:rsidP="00CB16CA">
            <w:pPr>
              <w:pStyle w:val="TableBodyText"/>
            </w:pPr>
            <w:r>
              <w:t>4.31</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Metal products</w:t>
            </w:r>
          </w:p>
        </w:tc>
        <w:tc>
          <w:tcPr>
            <w:tcW w:w="661" w:type="pct"/>
            <w:shd w:val="clear" w:color="auto" w:fill="D9D9D9" w:themeFill="background1" w:themeFillShade="D9"/>
            <w:vAlign w:val="bottom"/>
          </w:tcPr>
          <w:p w:rsidR="004626FB" w:rsidRDefault="004626FB" w:rsidP="00CB16CA">
            <w:pPr>
              <w:pStyle w:val="TableBodyText"/>
            </w:pPr>
            <w:r>
              <w:t>3.01</w:t>
            </w:r>
          </w:p>
        </w:tc>
        <w:tc>
          <w:tcPr>
            <w:tcW w:w="661" w:type="pct"/>
            <w:shd w:val="clear" w:color="auto" w:fill="D9D9D9" w:themeFill="background1" w:themeFillShade="D9"/>
            <w:vAlign w:val="bottom"/>
          </w:tcPr>
          <w:p w:rsidR="004626FB" w:rsidRDefault="004626FB" w:rsidP="00CB16CA">
            <w:pPr>
              <w:pStyle w:val="TableBodyText"/>
            </w:pPr>
            <w:r>
              <w:t>1.31</w:t>
            </w:r>
          </w:p>
        </w:tc>
        <w:tc>
          <w:tcPr>
            <w:tcW w:w="661" w:type="pct"/>
            <w:shd w:val="clear" w:color="auto" w:fill="D9D9D9" w:themeFill="background1" w:themeFillShade="D9"/>
            <w:vAlign w:val="bottom"/>
          </w:tcPr>
          <w:p w:rsidR="004626FB" w:rsidRDefault="004626FB" w:rsidP="00CB16CA">
            <w:pPr>
              <w:pStyle w:val="TableBodyText"/>
            </w:pPr>
            <w:r>
              <w:t>3.95</w:t>
            </w:r>
          </w:p>
        </w:tc>
        <w:tc>
          <w:tcPr>
            <w:tcW w:w="661" w:type="pct"/>
            <w:shd w:val="clear" w:color="auto" w:fill="D9D9D9" w:themeFill="background1" w:themeFillShade="D9"/>
            <w:vAlign w:val="bottom"/>
          </w:tcPr>
          <w:p w:rsidR="004626FB" w:rsidRDefault="004626FB" w:rsidP="00CB16CA">
            <w:pPr>
              <w:pStyle w:val="TableBodyText"/>
            </w:pPr>
            <w:r>
              <w:t>2.96</w:t>
            </w:r>
          </w:p>
        </w:tc>
        <w:tc>
          <w:tcPr>
            <w:tcW w:w="661" w:type="pct"/>
            <w:shd w:val="clear" w:color="auto" w:fill="D9D9D9" w:themeFill="background1" w:themeFillShade="D9"/>
            <w:vAlign w:val="bottom"/>
          </w:tcPr>
          <w:p w:rsidR="004626FB" w:rsidRDefault="004626FB" w:rsidP="00CB16CA">
            <w:pPr>
              <w:pStyle w:val="TableBodyText"/>
            </w:pPr>
            <w:r>
              <w:t>3.12</w:t>
            </w:r>
          </w:p>
        </w:tc>
      </w:tr>
      <w:tr w:rsidR="004626FB" w:rsidTr="00390E36">
        <w:trPr>
          <w:trHeight w:val="295"/>
        </w:trPr>
        <w:tc>
          <w:tcPr>
            <w:tcW w:w="1695" w:type="pct"/>
            <w:vAlign w:val="bottom"/>
          </w:tcPr>
          <w:p w:rsidR="004626FB" w:rsidRDefault="004626FB" w:rsidP="00CB16CA">
            <w:pPr>
              <w:pStyle w:val="TableBodyText"/>
              <w:jc w:val="left"/>
            </w:pPr>
            <w:r>
              <w:t xml:space="preserve">Machinery &amp; equipment </w:t>
            </w:r>
            <w:proofErr w:type="spellStart"/>
            <w:r>
              <w:t>mfg</w:t>
            </w:r>
            <w:proofErr w:type="spellEnd"/>
          </w:p>
        </w:tc>
        <w:tc>
          <w:tcPr>
            <w:tcW w:w="661" w:type="pct"/>
            <w:vAlign w:val="bottom"/>
          </w:tcPr>
          <w:p w:rsidR="004626FB" w:rsidRDefault="004626FB" w:rsidP="00CB16CA">
            <w:pPr>
              <w:pStyle w:val="TableBodyText"/>
            </w:pPr>
            <w:r>
              <w:t>3.76</w:t>
            </w:r>
          </w:p>
        </w:tc>
        <w:tc>
          <w:tcPr>
            <w:tcW w:w="661" w:type="pct"/>
            <w:vAlign w:val="bottom"/>
          </w:tcPr>
          <w:p w:rsidR="004626FB" w:rsidRDefault="004626FB" w:rsidP="00CB16CA">
            <w:pPr>
              <w:pStyle w:val="TableBodyText"/>
            </w:pPr>
            <w:r>
              <w:t>3.57</w:t>
            </w:r>
          </w:p>
        </w:tc>
        <w:tc>
          <w:tcPr>
            <w:tcW w:w="661" w:type="pct"/>
            <w:vAlign w:val="bottom"/>
          </w:tcPr>
          <w:p w:rsidR="004626FB" w:rsidRDefault="004626FB" w:rsidP="00CB16CA">
            <w:pPr>
              <w:pStyle w:val="TableBodyText"/>
            </w:pPr>
            <w:r>
              <w:t>2.51</w:t>
            </w:r>
          </w:p>
        </w:tc>
        <w:tc>
          <w:tcPr>
            <w:tcW w:w="661" w:type="pct"/>
            <w:vAlign w:val="bottom"/>
          </w:tcPr>
          <w:p w:rsidR="004626FB" w:rsidRDefault="004626FB" w:rsidP="00CB16CA">
            <w:pPr>
              <w:pStyle w:val="TableBodyText"/>
            </w:pPr>
            <w:r>
              <w:t>0.96</w:t>
            </w:r>
          </w:p>
        </w:tc>
        <w:tc>
          <w:tcPr>
            <w:tcW w:w="661" w:type="pct"/>
            <w:vAlign w:val="bottom"/>
          </w:tcPr>
          <w:p w:rsidR="004626FB" w:rsidRDefault="004626FB" w:rsidP="00CB16CA">
            <w:pPr>
              <w:pStyle w:val="TableBodyText"/>
            </w:pPr>
            <w:r>
              <w:t>0.95</w:t>
            </w:r>
          </w:p>
        </w:tc>
      </w:tr>
      <w:tr w:rsidR="007310E3" w:rsidTr="00390E36">
        <w:trPr>
          <w:trHeight w:val="295"/>
        </w:trPr>
        <w:tc>
          <w:tcPr>
            <w:tcW w:w="1695" w:type="pct"/>
            <w:tcBorders>
              <w:bottom w:val="single" w:sz="6" w:space="0" w:color="auto"/>
            </w:tcBorders>
            <w:shd w:val="clear" w:color="auto" w:fill="D9D9D9" w:themeFill="background1" w:themeFillShade="D9"/>
            <w:vAlign w:val="bottom"/>
          </w:tcPr>
          <w:p w:rsidR="007310E3" w:rsidRPr="00744CC1" w:rsidRDefault="000C1641" w:rsidP="004E1B85">
            <w:pPr>
              <w:pStyle w:val="TableBodyText"/>
              <w:ind w:right="0"/>
              <w:jc w:val="left"/>
              <w:rPr>
                <w:b/>
              </w:rPr>
            </w:pPr>
            <w:r>
              <w:rPr>
                <w:b/>
              </w:rPr>
              <w:t>Total</w:t>
            </w:r>
            <w:r w:rsidRPr="005961D0">
              <w:rPr>
                <w:b/>
              </w:rPr>
              <w:t xml:space="preserve"> </w:t>
            </w:r>
            <w:r>
              <w:rPr>
                <w:b/>
              </w:rPr>
              <w:t>Manufacturing (ABS)</w:t>
            </w:r>
            <w:r w:rsidR="00CB6C6A" w:rsidRPr="00F439FB">
              <w:rPr>
                <w:rStyle w:val="NoteLabel"/>
              </w:rPr>
              <w:t>a</w:t>
            </w:r>
          </w:p>
        </w:tc>
        <w:tc>
          <w:tcPr>
            <w:tcW w:w="661" w:type="pct"/>
            <w:tcBorders>
              <w:bottom w:val="single" w:sz="6" w:space="0" w:color="auto"/>
            </w:tcBorders>
            <w:shd w:val="clear" w:color="auto" w:fill="D9D9D9" w:themeFill="background1" w:themeFillShade="D9"/>
            <w:vAlign w:val="bottom"/>
          </w:tcPr>
          <w:p w:rsidR="007310E3" w:rsidRPr="00744CC1" w:rsidRDefault="007310E3" w:rsidP="004E1B85">
            <w:pPr>
              <w:pStyle w:val="TableBodyText"/>
              <w:rPr>
                <w:b/>
              </w:rPr>
            </w:pPr>
            <w:r w:rsidRPr="00744CC1">
              <w:rPr>
                <w:b/>
              </w:rPr>
              <w:t>1.72</w:t>
            </w:r>
          </w:p>
        </w:tc>
        <w:tc>
          <w:tcPr>
            <w:tcW w:w="661" w:type="pct"/>
            <w:tcBorders>
              <w:bottom w:val="single" w:sz="6" w:space="0" w:color="auto"/>
            </w:tcBorders>
            <w:shd w:val="clear" w:color="auto" w:fill="D9D9D9" w:themeFill="background1" w:themeFillShade="D9"/>
            <w:vAlign w:val="bottom"/>
          </w:tcPr>
          <w:p w:rsidR="007310E3" w:rsidRPr="00744CC1" w:rsidRDefault="007310E3" w:rsidP="004E1B85">
            <w:pPr>
              <w:pStyle w:val="TableBodyText"/>
              <w:rPr>
                <w:b/>
              </w:rPr>
            </w:pPr>
            <w:r w:rsidRPr="00744CC1">
              <w:rPr>
                <w:b/>
              </w:rPr>
              <w:t>2.10</w:t>
            </w:r>
          </w:p>
        </w:tc>
        <w:tc>
          <w:tcPr>
            <w:tcW w:w="661" w:type="pct"/>
            <w:tcBorders>
              <w:bottom w:val="single" w:sz="6" w:space="0" w:color="auto"/>
            </w:tcBorders>
            <w:shd w:val="clear" w:color="auto" w:fill="D9D9D9" w:themeFill="background1" w:themeFillShade="D9"/>
            <w:vAlign w:val="bottom"/>
          </w:tcPr>
          <w:p w:rsidR="007310E3" w:rsidRPr="00744CC1" w:rsidRDefault="007310E3" w:rsidP="004E1B85">
            <w:pPr>
              <w:pStyle w:val="TableBodyText"/>
              <w:rPr>
                <w:b/>
              </w:rPr>
            </w:pPr>
            <w:r w:rsidRPr="00744CC1">
              <w:rPr>
                <w:b/>
              </w:rPr>
              <w:t>3.29</w:t>
            </w:r>
          </w:p>
        </w:tc>
        <w:tc>
          <w:tcPr>
            <w:tcW w:w="661" w:type="pct"/>
            <w:tcBorders>
              <w:bottom w:val="single" w:sz="6" w:space="0" w:color="auto"/>
            </w:tcBorders>
            <w:shd w:val="clear" w:color="auto" w:fill="D9D9D9" w:themeFill="background1" w:themeFillShade="D9"/>
            <w:vAlign w:val="bottom"/>
          </w:tcPr>
          <w:p w:rsidR="007310E3" w:rsidRPr="00744CC1" w:rsidRDefault="007310E3" w:rsidP="004E1B85">
            <w:pPr>
              <w:pStyle w:val="TableBodyText"/>
              <w:rPr>
                <w:b/>
              </w:rPr>
            </w:pPr>
            <w:r w:rsidRPr="00744CC1">
              <w:rPr>
                <w:b/>
              </w:rPr>
              <w:t>0.84</w:t>
            </w:r>
          </w:p>
        </w:tc>
        <w:tc>
          <w:tcPr>
            <w:tcW w:w="661" w:type="pct"/>
            <w:tcBorders>
              <w:bottom w:val="single" w:sz="6" w:space="0" w:color="auto"/>
            </w:tcBorders>
            <w:shd w:val="clear" w:color="auto" w:fill="D9D9D9" w:themeFill="background1" w:themeFillShade="D9"/>
            <w:vAlign w:val="bottom"/>
          </w:tcPr>
          <w:p w:rsidR="007310E3" w:rsidRPr="00744CC1" w:rsidRDefault="007310E3" w:rsidP="004E1B85">
            <w:pPr>
              <w:pStyle w:val="TableBodyText"/>
              <w:rPr>
                <w:b/>
              </w:rPr>
            </w:pPr>
            <w:r w:rsidRPr="00744CC1">
              <w:rPr>
                <w:b/>
              </w:rPr>
              <w:t>0.88</w:t>
            </w:r>
          </w:p>
        </w:tc>
      </w:tr>
    </w:tbl>
    <w:p w:rsidR="007310E3" w:rsidRDefault="007310E3" w:rsidP="007310E3">
      <w:pPr>
        <w:pStyle w:val="Note"/>
      </w:pPr>
      <w:r w:rsidRPr="00F439FB">
        <w:rPr>
          <w:rStyle w:val="NoteLabel"/>
        </w:rPr>
        <w:t>a</w:t>
      </w:r>
      <w:r w:rsidR="005E4C0C">
        <w:t xml:space="preserve"> </w:t>
      </w:r>
      <w:r w:rsidR="00CB6C6A">
        <w:t xml:space="preserve">The sum of the subsector estimates is not shown as it is the same as the ABS </w:t>
      </w:r>
      <w:r w:rsidR="00DC5BD7">
        <w:t>Manufacturing</w:t>
      </w:r>
      <w:r w:rsidR="00CB6C6A">
        <w:t xml:space="preserve"> estimates for LP at one decimal place</w:t>
      </w:r>
      <w:r>
        <w:t>.</w:t>
      </w:r>
    </w:p>
    <w:p w:rsidR="007310E3" w:rsidRDefault="007310E3" w:rsidP="007310E3">
      <w:pPr>
        <w:pStyle w:val="Source"/>
      </w:pPr>
      <w:r>
        <w:rPr>
          <w:i/>
        </w:rPr>
        <w:t>Source</w:t>
      </w:r>
      <w:r w:rsidR="00F54230">
        <w:rPr>
          <w:i/>
        </w:rPr>
        <w:t>s</w:t>
      </w:r>
      <w:r w:rsidRPr="00F83673">
        <w:t>:</w:t>
      </w:r>
      <w:r>
        <w:rPr>
          <w:i/>
        </w:rPr>
        <w:t xml:space="preserve"> </w:t>
      </w:r>
      <w:r>
        <w:t>Authors’ estimates</w:t>
      </w:r>
      <w:r w:rsidR="00977C78">
        <w:t xml:space="preserve">; </w:t>
      </w:r>
      <w:r>
        <w:t>ABS (</w:t>
      </w:r>
      <w:r w:rsidRPr="0050427A">
        <w:rPr>
          <w:i/>
        </w:rPr>
        <w:t>Experimental Estimates of Industry Mu</w:t>
      </w:r>
      <w:r>
        <w:rPr>
          <w:i/>
        </w:rPr>
        <w:t xml:space="preserve">ltifactor Productivity, 2010-11, </w:t>
      </w:r>
      <w:r>
        <w:t>Cat</w:t>
      </w:r>
      <w:r w:rsidR="005A3787">
        <w:t>. </w:t>
      </w:r>
      <w:r>
        <w:t>no. 5260.0.55.002)</w:t>
      </w:r>
      <w:r w:rsidR="002C4B1E">
        <w:t>.</w:t>
      </w:r>
    </w:p>
    <w:p w:rsidR="00871BEB" w:rsidRDefault="00871BEB" w:rsidP="00871BEB">
      <w:pPr>
        <w:pStyle w:val="BodyText"/>
      </w:pPr>
      <w:r>
        <w:t xml:space="preserve">Figure </w:t>
      </w:r>
      <w:r w:rsidR="00E257AB">
        <w:t>3.6</w:t>
      </w:r>
      <w:r>
        <w:t xml:space="preserve"> shows the breakdown of subsector LP growth (denoted by the diamond) into its additive component parts — MFP (pale column) and capital deepening (dark column). </w:t>
      </w:r>
      <w:r w:rsidR="00930E73">
        <w:t>There were o</w:t>
      </w:r>
      <w:r>
        <w:t>nly a few cases</w:t>
      </w:r>
      <w:r w:rsidR="0031277F">
        <w:t xml:space="preserve"> where</w:t>
      </w:r>
      <w:r>
        <w:t xml:space="preserve"> LP growth was negative</w:t>
      </w:r>
      <w:r w:rsidR="0031277F">
        <w:t>, and this was</w:t>
      </w:r>
      <w:r>
        <w:t xml:space="preserve"> because capital deepening was insufficient to offset negative MFP growth. </w:t>
      </w:r>
    </w:p>
    <w:p w:rsidR="00D25972" w:rsidRPr="00D25972" w:rsidRDefault="00D25972" w:rsidP="00094465">
      <w:pPr>
        <w:pStyle w:val="BodyText"/>
      </w:pPr>
      <w:r>
        <w:t xml:space="preserve">Focusing on recent cycles, </w:t>
      </w:r>
      <w:r w:rsidR="00DC5BD7">
        <w:t>Manufacturing</w:t>
      </w:r>
      <w:r>
        <w:t xml:space="preserve"> and most subsectors experienced a decline in LP growth between cycles 3 and 4 (as was the case for MFP growth). In most subsectors, capital deepening intensified but this was more than offset by a decline in MFP growth. The exceptions were</w:t>
      </w:r>
      <w:r w:rsidR="008A52AA">
        <w:t>:</w:t>
      </w:r>
      <w:r>
        <w:t xml:space="preserve"> </w:t>
      </w:r>
      <w:r w:rsidR="00BC2365">
        <w:t>Food, beverage and tobacco products</w:t>
      </w:r>
      <w:r w:rsidR="001D06EA">
        <w:t xml:space="preserve"> and </w:t>
      </w:r>
      <w:r w:rsidR="00BC2365" w:rsidRPr="00CC0019">
        <w:t>Non-metallic mineral products</w:t>
      </w:r>
      <w:r w:rsidR="004E1B85">
        <w:t xml:space="preserve"> (for which</w:t>
      </w:r>
      <w:r w:rsidR="00EF1B8B">
        <w:t xml:space="preserve"> the rate of</w:t>
      </w:r>
      <w:r w:rsidR="001D06EA">
        <w:t xml:space="preserve"> capital deepening decreased rather than </w:t>
      </w:r>
      <w:r w:rsidR="004E1B85">
        <w:t>increased)</w:t>
      </w:r>
      <w:r w:rsidR="008A52AA">
        <w:t>;</w:t>
      </w:r>
      <w:r w:rsidR="001D06EA">
        <w:t xml:space="preserve"> and </w:t>
      </w:r>
      <w:r w:rsidR="00BC2365" w:rsidRPr="00CC0019">
        <w:t xml:space="preserve">Wood </w:t>
      </w:r>
      <w:r w:rsidR="00BC2365">
        <w:t>and</w:t>
      </w:r>
      <w:r w:rsidR="00BC2365" w:rsidRPr="00CC0019">
        <w:t xml:space="preserve"> paper products</w:t>
      </w:r>
      <w:r w:rsidR="004E1B85">
        <w:t xml:space="preserve"> (for which</w:t>
      </w:r>
      <w:r>
        <w:t xml:space="preserve"> </w:t>
      </w:r>
      <w:r w:rsidR="001D06EA">
        <w:t xml:space="preserve">LP growth increased because </w:t>
      </w:r>
      <w:r w:rsidR="00E86FF8">
        <w:t xml:space="preserve">capital deepening </w:t>
      </w:r>
      <w:r w:rsidR="004E1B85">
        <w:t>increased</w:t>
      </w:r>
      <w:r w:rsidR="00E86FF8">
        <w:t xml:space="preserve"> and </w:t>
      </w:r>
      <w:r>
        <w:t>MFP growth did not decline</w:t>
      </w:r>
      <w:r w:rsidR="00EF1B8B">
        <w:t xml:space="preserve"> further</w:t>
      </w:r>
      <w:r w:rsidR="004E1B85">
        <w:t>)</w:t>
      </w:r>
      <w:r w:rsidR="001D06EA">
        <w:t>.</w:t>
      </w:r>
      <w:r w:rsidR="00CE2D57">
        <w:t xml:space="preserve"> </w:t>
      </w:r>
      <w:r w:rsidR="00CE2D57" w:rsidRPr="00AC60CC">
        <w:t xml:space="preserve">The relationship between growth in </w:t>
      </w:r>
      <w:r w:rsidR="0063615A">
        <w:t>value added</w:t>
      </w:r>
      <w:r w:rsidR="00CE2D57" w:rsidRPr="00AC60CC">
        <w:t>, inputs and productivity is discussed further in section</w:t>
      </w:r>
      <w:r w:rsidR="00CE2D57">
        <w:t xml:space="preserve"> 3.3.</w:t>
      </w:r>
    </w:p>
    <w:p w:rsidR="007310E3" w:rsidRDefault="007310E3" w:rsidP="007310E3">
      <w:pPr>
        <w:pStyle w:val="FigureTitle"/>
      </w:pPr>
      <w:r>
        <w:rPr>
          <w:b w:val="0"/>
        </w:rPr>
        <w:lastRenderedPageBreak/>
        <w:t xml:space="preserve">Figure </w:t>
      </w:r>
      <w:bookmarkStart w:id="13" w:name="OLE_LINK4"/>
      <w:r w:rsidR="00E257AB">
        <w:rPr>
          <w:b w:val="0"/>
        </w:rPr>
        <w:t>3.</w:t>
      </w:r>
      <w:r w:rsidR="003538B8">
        <w:rPr>
          <w:b w:val="0"/>
          <w:noProof/>
        </w:rPr>
        <w:t>6</w:t>
      </w:r>
      <w:bookmarkEnd w:id="13"/>
      <w:r>
        <w:tab/>
        <w:t xml:space="preserve">Breakdown of </w:t>
      </w:r>
      <w:r w:rsidR="00A052BF">
        <w:t>subsector</w:t>
      </w:r>
      <w:r w:rsidR="00A052BF" w:rsidRPr="00A052BF">
        <w:rPr>
          <w:rStyle w:val="NoteLabel"/>
          <w:b/>
        </w:rPr>
        <w:t>a</w:t>
      </w:r>
      <w:r w:rsidR="00A052BF">
        <w:t xml:space="preserve"> </w:t>
      </w:r>
      <w:r w:rsidR="0063615A">
        <w:t>LP</w:t>
      </w:r>
      <w:r w:rsidR="00D9393A">
        <w:t xml:space="preserve"> </w:t>
      </w:r>
      <w:r w:rsidR="00A052BF">
        <w:t>growth</w:t>
      </w:r>
      <w:r w:rsidR="00A052BF">
        <w:rPr>
          <w:rStyle w:val="NoteLabel"/>
          <w:b/>
        </w:rPr>
        <w:t>b</w:t>
      </w:r>
      <w:r w:rsidR="00A052BF">
        <w:t xml:space="preserve"> </w:t>
      </w:r>
      <w:r w:rsidR="00CE2E49">
        <w:t>by</w:t>
      </w:r>
      <w:r>
        <w:t xml:space="preserve"> cycle</w:t>
      </w:r>
    </w:p>
    <w:p w:rsidR="007310E3" w:rsidRPr="009A2255" w:rsidRDefault="0076550A" w:rsidP="007310E3">
      <w:pPr>
        <w:pStyle w:val="Subtitle"/>
      </w:pPr>
      <w:r>
        <w:t>Average annual growth rate (per cent)</w:t>
      </w:r>
    </w:p>
    <w:tbl>
      <w:tblPr>
        <w:tblW w:w="0" w:type="auto"/>
        <w:tblInd w:w="108" w:type="dxa"/>
        <w:tblBorders>
          <w:top w:val="single" w:sz="6" w:space="0" w:color="auto"/>
          <w:bottom w:val="single" w:sz="6" w:space="0" w:color="auto"/>
        </w:tblBorders>
        <w:tblLayout w:type="fixed"/>
        <w:tblLook w:val="0000" w:firstRow="0" w:lastRow="0" w:firstColumn="0" w:lastColumn="0" w:noHBand="0" w:noVBand="0"/>
      </w:tblPr>
      <w:tblGrid>
        <w:gridCol w:w="4384"/>
        <w:gridCol w:w="4389"/>
      </w:tblGrid>
      <w:tr w:rsidR="007310E3" w:rsidTr="00A14316">
        <w:trPr>
          <w:trHeight w:val="4078"/>
        </w:trPr>
        <w:tc>
          <w:tcPr>
            <w:tcW w:w="4384" w:type="dxa"/>
          </w:tcPr>
          <w:p w:rsidR="007310E3" w:rsidRDefault="00AF5615" w:rsidP="00A14316">
            <w:pPr>
              <w:pStyle w:val="Figure"/>
              <w:spacing w:before="60" w:after="0"/>
              <w:ind w:left="-96" w:right="-108"/>
            </w:pPr>
            <w:r>
              <w:pict>
                <v:shape id="_x0000_i1033" type="#_x0000_t75" alt="This figure contains four charts showing the breakdown of subsector LP growth into its additive component parts — MFP and capital deepening for the four cycles between 1988-89 to 2007-08. In general, there were only a few cases where LP growth was negative, and this was because capital deepening was insufficient to offset negative MFP growth.&#10;Focusing on the bottom two charts, Manufacturing and most subsectors, with the exception of WP, experienced a decline in LP growth between cycles 3 and 4. In most subsectors, capital deepening intensified but this was more than offset by a decline in MFP growth. The exceptions were: FBT and NM, where the rate of capital deepening decreased rather than intensified; and WP, where LP growth increased because capital deepening intensified and MFP growth did not decline further. &#10;" style="width:207pt;height:198pt">
                  <v:imagedata r:id="rId17" o:title=""/>
                </v:shape>
              </w:pict>
            </w:r>
          </w:p>
        </w:tc>
        <w:tc>
          <w:tcPr>
            <w:tcW w:w="4389" w:type="dxa"/>
          </w:tcPr>
          <w:p w:rsidR="007310E3" w:rsidRDefault="00AF5615" w:rsidP="00A14316">
            <w:pPr>
              <w:pStyle w:val="Figure"/>
              <w:spacing w:before="60" w:after="0"/>
              <w:ind w:left="-96" w:right="-108"/>
            </w:pPr>
            <w:r>
              <w:pict>
                <v:shape id="_x0000_i1034" type="#_x0000_t75" alt="This figure contains four charts showing the breakdown of subsector LP growth into its additive component parts — MFP and capital deepening for the four cycles between 1988-89 to 2007-08. In general, there were only a few cases where LP growth was negative, and this was because capital deepening was insufficient to offset negative MFP growth.&#10;Focusing on the bottom two charts, Manufacturing and most subsectors, with the exception of WP, experienced a decline in LP growth between cycles 3 and 4. In most subsectors, capital deepening intensified but this was more than offset by a decline in MFP growth. The exceptions were: FBT and NM, where the rate of capital deepening decreased rather than intensified; and WP, where LP growth increased because capital deepening intensified and MFP growth did not decline further. &#10;" style="width:204.75pt;height:198.75pt">
                  <v:imagedata r:id="rId18" o:title=""/>
                </v:shape>
              </w:pict>
            </w:r>
          </w:p>
        </w:tc>
      </w:tr>
      <w:tr w:rsidR="007310E3" w:rsidTr="00FB12C7">
        <w:trPr>
          <w:trHeight w:val="270"/>
        </w:trPr>
        <w:tc>
          <w:tcPr>
            <w:tcW w:w="4384" w:type="dxa"/>
          </w:tcPr>
          <w:p w:rsidR="007310E3" w:rsidRDefault="00AF5615" w:rsidP="004275ED">
            <w:pPr>
              <w:pStyle w:val="Figure"/>
              <w:spacing w:before="40" w:after="40"/>
              <w:ind w:left="-96" w:right="-108"/>
            </w:pPr>
            <w:r>
              <w:pict>
                <v:shape id="_x0000_i1035" type="#_x0000_t75" alt="This figure contains four charts showing the breakdown of subsector LP growth into its additive component parts — MFP and capital deepening for the four cycles between 1988-89 to 2007-08. In general, there were only a few cases where LP growth was negative, and this was because capital deepening was insufficient to offset negative MFP growth.&#10;Focusing on the bottom two charts, Manufacturing and most subsectors, with the exception of WP, experienced a decline in LP growth between cycles 3 and 4. In most subsectors, capital deepening intensified but this was more than offset by a decline in MFP growth. The exceptions were: FBT and NM, where the rate of capital deepening decreased rather than intensified; and WP, where LP growth increased because capital deepening intensified and MFP growth did not decline further. &#10;" style="width:207.75pt;height:206.25pt">
                  <v:imagedata r:id="rId19" o:title=""/>
                </v:shape>
              </w:pict>
            </w:r>
          </w:p>
        </w:tc>
        <w:tc>
          <w:tcPr>
            <w:tcW w:w="4389" w:type="dxa"/>
          </w:tcPr>
          <w:p w:rsidR="007310E3" w:rsidRDefault="00AF5615" w:rsidP="004275ED">
            <w:pPr>
              <w:pStyle w:val="Figure"/>
              <w:spacing w:before="40" w:after="40"/>
              <w:ind w:left="-96" w:right="-108"/>
            </w:pPr>
            <w:r>
              <w:pict>
                <v:shape id="_x0000_i1036" type="#_x0000_t75" alt="This figure contains four charts showing the breakdown of subsector LP growth into its additive component parts — MFP and capital deepening for the four cycles between 1988-89 to 2007-08. In general, there were only a few cases where LP growth was negative, and this was because capital deepening was insufficient to offset negative MFP growth.&#10;Focusing on the bottom two charts, Manufacturing and most subsectors, with the exception of WP, experienced a decline in LP growth between cycles 3 and 4. In most subsectors, capital deepening intensified but this was more than offset by a decline in MFP growth. The exceptions were: FBT and NM, where the rate of capital deepening decreased rather than intensified; and WP, where LP growth increased because capital deepening intensified and MFP growth did not decline further. &#10;" style="width:207.75pt;height:206.25pt">
                  <v:imagedata r:id="rId20" o:title=""/>
                </v:shape>
              </w:pict>
            </w:r>
          </w:p>
        </w:tc>
      </w:tr>
      <w:tr w:rsidR="007310E3" w:rsidTr="00FB12C7">
        <w:trPr>
          <w:trHeight w:val="270"/>
        </w:trPr>
        <w:tc>
          <w:tcPr>
            <w:tcW w:w="8773" w:type="dxa"/>
            <w:gridSpan w:val="2"/>
          </w:tcPr>
          <w:p w:rsidR="007310E3" w:rsidRDefault="00AF5615" w:rsidP="004275ED">
            <w:pPr>
              <w:pStyle w:val="Figure"/>
              <w:spacing w:before="40" w:after="40"/>
              <w:ind w:left="-96" w:right="-108"/>
            </w:pPr>
            <w:r>
              <w:rPr>
                <w:noProof/>
              </w:rPr>
              <w:pict>
                <v:shape id="_x0000_i1037" type="#_x0000_t75" alt="This figure contains four charts showing the breakdown of subsector LP growth into its additive component parts — MFP and capital deepening for the four cycles between 1988-89 to 2007-08. In general, there were only a few cases where LP growth was negative, and this was because capital deepening was insufficient to offset negative MFP growth.&#10;Focusing on the bottom two charts, Manufacturing and most subsectors, with the exception of WP, experienced a decline in LP growth between cycles 3 and 4. In most subsectors, capital deepening intensified but this was more than offset by a decline in MFP growth. The exceptions were: FBT and NM, where the rate of capital deepening decreased rather than intensified; and WP, where LP growth increased because capital deepening intensified and MFP growth did not decline further. &#10;" style="width:424.5pt;height:21pt">
                  <v:imagedata r:id="rId21" o:title=""/>
                </v:shape>
              </w:pict>
            </w:r>
          </w:p>
        </w:tc>
      </w:tr>
    </w:tbl>
    <w:p w:rsidR="007310E3" w:rsidRDefault="00A052BF" w:rsidP="007310E3">
      <w:pPr>
        <w:pStyle w:val="Note"/>
      </w:pPr>
      <w:r>
        <w:rPr>
          <w:rStyle w:val="NoteLabel"/>
        </w:rPr>
        <w:t xml:space="preserve">a </w:t>
      </w:r>
      <w:proofErr w:type="spellStart"/>
      <w:r w:rsidRPr="009654AC">
        <w:rPr>
          <w:rStyle w:val="NoteLabel"/>
          <w:b w:val="0"/>
          <w:position w:val="0"/>
        </w:rPr>
        <w:t>FBT</w:t>
      </w:r>
      <w:proofErr w:type="spellEnd"/>
      <w:r w:rsidRPr="009654AC">
        <w:rPr>
          <w:rStyle w:val="NoteLabel"/>
          <w:b w:val="0"/>
          <w:position w:val="0"/>
        </w:rPr>
        <w:t xml:space="preserve"> is Food, beverage &amp; tobacco products; </w:t>
      </w:r>
      <w:proofErr w:type="spellStart"/>
      <w:r w:rsidRPr="009654AC">
        <w:rPr>
          <w:rStyle w:val="NoteLabel"/>
          <w:b w:val="0"/>
          <w:position w:val="0"/>
        </w:rPr>
        <w:t>TCO</w:t>
      </w:r>
      <w:proofErr w:type="spellEnd"/>
      <w:r w:rsidRPr="009654AC">
        <w:rPr>
          <w:rStyle w:val="NoteLabel"/>
          <w:b w:val="0"/>
          <w:position w:val="0"/>
        </w:rPr>
        <w:t xml:space="preserve"> is Textile, clothing &amp; other manufacturing; WP is Wood </w:t>
      </w:r>
      <w:r>
        <w:rPr>
          <w:rStyle w:val="NoteLabel"/>
          <w:b w:val="0"/>
          <w:position w:val="0"/>
        </w:rPr>
        <w:t xml:space="preserve">&amp; paper </w:t>
      </w:r>
      <w:r w:rsidRPr="009654AC">
        <w:rPr>
          <w:rStyle w:val="NoteLabel"/>
          <w:b w:val="0"/>
          <w:position w:val="0"/>
        </w:rPr>
        <w:t xml:space="preserve">products; </w:t>
      </w:r>
      <w:proofErr w:type="spellStart"/>
      <w:r w:rsidRPr="009654AC">
        <w:rPr>
          <w:rStyle w:val="NoteLabel"/>
          <w:b w:val="0"/>
          <w:position w:val="0"/>
        </w:rPr>
        <w:t>PRM</w:t>
      </w:r>
      <w:proofErr w:type="spellEnd"/>
      <w:r w:rsidRPr="009654AC">
        <w:rPr>
          <w:rStyle w:val="NoteLabel"/>
          <w:b w:val="0"/>
          <w:position w:val="0"/>
        </w:rPr>
        <w:t xml:space="preserve"> is Printing &amp; recorded media; </w:t>
      </w:r>
      <w:proofErr w:type="spellStart"/>
      <w:r w:rsidRPr="009654AC">
        <w:rPr>
          <w:rStyle w:val="NoteLabel"/>
          <w:b w:val="0"/>
          <w:position w:val="0"/>
        </w:rPr>
        <w:t>PCCR</w:t>
      </w:r>
      <w:proofErr w:type="spellEnd"/>
      <w:r w:rsidRPr="009654AC">
        <w:rPr>
          <w:rStyle w:val="NoteLabel"/>
          <w:b w:val="0"/>
          <w:position w:val="0"/>
        </w:rPr>
        <w:t xml:space="preserve"> is Petroleum, coal, chemical </w:t>
      </w:r>
      <w:r w:rsidR="004E1B85">
        <w:rPr>
          <w:rStyle w:val="NoteLabel"/>
          <w:b w:val="0"/>
          <w:position w:val="0"/>
        </w:rPr>
        <w:t>&amp;</w:t>
      </w:r>
      <w:r w:rsidRPr="009654AC">
        <w:rPr>
          <w:rStyle w:val="NoteLabel"/>
          <w:b w:val="0"/>
          <w:position w:val="0"/>
        </w:rPr>
        <w:t xml:space="preserve"> rubber products; NM is Non-metallic mineral products; MP is Metal products; ME is Machinery &amp; equipment manufacturing.</w:t>
      </w:r>
      <w:r>
        <w:t xml:space="preserve"> </w:t>
      </w:r>
      <w:r>
        <w:rPr>
          <w:rStyle w:val="NoteLabel"/>
        </w:rPr>
        <w:t>b</w:t>
      </w:r>
      <w:r w:rsidR="00F55B2F">
        <w:t> </w:t>
      </w:r>
      <w:r w:rsidR="006D3EF7">
        <w:t>LP</w:t>
      </w:r>
      <w:r w:rsidR="007310E3">
        <w:t xml:space="preserve"> growth equals the sum of MFP growth and capital deepening. </w:t>
      </w:r>
      <w:r>
        <w:t xml:space="preserve">Components </w:t>
      </w:r>
      <w:r w:rsidR="007310E3">
        <w:t xml:space="preserve">do not sum </w:t>
      </w:r>
      <w:r>
        <w:t xml:space="preserve">exactly </w:t>
      </w:r>
      <w:r w:rsidR="007310E3">
        <w:t>due to approximation errors</w:t>
      </w:r>
      <w:r>
        <w:t xml:space="preserve"> </w:t>
      </w:r>
      <w:r w:rsidR="007310E3">
        <w:t>aris</w:t>
      </w:r>
      <w:r>
        <w:t>ing</w:t>
      </w:r>
      <w:r w:rsidR="007310E3">
        <w:t xml:space="preserve"> from estimating an annualised growth rate from the start to the end year of productivity cycles and from the use of averaged weights across the cycles. </w:t>
      </w:r>
    </w:p>
    <w:p w:rsidR="007310E3" w:rsidRDefault="007310E3" w:rsidP="007310E3">
      <w:pPr>
        <w:pStyle w:val="Source"/>
      </w:pPr>
      <w:r>
        <w:rPr>
          <w:i/>
        </w:rPr>
        <w:t>Data source</w:t>
      </w:r>
      <w:r w:rsidRPr="00167F06">
        <w:t xml:space="preserve">: </w:t>
      </w:r>
      <w:r>
        <w:t>Authors’ estimates.</w:t>
      </w:r>
    </w:p>
    <w:p w:rsidR="007310E3" w:rsidRDefault="007310E3" w:rsidP="007310E3">
      <w:pPr>
        <w:pStyle w:val="Heading3"/>
      </w:pPr>
      <w:r>
        <w:t>Subsector contributions</w:t>
      </w:r>
    </w:p>
    <w:p w:rsidR="00862C9A" w:rsidRDefault="00040F2A" w:rsidP="007310E3">
      <w:pPr>
        <w:pStyle w:val="BodyText"/>
      </w:pPr>
      <w:r>
        <w:t xml:space="preserve">Information on </w:t>
      </w:r>
      <w:r w:rsidR="007310E3">
        <w:t xml:space="preserve">MFP growth </w:t>
      </w:r>
      <w:r w:rsidR="007D3584">
        <w:t xml:space="preserve">for </w:t>
      </w:r>
      <w:r w:rsidR="007310E3">
        <w:t xml:space="preserve">each of the subsectors does not </w:t>
      </w:r>
      <w:r w:rsidR="00675C14">
        <w:t>indicate</w:t>
      </w:r>
      <w:r w:rsidR="007310E3">
        <w:t xml:space="preserve"> the contribution each subsector </w:t>
      </w:r>
      <w:r w:rsidR="00EF1B8B">
        <w:t xml:space="preserve">makes </w:t>
      </w:r>
      <w:r w:rsidR="007310E3">
        <w:t xml:space="preserve">to the decline in MFP for the whole of </w:t>
      </w:r>
      <w:r w:rsidR="00DC5BD7">
        <w:t>Manufacturing</w:t>
      </w:r>
      <w:r w:rsidR="007310E3">
        <w:t xml:space="preserve">. </w:t>
      </w:r>
      <w:r w:rsidR="00675C14">
        <w:t>T</w:t>
      </w:r>
      <w:r w:rsidR="007310E3">
        <w:t xml:space="preserve">wo subsectors with the same subsector-specific MFP growth can </w:t>
      </w:r>
      <w:r w:rsidR="007310E3">
        <w:lastRenderedPageBreak/>
        <w:t xml:space="preserve">make different percentage point contributions to </w:t>
      </w:r>
      <w:r w:rsidR="00DC5BD7">
        <w:t>Manufacturing</w:t>
      </w:r>
      <w:r w:rsidR="007310E3">
        <w:t xml:space="preserve"> MFP</w:t>
      </w:r>
      <w:r w:rsidR="00A40163">
        <w:t xml:space="preserve"> </w:t>
      </w:r>
      <w:r w:rsidR="004E1B85">
        <w:t xml:space="preserve">growth </w:t>
      </w:r>
      <w:r w:rsidR="00032E50">
        <w:t>depending on their</w:t>
      </w:r>
      <w:r w:rsidR="007310E3">
        <w:t xml:space="preserve"> relative size.</w:t>
      </w:r>
      <w:r w:rsidR="00862C9A" w:rsidRPr="00862C9A">
        <w:t xml:space="preserve"> </w:t>
      </w:r>
      <w:r w:rsidR="00862C9A">
        <w:t xml:space="preserve">Table </w:t>
      </w:r>
      <w:r w:rsidR="00E257AB">
        <w:t>3.3</w:t>
      </w:r>
      <w:r w:rsidR="00E11023">
        <w:t xml:space="preserve"> </w:t>
      </w:r>
      <w:r w:rsidR="00862C9A">
        <w:t>presents estimates of the</w:t>
      </w:r>
      <w:r w:rsidR="007310E3">
        <w:t xml:space="preserve"> contribution </w:t>
      </w:r>
      <w:r w:rsidR="004E1B85">
        <w:t xml:space="preserve">made by </w:t>
      </w:r>
      <w:r w:rsidR="007310E3">
        <w:t>each subsector</w:t>
      </w:r>
      <w:r w:rsidR="004E1B85">
        <w:t>,</w:t>
      </w:r>
      <w:r w:rsidR="007310E3">
        <w:t xml:space="preserve"> </w:t>
      </w:r>
      <w:r w:rsidR="004E1B85">
        <w:t xml:space="preserve">taking their </w:t>
      </w:r>
      <w:r w:rsidR="00422268">
        <w:t>relative size</w:t>
      </w:r>
      <w:r w:rsidR="004E1B85">
        <w:t xml:space="preserve"> into account</w:t>
      </w:r>
      <w:r w:rsidR="00862C9A" w:rsidRPr="00FE4BF8">
        <w:t>.</w:t>
      </w:r>
      <w:r w:rsidR="007310E3">
        <w:t xml:space="preserve"> </w:t>
      </w:r>
    </w:p>
    <w:p w:rsidR="007310E3" w:rsidRDefault="007310E3" w:rsidP="007310E3">
      <w:pPr>
        <w:pStyle w:val="TableTitle"/>
      </w:pPr>
      <w:r>
        <w:rPr>
          <w:b w:val="0"/>
        </w:rPr>
        <w:t xml:space="preserve">Table </w:t>
      </w:r>
      <w:bookmarkStart w:id="14" w:name="OLE_LINK3"/>
      <w:r w:rsidR="00E257AB">
        <w:rPr>
          <w:b w:val="0"/>
        </w:rPr>
        <w:t>3.</w:t>
      </w:r>
      <w:r w:rsidR="003538B8">
        <w:rPr>
          <w:b w:val="0"/>
          <w:noProof/>
        </w:rPr>
        <w:t>3</w:t>
      </w:r>
      <w:bookmarkEnd w:id="14"/>
      <w:r>
        <w:tab/>
        <w:t xml:space="preserve">Subsector contributions to </w:t>
      </w:r>
      <w:r w:rsidR="00DC5BD7">
        <w:t>Manufacturing</w:t>
      </w:r>
      <w:r w:rsidR="00032914">
        <w:t xml:space="preserve"> MFP</w:t>
      </w:r>
      <w:r w:rsidR="00D9393A">
        <w:t xml:space="preserve"> growth</w:t>
      </w:r>
      <w:r>
        <w:t xml:space="preserve"> by cycle</w:t>
      </w:r>
    </w:p>
    <w:p w:rsidR="007310E3" w:rsidRDefault="007310E3" w:rsidP="007310E3">
      <w:pPr>
        <w:pStyle w:val="Subtitle"/>
      </w:pPr>
      <w:r>
        <w:t>Percentage point</w:t>
      </w:r>
      <w:r w:rsidR="007123F9">
        <w:t>s</w:t>
      </w:r>
    </w:p>
    <w:tbl>
      <w:tblPr>
        <w:tblW w:w="5000" w:type="pct"/>
        <w:tblCellMar>
          <w:left w:w="0" w:type="dxa"/>
          <w:right w:w="0" w:type="dxa"/>
        </w:tblCellMar>
        <w:tblLook w:val="0000" w:firstRow="0" w:lastRow="0" w:firstColumn="0" w:lastColumn="0" w:noHBand="0" w:noVBand="0"/>
      </w:tblPr>
      <w:tblGrid>
        <w:gridCol w:w="2979"/>
        <w:gridCol w:w="1162"/>
        <w:gridCol w:w="1162"/>
        <w:gridCol w:w="1162"/>
        <w:gridCol w:w="1162"/>
        <w:gridCol w:w="1162"/>
      </w:tblGrid>
      <w:tr w:rsidR="000C1641" w:rsidRPr="00C52ECD" w:rsidTr="00390E36">
        <w:tc>
          <w:tcPr>
            <w:tcW w:w="1695" w:type="pct"/>
            <w:tcBorders>
              <w:top w:val="single" w:sz="6" w:space="0" w:color="auto"/>
              <w:bottom w:val="single" w:sz="6" w:space="0" w:color="auto"/>
            </w:tcBorders>
            <w:shd w:val="clear" w:color="auto" w:fill="auto"/>
            <w:vAlign w:val="bottom"/>
          </w:tcPr>
          <w:p w:rsidR="00CE2E49" w:rsidRPr="00C52ECD" w:rsidRDefault="00914EFA" w:rsidP="00CB16CA">
            <w:pPr>
              <w:pStyle w:val="TableColumnHeading"/>
              <w:jc w:val="left"/>
            </w:pPr>
            <w:r>
              <w:br/>
            </w:r>
            <w:r>
              <w:br/>
            </w:r>
            <w:r>
              <w:br/>
              <w:t>Subsectors</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1: </w:t>
            </w:r>
            <w:r w:rsidRPr="00C52ECD">
              <w:br/>
              <w:t>1988-89 to 1993-94</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2: </w:t>
            </w:r>
            <w:r w:rsidRPr="00C52ECD">
              <w:br/>
              <w:t>1993-94 to 1998-99</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3: </w:t>
            </w:r>
            <w:r w:rsidRPr="00C52ECD">
              <w:br/>
              <w:t>1998-99 to 2003-04</w:t>
            </w:r>
          </w:p>
        </w:tc>
        <w:tc>
          <w:tcPr>
            <w:tcW w:w="661" w:type="pct"/>
            <w:tcBorders>
              <w:top w:val="single" w:sz="6" w:space="0" w:color="auto"/>
              <w:bottom w:val="single" w:sz="6" w:space="0" w:color="auto"/>
            </w:tcBorders>
            <w:shd w:val="clear" w:color="auto" w:fill="auto"/>
            <w:vAlign w:val="bottom"/>
          </w:tcPr>
          <w:p w:rsidR="00CE2E49" w:rsidRPr="00C52ECD" w:rsidRDefault="00CE2E49" w:rsidP="00C52ECD">
            <w:pPr>
              <w:pStyle w:val="TableColumnHeading"/>
            </w:pPr>
            <w:r w:rsidRPr="00C52ECD">
              <w:t xml:space="preserve">Cycle 4: </w:t>
            </w:r>
            <w:r w:rsidRPr="00C52ECD">
              <w:br/>
              <w:t>2003-04 to 2007-08</w:t>
            </w:r>
          </w:p>
        </w:tc>
        <w:tc>
          <w:tcPr>
            <w:tcW w:w="661" w:type="pct"/>
            <w:tcBorders>
              <w:top w:val="single" w:sz="6" w:space="0" w:color="auto"/>
              <w:bottom w:val="single" w:sz="6" w:space="0" w:color="auto"/>
            </w:tcBorders>
            <w:vAlign w:val="bottom"/>
          </w:tcPr>
          <w:p w:rsidR="00CE2E49" w:rsidRPr="00C52ECD" w:rsidRDefault="00CE2E49" w:rsidP="00C52ECD">
            <w:pPr>
              <w:pStyle w:val="TableColumnHeading"/>
            </w:pPr>
            <w:r w:rsidRPr="00C52ECD">
              <w:t xml:space="preserve">Incomplete cycle: </w:t>
            </w:r>
            <w:r w:rsidRPr="00C52ECD">
              <w:br/>
              <w:t>2007-08 to 2010-11</w:t>
            </w:r>
          </w:p>
        </w:tc>
      </w:tr>
      <w:tr w:rsidR="004626FB" w:rsidTr="00390E36">
        <w:trPr>
          <w:trHeight w:val="295"/>
        </w:trPr>
        <w:tc>
          <w:tcPr>
            <w:tcW w:w="1695" w:type="pct"/>
            <w:shd w:val="clear" w:color="auto" w:fill="D9D9D9" w:themeFill="background1" w:themeFillShade="D9"/>
            <w:vAlign w:val="bottom"/>
          </w:tcPr>
          <w:p w:rsidR="004626FB" w:rsidRDefault="004626FB" w:rsidP="003C664D">
            <w:pPr>
              <w:pStyle w:val="TableBodyText"/>
              <w:spacing w:before="40"/>
              <w:jc w:val="left"/>
            </w:pPr>
            <w:r>
              <w:t xml:space="preserve">Food, beverage &amp; </w:t>
            </w:r>
            <w:proofErr w:type="spellStart"/>
            <w:r>
              <w:t>tob</w:t>
            </w:r>
            <w:proofErr w:type="spellEnd"/>
            <w:r>
              <w:t>. products</w:t>
            </w:r>
          </w:p>
        </w:tc>
        <w:tc>
          <w:tcPr>
            <w:tcW w:w="661" w:type="pct"/>
            <w:shd w:val="clear" w:color="auto" w:fill="D9D9D9" w:themeFill="background1" w:themeFillShade="D9"/>
            <w:vAlign w:val="bottom"/>
          </w:tcPr>
          <w:p w:rsidR="004626FB" w:rsidRDefault="004626FB" w:rsidP="003C664D">
            <w:pPr>
              <w:pStyle w:val="TableBodyText"/>
              <w:spacing w:before="40"/>
            </w:pPr>
            <w:r>
              <w:t>0.08</w:t>
            </w:r>
          </w:p>
        </w:tc>
        <w:tc>
          <w:tcPr>
            <w:tcW w:w="661" w:type="pct"/>
            <w:shd w:val="clear" w:color="auto" w:fill="D9D9D9" w:themeFill="background1" w:themeFillShade="D9"/>
            <w:vAlign w:val="bottom"/>
          </w:tcPr>
          <w:p w:rsidR="004626FB" w:rsidRDefault="004626FB" w:rsidP="003C664D">
            <w:pPr>
              <w:pStyle w:val="TableBodyText"/>
              <w:spacing w:before="40"/>
            </w:pPr>
            <w:r>
              <w:t>0.16</w:t>
            </w:r>
          </w:p>
        </w:tc>
        <w:tc>
          <w:tcPr>
            <w:tcW w:w="661" w:type="pct"/>
            <w:shd w:val="clear" w:color="auto" w:fill="D9D9D9" w:themeFill="background1" w:themeFillShade="D9"/>
            <w:vAlign w:val="bottom"/>
          </w:tcPr>
          <w:p w:rsidR="004626FB" w:rsidRDefault="004626FB" w:rsidP="003C664D">
            <w:pPr>
              <w:pStyle w:val="TableBodyText"/>
              <w:spacing w:before="40"/>
            </w:pPr>
            <w:r>
              <w:t>-0.12</w:t>
            </w:r>
          </w:p>
        </w:tc>
        <w:tc>
          <w:tcPr>
            <w:tcW w:w="661" w:type="pct"/>
            <w:shd w:val="clear" w:color="auto" w:fill="D9D9D9" w:themeFill="background1" w:themeFillShade="D9"/>
            <w:vAlign w:val="bottom"/>
          </w:tcPr>
          <w:p w:rsidR="004626FB" w:rsidRDefault="004626FB" w:rsidP="003C664D">
            <w:pPr>
              <w:pStyle w:val="TableBodyText"/>
              <w:spacing w:before="40"/>
            </w:pPr>
            <w:r>
              <w:t>-0.85</w:t>
            </w:r>
          </w:p>
        </w:tc>
        <w:tc>
          <w:tcPr>
            <w:tcW w:w="661" w:type="pct"/>
            <w:shd w:val="clear" w:color="auto" w:fill="D9D9D9" w:themeFill="background1" w:themeFillShade="D9"/>
            <w:vAlign w:val="bottom"/>
          </w:tcPr>
          <w:p w:rsidR="004626FB" w:rsidRDefault="004626FB" w:rsidP="003C664D">
            <w:pPr>
              <w:pStyle w:val="TableBodyText"/>
              <w:spacing w:before="40"/>
            </w:pPr>
            <w:r>
              <w:t>-0.25</w:t>
            </w:r>
          </w:p>
        </w:tc>
      </w:tr>
      <w:tr w:rsidR="004626FB" w:rsidTr="00390E36">
        <w:trPr>
          <w:trHeight w:val="295"/>
        </w:trPr>
        <w:tc>
          <w:tcPr>
            <w:tcW w:w="1695" w:type="pct"/>
            <w:vAlign w:val="bottom"/>
          </w:tcPr>
          <w:p w:rsidR="004626FB" w:rsidRDefault="004626FB" w:rsidP="00CB16CA">
            <w:pPr>
              <w:pStyle w:val="TableBodyText"/>
              <w:jc w:val="left"/>
            </w:pPr>
            <w:r>
              <w:t xml:space="preserve">Textile, clothing &amp; other </w:t>
            </w:r>
            <w:proofErr w:type="spellStart"/>
            <w:r>
              <w:t>mfg</w:t>
            </w:r>
            <w:proofErr w:type="spellEnd"/>
          </w:p>
        </w:tc>
        <w:tc>
          <w:tcPr>
            <w:tcW w:w="661" w:type="pct"/>
            <w:vAlign w:val="bottom"/>
          </w:tcPr>
          <w:p w:rsidR="004626FB" w:rsidRDefault="004626FB" w:rsidP="00CB16CA">
            <w:pPr>
              <w:pStyle w:val="TableBodyText"/>
            </w:pPr>
            <w:r>
              <w:t>-0.14</w:t>
            </w:r>
          </w:p>
        </w:tc>
        <w:tc>
          <w:tcPr>
            <w:tcW w:w="661" w:type="pct"/>
            <w:vAlign w:val="bottom"/>
          </w:tcPr>
          <w:p w:rsidR="004626FB" w:rsidRDefault="004626FB" w:rsidP="00CB16CA">
            <w:pPr>
              <w:pStyle w:val="TableBodyText"/>
            </w:pPr>
            <w:r>
              <w:t>0.06</w:t>
            </w:r>
          </w:p>
        </w:tc>
        <w:tc>
          <w:tcPr>
            <w:tcW w:w="661" w:type="pct"/>
            <w:vAlign w:val="bottom"/>
          </w:tcPr>
          <w:p w:rsidR="004626FB" w:rsidRDefault="004626FB" w:rsidP="00CB16CA">
            <w:pPr>
              <w:pStyle w:val="TableBodyText"/>
            </w:pPr>
            <w:r>
              <w:t>0.38</w:t>
            </w:r>
          </w:p>
        </w:tc>
        <w:tc>
          <w:tcPr>
            <w:tcW w:w="661" w:type="pct"/>
            <w:vAlign w:val="bottom"/>
          </w:tcPr>
          <w:p w:rsidR="004626FB" w:rsidRDefault="004626FB" w:rsidP="00CB16CA">
            <w:pPr>
              <w:pStyle w:val="TableBodyText"/>
            </w:pPr>
            <w:r>
              <w:t>-0.02</w:t>
            </w:r>
          </w:p>
        </w:tc>
        <w:tc>
          <w:tcPr>
            <w:tcW w:w="661" w:type="pct"/>
            <w:vAlign w:val="bottom"/>
          </w:tcPr>
          <w:p w:rsidR="004626FB" w:rsidRDefault="004626FB" w:rsidP="00CB16CA">
            <w:pPr>
              <w:pStyle w:val="TableBodyText"/>
            </w:pPr>
            <w:r>
              <w:t>-0.52</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Wood &amp; paper products</w:t>
            </w:r>
          </w:p>
        </w:tc>
        <w:tc>
          <w:tcPr>
            <w:tcW w:w="661" w:type="pct"/>
            <w:shd w:val="clear" w:color="auto" w:fill="D9D9D9" w:themeFill="background1" w:themeFillShade="D9"/>
            <w:vAlign w:val="bottom"/>
          </w:tcPr>
          <w:p w:rsidR="004626FB" w:rsidRDefault="004626FB" w:rsidP="00CB16CA">
            <w:pPr>
              <w:pStyle w:val="TableBodyText"/>
            </w:pPr>
            <w:r>
              <w:t>-0.21</w:t>
            </w:r>
          </w:p>
        </w:tc>
        <w:tc>
          <w:tcPr>
            <w:tcW w:w="661" w:type="pct"/>
            <w:shd w:val="clear" w:color="auto" w:fill="D9D9D9" w:themeFill="background1" w:themeFillShade="D9"/>
            <w:vAlign w:val="bottom"/>
          </w:tcPr>
          <w:p w:rsidR="004626FB" w:rsidRDefault="004626FB" w:rsidP="00CB16CA">
            <w:pPr>
              <w:pStyle w:val="TableBodyText"/>
            </w:pPr>
            <w:r>
              <w:t>-0.09</w:t>
            </w:r>
          </w:p>
        </w:tc>
        <w:tc>
          <w:tcPr>
            <w:tcW w:w="661" w:type="pct"/>
            <w:shd w:val="clear" w:color="auto" w:fill="D9D9D9" w:themeFill="background1" w:themeFillShade="D9"/>
            <w:vAlign w:val="bottom"/>
          </w:tcPr>
          <w:p w:rsidR="004626FB" w:rsidRDefault="004626FB" w:rsidP="00CB16CA">
            <w:pPr>
              <w:pStyle w:val="TableBodyText"/>
            </w:pPr>
            <w:r>
              <w:t>-0.11</w:t>
            </w:r>
          </w:p>
        </w:tc>
        <w:tc>
          <w:tcPr>
            <w:tcW w:w="661" w:type="pct"/>
            <w:shd w:val="clear" w:color="auto" w:fill="D9D9D9" w:themeFill="background1" w:themeFillShade="D9"/>
            <w:vAlign w:val="bottom"/>
          </w:tcPr>
          <w:p w:rsidR="004626FB" w:rsidRDefault="004626FB" w:rsidP="00CB16CA">
            <w:pPr>
              <w:pStyle w:val="TableBodyText"/>
            </w:pPr>
            <w:r>
              <w:t>-0.08</w:t>
            </w:r>
          </w:p>
        </w:tc>
        <w:tc>
          <w:tcPr>
            <w:tcW w:w="661" w:type="pct"/>
            <w:shd w:val="clear" w:color="auto" w:fill="D9D9D9" w:themeFill="background1" w:themeFillShade="D9"/>
            <w:vAlign w:val="bottom"/>
          </w:tcPr>
          <w:p w:rsidR="004626FB" w:rsidRDefault="004626FB" w:rsidP="00CB16CA">
            <w:pPr>
              <w:pStyle w:val="TableBodyText"/>
            </w:pPr>
            <w:r>
              <w:t>0.11</w:t>
            </w:r>
          </w:p>
        </w:tc>
      </w:tr>
      <w:tr w:rsidR="004626FB" w:rsidTr="00390E36">
        <w:trPr>
          <w:trHeight w:val="295"/>
        </w:trPr>
        <w:tc>
          <w:tcPr>
            <w:tcW w:w="1695" w:type="pct"/>
            <w:vAlign w:val="bottom"/>
          </w:tcPr>
          <w:p w:rsidR="004626FB" w:rsidRDefault="004626FB" w:rsidP="00CB16CA">
            <w:pPr>
              <w:pStyle w:val="TableBodyText"/>
              <w:jc w:val="left"/>
            </w:pPr>
            <w:r>
              <w:t>Printing &amp; recorded media</w:t>
            </w:r>
          </w:p>
        </w:tc>
        <w:tc>
          <w:tcPr>
            <w:tcW w:w="661" w:type="pct"/>
            <w:vAlign w:val="bottom"/>
          </w:tcPr>
          <w:p w:rsidR="004626FB" w:rsidRDefault="004626FB" w:rsidP="00CB16CA">
            <w:pPr>
              <w:pStyle w:val="TableBodyText"/>
            </w:pPr>
            <w:r>
              <w:t>-0.04</w:t>
            </w:r>
          </w:p>
        </w:tc>
        <w:tc>
          <w:tcPr>
            <w:tcW w:w="661" w:type="pct"/>
            <w:vAlign w:val="bottom"/>
          </w:tcPr>
          <w:p w:rsidR="004626FB" w:rsidRDefault="004626FB" w:rsidP="00CB16CA">
            <w:pPr>
              <w:pStyle w:val="TableBodyText"/>
            </w:pPr>
            <w:r>
              <w:t>-0.10</w:t>
            </w:r>
          </w:p>
        </w:tc>
        <w:tc>
          <w:tcPr>
            <w:tcW w:w="661" w:type="pct"/>
            <w:vAlign w:val="bottom"/>
          </w:tcPr>
          <w:p w:rsidR="004626FB" w:rsidRDefault="004626FB" w:rsidP="00CB16CA">
            <w:pPr>
              <w:pStyle w:val="TableBodyText"/>
            </w:pPr>
            <w:r>
              <w:t>0.25</w:t>
            </w:r>
          </w:p>
        </w:tc>
        <w:tc>
          <w:tcPr>
            <w:tcW w:w="661" w:type="pct"/>
            <w:vAlign w:val="bottom"/>
          </w:tcPr>
          <w:p w:rsidR="004626FB" w:rsidRDefault="004626FB" w:rsidP="00CB16CA">
            <w:pPr>
              <w:pStyle w:val="TableBodyText"/>
            </w:pPr>
            <w:r>
              <w:t>-0.10</w:t>
            </w:r>
          </w:p>
        </w:tc>
        <w:tc>
          <w:tcPr>
            <w:tcW w:w="661" w:type="pct"/>
            <w:vAlign w:val="bottom"/>
          </w:tcPr>
          <w:p w:rsidR="004626FB" w:rsidRDefault="004626FB" w:rsidP="00CB16CA">
            <w:pPr>
              <w:pStyle w:val="TableBodyText"/>
            </w:pPr>
            <w:r>
              <w:t>-0.37</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 xml:space="preserve">Petrol., coal, chem. &amp; rubber </w:t>
            </w:r>
          </w:p>
        </w:tc>
        <w:tc>
          <w:tcPr>
            <w:tcW w:w="661" w:type="pct"/>
            <w:shd w:val="clear" w:color="auto" w:fill="D9D9D9" w:themeFill="background1" w:themeFillShade="D9"/>
            <w:vAlign w:val="bottom"/>
          </w:tcPr>
          <w:p w:rsidR="004626FB" w:rsidRDefault="004626FB" w:rsidP="00CB16CA">
            <w:pPr>
              <w:pStyle w:val="TableBodyText"/>
            </w:pPr>
            <w:r>
              <w:t>-0.41</w:t>
            </w:r>
          </w:p>
        </w:tc>
        <w:tc>
          <w:tcPr>
            <w:tcW w:w="661" w:type="pct"/>
            <w:shd w:val="clear" w:color="auto" w:fill="D9D9D9" w:themeFill="background1" w:themeFillShade="D9"/>
            <w:vAlign w:val="bottom"/>
          </w:tcPr>
          <w:p w:rsidR="004626FB" w:rsidRDefault="004626FB" w:rsidP="00CB16CA">
            <w:pPr>
              <w:pStyle w:val="TableBodyText"/>
            </w:pPr>
            <w:r>
              <w:t>0.18</w:t>
            </w:r>
          </w:p>
        </w:tc>
        <w:tc>
          <w:tcPr>
            <w:tcW w:w="661" w:type="pct"/>
            <w:shd w:val="clear" w:color="auto" w:fill="D9D9D9" w:themeFill="background1" w:themeFillShade="D9"/>
            <w:vAlign w:val="bottom"/>
          </w:tcPr>
          <w:p w:rsidR="004626FB" w:rsidRDefault="004626FB" w:rsidP="00CB16CA">
            <w:pPr>
              <w:pStyle w:val="TableBodyText"/>
            </w:pPr>
            <w:r>
              <w:t>0.08</w:t>
            </w:r>
          </w:p>
        </w:tc>
        <w:tc>
          <w:tcPr>
            <w:tcW w:w="661" w:type="pct"/>
            <w:shd w:val="clear" w:color="auto" w:fill="D9D9D9" w:themeFill="background1" w:themeFillShade="D9"/>
            <w:vAlign w:val="bottom"/>
          </w:tcPr>
          <w:p w:rsidR="004626FB" w:rsidRDefault="004626FB" w:rsidP="00CB16CA">
            <w:pPr>
              <w:pStyle w:val="TableBodyText"/>
            </w:pPr>
            <w:r>
              <w:t>-0.73</w:t>
            </w:r>
          </w:p>
        </w:tc>
        <w:tc>
          <w:tcPr>
            <w:tcW w:w="661" w:type="pct"/>
            <w:shd w:val="clear" w:color="auto" w:fill="D9D9D9" w:themeFill="background1" w:themeFillShade="D9"/>
            <w:vAlign w:val="bottom"/>
          </w:tcPr>
          <w:p w:rsidR="004626FB" w:rsidRDefault="004626FB" w:rsidP="00CB16CA">
            <w:pPr>
              <w:pStyle w:val="TableBodyText"/>
            </w:pPr>
            <w:r>
              <w:t>-0.37</w:t>
            </w:r>
          </w:p>
        </w:tc>
      </w:tr>
      <w:tr w:rsidR="004626FB" w:rsidTr="00390E36">
        <w:trPr>
          <w:trHeight w:val="295"/>
        </w:trPr>
        <w:tc>
          <w:tcPr>
            <w:tcW w:w="1695" w:type="pct"/>
            <w:vAlign w:val="bottom"/>
          </w:tcPr>
          <w:p w:rsidR="004626FB" w:rsidRDefault="004626FB" w:rsidP="00CB16CA">
            <w:pPr>
              <w:pStyle w:val="TableBodyText"/>
              <w:jc w:val="left"/>
            </w:pPr>
            <w:r>
              <w:t>Non-metallic mineral products</w:t>
            </w:r>
          </w:p>
        </w:tc>
        <w:tc>
          <w:tcPr>
            <w:tcW w:w="661" w:type="pct"/>
            <w:vAlign w:val="bottom"/>
          </w:tcPr>
          <w:p w:rsidR="004626FB" w:rsidRDefault="004626FB" w:rsidP="00CB16CA">
            <w:pPr>
              <w:pStyle w:val="TableBodyText"/>
            </w:pPr>
            <w:r>
              <w:t>-0.14</w:t>
            </w:r>
          </w:p>
        </w:tc>
        <w:tc>
          <w:tcPr>
            <w:tcW w:w="661" w:type="pct"/>
            <w:vAlign w:val="bottom"/>
          </w:tcPr>
          <w:p w:rsidR="004626FB" w:rsidRDefault="004626FB" w:rsidP="00CB16CA">
            <w:pPr>
              <w:pStyle w:val="TableBodyText"/>
            </w:pPr>
            <w:r>
              <w:t>0.01</w:t>
            </w:r>
          </w:p>
        </w:tc>
        <w:tc>
          <w:tcPr>
            <w:tcW w:w="661" w:type="pct"/>
            <w:vAlign w:val="bottom"/>
          </w:tcPr>
          <w:p w:rsidR="004626FB" w:rsidRDefault="004626FB" w:rsidP="00CB16CA">
            <w:pPr>
              <w:pStyle w:val="TableBodyText"/>
            </w:pPr>
            <w:r>
              <w:t>0.31</w:t>
            </w:r>
          </w:p>
        </w:tc>
        <w:tc>
          <w:tcPr>
            <w:tcW w:w="661" w:type="pct"/>
            <w:vAlign w:val="bottom"/>
          </w:tcPr>
          <w:p w:rsidR="004626FB" w:rsidRDefault="004626FB" w:rsidP="00CB16CA">
            <w:pPr>
              <w:pStyle w:val="TableBodyText"/>
            </w:pPr>
            <w:r>
              <w:t>0.24</w:t>
            </w:r>
          </w:p>
        </w:tc>
        <w:tc>
          <w:tcPr>
            <w:tcW w:w="661" w:type="pct"/>
            <w:vAlign w:val="bottom"/>
          </w:tcPr>
          <w:p w:rsidR="004626FB" w:rsidRDefault="004626FB" w:rsidP="00CB16CA">
            <w:pPr>
              <w:pStyle w:val="TableBodyText"/>
            </w:pPr>
            <w:r>
              <w:t>-0.04</w:t>
            </w:r>
          </w:p>
        </w:tc>
      </w:tr>
      <w:tr w:rsidR="004626FB" w:rsidTr="00390E36">
        <w:trPr>
          <w:trHeight w:val="295"/>
        </w:trPr>
        <w:tc>
          <w:tcPr>
            <w:tcW w:w="1695" w:type="pct"/>
            <w:shd w:val="clear" w:color="auto" w:fill="D9D9D9" w:themeFill="background1" w:themeFillShade="D9"/>
            <w:vAlign w:val="bottom"/>
          </w:tcPr>
          <w:p w:rsidR="004626FB" w:rsidRDefault="004626FB" w:rsidP="00CB16CA">
            <w:pPr>
              <w:pStyle w:val="TableBodyText"/>
              <w:jc w:val="left"/>
            </w:pPr>
            <w:r>
              <w:t>Metal products</w:t>
            </w:r>
          </w:p>
        </w:tc>
        <w:tc>
          <w:tcPr>
            <w:tcW w:w="661" w:type="pct"/>
            <w:shd w:val="clear" w:color="auto" w:fill="D9D9D9" w:themeFill="background1" w:themeFillShade="D9"/>
            <w:vAlign w:val="bottom"/>
          </w:tcPr>
          <w:p w:rsidR="004626FB" w:rsidRDefault="004626FB" w:rsidP="00CB16CA">
            <w:pPr>
              <w:pStyle w:val="TableBodyText"/>
            </w:pPr>
            <w:r>
              <w:t>0.22</w:t>
            </w:r>
          </w:p>
        </w:tc>
        <w:tc>
          <w:tcPr>
            <w:tcW w:w="661" w:type="pct"/>
            <w:shd w:val="clear" w:color="auto" w:fill="D9D9D9" w:themeFill="background1" w:themeFillShade="D9"/>
            <w:vAlign w:val="bottom"/>
          </w:tcPr>
          <w:p w:rsidR="004626FB" w:rsidRDefault="004626FB" w:rsidP="00CB16CA">
            <w:pPr>
              <w:pStyle w:val="TableBodyText"/>
            </w:pPr>
            <w:r>
              <w:t>0.19</w:t>
            </w:r>
          </w:p>
        </w:tc>
        <w:tc>
          <w:tcPr>
            <w:tcW w:w="661" w:type="pct"/>
            <w:shd w:val="clear" w:color="auto" w:fill="D9D9D9" w:themeFill="background1" w:themeFillShade="D9"/>
            <w:vAlign w:val="bottom"/>
          </w:tcPr>
          <w:p w:rsidR="004626FB" w:rsidRDefault="004626FB" w:rsidP="00CB16CA">
            <w:pPr>
              <w:pStyle w:val="TableBodyText"/>
            </w:pPr>
            <w:r>
              <w:t>0.30</w:t>
            </w:r>
          </w:p>
        </w:tc>
        <w:tc>
          <w:tcPr>
            <w:tcW w:w="661" w:type="pct"/>
            <w:shd w:val="clear" w:color="auto" w:fill="D9D9D9" w:themeFill="background1" w:themeFillShade="D9"/>
            <w:vAlign w:val="bottom"/>
          </w:tcPr>
          <w:p w:rsidR="004626FB" w:rsidRDefault="004626FB" w:rsidP="00CB16CA">
            <w:pPr>
              <w:pStyle w:val="TableBodyText"/>
            </w:pPr>
            <w:r>
              <w:t>-0.12</w:t>
            </w:r>
          </w:p>
        </w:tc>
        <w:tc>
          <w:tcPr>
            <w:tcW w:w="661" w:type="pct"/>
            <w:shd w:val="clear" w:color="auto" w:fill="D9D9D9" w:themeFill="background1" w:themeFillShade="D9"/>
            <w:vAlign w:val="bottom"/>
          </w:tcPr>
          <w:p w:rsidR="004626FB" w:rsidRDefault="004626FB" w:rsidP="00CB16CA">
            <w:pPr>
              <w:pStyle w:val="TableBodyText"/>
            </w:pPr>
            <w:r>
              <w:t>-0.13</w:t>
            </w:r>
          </w:p>
        </w:tc>
      </w:tr>
      <w:tr w:rsidR="004626FB" w:rsidTr="00390E36">
        <w:trPr>
          <w:trHeight w:val="295"/>
        </w:trPr>
        <w:tc>
          <w:tcPr>
            <w:tcW w:w="1695" w:type="pct"/>
            <w:vAlign w:val="bottom"/>
          </w:tcPr>
          <w:p w:rsidR="004626FB" w:rsidRDefault="004626FB" w:rsidP="00CB16CA">
            <w:pPr>
              <w:pStyle w:val="TableBodyText"/>
              <w:jc w:val="left"/>
            </w:pPr>
            <w:r>
              <w:t xml:space="preserve">Machinery &amp; equipment </w:t>
            </w:r>
            <w:proofErr w:type="spellStart"/>
            <w:r>
              <w:t>mfg</w:t>
            </w:r>
            <w:proofErr w:type="spellEnd"/>
          </w:p>
        </w:tc>
        <w:tc>
          <w:tcPr>
            <w:tcW w:w="661" w:type="pct"/>
            <w:vAlign w:val="bottom"/>
          </w:tcPr>
          <w:p w:rsidR="004626FB" w:rsidRDefault="004626FB" w:rsidP="00CB16CA">
            <w:pPr>
              <w:pStyle w:val="TableBodyText"/>
            </w:pPr>
            <w:r>
              <w:t>0.32</w:t>
            </w:r>
          </w:p>
        </w:tc>
        <w:tc>
          <w:tcPr>
            <w:tcW w:w="661" w:type="pct"/>
            <w:vAlign w:val="bottom"/>
          </w:tcPr>
          <w:p w:rsidR="004626FB" w:rsidRDefault="004626FB" w:rsidP="00CB16CA">
            <w:pPr>
              <w:pStyle w:val="TableBodyText"/>
            </w:pPr>
            <w:r>
              <w:t>0.45</w:t>
            </w:r>
          </w:p>
        </w:tc>
        <w:tc>
          <w:tcPr>
            <w:tcW w:w="661" w:type="pct"/>
            <w:vAlign w:val="bottom"/>
          </w:tcPr>
          <w:p w:rsidR="004626FB" w:rsidRDefault="004626FB" w:rsidP="00CB16CA">
            <w:pPr>
              <w:pStyle w:val="TableBodyText"/>
            </w:pPr>
            <w:r>
              <w:t>0.29</w:t>
            </w:r>
          </w:p>
        </w:tc>
        <w:tc>
          <w:tcPr>
            <w:tcW w:w="661" w:type="pct"/>
            <w:vAlign w:val="bottom"/>
          </w:tcPr>
          <w:p w:rsidR="004626FB" w:rsidRDefault="004626FB" w:rsidP="00CB16CA">
            <w:pPr>
              <w:pStyle w:val="TableBodyText"/>
            </w:pPr>
            <w:r>
              <w:t>-0.04</w:t>
            </w:r>
          </w:p>
        </w:tc>
        <w:tc>
          <w:tcPr>
            <w:tcW w:w="661" w:type="pct"/>
            <w:vAlign w:val="bottom"/>
          </w:tcPr>
          <w:p w:rsidR="004626FB" w:rsidRDefault="004626FB" w:rsidP="00CB16CA">
            <w:pPr>
              <w:pStyle w:val="TableBodyText"/>
            </w:pPr>
            <w:r>
              <w:t>0.08</w:t>
            </w:r>
          </w:p>
        </w:tc>
      </w:tr>
      <w:tr w:rsidR="000C1641" w:rsidTr="00390E36">
        <w:trPr>
          <w:trHeight w:val="283"/>
        </w:trPr>
        <w:tc>
          <w:tcPr>
            <w:tcW w:w="1695" w:type="pct"/>
            <w:shd w:val="clear" w:color="auto" w:fill="D9D9D9" w:themeFill="background1" w:themeFillShade="D9"/>
            <w:vAlign w:val="bottom"/>
          </w:tcPr>
          <w:p w:rsidR="007310E3" w:rsidRDefault="007310E3" w:rsidP="00CB16CA">
            <w:pPr>
              <w:pStyle w:val="TableBodyText"/>
              <w:jc w:val="left"/>
            </w:pPr>
            <w:r>
              <w:t>Sum of the contributions</w:t>
            </w:r>
            <w:r w:rsidR="008D4F61">
              <w:rPr>
                <w:rStyle w:val="NoteLabel"/>
              </w:rPr>
              <w:t>a</w:t>
            </w:r>
          </w:p>
        </w:tc>
        <w:tc>
          <w:tcPr>
            <w:tcW w:w="661" w:type="pct"/>
            <w:shd w:val="clear" w:color="auto" w:fill="D9D9D9" w:themeFill="background1" w:themeFillShade="D9"/>
            <w:vAlign w:val="bottom"/>
          </w:tcPr>
          <w:p w:rsidR="007310E3" w:rsidRPr="005C3E13" w:rsidRDefault="007310E3" w:rsidP="00CB16CA">
            <w:pPr>
              <w:pStyle w:val="TableBodyText"/>
            </w:pPr>
            <w:r w:rsidRPr="005C3E13">
              <w:t>-0.32</w:t>
            </w:r>
          </w:p>
        </w:tc>
        <w:tc>
          <w:tcPr>
            <w:tcW w:w="661" w:type="pct"/>
            <w:shd w:val="clear" w:color="auto" w:fill="D9D9D9" w:themeFill="background1" w:themeFillShade="D9"/>
            <w:vAlign w:val="bottom"/>
          </w:tcPr>
          <w:p w:rsidR="007310E3" w:rsidRPr="005C3E13" w:rsidRDefault="007310E3" w:rsidP="00CB16CA">
            <w:pPr>
              <w:pStyle w:val="TableBodyText"/>
            </w:pPr>
            <w:r w:rsidRPr="005C3E13">
              <w:t>0.86</w:t>
            </w:r>
          </w:p>
        </w:tc>
        <w:tc>
          <w:tcPr>
            <w:tcW w:w="661" w:type="pct"/>
            <w:shd w:val="clear" w:color="auto" w:fill="D9D9D9" w:themeFill="background1" w:themeFillShade="D9"/>
            <w:vAlign w:val="bottom"/>
          </w:tcPr>
          <w:p w:rsidR="007310E3" w:rsidRPr="005C3E13" w:rsidRDefault="007310E3" w:rsidP="00CB16CA">
            <w:pPr>
              <w:pStyle w:val="TableBodyText"/>
            </w:pPr>
            <w:r w:rsidRPr="005C3E13">
              <w:t>1.38</w:t>
            </w:r>
          </w:p>
        </w:tc>
        <w:tc>
          <w:tcPr>
            <w:tcW w:w="661" w:type="pct"/>
            <w:shd w:val="clear" w:color="auto" w:fill="D9D9D9" w:themeFill="background1" w:themeFillShade="D9"/>
            <w:vAlign w:val="bottom"/>
          </w:tcPr>
          <w:p w:rsidR="007310E3" w:rsidRPr="005C3E13" w:rsidRDefault="007310E3" w:rsidP="00CB16CA">
            <w:pPr>
              <w:pStyle w:val="TableBodyText"/>
            </w:pPr>
            <w:r w:rsidRPr="005C3E13">
              <w:t>-1.70</w:t>
            </w:r>
          </w:p>
        </w:tc>
        <w:tc>
          <w:tcPr>
            <w:tcW w:w="661" w:type="pct"/>
            <w:shd w:val="clear" w:color="auto" w:fill="D9D9D9" w:themeFill="background1" w:themeFillShade="D9"/>
            <w:vAlign w:val="bottom"/>
          </w:tcPr>
          <w:p w:rsidR="007310E3" w:rsidRPr="005C3E13" w:rsidRDefault="007310E3" w:rsidP="00CB16CA">
            <w:pPr>
              <w:pStyle w:val="TableBodyText"/>
            </w:pPr>
            <w:r w:rsidRPr="005C3E13">
              <w:t>-1.49</w:t>
            </w:r>
          </w:p>
        </w:tc>
      </w:tr>
      <w:tr w:rsidR="000C1641" w:rsidRPr="00486618" w:rsidTr="00390E36">
        <w:trPr>
          <w:trHeight w:val="295"/>
        </w:trPr>
        <w:tc>
          <w:tcPr>
            <w:tcW w:w="1695" w:type="pct"/>
            <w:shd w:val="clear" w:color="auto" w:fill="auto"/>
            <w:vAlign w:val="bottom"/>
          </w:tcPr>
          <w:p w:rsidR="007310E3" w:rsidRPr="00486618" w:rsidRDefault="00CC7B36" w:rsidP="00CB16CA">
            <w:pPr>
              <w:pStyle w:val="TableBodyText"/>
              <w:jc w:val="left"/>
              <w:rPr>
                <w:b/>
                <w:i/>
              </w:rPr>
            </w:pPr>
            <w:r w:rsidRPr="00486618">
              <w:rPr>
                <w:i/>
              </w:rPr>
              <w:t>Aggregate of subsectors</w:t>
            </w:r>
          </w:p>
        </w:tc>
        <w:tc>
          <w:tcPr>
            <w:tcW w:w="661" w:type="pct"/>
            <w:shd w:val="clear" w:color="auto" w:fill="auto"/>
            <w:vAlign w:val="bottom"/>
          </w:tcPr>
          <w:p w:rsidR="007310E3" w:rsidRPr="00486618" w:rsidRDefault="007310E3" w:rsidP="00CB16CA">
            <w:pPr>
              <w:pStyle w:val="TableBodyText"/>
              <w:rPr>
                <w:i/>
              </w:rPr>
            </w:pPr>
            <w:r w:rsidRPr="00486618">
              <w:rPr>
                <w:i/>
              </w:rPr>
              <w:t>-0.40</w:t>
            </w:r>
          </w:p>
        </w:tc>
        <w:tc>
          <w:tcPr>
            <w:tcW w:w="661" w:type="pct"/>
            <w:shd w:val="clear" w:color="auto" w:fill="auto"/>
            <w:vAlign w:val="bottom"/>
          </w:tcPr>
          <w:p w:rsidR="007310E3" w:rsidRPr="00486618" w:rsidRDefault="007310E3" w:rsidP="00CB16CA">
            <w:pPr>
              <w:pStyle w:val="TableBodyText"/>
              <w:rPr>
                <w:i/>
              </w:rPr>
            </w:pPr>
            <w:r w:rsidRPr="00486618">
              <w:rPr>
                <w:i/>
              </w:rPr>
              <w:t>0.87</w:t>
            </w:r>
          </w:p>
        </w:tc>
        <w:tc>
          <w:tcPr>
            <w:tcW w:w="661" w:type="pct"/>
            <w:shd w:val="clear" w:color="auto" w:fill="auto"/>
            <w:vAlign w:val="bottom"/>
          </w:tcPr>
          <w:p w:rsidR="007310E3" w:rsidRPr="00486618" w:rsidRDefault="007310E3" w:rsidP="00CB16CA">
            <w:pPr>
              <w:pStyle w:val="TableBodyText"/>
              <w:rPr>
                <w:i/>
              </w:rPr>
            </w:pPr>
            <w:r w:rsidRPr="00486618">
              <w:rPr>
                <w:i/>
              </w:rPr>
              <w:t>1.37</w:t>
            </w:r>
          </w:p>
        </w:tc>
        <w:tc>
          <w:tcPr>
            <w:tcW w:w="661" w:type="pct"/>
            <w:shd w:val="clear" w:color="auto" w:fill="auto"/>
            <w:vAlign w:val="bottom"/>
          </w:tcPr>
          <w:p w:rsidR="007310E3" w:rsidRPr="00486618" w:rsidRDefault="007310E3" w:rsidP="00CB16CA">
            <w:pPr>
              <w:pStyle w:val="TableBodyText"/>
              <w:rPr>
                <w:i/>
              </w:rPr>
            </w:pPr>
            <w:r w:rsidRPr="00486618">
              <w:rPr>
                <w:i/>
              </w:rPr>
              <w:t>-1.52</w:t>
            </w:r>
          </w:p>
        </w:tc>
        <w:tc>
          <w:tcPr>
            <w:tcW w:w="661" w:type="pct"/>
            <w:vAlign w:val="bottom"/>
          </w:tcPr>
          <w:p w:rsidR="007310E3" w:rsidRPr="00486618" w:rsidRDefault="007310E3" w:rsidP="00CB16CA">
            <w:pPr>
              <w:pStyle w:val="TableBodyText"/>
              <w:rPr>
                <w:i/>
              </w:rPr>
            </w:pPr>
            <w:r w:rsidRPr="00486618">
              <w:rPr>
                <w:i/>
              </w:rPr>
              <w:t>-1.29</w:t>
            </w:r>
          </w:p>
        </w:tc>
      </w:tr>
      <w:tr w:rsidR="000C1641" w:rsidTr="00390E36">
        <w:trPr>
          <w:trHeight w:val="295"/>
        </w:trPr>
        <w:tc>
          <w:tcPr>
            <w:tcW w:w="1695" w:type="pct"/>
            <w:tcBorders>
              <w:bottom w:val="single" w:sz="6" w:space="0" w:color="auto"/>
            </w:tcBorders>
            <w:shd w:val="clear" w:color="auto" w:fill="D9D9D9" w:themeFill="background1" w:themeFillShade="D9"/>
            <w:vAlign w:val="bottom"/>
          </w:tcPr>
          <w:p w:rsidR="007310E3" w:rsidRPr="009707CE" w:rsidRDefault="000C1641" w:rsidP="004E1B85">
            <w:pPr>
              <w:pStyle w:val="TableBodyText"/>
              <w:ind w:right="0"/>
              <w:jc w:val="left"/>
              <w:rPr>
                <w:b/>
              </w:rPr>
            </w:pPr>
            <w:r>
              <w:rPr>
                <w:b/>
              </w:rPr>
              <w:t>Total</w:t>
            </w:r>
            <w:r w:rsidRPr="005961D0">
              <w:rPr>
                <w:b/>
              </w:rPr>
              <w:t xml:space="preserve"> </w:t>
            </w:r>
            <w:r>
              <w:rPr>
                <w:b/>
              </w:rPr>
              <w:t>Manufacturing (ABS)</w:t>
            </w:r>
          </w:p>
        </w:tc>
        <w:tc>
          <w:tcPr>
            <w:tcW w:w="661" w:type="pct"/>
            <w:tcBorders>
              <w:bottom w:val="single" w:sz="6" w:space="0" w:color="auto"/>
            </w:tcBorders>
            <w:shd w:val="clear" w:color="auto" w:fill="D9D9D9" w:themeFill="background1" w:themeFillShade="D9"/>
            <w:vAlign w:val="bottom"/>
          </w:tcPr>
          <w:p w:rsidR="007310E3" w:rsidRPr="009E5519" w:rsidRDefault="007310E3" w:rsidP="004E1B85">
            <w:pPr>
              <w:pStyle w:val="TableBodyText"/>
              <w:rPr>
                <w:b/>
              </w:rPr>
            </w:pPr>
            <w:r w:rsidRPr="009E5519">
              <w:rPr>
                <w:b/>
              </w:rPr>
              <w:t>-0.02</w:t>
            </w:r>
          </w:p>
        </w:tc>
        <w:tc>
          <w:tcPr>
            <w:tcW w:w="661" w:type="pct"/>
            <w:tcBorders>
              <w:bottom w:val="single" w:sz="6" w:space="0" w:color="auto"/>
            </w:tcBorders>
            <w:shd w:val="clear" w:color="auto" w:fill="D9D9D9" w:themeFill="background1" w:themeFillShade="D9"/>
            <w:vAlign w:val="bottom"/>
          </w:tcPr>
          <w:p w:rsidR="007310E3" w:rsidRPr="009E5519" w:rsidRDefault="007310E3" w:rsidP="004E1B85">
            <w:pPr>
              <w:pStyle w:val="TableBodyText"/>
              <w:rPr>
                <w:b/>
              </w:rPr>
            </w:pPr>
            <w:r w:rsidRPr="009E5519">
              <w:rPr>
                <w:b/>
              </w:rPr>
              <w:t>0.59</w:t>
            </w:r>
          </w:p>
        </w:tc>
        <w:tc>
          <w:tcPr>
            <w:tcW w:w="661" w:type="pct"/>
            <w:tcBorders>
              <w:bottom w:val="single" w:sz="6" w:space="0" w:color="auto"/>
            </w:tcBorders>
            <w:shd w:val="clear" w:color="auto" w:fill="D9D9D9" w:themeFill="background1" w:themeFillShade="D9"/>
            <w:vAlign w:val="bottom"/>
          </w:tcPr>
          <w:p w:rsidR="007310E3" w:rsidRPr="009E5519" w:rsidRDefault="007310E3" w:rsidP="004E1B85">
            <w:pPr>
              <w:pStyle w:val="TableBodyText"/>
              <w:rPr>
                <w:b/>
              </w:rPr>
            </w:pPr>
            <w:r w:rsidRPr="009E5519">
              <w:rPr>
                <w:b/>
              </w:rPr>
              <w:t>1.34</w:t>
            </w:r>
          </w:p>
        </w:tc>
        <w:tc>
          <w:tcPr>
            <w:tcW w:w="661" w:type="pct"/>
            <w:tcBorders>
              <w:bottom w:val="single" w:sz="6" w:space="0" w:color="auto"/>
            </w:tcBorders>
            <w:shd w:val="clear" w:color="auto" w:fill="D9D9D9" w:themeFill="background1" w:themeFillShade="D9"/>
            <w:vAlign w:val="bottom"/>
          </w:tcPr>
          <w:p w:rsidR="007310E3" w:rsidRPr="009E5519" w:rsidRDefault="007310E3" w:rsidP="004E1B85">
            <w:pPr>
              <w:pStyle w:val="TableBodyText"/>
              <w:rPr>
                <w:b/>
              </w:rPr>
            </w:pPr>
            <w:r w:rsidRPr="009E5519">
              <w:rPr>
                <w:b/>
              </w:rPr>
              <w:t>-1.38</w:t>
            </w:r>
          </w:p>
        </w:tc>
        <w:tc>
          <w:tcPr>
            <w:tcW w:w="661" w:type="pct"/>
            <w:tcBorders>
              <w:bottom w:val="single" w:sz="6" w:space="0" w:color="auto"/>
            </w:tcBorders>
            <w:shd w:val="clear" w:color="auto" w:fill="D9D9D9" w:themeFill="background1" w:themeFillShade="D9"/>
            <w:vAlign w:val="bottom"/>
          </w:tcPr>
          <w:p w:rsidR="007310E3" w:rsidRPr="009E5519" w:rsidRDefault="007310E3" w:rsidP="004E1B85">
            <w:pPr>
              <w:pStyle w:val="TableBodyText"/>
              <w:rPr>
                <w:b/>
              </w:rPr>
            </w:pPr>
            <w:r w:rsidRPr="009E5519">
              <w:rPr>
                <w:b/>
              </w:rPr>
              <w:t>-0.79</w:t>
            </w:r>
          </w:p>
        </w:tc>
      </w:tr>
    </w:tbl>
    <w:p w:rsidR="007310E3" w:rsidRDefault="008D4F61" w:rsidP="007310E3">
      <w:pPr>
        <w:pStyle w:val="Note"/>
      </w:pPr>
      <w:r>
        <w:rPr>
          <w:rStyle w:val="NoteLabel"/>
        </w:rPr>
        <w:t>a</w:t>
      </w:r>
      <w:r w:rsidR="00525F5A">
        <w:t xml:space="preserve"> </w:t>
      </w:r>
      <w:r w:rsidR="00784E53">
        <w:t>Using a methodology based on Parham (2012), t</w:t>
      </w:r>
      <w:r w:rsidR="00BB6FE4">
        <w:t>he c</w:t>
      </w:r>
      <w:r w:rsidR="00525F5A">
        <w:t xml:space="preserve">ontribution of each subsector to </w:t>
      </w:r>
      <w:r w:rsidR="00DC5BD7">
        <w:t>Manufacturing</w:t>
      </w:r>
      <w:r w:rsidR="00525F5A">
        <w:t xml:space="preserve"> MFP </w:t>
      </w:r>
      <w:r w:rsidR="00BB6FE4">
        <w:t>is</w:t>
      </w:r>
      <w:r w:rsidR="00E67E3B">
        <w:t xml:space="preserve"> derived by first estimating its</w:t>
      </w:r>
      <w:r w:rsidR="00525F5A">
        <w:t xml:space="preserve"> co</w:t>
      </w:r>
      <w:r w:rsidR="00E67E3B">
        <w:t>ntribution</w:t>
      </w:r>
      <w:r w:rsidR="004070AB">
        <w:t>s</w:t>
      </w:r>
      <w:r w:rsidR="00E67E3B">
        <w:t xml:space="preserve"> to </w:t>
      </w:r>
      <w:r w:rsidR="00525F5A">
        <w:t>the proximate causes (</w:t>
      </w:r>
      <w:r w:rsidR="0063615A">
        <w:t>value added</w:t>
      </w:r>
      <w:r w:rsidR="00525F5A">
        <w:t>, capital inputs and labour inputs), and then</w:t>
      </w:r>
      <w:r w:rsidR="00FC3261">
        <w:t xml:space="preserve"> by</w:t>
      </w:r>
      <w:r w:rsidR="00525F5A">
        <w:t xml:space="preserve"> </w:t>
      </w:r>
      <w:r>
        <w:t>taking</w:t>
      </w:r>
      <w:r w:rsidR="004070AB">
        <w:t xml:space="preserve"> its</w:t>
      </w:r>
      <w:r w:rsidR="00E67E3B">
        <w:t xml:space="preserve"> contribution to </w:t>
      </w:r>
      <w:r w:rsidR="00DC5BD7">
        <w:t>Manufacturing</w:t>
      </w:r>
      <w:r w:rsidR="00E67E3B">
        <w:t xml:space="preserve"> </w:t>
      </w:r>
      <w:r w:rsidR="0063615A">
        <w:t>value added</w:t>
      </w:r>
      <w:r w:rsidR="004070AB">
        <w:t xml:space="preserve"> less</w:t>
      </w:r>
      <w:r w:rsidR="00FC3261">
        <w:t xml:space="preserve"> its contribution to total</w:t>
      </w:r>
      <w:r w:rsidR="00525F5A">
        <w:t xml:space="preserve"> inputs</w:t>
      </w:r>
      <w:r w:rsidR="00FC3261">
        <w:t xml:space="preserve"> (the sum of its contribution to capital and labour inputs)</w:t>
      </w:r>
      <w:r w:rsidR="00E67E3B">
        <w:t>. Due to approximation error</w:t>
      </w:r>
      <w:r w:rsidR="007D3584">
        <w:t>s</w:t>
      </w:r>
      <w:r w:rsidR="00E67E3B">
        <w:t>, there is discrepancy between the sum of the subsector MFP contributions and</w:t>
      </w:r>
      <w:r w:rsidR="00BB6FE4">
        <w:t xml:space="preserve"> the</w:t>
      </w:r>
      <w:r w:rsidR="00E67E3B">
        <w:t xml:space="preserve"> </w:t>
      </w:r>
      <w:r w:rsidR="007D3584">
        <w:t xml:space="preserve">aggregate of the subsector </w:t>
      </w:r>
      <w:r w:rsidR="00E67E3B">
        <w:t>estimates of the MFP growth</w:t>
      </w:r>
      <w:r w:rsidR="00BB6FE4">
        <w:t xml:space="preserve">. </w:t>
      </w:r>
    </w:p>
    <w:p w:rsidR="007310E3" w:rsidRPr="009E5519" w:rsidRDefault="007310E3" w:rsidP="007310E3">
      <w:pPr>
        <w:pStyle w:val="Source"/>
      </w:pPr>
      <w:r>
        <w:rPr>
          <w:i/>
        </w:rPr>
        <w:t>Source</w:t>
      </w:r>
      <w:r>
        <w:t>: Authors’ estimates.</w:t>
      </w:r>
    </w:p>
    <w:p w:rsidR="00A56BD6" w:rsidRDefault="00961B94" w:rsidP="0080137B">
      <w:pPr>
        <w:pStyle w:val="BodyText"/>
        <w:spacing w:before="200"/>
      </w:pPr>
      <w:r>
        <w:t>I</w:t>
      </w:r>
      <w:r w:rsidR="00705392">
        <w:t>n cycle 3 (1998</w:t>
      </w:r>
      <w:r w:rsidR="00705392">
        <w:noBreakHyphen/>
        <w:t>99 to 2003-04)</w:t>
      </w:r>
      <w:r w:rsidR="00EF1B8B">
        <w:t xml:space="preserve"> </w:t>
      </w:r>
      <w:r w:rsidR="00705392">
        <w:t xml:space="preserve">two </w:t>
      </w:r>
      <w:r>
        <w:t xml:space="preserve">of the </w:t>
      </w:r>
      <w:r w:rsidR="00705392">
        <w:t>smaller subsectors</w:t>
      </w:r>
      <w:r w:rsidR="00EF1B8B">
        <w:t>,</w:t>
      </w:r>
      <w:r w:rsidR="00705392">
        <w:t xml:space="preserve"> </w:t>
      </w:r>
      <w:r w:rsidR="00BC2365" w:rsidRPr="00CC0019">
        <w:t xml:space="preserve">Textile, clothing </w:t>
      </w:r>
      <w:r w:rsidR="00BC2365">
        <w:t>and</w:t>
      </w:r>
      <w:r w:rsidR="00BC2365" w:rsidRPr="00CC0019">
        <w:t xml:space="preserve"> other manufacturing</w:t>
      </w:r>
      <w:r w:rsidR="00705392">
        <w:t xml:space="preserve"> and </w:t>
      </w:r>
      <w:r w:rsidR="00BC2365" w:rsidRPr="00CC0019">
        <w:t>Non-metallic mineral products</w:t>
      </w:r>
      <w:r w:rsidR="00EF1B8B">
        <w:t>,</w:t>
      </w:r>
      <w:r w:rsidR="00705392">
        <w:t xml:space="preserve"> made </w:t>
      </w:r>
      <w:r>
        <w:t xml:space="preserve">the largest </w:t>
      </w:r>
      <w:r w:rsidR="00705392">
        <w:t>contributions</w:t>
      </w:r>
      <w:r>
        <w:t xml:space="preserve"> to the positive growth in Manufacturing MFP, followed by </w:t>
      </w:r>
      <w:r w:rsidR="00BC2365">
        <w:t>Metal products</w:t>
      </w:r>
      <w:r>
        <w:t xml:space="preserve"> and </w:t>
      </w:r>
      <w:r w:rsidR="00BC2365" w:rsidRPr="00CC0019">
        <w:t xml:space="preserve">Machinery </w:t>
      </w:r>
      <w:r w:rsidR="00BC2365">
        <w:t>and</w:t>
      </w:r>
      <w:r w:rsidR="00BC2365" w:rsidRPr="00CC0019">
        <w:t xml:space="preserve"> equipment</w:t>
      </w:r>
      <w:r w:rsidR="00BC2365">
        <w:t xml:space="preserve"> manufacturing</w:t>
      </w:r>
      <w:r>
        <w:t>.</w:t>
      </w:r>
    </w:p>
    <w:p w:rsidR="00705392" w:rsidRDefault="00705392" w:rsidP="0080137B">
      <w:pPr>
        <w:pStyle w:val="BodyText"/>
        <w:spacing w:before="200"/>
      </w:pPr>
      <w:r>
        <w:t xml:space="preserve">In cycle 4, where average MFP growth for Manufacturing was negative, </w:t>
      </w:r>
      <w:r w:rsidR="00BC2365" w:rsidRPr="00CC0019">
        <w:t>Non-metallic mineral products</w:t>
      </w:r>
      <w:r>
        <w:t xml:space="preserve"> was the only subsector to make a positive contribution. All other subsectors made negative MFP contributions, with </w:t>
      </w:r>
      <w:r w:rsidR="00BC2365">
        <w:t>Food, beverage and tobacco products</w:t>
      </w:r>
      <w:r>
        <w:t xml:space="preserve">, </w:t>
      </w:r>
      <w:r w:rsidR="00BC2365" w:rsidRPr="00CC0019">
        <w:t xml:space="preserve">Petroleum, coal, chemical </w:t>
      </w:r>
      <w:r w:rsidR="00BC2365">
        <w:t>and</w:t>
      </w:r>
      <w:r w:rsidR="00BC2365" w:rsidRPr="00CC0019">
        <w:t xml:space="preserve"> rubber products</w:t>
      </w:r>
      <w:r>
        <w:t xml:space="preserve"> and </w:t>
      </w:r>
      <w:r w:rsidR="00BC2365">
        <w:t>Metal products</w:t>
      </w:r>
      <w:r>
        <w:t xml:space="preserve"> making the larger contributions to the decline. </w:t>
      </w:r>
    </w:p>
    <w:p w:rsidR="007310E3" w:rsidRDefault="007310E3" w:rsidP="0080137B">
      <w:pPr>
        <w:pStyle w:val="BodyText"/>
        <w:spacing w:before="200"/>
      </w:pPr>
      <w:r>
        <w:t xml:space="preserve">Focusing on the change between cycles 3 and 4, all </w:t>
      </w:r>
      <w:r w:rsidR="00EF1B8B">
        <w:t xml:space="preserve">but one </w:t>
      </w:r>
      <w:r w:rsidR="00A56BD6">
        <w:t xml:space="preserve">of the </w:t>
      </w:r>
      <w:r>
        <w:t xml:space="preserve">subsectors made a negative contribution to the decline in </w:t>
      </w:r>
      <w:r w:rsidR="000C1641">
        <w:t xml:space="preserve">MFP for </w:t>
      </w:r>
      <w:r w:rsidR="00DC5BD7">
        <w:t>Manufacturing</w:t>
      </w:r>
      <w:r>
        <w:t xml:space="preserve"> </w:t>
      </w:r>
      <w:r w:rsidR="000C1641">
        <w:t>as a whole</w:t>
      </w:r>
      <w:r>
        <w:t xml:space="preserve"> (figure</w:t>
      </w:r>
      <w:r w:rsidR="000C1641">
        <w:t> </w:t>
      </w:r>
      <w:r w:rsidR="00E257AB">
        <w:t>3.7</w:t>
      </w:r>
      <w:r>
        <w:t xml:space="preserve">). </w:t>
      </w:r>
      <w:r w:rsidR="00BC2365" w:rsidRPr="00CC0019">
        <w:t xml:space="preserve">Petroleum, coal, chemical </w:t>
      </w:r>
      <w:r w:rsidR="00BC2365">
        <w:t>and</w:t>
      </w:r>
      <w:r w:rsidR="00BC2365" w:rsidRPr="00CC0019">
        <w:t xml:space="preserve"> rubber products</w:t>
      </w:r>
      <w:r w:rsidR="00CC4CF4">
        <w:t xml:space="preserve">, </w:t>
      </w:r>
      <w:r w:rsidR="00BC2365">
        <w:t>Food, beverage and tobacco products</w:t>
      </w:r>
      <w:r w:rsidR="00CC4CF4">
        <w:t xml:space="preserve"> and </w:t>
      </w:r>
      <w:r w:rsidR="00BC2365">
        <w:t>Metal products</w:t>
      </w:r>
      <w:r w:rsidR="00CC4CF4">
        <w:t xml:space="preserve"> were</w:t>
      </w:r>
      <w:r>
        <w:t xml:space="preserve"> the most significant contributors to </w:t>
      </w:r>
      <w:r w:rsidR="004E1B85">
        <w:t xml:space="preserve">the </w:t>
      </w:r>
      <w:r>
        <w:lastRenderedPageBreak/>
        <w:t>MFP decline in cycle 4</w:t>
      </w:r>
      <w:r w:rsidR="004E1B85">
        <w:t>. Collectively</w:t>
      </w:r>
      <w:r>
        <w:t xml:space="preserve">, </w:t>
      </w:r>
      <w:r w:rsidR="004E1B85">
        <w:t>they</w:t>
      </w:r>
      <w:r>
        <w:t xml:space="preserve"> accounted for almost two thirds of the decline in </w:t>
      </w:r>
      <w:r w:rsidR="00DC5BD7">
        <w:t>Manufacturing</w:t>
      </w:r>
      <w:r>
        <w:t xml:space="preserve"> MFP</w:t>
      </w:r>
      <w:r w:rsidR="00B225EE">
        <w:t xml:space="preserve"> between the last two complete cycles</w:t>
      </w:r>
      <w:r w:rsidR="00EF744D">
        <w:t>.</w:t>
      </w:r>
      <w:r w:rsidR="008D4F61">
        <w:rPr>
          <w:rStyle w:val="FootnoteReference"/>
        </w:rPr>
        <w:footnoteReference w:id="6"/>
      </w:r>
    </w:p>
    <w:p w:rsidR="007310E3" w:rsidRDefault="004E1B85" w:rsidP="0080137B">
      <w:pPr>
        <w:pStyle w:val="BodyText"/>
        <w:spacing w:before="200"/>
      </w:pPr>
      <w:r w:rsidRPr="00CC0019">
        <w:t xml:space="preserve">Petroleum, coal, chemical </w:t>
      </w:r>
      <w:r>
        <w:t>and</w:t>
      </w:r>
      <w:r w:rsidRPr="00CC0019">
        <w:t xml:space="preserve"> rubber products</w:t>
      </w:r>
      <w:r>
        <w:t xml:space="preserve"> and </w:t>
      </w:r>
      <w:r w:rsidR="00BC2365">
        <w:t>Food, beverage and tobacco products</w:t>
      </w:r>
      <w:r w:rsidR="007310E3">
        <w:t xml:space="preserve"> </w:t>
      </w:r>
      <w:r>
        <w:t xml:space="preserve">made large contributions </w:t>
      </w:r>
      <w:r w:rsidR="007310E3">
        <w:t>principally because of poor performance in cycle</w:t>
      </w:r>
      <w:r>
        <w:t> </w:t>
      </w:r>
      <w:r w:rsidR="001E176A">
        <w:t>4</w:t>
      </w:r>
      <w:r w:rsidR="007310E3">
        <w:t>, rather than falling from a strong performance in cycle</w:t>
      </w:r>
      <w:r w:rsidR="001E176A">
        <w:t xml:space="preserve"> 3</w:t>
      </w:r>
      <w:r w:rsidR="007310E3">
        <w:t xml:space="preserve">. This is </w:t>
      </w:r>
      <w:r w:rsidR="004F6A73">
        <w:t xml:space="preserve">in contrast </w:t>
      </w:r>
      <w:r w:rsidR="007310E3">
        <w:t>to t</w:t>
      </w:r>
      <w:r w:rsidR="00F36ADF">
        <w:t>he third largest contribut</w:t>
      </w:r>
      <w:r w:rsidR="001E176A">
        <w:t xml:space="preserve">or, </w:t>
      </w:r>
      <w:r w:rsidR="00BC2365">
        <w:t>Metal products</w:t>
      </w:r>
      <w:r w:rsidR="001E176A">
        <w:t xml:space="preserve">, which </w:t>
      </w:r>
      <w:r w:rsidR="007310E3">
        <w:t>had strong productivity performance in cycle</w:t>
      </w:r>
      <w:r w:rsidR="001E176A">
        <w:t xml:space="preserve"> 3</w:t>
      </w:r>
      <w:r w:rsidR="004F6A73">
        <w:t>,</w:t>
      </w:r>
      <w:r w:rsidR="007310E3">
        <w:t xml:space="preserve"> followed by a sharp decline in cycle</w:t>
      </w:r>
      <w:r w:rsidR="001E176A">
        <w:t xml:space="preserve"> 4</w:t>
      </w:r>
      <w:r w:rsidR="007310E3">
        <w:t>.</w:t>
      </w:r>
    </w:p>
    <w:p w:rsidR="007310E3" w:rsidRDefault="007310E3" w:rsidP="007310E3">
      <w:pPr>
        <w:pStyle w:val="FigureTitle"/>
      </w:pPr>
      <w:r>
        <w:rPr>
          <w:b w:val="0"/>
        </w:rPr>
        <w:t xml:space="preserve">Figure </w:t>
      </w:r>
      <w:bookmarkStart w:id="15" w:name="OLE_LINK7"/>
      <w:r w:rsidR="00E257AB">
        <w:rPr>
          <w:b w:val="0"/>
        </w:rPr>
        <w:t>3.</w:t>
      </w:r>
      <w:r w:rsidR="003538B8">
        <w:rPr>
          <w:b w:val="0"/>
          <w:noProof/>
        </w:rPr>
        <w:t>7</w:t>
      </w:r>
      <w:bookmarkEnd w:id="15"/>
      <w:r>
        <w:tab/>
        <w:t xml:space="preserve">Subsector contributions to </w:t>
      </w:r>
      <w:r w:rsidR="00032914">
        <w:t xml:space="preserve">the </w:t>
      </w:r>
      <w:r>
        <w:t xml:space="preserve">change in </w:t>
      </w:r>
      <w:r w:rsidR="00DC5BD7">
        <w:t>Manufacturing</w:t>
      </w:r>
      <w:r>
        <w:t xml:space="preserve"> MFP </w:t>
      </w:r>
      <w:r w:rsidR="00032914">
        <w:t xml:space="preserve">growth </w:t>
      </w:r>
      <w:r>
        <w:t>between cycles 3 and 4</w:t>
      </w:r>
    </w:p>
    <w:p w:rsidR="007310E3" w:rsidRDefault="007123F9" w:rsidP="007310E3">
      <w:pPr>
        <w:pStyle w:val="Subtitle"/>
      </w:pPr>
      <w:r>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0E3" w:rsidTr="007423CC">
        <w:tc>
          <w:tcPr>
            <w:tcW w:w="8777" w:type="dxa"/>
          </w:tcPr>
          <w:p w:rsidR="007310E3" w:rsidRDefault="00AF5615" w:rsidP="004553EA">
            <w:pPr>
              <w:pStyle w:val="Figure"/>
              <w:spacing w:before="60" w:after="60"/>
            </w:pPr>
            <w:r>
              <w:rPr>
                <w:noProof/>
              </w:rPr>
              <w:pict>
                <v:shape id="_x0000_i1038" type="#_x0000_t75" alt="This figure shows that between cycles 3 and 4, all but subsectors, with the exception of WP, made a negative contribution to the decline in MFP for Manufacturing as a whole. PCCR (-0.81), FBT ( 0.73) and MP (-0.42) were the most significant contributors to MFP decline between cycles." style="width:424.5pt;height:197.25pt">
                  <v:imagedata r:id="rId22" o:title=""/>
                </v:shape>
              </w:pict>
            </w:r>
          </w:p>
        </w:tc>
      </w:tr>
    </w:tbl>
    <w:p w:rsidR="007310E3" w:rsidRPr="0050427A" w:rsidRDefault="007310E3" w:rsidP="007310E3">
      <w:pPr>
        <w:pStyle w:val="Source"/>
      </w:pPr>
      <w:r>
        <w:rPr>
          <w:i/>
        </w:rPr>
        <w:t>Data source</w:t>
      </w:r>
      <w:r w:rsidRPr="00167F06">
        <w:t xml:space="preserve">: </w:t>
      </w:r>
      <w:r>
        <w:t>Authors’ estimates.</w:t>
      </w:r>
    </w:p>
    <w:p w:rsidR="007310E3" w:rsidRDefault="007310E3" w:rsidP="007E0F52">
      <w:pPr>
        <w:pStyle w:val="BodyText"/>
      </w:pPr>
      <w:r w:rsidRPr="00E11023">
        <w:rPr>
          <w:rStyle w:val="BodyTextChar"/>
        </w:rPr>
        <w:t>The contribution</w:t>
      </w:r>
      <w:r>
        <w:t xml:space="preserve"> of a subsector to the change in </w:t>
      </w:r>
      <w:r w:rsidR="00DC5BD7">
        <w:t>Manufacturing</w:t>
      </w:r>
      <w:r>
        <w:t xml:space="preserve"> MFP growth is a combination of </w:t>
      </w:r>
      <w:r w:rsidR="004F6A73">
        <w:t xml:space="preserve">the </w:t>
      </w:r>
      <w:r>
        <w:t xml:space="preserve">change in its MFP growth and </w:t>
      </w:r>
      <w:r w:rsidR="004F6A73">
        <w:t xml:space="preserve">the </w:t>
      </w:r>
      <w:r>
        <w:t>change in its relative size (</w:t>
      </w:r>
      <w:r w:rsidR="004F6A73">
        <w:t xml:space="preserve">the latter reflecting </w:t>
      </w:r>
      <w:r>
        <w:t xml:space="preserve">changes in the </w:t>
      </w:r>
      <w:r w:rsidR="001A1E8E">
        <w:t xml:space="preserve">subsector </w:t>
      </w:r>
      <w:r>
        <w:t xml:space="preserve">composition of </w:t>
      </w:r>
      <w:r w:rsidR="007631ED">
        <w:t xml:space="preserve">the </w:t>
      </w:r>
      <w:r w:rsidR="00DC5BD7">
        <w:t>Manufacturing</w:t>
      </w:r>
      <w:r w:rsidR="007631ED">
        <w:t xml:space="preserve"> sector</w:t>
      </w:r>
      <w:r>
        <w:t xml:space="preserve">). Between cycles 3 and 4, </w:t>
      </w:r>
      <w:r w:rsidR="004F6A73">
        <w:t xml:space="preserve">however, </w:t>
      </w:r>
      <w:r>
        <w:t xml:space="preserve">change in the composition of </w:t>
      </w:r>
      <w:r w:rsidR="00DC5BD7">
        <w:t>Manufacturing</w:t>
      </w:r>
      <w:r>
        <w:t xml:space="preserve"> </w:t>
      </w:r>
      <w:r w:rsidR="001A1E8E">
        <w:t>between subsectors</w:t>
      </w:r>
      <w:r w:rsidR="004F6A73">
        <w:rPr>
          <w:rStyle w:val="FootnoteReference"/>
        </w:rPr>
        <w:footnoteReference w:id="7"/>
      </w:r>
      <w:r w:rsidR="001A1E8E">
        <w:t xml:space="preserve"> </w:t>
      </w:r>
      <w:r w:rsidR="00F36ADF">
        <w:t>made</w:t>
      </w:r>
      <w:r>
        <w:t xml:space="preserve"> little contribution to the</w:t>
      </w:r>
      <w:r w:rsidR="00F36ADF">
        <w:t xml:space="preserve"> change in</w:t>
      </w:r>
      <w:r>
        <w:t xml:space="preserve"> </w:t>
      </w:r>
      <w:r w:rsidR="00DC5BD7">
        <w:t>Manufacturing</w:t>
      </w:r>
      <w:r>
        <w:t xml:space="preserve"> MFP, accounting for only </w:t>
      </w:r>
      <w:r w:rsidR="00672896">
        <w:t>0.04 of a percentage point</w:t>
      </w:r>
      <w:r>
        <w:t xml:space="preserve"> of the decline in </w:t>
      </w:r>
      <w:r w:rsidR="00680E4D">
        <w:t xml:space="preserve">total </w:t>
      </w:r>
      <w:r w:rsidR="00DC5BD7">
        <w:t>Manufacturing</w:t>
      </w:r>
      <w:r w:rsidR="00680E4D">
        <w:t xml:space="preserve"> MFP</w:t>
      </w:r>
      <w:r w:rsidR="0003177B">
        <w:t xml:space="preserve"> (</w:t>
      </w:r>
      <w:r w:rsidR="00672896">
        <w:t xml:space="preserve">box </w:t>
      </w:r>
      <w:proofErr w:type="spellStart"/>
      <w:r w:rsidR="00672896">
        <w:t>D.1</w:t>
      </w:r>
      <w:proofErr w:type="spellEnd"/>
      <w:r w:rsidR="0003177B">
        <w:t>)</w:t>
      </w:r>
      <w:r>
        <w:t>.</w:t>
      </w:r>
    </w:p>
    <w:p w:rsidR="007310E3" w:rsidRDefault="00E257AB" w:rsidP="00EF78B2">
      <w:pPr>
        <w:pStyle w:val="Heading2"/>
      </w:pPr>
      <w:bookmarkStart w:id="16" w:name="OLE_LINK21"/>
      <w:r>
        <w:lastRenderedPageBreak/>
        <w:t>3.</w:t>
      </w:r>
      <w:r w:rsidR="003538B8">
        <w:rPr>
          <w:noProof/>
        </w:rPr>
        <w:t>3</w:t>
      </w:r>
      <w:bookmarkEnd w:id="16"/>
      <w:r w:rsidR="007310E3" w:rsidRPr="00DC55E5">
        <w:tab/>
      </w:r>
      <w:r w:rsidR="007310E3">
        <w:t>Proximate causes of subsector MFP growth</w:t>
      </w:r>
    </w:p>
    <w:p w:rsidR="00862204" w:rsidRDefault="000515F7" w:rsidP="00FC220E">
      <w:pPr>
        <w:pStyle w:val="BodyText"/>
      </w:pPr>
      <w:r w:rsidRPr="00FC220E">
        <w:t xml:space="preserve">The </w:t>
      </w:r>
      <w:r w:rsidR="00DC5BD7">
        <w:t>Manufacturing</w:t>
      </w:r>
      <w:r w:rsidRPr="00FC220E">
        <w:t xml:space="preserve"> subsectors have had different sources of positive and negative MFP growth over time.</w:t>
      </w:r>
      <w:r w:rsidR="00E47DC7">
        <w:t xml:space="preserve"> </w:t>
      </w:r>
      <w:r w:rsidR="00862204">
        <w:t>Table</w:t>
      </w:r>
      <w:r w:rsidR="00EA603F">
        <w:t> </w:t>
      </w:r>
      <w:r w:rsidR="00E257AB">
        <w:t>3.4</w:t>
      </w:r>
      <w:r w:rsidR="00862204">
        <w:t xml:space="preserve"> shows growth in each of the proximate causes and MFP by subsector in cycles 3 and 4 and in the incomplete cycle. </w:t>
      </w:r>
    </w:p>
    <w:p w:rsidR="008B667D" w:rsidRDefault="008B667D" w:rsidP="008B667D">
      <w:pPr>
        <w:pStyle w:val="BodyText"/>
      </w:pPr>
      <w:r w:rsidRPr="00FB320C">
        <w:t xml:space="preserve">In cycle 3, most subsectors had positive MFP growth through positive </w:t>
      </w:r>
      <w:r>
        <w:t>value added</w:t>
      </w:r>
      <w:r w:rsidRPr="00FB320C">
        <w:t xml:space="preserve"> growth and labour shedding</w:t>
      </w:r>
      <w:r>
        <w:t xml:space="preserve"> that </w:t>
      </w:r>
      <w:r w:rsidRPr="00FB320C">
        <w:t xml:space="preserve">offset positive </w:t>
      </w:r>
      <w:r>
        <w:t xml:space="preserve">growth in </w:t>
      </w:r>
      <w:r w:rsidRPr="00FB320C">
        <w:t>capital inputs. In cycle 4, the negative MFP growth in most subsectors was associated with low or negative</w:t>
      </w:r>
      <w:r>
        <w:t xml:space="preserve"> value added growth</w:t>
      </w:r>
      <w:r w:rsidRPr="00FB320C">
        <w:t xml:space="preserve"> in the face of strong growth </w:t>
      </w:r>
      <w:r>
        <w:t xml:space="preserve">in </w:t>
      </w:r>
      <w:r w:rsidRPr="00FB320C">
        <w:t xml:space="preserve">capital inputs, and, for some subsectors, positive growth in labour inputs. Some subsectors did experience a contraction in labour inputs, but this was generally to a lesser extent than in cycle 3. </w:t>
      </w:r>
    </w:p>
    <w:p w:rsidR="008B667D" w:rsidRDefault="008B667D" w:rsidP="008B667D">
      <w:pPr>
        <w:pStyle w:val="BodyText"/>
      </w:pPr>
      <w:r w:rsidRPr="00FB320C">
        <w:t>In the incomplete cycle, there were mixed results for subsector MFP. V</w:t>
      </w:r>
      <w:r>
        <w:t>alue added</w:t>
      </w:r>
      <w:r w:rsidRPr="00FB320C">
        <w:t xml:space="preserve"> contracted in even more subsectors and capital continued to grow in all subsectors. But there was an offsetting fall in labour inputs in some subsectors. While some of the smaller subsectors experienced a sharp MFP decline, in other subsectors the MFP decline slowed or there was a return to positive rates of growth.</w:t>
      </w:r>
    </w:p>
    <w:p w:rsidR="00320CE5" w:rsidRDefault="00862204" w:rsidP="00862204">
      <w:pPr>
        <w:pStyle w:val="BodyText"/>
      </w:pPr>
      <w:r>
        <w:t xml:space="preserve">To relate these subsector-specific trends </w:t>
      </w:r>
      <w:r w:rsidR="004433B5">
        <w:t xml:space="preserve">in proximate causes </w:t>
      </w:r>
      <w:r>
        <w:t xml:space="preserve">back to the whole of </w:t>
      </w:r>
      <w:r w:rsidR="00DC5BD7">
        <w:t>Manufacturing</w:t>
      </w:r>
      <w:r>
        <w:t>, figure</w:t>
      </w:r>
      <w:r w:rsidR="00EA603F">
        <w:t> </w:t>
      </w:r>
      <w:r w:rsidR="00E257AB">
        <w:t>3.8</w:t>
      </w:r>
      <w:r>
        <w:t xml:space="preserve"> shows the </w:t>
      </w:r>
      <w:r w:rsidRPr="00490265">
        <w:rPr>
          <w:i/>
        </w:rPr>
        <w:t>contributions</w:t>
      </w:r>
      <w:r>
        <w:t xml:space="preserve"> of each of the subsectors to the change in </w:t>
      </w:r>
      <w:r w:rsidR="0063615A">
        <w:t>value added</w:t>
      </w:r>
      <w:r>
        <w:t xml:space="preserve">, labour and capital inputs </w:t>
      </w:r>
      <w:r w:rsidR="00680E4D">
        <w:t>for</w:t>
      </w:r>
      <w:r>
        <w:t xml:space="preserve"> </w:t>
      </w:r>
      <w:r w:rsidR="00DC5BD7">
        <w:t>Manufacturing</w:t>
      </w:r>
      <w:r>
        <w:t xml:space="preserve"> </w:t>
      </w:r>
      <w:r w:rsidR="00680E4D">
        <w:t xml:space="preserve">in total </w:t>
      </w:r>
      <w:r w:rsidR="0057340D">
        <w:t xml:space="preserve">between </w:t>
      </w:r>
      <w:r>
        <w:t>the last two complete cycles.</w:t>
      </w:r>
      <w:r w:rsidR="008C168B">
        <w:rPr>
          <w:rStyle w:val="FootnoteReference"/>
        </w:rPr>
        <w:footnoteReference w:id="8"/>
      </w:r>
      <w:r>
        <w:t xml:space="preserve"> While most subsectors contributed to the</w:t>
      </w:r>
      <w:r w:rsidR="0087237B">
        <w:t xml:space="preserve"> </w:t>
      </w:r>
      <w:r w:rsidR="00DC5BD7">
        <w:t>Manufacturing</w:t>
      </w:r>
      <w:r w:rsidR="0087237B">
        <w:t xml:space="preserve"> MFP decline through</w:t>
      </w:r>
      <w:r>
        <w:t xml:space="preserve"> decline</w:t>
      </w:r>
      <w:r w:rsidR="0087237B">
        <w:t>s</w:t>
      </w:r>
      <w:r>
        <w:t xml:space="preserve"> in </w:t>
      </w:r>
      <w:r w:rsidR="0063615A">
        <w:t>value added</w:t>
      </w:r>
      <w:r>
        <w:t xml:space="preserve"> growth, the</w:t>
      </w:r>
      <w:r w:rsidR="004433B5">
        <w:t>ir</w:t>
      </w:r>
      <w:r>
        <w:t xml:space="preserve"> contributions to the increase </w:t>
      </w:r>
      <w:r w:rsidR="0087237B">
        <w:t>in capital and labour inputs were</w:t>
      </w:r>
      <w:r>
        <w:t xml:space="preserve"> more concentrated. </w:t>
      </w:r>
    </w:p>
    <w:p w:rsidR="00DC7927" w:rsidRDefault="006524D1" w:rsidP="00320CE5">
      <w:pPr>
        <w:pStyle w:val="ListBullet"/>
      </w:pPr>
      <w:r>
        <w:t>Most subsectors contributed between 0.2 to 0.4</w:t>
      </w:r>
      <w:r w:rsidR="00A4294C">
        <w:t xml:space="preserve"> of a percentage point</w:t>
      </w:r>
      <w:r>
        <w:t xml:space="preserve"> to the decline in </w:t>
      </w:r>
      <w:r w:rsidR="0063615A">
        <w:t>value added</w:t>
      </w:r>
      <w:r>
        <w:t xml:space="preserve"> growth. </w:t>
      </w:r>
      <w:r w:rsidR="001B2B9E">
        <w:t>The</w:t>
      </w:r>
      <w:r w:rsidR="0057340D">
        <w:t>se</w:t>
      </w:r>
      <w:r w:rsidR="001B2B9E">
        <w:t xml:space="preserve"> negative contributions were offset, to some extent</w:t>
      </w:r>
      <w:r w:rsidR="001E422B">
        <w:t xml:space="preserve">, by </w:t>
      </w:r>
      <w:r w:rsidR="001B2B9E">
        <w:t xml:space="preserve">a large positive contribution from </w:t>
      </w:r>
      <w:r w:rsidR="00BC2365">
        <w:t>Metal products</w:t>
      </w:r>
      <w:r w:rsidR="001B2B9E">
        <w:t xml:space="preserve"> (0.7 </w:t>
      </w:r>
      <w:r w:rsidR="00A4294C">
        <w:t xml:space="preserve">of a </w:t>
      </w:r>
      <w:r w:rsidR="001B2B9E">
        <w:t>percentage</w:t>
      </w:r>
      <w:r w:rsidR="00A4294C">
        <w:t xml:space="preserve"> point</w:t>
      </w:r>
      <w:r w:rsidR="001B2B9E">
        <w:t>)</w:t>
      </w:r>
      <w:r>
        <w:t xml:space="preserve">. </w:t>
      </w:r>
    </w:p>
    <w:p w:rsidR="00DC7927" w:rsidRDefault="00BC2365" w:rsidP="00320CE5">
      <w:pPr>
        <w:pStyle w:val="ListBullet"/>
      </w:pPr>
      <w:r>
        <w:t>Metal products</w:t>
      </w:r>
      <w:r w:rsidR="00862204">
        <w:t xml:space="preserve"> and </w:t>
      </w:r>
      <w:r w:rsidRPr="00CC0019">
        <w:t xml:space="preserve">Petroleum, coal, chemical </w:t>
      </w:r>
      <w:r>
        <w:t>and</w:t>
      </w:r>
      <w:r w:rsidRPr="00CC0019">
        <w:t xml:space="preserve"> rubber products</w:t>
      </w:r>
      <w:r w:rsidR="00862204">
        <w:t xml:space="preserve"> made by far the largest contributions to the capital input surge between cycles 3 and 4</w:t>
      </w:r>
      <w:r w:rsidR="00DC7927">
        <w:t xml:space="preserve">. </w:t>
      </w:r>
      <w:r>
        <w:t>Food, beverage and tobacco products</w:t>
      </w:r>
      <w:r w:rsidR="00DC7927">
        <w:t xml:space="preserve"> mad</w:t>
      </w:r>
      <w:r w:rsidR="001E422B">
        <w:t>e a small negative contribution, but this largely offset the small positive contributions of the remaining subsectors.</w:t>
      </w:r>
    </w:p>
    <w:p w:rsidR="00DC7927" w:rsidRDefault="004433B5" w:rsidP="00DC7927">
      <w:pPr>
        <w:pStyle w:val="ListBullet"/>
      </w:pPr>
      <w:r>
        <w:t xml:space="preserve">In terms of </w:t>
      </w:r>
      <w:r w:rsidR="00DC7927">
        <w:t xml:space="preserve">labour inputs growth, the spread of the subsector contributions was slightly wider, but still dominated by the larger positive contributions (from </w:t>
      </w:r>
      <w:r w:rsidR="00BC2365">
        <w:t>Food, beverage and tobacco products</w:t>
      </w:r>
      <w:r w:rsidR="00DC7927">
        <w:t xml:space="preserve"> and </w:t>
      </w:r>
      <w:r w:rsidR="00BC2365">
        <w:t>Metal products</w:t>
      </w:r>
      <w:r w:rsidR="00DC7927">
        <w:t xml:space="preserve">), and a </w:t>
      </w:r>
      <w:r w:rsidR="0086565C">
        <w:t>sizable</w:t>
      </w:r>
      <w:r w:rsidR="00DC7927">
        <w:t xml:space="preserve">, offsetting negative contribution from </w:t>
      </w:r>
      <w:r w:rsidR="00BC2365" w:rsidRPr="00CC0019">
        <w:t xml:space="preserve">Wood </w:t>
      </w:r>
      <w:r w:rsidR="00BC2365">
        <w:t>and</w:t>
      </w:r>
      <w:r w:rsidR="00BC2365" w:rsidRPr="00CC0019">
        <w:t xml:space="preserve"> paper products</w:t>
      </w:r>
      <w:r w:rsidR="00DC7927">
        <w:t>.</w:t>
      </w:r>
    </w:p>
    <w:p w:rsidR="007E73E4" w:rsidRDefault="007E73E4">
      <w:pPr>
        <w:rPr>
          <w:szCs w:val="20"/>
        </w:rPr>
      </w:pPr>
      <w:r>
        <w:br w:type="page"/>
      </w:r>
    </w:p>
    <w:p w:rsidR="007E73E4" w:rsidRDefault="007E73E4" w:rsidP="007E73E4">
      <w:pPr>
        <w:pStyle w:val="TableTitle"/>
        <w:spacing w:before="320"/>
      </w:pPr>
      <w:r>
        <w:rPr>
          <w:b w:val="0"/>
        </w:rPr>
        <w:lastRenderedPageBreak/>
        <w:t xml:space="preserve">Table </w:t>
      </w:r>
      <w:bookmarkStart w:id="17" w:name="OLE_LINK8"/>
      <w:r>
        <w:rPr>
          <w:b w:val="0"/>
        </w:rPr>
        <w:t>3.</w:t>
      </w:r>
      <w:r>
        <w:rPr>
          <w:b w:val="0"/>
          <w:noProof/>
        </w:rPr>
        <w:t>4</w:t>
      </w:r>
      <w:bookmarkEnd w:id="17"/>
      <w:r>
        <w:tab/>
        <w:t>Proximate causes of subsector MFP growth by cycle</w:t>
      </w:r>
    </w:p>
    <w:p w:rsidR="007E73E4" w:rsidRDefault="007E73E4" w:rsidP="007E73E4">
      <w:pPr>
        <w:pStyle w:val="Subtitle"/>
      </w:pPr>
      <w:r>
        <w:t>Average annual growth rate (per cent)</w:t>
      </w:r>
    </w:p>
    <w:tbl>
      <w:tblPr>
        <w:tblW w:w="5000" w:type="pct"/>
        <w:tblCellMar>
          <w:left w:w="0" w:type="dxa"/>
          <w:right w:w="0" w:type="dxa"/>
        </w:tblCellMar>
        <w:tblLook w:val="0000" w:firstRow="0" w:lastRow="0" w:firstColumn="0" w:lastColumn="0" w:noHBand="0" w:noVBand="0"/>
      </w:tblPr>
      <w:tblGrid>
        <w:gridCol w:w="3005"/>
        <w:gridCol w:w="1445"/>
        <w:gridCol w:w="1447"/>
        <w:gridCol w:w="1447"/>
        <w:gridCol w:w="1445"/>
      </w:tblGrid>
      <w:tr w:rsidR="007E73E4" w:rsidTr="00587EDC">
        <w:tc>
          <w:tcPr>
            <w:tcW w:w="1710" w:type="pct"/>
            <w:tcBorders>
              <w:top w:val="single" w:sz="6" w:space="0" w:color="auto"/>
              <w:bottom w:val="single" w:sz="6" w:space="0" w:color="auto"/>
            </w:tcBorders>
            <w:shd w:val="clear" w:color="auto" w:fill="auto"/>
            <w:vAlign w:val="bottom"/>
          </w:tcPr>
          <w:p w:rsidR="007E73E4" w:rsidRPr="00306F13" w:rsidRDefault="007E73E4" w:rsidP="00587EDC">
            <w:pPr>
              <w:pStyle w:val="TableColumnHeading"/>
              <w:spacing w:before="40" w:after="40" w:line="200" w:lineRule="atLeast"/>
              <w:jc w:val="left"/>
            </w:pPr>
            <w:r w:rsidRPr="00306F13">
              <w:t>Subsectors</w:t>
            </w:r>
          </w:p>
        </w:tc>
        <w:tc>
          <w:tcPr>
            <w:tcW w:w="822" w:type="pct"/>
            <w:tcBorders>
              <w:top w:val="single" w:sz="6" w:space="0" w:color="auto"/>
              <w:bottom w:val="single" w:sz="6" w:space="0" w:color="auto"/>
            </w:tcBorders>
            <w:shd w:val="clear" w:color="auto" w:fill="auto"/>
            <w:vAlign w:val="bottom"/>
          </w:tcPr>
          <w:p w:rsidR="007E73E4" w:rsidRPr="00306F13" w:rsidRDefault="007E73E4" w:rsidP="00587EDC">
            <w:pPr>
              <w:pStyle w:val="TableColumnHeading"/>
              <w:spacing w:before="40" w:after="40" w:line="200" w:lineRule="atLeast"/>
            </w:pPr>
            <w:r w:rsidRPr="00306F13">
              <w:t>V</w:t>
            </w:r>
            <w:r>
              <w:t xml:space="preserve">alue </w:t>
            </w:r>
            <w:r>
              <w:br/>
              <w:t>added</w:t>
            </w:r>
          </w:p>
        </w:tc>
        <w:tc>
          <w:tcPr>
            <w:tcW w:w="823" w:type="pct"/>
            <w:tcBorders>
              <w:top w:val="single" w:sz="6" w:space="0" w:color="auto"/>
              <w:bottom w:val="single" w:sz="6" w:space="0" w:color="auto"/>
            </w:tcBorders>
            <w:shd w:val="clear" w:color="auto" w:fill="auto"/>
            <w:vAlign w:val="bottom"/>
          </w:tcPr>
          <w:p w:rsidR="007E73E4" w:rsidRPr="007E07E8" w:rsidRDefault="007E73E4" w:rsidP="00587EDC">
            <w:pPr>
              <w:pStyle w:val="TableColumnHeading"/>
              <w:spacing w:before="40" w:after="40" w:line="200" w:lineRule="atLeast"/>
              <w:rPr>
                <w:rStyle w:val="DraftingNote"/>
                <w:b w:val="0"/>
                <w:color w:val="auto"/>
                <w:sz w:val="20"/>
                <w:u w:val="none"/>
              </w:rPr>
            </w:pPr>
            <w:r w:rsidRPr="00306F13">
              <w:t>Capital services</w:t>
            </w:r>
            <w:r w:rsidRPr="00257415">
              <w:rPr>
                <w:rStyle w:val="NoteLabel"/>
                <w:i w:val="0"/>
              </w:rPr>
              <w:t>a</w:t>
            </w:r>
          </w:p>
        </w:tc>
        <w:tc>
          <w:tcPr>
            <w:tcW w:w="823" w:type="pct"/>
            <w:tcBorders>
              <w:top w:val="single" w:sz="6" w:space="0" w:color="auto"/>
              <w:bottom w:val="single" w:sz="6" w:space="0" w:color="auto"/>
            </w:tcBorders>
            <w:shd w:val="clear" w:color="auto" w:fill="auto"/>
            <w:vAlign w:val="bottom"/>
          </w:tcPr>
          <w:p w:rsidR="007E73E4" w:rsidRPr="007E07E8" w:rsidRDefault="007E73E4" w:rsidP="00587EDC">
            <w:pPr>
              <w:pStyle w:val="TableColumnHeading"/>
              <w:spacing w:before="40" w:after="40" w:line="200" w:lineRule="atLeast"/>
              <w:rPr>
                <w:rStyle w:val="DraftingNote"/>
                <w:b w:val="0"/>
                <w:color w:val="auto"/>
                <w:sz w:val="20"/>
                <w:u w:val="none"/>
              </w:rPr>
            </w:pPr>
            <w:r w:rsidRPr="00306F13">
              <w:t xml:space="preserve">Hours </w:t>
            </w:r>
            <w:r>
              <w:br/>
            </w:r>
            <w:r w:rsidRPr="00306F13">
              <w:t>worked</w:t>
            </w:r>
            <w:r w:rsidRPr="00257415">
              <w:rPr>
                <w:rStyle w:val="NoteLabel"/>
                <w:i w:val="0"/>
              </w:rPr>
              <w:t>a</w:t>
            </w:r>
          </w:p>
        </w:tc>
        <w:tc>
          <w:tcPr>
            <w:tcW w:w="822" w:type="pct"/>
            <w:tcBorders>
              <w:top w:val="single" w:sz="6" w:space="0" w:color="auto"/>
              <w:bottom w:val="single" w:sz="6" w:space="0" w:color="auto"/>
            </w:tcBorders>
            <w:shd w:val="clear" w:color="auto" w:fill="auto"/>
            <w:vAlign w:val="bottom"/>
          </w:tcPr>
          <w:p w:rsidR="007E73E4" w:rsidRPr="00306F13" w:rsidRDefault="007E73E4" w:rsidP="00587EDC">
            <w:pPr>
              <w:pStyle w:val="TableColumnHeading"/>
              <w:spacing w:before="40" w:after="40" w:line="200" w:lineRule="atLeast"/>
            </w:pPr>
            <w:r w:rsidRPr="00306F13">
              <w:t>MFP</w:t>
            </w:r>
            <w:r w:rsidRPr="006407E5">
              <w:rPr>
                <w:rStyle w:val="NoteLabel"/>
                <w:i w:val="0"/>
              </w:rPr>
              <w:t>b</w:t>
            </w:r>
          </w:p>
        </w:tc>
      </w:tr>
      <w:tr w:rsidR="007E73E4" w:rsidRPr="00FC220E" w:rsidTr="00587EDC">
        <w:tc>
          <w:tcPr>
            <w:tcW w:w="5000" w:type="pct"/>
            <w:gridSpan w:val="5"/>
            <w:tcBorders>
              <w:top w:val="single" w:sz="6" w:space="0" w:color="auto"/>
            </w:tcBorders>
          </w:tcPr>
          <w:p w:rsidR="007E73E4" w:rsidRPr="00C82A98" w:rsidRDefault="007E73E4" w:rsidP="007E73E4">
            <w:pPr>
              <w:pStyle w:val="TableUnitsRow"/>
              <w:spacing w:before="240" w:after="40"/>
              <w:jc w:val="left"/>
              <w:rPr>
                <w:i/>
              </w:rPr>
            </w:pPr>
            <w:r w:rsidRPr="00C82A98">
              <w:rPr>
                <w:i/>
              </w:rPr>
              <w:t>Cycle 3 (1998-99 to 2003-04)</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Food, beverage &amp; </w:t>
            </w:r>
            <w:proofErr w:type="spellStart"/>
            <w:r>
              <w:t>tob</w:t>
            </w:r>
            <w:proofErr w:type="spellEnd"/>
            <w:r>
              <w:t>. products</w:t>
            </w:r>
          </w:p>
        </w:tc>
        <w:tc>
          <w:tcPr>
            <w:tcW w:w="822" w:type="pct"/>
            <w:shd w:val="clear" w:color="auto" w:fill="D9D9D9" w:themeFill="background1" w:themeFillShade="D9"/>
            <w:vAlign w:val="bottom"/>
          </w:tcPr>
          <w:p w:rsidR="007E73E4" w:rsidRDefault="007E73E4" w:rsidP="007E73E4">
            <w:pPr>
              <w:pStyle w:val="TableBodyText"/>
              <w:spacing w:before="40"/>
            </w:pPr>
            <w:r>
              <w:t>1.25</w:t>
            </w:r>
          </w:p>
        </w:tc>
        <w:tc>
          <w:tcPr>
            <w:tcW w:w="823" w:type="pct"/>
            <w:shd w:val="clear" w:color="auto" w:fill="D9D9D9" w:themeFill="background1" w:themeFillShade="D9"/>
            <w:vAlign w:val="bottom"/>
          </w:tcPr>
          <w:p w:rsidR="007E73E4" w:rsidRDefault="007E73E4" w:rsidP="007E73E4">
            <w:pPr>
              <w:pStyle w:val="TableBodyText"/>
              <w:spacing w:before="40"/>
            </w:pPr>
            <w:r>
              <w:t>2.33</w:t>
            </w:r>
          </w:p>
        </w:tc>
        <w:tc>
          <w:tcPr>
            <w:tcW w:w="823" w:type="pct"/>
            <w:shd w:val="clear" w:color="auto" w:fill="D9D9D9" w:themeFill="background1" w:themeFillShade="D9"/>
            <w:vAlign w:val="bottom"/>
          </w:tcPr>
          <w:p w:rsidR="007E73E4" w:rsidRDefault="007E73E4" w:rsidP="007E73E4">
            <w:pPr>
              <w:pStyle w:val="TableBodyText"/>
              <w:spacing w:before="40"/>
            </w:pPr>
            <w:r>
              <w:t>-0.53</w:t>
            </w:r>
          </w:p>
        </w:tc>
        <w:tc>
          <w:tcPr>
            <w:tcW w:w="822" w:type="pct"/>
            <w:shd w:val="clear" w:color="auto" w:fill="D9D9D9" w:themeFill="background1" w:themeFillShade="D9"/>
            <w:vAlign w:val="bottom"/>
          </w:tcPr>
          <w:p w:rsidR="007E73E4" w:rsidRDefault="007E73E4" w:rsidP="007E73E4">
            <w:pPr>
              <w:pStyle w:val="TableBodyText"/>
              <w:spacing w:before="40"/>
            </w:pPr>
            <w:r>
              <w:t>-0.53</w:t>
            </w:r>
          </w:p>
        </w:tc>
      </w:tr>
      <w:tr w:rsidR="007E73E4" w:rsidTr="00587EDC">
        <w:tc>
          <w:tcPr>
            <w:tcW w:w="1710" w:type="pct"/>
            <w:vAlign w:val="bottom"/>
          </w:tcPr>
          <w:p w:rsidR="007E73E4" w:rsidRDefault="007E73E4" w:rsidP="007E73E4">
            <w:pPr>
              <w:pStyle w:val="TableBodyText"/>
              <w:spacing w:before="40"/>
              <w:jc w:val="left"/>
            </w:pPr>
            <w:r>
              <w:t xml:space="preserve">Textile, clothing &amp; other </w:t>
            </w:r>
            <w:proofErr w:type="spellStart"/>
            <w:r>
              <w:t>mfg</w:t>
            </w:r>
            <w:proofErr w:type="spellEnd"/>
          </w:p>
        </w:tc>
        <w:tc>
          <w:tcPr>
            <w:tcW w:w="822" w:type="pct"/>
            <w:vAlign w:val="bottom"/>
          </w:tcPr>
          <w:p w:rsidR="007E73E4" w:rsidRDefault="007E73E4" w:rsidP="007E73E4">
            <w:pPr>
              <w:pStyle w:val="TableBodyText"/>
              <w:spacing w:before="40"/>
            </w:pPr>
            <w:r>
              <w:t>-1.87</w:t>
            </w:r>
          </w:p>
        </w:tc>
        <w:tc>
          <w:tcPr>
            <w:tcW w:w="823" w:type="pct"/>
            <w:vAlign w:val="bottom"/>
          </w:tcPr>
          <w:p w:rsidR="007E73E4" w:rsidRDefault="007E73E4" w:rsidP="007E73E4">
            <w:pPr>
              <w:pStyle w:val="TableBodyText"/>
              <w:spacing w:before="40"/>
            </w:pPr>
            <w:r>
              <w:t>0.07</w:t>
            </w:r>
          </w:p>
        </w:tc>
        <w:tc>
          <w:tcPr>
            <w:tcW w:w="823" w:type="pct"/>
            <w:vAlign w:val="bottom"/>
          </w:tcPr>
          <w:p w:rsidR="007E73E4" w:rsidRDefault="007E73E4" w:rsidP="007E73E4">
            <w:pPr>
              <w:pStyle w:val="TableBodyText"/>
              <w:spacing w:before="40"/>
            </w:pPr>
            <w:r>
              <w:t>-4.35</w:t>
            </w:r>
          </w:p>
        </w:tc>
        <w:tc>
          <w:tcPr>
            <w:tcW w:w="822" w:type="pct"/>
            <w:vAlign w:val="bottom"/>
          </w:tcPr>
          <w:p w:rsidR="007E73E4" w:rsidRDefault="007E73E4" w:rsidP="007E73E4">
            <w:pPr>
              <w:pStyle w:val="TableBodyText"/>
              <w:spacing w:before="40"/>
            </w:pPr>
            <w:r>
              <w:t>2.53</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Wood &amp; paper products</w:t>
            </w:r>
          </w:p>
        </w:tc>
        <w:tc>
          <w:tcPr>
            <w:tcW w:w="822" w:type="pct"/>
            <w:shd w:val="clear" w:color="auto" w:fill="D9D9D9" w:themeFill="background1" w:themeFillShade="D9"/>
            <w:vAlign w:val="bottom"/>
          </w:tcPr>
          <w:p w:rsidR="007E73E4" w:rsidRDefault="007E73E4" w:rsidP="007E73E4">
            <w:pPr>
              <w:pStyle w:val="TableBodyText"/>
              <w:spacing w:before="40"/>
            </w:pPr>
            <w:r>
              <w:t>2.27</w:t>
            </w:r>
          </w:p>
        </w:tc>
        <w:tc>
          <w:tcPr>
            <w:tcW w:w="823" w:type="pct"/>
            <w:shd w:val="clear" w:color="auto" w:fill="D9D9D9" w:themeFill="background1" w:themeFillShade="D9"/>
            <w:vAlign w:val="bottom"/>
          </w:tcPr>
          <w:p w:rsidR="007E73E4" w:rsidRDefault="007E73E4" w:rsidP="007E73E4">
            <w:pPr>
              <w:pStyle w:val="TableBodyText"/>
              <w:spacing w:before="40"/>
            </w:pPr>
            <w:r>
              <w:t>1.28</w:t>
            </w:r>
          </w:p>
        </w:tc>
        <w:tc>
          <w:tcPr>
            <w:tcW w:w="823" w:type="pct"/>
            <w:shd w:val="clear" w:color="auto" w:fill="D9D9D9" w:themeFill="background1" w:themeFillShade="D9"/>
            <w:vAlign w:val="bottom"/>
          </w:tcPr>
          <w:p w:rsidR="007E73E4" w:rsidRDefault="007E73E4" w:rsidP="007E73E4">
            <w:pPr>
              <w:pStyle w:val="TableBodyText"/>
              <w:spacing w:before="40"/>
            </w:pPr>
            <w:r>
              <w:t>2.14</w:t>
            </w:r>
          </w:p>
        </w:tc>
        <w:tc>
          <w:tcPr>
            <w:tcW w:w="822" w:type="pct"/>
            <w:shd w:val="clear" w:color="auto" w:fill="D9D9D9" w:themeFill="background1" w:themeFillShade="D9"/>
            <w:vAlign w:val="bottom"/>
          </w:tcPr>
          <w:p w:rsidR="007E73E4" w:rsidRDefault="007E73E4" w:rsidP="007E73E4">
            <w:pPr>
              <w:pStyle w:val="TableBodyText"/>
              <w:spacing w:before="40"/>
            </w:pPr>
            <w:r>
              <w:t>-1.13</w:t>
            </w:r>
          </w:p>
        </w:tc>
      </w:tr>
      <w:tr w:rsidR="007E73E4" w:rsidTr="00587EDC">
        <w:tc>
          <w:tcPr>
            <w:tcW w:w="1710" w:type="pct"/>
            <w:vAlign w:val="bottom"/>
          </w:tcPr>
          <w:p w:rsidR="007E73E4" w:rsidRDefault="007E73E4" w:rsidP="007E73E4">
            <w:pPr>
              <w:pStyle w:val="TableBodyText"/>
              <w:spacing w:before="40"/>
              <w:jc w:val="left"/>
            </w:pPr>
            <w:r>
              <w:t>Printing &amp; recorded media</w:t>
            </w:r>
          </w:p>
        </w:tc>
        <w:tc>
          <w:tcPr>
            <w:tcW w:w="822" w:type="pct"/>
            <w:vAlign w:val="bottom"/>
          </w:tcPr>
          <w:p w:rsidR="007E73E4" w:rsidRDefault="007E73E4" w:rsidP="007E73E4">
            <w:pPr>
              <w:pStyle w:val="TableBodyText"/>
              <w:spacing w:before="40"/>
            </w:pPr>
            <w:r>
              <w:t>6.25</w:t>
            </w:r>
          </w:p>
        </w:tc>
        <w:tc>
          <w:tcPr>
            <w:tcW w:w="823" w:type="pct"/>
            <w:vAlign w:val="bottom"/>
          </w:tcPr>
          <w:p w:rsidR="007E73E4" w:rsidRDefault="007E73E4" w:rsidP="007E73E4">
            <w:pPr>
              <w:pStyle w:val="TableBodyText"/>
              <w:spacing w:before="40"/>
            </w:pPr>
            <w:r>
              <w:t>1.18</w:t>
            </w:r>
          </w:p>
        </w:tc>
        <w:tc>
          <w:tcPr>
            <w:tcW w:w="823" w:type="pct"/>
            <w:vAlign w:val="bottom"/>
          </w:tcPr>
          <w:p w:rsidR="007E73E4" w:rsidRDefault="007E73E4" w:rsidP="007E73E4">
            <w:pPr>
              <w:pStyle w:val="TableBodyText"/>
              <w:spacing w:before="40"/>
            </w:pPr>
            <w:r>
              <w:t>-1.36</w:t>
            </w:r>
          </w:p>
        </w:tc>
        <w:tc>
          <w:tcPr>
            <w:tcW w:w="822" w:type="pct"/>
            <w:vAlign w:val="bottom"/>
          </w:tcPr>
          <w:p w:rsidR="007E73E4" w:rsidRDefault="007E73E4" w:rsidP="007E73E4">
            <w:pPr>
              <w:pStyle w:val="TableBodyText"/>
              <w:spacing w:before="40"/>
            </w:pPr>
            <w:r>
              <w:t>6.45</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Petrol., coal, chem. &amp; rubber </w:t>
            </w:r>
          </w:p>
        </w:tc>
        <w:tc>
          <w:tcPr>
            <w:tcW w:w="822" w:type="pct"/>
            <w:shd w:val="clear" w:color="auto" w:fill="D9D9D9" w:themeFill="background1" w:themeFillShade="D9"/>
            <w:vAlign w:val="bottom"/>
          </w:tcPr>
          <w:p w:rsidR="007E73E4" w:rsidRDefault="007E73E4" w:rsidP="007E73E4">
            <w:pPr>
              <w:pStyle w:val="TableBodyText"/>
              <w:spacing w:before="40"/>
            </w:pPr>
            <w:r>
              <w:t>1.79</w:t>
            </w:r>
          </w:p>
        </w:tc>
        <w:tc>
          <w:tcPr>
            <w:tcW w:w="823" w:type="pct"/>
            <w:shd w:val="clear" w:color="auto" w:fill="D9D9D9" w:themeFill="background1" w:themeFillShade="D9"/>
            <w:vAlign w:val="bottom"/>
          </w:tcPr>
          <w:p w:rsidR="007E73E4" w:rsidRDefault="007E73E4" w:rsidP="007E73E4">
            <w:pPr>
              <w:pStyle w:val="TableBodyText"/>
              <w:spacing w:before="40"/>
            </w:pPr>
            <w:r>
              <w:t>1.75</w:t>
            </w:r>
          </w:p>
        </w:tc>
        <w:tc>
          <w:tcPr>
            <w:tcW w:w="823" w:type="pct"/>
            <w:shd w:val="clear" w:color="auto" w:fill="D9D9D9" w:themeFill="background1" w:themeFillShade="D9"/>
            <w:vAlign w:val="bottom"/>
          </w:tcPr>
          <w:p w:rsidR="007E73E4" w:rsidRDefault="007E73E4" w:rsidP="007E73E4">
            <w:pPr>
              <w:pStyle w:val="TableBodyText"/>
              <w:spacing w:before="40"/>
            </w:pPr>
            <w:r>
              <w:t>-0.52</w:t>
            </w:r>
          </w:p>
        </w:tc>
        <w:tc>
          <w:tcPr>
            <w:tcW w:w="822" w:type="pct"/>
            <w:shd w:val="clear" w:color="auto" w:fill="D9D9D9" w:themeFill="background1" w:themeFillShade="D9"/>
            <w:vAlign w:val="bottom"/>
          </w:tcPr>
          <w:p w:rsidR="007E73E4" w:rsidRDefault="007E73E4" w:rsidP="007E73E4">
            <w:pPr>
              <w:pStyle w:val="TableBodyText"/>
              <w:spacing w:before="40"/>
            </w:pPr>
            <w:r>
              <w:t>0.57</w:t>
            </w:r>
          </w:p>
        </w:tc>
      </w:tr>
      <w:tr w:rsidR="007E73E4" w:rsidTr="00587EDC">
        <w:tc>
          <w:tcPr>
            <w:tcW w:w="1710" w:type="pct"/>
            <w:vAlign w:val="bottom"/>
          </w:tcPr>
          <w:p w:rsidR="007E73E4" w:rsidRDefault="007E73E4" w:rsidP="007E73E4">
            <w:pPr>
              <w:pStyle w:val="TableBodyText"/>
              <w:spacing w:before="40"/>
              <w:jc w:val="left"/>
            </w:pPr>
            <w:r>
              <w:t>Non-metallic mineral products</w:t>
            </w:r>
          </w:p>
        </w:tc>
        <w:tc>
          <w:tcPr>
            <w:tcW w:w="822" w:type="pct"/>
            <w:vAlign w:val="bottom"/>
          </w:tcPr>
          <w:p w:rsidR="007E73E4" w:rsidRDefault="007E73E4" w:rsidP="007E73E4">
            <w:pPr>
              <w:pStyle w:val="TableBodyText"/>
              <w:spacing w:before="40"/>
            </w:pPr>
            <w:r>
              <w:t>5.19</w:t>
            </w:r>
          </w:p>
        </w:tc>
        <w:tc>
          <w:tcPr>
            <w:tcW w:w="823" w:type="pct"/>
            <w:vAlign w:val="bottom"/>
          </w:tcPr>
          <w:p w:rsidR="007E73E4" w:rsidRDefault="007E73E4" w:rsidP="007E73E4">
            <w:pPr>
              <w:pStyle w:val="TableBodyText"/>
              <w:spacing w:before="40"/>
            </w:pPr>
            <w:r>
              <w:t>0.05</w:t>
            </w:r>
          </w:p>
        </w:tc>
        <w:tc>
          <w:tcPr>
            <w:tcW w:w="823" w:type="pct"/>
            <w:vAlign w:val="bottom"/>
          </w:tcPr>
          <w:p w:rsidR="007E73E4" w:rsidRDefault="007E73E4" w:rsidP="007E73E4">
            <w:pPr>
              <w:pStyle w:val="TableBodyText"/>
              <w:spacing w:before="40"/>
            </w:pPr>
            <w:r>
              <w:t>-1.12</w:t>
            </w:r>
          </w:p>
        </w:tc>
        <w:tc>
          <w:tcPr>
            <w:tcW w:w="822" w:type="pct"/>
            <w:vAlign w:val="bottom"/>
          </w:tcPr>
          <w:p w:rsidR="007E73E4" w:rsidRDefault="007E73E4" w:rsidP="007E73E4">
            <w:pPr>
              <w:pStyle w:val="TableBodyText"/>
              <w:spacing w:before="40"/>
            </w:pPr>
            <w:r>
              <w:t>6.33</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Metal products</w:t>
            </w:r>
          </w:p>
        </w:tc>
        <w:tc>
          <w:tcPr>
            <w:tcW w:w="822" w:type="pct"/>
            <w:shd w:val="clear" w:color="auto" w:fill="D9D9D9" w:themeFill="background1" w:themeFillShade="D9"/>
            <w:vAlign w:val="bottom"/>
          </w:tcPr>
          <w:p w:rsidR="007E73E4" w:rsidRDefault="007E73E4" w:rsidP="007E73E4">
            <w:pPr>
              <w:pStyle w:val="TableBodyText"/>
              <w:spacing w:before="40"/>
            </w:pPr>
            <w:r>
              <w:t>1.25</w:t>
            </w:r>
          </w:p>
        </w:tc>
        <w:tc>
          <w:tcPr>
            <w:tcW w:w="823" w:type="pct"/>
            <w:shd w:val="clear" w:color="auto" w:fill="D9D9D9" w:themeFill="background1" w:themeFillShade="D9"/>
            <w:vAlign w:val="bottom"/>
          </w:tcPr>
          <w:p w:rsidR="007E73E4" w:rsidRDefault="007E73E4" w:rsidP="007E73E4">
            <w:pPr>
              <w:pStyle w:val="TableBodyText"/>
              <w:spacing w:before="40"/>
            </w:pPr>
            <w:r>
              <w:t>1.30</w:t>
            </w:r>
          </w:p>
        </w:tc>
        <w:tc>
          <w:tcPr>
            <w:tcW w:w="823" w:type="pct"/>
            <w:shd w:val="clear" w:color="auto" w:fill="D9D9D9" w:themeFill="background1" w:themeFillShade="D9"/>
            <w:vAlign w:val="bottom"/>
          </w:tcPr>
          <w:p w:rsidR="007E73E4" w:rsidRDefault="007E73E4" w:rsidP="007E73E4">
            <w:pPr>
              <w:pStyle w:val="TableBodyText"/>
              <w:spacing w:before="40"/>
            </w:pPr>
            <w:r>
              <w:t>-1.47</w:t>
            </w:r>
          </w:p>
        </w:tc>
        <w:tc>
          <w:tcPr>
            <w:tcW w:w="822" w:type="pct"/>
            <w:shd w:val="clear" w:color="auto" w:fill="D9D9D9" w:themeFill="background1" w:themeFillShade="D9"/>
            <w:vAlign w:val="bottom"/>
          </w:tcPr>
          <w:p w:rsidR="007E73E4" w:rsidRDefault="007E73E4" w:rsidP="007E73E4">
            <w:pPr>
              <w:pStyle w:val="TableBodyText"/>
              <w:spacing w:before="40"/>
            </w:pPr>
            <w:r>
              <w:t>1.44</w:t>
            </w:r>
          </w:p>
        </w:tc>
      </w:tr>
      <w:tr w:rsidR="007E73E4" w:rsidTr="00587EDC">
        <w:tc>
          <w:tcPr>
            <w:tcW w:w="1710" w:type="pct"/>
            <w:vAlign w:val="bottom"/>
          </w:tcPr>
          <w:p w:rsidR="007E73E4" w:rsidRDefault="007E73E4" w:rsidP="007E73E4">
            <w:pPr>
              <w:pStyle w:val="TableBodyText"/>
              <w:spacing w:before="40"/>
              <w:jc w:val="left"/>
            </w:pPr>
            <w:r>
              <w:t xml:space="preserve">Machinery &amp; equipment </w:t>
            </w:r>
            <w:proofErr w:type="spellStart"/>
            <w:r>
              <w:t>mfg</w:t>
            </w:r>
            <w:proofErr w:type="spellEnd"/>
          </w:p>
        </w:tc>
        <w:tc>
          <w:tcPr>
            <w:tcW w:w="822" w:type="pct"/>
            <w:vAlign w:val="bottom"/>
          </w:tcPr>
          <w:p w:rsidR="007E73E4" w:rsidRDefault="007E73E4" w:rsidP="007E73E4">
            <w:pPr>
              <w:pStyle w:val="TableBodyText"/>
              <w:spacing w:before="40"/>
            </w:pPr>
            <w:r>
              <w:t>3.58</w:t>
            </w:r>
          </w:p>
        </w:tc>
        <w:tc>
          <w:tcPr>
            <w:tcW w:w="823" w:type="pct"/>
            <w:vAlign w:val="bottom"/>
          </w:tcPr>
          <w:p w:rsidR="007E73E4" w:rsidRDefault="007E73E4" w:rsidP="007E73E4">
            <w:pPr>
              <w:pStyle w:val="TableBodyText"/>
              <w:spacing w:before="40"/>
            </w:pPr>
            <w:r>
              <w:t>1.14</w:t>
            </w:r>
          </w:p>
        </w:tc>
        <w:tc>
          <w:tcPr>
            <w:tcW w:w="823" w:type="pct"/>
            <w:vAlign w:val="bottom"/>
          </w:tcPr>
          <w:p w:rsidR="007E73E4" w:rsidRDefault="007E73E4" w:rsidP="007E73E4">
            <w:pPr>
              <w:pStyle w:val="TableBodyText"/>
              <w:spacing w:before="40"/>
            </w:pPr>
            <w:r>
              <w:t>0.79</w:t>
            </w:r>
          </w:p>
        </w:tc>
        <w:tc>
          <w:tcPr>
            <w:tcW w:w="822" w:type="pct"/>
            <w:vAlign w:val="bottom"/>
          </w:tcPr>
          <w:p w:rsidR="007E73E4" w:rsidRDefault="007E73E4" w:rsidP="007E73E4">
            <w:pPr>
              <w:pStyle w:val="TableBodyText"/>
              <w:spacing w:before="40"/>
            </w:pPr>
            <w:r>
              <w:t>1.62</w:t>
            </w:r>
          </w:p>
        </w:tc>
      </w:tr>
      <w:tr w:rsidR="007E73E4" w:rsidRPr="00486618" w:rsidTr="00587EDC">
        <w:tc>
          <w:tcPr>
            <w:tcW w:w="1710" w:type="pct"/>
            <w:shd w:val="clear" w:color="auto" w:fill="D9D9D9" w:themeFill="background1" w:themeFillShade="D9"/>
            <w:vAlign w:val="bottom"/>
          </w:tcPr>
          <w:p w:rsidR="007E73E4" w:rsidRPr="00486618" w:rsidRDefault="007E73E4" w:rsidP="007E73E4">
            <w:pPr>
              <w:pStyle w:val="TableBodyText"/>
              <w:spacing w:before="40"/>
              <w:jc w:val="left"/>
              <w:rPr>
                <w:b/>
                <w:i/>
              </w:rPr>
            </w:pPr>
            <w:r w:rsidRPr="00486618">
              <w:rPr>
                <w:i/>
              </w:rPr>
              <w:t>Aggregate of subsectors</w:t>
            </w:r>
          </w:p>
        </w:tc>
        <w:tc>
          <w:tcPr>
            <w:tcW w:w="822"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2.02</w:t>
            </w:r>
          </w:p>
        </w:tc>
        <w:tc>
          <w:tcPr>
            <w:tcW w:w="823"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1.41</w:t>
            </w:r>
          </w:p>
        </w:tc>
        <w:tc>
          <w:tcPr>
            <w:tcW w:w="823"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-0.76</w:t>
            </w:r>
          </w:p>
        </w:tc>
        <w:tc>
          <w:tcPr>
            <w:tcW w:w="822"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1.37</w:t>
            </w:r>
          </w:p>
        </w:tc>
      </w:tr>
      <w:tr w:rsidR="007E73E4" w:rsidRPr="00C82A98" w:rsidTr="00587EDC">
        <w:tc>
          <w:tcPr>
            <w:tcW w:w="1710" w:type="pct"/>
            <w:tcBorders>
              <w:bottom w:val="dotted" w:sz="4" w:space="0" w:color="auto"/>
            </w:tcBorders>
            <w:vAlign w:val="bottom"/>
          </w:tcPr>
          <w:p w:rsidR="007E73E4" w:rsidRPr="00C82A98" w:rsidRDefault="007E73E4" w:rsidP="007E73E4">
            <w:pPr>
              <w:pStyle w:val="TableBodyText"/>
              <w:spacing w:before="40"/>
              <w:jc w:val="left"/>
              <w:rPr>
                <w:b/>
              </w:rPr>
            </w:pPr>
            <w:r>
              <w:rPr>
                <w:b/>
              </w:rPr>
              <w:t>T</w:t>
            </w:r>
            <w:r w:rsidRPr="00C82A98">
              <w:rPr>
                <w:b/>
              </w:rPr>
              <w:t xml:space="preserve">otal </w:t>
            </w:r>
            <w:r>
              <w:rPr>
                <w:b/>
              </w:rPr>
              <w:t>Manufacturing (ABS)</w:t>
            </w:r>
            <w:r w:rsidRPr="00C82A98">
              <w:rPr>
                <w:b/>
              </w:rPr>
              <w:t xml:space="preserve"> </w:t>
            </w:r>
          </w:p>
        </w:tc>
        <w:tc>
          <w:tcPr>
            <w:tcW w:w="822" w:type="pct"/>
            <w:tcBorders>
              <w:bottom w:val="dotted" w:sz="4" w:space="0" w:color="auto"/>
            </w:tcBorders>
            <w:vAlign w:val="bottom"/>
          </w:tcPr>
          <w:p w:rsidR="007E73E4" w:rsidRPr="00C82A98" w:rsidRDefault="007E73E4" w:rsidP="007E73E4">
            <w:pPr>
              <w:pStyle w:val="TableBodyText"/>
              <w:spacing w:before="40"/>
              <w:rPr>
                <w:b/>
              </w:rPr>
            </w:pPr>
            <w:r w:rsidRPr="00C82A98">
              <w:rPr>
                <w:b/>
              </w:rPr>
              <w:t>2.03</w:t>
            </w:r>
          </w:p>
        </w:tc>
        <w:tc>
          <w:tcPr>
            <w:tcW w:w="823" w:type="pct"/>
            <w:tcBorders>
              <w:bottom w:val="dotted" w:sz="4" w:space="0" w:color="auto"/>
            </w:tcBorders>
            <w:vAlign w:val="bottom"/>
          </w:tcPr>
          <w:p w:rsidR="007E73E4" w:rsidRPr="00C82A98" w:rsidRDefault="007E73E4" w:rsidP="007E73E4">
            <w:pPr>
              <w:pStyle w:val="TableBodyText"/>
              <w:spacing w:before="40"/>
              <w:rPr>
                <w:b/>
              </w:rPr>
            </w:pPr>
            <w:r w:rsidRPr="00C82A98">
              <w:rPr>
                <w:b/>
              </w:rPr>
              <w:t>1.41</w:t>
            </w:r>
          </w:p>
        </w:tc>
        <w:tc>
          <w:tcPr>
            <w:tcW w:w="823" w:type="pct"/>
            <w:tcBorders>
              <w:bottom w:val="dotted" w:sz="4" w:space="0" w:color="auto"/>
            </w:tcBorders>
            <w:vAlign w:val="bottom"/>
          </w:tcPr>
          <w:p w:rsidR="007E73E4" w:rsidRPr="00C82A98" w:rsidRDefault="007E73E4" w:rsidP="007E73E4">
            <w:pPr>
              <w:pStyle w:val="TableBodyText"/>
              <w:spacing w:before="40"/>
              <w:rPr>
                <w:b/>
              </w:rPr>
            </w:pPr>
            <w:r w:rsidRPr="00C82A98">
              <w:rPr>
                <w:b/>
              </w:rPr>
              <w:t>-0.72</w:t>
            </w:r>
          </w:p>
        </w:tc>
        <w:tc>
          <w:tcPr>
            <w:tcW w:w="822" w:type="pct"/>
            <w:tcBorders>
              <w:bottom w:val="dotted" w:sz="4" w:space="0" w:color="auto"/>
            </w:tcBorders>
            <w:vAlign w:val="bottom"/>
          </w:tcPr>
          <w:p w:rsidR="007E73E4" w:rsidRPr="00C82A98" w:rsidRDefault="007E73E4" w:rsidP="007E73E4">
            <w:pPr>
              <w:pStyle w:val="TableBodyText"/>
              <w:spacing w:before="40"/>
              <w:rPr>
                <w:b/>
              </w:rPr>
            </w:pPr>
            <w:r w:rsidRPr="00C82A98">
              <w:rPr>
                <w:b/>
              </w:rPr>
              <w:t>1.34</w:t>
            </w:r>
          </w:p>
        </w:tc>
      </w:tr>
      <w:tr w:rsidR="007E73E4" w:rsidRPr="00C82A98" w:rsidTr="00587EDC">
        <w:tc>
          <w:tcPr>
            <w:tcW w:w="5000" w:type="pct"/>
            <w:gridSpan w:val="5"/>
            <w:tcBorders>
              <w:top w:val="dotted" w:sz="4" w:space="0" w:color="auto"/>
            </w:tcBorders>
            <w:vAlign w:val="bottom"/>
          </w:tcPr>
          <w:p w:rsidR="007E73E4" w:rsidRPr="00C82A98" w:rsidRDefault="007E73E4" w:rsidP="007E73E4">
            <w:pPr>
              <w:pStyle w:val="TableUnitsRow"/>
              <w:spacing w:before="240" w:after="40"/>
              <w:jc w:val="left"/>
              <w:rPr>
                <w:i/>
              </w:rPr>
            </w:pPr>
            <w:r w:rsidRPr="00C82A98">
              <w:rPr>
                <w:i/>
              </w:rPr>
              <w:t>Cycle 4 (2003-04 to 2007-08)</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Food, beverage &amp; </w:t>
            </w:r>
            <w:proofErr w:type="spellStart"/>
            <w:r>
              <w:t>tob</w:t>
            </w:r>
            <w:proofErr w:type="spellEnd"/>
            <w:r>
              <w:t>. products</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0.25</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2.05</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2.57</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-4.23</w:t>
            </w:r>
          </w:p>
        </w:tc>
      </w:tr>
      <w:tr w:rsidR="007E73E4" w:rsidTr="00587EDC">
        <w:tc>
          <w:tcPr>
            <w:tcW w:w="1710" w:type="pct"/>
            <w:vAlign w:val="bottom"/>
          </w:tcPr>
          <w:p w:rsidR="007E73E4" w:rsidRDefault="007E73E4" w:rsidP="007E73E4">
            <w:pPr>
              <w:pStyle w:val="TableBodyText"/>
              <w:spacing w:before="40"/>
              <w:jc w:val="left"/>
            </w:pPr>
            <w:r>
              <w:t xml:space="preserve">Textile, clothing &amp; other </w:t>
            </w:r>
            <w:proofErr w:type="spellStart"/>
            <w:r>
              <w:t>mfg</w:t>
            </w:r>
            <w:proofErr w:type="spellEnd"/>
          </w:p>
        </w:tc>
        <w:tc>
          <w:tcPr>
            <w:tcW w:w="822" w:type="pct"/>
            <w:vAlign w:val="bottom"/>
          </w:tcPr>
          <w:p w:rsidR="007E73E4" w:rsidRDefault="007E73E4" w:rsidP="007E73E4">
            <w:pPr>
              <w:pStyle w:val="TableBodyText"/>
              <w:spacing w:before="40"/>
              <w:rPr>
                <w:rFonts w:cs="Arial"/>
                <w:color w:val="000000"/>
              </w:rPr>
            </w:pPr>
            <w:r>
              <w:rPr>
                <w:rFonts w:cs="Arial"/>
                <w:color w:val="000000"/>
              </w:rPr>
              <w:t>-4.61</w:t>
            </w:r>
          </w:p>
        </w:tc>
        <w:tc>
          <w:tcPr>
            <w:tcW w:w="823" w:type="pct"/>
            <w:vAlign w:val="bottom"/>
          </w:tcPr>
          <w:p w:rsidR="007E73E4" w:rsidRDefault="007E73E4" w:rsidP="007E73E4">
            <w:pPr>
              <w:pStyle w:val="TableBodyText"/>
              <w:spacing w:before="40"/>
              <w:rPr>
                <w:rFonts w:cs="Arial"/>
                <w:color w:val="000000"/>
              </w:rPr>
            </w:pPr>
            <w:r>
              <w:rPr>
                <w:rFonts w:cs="Arial"/>
                <w:color w:val="000000"/>
              </w:rPr>
              <w:t>0.54</w:t>
            </w:r>
          </w:p>
        </w:tc>
        <w:tc>
          <w:tcPr>
            <w:tcW w:w="823" w:type="pct"/>
            <w:vAlign w:val="bottom"/>
          </w:tcPr>
          <w:p w:rsidR="007E73E4" w:rsidRDefault="007E73E4" w:rsidP="007E73E4">
            <w:pPr>
              <w:pStyle w:val="TableBodyText"/>
              <w:spacing w:before="40"/>
              <w:rPr>
                <w:rFonts w:cs="Arial"/>
                <w:color w:val="000000"/>
              </w:rPr>
            </w:pPr>
            <w:r>
              <w:rPr>
                <w:rFonts w:cs="Arial"/>
                <w:color w:val="000000"/>
              </w:rPr>
              <w:t>-3.56</w:t>
            </w:r>
          </w:p>
        </w:tc>
        <w:tc>
          <w:tcPr>
            <w:tcW w:w="822" w:type="pct"/>
            <w:vAlign w:val="bottom"/>
          </w:tcPr>
          <w:p w:rsidR="007E73E4" w:rsidRDefault="007E73E4" w:rsidP="007E73E4">
            <w:pPr>
              <w:pStyle w:val="TableBodyText"/>
              <w:spacing w:before="40"/>
              <w:rPr>
                <w:rFonts w:cs="Arial"/>
                <w:color w:val="000000"/>
              </w:rPr>
            </w:pPr>
            <w:r>
              <w:rPr>
                <w:rFonts w:cs="Arial"/>
                <w:color w:val="000000"/>
              </w:rPr>
              <w:t>-1.62</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Wood &amp; paper products</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-2.41</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1.71</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-2.89</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-1.19</w:t>
            </w:r>
          </w:p>
        </w:tc>
      </w:tr>
      <w:tr w:rsidR="007E73E4" w:rsidTr="00587EDC">
        <w:tc>
          <w:tcPr>
            <w:tcW w:w="1710" w:type="pct"/>
            <w:vAlign w:val="bottom"/>
          </w:tcPr>
          <w:p w:rsidR="007E73E4" w:rsidRDefault="007E73E4" w:rsidP="007E73E4">
            <w:pPr>
              <w:pStyle w:val="TableBodyText"/>
              <w:spacing w:before="40"/>
              <w:jc w:val="left"/>
            </w:pPr>
            <w:r>
              <w:t>Printing &amp; recorded media</w:t>
            </w:r>
          </w:p>
        </w:tc>
        <w:tc>
          <w:tcPr>
            <w:tcW w:w="822" w:type="pct"/>
            <w:vAlign w:val="bottom"/>
          </w:tcPr>
          <w:p w:rsidR="007E73E4" w:rsidRDefault="007E73E4" w:rsidP="007E73E4">
            <w:pPr>
              <w:pStyle w:val="TableBodyText"/>
              <w:spacing w:before="40"/>
              <w:rPr>
                <w:rFonts w:cs="Arial"/>
                <w:color w:val="000000"/>
              </w:rPr>
            </w:pPr>
            <w:r>
              <w:rPr>
                <w:rFonts w:cs="Arial"/>
                <w:color w:val="000000"/>
              </w:rPr>
              <w:t>-1.87</w:t>
            </w:r>
          </w:p>
        </w:tc>
        <w:tc>
          <w:tcPr>
            <w:tcW w:w="823" w:type="pct"/>
            <w:vAlign w:val="bottom"/>
          </w:tcPr>
          <w:p w:rsidR="007E73E4" w:rsidRDefault="007E73E4" w:rsidP="007E73E4">
            <w:pPr>
              <w:pStyle w:val="TableBodyText"/>
              <w:spacing w:before="40"/>
              <w:rPr>
                <w:rFonts w:cs="Arial"/>
                <w:color w:val="000000"/>
              </w:rPr>
            </w:pPr>
            <w:r>
              <w:rPr>
                <w:rFonts w:cs="Arial"/>
                <w:color w:val="000000"/>
              </w:rPr>
              <w:t>1.76</w:t>
            </w:r>
          </w:p>
        </w:tc>
        <w:tc>
          <w:tcPr>
            <w:tcW w:w="823" w:type="pct"/>
            <w:vAlign w:val="bottom"/>
          </w:tcPr>
          <w:p w:rsidR="007E73E4" w:rsidRDefault="007E73E4" w:rsidP="007E73E4">
            <w:pPr>
              <w:pStyle w:val="TableBodyText"/>
              <w:spacing w:before="40"/>
              <w:rPr>
                <w:rFonts w:cs="Arial"/>
                <w:color w:val="000000"/>
              </w:rPr>
            </w:pPr>
            <w:r>
              <w:rPr>
                <w:rFonts w:cs="Arial"/>
                <w:color w:val="000000"/>
              </w:rPr>
              <w:t>-0.75</w:t>
            </w:r>
          </w:p>
        </w:tc>
        <w:tc>
          <w:tcPr>
            <w:tcW w:w="822" w:type="pct"/>
            <w:vAlign w:val="bottom"/>
          </w:tcPr>
          <w:p w:rsidR="007E73E4" w:rsidRDefault="007E73E4" w:rsidP="007E73E4">
            <w:pPr>
              <w:pStyle w:val="TableBodyText"/>
              <w:spacing w:before="40"/>
              <w:rPr>
                <w:rFonts w:cs="Arial"/>
                <w:color w:val="000000"/>
              </w:rPr>
            </w:pPr>
            <w:r>
              <w:rPr>
                <w:rFonts w:cs="Arial"/>
                <w:color w:val="000000"/>
              </w:rPr>
              <w:t>-2.84</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Petrol., coal, chem. &amp; rubber </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-0.63</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3.65</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-0.04</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-4.09</w:t>
            </w:r>
          </w:p>
        </w:tc>
      </w:tr>
      <w:tr w:rsidR="007E73E4" w:rsidTr="00587EDC">
        <w:tc>
          <w:tcPr>
            <w:tcW w:w="1710" w:type="pct"/>
            <w:shd w:val="clear" w:color="auto" w:fill="auto"/>
            <w:vAlign w:val="bottom"/>
          </w:tcPr>
          <w:p w:rsidR="007E73E4" w:rsidRDefault="007E73E4" w:rsidP="007E73E4">
            <w:pPr>
              <w:pStyle w:val="TableBodyText"/>
              <w:spacing w:before="40"/>
              <w:jc w:val="left"/>
            </w:pPr>
            <w:r>
              <w:t>Non-metallic mineral products</w:t>
            </w:r>
          </w:p>
        </w:tc>
        <w:tc>
          <w:tcPr>
            <w:tcW w:w="822" w:type="pct"/>
            <w:shd w:val="clear" w:color="auto" w:fill="auto"/>
            <w:vAlign w:val="bottom"/>
          </w:tcPr>
          <w:p w:rsidR="007E73E4" w:rsidRDefault="007E73E4" w:rsidP="007E73E4">
            <w:pPr>
              <w:pStyle w:val="TableBodyText"/>
              <w:spacing w:before="40"/>
              <w:rPr>
                <w:rFonts w:cs="Arial"/>
                <w:color w:val="000000"/>
              </w:rPr>
            </w:pPr>
            <w:r>
              <w:rPr>
                <w:rFonts w:cs="Arial"/>
                <w:color w:val="000000"/>
              </w:rPr>
              <w:t>5.65</w:t>
            </w:r>
          </w:p>
        </w:tc>
        <w:tc>
          <w:tcPr>
            <w:tcW w:w="823" w:type="pct"/>
            <w:shd w:val="clear" w:color="auto" w:fill="auto"/>
            <w:vAlign w:val="bottom"/>
          </w:tcPr>
          <w:p w:rsidR="007E73E4" w:rsidRDefault="007E73E4" w:rsidP="007E73E4">
            <w:pPr>
              <w:pStyle w:val="TableBodyText"/>
              <w:spacing w:before="40"/>
              <w:rPr>
                <w:rFonts w:cs="Arial"/>
                <w:color w:val="000000"/>
              </w:rPr>
            </w:pPr>
            <w:r>
              <w:rPr>
                <w:rFonts w:cs="Arial"/>
                <w:color w:val="000000"/>
              </w:rPr>
              <w:t>0.42</w:t>
            </w:r>
          </w:p>
        </w:tc>
        <w:tc>
          <w:tcPr>
            <w:tcW w:w="823" w:type="pct"/>
            <w:shd w:val="clear" w:color="auto" w:fill="auto"/>
            <w:vAlign w:val="bottom"/>
          </w:tcPr>
          <w:p w:rsidR="007E73E4" w:rsidRDefault="007E73E4" w:rsidP="007E73E4">
            <w:pPr>
              <w:pStyle w:val="TableBodyText"/>
              <w:spacing w:before="40"/>
              <w:rPr>
                <w:rFonts w:cs="Arial"/>
                <w:color w:val="000000"/>
              </w:rPr>
            </w:pPr>
            <w:r>
              <w:rPr>
                <w:rFonts w:cs="Arial"/>
                <w:color w:val="000000"/>
              </w:rPr>
              <w:t>0.30</w:t>
            </w:r>
          </w:p>
        </w:tc>
        <w:tc>
          <w:tcPr>
            <w:tcW w:w="822" w:type="pct"/>
            <w:shd w:val="clear" w:color="auto" w:fill="auto"/>
            <w:vAlign w:val="bottom"/>
          </w:tcPr>
          <w:p w:rsidR="007E73E4" w:rsidRDefault="007E73E4" w:rsidP="007E73E4">
            <w:pPr>
              <w:pStyle w:val="TableBodyText"/>
              <w:spacing w:before="40"/>
              <w:rPr>
                <w:rFonts w:cs="Arial"/>
                <w:color w:val="000000"/>
              </w:rPr>
            </w:pPr>
            <w:r>
              <w:rPr>
                <w:rFonts w:cs="Arial"/>
                <w:color w:val="000000"/>
              </w:rPr>
              <w:t>4.89</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Metal products</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4.50</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4.61</w:t>
            </w:r>
          </w:p>
        </w:tc>
        <w:tc>
          <w:tcPr>
            <w:tcW w:w="823"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0.76</w:t>
            </w:r>
          </w:p>
        </w:tc>
        <w:tc>
          <w:tcPr>
            <w:tcW w:w="822" w:type="pct"/>
            <w:shd w:val="clear" w:color="auto" w:fill="D9D9D9" w:themeFill="background1" w:themeFillShade="D9"/>
            <w:vAlign w:val="bottom"/>
          </w:tcPr>
          <w:p w:rsidR="007E73E4" w:rsidRDefault="007E73E4" w:rsidP="007E73E4">
            <w:pPr>
              <w:pStyle w:val="TableBodyText"/>
              <w:spacing w:before="40"/>
              <w:rPr>
                <w:rFonts w:cs="Arial"/>
                <w:color w:val="000000"/>
              </w:rPr>
            </w:pPr>
            <w:r>
              <w:rPr>
                <w:rFonts w:cs="Arial"/>
                <w:color w:val="000000"/>
              </w:rPr>
              <w:t>-0.85</w:t>
            </w:r>
          </w:p>
        </w:tc>
      </w:tr>
      <w:tr w:rsidR="007E73E4" w:rsidTr="00587EDC">
        <w:tc>
          <w:tcPr>
            <w:tcW w:w="1710" w:type="pct"/>
            <w:shd w:val="clear" w:color="auto" w:fill="auto"/>
            <w:vAlign w:val="bottom"/>
          </w:tcPr>
          <w:p w:rsidR="007E73E4" w:rsidRDefault="007E73E4" w:rsidP="007E73E4">
            <w:pPr>
              <w:pStyle w:val="TableBodyText"/>
              <w:spacing w:before="40"/>
              <w:jc w:val="left"/>
            </w:pPr>
            <w:r>
              <w:t xml:space="preserve">Machinery &amp; equipment </w:t>
            </w:r>
            <w:proofErr w:type="spellStart"/>
            <w:r>
              <w:t>mfg</w:t>
            </w:r>
            <w:proofErr w:type="spellEnd"/>
          </w:p>
        </w:tc>
        <w:tc>
          <w:tcPr>
            <w:tcW w:w="822" w:type="pct"/>
            <w:shd w:val="clear" w:color="auto" w:fill="auto"/>
            <w:vAlign w:val="bottom"/>
          </w:tcPr>
          <w:p w:rsidR="007E73E4" w:rsidRDefault="007E73E4" w:rsidP="007E73E4">
            <w:pPr>
              <w:pStyle w:val="TableBodyText"/>
              <w:spacing w:before="40"/>
              <w:rPr>
                <w:rFonts w:cs="Arial"/>
                <w:color w:val="000000"/>
              </w:rPr>
            </w:pPr>
            <w:r>
              <w:rPr>
                <w:rFonts w:cs="Arial"/>
                <w:color w:val="000000"/>
              </w:rPr>
              <w:t>1.72</w:t>
            </w:r>
          </w:p>
        </w:tc>
        <w:tc>
          <w:tcPr>
            <w:tcW w:w="823" w:type="pct"/>
            <w:shd w:val="clear" w:color="auto" w:fill="auto"/>
            <w:vAlign w:val="bottom"/>
          </w:tcPr>
          <w:p w:rsidR="007E73E4" w:rsidRDefault="007E73E4" w:rsidP="007E73E4">
            <w:pPr>
              <w:pStyle w:val="TableBodyText"/>
              <w:spacing w:before="40"/>
              <w:rPr>
                <w:rFonts w:cs="Arial"/>
                <w:color w:val="000000"/>
              </w:rPr>
            </w:pPr>
            <w:r>
              <w:rPr>
                <w:rFonts w:cs="Arial"/>
                <w:color w:val="000000"/>
              </w:rPr>
              <w:t>1.39</w:t>
            </w:r>
          </w:p>
        </w:tc>
        <w:tc>
          <w:tcPr>
            <w:tcW w:w="823" w:type="pct"/>
            <w:shd w:val="clear" w:color="auto" w:fill="auto"/>
            <w:vAlign w:val="bottom"/>
          </w:tcPr>
          <w:p w:rsidR="007E73E4" w:rsidRDefault="007E73E4" w:rsidP="007E73E4">
            <w:pPr>
              <w:pStyle w:val="TableBodyText"/>
              <w:spacing w:before="40"/>
              <w:rPr>
                <w:rFonts w:cs="Arial"/>
                <w:color w:val="000000"/>
              </w:rPr>
            </w:pPr>
            <w:r>
              <w:rPr>
                <w:rFonts w:cs="Arial"/>
                <w:color w:val="000000"/>
              </w:rPr>
              <w:t>0.53</w:t>
            </w:r>
          </w:p>
        </w:tc>
        <w:tc>
          <w:tcPr>
            <w:tcW w:w="822" w:type="pct"/>
            <w:shd w:val="clear" w:color="auto" w:fill="auto"/>
            <w:vAlign w:val="bottom"/>
          </w:tcPr>
          <w:p w:rsidR="007E73E4" w:rsidRDefault="007E73E4" w:rsidP="007E73E4">
            <w:pPr>
              <w:pStyle w:val="TableBodyText"/>
              <w:spacing w:before="40"/>
              <w:rPr>
                <w:rFonts w:cs="Arial"/>
                <w:color w:val="000000"/>
              </w:rPr>
            </w:pPr>
            <w:r>
              <w:rPr>
                <w:rFonts w:cs="Arial"/>
                <w:color w:val="000000"/>
              </w:rPr>
              <w:t>-0.21</w:t>
            </w:r>
          </w:p>
        </w:tc>
      </w:tr>
      <w:tr w:rsidR="007E73E4" w:rsidRPr="00486618" w:rsidTr="00587EDC">
        <w:tc>
          <w:tcPr>
            <w:tcW w:w="1710" w:type="pct"/>
            <w:shd w:val="clear" w:color="auto" w:fill="D9D9D9" w:themeFill="background1" w:themeFillShade="D9"/>
            <w:vAlign w:val="bottom"/>
          </w:tcPr>
          <w:p w:rsidR="007E73E4" w:rsidRPr="00486618" w:rsidRDefault="007E73E4" w:rsidP="007E73E4">
            <w:pPr>
              <w:pStyle w:val="TableBodyText"/>
              <w:spacing w:before="40"/>
              <w:jc w:val="left"/>
              <w:rPr>
                <w:i/>
              </w:rPr>
            </w:pPr>
            <w:r w:rsidRPr="00486618">
              <w:rPr>
                <w:i/>
              </w:rPr>
              <w:t>Aggregate of subsectors</w:t>
            </w:r>
          </w:p>
        </w:tc>
        <w:tc>
          <w:tcPr>
            <w:tcW w:w="822" w:type="pct"/>
            <w:shd w:val="clear" w:color="auto" w:fill="D9D9D9" w:themeFill="background1" w:themeFillShade="D9"/>
            <w:vAlign w:val="bottom"/>
          </w:tcPr>
          <w:p w:rsidR="007E73E4" w:rsidRPr="00486618" w:rsidRDefault="007E73E4" w:rsidP="007E73E4">
            <w:pPr>
              <w:pStyle w:val="TableBodyText"/>
              <w:spacing w:before="40"/>
              <w:rPr>
                <w:rFonts w:cs="Arial"/>
                <w:i/>
                <w:color w:val="000000"/>
              </w:rPr>
            </w:pPr>
            <w:r w:rsidRPr="00486618">
              <w:rPr>
                <w:rFonts w:cs="Arial"/>
                <w:i/>
                <w:color w:val="000000"/>
              </w:rPr>
              <w:t>1.07</w:t>
            </w:r>
          </w:p>
        </w:tc>
        <w:tc>
          <w:tcPr>
            <w:tcW w:w="823" w:type="pct"/>
            <w:shd w:val="clear" w:color="auto" w:fill="D9D9D9" w:themeFill="background1" w:themeFillShade="D9"/>
            <w:vAlign w:val="bottom"/>
          </w:tcPr>
          <w:p w:rsidR="007E73E4" w:rsidRPr="00486618" w:rsidRDefault="007E73E4" w:rsidP="007E73E4">
            <w:pPr>
              <w:pStyle w:val="TableBodyText"/>
              <w:spacing w:before="40"/>
              <w:rPr>
                <w:rFonts w:cs="Arial"/>
                <w:i/>
                <w:color w:val="000000"/>
              </w:rPr>
            </w:pPr>
            <w:r w:rsidRPr="00486618">
              <w:rPr>
                <w:rFonts w:cs="Arial"/>
                <w:i/>
                <w:color w:val="000000"/>
              </w:rPr>
              <w:t>2.50</w:t>
            </w:r>
          </w:p>
        </w:tc>
        <w:tc>
          <w:tcPr>
            <w:tcW w:w="823" w:type="pct"/>
            <w:shd w:val="clear" w:color="auto" w:fill="D9D9D9" w:themeFill="background1" w:themeFillShade="D9"/>
            <w:vAlign w:val="bottom"/>
          </w:tcPr>
          <w:p w:rsidR="007E73E4" w:rsidRPr="00486618" w:rsidRDefault="007E73E4" w:rsidP="007E73E4">
            <w:pPr>
              <w:pStyle w:val="TableBodyText"/>
              <w:spacing w:before="40"/>
              <w:rPr>
                <w:rFonts w:cs="Arial"/>
                <w:i/>
                <w:color w:val="000000"/>
              </w:rPr>
            </w:pPr>
            <w:r w:rsidRPr="00486618">
              <w:rPr>
                <w:rFonts w:cs="Arial"/>
                <w:i/>
                <w:color w:val="000000"/>
              </w:rPr>
              <w:t>0.13</w:t>
            </w:r>
          </w:p>
        </w:tc>
        <w:tc>
          <w:tcPr>
            <w:tcW w:w="822" w:type="pct"/>
            <w:shd w:val="clear" w:color="auto" w:fill="D9D9D9" w:themeFill="background1" w:themeFillShade="D9"/>
            <w:vAlign w:val="bottom"/>
          </w:tcPr>
          <w:p w:rsidR="007E73E4" w:rsidRPr="00486618" w:rsidRDefault="007E73E4" w:rsidP="007E73E4">
            <w:pPr>
              <w:pStyle w:val="TableBodyText"/>
              <w:spacing w:before="40"/>
              <w:rPr>
                <w:rFonts w:cs="Arial"/>
                <w:i/>
                <w:color w:val="000000"/>
              </w:rPr>
            </w:pPr>
            <w:r w:rsidRPr="00486618">
              <w:rPr>
                <w:rFonts w:cs="Arial"/>
                <w:i/>
                <w:color w:val="000000"/>
              </w:rPr>
              <w:t>-1.52</w:t>
            </w:r>
          </w:p>
        </w:tc>
      </w:tr>
      <w:tr w:rsidR="007E73E4" w:rsidTr="00587EDC">
        <w:tc>
          <w:tcPr>
            <w:tcW w:w="1710" w:type="pct"/>
            <w:tcBorders>
              <w:bottom w:val="dotted" w:sz="4" w:space="0" w:color="auto"/>
            </w:tcBorders>
            <w:shd w:val="clear" w:color="auto" w:fill="auto"/>
            <w:vAlign w:val="bottom"/>
          </w:tcPr>
          <w:p w:rsidR="007E73E4" w:rsidRPr="000515F7" w:rsidRDefault="007E73E4" w:rsidP="007E73E4">
            <w:pPr>
              <w:pStyle w:val="TableBodyText"/>
              <w:spacing w:before="40"/>
              <w:jc w:val="left"/>
              <w:rPr>
                <w:b/>
              </w:rPr>
            </w:pPr>
            <w:r>
              <w:rPr>
                <w:b/>
              </w:rPr>
              <w:t>T</w:t>
            </w:r>
            <w:r w:rsidRPr="00C82A98">
              <w:rPr>
                <w:b/>
              </w:rPr>
              <w:t xml:space="preserve">otal </w:t>
            </w:r>
            <w:r>
              <w:rPr>
                <w:b/>
              </w:rPr>
              <w:t>Manufacturing (ABS)</w:t>
            </w:r>
          </w:p>
        </w:tc>
        <w:tc>
          <w:tcPr>
            <w:tcW w:w="822" w:type="pct"/>
            <w:tcBorders>
              <w:bottom w:val="dotted" w:sz="4" w:space="0" w:color="auto"/>
            </w:tcBorders>
            <w:shd w:val="clear" w:color="auto" w:fill="auto"/>
            <w:vAlign w:val="bottom"/>
          </w:tcPr>
          <w:p w:rsidR="007E73E4" w:rsidRPr="00AE6CB6" w:rsidRDefault="007E73E4" w:rsidP="007E73E4">
            <w:pPr>
              <w:pStyle w:val="TableBodyText"/>
              <w:spacing w:before="40"/>
              <w:rPr>
                <w:b/>
              </w:rPr>
            </w:pPr>
            <w:r w:rsidRPr="00AE6CB6">
              <w:rPr>
                <w:b/>
              </w:rPr>
              <w:t>1.08</w:t>
            </w:r>
          </w:p>
        </w:tc>
        <w:tc>
          <w:tcPr>
            <w:tcW w:w="823" w:type="pct"/>
            <w:tcBorders>
              <w:bottom w:val="dotted" w:sz="4" w:space="0" w:color="auto"/>
            </w:tcBorders>
            <w:shd w:val="clear" w:color="auto" w:fill="auto"/>
            <w:vAlign w:val="bottom"/>
          </w:tcPr>
          <w:p w:rsidR="007E73E4" w:rsidRPr="00AE6CB6" w:rsidRDefault="007E73E4" w:rsidP="007E73E4">
            <w:pPr>
              <w:pStyle w:val="TableBodyText"/>
              <w:spacing w:before="40"/>
              <w:rPr>
                <w:b/>
              </w:rPr>
            </w:pPr>
            <w:r w:rsidRPr="00AE6CB6">
              <w:rPr>
                <w:b/>
              </w:rPr>
              <w:t>2.38</w:t>
            </w:r>
          </w:p>
        </w:tc>
        <w:tc>
          <w:tcPr>
            <w:tcW w:w="823" w:type="pct"/>
            <w:tcBorders>
              <w:bottom w:val="dotted" w:sz="4" w:space="0" w:color="auto"/>
            </w:tcBorders>
            <w:shd w:val="clear" w:color="auto" w:fill="auto"/>
            <w:vAlign w:val="bottom"/>
          </w:tcPr>
          <w:p w:rsidR="007E73E4" w:rsidRPr="00AE6CB6" w:rsidRDefault="007E73E4" w:rsidP="007E73E4">
            <w:pPr>
              <w:pStyle w:val="TableBodyText"/>
              <w:spacing w:before="40"/>
              <w:rPr>
                <w:b/>
              </w:rPr>
            </w:pPr>
            <w:r w:rsidRPr="00AE6CB6">
              <w:rPr>
                <w:b/>
              </w:rPr>
              <w:t>0.15</w:t>
            </w:r>
          </w:p>
        </w:tc>
        <w:tc>
          <w:tcPr>
            <w:tcW w:w="822" w:type="pct"/>
            <w:tcBorders>
              <w:bottom w:val="dotted" w:sz="4" w:space="0" w:color="auto"/>
            </w:tcBorders>
            <w:shd w:val="clear" w:color="auto" w:fill="auto"/>
            <w:vAlign w:val="bottom"/>
          </w:tcPr>
          <w:p w:rsidR="007E73E4" w:rsidRPr="00AE6CB6" w:rsidRDefault="007E73E4" w:rsidP="007E73E4">
            <w:pPr>
              <w:pStyle w:val="TableBodyText"/>
              <w:spacing w:before="40"/>
              <w:rPr>
                <w:b/>
              </w:rPr>
            </w:pPr>
            <w:r w:rsidRPr="00AE6CB6">
              <w:rPr>
                <w:b/>
              </w:rPr>
              <w:t>-1.38</w:t>
            </w:r>
          </w:p>
        </w:tc>
      </w:tr>
      <w:tr w:rsidR="007E73E4" w:rsidRPr="00C82A98" w:rsidTr="00587EDC">
        <w:tc>
          <w:tcPr>
            <w:tcW w:w="5000" w:type="pct"/>
            <w:gridSpan w:val="5"/>
            <w:tcBorders>
              <w:top w:val="dotted" w:sz="4" w:space="0" w:color="auto"/>
            </w:tcBorders>
            <w:vAlign w:val="bottom"/>
          </w:tcPr>
          <w:p w:rsidR="007E73E4" w:rsidRPr="00F83673" w:rsidRDefault="007E73E4" w:rsidP="007E73E4">
            <w:pPr>
              <w:pStyle w:val="TableUnitsRow"/>
              <w:spacing w:before="240" w:after="40"/>
              <w:jc w:val="left"/>
              <w:rPr>
                <w:i/>
              </w:rPr>
            </w:pPr>
            <w:r w:rsidRPr="00F83673">
              <w:rPr>
                <w:i/>
              </w:rPr>
              <w:t>Incomplete cycle (2007-08 to 2010-11)</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Food, beverage &amp; </w:t>
            </w:r>
            <w:proofErr w:type="spellStart"/>
            <w:r>
              <w:t>tob</w:t>
            </w:r>
            <w:proofErr w:type="spellEnd"/>
            <w:r>
              <w:t>. products</w:t>
            </w:r>
          </w:p>
        </w:tc>
        <w:tc>
          <w:tcPr>
            <w:tcW w:w="822" w:type="pct"/>
            <w:shd w:val="clear" w:color="auto" w:fill="D9D9D9" w:themeFill="background1" w:themeFillShade="D9"/>
            <w:vAlign w:val="bottom"/>
          </w:tcPr>
          <w:p w:rsidR="007E73E4" w:rsidRDefault="007E73E4" w:rsidP="007E73E4">
            <w:pPr>
              <w:pStyle w:val="TableBodyText"/>
              <w:spacing w:before="40"/>
            </w:pPr>
            <w:r>
              <w:t>0.68</w:t>
            </w:r>
          </w:p>
        </w:tc>
        <w:tc>
          <w:tcPr>
            <w:tcW w:w="823" w:type="pct"/>
            <w:shd w:val="clear" w:color="auto" w:fill="D9D9D9" w:themeFill="background1" w:themeFillShade="D9"/>
            <w:vAlign w:val="bottom"/>
          </w:tcPr>
          <w:p w:rsidR="007E73E4" w:rsidRDefault="007E73E4" w:rsidP="007E73E4">
            <w:pPr>
              <w:pStyle w:val="TableBodyText"/>
              <w:spacing w:before="40"/>
            </w:pPr>
            <w:r>
              <w:t>1.79</w:t>
            </w:r>
          </w:p>
        </w:tc>
        <w:tc>
          <w:tcPr>
            <w:tcW w:w="823" w:type="pct"/>
            <w:shd w:val="clear" w:color="auto" w:fill="D9D9D9" w:themeFill="background1" w:themeFillShade="D9"/>
            <w:vAlign w:val="bottom"/>
          </w:tcPr>
          <w:p w:rsidR="007E73E4" w:rsidRDefault="007E73E4" w:rsidP="007E73E4">
            <w:pPr>
              <w:pStyle w:val="TableBodyText"/>
              <w:spacing w:before="40"/>
            </w:pPr>
            <w:r>
              <w:t>0.04</w:t>
            </w:r>
          </w:p>
        </w:tc>
        <w:tc>
          <w:tcPr>
            <w:tcW w:w="822" w:type="pct"/>
            <w:shd w:val="clear" w:color="auto" w:fill="D9D9D9" w:themeFill="background1" w:themeFillShade="D9"/>
            <w:vAlign w:val="bottom"/>
          </w:tcPr>
          <w:p w:rsidR="007E73E4" w:rsidRDefault="007E73E4" w:rsidP="007E73E4">
            <w:pPr>
              <w:pStyle w:val="TableBodyText"/>
              <w:spacing w:before="40"/>
            </w:pPr>
            <w:r>
              <w:t>-1.12</w:t>
            </w:r>
          </w:p>
        </w:tc>
      </w:tr>
      <w:tr w:rsidR="007E73E4" w:rsidTr="00587EDC">
        <w:tc>
          <w:tcPr>
            <w:tcW w:w="1710" w:type="pct"/>
            <w:shd w:val="clear" w:color="auto" w:fill="auto"/>
            <w:vAlign w:val="bottom"/>
          </w:tcPr>
          <w:p w:rsidR="007E73E4" w:rsidRDefault="007E73E4" w:rsidP="007E73E4">
            <w:pPr>
              <w:pStyle w:val="TableBodyText"/>
              <w:spacing w:before="40"/>
              <w:jc w:val="left"/>
            </w:pPr>
            <w:r>
              <w:t xml:space="preserve">Textile, clothing &amp; other </w:t>
            </w:r>
            <w:proofErr w:type="spellStart"/>
            <w:r>
              <w:t>mfg</w:t>
            </w:r>
            <w:proofErr w:type="spellEnd"/>
          </w:p>
        </w:tc>
        <w:tc>
          <w:tcPr>
            <w:tcW w:w="822" w:type="pct"/>
            <w:shd w:val="clear" w:color="auto" w:fill="auto"/>
            <w:vAlign w:val="bottom"/>
          </w:tcPr>
          <w:p w:rsidR="007E73E4" w:rsidRDefault="007E73E4" w:rsidP="007E73E4">
            <w:pPr>
              <w:pStyle w:val="TableBodyText"/>
              <w:spacing w:before="40"/>
            </w:pPr>
            <w:r>
              <w:t>-11.86</w:t>
            </w:r>
          </w:p>
        </w:tc>
        <w:tc>
          <w:tcPr>
            <w:tcW w:w="823" w:type="pct"/>
            <w:shd w:val="clear" w:color="auto" w:fill="auto"/>
            <w:vAlign w:val="bottom"/>
          </w:tcPr>
          <w:p w:rsidR="007E73E4" w:rsidRDefault="007E73E4" w:rsidP="007E73E4">
            <w:pPr>
              <w:pStyle w:val="TableBodyText"/>
              <w:spacing w:before="40"/>
            </w:pPr>
            <w:r>
              <w:t>0.12</w:t>
            </w:r>
          </w:p>
        </w:tc>
        <w:tc>
          <w:tcPr>
            <w:tcW w:w="823" w:type="pct"/>
            <w:shd w:val="clear" w:color="auto" w:fill="auto"/>
            <w:vAlign w:val="bottom"/>
          </w:tcPr>
          <w:p w:rsidR="007E73E4" w:rsidRDefault="007E73E4" w:rsidP="007E73E4">
            <w:pPr>
              <w:pStyle w:val="TableBodyText"/>
              <w:spacing w:before="40"/>
            </w:pPr>
            <w:r>
              <w:t>-2.95</w:t>
            </w:r>
          </w:p>
        </w:tc>
        <w:tc>
          <w:tcPr>
            <w:tcW w:w="822" w:type="pct"/>
            <w:shd w:val="clear" w:color="auto" w:fill="auto"/>
            <w:vAlign w:val="bottom"/>
          </w:tcPr>
          <w:p w:rsidR="007E73E4" w:rsidRDefault="007E73E4" w:rsidP="007E73E4">
            <w:pPr>
              <w:pStyle w:val="TableBodyText"/>
              <w:spacing w:before="40"/>
            </w:pPr>
            <w:r>
              <w:t>-9.28</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Wood &amp; paper products</w:t>
            </w:r>
          </w:p>
        </w:tc>
        <w:tc>
          <w:tcPr>
            <w:tcW w:w="822" w:type="pct"/>
            <w:shd w:val="clear" w:color="auto" w:fill="D9D9D9" w:themeFill="background1" w:themeFillShade="D9"/>
            <w:vAlign w:val="bottom"/>
          </w:tcPr>
          <w:p w:rsidR="007E73E4" w:rsidRDefault="007E73E4" w:rsidP="007E73E4">
            <w:pPr>
              <w:pStyle w:val="TableBodyText"/>
              <w:spacing w:before="40"/>
            </w:pPr>
            <w:r>
              <w:t>-2.13</w:t>
            </w:r>
          </w:p>
        </w:tc>
        <w:tc>
          <w:tcPr>
            <w:tcW w:w="823" w:type="pct"/>
            <w:shd w:val="clear" w:color="auto" w:fill="D9D9D9" w:themeFill="background1" w:themeFillShade="D9"/>
            <w:vAlign w:val="bottom"/>
          </w:tcPr>
          <w:p w:rsidR="007E73E4" w:rsidRDefault="007E73E4" w:rsidP="007E73E4">
            <w:pPr>
              <w:pStyle w:val="TableBodyText"/>
              <w:spacing w:before="40"/>
            </w:pPr>
            <w:r>
              <w:t>0.45</w:t>
            </w:r>
          </w:p>
        </w:tc>
        <w:tc>
          <w:tcPr>
            <w:tcW w:w="823" w:type="pct"/>
            <w:shd w:val="clear" w:color="auto" w:fill="D9D9D9" w:themeFill="background1" w:themeFillShade="D9"/>
            <w:vAlign w:val="bottom"/>
          </w:tcPr>
          <w:p w:rsidR="007E73E4" w:rsidRDefault="007E73E4" w:rsidP="007E73E4">
            <w:pPr>
              <w:pStyle w:val="TableBodyText"/>
              <w:spacing w:before="40"/>
            </w:pPr>
            <w:r>
              <w:t>-4.39</w:t>
            </w:r>
          </w:p>
        </w:tc>
        <w:tc>
          <w:tcPr>
            <w:tcW w:w="822" w:type="pct"/>
            <w:shd w:val="clear" w:color="auto" w:fill="D9D9D9" w:themeFill="background1" w:themeFillShade="D9"/>
            <w:vAlign w:val="bottom"/>
          </w:tcPr>
          <w:p w:rsidR="007E73E4" w:rsidRDefault="007E73E4" w:rsidP="007E73E4">
            <w:pPr>
              <w:pStyle w:val="TableBodyText"/>
              <w:spacing w:before="40"/>
            </w:pPr>
            <w:r>
              <w:t>1.91</w:t>
            </w:r>
          </w:p>
        </w:tc>
      </w:tr>
      <w:tr w:rsidR="007E73E4" w:rsidTr="00587EDC">
        <w:tc>
          <w:tcPr>
            <w:tcW w:w="1710" w:type="pct"/>
            <w:shd w:val="clear" w:color="auto" w:fill="auto"/>
            <w:vAlign w:val="bottom"/>
          </w:tcPr>
          <w:p w:rsidR="007E73E4" w:rsidRDefault="007E73E4" w:rsidP="007E73E4">
            <w:pPr>
              <w:pStyle w:val="TableBodyText"/>
              <w:spacing w:before="40"/>
              <w:jc w:val="left"/>
            </w:pPr>
            <w:r>
              <w:t>Printing &amp; recorded media</w:t>
            </w:r>
          </w:p>
        </w:tc>
        <w:tc>
          <w:tcPr>
            <w:tcW w:w="822" w:type="pct"/>
            <w:shd w:val="clear" w:color="auto" w:fill="auto"/>
            <w:vAlign w:val="bottom"/>
          </w:tcPr>
          <w:p w:rsidR="007E73E4" w:rsidRDefault="007E73E4" w:rsidP="007E73E4">
            <w:pPr>
              <w:pStyle w:val="TableBodyText"/>
              <w:spacing w:before="40"/>
            </w:pPr>
            <w:r>
              <w:t>-7.48</w:t>
            </w:r>
          </w:p>
        </w:tc>
        <w:tc>
          <w:tcPr>
            <w:tcW w:w="823" w:type="pct"/>
            <w:shd w:val="clear" w:color="auto" w:fill="auto"/>
            <w:vAlign w:val="bottom"/>
          </w:tcPr>
          <w:p w:rsidR="007E73E4" w:rsidRDefault="007E73E4" w:rsidP="007E73E4">
            <w:pPr>
              <w:pStyle w:val="TableBodyText"/>
              <w:spacing w:before="40"/>
            </w:pPr>
            <w:r>
              <w:t>0.67</w:t>
            </w:r>
          </w:p>
        </w:tc>
        <w:tc>
          <w:tcPr>
            <w:tcW w:w="823" w:type="pct"/>
            <w:shd w:val="clear" w:color="auto" w:fill="auto"/>
            <w:vAlign w:val="bottom"/>
          </w:tcPr>
          <w:p w:rsidR="007E73E4" w:rsidRDefault="007E73E4" w:rsidP="007E73E4">
            <w:pPr>
              <w:pStyle w:val="TableBodyText"/>
              <w:spacing w:before="40"/>
            </w:pPr>
            <w:r>
              <w:t>1.16</w:t>
            </w:r>
          </w:p>
        </w:tc>
        <w:tc>
          <w:tcPr>
            <w:tcW w:w="822" w:type="pct"/>
            <w:shd w:val="clear" w:color="auto" w:fill="auto"/>
            <w:vAlign w:val="bottom"/>
          </w:tcPr>
          <w:p w:rsidR="007E73E4" w:rsidRDefault="007E73E4" w:rsidP="007E73E4">
            <w:pPr>
              <w:pStyle w:val="TableBodyText"/>
              <w:spacing w:before="40"/>
            </w:pPr>
            <w:r>
              <w:t>-9.15</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 xml:space="preserve">Petrol., coal, chem. &amp; rubber </w:t>
            </w:r>
          </w:p>
        </w:tc>
        <w:tc>
          <w:tcPr>
            <w:tcW w:w="822" w:type="pct"/>
            <w:shd w:val="clear" w:color="auto" w:fill="D9D9D9" w:themeFill="background1" w:themeFillShade="D9"/>
            <w:vAlign w:val="bottom"/>
          </w:tcPr>
          <w:p w:rsidR="007E73E4" w:rsidRDefault="007E73E4" w:rsidP="007E73E4">
            <w:pPr>
              <w:pStyle w:val="TableBodyText"/>
              <w:spacing w:before="40"/>
            </w:pPr>
            <w:r>
              <w:t>-2.25</w:t>
            </w:r>
          </w:p>
        </w:tc>
        <w:tc>
          <w:tcPr>
            <w:tcW w:w="823" w:type="pct"/>
            <w:shd w:val="clear" w:color="auto" w:fill="D9D9D9" w:themeFill="background1" w:themeFillShade="D9"/>
            <w:vAlign w:val="bottom"/>
          </w:tcPr>
          <w:p w:rsidR="007E73E4" w:rsidRDefault="007E73E4" w:rsidP="007E73E4">
            <w:pPr>
              <w:pStyle w:val="TableBodyText"/>
              <w:spacing w:before="40"/>
            </w:pPr>
            <w:r>
              <w:t>1.63</w:t>
            </w:r>
          </w:p>
        </w:tc>
        <w:tc>
          <w:tcPr>
            <w:tcW w:w="823" w:type="pct"/>
            <w:shd w:val="clear" w:color="auto" w:fill="D9D9D9" w:themeFill="background1" w:themeFillShade="D9"/>
            <w:vAlign w:val="bottom"/>
          </w:tcPr>
          <w:p w:rsidR="007E73E4" w:rsidRDefault="007E73E4" w:rsidP="007E73E4">
            <w:pPr>
              <w:pStyle w:val="TableBodyText"/>
              <w:spacing w:before="40"/>
            </w:pPr>
            <w:r>
              <w:t>-2.71</w:t>
            </w:r>
          </w:p>
        </w:tc>
        <w:tc>
          <w:tcPr>
            <w:tcW w:w="822" w:type="pct"/>
            <w:shd w:val="clear" w:color="auto" w:fill="D9D9D9" w:themeFill="background1" w:themeFillShade="D9"/>
            <w:vAlign w:val="bottom"/>
          </w:tcPr>
          <w:p w:rsidR="007E73E4" w:rsidRDefault="007E73E4" w:rsidP="007E73E4">
            <w:pPr>
              <w:pStyle w:val="TableBodyText"/>
              <w:spacing w:before="40"/>
            </w:pPr>
            <w:r>
              <w:t>-1.15</w:t>
            </w:r>
          </w:p>
        </w:tc>
      </w:tr>
      <w:tr w:rsidR="007E73E4" w:rsidTr="00587EDC">
        <w:tc>
          <w:tcPr>
            <w:tcW w:w="1710" w:type="pct"/>
            <w:shd w:val="clear" w:color="auto" w:fill="auto"/>
            <w:vAlign w:val="bottom"/>
          </w:tcPr>
          <w:p w:rsidR="007E73E4" w:rsidRDefault="007E73E4" w:rsidP="007E73E4">
            <w:pPr>
              <w:pStyle w:val="TableBodyText"/>
              <w:spacing w:before="40"/>
              <w:jc w:val="left"/>
            </w:pPr>
            <w:r>
              <w:t>Non-metallic mineral products</w:t>
            </w:r>
          </w:p>
        </w:tc>
        <w:tc>
          <w:tcPr>
            <w:tcW w:w="822" w:type="pct"/>
            <w:shd w:val="clear" w:color="auto" w:fill="auto"/>
            <w:vAlign w:val="bottom"/>
          </w:tcPr>
          <w:p w:rsidR="007E73E4" w:rsidRDefault="007E73E4" w:rsidP="007E73E4">
            <w:pPr>
              <w:pStyle w:val="TableBodyText"/>
              <w:spacing w:before="40"/>
            </w:pPr>
            <w:r>
              <w:t>-1.83</w:t>
            </w:r>
          </w:p>
        </w:tc>
        <w:tc>
          <w:tcPr>
            <w:tcW w:w="823" w:type="pct"/>
            <w:shd w:val="clear" w:color="auto" w:fill="auto"/>
            <w:vAlign w:val="bottom"/>
          </w:tcPr>
          <w:p w:rsidR="007E73E4" w:rsidRDefault="007E73E4" w:rsidP="007E73E4">
            <w:pPr>
              <w:pStyle w:val="TableBodyText"/>
              <w:spacing w:before="40"/>
            </w:pPr>
            <w:r>
              <w:t>1.93</w:t>
            </w:r>
          </w:p>
        </w:tc>
        <w:tc>
          <w:tcPr>
            <w:tcW w:w="823" w:type="pct"/>
            <w:shd w:val="clear" w:color="auto" w:fill="auto"/>
            <w:vAlign w:val="bottom"/>
          </w:tcPr>
          <w:p w:rsidR="007E73E4" w:rsidRDefault="007E73E4" w:rsidP="007E73E4">
            <w:pPr>
              <w:pStyle w:val="TableBodyText"/>
              <w:spacing w:before="40"/>
            </w:pPr>
            <w:r>
              <w:t>-3.37</w:t>
            </w:r>
          </w:p>
        </w:tc>
        <w:tc>
          <w:tcPr>
            <w:tcW w:w="822" w:type="pct"/>
            <w:shd w:val="clear" w:color="auto" w:fill="auto"/>
            <w:vAlign w:val="bottom"/>
          </w:tcPr>
          <w:p w:rsidR="007E73E4" w:rsidRDefault="007E73E4" w:rsidP="007E73E4">
            <w:pPr>
              <w:pStyle w:val="TableBodyText"/>
              <w:spacing w:before="40"/>
            </w:pPr>
            <w:r>
              <w:t>-0.33</w:t>
            </w:r>
          </w:p>
        </w:tc>
      </w:tr>
      <w:tr w:rsidR="007E73E4" w:rsidTr="00587EDC">
        <w:tc>
          <w:tcPr>
            <w:tcW w:w="1710" w:type="pct"/>
            <w:shd w:val="clear" w:color="auto" w:fill="D9D9D9" w:themeFill="background1" w:themeFillShade="D9"/>
            <w:vAlign w:val="bottom"/>
          </w:tcPr>
          <w:p w:rsidR="007E73E4" w:rsidRDefault="007E73E4" w:rsidP="007E73E4">
            <w:pPr>
              <w:pStyle w:val="TableBodyText"/>
              <w:spacing w:before="40"/>
              <w:jc w:val="left"/>
            </w:pPr>
            <w:r>
              <w:t>Metal products</w:t>
            </w:r>
          </w:p>
        </w:tc>
        <w:tc>
          <w:tcPr>
            <w:tcW w:w="822" w:type="pct"/>
            <w:shd w:val="clear" w:color="auto" w:fill="D9D9D9" w:themeFill="background1" w:themeFillShade="D9"/>
            <w:vAlign w:val="bottom"/>
          </w:tcPr>
          <w:p w:rsidR="007E73E4" w:rsidRDefault="007E73E4" w:rsidP="007E73E4">
            <w:pPr>
              <w:pStyle w:val="TableBodyText"/>
              <w:spacing w:before="40"/>
            </w:pPr>
            <w:r>
              <w:t>0.33</w:t>
            </w:r>
          </w:p>
        </w:tc>
        <w:tc>
          <w:tcPr>
            <w:tcW w:w="823" w:type="pct"/>
            <w:shd w:val="clear" w:color="auto" w:fill="D9D9D9" w:themeFill="background1" w:themeFillShade="D9"/>
            <w:vAlign w:val="bottom"/>
          </w:tcPr>
          <w:p w:rsidR="007E73E4" w:rsidRDefault="007E73E4" w:rsidP="007E73E4">
            <w:pPr>
              <w:pStyle w:val="TableBodyText"/>
              <w:spacing w:before="40"/>
            </w:pPr>
            <w:r>
              <w:t>1.64</w:t>
            </w:r>
          </w:p>
        </w:tc>
        <w:tc>
          <w:tcPr>
            <w:tcW w:w="823" w:type="pct"/>
            <w:shd w:val="clear" w:color="auto" w:fill="D9D9D9" w:themeFill="background1" w:themeFillShade="D9"/>
            <w:vAlign w:val="bottom"/>
          </w:tcPr>
          <w:p w:rsidR="007E73E4" w:rsidRDefault="007E73E4" w:rsidP="007E73E4">
            <w:pPr>
              <w:pStyle w:val="TableBodyText"/>
              <w:spacing w:before="40"/>
            </w:pPr>
            <w:r>
              <w:t>-1.39</w:t>
            </w:r>
          </w:p>
        </w:tc>
        <w:tc>
          <w:tcPr>
            <w:tcW w:w="822" w:type="pct"/>
            <w:shd w:val="clear" w:color="auto" w:fill="D9D9D9" w:themeFill="background1" w:themeFillShade="D9"/>
            <w:vAlign w:val="bottom"/>
          </w:tcPr>
          <w:p w:rsidR="007E73E4" w:rsidRDefault="007E73E4" w:rsidP="007E73E4">
            <w:pPr>
              <w:pStyle w:val="TableBodyText"/>
              <w:spacing w:before="40"/>
            </w:pPr>
            <w:r>
              <w:t>0.11</w:t>
            </w:r>
          </w:p>
        </w:tc>
      </w:tr>
      <w:tr w:rsidR="007E73E4" w:rsidTr="00587EDC">
        <w:tc>
          <w:tcPr>
            <w:tcW w:w="1710" w:type="pct"/>
            <w:shd w:val="clear" w:color="auto" w:fill="auto"/>
            <w:vAlign w:val="bottom"/>
          </w:tcPr>
          <w:p w:rsidR="007E73E4" w:rsidRDefault="007E73E4" w:rsidP="007E73E4">
            <w:pPr>
              <w:pStyle w:val="TableBodyText"/>
              <w:spacing w:before="40"/>
              <w:jc w:val="left"/>
            </w:pPr>
            <w:r>
              <w:t xml:space="preserve">Machinery &amp; equipment </w:t>
            </w:r>
            <w:proofErr w:type="spellStart"/>
            <w:r>
              <w:t>mfg</w:t>
            </w:r>
            <w:proofErr w:type="spellEnd"/>
          </w:p>
        </w:tc>
        <w:tc>
          <w:tcPr>
            <w:tcW w:w="822" w:type="pct"/>
            <w:shd w:val="clear" w:color="auto" w:fill="auto"/>
            <w:vAlign w:val="bottom"/>
          </w:tcPr>
          <w:p w:rsidR="007E73E4" w:rsidRDefault="007E73E4" w:rsidP="007E73E4">
            <w:pPr>
              <w:pStyle w:val="TableBodyText"/>
              <w:spacing w:before="40"/>
            </w:pPr>
            <w:r>
              <w:t>-0.60</w:t>
            </w:r>
          </w:p>
        </w:tc>
        <w:tc>
          <w:tcPr>
            <w:tcW w:w="823" w:type="pct"/>
            <w:shd w:val="clear" w:color="auto" w:fill="auto"/>
            <w:vAlign w:val="bottom"/>
          </w:tcPr>
          <w:p w:rsidR="007E73E4" w:rsidRDefault="007E73E4" w:rsidP="007E73E4">
            <w:pPr>
              <w:pStyle w:val="TableBodyText"/>
              <w:spacing w:before="40"/>
            </w:pPr>
            <w:r>
              <w:t>0.17</w:t>
            </w:r>
          </w:p>
        </w:tc>
        <w:tc>
          <w:tcPr>
            <w:tcW w:w="823" w:type="pct"/>
            <w:shd w:val="clear" w:color="auto" w:fill="auto"/>
            <w:vAlign w:val="bottom"/>
          </w:tcPr>
          <w:p w:rsidR="007E73E4" w:rsidRDefault="007E73E4" w:rsidP="007E73E4">
            <w:pPr>
              <w:pStyle w:val="TableBodyText"/>
              <w:spacing w:before="40"/>
            </w:pPr>
            <w:r>
              <w:t>-1.05</w:t>
            </w:r>
          </w:p>
        </w:tc>
        <w:tc>
          <w:tcPr>
            <w:tcW w:w="822" w:type="pct"/>
            <w:shd w:val="clear" w:color="auto" w:fill="auto"/>
            <w:vAlign w:val="bottom"/>
          </w:tcPr>
          <w:p w:rsidR="007E73E4" w:rsidRDefault="007E73E4" w:rsidP="007E73E4">
            <w:pPr>
              <w:pStyle w:val="TableBodyText"/>
              <w:spacing w:before="40"/>
            </w:pPr>
            <w:r>
              <w:t>0.29</w:t>
            </w:r>
          </w:p>
        </w:tc>
      </w:tr>
      <w:tr w:rsidR="007E73E4" w:rsidRPr="00486618" w:rsidTr="00587EDC">
        <w:tc>
          <w:tcPr>
            <w:tcW w:w="1710" w:type="pct"/>
            <w:shd w:val="clear" w:color="auto" w:fill="D9D9D9" w:themeFill="background1" w:themeFillShade="D9"/>
            <w:vAlign w:val="bottom"/>
          </w:tcPr>
          <w:p w:rsidR="007E73E4" w:rsidRPr="00486618" w:rsidRDefault="007E73E4" w:rsidP="007E73E4">
            <w:pPr>
              <w:pStyle w:val="TableBodyText"/>
              <w:spacing w:before="40"/>
              <w:jc w:val="left"/>
              <w:rPr>
                <w:i/>
              </w:rPr>
            </w:pPr>
            <w:r w:rsidRPr="00486618">
              <w:rPr>
                <w:i/>
              </w:rPr>
              <w:t>Aggregate of subsectors</w:t>
            </w:r>
          </w:p>
        </w:tc>
        <w:tc>
          <w:tcPr>
            <w:tcW w:w="822"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-1.56</w:t>
            </w:r>
          </w:p>
        </w:tc>
        <w:tc>
          <w:tcPr>
            <w:tcW w:w="823"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1.18</w:t>
            </w:r>
          </w:p>
        </w:tc>
        <w:tc>
          <w:tcPr>
            <w:tcW w:w="823"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-1.44</w:t>
            </w:r>
          </w:p>
        </w:tc>
        <w:tc>
          <w:tcPr>
            <w:tcW w:w="822" w:type="pct"/>
            <w:shd w:val="clear" w:color="auto" w:fill="D9D9D9" w:themeFill="background1" w:themeFillShade="D9"/>
            <w:vAlign w:val="bottom"/>
          </w:tcPr>
          <w:p w:rsidR="007E73E4" w:rsidRPr="00486618" w:rsidRDefault="007E73E4" w:rsidP="007E73E4">
            <w:pPr>
              <w:pStyle w:val="TableBodyText"/>
              <w:spacing w:before="40"/>
              <w:rPr>
                <w:i/>
              </w:rPr>
            </w:pPr>
            <w:r w:rsidRPr="00486618">
              <w:rPr>
                <w:i/>
              </w:rPr>
              <w:t>-1.29</w:t>
            </w:r>
          </w:p>
        </w:tc>
      </w:tr>
      <w:tr w:rsidR="007E73E4" w:rsidTr="00587EDC">
        <w:tc>
          <w:tcPr>
            <w:tcW w:w="1710" w:type="pct"/>
            <w:tcBorders>
              <w:bottom w:val="single" w:sz="6" w:space="0" w:color="auto"/>
            </w:tcBorders>
            <w:shd w:val="clear" w:color="auto" w:fill="auto"/>
            <w:vAlign w:val="bottom"/>
          </w:tcPr>
          <w:p w:rsidR="007E73E4" w:rsidRPr="00DF08FA" w:rsidRDefault="007E73E4" w:rsidP="007E73E4">
            <w:pPr>
              <w:pStyle w:val="TableBodyText"/>
              <w:spacing w:before="40"/>
              <w:jc w:val="left"/>
              <w:rPr>
                <w:b/>
              </w:rPr>
            </w:pPr>
            <w:r>
              <w:rPr>
                <w:b/>
              </w:rPr>
              <w:t>T</w:t>
            </w:r>
            <w:r w:rsidRPr="00C82A98">
              <w:rPr>
                <w:b/>
              </w:rPr>
              <w:t xml:space="preserve">otal </w:t>
            </w:r>
            <w:r>
              <w:rPr>
                <w:b/>
              </w:rPr>
              <w:t>Manufacturing (ABS)</w:t>
            </w:r>
          </w:p>
        </w:tc>
        <w:tc>
          <w:tcPr>
            <w:tcW w:w="822" w:type="pct"/>
            <w:tcBorders>
              <w:bottom w:val="single" w:sz="6" w:space="0" w:color="auto"/>
            </w:tcBorders>
            <w:shd w:val="clear" w:color="auto" w:fill="auto"/>
            <w:vAlign w:val="bottom"/>
          </w:tcPr>
          <w:p w:rsidR="007E73E4" w:rsidRPr="000515F7" w:rsidRDefault="007E73E4" w:rsidP="007E73E4">
            <w:pPr>
              <w:pStyle w:val="TableBodyText"/>
              <w:spacing w:before="40"/>
              <w:rPr>
                <w:b/>
              </w:rPr>
            </w:pPr>
            <w:r w:rsidRPr="000515F7">
              <w:rPr>
                <w:b/>
              </w:rPr>
              <w:t>-1.58</w:t>
            </w:r>
          </w:p>
        </w:tc>
        <w:tc>
          <w:tcPr>
            <w:tcW w:w="823" w:type="pct"/>
            <w:tcBorders>
              <w:bottom w:val="single" w:sz="6" w:space="0" w:color="auto"/>
            </w:tcBorders>
            <w:shd w:val="clear" w:color="auto" w:fill="auto"/>
            <w:vAlign w:val="bottom"/>
          </w:tcPr>
          <w:p w:rsidR="007E73E4" w:rsidRPr="000515F7" w:rsidRDefault="007E73E4" w:rsidP="007E73E4">
            <w:pPr>
              <w:pStyle w:val="TableBodyText"/>
              <w:spacing w:before="40"/>
              <w:rPr>
                <w:b/>
              </w:rPr>
            </w:pPr>
            <w:r w:rsidRPr="000515F7">
              <w:rPr>
                <w:b/>
              </w:rPr>
              <w:t>0.70</w:t>
            </w:r>
          </w:p>
        </w:tc>
        <w:tc>
          <w:tcPr>
            <w:tcW w:w="823" w:type="pct"/>
            <w:tcBorders>
              <w:bottom w:val="single" w:sz="6" w:space="0" w:color="auto"/>
            </w:tcBorders>
            <w:shd w:val="clear" w:color="auto" w:fill="auto"/>
            <w:vAlign w:val="bottom"/>
          </w:tcPr>
          <w:p w:rsidR="007E73E4" w:rsidRPr="000515F7" w:rsidRDefault="007E73E4" w:rsidP="007E73E4">
            <w:pPr>
              <w:pStyle w:val="TableBodyText"/>
              <w:spacing w:before="40"/>
              <w:rPr>
                <w:b/>
              </w:rPr>
            </w:pPr>
            <w:r w:rsidRPr="000515F7">
              <w:rPr>
                <w:b/>
              </w:rPr>
              <w:t>-1.47</w:t>
            </w:r>
          </w:p>
        </w:tc>
        <w:tc>
          <w:tcPr>
            <w:tcW w:w="822" w:type="pct"/>
            <w:tcBorders>
              <w:bottom w:val="single" w:sz="6" w:space="0" w:color="auto"/>
            </w:tcBorders>
            <w:shd w:val="clear" w:color="auto" w:fill="auto"/>
            <w:vAlign w:val="bottom"/>
          </w:tcPr>
          <w:p w:rsidR="007E73E4" w:rsidRPr="000515F7" w:rsidRDefault="007E73E4" w:rsidP="007E73E4">
            <w:pPr>
              <w:pStyle w:val="TableBodyText"/>
              <w:spacing w:before="40"/>
              <w:rPr>
                <w:b/>
              </w:rPr>
            </w:pPr>
            <w:r w:rsidRPr="000515F7">
              <w:rPr>
                <w:b/>
              </w:rPr>
              <w:t>-0.79</w:t>
            </w:r>
          </w:p>
        </w:tc>
      </w:tr>
    </w:tbl>
    <w:p w:rsidR="007E73E4" w:rsidRPr="007E07E8" w:rsidRDefault="007E73E4" w:rsidP="007E73E4">
      <w:pPr>
        <w:pStyle w:val="Note"/>
        <w:spacing w:after="120"/>
      </w:pPr>
      <w:r w:rsidRPr="007E07E8">
        <w:rPr>
          <w:rStyle w:val="NoteLabel"/>
        </w:rPr>
        <w:t>a</w:t>
      </w:r>
      <w:r w:rsidRPr="00EA603F">
        <w:t xml:space="preserve"> </w:t>
      </w:r>
      <w:r>
        <w:t xml:space="preserve">Capital services and hours worked weighted by income shares. </w:t>
      </w:r>
      <w:r w:rsidRPr="00D34580">
        <w:rPr>
          <w:rStyle w:val="NoteLabel"/>
        </w:rPr>
        <w:t>b</w:t>
      </w:r>
      <w:r>
        <w:t xml:space="preserve"> </w:t>
      </w:r>
      <w:r w:rsidRPr="00240299">
        <w:t xml:space="preserve">Growth in </w:t>
      </w:r>
      <w:r>
        <w:t>value added</w:t>
      </w:r>
      <w:r w:rsidRPr="00240299">
        <w:t xml:space="preserve"> less growth in hours worked and capital services do not add exactly to MFP growth </w:t>
      </w:r>
      <w:r>
        <w:t>due to approximation errors</w:t>
      </w:r>
      <w:r w:rsidRPr="00240299">
        <w:t>.</w:t>
      </w:r>
    </w:p>
    <w:p w:rsidR="007E73E4" w:rsidRDefault="007E73E4" w:rsidP="007E73E4">
      <w:pPr>
        <w:pStyle w:val="Source"/>
        <w:spacing w:before="40" w:after="0"/>
      </w:pPr>
      <w:r>
        <w:rPr>
          <w:i/>
        </w:rPr>
        <w:t>Sources</w:t>
      </w:r>
      <w:r>
        <w:t>: Authors’ estimates; ABS (</w:t>
      </w:r>
      <w:r w:rsidRPr="0050427A">
        <w:rPr>
          <w:i/>
        </w:rPr>
        <w:t>Experimental Estimates of Industry Mu</w:t>
      </w:r>
      <w:r>
        <w:rPr>
          <w:i/>
        </w:rPr>
        <w:t xml:space="preserve">ltifactor Productivity, 2010-11, </w:t>
      </w:r>
      <w:r>
        <w:t xml:space="preserve">Cat. no. 5260.0.55.002). </w:t>
      </w:r>
    </w:p>
    <w:p w:rsidR="009C7C4F" w:rsidRDefault="0047417B" w:rsidP="009C7C4F">
      <w:pPr>
        <w:pStyle w:val="FigureTitle"/>
      </w:pPr>
      <w:r>
        <w:rPr>
          <w:b w:val="0"/>
        </w:rPr>
        <w:lastRenderedPageBreak/>
        <w:t xml:space="preserve">Figure </w:t>
      </w:r>
      <w:bookmarkStart w:id="18" w:name="OLE_LINK20"/>
      <w:r w:rsidR="00E257AB">
        <w:rPr>
          <w:b w:val="0"/>
        </w:rPr>
        <w:t>3.</w:t>
      </w:r>
      <w:r w:rsidR="003538B8">
        <w:rPr>
          <w:b w:val="0"/>
          <w:noProof/>
        </w:rPr>
        <w:t>8</w:t>
      </w:r>
      <w:bookmarkEnd w:id="18"/>
      <w:r>
        <w:tab/>
      </w:r>
      <w:bookmarkStart w:id="19" w:name="FigureTitle"/>
      <w:r w:rsidR="00286016">
        <w:t>S</w:t>
      </w:r>
      <w:r w:rsidR="009C7C4F">
        <w:t>ubsector</w:t>
      </w:r>
      <w:r w:rsidR="00286016" w:rsidRPr="00286016">
        <w:rPr>
          <w:rStyle w:val="NoteLabel"/>
          <w:b/>
        </w:rPr>
        <w:t>a</w:t>
      </w:r>
      <w:r w:rsidR="009C7C4F">
        <w:t xml:space="preserve"> </w:t>
      </w:r>
      <w:r w:rsidR="00286016">
        <w:t xml:space="preserve">contributions </w:t>
      </w:r>
      <w:r w:rsidR="009C7C4F">
        <w:t xml:space="preserve">to </w:t>
      </w:r>
      <w:r w:rsidR="007123F9">
        <w:t xml:space="preserve">the change in Manufacturing </w:t>
      </w:r>
      <w:r w:rsidR="009C7C4F">
        <w:t xml:space="preserve">MFP </w:t>
      </w:r>
      <w:r w:rsidR="007123F9">
        <w:t xml:space="preserve">growth </w:t>
      </w:r>
      <w:r w:rsidR="009C7C4F">
        <w:t xml:space="preserve">and </w:t>
      </w:r>
      <w:r w:rsidR="007123F9">
        <w:t xml:space="preserve">its </w:t>
      </w:r>
      <w:r w:rsidR="009C7C4F">
        <w:t>proximate causes</w:t>
      </w:r>
      <w:r w:rsidR="007123F9">
        <w:t xml:space="preserve"> between cycles 3 and 4</w:t>
      </w:r>
    </w:p>
    <w:p w:rsidR="009C7C4F" w:rsidRDefault="007123F9" w:rsidP="009C7C4F">
      <w:pPr>
        <w:pStyle w:val="Subtitle"/>
      </w:pPr>
      <w:r>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0B0292" w:rsidRPr="00891258" w:rsidTr="0047417B">
        <w:tc>
          <w:tcPr>
            <w:tcW w:w="4388" w:type="dxa"/>
          </w:tcPr>
          <w:p w:rsidR="000B0292" w:rsidRPr="00891258" w:rsidRDefault="000B0292" w:rsidP="003C664D">
            <w:pPr>
              <w:pStyle w:val="Figure"/>
              <w:spacing w:after="0"/>
              <w:rPr>
                <w:i/>
                <w:sz w:val="22"/>
                <w:szCs w:val="22"/>
              </w:rPr>
            </w:pPr>
            <w:r w:rsidRPr="00891258">
              <w:rPr>
                <w:i/>
                <w:sz w:val="22"/>
                <w:szCs w:val="22"/>
              </w:rPr>
              <w:t>MFP</w:t>
            </w:r>
          </w:p>
        </w:tc>
        <w:tc>
          <w:tcPr>
            <w:tcW w:w="4389" w:type="dxa"/>
          </w:tcPr>
          <w:p w:rsidR="000B0292" w:rsidRPr="00891258" w:rsidRDefault="000B0292" w:rsidP="003C664D">
            <w:pPr>
              <w:pStyle w:val="Figure"/>
              <w:spacing w:after="0"/>
              <w:rPr>
                <w:i/>
                <w:sz w:val="22"/>
                <w:szCs w:val="22"/>
              </w:rPr>
            </w:pPr>
            <w:r w:rsidRPr="00891258">
              <w:rPr>
                <w:i/>
                <w:sz w:val="22"/>
                <w:szCs w:val="22"/>
              </w:rPr>
              <w:t>Val</w:t>
            </w:r>
            <w:r w:rsidR="00532B6F" w:rsidRPr="00891258">
              <w:rPr>
                <w:i/>
                <w:sz w:val="22"/>
                <w:szCs w:val="22"/>
              </w:rPr>
              <w:t>u</w:t>
            </w:r>
            <w:r w:rsidRPr="00891258">
              <w:rPr>
                <w:i/>
                <w:sz w:val="22"/>
                <w:szCs w:val="22"/>
              </w:rPr>
              <w:t>e added</w:t>
            </w:r>
          </w:p>
        </w:tc>
      </w:tr>
      <w:bookmarkEnd w:id="19"/>
      <w:tr w:rsidR="0047417B" w:rsidTr="0047417B">
        <w:tc>
          <w:tcPr>
            <w:tcW w:w="4388" w:type="dxa"/>
          </w:tcPr>
          <w:p w:rsidR="0047417B" w:rsidRDefault="00AF5615" w:rsidP="001E78FD">
            <w:pPr>
              <w:pStyle w:val="Figure"/>
              <w:spacing w:before="0" w:after="0"/>
            </w:pPr>
            <w:r>
              <w:pict>
                <v:shape id="_x0000_i1039" type="#_x0000_t75" alt="This figure comprise four charts showing the contributions of each of the subsectors in Manufacturing to the change in MFP, VA, labour and capital inputs between the last two complete cycles. Further details on this figure can be found within the text immediately before this image" style="width:206.25pt;height:197.25pt">
                  <v:imagedata r:id="rId23" o:title=""/>
                </v:shape>
              </w:pict>
            </w:r>
          </w:p>
        </w:tc>
        <w:tc>
          <w:tcPr>
            <w:tcW w:w="4389" w:type="dxa"/>
          </w:tcPr>
          <w:p w:rsidR="0047417B" w:rsidRDefault="00AF5615" w:rsidP="001E78FD">
            <w:pPr>
              <w:pStyle w:val="Figure"/>
              <w:spacing w:before="0" w:after="0"/>
            </w:pPr>
            <w:r>
              <w:pict>
                <v:shape id="_x0000_i1040" type="#_x0000_t75" alt="This figure comprise four charts showing the contributions of each of the subsectors in Manufacturing to the change in MFP, VA, labour and capital inputs between the last two complete cycles. Further details on this figure can be found within the text immediately before this image" style="width:206.25pt;height:198pt">
                  <v:imagedata r:id="rId24" o:title=""/>
                </v:shape>
              </w:pict>
            </w:r>
          </w:p>
        </w:tc>
      </w:tr>
      <w:tr w:rsidR="000B0292" w:rsidRPr="00891258" w:rsidTr="0047417B">
        <w:tc>
          <w:tcPr>
            <w:tcW w:w="4388" w:type="dxa"/>
          </w:tcPr>
          <w:p w:rsidR="000B0292" w:rsidRPr="00891258" w:rsidRDefault="005679C7" w:rsidP="003C664D">
            <w:pPr>
              <w:pStyle w:val="Figure"/>
              <w:spacing w:after="0"/>
              <w:rPr>
                <w:i/>
                <w:sz w:val="22"/>
                <w:szCs w:val="22"/>
              </w:rPr>
            </w:pPr>
            <w:r w:rsidRPr="00891258">
              <w:rPr>
                <w:i/>
                <w:sz w:val="22"/>
                <w:szCs w:val="22"/>
              </w:rPr>
              <w:t>Hours worked</w:t>
            </w:r>
          </w:p>
        </w:tc>
        <w:tc>
          <w:tcPr>
            <w:tcW w:w="4389" w:type="dxa"/>
          </w:tcPr>
          <w:p w:rsidR="000B0292" w:rsidRPr="00891258" w:rsidRDefault="00532B6F" w:rsidP="003C664D">
            <w:pPr>
              <w:pStyle w:val="Figure"/>
              <w:spacing w:after="0"/>
              <w:rPr>
                <w:i/>
                <w:sz w:val="22"/>
                <w:szCs w:val="22"/>
              </w:rPr>
            </w:pPr>
            <w:r w:rsidRPr="00891258">
              <w:rPr>
                <w:i/>
                <w:sz w:val="22"/>
                <w:szCs w:val="22"/>
              </w:rPr>
              <w:t>Capital services</w:t>
            </w:r>
          </w:p>
        </w:tc>
      </w:tr>
      <w:tr w:rsidR="004B7576" w:rsidTr="0047417B">
        <w:tc>
          <w:tcPr>
            <w:tcW w:w="4388" w:type="dxa"/>
          </w:tcPr>
          <w:p w:rsidR="004B7576" w:rsidRDefault="00AF5615" w:rsidP="001E78FD">
            <w:pPr>
              <w:pStyle w:val="Figure"/>
              <w:spacing w:before="0" w:after="0"/>
            </w:pPr>
            <w:r>
              <w:pict>
                <v:shape id="_x0000_i1041" type="#_x0000_t75" alt="This figure comprise four charts showing the contributions of each of the subsectors in Manufacturing to the change in MFP, VA, labour and capital inputs between the last two complete cycles. Further details on this figure can be found within the text immediately before this image" style="width:206.25pt;height:198.75pt">
                  <v:imagedata r:id="rId25" o:title=""/>
                </v:shape>
              </w:pict>
            </w:r>
          </w:p>
        </w:tc>
        <w:tc>
          <w:tcPr>
            <w:tcW w:w="4389" w:type="dxa"/>
          </w:tcPr>
          <w:p w:rsidR="004B7576" w:rsidRDefault="00AF5615" w:rsidP="001E78FD">
            <w:pPr>
              <w:pStyle w:val="Figure"/>
              <w:spacing w:before="0" w:after="0"/>
            </w:pPr>
            <w:r>
              <w:pict>
                <v:shape id="_x0000_i1042" type="#_x0000_t75" alt="This figure comprise four charts showing the contributions of each of the subsectors in Manufacturing to the change in MFP, VA, labour and capital inputs between the last two complete cycles. Further details on this figure can be found within the text immediately before this image" style="width:206.25pt;height:198.75pt">
                  <v:imagedata r:id="rId26" o:title=""/>
                </v:shape>
              </w:pict>
            </w:r>
          </w:p>
        </w:tc>
      </w:tr>
    </w:tbl>
    <w:p w:rsidR="00286016" w:rsidRDefault="00286016">
      <w:pPr>
        <w:pStyle w:val="Source"/>
        <w:rPr>
          <w:rStyle w:val="NoteLabel"/>
          <w:b w:val="0"/>
          <w:position w:val="0"/>
        </w:rPr>
      </w:pPr>
      <w:r>
        <w:rPr>
          <w:rStyle w:val="NoteLabel"/>
        </w:rPr>
        <w:t xml:space="preserve">a </w:t>
      </w:r>
      <w:proofErr w:type="spellStart"/>
      <w:r w:rsidRPr="009654AC">
        <w:rPr>
          <w:rStyle w:val="NoteLabel"/>
          <w:b w:val="0"/>
          <w:position w:val="0"/>
        </w:rPr>
        <w:t>FBT</w:t>
      </w:r>
      <w:proofErr w:type="spellEnd"/>
      <w:r w:rsidRPr="009654AC">
        <w:rPr>
          <w:rStyle w:val="NoteLabel"/>
          <w:b w:val="0"/>
          <w:position w:val="0"/>
        </w:rPr>
        <w:t xml:space="preserve"> is Food, beverage &amp; tobacco products; ME is Machinery &amp; equipment manufacturing</w:t>
      </w:r>
      <w:r w:rsidR="00076738">
        <w:rPr>
          <w:rStyle w:val="NoteLabel"/>
          <w:b w:val="0"/>
          <w:position w:val="0"/>
        </w:rPr>
        <w:t>;</w:t>
      </w:r>
      <w:r w:rsidR="00076738" w:rsidRPr="00076738">
        <w:rPr>
          <w:rStyle w:val="NoteLabel"/>
          <w:b w:val="0"/>
          <w:position w:val="0"/>
        </w:rPr>
        <w:t xml:space="preserve"> </w:t>
      </w:r>
      <w:r w:rsidR="00076738" w:rsidRPr="009654AC">
        <w:rPr>
          <w:rStyle w:val="NoteLabel"/>
          <w:b w:val="0"/>
          <w:position w:val="0"/>
        </w:rPr>
        <w:t xml:space="preserve">MP is Metal products; NM is Non-metallic mineral products; </w:t>
      </w:r>
      <w:proofErr w:type="spellStart"/>
      <w:r w:rsidR="00076738" w:rsidRPr="009654AC">
        <w:rPr>
          <w:rStyle w:val="NoteLabel"/>
          <w:b w:val="0"/>
          <w:position w:val="0"/>
        </w:rPr>
        <w:t>PCCR</w:t>
      </w:r>
      <w:proofErr w:type="spellEnd"/>
      <w:r w:rsidR="00076738" w:rsidRPr="009654AC">
        <w:rPr>
          <w:rStyle w:val="NoteLabel"/>
          <w:b w:val="0"/>
          <w:position w:val="0"/>
        </w:rPr>
        <w:t xml:space="preserve"> is Petroleum, coal, chemical and rubber products; </w:t>
      </w:r>
      <w:proofErr w:type="spellStart"/>
      <w:r w:rsidR="00076738" w:rsidRPr="009654AC">
        <w:rPr>
          <w:rStyle w:val="NoteLabel"/>
          <w:b w:val="0"/>
          <w:position w:val="0"/>
        </w:rPr>
        <w:t>PRM</w:t>
      </w:r>
      <w:proofErr w:type="spellEnd"/>
      <w:r w:rsidR="00076738">
        <w:rPr>
          <w:rStyle w:val="NoteLabel"/>
          <w:b w:val="0"/>
          <w:position w:val="0"/>
        </w:rPr>
        <w:t> </w:t>
      </w:r>
      <w:r w:rsidR="00076738" w:rsidRPr="009654AC">
        <w:rPr>
          <w:rStyle w:val="NoteLabel"/>
          <w:b w:val="0"/>
          <w:position w:val="0"/>
        </w:rPr>
        <w:t xml:space="preserve">is Printing &amp; recorded media; </w:t>
      </w:r>
      <w:proofErr w:type="spellStart"/>
      <w:r w:rsidR="00076738" w:rsidRPr="009654AC">
        <w:rPr>
          <w:rStyle w:val="NoteLabel"/>
          <w:b w:val="0"/>
          <w:position w:val="0"/>
        </w:rPr>
        <w:t>TCO</w:t>
      </w:r>
      <w:proofErr w:type="spellEnd"/>
      <w:r w:rsidR="00076738" w:rsidRPr="009654AC">
        <w:rPr>
          <w:rStyle w:val="NoteLabel"/>
          <w:b w:val="0"/>
          <w:position w:val="0"/>
        </w:rPr>
        <w:t xml:space="preserve"> is Textile, clothing &amp; other manufacturing; WP is Wood </w:t>
      </w:r>
      <w:r w:rsidR="00076738">
        <w:rPr>
          <w:rStyle w:val="NoteLabel"/>
          <w:b w:val="0"/>
          <w:position w:val="0"/>
        </w:rPr>
        <w:t>&amp; paper products</w:t>
      </w:r>
      <w:r w:rsidRPr="009654AC">
        <w:rPr>
          <w:rStyle w:val="NoteLabel"/>
          <w:b w:val="0"/>
          <w:position w:val="0"/>
        </w:rPr>
        <w:t>.</w:t>
      </w:r>
    </w:p>
    <w:p w:rsidR="0047417B" w:rsidRPr="00286016" w:rsidRDefault="0047417B" w:rsidP="00286016">
      <w:pPr>
        <w:pStyle w:val="Source"/>
      </w:pPr>
      <w:r w:rsidRPr="00286016">
        <w:rPr>
          <w:i/>
        </w:rPr>
        <w:t>Data source</w:t>
      </w:r>
      <w:r w:rsidRPr="00286016">
        <w:t xml:space="preserve">: </w:t>
      </w:r>
      <w:r w:rsidR="009C7C4F" w:rsidRPr="00286016">
        <w:t>Authors’ estimates.</w:t>
      </w:r>
    </w:p>
    <w:p w:rsidR="007E73E4" w:rsidRDefault="007E73E4">
      <w:pPr>
        <w:rPr>
          <w:rFonts w:ascii="Arial" w:hAnsi="Arial"/>
          <w:b/>
          <w:sz w:val="32"/>
          <w:szCs w:val="20"/>
        </w:rPr>
      </w:pPr>
      <w:r>
        <w:br w:type="page"/>
      </w:r>
    </w:p>
    <w:p w:rsidR="00994E2E" w:rsidRPr="005C40F3" w:rsidRDefault="00E257AB" w:rsidP="005C40F3">
      <w:pPr>
        <w:pStyle w:val="Heading2"/>
      </w:pPr>
      <w:r>
        <w:lastRenderedPageBreak/>
        <w:t>3.</w:t>
      </w:r>
      <w:r w:rsidR="003538B8">
        <w:rPr>
          <w:noProof/>
        </w:rPr>
        <w:t>4</w:t>
      </w:r>
      <w:r w:rsidR="00994E2E" w:rsidRPr="005C40F3">
        <w:tab/>
        <w:t>Selection of subsectors for detailed analysis</w:t>
      </w:r>
    </w:p>
    <w:p w:rsidR="00994E2E" w:rsidRPr="000360EB" w:rsidRDefault="00994E2E" w:rsidP="000360EB">
      <w:pPr>
        <w:pStyle w:val="BodyText"/>
      </w:pPr>
      <w:r w:rsidRPr="000360EB">
        <w:t>Based on the above MFP estimates, the subsectors selected for detailed analysis</w:t>
      </w:r>
      <w:r w:rsidR="000E0D9A" w:rsidRPr="000360EB">
        <w:t xml:space="preserve"> in the remainder of the paper </w:t>
      </w:r>
      <w:r w:rsidRPr="000360EB">
        <w:t>(chapters 4</w:t>
      </w:r>
      <w:r w:rsidR="00295FF7">
        <w:t>–</w:t>
      </w:r>
      <w:r w:rsidRPr="000360EB">
        <w:t>6) are: Petroleum, coal, chemical and rubber product</w:t>
      </w:r>
      <w:r w:rsidR="00C66B79">
        <w:t>s</w:t>
      </w:r>
      <w:r w:rsidRPr="000360EB">
        <w:t xml:space="preserve">; Food, beverage </w:t>
      </w:r>
      <w:r w:rsidR="008C261E">
        <w:t>and</w:t>
      </w:r>
      <w:r w:rsidRPr="000360EB">
        <w:t xml:space="preserve"> tobacco products and Metal products. (</w:t>
      </w:r>
      <w:r w:rsidR="00EC7F47" w:rsidRPr="000360EB">
        <w:t>A b</w:t>
      </w:r>
      <w:r w:rsidRPr="000360EB">
        <w:t xml:space="preserve">rief discussion of the </w:t>
      </w:r>
      <w:r w:rsidR="00EC7F47" w:rsidRPr="000360EB">
        <w:t xml:space="preserve">other subsectors </w:t>
      </w:r>
      <w:r w:rsidRPr="000360EB">
        <w:t xml:space="preserve">is provided in appendix </w:t>
      </w:r>
      <w:r w:rsidR="003A5343">
        <w:t>D</w:t>
      </w:r>
      <w:r w:rsidRPr="000360EB">
        <w:t xml:space="preserve">.) </w:t>
      </w:r>
    </w:p>
    <w:p w:rsidR="00994E2E" w:rsidRDefault="00994E2E" w:rsidP="00994E2E">
      <w:pPr>
        <w:pStyle w:val="BodyText"/>
      </w:pPr>
      <w:r>
        <w:t xml:space="preserve">These three subsectors have been </w:t>
      </w:r>
      <w:r w:rsidRPr="00044647">
        <w:t xml:space="preserve">selected </w:t>
      </w:r>
      <w:r>
        <w:t>because they ma</w:t>
      </w:r>
      <w:r w:rsidR="00295FF7">
        <w:t>de</w:t>
      </w:r>
      <w:r>
        <w:t xml:space="preserve"> the largest contributions to the decline in </w:t>
      </w:r>
      <w:r w:rsidR="00680E4D">
        <w:t xml:space="preserve">MFP for </w:t>
      </w:r>
      <w:r w:rsidR="00DC5BD7">
        <w:t>Manufacturing</w:t>
      </w:r>
      <w:r>
        <w:t xml:space="preserve"> </w:t>
      </w:r>
      <w:r w:rsidR="00680E4D">
        <w:t>in total</w:t>
      </w:r>
      <w:r>
        <w:t xml:space="preserve"> between the last two complete productivity cycles. Together</w:t>
      </w:r>
      <w:r w:rsidR="004433B5">
        <w:t>,</w:t>
      </w:r>
      <w:r>
        <w:t xml:space="preserve"> the</w:t>
      </w:r>
      <w:r w:rsidR="004433B5">
        <w:t>y</w:t>
      </w:r>
      <w:r>
        <w:t xml:space="preserve"> account</w:t>
      </w:r>
      <w:r w:rsidR="00295FF7">
        <w:t>ed</w:t>
      </w:r>
      <w:r>
        <w:t xml:space="preserve"> for almost two-thirds of the decline of </w:t>
      </w:r>
      <w:r w:rsidR="000360EB">
        <w:t>2.7</w:t>
      </w:r>
      <w:r>
        <w:t xml:space="preserve"> percentage points in </w:t>
      </w:r>
      <w:r w:rsidR="00DC5BD7">
        <w:t>Manufacturing</w:t>
      </w:r>
      <w:r>
        <w:t xml:space="preserve"> MFP between cycles.</w:t>
      </w:r>
      <w:r w:rsidR="000360EB">
        <w:rPr>
          <w:rStyle w:val="FootnoteReference"/>
        </w:rPr>
        <w:footnoteReference w:id="9"/>
      </w:r>
      <w:r>
        <w:t xml:space="preserve"> </w:t>
      </w:r>
    </w:p>
    <w:p w:rsidR="00994E2E" w:rsidRDefault="00994E2E" w:rsidP="00994E2E">
      <w:pPr>
        <w:pStyle w:val="BodyText"/>
      </w:pPr>
      <w:r>
        <w:t xml:space="preserve">Also, these subsectors </w:t>
      </w:r>
      <w:r w:rsidR="004433B5">
        <w:t>contribute</w:t>
      </w:r>
      <w:r w:rsidR="00295FF7">
        <w:t>d</w:t>
      </w:r>
      <w:r w:rsidR="004433B5">
        <w:t xml:space="preserve"> </w:t>
      </w:r>
      <w:r>
        <w:t xml:space="preserve">the majority of </w:t>
      </w:r>
      <w:r w:rsidR="0063615A">
        <w:t>value added</w:t>
      </w:r>
      <w:r>
        <w:t xml:space="preserve">, hours worked and investment in </w:t>
      </w:r>
      <w:r w:rsidR="00DC5BD7">
        <w:t>Manufacturing</w:t>
      </w:r>
      <w:r>
        <w:t xml:space="preserve">. In 2009-10, </w:t>
      </w:r>
      <w:r w:rsidR="007316B0" w:rsidRPr="000360EB">
        <w:t xml:space="preserve">Food, beverage </w:t>
      </w:r>
      <w:r w:rsidR="007316B0">
        <w:t>and</w:t>
      </w:r>
      <w:r w:rsidR="007316B0" w:rsidRPr="000360EB">
        <w:t xml:space="preserve"> tobacco products</w:t>
      </w:r>
      <w:r>
        <w:t xml:space="preserve">, </w:t>
      </w:r>
      <w:r w:rsidR="007316B0" w:rsidRPr="000360EB">
        <w:t>Petroleum, coal, chemical and rubber product</w:t>
      </w:r>
      <w:r w:rsidR="007316B0">
        <w:t>s</w:t>
      </w:r>
      <w:r>
        <w:t xml:space="preserve"> and </w:t>
      </w:r>
      <w:r w:rsidR="007316B0" w:rsidRPr="000360EB">
        <w:t>Metal products</w:t>
      </w:r>
      <w:r>
        <w:t xml:space="preserve"> together accounted for around 60 per cent of </w:t>
      </w:r>
      <w:r w:rsidR="0063615A">
        <w:t>value added</w:t>
      </w:r>
      <w:r>
        <w:t>, half of hours worked and two-thirds of investmen</w:t>
      </w:r>
      <w:r w:rsidR="001B2B9E">
        <w:t>t</w:t>
      </w:r>
      <w:r>
        <w:t xml:space="preserve"> for </w:t>
      </w:r>
      <w:r w:rsidR="00DC5BD7">
        <w:t>Manufacturing</w:t>
      </w:r>
      <w:r>
        <w:t xml:space="preserve"> as a whole. The quality of the estimates for these subsectors is also likely to be better than for some of the other subsectors</w:t>
      </w:r>
      <w:r w:rsidR="004433B5">
        <w:t>,</w:t>
      </w:r>
      <w:r w:rsidRPr="00BC458C">
        <w:t xml:space="preserve"> </w:t>
      </w:r>
      <w:r>
        <w:t>because they are relatively unaffected by industry classification change</w:t>
      </w:r>
      <w:r w:rsidR="005A3787">
        <w:t>s</w:t>
      </w:r>
      <w:r>
        <w:t xml:space="preserve"> and related data issues.</w:t>
      </w:r>
      <w:r>
        <w:rPr>
          <w:rStyle w:val="FootnoteReference"/>
        </w:rPr>
        <w:footnoteReference w:id="10"/>
      </w:r>
      <w:r>
        <w:t xml:space="preserve"> </w:t>
      </w:r>
    </w:p>
    <w:p w:rsidR="00994E2E" w:rsidRDefault="00994E2E" w:rsidP="00994E2E">
      <w:pPr>
        <w:pStyle w:val="BodyText"/>
      </w:pPr>
      <w:r>
        <w:t xml:space="preserve">The above analysis shows </w:t>
      </w:r>
      <w:r w:rsidR="004433B5">
        <w:t xml:space="preserve">that </w:t>
      </w:r>
      <w:r>
        <w:t>there is a range of different proximate causes for the contribution of these three subsectors to the aggregate MFP decline</w:t>
      </w:r>
      <w:r w:rsidR="00295FF7">
        <w:t>.</w:t>
      </w:r>
      <w:r>
        <w:t xml:space="preserve"> </w:t>
      </w:r>
    </w:p>
    <w:p w:rsidR="00994E2E" w:rsidRDefault="00994E2E" w:rsidP="00994E2E">
      <w:pPr>
        <w:pStyle w:val="ListBullet"/>
      </w:pPr>
      <w:r>
        <w:t xml:space="preserve">The decline in </w:t>
      </w:r>
      <w:r w:rsidR="007316B0">
        <w:t xml:space="preserve">the contribution of </w:t>
      </w:r>
      <w:r w:rsidR="007316B0" w:rsidRPr="000360EB">
        <w:t xml:space="preserve">Food, beverage </w:t>
      </w:r>
      <w:r w:rsidR="007316B0">
        <w:t>and</w:t>
      </w:r>
      <w:r w:rsidR="007316B0" w:rsidRPr="000360EB">
        <w:t xml:space="preserve"> tobacco products</w:t>
      </w:r>
      <w:r>
        <w:t xml:space="preserve"> </w:t>
      </w:r>
      <w:r w:rsidR="00295FF7">
        <w:t>wa</w:t>
      </w:r>
      <w:r>
        <w:t xml:space="preserve">s related to some slowing in </w:t>
      </w:r>
      <w:r w:rsidR="0063615A">
        <w:t>value added</w:t>
      </w:r>
      <w:r w:rsidR="008A4920">
        <w:t xml:space="preserve"> </w:t>
      </w:r>
      <w:r>
        <w:t>growth, much higher labour growth and fairly static capital growth.</w:t>
      </w:r>
    </w:p>
    <w:p w:rsidR="00994E2E" w:rsidRDefault="007316B0" w:rsidP="00994E2E">
      <w:pPr>
        <w:pStyle w:val="ListBullet"/>
      </w:pPr>
      <w:r w:rsidRPr="000360EB">
        <w:t>Petroleum, coal, chemical and rubber product</w:t>
      </w:r>
      <w:r>
        <w:t>s</w:t>
      </w:r>
      <w:r w:rsidR="00994E2E">
        <w:t xml:space="preserve"> ha</w:t>
      </w:r>
      <w:r w:rsidR="00295FF7">
        <w:t>d</w:t>
      </w:r>
      <w:r w:rsidR="00994E2E">
        <w:t xml:space="preserve"> a large decline in </w:t>
      </w:r>
      <w:r w:rsidR="0063615A">
        <w:t>value added</w:t>
      </w:r>
      <w:r w:rsidR="004036B7">
        <w:t xml:space="preserve"> </w:t>
      </w:r>
      <w:r w:rsidR="00994E2E">
        <w:t xml:space="preserve">growth (with an absolute decline in </w:t>
      </w:r>
      <w:r w:rsidR="0063615A">
        <w:t>value added</w:t>
      </w:r>
      <w:r w:rsidR="008A4920">
        <w:t xml:space="preserve"> </w:t>
      </w:r>
      <w:r w:rsidR="00994E2E">
        <w:t xml:space="preserve">in the last complete cycle), along with moderate growth in capital and slight growth in labour. </w:t>
      </w:r>
    </w:p>
    <w:p w:rsidR="00994E2E" w:rsidRDefault="00994E2E" w:rsidP="00994E2E">
      <w:pPr>
        <w:pStyle w:val="ListBullet"/>
      </w:pPr>
      <w:r>
        <w:t xml:space="preserve">Metal products </w:t>
      </w:r>
      <w:r w:rsidR="00295FF7">
        <w:t>wa</w:t>
      </w:r>
      <w:r>
        <w:t xml:space="preserve">s quite different with very high </w:t>
      </w:r>
      <w:r w:rsidR="0063615A">
        <w:t>value added</w:t>
      </w:r>
      <w:r w:rsidR="008A4920">
        <w:t xml:space="preserve"> </w:t>
      </w:r>
      <w:r>
        <w:t xml:space="preserve">growth, even larger capital growth </w:t>
      </w:r>
      <w:r w:rsidR="009467A3">
        <w:t>(which account</w:t>
      </w:r>
      <w:r w:rsidR="00295FF7">
        <w:t>ed</w:t>
      </w:r>
      <w:r w:rsidR="009467A3">
        <w:t xml:space="preserve"> for the majority of capital growth for the</w:t>
      </w:r>
      <w:r w:rsidR="00D8565A">
        <w:t xml:space="preserve"> entire</w:t>
      </w:r>
      <w:r w:rsidR="009467A3">
        <w:t xml:space="preserve"> </w:t>
      </w:r>
      <w:r w:rsidR="00DC5BD7">
        <w:t>Manufacturing</w:t>
      </w:r>
      <w:r w:rsidR="009467A3">
        <w:t xml:space="preserve"> sector), </w:t>
      </w:r>
      <w:r w:rsidR="002F0C09">
        <w:t>and</w:t>
      </w:r>
      <w:r>
        <w:t xml:space="preserve"> an increase in labour growth.</w:t>
      </w:r>
    </w:p>
    <w:p w:rsidR="00DF6CE3" w:rsidRDefault="00DF6CE3">
      <w:pPr>
        <w:rPr>
          <w:szCs w:val="20"/>
        </w:rPr>
      </w:pPr>
      <w:r>
        <w:br w:type="page"/>
      </w:r>
    </w:p>
    <w:p w:rsidR="00994E2E" w:rsidRDefault="00994E2E" w:rsidP="00994E2E">
      <w:pPr>
        <w:pStyle w:val="BodyText"/>
      </w:pPr>
      <w:r>
        <w:lastRenderedPageBreak/>
        <w:t>This is summarised in figure</w:t>
      </w:r>
      <w:r w:rsidR="0064242F">
        <w:t xml:space="preserve"> </w:t>
      </w:r>
      <w:r w:rsidR="00E257AB">
        <w:t>3.9</w:t>
      </w:r>
      <w:r w:rsidR="0004744E">
        <w:t>,</w:t>
      </w:r>
      <w:r>
        <w:t xml:space="preserve"> which shows the percentage point contributions of these three subsectors to the change in </w:t>
      </w:r>
      <w:r w:rsidR="008A4920">
        <w:t xml:space="preserve">total </w:t>
      </w:r>
      <w:r w:rsidR="00DC5BD7">
        <w:t>Manufacturing</w:t>
      </w:r>
      <w:r>
        <w:t xml:space="preserve"> </w:t>
      </w:r>
      <w:r w:rsidR="0063615A">
        <w:t>value added</w:t>
      </w:r>
      <w:r w:rsidR="0004744E">
        <w:t xml:space="preserve">, inputs </w:t>
      </w:r>
      <w:r>
        <w:t xml:space="preserve">and MFP </w:t>
      </w:r>
      <w:r w:rsidR="0004744E">
        <w:t>between</w:t>
      </w:r>
      <w:r>
        <w:t xml:space="preserve"> cycles 3 and 4. </w:t>
      </w:r>
      <w:r w:rsidR="001D416C">
        <w:t xml:space="preserve">The figure also shows that the rest of Manufacturing </w:t>
      </w:r>
      <w:r w:rsidR="00483724">
        <w:t xml:space="preserve">in aggregate </w:t>
      </w:r>
      <w:r w:rsidR="001D416C">
        <w:t xml:space="preserve">contributed to the MFP decline through a slowdown in </w:t>
      </w:r>
      <w:r w:rsidR="0063615A">
        <w:t>value added</w:t>
      </w:r>
      <w:r w:rsidR="001D416C">
        <w:t xml:space="preserve"> growth.</w:t>
      </w:r>
    </w:p>
    <w:p w:rsidR="00994E2E" w:rsidRDefault="00994E2E" w:rsidP="00994E2E">
      <w:pPr>
        <w:pStyle w:val="FigureTitle"/>
      </w:pPr>
      <w:r>
        <w:rPr>
          <w:b w:val="0"/>
        </w:rPr>
        <w:t xml:space="preserve">Figure </w:t>
      </w:r>
      <w:bookmarkStart w:id="20" w:name="OLE_LINK2"/>
      <w:r w:rsidR="00E257AB">
        <w:rPr>
          <w:b w:val="0"/>
        </w:rPr>
        <w:t>3.</w:t>
      </w:r>
      <w:r w:rsidR="003538B8">
        <w:rPr>
          <w:b w:val="0"/>
          <w:noProof/>
        </w:rPr>
        <w:t>9</w:t>
      </w:r>
      <w:bookmarkEnd w:id="20"/>
      <w:r>
        <w:tab/>
      </w:r>
      <w:r w:rsidR="007123F9">
        <w:t>Main s</w:t>
      </w:r>
      <w:r>
        <w:t>ubsector</w:t>
      </w:r>
      <w:r w:rsidR="007123F9">
        <w:t>s</w:t>
      </w:r>
      <w:r>
        <w:t xml:space="preserve"> contributi</w:t>
      </w:r>
      <w:r w:rsidR="007123F9">
        <w:t>ng</w:t>
      </w:r>
      <w:r>
        <w:t xml:space="preserve"> to </w:t>
      </w:r>
      <w:r w:rsidR="00C66B79">
        <w:t xml:space="preserve">change in </w:t>
      </w:r>
      <w:r w:rsidR="00032914">
        <w:t xml:space="preserve">the proximate causes of </w:t>
      </w:r>
      <w:r w:rsidR="00DC5BD7">
        <w:t>Manufacturing</w:t>
      </w:r>
      <w:r>
        <w:t xml:space="preserve"> MFP</w:t>
      </w:r>
      <w:r w:rsidR="00147E17">
        <w:t xml:space="preserve"> growth</w:t>
      </w:r>
      <w:r w:rsidR="00EA310F">
        <w:t xml:space="preserve"> between cycles 3 and 4</w:t>
      </w:r>
    </w:p>
    <w:p w:rsidR="00994E2E" w:rsidRDefault="00EA310F" w:rsidP="00994E2E">
      <w:pPr>
        <w:pStyle w:val="Subtitle"/>
      </w:pPr>
      <w:r>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94E2E" w:rsidTr="007423CC">
        <w:tc>
          <w:tcPr>
            <w:tcW w:w="8777" w:type="dxa"/>
          </w:tcPr>
          <w:p w:rsidR="00994E2E" w:rsidRDefault="00AF5615" w:rsidP="00AF4AA7">
            <w:pPr>
              <w:pStyle w:val="Figure"/>
              <w:spacing w:before="60" w:after="60"/>
            </w:pPr>
            <w:r>
              <w:pict>
                <v:shape id="_x0000_i1043" type="#_x0000_t75" alt="Details on this figure can be found within the text immediately before this image" style="width:424.5pt;height:198pt">
                  <v:imagedata r:id="rId27" o:title=""/>
                </v:shape>
              </w:pict>
            </w:r>
          </w:p>
        </w:tc>
      </w:tr>
    </w:tbl>
    <w:p w:rsidR="00994E2E" w:rsidRDefault="00994E2E" w:rsidP="00994E2E">
      <w:pPr>
        <w:pStyle w:val="Source"/>
      </w:pPr>
      <w:r>
        <w:rPr>
          <w:i/>
        </w:rPr>
        <w:t>Data source</w:t>
      </w:r>
      <w:r w:rsidRPr="00167F06">
        <w:t xml:space="preserve">: </w:t>
      </w:r>
      <w:r w:rsidR="00126887">
        <w:t>Authors’ estimates.</w:t>
      </w:r>
    </w:p>
    <w:p w:rsidR="00994E2E" w:rsidRDefault="00994E2E" w:rsidP="00994E2E">
      <w:pPr>
        <w:pStyle w:val="BodyText"/>
      </w:pPr>
      <w:r>
        <w:t xml:space="preserve">There is also a wide range of possible influences on productivity in these three subsectors. </w:t>
      </w:r>
      <w:r w:rsidR="00870DCB">
        <w:t>Some of t</w:t>
      </w:r>
      <w:r>
        <w:t xml:space="preserve">hese influences are explored </w:t>
      </w:r>
      <w:r w:rsidR="00F20D00">
        <w:t xml:space="preserve">for each of these subsectors </w:t>
      </w:r>
      <w:r>
        <w:t>in the following chapters.</w:t>
      </w:r>
    </w:p>
    <w:sectPr w:rsidR="00994E2E" w:rsidSect="00866B2A">
      <w:headerReference w:type="even" r:id="rId28"/>
      <w:headerReference w:type="default" r:id="rId29"/>
      <w:footerReference w:type="even" r:id="rId30"/>
      <w:footerReference w:type="default" r:id="rId31"/>
      <w:pgSz w:w="11907" w:h="16840" w:code="9"/>
      <w:pgMar w:top="1985" w:right="1304" w:bottom="1418" w:left="1814" w:header="1701" w:footer="567" w:gutter="0"/>
      <w:pgNumType w:start="5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EDC" w:rsidRDefault="00587EDC">
      <w:r>
        <w:separator/>
      </w:r>
    </w:p>
  </w:endnote>
  <w:endnote w:type="continuationSeparator" w:id="0">
    <w:p w:rsidR="00587EDC" w:rsidRDefault="0058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87EDC">
      <w:trPr>
        <w:trHeight w:hRule="exact" w:val="740"/>
      </w:trPr>
      <w:tc>
        <w:tcPr>
          <w:tcW w:w="510" w:type="dxa"/>
          <w:tcBorders>
            <w:top w:val="single" w:sz="6" w:space="0" w:color="auto"/>
          </w:tcBorders>
        </w:tcPr>
        <w:p w:rsidR="00587EDC" w:rsidRDefault="00587ED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A36D1">
            <w:rPr>
              <w:rStyle w:val="PageNumber"/>
              <w:noProof/>
            </w:rPr>
            <w:t>62</w:t>
          </w:r>
          <w:r>
            <w:rPr>
              <w:rStyle w:val="PageNumber"/>
            </w:rPr>
            <w:fldChar w:fldCharType="end"/>
          </w:r>
        </w:p>
      </w:tc>
      <w:tc>
        <w:tcPr>
          <w:tcW w:w="1644" w:type="dxa"/>
          <w:tcBorders>
            <w:top w:val="single" w:sz="6" w:space="0" w:color="auto"/>
          </w:tcBorders>
        </w:tcPr>
        <w:p w:rsidR="00587EDC" w:rsidRDefault="00D55419" w:rsidP="0019293B">
          <w:pPr>
            <w:pStyle w:val="Footer"/>
          </w:pPr>
          <w:r>
            <w:fldChar w:fldCharType="begin"/>
          </w:r>
          <w:r>
            <w:instrText xml:space="preserve"> SUBJECT  \* MERGEFORMAT </w:instrText>
          </w:r>
          <w:r>
            <w:fldChar w:fldCharType="separate"/>
          </w:r>
          <w:r w:rsidR="00587EDC">
            <w:t>Productivity in Manufacturing</w:t>
          </w:r>
          <w:r>
            <w:fldChar w:fldCharType="end"/>
          </w:r>
        </w:p>
      </w:tc>
      <w:tc>
        <w:tcPr>
          <w:tcW w:w="6634" w:type="dxa"/>
        </w:tcPr>
        <w:p w:rsidR="00587EDC" w:rsidRDefault="00587EDC" w:rsidP="0019293B">
          <w:pPr>
            <w:pStyle w:val="Footer"/>
          </w:pPr>
        </w:p>
      </w:tc>
    </w:tr>
  </w:tbl>
  <w:p w:rsidR="00587EDC" w:rsidRDefault="00587ED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87EDC">
      <w:trPr>
        <w:trHeight w:hRule="exact" w:val="740"/>
      </w:trPr>
      <w:tc>
        <w:tcPr>
          <w:tcW w:w="6634" w:type="dxa"/>
        </w:tcPr>
        <w:p w:rsidR="00587EDC" w:rsidRDefault="00587EDC">
          <w:pPr>
            <w:pStyle w:val="Footer"/>
            <w:ind w:right="360" w:firstLine="360"/>
          </w:pPr>
        </w:p>
      </w:tc>
      <w:tc>
        <w:tcPr>
          <w:tcW w:w="1644" w:type="dxa"/>
          <w:tcBorders>
            <w:top w:val="single" w:sz="6" w:space="0" w:color="auto"/>
          </w:tcBorders>
        </w:tcPr>
        <w:p w:rsidR="00587EDC" w:rsidRDefault="00D55419">
          <w:pPr>
            <w:pStyle w:val="Footer"/>
          </w:pPr>
          <w:r>
            <w:fldChar w:fldCharType="begin"/>
          </w:r>
          <w:r>
            <w:instrText xml:space="preserve"> TITLE  \* MERGEFORMAT </w:instrText>
          </w:r>
          <w:r>
            <w:fldChar w:fldCharType="separate"/>
          </w:r>
          <w:r w:rsidR="00587EDC">
            <w:t>Subsector productivity</w:t>
          </w:r>
          <w:r>
            <w:fldChar w:fldCharType="end"/>
          </w:r>
        </w:p>
      </w:tc>
      <w:tc>
        <w:tcPr>
          <w:tcW w:w="510" w:type="dxa"/>
          <w:tcBorders>
            <w:top w:val="single" w:sz="6" w:space="0" w:color="auto"/>
          </w:tcBorders>
        </w:tcPr>
        <w:p w:rsidR="00587EDC" w:rsidRDefault="00587EDC">
          <w:pPr>
            <w:pStyle w:val="Footer"/>
            <w:jc w:val="right"/>
          </w:pPr>
          <w:r>
            <w:rPr>
              <w:rStyle w:val="PageNumber"/>
            </w:rPr>
            <w:fldChar w:fldCharType="begin"/>
          </w:r>
          <w:r>
            <w:rPr>
              <w:rStyle w:val="PageNumber"/>
            </w:rPr>
            <w:instrText xml:space="preserve">PAGE  </w:instrText>
          </w:r>
          <w:r>
            <w:rPr>
              <w:rStyle w:val="PageNumber"/>
            </w:rPr>
            <w:fldChar w:fldCharType="separate"/>
          </w:r>
          <w:r w:rsidR="00D55419">
            <w:rPr>
              <w:rStyle w:val="PageNumber"/>
              <w:noProof/>
            </w:rPr>
            <w:t>51</w:t>
          </w:r>
          <w:r>
            <w:rPr>
              <w:rStyle w:val="PageNumber"/>
            </w:rPr>
            <w:fldChar w:fldCharType="end"/>
          </w:r>
        </w:p>
      </w:tc>
    </w:tr>
  </w:tbl>
  <w:p w:rsidR="00587EDC" w:rsidRDefault="00587ED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EDC" w:rsidRDefault="00587EDC">
      <w:r>
        <w:separator/>
      </w:r>
    </w:p>
  </w:footnote>
  <w:footnote w:type="continuationSeparator" w:id="0">
    <w:p w:rsidR="00587EDC" w:rsidRDefault="00587EDC">
      <w:r>
        <w:continuationSeparator/>
      </w:r>
    </w:p>
  </w:footnote>
  <w:footnote w:id="1">
    <w:p w:rsidR="00587EDC" w:rsidRPr="00111BDA" w:rsidRDefault="00587EDC" w:rsidP="00690EFD">
      <w:pPr>
        <w:pStyle w:val="FootnoteText"/>
        <w:rPr>
          <w:rStyle w:val="FootnoteTextChar2"/>
        </w:rPr>
      </w:pPr>
      <w:r>
        <w:rPr>
          <w:rStyle w:val="FootnoteReference"/>
        </w:rPr>
        <w:footnoteRef/>
      </w:r>
      <w:r>
        <w:tab/>
        <w:t xml:space="preserve">Includes Motor vehicle and motor vehicle part manufacturing. </w:t>
      </w:r>
      <w:r w:rsidRPr="00111BDA">
        <w:rPr>
          <w:rStyle w:val="FootnoteTextChar2"/>
        </w:rPr>
        <w:t>See appendix A for further details on ABS industry classifications</w:t>
      </w:r>
      <w:r>
        <w:rPr>
          <w:rStyle w:val="FootnoteTextChar2"/>
        </w:rPr>
        <w:t xml:space="preserve"> and the industries included each subsector</w:t>
      </w:r>
      <w:r w:rsidRPr="00111BDA">
        <w:rPr>
          <w:rStyle w:val="FootnoteTextChar2"/>
        </w:rPr>
        <w:t>.</w:t>
      </w:r>
      <w:r w:rsidRPr="00690EFD">
        <w:t xml:space="preserve"> </w:t>
      </w:r>
    </w:p>
  </w:footnote>
  <w:footnote w:id="2">
    <w:p w:rsidR="00587EDC" w:rsidRDefault="00587EDC">
      <w:pPr>
        <w:pStyle w:val="FootnoteText"/>
      </w:pPr>
      <w:r>
        <w:rPr>
          <w:rStyle w:val="FootnoteReference"/>
        </w:rPr>
        <w:footnoteRef/>
      </w:r>
      <w:r>
        <w:t xml:space="preserve"> </w:t>
      </w:r>
      <w:r>
        <w:tab/>
        <w:t>As noted in chapter 2, all outputs and inputs are measured in volume (real) terms.</w:t>
      </w:r>
    </w:p>
  </w:footnote>
  <w:footnote w:id="3">
    <w:p w:rsidR="00587EDC" w:rsidRDefault="00587EDC" w:rsidP="007310E3">
      <w:pPr>
        <w:pStyle w:val="FootnoteText"/>
      </w:pPr>
      <w:r>
        <w:rPr>
          <w:rStyle w:val="FootnoteReference"/>
        </w:rPr>
        <w:footnoteRef/>
      </w:r>
      <w:r>
        <w:t xml:space="preserve"> </w:t>
      </w:r>
      <w:r>
        <w:tab/>
        <w:t xml:space="preserve">Despite this approach, some subsectors are still less well estimated than others because of industry classification changes and practical limitations in </w:t>
      </w:r>
      <w:proofErr w:type="spellStart"/>
      <w:r>
        <w:t>backcasting</w:t>
      </w:r>
      <w:proofErr w:type="spellEnd"/>
      <w:r>
        <w:t xml:space="preserve">. </w:t>
      </w:r>
      <w:r w:rsidRPr="00CC0019">
        <w:t xml:space="preserve">Textile, clothing </w:t>
      </w:r>
      <w:r>
        <w:t>and</w:t>
      </w:r>
      <w:r w:rsidRPr="00CC0019">
        <w:t xml:space="preserve"> other manufacturing</w:t>
      </w:r>
      <w:r>
        <w:t xml:space="preserve"> and </w:t>
      </w:r>
      <w:r w:rsidRPr="00CC0019">
        <w:t xml:space="preserve">Printing </w:t>
      </w:r>
      <w:r>
        <w:t>and</w:t>
      </w:r>
      <w:r w:rsidRPr="00CC0019">
        <w:t xml:space="preserve"> recorded media</w:t>
      </w:r>
      <w:r>
        <w:t xml:space="preserve"> have been particularly affected by the change from the 1993 edition to the 2006 edition of </w:t>
      </w:r>
      <w:proofErr w:type="spellStart"/>
      <w:r>
        <w:t>ANZSIC</w:t>
      </w:r>
      <w:proofErr w:type="spellEnd"/>
      <w:r>
        <w:t xml:space="preserve"> — MFP estimates for these subsectors are therefore likely to be of lower quality. </w:t>
      </w:r>
    </w:p>
  </w:footnote>
  <w:footnote w:id="4">
    <w:p w:rsidR="00587EDC" w:rsidRDefault="00587EDC" w:rsidP="00383339">
      <w:pPr>
        <w:pStyle w:val="FootnoteText"/>
      </w:pPr>
      <w:r>
        <w:rPr>
          <w:rStyle w:val="FootnoteReference"/>
        </w:rPr>
        <w:footnoteRef/>
      </w:r>
      <w:r>
        <w:t xml:space="preserve"> </w:t>
      </w:r>
      <w:r>
        <w:tab/>
      </w:r>
      <w:r w:rsidRPr="006276F3">
        <w:t xml:space="preserve">Attempting consistency with the ABS </w:t>
      </w:r>
      <w:r>
        <w:t>total for Manufacturing</w:t>
      </w:r>
      <w:r w:rsidRPr="006276F3">
        <w:t xml:space="preserve"> has meant using subsector data </w:t>
      </w:r>
      <w:r>
        <w:t>for each variable from the survey used for that ABS total (or the closest available survey) rather than taking data for all variables from a single survey</w:t>
      </w:r>
      <w:r w:rsidRPr="006276F3">
        <w:t xml:space="preserve">. Any errors in the allocation of outputs and inputs to individual </w:t>
      </w:r>
      <w:r>
        <w:t>M</w:t>
      </w:r>
      <w:r w:rsidRPr="006276F3">
        <w:t xml:space="preserve">anufacturing </w:t>
      </w:r>
      <w:r>
        <w:t>subsectors</w:t>
      </w:r>
      <w:r w:rsidRPr="006276F3">
        <w:t xml:space="preserve"> are likely to be offsetting when aggregated to the sector level. But these errors may be more apparent at the subsector level and may vary across surveys</w:t>
      </w:r>
      <w:r>
        <w:t>, thus</w:t>
      </w:r>
      <w:r w:rsidRPr="006276F3">
        <w:t xml:space="preserve"> introducing some inconsistency between data taken from different surveys. </w:t>
      </w:r>
    </w:p>
    <w:p w:rsidR="00587EDC" w:rsidRDefault="00587EDC" w:rsidP="001810E9">
      <w:pPr>
        <w:pStyle w:val="FootnoteText"/>
      </w:pPr>
      <w:r>
        <w:tab/>
        <w:t>However, t</w:t>
      </w:r>
      <w:r w:rsidRPr="006276F3">
        <w:t>he most comprehensive ABS industry survey</w:t>
      </w:r>
      <w:r>
        <w:t xml:space="preserve">, the </w:t>
      </w:r>
      <w:r w:rsidRPr="009C2E67">
        <w:rPr>
          <w:i/>
        </w:rPr>
        <w:t>Economic Activity Survey</w:t>
      </w:r>
      <w:r w:rsidRPr="006276F3">
        <w:t xml:space="preserve"> (</w:t>
      </w:r>
      <w:r>
        <w:t xml:space="preserve">which underlies </w:t>
      </w:r>
      <w:r w:rsidRPr="006276F3">
        <w:t>ABS</w:t>
      </w:r>
      <w:r>
        <w:t xml:space="preserve"> publication </w:t>
      </w:r>
      <w:r>
        <w:rPr>
          <w:i/>
        </w:rPr>
        <w:t>Australian Industry</w:t>
      </w:r>
      <w:r w:rsidRPr="00356C57">
        <w:t>,</w:t>
      </w:r>
      <w:r w:rsidRPr="006276F3">
        <w:t xml:space="preserve"> </w:t>
      </w:r>
      <w:r>
        <w:t xml:space="preserve">Cat. no. </w:t>
      </w:r>
      <w:r w:rsidRPr="006276F3">
        <w:t>8155.0) has insufficient data to calculate capital services indexes and includes only employment</w:t>
      </w:r>
      <w:r>
        <w:t>,</w:t>
      </w:r>
      <w:r w:rsidRPr="006276F3">
        <w:t xml:space="preserve"> not hours worked. Also, there are a number of break</w:t>
      </w:r>
      <w:r>
        <w:t>s</w:t>
      </w:r>
      <w:r w:rsidRPr="006276F3">
        <w:t xml:space="preserve"> in series that hamper data comparability over time.</w:t>
      </w:r>
      <w:r>
        <w:t xml:space="preserve"> </w:t>
      </w:r>
    </w:p>
  </w:footnote>
  <w:footnote w:id="5">
    <w:p w:rsidR="00587EDC" w:rsidRDefault="00587EDC" w:rsidP="00194B6A">
      <w:pPr>
        <w:pStyle w:val="FootnoteText"/>
      </w:pPr>
      <w:r>
        <w:rPr>
          <w:rStyle w:val="FootnoteReference"/>
        </w:rPr>
        <w:footnoteRef/>
      </w:r>
      <w:r>
        <w:t xml:space="preserve"> </w:t>
      </w:r>
      <w:r>
        <w:tab/>
        <w:t xml:space="preserve">The cycles used in this chapter are for Manufacturing in total (and are particularly relevant to identifying contributions of subsectors to changes in total Manufacturing over those periods). Subsector-specific cycles are examined in appendix C. These subsector-specific cycles may be a better basis on which to examine MFP growth </w:t>
      </w:r>
      <w:r w:rsidRPr="00EE2278">
        <w:rPr>
          <w:i/>
        </w:rPr>
        <w:t>within</w:t>
      </w:r>
      <w:r>
        <w:t xml:space="preserve"> a subsector over time. However, in general, the pattern of increase/decrease in average MFP growth from cycle to cycle is not changed if subsector-specific cycles are used instead of total Manufacturing cycles (although the magnitudes of the average growth rates vary). Therefore, for simplicity, the total Manufacturing cycles are used throughout the main body of this paper. Nonetheless, there are particular implications of using industry-specific cycles for </w:t>
      </w:r>
      <w:r w:rsidRPr="00CC0019">
        <w:t xml:space="preserve">Petroleum, coal, chemical </w:t>
      </w:r>
      <w:r>
        <w:t>and</w:t>
      </w:r>
      <w:r w:rsidRPr="00CC0019">
        <w:t xml:space="preserve"> rubber products</w:t>
      </w:r>
      <w:r>
        <w:t xml:space="preserve"> as discussed in chapter 4. </w:t>
      </w:r>
    </w:p>
  </w:footnote>
  <w:footnote w:id="6">
    <w:p w:rsidR="00587EDC" w:rsidRPr="005961D0" w:rsidRDefault="00587EDC">
      <w:pPr>
        <w:pStyle w:val="FootnoteText"/>
      </w:pPr>
      <w:r>
        <w:rPr>
          <w:rStyle w:val="FootnoteReference"/>
        </w:rPr>
        <w:footnoteRef/>
      </w:r>
      <w:r>
        <w:t xml:space="preserve"> </w:t>
      </w:r>
      <w:r>
        <w:tab/>
        <w:t xml:space="preserve">This is based on the contribution of the three subsectors, as a share of the sum of the estimated contributions for all eight subsectors, not of the ABS estimate for Manufacturing in total. </w:t>
      </w:r>
    </w:p>
  </w:footnote>
  <w:footnote w:id="7">
    <w:p w:rsidR="00587EDC" w:rsidRDefault="00587EDC" w:rsidP="004F6A73">
      <w:pPr>
        <w:pStyle w:val="FootnoteText"/>
      </w:pPr>
      <w:r>
        <w:rPr>
          <w:rStyle w:val="FootnoteReference"/>
        </w:rPr>
        <w:footnoteRef/>
      </w:r>
      <w:r>
        <w:t xml:space="preserve"> </w:t>
      </w:r>
      <w:r>
        <w:tab/>
        <w:t xml:space="preserve">This does not indicate whether or not change in the composition of manufacturing activities </w:t>
      </w:r>
      <w:r w:rsidRPr="0050712C">
        <w:rPr>
          <w:i/>
        </w:rPr>
        <w:t>within</w:t>
      </w:r>
      <w:r>
        <w:t xml:space="preserve"> individual subsectors contributed to the change in MFP for Manufacturing in total. The effect of change in the composition of a subsector is captured in the measure of MFP growth for that subsector.</w:t>
      </w:r>
    </w:p>
  </w:footnote>
  <w:footnote w:id="8">
    <w:p w:rsidR="00587EDC" w:rsidRDefault="00587EDC" w:rsidP="008C168B">
      <w:pPr>
        <w:pStyle w:val="FootnoteText"/>
      </w:pPr>
      <w:r>
        <w:rPr>
          <w:rStyle w:val="FootnoteReference"/>
        </w:rPr>
        <w:footnoteRef/>
      </w:r>
      <w:r>
        <w:t xml:space="preserve"> </w:t>
      </w:r>
      <w:r>
        <w:tab/>
        <w:t xml:space="preserve">The change between cycle 4 and the incomplete cycle is discussed in appendix D. </w:t>
      </w:r>
    </w:p>
  </w:footnote>
  <w:footnote w:id="9">
    <w:p w:rsidR="00587EDC" w:rsidRDefault="00587EDC" w:rsidP="00B8282F">
      <w:pPr>
        <w:pStyle w:val="FootnoteText"/>
        <w:tabs>
          <w:tab w:val="clear" w:pos="284"/>
        </w:tabs>
      </w:pPr>
      <w:r>
        <w:rPr>
          <w:rStyle w:val="FootnoteReference"/>
        </w:rPr>
        <w:footnoteRef/>
      </w:r>
      <w:r>
        <w:t xml:space="preserve"> </w:t>
      </w:r>
      <w:r>
        <w:tab/>
        <w:t>Calculated as the share of the sum of the subsector MFP contributions, which due to approximation error will differ from</w:t>
      </w:r>
      <w:r w:rsidRPr="00D82C39">
        <w:t xml:space="preserve"> </w:t>
      </w:r>
      <w:r>
        <w:t xml:space="preserve">the aggregate of the subsector estimates of the MFP growth (table </w:t>
      </w:r>
      <w:r>
        <w:fldChar w:fldCharType="begin"/>
      </w:r>
      <w:r>
        <w:instrText xml:space="preserve"> LINK Word.Document.12 "\\\\Nch1\\data\\groups\\GRB\\Projects and papers\\Current\\Manufacturing\\Drafts\\Mfg Ch 3 Subsector Productivity.docx" "OLE_LINK3" \a \t </w:instrText>
      </w:r>
      <w:r>
        <w:fldChar w:fldCharType="separate"/>
      </w:r>
      <w:r>
        <w:t>3.3</w:t>
      </w:r>
      <w:r>
        <w:fldChar w:fldCharType="end"/>
      </w:r>
      <w:r>
        <w:t xml:space="preserve">). </w:t>
      </w:r>
    </w:p>
  </w:footnote>
  <w:footnote w:id="10">
    <w:p w:rsidR="00587EDC" w:rsidRDefault="00587EDC" w:rsidP="00B8282F">
      <w:pPr>
        <w:pStyle w:val="FootnoteText"/>
        <w:tabs>
          <w:tab w:val="clear" w:pos="284"/>
        </w:tabs>
      </w:pPr>
      <w:r>
        <w:rPr>
          <w:rStyle w:val="FootnoteReference"/>
        </w:rPr>
        <w:footnoteRef/>
      </w:r>
      <w:r>
        <w:t xml:space="preserve"> </w:t>
      </w:r>
      <w:r>
        <w:tab/>
        <w:t xml:space="preserve">For example, Textile, clothing and other manufacturing and Printing and recorded media are more affected by industry classification changes and the grouping of industry subdivisions.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87EDC">
      <w:tc>
        <w:tcPr>
          <w:tcW w:w="2155" w:type="dxa"/>
          <w:tcBorders>
            <w:top w:val="single" w:sz="24" w:space="0" w:color="auto"/>
          </w:tcBorders>
        </w:tcPr>
        <w:p w:rsidR="00587EDC" w:rsidRDefault="00587EDC" w:rsidP="0019293B">
          <w:pPr>
            <w:pStyle w:val="HeaderEven"/>
          </w:pPr>
        </w:p>
      </w:tc>
      <w:tc>
        <w:tcPr>
          <w:tcW w:w="6634" w:type="dxa"/>
          <w:tcBorders>
            <w:top w:val="single" w:sz="6" w:space="0" w:color="auto"/>
          </w:tcBorders>
        </w:tcPr>
        <w:p w:rsidR="00587EDC" w:rsidRDefault="00587EDC" w:rsidP="0019293B">
          <w:pPr>
            <w:pStyle w:val="HeaderEven"/>
          </w:pPr>
        </w:p>
      </w:tc>
    </w:tr>
  </w:tbl>
  <w:p w:rsidR="00587EDC" w:rsidRDefault="00587ED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87EDC">
      <w:tc>
        <w:tcPr>
          <w:tcW w:w="6634" w:type="dxa"/>
          <w:tcBorders>
            <w:top w:val="single" w:sz="6" w:space="0" w:color="auto"/>
          </w:tcBorders>
        </w:tcPr>
        <w:p w:rsidR="00587EDC" w:rsidRDefault="00587EDC" w:rsidP="00E669E2">
          <w:pPr>
            <w:pStyle w:val="HeaderOdd"/>
          </w:pPr>
        </w:p>
      </w:tc>
      <w:tc>
        <w:tcPr>
          <w:tcW w:w="2155" w:type="dxa"/>
          <w:tcBorders>
            <w:top w:val="single" w:sz="24" w:space="0" w:color="auto"/>
          </w:tcBorders>
        </w:tcPr>
        <w:p w:rsidR="00587EDC" w:rsidRDefault="00587EDC" w:rsidP="00E669E2">
          <w:pPr>
            <w:pStyle w:val="HeaderOdd"/>
          </w:pPr>
        </w:p>
      </w:tc>
    </w:tr>
  </w:tbl>
  <w:p w:rsidR="00587EDC" w:rsidRDefault="00587ED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327F6C23"/>
    <w:multiLevelType w:val="hybridMultilevel"/>
    <w:tmpl w:val="E87C5BA2"/>
    <w:lvl w:ilvl="0" w:tplc="3208B41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74632B"/>
    <w:multiLevelType w:val="hybridMultilevel"/>
    <w:tmpl w:val="FCA01CEC"/>
    <w:lvl w:ilvl="0" w:tplc="6BB20D42">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6"/>
  </w:num>
  <w:num w:numId="3">
    <w:abstractNumId w:val="0"/>
  </w:num>
  <w:num w:numId="4">
    <w:abstractNumId w:val="11"/>
  </w:num>
  <w:num w:numId="5">
    <w:abstractNumId w:val="1"/>
  </w:num>
  <w:num w:numId="6">
    <w:abstractNumId w:val="15"/>
  </w:num>
  <w:num w:numId="7">
    <w:abstractNumId w:val="13"/>
  </w:num>
  <w:num w:numId="8">
    <w:abstractNumId w:val="18"/>
  </w:num>
  <w:num w:numId="9">
    <w:abstractNumId w:val="5"/>
  </w:num>
  <w:num w:numId="10">
    <w:abstractNumId w:val="12"/>
  </w:num>
  <w:num w:numId="11">
    <w:abstractNumId w:val="4"/>
  </w:num>
  <w:num w:numId="12">
    <w:abstractNumId w:val="3"/>
  </w:num>
  <w:num w:numId="13">
    <w:abstractNumId w:val="6"/>
  </w:num>
  <w:num w:numId="14">
    <w:abstractNumId w:val="7"/>
  </w:num>
  <w:num w:numId="15">
    <w:abstractNumId w:val="10"/>
  </w:num>
  <w:num w:numId="16">
    <w:abstractNumId w:val="2"/>
  </w:num>
  <w:num w:numId="17">
    <w:abstractNumId w:val="14"/>
  </w:num>
  <w:num w:numId="18">
    <w:abstractNumId w:val="17"/>
  </w:num>
  <w:num w:numId="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ubsector productivity"/>
    <w:docVar w:name="ShortReportTitle" w:val="Productivity in Manufacturing"/>
  </w:docVars>
  <w:rsids>
    <w:rsidRoot w:val="007310E3"/>
    <w:rsid w:val="00000D14"/>
    <w:rsid w:val="00002315"/>
    <w:rsid w:val="00012B46"/>
    <w:rsid w:val="000149AB"/>
    <w:rsid w:val="00015ECF"/>
    <w:rsid w:val="0002078B"/>
    <w:rsid w:val="000209C0"/>
    <w:rsid w:val="00021B89"/>
    <w:rsid w:val="00022799"/>
    <w:rsid w:val="000227D5"/>
    <w:rsid w:val="00022AA5"/>
    <w:rsid w:val="00023901"/>
    <w:rsid w:val="00023CE6"/>
    <w:rsid w:val="000245AA"/>
    <w:rsid w:val="0003177B"/>
    <w:rsid w:val="00031892"/>
    <w:rsid w:val="00032914"/>
    <w:rsid w:val="00032E50"/>
    <w:rsid w:val="00034483"/>
    <w:rsid w:val="00035120"/>
    <w:rsid w:val="000360EB"/>
    <w:rsid w:val="0003664B"/>
    <w:rsid w:val="00040B06"/>
    <w:rsid w:val="00040F2A"/>
    <w:rsid w:val="0004111F"/>
    <w:rsid w:val="0004744E"/>
    <w:rsid w:val="00050664"/>
    <w:rsid w:val="000515F7"/>
    <w:rsid w:val="000532EE"/>
    <w:rsid w:val="000565B3"/>
    <w:rsid w:val="000605B7"/>
    <w:rsid w:val="00063EC6"/>
    <w:rsid w:val="0007150B"/>
    <w:rsid w:val="00071738"/>
    <w:rsid w:val="00076738"/>
    <w:rsid w:val="00076E8F"/>
    <w:rsid w:val="00077907"/>
    <w:rsid w:val="00077ABB"/>
    <w:rsid w:val="00083A97"/>
    <w:rsid w:val="00092D47"/>
    <w:rsid w:val="000938F5"/>
    <w:rsid w:val="00093ED0"/>
    <w:rsid w:val="00094465"/>
    <w:rsid w:val="000949B6"/>
    <w:rsid w:val="00096D95"/>
    <w:rsid w:val="00096E55"/>
    <w:rsid w:val="00097199"/>
    <w:rsid w:val="000976AD"/>
    <w:rsid w:val="000A31FB"/>
    <w:rsid w:val="000A397D"/>
    <w:rsid w:val="000A44A7"/>
    <w:rsid w:val="000A47D2"/>
    <w:rsid w:val="000A5627"/>
    <w:rsid w:val="000B0292"/>
    <w:rsid w:val="000B4616"/>
    <w:rsid w:val="000B5694"/>
    <w:rsid w:val="000B601B"/>
    <w:rsid w:val="000B65C1"/>
    <w:rsid w:val="000C0D60"/>
    <w:rsid w:val="000C1641"/>
    <w:rsid w:val="000C207E"/>
    <w:rsid w:val="000C272C"/>
    <w:rsid w:val="000C3B9F"/>
    <w:rsid w:val="000D02D8"/>
    <w:rsid w:val="000E0D9A"/>
    <w:rsid w:val="000E305B"/>
    <w:rsid w:val="000E6552"/>
    <w:rsid w:val="000E6D9B"/>
    <w:rsid w:val="000E76A8"/>
    <w:rsid w:val="000F0035"/>
    <w:rsid w:val="000F241A"/>
    <w:rsid w:val="000F420B"/>
    <w:rsid w:val="000F7751"/>
    <w:rsid w:val="000F7FFE"/>
    <w:rsid w:val="001010E7"/>
    <w:rsid w:val="0010119C"/>
    <w:rsid w:val="001014DC"/>
    <w:rsid w:val="0010751E"/>
    <w:rsid w:val="00110116"/>
    <w:rsid w:val="00111BDA"/>
    <w:rsid w:val="0011214A"/>
    <w:rsid w:val="001136AB"/>
    <w:rsid w:val="001166EE"/>
    <w:rsid w:val="001175EF"/>
    <w:rsid w:val="00120072"/>
    <w:rsid w:val="00126887"/>
    <w:rsid w:val="00126EB8"/>
    <w:rsid w:val="001274D4"/>
    <w:rsid w:val="00132C2C"/>
    <w:rsid w:val="001331F4"/>
    <w:rsid w:val="00133DE2"/>
    <w:rsid w:val="00134C28"/>
    <w:rsid w:val="001363AA"/>
    <w:rsid w:val="00141D90"/>
    <w:rsid w:val="0014428E"/>
    <w:rsid w:val="00147E17"/>
    <w:rsid w:val="001511AE"/>
    <w:rsid w:val="001579F7"/>
    <w:rsid w:val="00160E7C"/>
    <w:rsid w:val="00166FBB"/>
    <w:rsid w:val="00175317"/>
    <w:rsid w:val="001810E9"/>
    <w:rsid w:val="0018152D"/>
    <w:rsid w:val="001817A3"/>
    <w:rsid w:val="00182F26"/>
    <w:rsid w:val="00183E82"/>
    <w:rsid w:val="00185A0B"/>
    <w:rsid w:val="00186F03"/>
    <w:rsid w:val="001878BB"/>
    <w:rsid w:val="00187E2D"/>
    <w:rsid w:val="001914CB"/>
    <w:rsid w:val="00191AE0"/>
    <w:rsid w:val="0019293B"/>
    <w:rsid w:val="00194B6A"/>
    <w:rsid w:val="00194D63"/>
    <w:rsid w:val="001A1E8E"/>
    <w:rsid w:val="001B2B9E"/>
    <w:rsid w:val="001B302D"/>
    <w:rsid w:val="001C0803"/>
    <w:rsid w:val="001C0865"/>
    <w:rsid w:val="001C3ABA"/>
    <w:rsid w:val="001C4EF1"/>
    <w:rsid w:val="001C5C48"/>
    <w:rsid w:val="001D06EA"/>
    <w:rsid w:val="001D2497"/>
    <w:rsid w:val="001D3C3E"/>
    <w:rsid w:val="001D416C"/>
    <w:rsid w:val="001D4BAA"/>
    <w:rsid w:val="001D633F"/>
    <w:rsid w:val="001E176A"/>
    <w:rsid w:val="001E30AF"/>
    <w:rsid w:val="001E3BA4"/>
    <w:rsid w:val="001E3E4A"/>
    <w:rsid w:val="001E422B"/>
    <w:rsid w:val="001E5BAF"/>
    <w:rsid w:val="001E616E"/>
    <w:rsid w:val="001E78FD"/>
    <w:rsid w:val="001E7BE8"/>
    <w:rsid w:val="001F0248"/>
    <w:rsid w:val="001F0C1A"/>
    <w:rsid w:val="001F3EB3"/>
    <w:rsid w:val="001F403C"/>
    <w:rsid w:val="001F4F86"/>
    <w:rsid w:val="002013C6"/>
    <w:rsid w:val="00202C2C"/>
    <w:rsid w:val="002135AB"/>
    <w:rsid w:val="002144BE"/>
    <w:rsid w:val="002160C6"/>
    <w:rsid w:val="00217DF3"/>
    <w:rsid w:val="00220223"/>
    <w:rsid w:val="00230299"/>
    <w:rsid w:val="00231AA6"/>
    <w:rsid w:val="00234F6C"/>
    <w:rsid w:val="00237A47"/>
    <w:rsid w:val="00242279"/>
    <w:rsid w:val="00245C82"/>
    <w:rsid w:val="00254D2D"/>
    <w:rsid w:val="00255EF0"/>
    <w:rsid w:val="00261586"/>
    <w:rsid w:val="002649C7"/>
    <w:rsid w:val="002806C2"/>
    <w:rsid w:val="00282942"/>
    <w:rsid w:val="00286016"/>
    <w:rsid w:val="002860C4"/>
    <w:rsid w:val="00286B49"/>
    <w:rsid w:val="00291B40"/>
    <w:rsid w:val="002940AD"/>
    <w:rsid w:val="00295FF7"/>
    <w:rsid w:val="0029648F"/>
    <w:rsid w:val="002A2533"/>
    <w:rsid w:val="002B4008"/>
    <w:rsid w:val="002B47C7"/>
    <w:rsid w:val="002B65C9"/>
    <w:rsid w:val="002C3EF6"/>
    <w:rsid w:val="002C4B1E"/>
    <w:rsid w:val="002C770D"/>
    <w:rsid w:val="002D0E8E"/>
    <w:rsid w:val="002F0C09"/>
    <w:rsid w:val="002F6173"/>
    <w:rsid w:val="003009E4"/>
    <w:rsid w:val="00300A88"/>
    <w:rsid w:val="00301189"/>
    <w:rsid w:val="003046D9"/>
    <w:rsid w:val="00304EE2"/>
    <w:rsid w:val="00305E08"/>
    <w:rsid w:val="00306433"/>
    <w:rsid w:val="00306F13"/>
    <w:rsid w:val="00311B79"/>
    <w:rsid w:val="0031277F"/>
    <w:rsid w:val="00317325"/>
    <w:rsid w:val="00320CE5"/>
    <w:rsid w:val="00323E09"/>
    <w:rsid w:val="00330FC6"/>
    <w:rsid w:val="003313A1"/>
    <w:rsid w:val="00332DA0"/>
    <w:rsid w:val="00333932"/>
    <w:rsid w:val="00344546"/>
    <w:rsid w:val="0035114B"/>
    <w:rsid w:val="003518AA"/>
    <w:rsid w:val="00352165"/>
    <w:rsid w:val="00353182"/>
    <w:rsid w:val="003538B8"/>
    <w:rsid w:val="003565D9"/>
    <w:rsid w:val="00356C57"/>
    <w:rsid w:val="00357E85"/>
    <w:rsid w:val="003602E1"/>
    <w:rsid w:val="0036501A"/>
    <w:rsid w:val="003652C5"/>
    <w:rsid w:val="00370085"/>
    <w:rsid w:val="0037026F"/>
    <w:rsid w:val="00370860"/>
    <w:rsid w:val="00371240"/>
    <w:rsid w:val="00373C17"/>
    <w:rsid w:val="00374731"/>
    <w:rsid w:val="00374E00"/>
    <w:rsid w:val="00376E59"/>
    <w:rsid w:val="003811BB"/>
    <w:rsid w:val="00382C35"/>
    <w:rsid w:val="00383339"/>
    <w:rsid w:val="00384B0E"/>
    <w:rsid w:val="00386647"/>
    <w:rsid w:val="00390E36"/>
    <w:rsid w:val="003919F9"/>
    <w:rsid w:val="0039374B"/>
    <w:rsid w:val="003A1C60"/>
    <w:rsid w:val="003A5343"/>
    <w:rsid w:val="003A53CB"/>
    <w:rsid w:val="003A5DFD"/>
    <w:rsid w:val="003A74DD"/>
    <w:rsid w:val="003C38B5"/>
    <w:rsid w:val="003C5D99"/>
    <w:rsid w:val="003C664D"/>
    <w:rsid w:val="003C6E1A"/>
    <w:rsid w:val="003C730D"/>
    <w:rsid w:val="003D45E4"/>
    <w:rsid w:val="003E0AB3"/>
    <w:rsid w:val="003E1B53"/>
    <w:rsid w:val="003E26DD"/>
    <w:rsid w:val="003E2F59"/>
    <w:rsid w:val="003E339C"/>
    <w:rsid w:val="003E6EC8"/>
    <w:rsid w:val="003F0789"/>
    <w:rsid w:val="003F311B"/>
    <w:rsid w:val="003F7882"/>
    <w:rsid w:val="00401882"/>
    <w:rsid w:val="004036B7"/>
    <w:rsid w:val="004070AB"/>
    <w:rsid w:val="004100C8"/>
    <w:rsid w:val="00411D32"/>
    <w:rsid w:val="00411DBD"/>
    <w:rsid w:val="00412ACE"/>
    <w:rsid w:val="004134F6"/>
    <w:rsid w:val="0041431C"/>
    <w:rsid w:val="00414EBF"/>
    <w:rsid w:val="00415293"/>
    <w:rsid w:val="0041620C"/>
    <w:rsid w:val="00416C8D"/>
    <w:rsid w:val="004175B0"/>
    <w:rsid w:val="00422268"/>
    <w:rsid w:val="004266D6"/>
    <w:rsid w:val="004275ED"/>
    <w:rsid w:val="00431249"/>
    <w:rsid w:val="00434C19"/>
    <w:rsid w:val="0043769F"/>
    <w:rsid w:val="00442D43"/>
    <w:rsid w:val="004433B5"/>
    <w:rsid w:val="00447261"/>
    <w:rsid w:val="00450810"/>
    <w:rsid w:val="004553EA"/>
    <w:rsid w:val="0045555A"/>
    <w:rsid w:val="004610A5"/>
    <w:rsid w:val="004626FB"/>
    <w:rsid w:val="0046362D"/>
    <w:rsid w:val="00464C91"/>
    <w:rsid w:val="0047417B"/>
    <w:rsid w:val="00477144"/>
    <w:rsid w:val="00481EA2"/>
    <w:rsid w:val="00483724"/>
    <w:rsid w:val="00483F30"/>
    <w:rsid w:val="00486618"/>
    <w:rsid w:val="00490B73"/>
    <w:rsid w:val="00491380"/>
    <w:rsid w:val="0049459F"/>
    <w:rsid w:val="00496BBC"/>
    <w:rsid w:val="00497344"/>
    <w:rsid w:val="00497C8B"/>
    <w:rsid w:val="004A23DD"/>
    <w:rsid w:val="004A2C95"/>
    <w:rsid w:val="004A38DD"/>
    <w:rsid w:val="004A7D58"/>
    <w:rsid w:val="004B1CCF"/>
    <w:rsid w:val="004B37D8"/>
    <w:rsid w:val="004B43AE"/>
    <w:rsid w:val="004B7576"/>
    <w:rsid w:val="004C0C29"/>
    <w:rsid w:val="004C1F7A"/>
    <w:rsid w:val="004C2C72"/>
    <w:rsid w:val="004C30ED"/>
    <w:rsid w:val="004C77B2"/>
    <w:rsid w:val="004C7E02"/>
    <w:rsid w:val="004D0942"/>
    <w:rsid w:val="004D0ACE"/>
    <w:rsid w:val="004D1661"/>
    <w:rsid w:val="004D5675"/>
    <w:rsid w:val="004D580D"/>
    <w:rsid w:val="004D6836"/>
    <w:rsid w:val="004E1B85"/>
    <w:rsid w:val="004E3D4C"/>
    <w:rsid w:val="004E423A"/>
    <w:rsid w:val="004E5EBF"/>
    <w:rsid w:val="004E6E47"/>
    <w:rsid w:val="004F6A73"/>
    <w:rsid w:val="00506E38"/>
    <w:rsid w:val="0050712C"/>
    <w:rsid w:val="00512F2F"/>
    <w:rsid w:val="00513443"/>
    <w:rsid w:val="005148B5"/>
    <w:rsid w:val="0051631C"/>
    <w:rsid w:val="0051738D"/>
    <w:rsid w:val="005235F2"/>
    <w:rsid w:val="00523639"/>
    <w:rsid w:val="0052483E"/>
    <w:rsid w:val="00525F5A"/>
    <w:rsid w:val="00526C6B"/>
    <w:rsid w:val="00531334"/>
    <w:rsid w:val="00531938"/>
    <w:rsid w:val="00531FE5"/>
    <w:rsid w:val="005326E7"/>
    <w:rsid w:val="00532B6F"/>
    <w:rsid w:val="005400F0"/>
    <w:rsid w:val="005402FA"/>
    <w:rsid w:val="00545A30"/>
    <w:rsid w:val="0055101F"/>
    <w:rsid w:val="00551F62"/>
    <w:rsid w:val="00552B62"/>
    <w:rsid w:val="00556446"/>
    <w:rsid w:val="00556A60"/>
    <w:rsid w:val="00560675"/>
    <w:rsid w:val="005679C7"/>
    <w:rsid w:val="0057340D"/>
    <w:rsid w:val="005806ED"/>
    <w:rsid w:val="00582F6B"/>
    <w:rsid w:val="00583C39"/>
    <w:rsid w:val="00586E65"/>
    <w:rsid w:val="00587EDC"/>
    <w:rsid w:val="00587F28"/>
    <w:rsid w:val="005909CF"/>
    <w:rsid w:val="00590EDB"/>
    <w:rsid w:val="00591E71"/>
    <w:rsid w:val="00594C5D"/>
    <w:rsid w:val="005961D0"/>
    <w:rsid w:val="005A0D41"/>
    <w:rsid w:val="005A3787"/>
    <w:rsid w:val="005A3D09"/>
    <w:rsid w:val="005A42D4"/>
    <w:rsid w:val="005B1B21"/>
    <w:rsid w:val="005B34F1"/>
    <w:rsid w:val="005C1C7C"/>
    <w:rsid w:val="005C40F3"/>
    <w:rsid w:val="005D04BC"/>
    <w:rsid w:val="005D4737"/>
    <w:rsid w:val="005E0746"/>
    <w:rsid w:val="005E0C04"/>
    <w:rsid w:val="005E1D65"/>
    <w:rsid w:val="005E4038"/>
    <w:rsid w:val="005E4C0C"/>
    <w:rsid w:val="005E5B6B"/>
    <w:rsid w:val="005E634A"/>
    <w:rsid w:val="005F3057"/>
    <w:rsid w:val="005F6A32"/>
    <w:rsid w:val="005F7209"/>
    <w:rsid w:val="00600706"/>
    <w:rsid w:val="00601B38"/>
    <w:rsid w:val="006020A1"/>
    <w:rsid w:val="00602CF7"/>
    <w:rsid w:val="00607BF1"/>
    <w:rsid w:val="00613C0E"/>
    <w:rsid w:val="006276F3"/>
    <w:rsid w:val="00630D4D"/>
    <w:rsid w:val="00632A74"/>
    <w:rsid w:val="00633622"/>
    <w:rsid w:val="0063615A"/>
    <w:rsid w:val="006407E5"/>
    <w:rsid w:val="0064242F"/>
    <w:rsid w:val="006440C2"/>
    <w:rsid w:val="006469F4"/>
    <w:rsid w:val="006524D1"/>
    <w:rsid w:val="00672896"/>
    <w:rsid w:val="00675576"/>
    <w:rsid w:val="00675C14"/>
    <w:rsid w:val="00680E4D"/>
    <w:rsid w:val="006813AB"/>
    <w:rsid w:val="006828D2"/>
    <w:rsid w:val="00683493"/>
    <w:rsid w:val="00685B05"/>
    <w:rsid w:val="00690EFD"/>
    <w:rsid w:val="00696281"/>
    <w:rsid w:val="006A076F"/>
    <w:rsid w:val="006A2454"/>
    <w:rsid w:val="006A4655"/>
    <w:rsid w:val="006B114A"/>
    <w:rsid w:val="006B2B3C"/>
    <w:rsid w:val="006B6F20"/>
    <w:rsid w:val="006B7028"/>
    <w:rsid w:val="006C15D3"/>
    <w:rsid w:val="006C1A8F"/>
    <w:rsid w:val="006C1D81"/>
    <w:rsid w:val="006C57FC"/>
    <w:rsid w:val="006C5D33"/>
    <w:rsid w:val="006C7038"/>
    <w:rsid w:val="006D388F"/>
    <w:rsid w:val="006D3EF7"/>
    <w:rsid w:val="006D52EB"/>
    <w:rsid w:val="006E452D"/>
    <w:rsid w:val="006E73EF"/>
    <w:rsid w:val="006F0E7B"/>
    <w:rsid w:val="006F429E"/>
    <w:rsid w:val="00701FAC"/>
    <w:rsid w:val="00705392"/>
    <w:rsid w:val="00711972"/>
    <w:rsid w:val="007123F9"/>
    <w:rsid w:val="007140CC"/>
    <w:rsid w:val="00714D4D"/>
    <w:rsid w:val="00720C17"/>
    <w:rsid w:val="00725F1C"/>
    <w:rsid w:val="007310E3"/>
    <w:rsid w:val="007316B0"/>
    <w:rsid w:val="0073197D"/>
    <w:rsid w:val="0073548C"/>
    <w:rsid w:val="007423CC"/>
    <w:rsid w:val="00745C2C"/>
    <w:rsid w:val="00745ECF"/>
    <w:rsid w:val="00751F69"/>
    <w:rsid w:val="00757EF7"/>
    <w:rsid w:val="007604BB"/>
    <w:rsid w:val="007631ED"/>
    <w:rsid w:val="00763F3A"/>
    <w:rsid w:val="0076550A"/>
    <w:rsid w:val="007723CD"/>
    <w:rsid w:val="007735FA"/>
    <w:rsid w:val="007772A7"/>
    <w:rsid w:val="00781042"/>
    <w:rsid w:val="00784E53"/>
    <w:rsid w:val="00785232"/>
    <w:rsid w:val="00791000"/>
    <w:rsid w:val="0079230F"/>
    <w:rsid w:val="007A04EC"/>
    <w:rsid w:val="007A21EB"/>
    <w:rsid w:val="007A2D4F"/>
    <w:rsid w:val="007A42F3"/>
    <w:rsid w:val="007B0D84"/>
    <w:rsid w:val="007B1989"/>
    <w:rsid w:val="007B1A93"/>
    <w:rsid w:val="007C36C9"/>
    <w:rsid w:val="007D3584"/>
    <w:rsid w:val="007D6401"/>
    <w:rsid w:val="007D7720"/>
    <w:rsid w:val="007E01E4"/>
    <w:rsid w:val="007E06FF"/>
    <w:rsid w:val="007E0F52"/>
    <w:rsid w:val="007E2E18"/>
    <w:rsid w:val="007E33BF"/>
    <w:rsid w:val="007E496C"/>
    <w:rsid w:val="007E73E4"/>
    <w:rsid w:val="007F48A4"/>
    <w:rsid w:val="007F4DF7"/>
    <w:rsid w:val="007F7107"/>
    <w:rsid w:val="00800D4C"/>
    <w:rsid w:val="0080137B"/>
    <w:rsid w:val="00804CBB"/>
    <w:rsid w:val="0081030F"/>
    <w:rsid w:val="0081112D"/>
    <w:rsid w:val="00815D92"/>
    <w:rsid w:val="0082087D"/>
    <w:rsid w:val="0082581F"/>
    <w:rsid w:val="00827E0B"/>
    <w:rsid w:val="0083522C"/>
    <w:rsid w:val="00835771"/>
    <w:rsid w:val="0084186D"/>
    <w:rsid w:val="008428E1"/>
    <w:rsid w:val="00842933"/>
    <w:rsid w:val="008529EA"/>
    <w:rsid w:val="0086082C"/>
    <w:rsid w:val="00862204"/>
    <w:rsid w:val="00862C9A"/>
    <w:rsid w:val="00864ADC"/>
    <w:rsid w:val="0086565C"/>
    <w:rsid w:val="00866B2A"/>
    <w:rsid w:val="00870809"/>
    <w:rsid w:val="00870DCB"/>
    <w:rsid w:val="00871B7A"/>
    <w:rsid w:val="00871BEB"/>
    <w:rsid w:val="0087237B"/>
    <w:rsid w:val="00874161"/>
    <w:rsid w:val="00875292"/>
    <w:rsid w:val="00880153"/>
    <w:rsid w:val="00880F97"/>
    <w:rsid w:val="0088133A"/>
    <w:rsid w:val="00881AB4"/>
    <w:rsid w:val="00882221"/>
    <w:rsid w:val="00882EC4"/>
    <w:rsid w:val="008847C8"/>
    <w:rsid w:val="00891258"/>
    <w:rsid w:val="008918D4"/>
    <w:rsid w:val="0089285E"/>
    <w:rsid w:val="0089436C"/>
    <w:rsid w:val="00894F0C"/>
    <w:rsid w:val="0089542F"/>
    <w:rsid w:val="008973B8"/>
    <w:rsid w:val="008A0904"/>
    <w:rsid w:val="008A4920"/>
    <w:rsid w:val="008A52AA"/>
    <w:rsid w:val="008B073E"/>
    <w:rsid w:val="008B468B"/>
    <w:rsid w:val="008B667D"/>
    <w:rsid w:val="008B679C"/>
    <w:rsid w:val="008B72AB"/>
    <w:rsid w:val="008C168B"/>
    <w:rsid w:val="008C261E"/>
    <w:rsid w:val="008C2830"/>
    <w:rsid w:val="008C425D"/>
    <w:rsid w:val="008C461E"/>
    <w:rsid w:val="008C6747"/>
    <w:rsid w:val="008C6D7F"/>
    <w:rsid w:val="008D365C"/>
    <w:rsid w:val="008D4F61"/>
    <w:rsid w:val="008D6F07"/>
    <w:rsid w:val="008D7A21"/>
    <w:rsid w:val="008E2E18"/>
    <w:rsid w:val="008F26E0"/>
    <w:rsid w:val="008F7D01"/>
    <w:rsid w:val="00900B72"/>
    <w:rsid w:val="00902E0F"/>
    <w:rsid w:val="009030BF"/>
    <w:rsid w:val="0090523C"/>
    <w:rsid w:val="00906009"/>
    <w:rsid w:val="00906A04"/>
    <w:rsid w:val="0091032F"/>
    <w:rsid w:val="00914368"/>
    <w:rsid w:val="00914EFA"/>
    <w:rsid w:val="00915F6E"/>
    <w:rsid w:val="00923738"/>
    <w:rsid w:val="00925176"/>
    <w:rsid w:val="00925888"/>
    <w:rsid w:val="00930E73"/>
    <w:rsid w:val="00931076"/>
    <w:rsid w:val="00932433"/>
    <w:rsid w:val="009345D9"/>
    <w:rsid w:val="00934B15"/>
    <w:rsid w:val="00935616"/>
    <w:rsid w:val="00936553"/>
    <w:rsid w:val="00940C87"/>
    <w:rsid w:val="00941E53"/>
    <w:rsid w:val="00942B62"/>
    <w:rsid w:val="009463A0"/>
    <w:rsid w:val="009467A3"/>
    <w:rsid w:val="0095323B"/>
    <w:rsid w:val="009560B1"/>
    <w:rsid w:val="00956A0C"/>
    <w:rsid w:val="00956BD9"/>
    <w:rsid w:val="009578B9"/>
    <w:rsid w:val="00961B94"/>
    <w:rsid w:val="00962489"/>
    <w:rsid w:val="009654AC"/>
    <w:rsid w:val="00967508"/>
    <w:rsid w:val="009703AE"/>
    <w:rsid w:val="009707CE"/>
    <w:rsid w:val="00974926"/>
    <w:rsid w:val="009755C9"/>
    <w:rsid w:val="00976377"/>
    <w:rsid w:val="009770F6"/>
    <w:rsid w:val="00977C78"/>
    <w:rsid w:val="009878A7"/>
    <w:rsid w:val="00990C2C"/>
    <w:rsid w:val="009923FA"/>
    <w:rsid w:val="00994E2E"/>
    <w:rsid w:val="009A08E0"/>
    <w:rsid w:val="009A725D"/>
    <w:rsid w:val="009A7E54"/>
    <w:rsid w:val="009B0BBE"/>
    <w:rsid w:val="009B1880"/>
    <w:rsid w:val="009C2DEA"/>
    <w:rsid w:val="009C2E67"/>
    <w:rsid w:val="009C4470"/>
    <w:rsid w:val="009C481B"/>
    <w:rsid w:val="009C7C4F"/>
    <w:rsid w:val="009C7EAC"/>
    <w:rsid w:val="009D4738"/>
    <w:rsid w:val="009D7100"/>
    <w:rsid w:val="009E1844"/>
    <w:rsid w:val="009E3AE2"/>
    <w:rsid w:val="009E4C19"/>
    <w:rsid w:val="009F0D1B"/>
    <w:rsid w:val="009F64E8"/>
    <w:rsid w:val="009F696D"/>
    <w:rsid w:val="009F6BC6"/>
    <w:rsid w:val="00A052BF"/>
    <w:rsid w:val="00A067A5"/>
    <w:rsid w:val="00A14316"/>
    <w:rsid w:val="00A16EA7"/>
    <w:rsid w:val="00A17328"/>
    <w:rsid w:val="00A20D0D"/>
    <w:rsid w:val="00A21821"/>
    <w:rsid w:val="00A23A20"/>
    <w:rsid w:val="00A2595A"/>
    <w:rsid w:val="00A26512"/>
    <w:rsid w:val="00A268B9"/>
    <w:rsid w:val="00A2703A"/>
    <w:rsid w:val="00A33DFF"/>
    <w:rsid w:val="00A347B4"/>
    <w:rsid w:val="00A35115"/>
    <w:rsid w:val="00A36D9A"/>
    <w:rsid w:val="00A40163"/>
    <w:rsid w:val="00A428BC"/>
    <w:rsid w:val="00A4294C"/>
    <w:rsid w:val="00A458C8"/>
    <w:rsid w:val="00A45F5C"/>
    <w:rsid w:val="00A51108"/>
    <w:rsid w:val="00A51EF7"/>
    <w:rsid w:val="00A554AB"/>
    <w:rsid w:val="00A55D4E"/>
    <w:rsid w:val="00A56BD6"/>
    <w:rsid w:val="00A56D7E"/>
    <w:rsid w:val="00A57062"/>
    <w:rsid w:val="00A57AC9"/>
    <w:rsid w:val="00A6196B"/>
    <w:rsid w:val="00A63849"/>
    <w:rsid w:val="00A6641C"/>
    <w:rsid w:val="00A70C1D"/>
    <w:rsid w:val="00A72B95"/>
    <w:rsid w:val="00A80ABE"/>
    <w:rsid w:val="00A823D4"/>
    <w:rsid w:val="00A91402"/>
    <w:rsid w:val="00A9286A"/>
    <w:rsid w:val="00A92B53"/>
    <w:rsid w:val="00A94A9C"/>
    <w:rsid w:val="00A94FA6"/>
    <w:rsid w:val="00AA49A0"/>
    <w:rsid w:val="00AA5277"/>
    <w:rsid w:val="00AA6710"/>
    <w:rsid w:val="00AA757F"/>
    <w:rsid w:val="00AB0681"/>
    <w:rsid w:val="00AB30D7"/>
    <w:rsid w:val="00AB79C1"/>
    <w:rsid w:val="00AC4D56"/>
    <w:rsid w:val="00AC6975"/>
    <w:rsid w:val="00AC7284"/>
    <w:rsid w:val="00AD0513"/>
    <w:rsid w:val="00AD1F07"/>
    <w:rsid w:val="00AD292D"/>
    <w:rsid w:val="00AD421E"/>
    <w:rsid w:val="00AD520B"/>
    <w:rsid w:val="00AD6275"/>
    <w:rsid w:val="00AE1799"/>
    <w:rsid w:val="00AE6A19"/>
    <w:rsid w:val="00AF3B0C"/>
    <w:rsid w:val="00AF4AA7"/>
    <w:rsid w:val="00AF5615"/>
    <w:rsid w:val="00AF5F5B"/>
    <w:rsid w:val="00B019C4"/>
    <w:rsid w:val="00B04D38"/>
    <w:rsid w:val="00B11C4A"/>
    <w:rsid w:val="00B225EE"/>
    <w:rsid w:val="00B234B8"/>
    <w:rsid w:val="00B3195E"/>
    <w:rsid w:val="00B31B21"/>
    <w:rsid w:val="00B349A3"/>
    <w:rsid w:val="00B35FAA"/>
    <w:rsid w:val="00B425C3"/>
    <w:rsid w:val="00B42D58"/>
    <w:rsid w:val="00B440AD"/>
    <w:rsid w:val="00B51AAC"/>
    <w:rsid w:val="00B53E7E"/>
    <w:rsid w:val="00B54DBE"/>
    <w:rsid w:val="00B57944"/>
    <w:rsid w:val="00B617E4"/>
    <w:rsid w:val="00B6342E"/>
    <w:rsid w:val="00B634EC"/>
    <w:rsid w:val="00B7113F"/>
    <w:rsid w:val="00B8282F"/>
    <w:rsid w:val="00B82D7A"/>
    <w:rsid w:val="00B844E5"/>
    <w:rsid w:val="00B860F8"/>
    <w:rsid w:val="00B912C6"/>
    <w:rsid w:val="00B92EB5"/>
    <w:rsid w:val="00BA1EA0"/>
    <w:rsid w:val="00BA247C"/>
    <w:rsid w:val="00BA46B9"/>
    <w:rsid w:val="00BA61D7"/>
    <w:rsid w:val="00BA63E2"/>
    <w:rsid w:val="00BA73B6"/>
    <w:rsid w:val="00BA7E27"/>
    <w:rsid w:val="00BB2603"/>
    <w:rsid w:val="00BB46DD"/>
    <w:rsid w:val="00BB4FCD"/>
    <w:rsid w:val="00BB6FE4"/>
    <w:rsid w:val="00BC04E9"/>
    <w:rsid w:val="00BC0E4E"/>
    <w:rsid w:val="00BC2365"/>
    <w:rsid w:val="00BC2F62"/>
    <w:rsid w:val="00BC3EB6"/>
    <w:rsid w:val="00BC711E"/>
    <w:rsid w:val="00BD13EA"/>
    <w:rsid w:val="00BD2F92"/>
    <w:rsid w:val="00BD62C5"/>
    <w:rsid w:val="00BE14D9"/>
    <w:rsid w:val="00BE3808"/>
    <w:rsid w:val="00BE3824"/>
    <w:rsid w:val="00BE4238"/>
    <w:rsid w:val="00BE5081"/>
    <w:rsid w:val="00BF28C1"/>
    <w:rsid w:val="00C05399"/>
    <w:rsid w:val="00C062E9"/>
    <w:rsid w:val="00C079B0"/>
    <w:rsid w:val="00C07B64"/>
    <w:rsid w:val="00C10F7A"/>
    <w:rsid w:val="00C1329F"/>
    <w:rsid w:val="00C13721"/>
    <w:rsid w:val="00C13BE1"/>
    <w:rsid w:val="00C14FE4"/>
    <w:rsid w:val="00C20C51"/>
    <w:rsid w:val="00C21E88"/>
    <w:rsid w:val="00C26F94"/>
    <w:rsid w:val="00C27650"/>
    <w:rsid w:val="00C3066D"/>
    <w:rsid w:val="00C313AA"/>
    <w:rsid w:val="00C329A2"/>
    <w:rsid w:val="00C40140"/>
    <w:rsid w:val="00C4442E"/>
    <w:rsid w:val="00C45F07"/>
    <w:rsid w:val="00C46AA1"/>
    <w:rsid w:val="00C52416"/>
    <w:rsid w:val="00C52ECD"/>
    <w:rsid w:val="00C543F4"/>
    <w:rsid w:val="00C6291C"/>
    <w:rsid w:val="00C633CB"/>
    <w:rsid w:val="00C654E2"/>
    <w:rsid w:val="00C66B79"/>
    <w:rsid w:val="00C67BA5"/>
    <w:rsid w:val="00C70859"/>
    <w:rsid w:val="00C70977"/>
    <w:rsid w:val="00C736B7"/>
    <w:rsid w:val="00C7535E"/>
    <w:rsid w:val="00C77BE6"/>
    <w:rsid w:val="00C81D4A"/>
    <w:rsid w:val="00C82799"/>
    <w:rsid w:val="00C82A98"/>
    <w:rsid w:val="00C83622"/>
    <w:rsid w:val="00C84741"/>
    <w:rsid w:val="00C84C35"/>
    <w:rsid w:val="00C84ED9"/>
    <w:rsid w:val="00C8762C"/>
    <w:rsid w:val="00C94CBA"/>
    <w:rsid w:val="00C96869"/>
    <w:rsid w:val="00CA00F9"/>
    <w:rsid w:val="00CA2961"/>
    <w:rsid w:val="00CA2AB6"/>
    <w:rsid w:val="00CA36D1"/>
    <w:rsid w:val="00CA37FE"/>
    <w:rsid w:val="00CA579B"/>
    <w:rsid w:val="00CA7C69"/>
    <w:rsid w:val="00CB16CA"/>
    <w:rsid w:val="00CB2B5D"/>
    <w:rsid w:val="00CB50D7"/>
    <w:rsid w:val="00CB5978"/>
    <w:rsid w:val="00CB5A27"/>
    <w:rsid w:val="00CB6C6A"/>
    <w:rsid w:val="00CB7177"/>
    <w:rsid w:val="00CC1927"/>
    <w:rsid w:val="00CC1998"/>
    <w:rsid w:val="00CC2454"/>
    <w:rsid w:val="00CC4946"/>
    <w:rsid w:val="00CC4CF4"/>
    <w:rsid w:val="00CC7B36"/>
    <w:rsid w:val="00CC7CD1"/>
    <w:rsid w:val="00CD14DF"/>
    <w:rsid w:val="00CD35E8"/>
    <w:rsid w:val="00CD4918"/>
    <w:rsid w:val="00CD695F"/>
    <w:rsid w:val="00CE2D57"/>
    <w:rsid w:val="00CE2E49"/>
    <w:rsid w:val="00CE4A72"/>
    <w:rsid w:val="00CF59D2"/>
    <w:rsid w:val="00CF7BD5"/>
    <w:rsid w:val="00D143E1"/>
    <w:rsid w:val="00D15B6F"/>
    <w:rsid w:val="00D162A0"/>
    <w:rsid w:val="00D21CBF"/>
    <w:rsid w:val="00D24D34"/>
    <w:rsid w:val="00D25972"/>
    <w:rsid w:val="00D270A4"/>
    <w:rsid w:val="00D31FE9"/>
    <w:rsid w:val="00D32DD2"/>
    <w:rsid w:val="00D34580"/>
    <w:rsid w:val="00D34E1B"/>
    <w:rsid w:val="00D376BA"/>
    <w:rsid w:val="00D44772"/>
    <w:rsid w:val="00D44784"/>
    <w:rsid w:val="00D44802"/>
    <w:rsid w:val="00D45634"/>
    <w:rsid w:val="00D52B31"/>
    <w:rsid w:val="00D52B99"/>
    <w:rsid w:val="00D55419"/>
    <w:rsid w:val="00D5568A"/>
    <w:rsid w:val="00D55FCD"/>
    <w:rsid w:val="00D56E9F"/>
    <w:rsid w:val="00D61244"/>
    <w:rsid w:val="00D63547"/>
    <w:rsid w:val="00D63D73"/>
    <w:rsid w:val="00D640B5"/>
    <w:rsid w:val="00D64452"/>
    <w:rsid w:val="00D652FD"/>
    <w:rsid w:val="00D66E1E"/>
    <w:rsid w:val="00D700C8"/>
    <w:rsid w:val="00D74763"/>
    <w:rsid w:val="00D75722"/>
    <w:rsid w:val="00D80CF5"/>
    <w:rsid w:val="00D82C39"/>
    <w:rsid w:val="00D8565A"/>
    <w:rsid w:val="00D91E28"/>
    <w:rsid w:val="00D9393A"/>
    <w:rsid w:val="00DA5BBA"/>
    <w:rsid w:val="00DB26D2"/>
    <w:rsid w:val="00DB344D"/>
    <w:rsid w:val="00DB668F"/>
    <w:rsid w:val="00DB67C9"/>
    <w:rsid w:val="00DB6B1F"/>
    <w:rsid w:val="00DB6C6E"/>
    <w:rsid w:val="00DB73F1"/>
    <w:rsid w:val="00DC0C95"/>
    <w:rsid w:val="00DC1419"/>
    <w:rsid w:val="00DC25F0"/>
    <w:rsid w:val="00DC5BD7"/>
    <w:rsid w:val="00DC7927"/>
    <w:rsid w:val="00DD6580"/>
    <w:rsid w:val="00DD6F26"/>
    <w:rsid w:val="00DD7811"/>
    <w:rsid w:val="00DE26DD"/>
    <w:rsid w:val="00DE7CEA"/>
    <w:rsid w:val="00DF17D0"/>
    <w:rsid w:val="00DF37A0"/>
    <w:rsid w:val="00DF5AD7"/>
    <w:rsid w:val="00DF6CE3"/>
    <w:rsid w:val="00E11023"/>
    <w:rsid w:val="00E13DF0"/>
    <w:rsid w:val="00E16A13"/>
    <w:rsid w:val="00E17C72"/>
    <w:rsid w:val="00E21FC6"/>
    <w:rsid w:val="00E257AB"/>
    <w:rsid w:val="00E408EA"/>
    <w:rsid w:val="00E431A9"/>
    <w:rsid w:val="00E433FE"/>
    <w:rsid w:val="00E47DC7"/>
    <w:rsid w:val="00E50EC0"/>
    <w:rsid w:val="00E5415E"/>
    <w:rsid w:val="00E669E2"/>
    <w:rsid w:val="00E67E3B"/>
    <w:rsid w:val="00E7277D"/>
    <w:rsid w:val="00E7477C"/>
    <w:rsid w:val="00E76135"/>
    <w:rsid w:val="00E776C9"/>
    <w:rsid w:val="00E8002A"/>
    <w:rsid w:val="00E82F4F"/>
    <w:rsid w:val="00E8433A"/>
    <w:rsid w:val="00E86FF8"/>
    <w:rsid w:val="00E97CE7"/>
    <w:rsid w:val="00EA1D39"/>
    <w:rsid w:val="00EA310F"/>
    <w:rsid w:val="00EA388D"/>
    <w:rsid w:val="00EA40D5"/>
    <w:rsid w:val="00EA603F"/>
    <w:rsid w:val="00EC014B"/>
    <w:rsid w:val="00EC2844"/>
    <w:rsid w:val="00EC5500"/>
    <w:rsid w:val="00EC6B59"/>
    <w:rsid w:val="00EC6CB0"/>
    <w:rsid w:val="00EC7F47"/>
    <w:rsid w:val="00ED36B5"/>
    <w:rsid w:val="00ED42C9"/>
    <w:rsid w:val="00ED553D"/>
    <w:rsid w:val="00ED7488"/>
    <w:rsid w:val="00EE29EE"/>
    <w:rsid w:val="00EE41E5"/>
    <w:rsid w:val="00EF1B8B"/>
    <w:rsid w:val="00EF1F9C"/>
    <w:rsid w:val="00EF2418"/>
    <w:rsid w:val="00EF2BDA"/>
    <w:rsid w:val="00EF4980"/>
    <w:rsid w:val="00EF4F82"/>
    <w:rsid w:val="00EF519B"/>
    <w:rsid w:val="00EF53BC"/>
    <w:rsid w:val="00EF6C6C"/>
    <w:rsid w:val="00EF72F1"/>
    <w:rsid w:val="00EF744D"/>
    <w:rsid w:val="00EF78B2"/>
    <w:rsid w:val="00F056FC"/>
    <w:rsid w:val="00F101EE"/>
    <w:rsid w:val="00F10476"/>
    <w:rsid w:val="00F124DA"/>
    <w:rsid w:val="00F135D8"/>
    <w:rsid w:val="00F14619"/>
    <w:rsid w:val="00F14F33"/>
    <w:rsid w:val="00F16A22"/>
    <w:rsid w:val="00F20D00"/>
    <w:rsid w:val="00F31299"/>
    <w:rsid w:val="00F327B9"/>
    <w:rsid w:val="00F3534A"/>
    <w:rsid w:val="00F35CF5"/>
    <w:rsid w:val="00F36ADF"/>
    <w:rsid w:val="00F43383"/>
    <w:rsid w:val="00F44086"/>
    <w:rsid w:val="00F51609"/>
    <w:rsid w:val="00F54230"/>
    <w:rsid w:val="00F55B2F"/>
    <w:rsid w:val="00F56C6E"/>
    <w:rsid w:val="00F57872"/>
    <w:rsid w:val="00F60594"/>
    <w:rsid w:val="00F61035"/>
    <w:rsid w:val="00F64723"/>
    <w:rsid w:val="00F6477F"/>
    <w:rsid w:val="00F65F11"/>
    <w:rsid w:val="00F71986"/>
    <w:rsid w:val="00F81006"/>
    <w:rsid w:val="00F83673"/>
    <w:rsid w:val="00F8517A"/>
    <w:rsid w:val="00F85325"/>
    <w:rsid w:val="00F8555A"/>
    <w:rsid w:val="00F94767"/>
    <w:rsid w:val="00F96325"/>
    <w:rsid w:val="00F97CBE"/>
    <w:rsid w:val="00FA1E8A"/>
    <w:rsid w:val="00FA3CE7"/>
    <w:rsid w:val="00FA67F6"/>
    <w:rsid w:val="00FA73B8"/>
    <w:rsid w:val="00FB12C7"/>
    <w:rsid w:val="00FB1A8F"/>
    <w:rsid w:val="00FB320C"/>
    <w:rsid w:val="00FB391E"/>
    <w:rsid w:val="00FB7405"/>
    <w:rsid w:val="00FB76E9"/>
    <w:rsid w:val="00FC220E"/>
    <w:rsid w:val="00FC3261"/>
    <w:rsid w:val="00FC415C"/>
    <w:rsid w:val="00FC6714"/>
    <w:rsid w:val="00FD0872"/>
    <w:rsid w:val="00FD18E4"/>
    <w:rsid w:val="00FD22B1"/>
    <w:rsid w:val="00FD57EF"/>
    <w:rsid w:val="00FD6C82"/>
    <w:rsid w:val="00FE02E7"/>
    <w:rsid w:val="00FE4BF8"/>
    <w:rsid w:val="00FE5397"/>
    <w:rsid w:val="00FF5D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310E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Footnote Text Char"/>
    <w:basedOn w:val="BodyText"/>
    <w:link w:val="FootnoteTextChar2"/>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7310E3"/>
    <w:pPr>
      <w:keepNext/>
      <w:spacing w:before="360" w:line="80" w:lineRule="exact"/>
      <w:jc w:val="left"/>
    </w:pPr>
  </w:style>
  <w:style w:type="character" w:customStyle="1" w:styleId="BodyTextChar">
    <w:name w:val="Body Text Char"/>
    <w:basedOn w:val="DefaultParagraphFont"/>
    <w:link w:val="BodyText"/>
    <w:rsid w:val="007310E3"/>
    <w:rPr>
      <w:sz w:val="26"/>
    </w:rPr>
  </w:style>
  <w:style w:type="character" w:customStyle="1" w:styleId="CommentTextChar">
    <w:name w:val="Comment Text Char"/>
    <w:basedOn w:val="DefaultParagraphFont"/>
    <w:semiHidden/>
    <w:rsid w:val="007310E3"/>
    <w:rPr>
      <w:szCs w:val="24"/>
    </w:rPr>
  </w:style>
  <w:style w:type="character" w:customStyle="1" w:styleId="FooterChar">
    <w:name w:val="Footer Char"/>
    <w:basedOn w:val="DefaultParagraphFont"/>
    <w:link w:val="Footer"/>
    <w:rsid w:val="007310E3"/>
    <w:rPr>
      <w:caps/>
      <w:spacing w:val="-4"/>
      <w:sz w:val="16"/>
    </w:rPr>
  </w:style>
  <w:style w:type="paragraph" w:styleId="CommentSubject">
    <w:name w:val="annotation subject"/>
    <w:basedOn w:val="CommentText"/>
    <w:next w:val="CommentText"/>
    <w:link w:val="CommentSubjectChar"/>
    <w:rsid w:val="007310E3"/>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7310E3"/>
    <w:rPr>
      <w:szCs w:val="24"/>
    </w:rPr>
  </w:style>
  <w:style w:type="character" w:customStyle="1" w:styleId="CommentSubjectChar">
    <w:name w:val="Comment Subject Char"/>
    <w:basedOn w:val="CommentTextChar1"/>
    <w:link w:val="CommentSubject"/>
    <w:rsid w:val="007310E3"/>
    <w:rPr>
      <w:b/>
      <w:bCs/>
      <w:szCs w:val="24"/>
    </w:rPr>
  </w:style>
  <w:style w:type="paragraph" w:customStyle="1" w:styleId="Bullet">
    <w:name w:val="Bullet"/>
    <w:basedOn w:val="BodyText"/>
    <w:rsid w:val="007310E3"/>
  </w:style>
  <w:style w:type="paragraph" w:styleId="Revision">
    <w:name w:val="Revision"/>
    <w:hidden/>
    <w:uiPriority w:val="99"/>
    <w:semiHidden/>
    <w:rsid w:val="007310E3"/>
    <w:rPr>
      <w:sz w:val="26"/>
      <w:szCs w:val="24"/>
    </w:rPr>
  </w:style>
  <w:style w:type="paragraph" w:customStyle="1" w:styleId="Dn">
    <w:name w:val="Dn"/>
    <w:basedOn w:val="BodyText"/>
    <w:rsid w:val="007310E3"/>
  </w:style>
  <w:style w:type="character" w:styleId="Hyperlink">
    <w:name w:val="Hyperlink"/>
    <w:basedOn w:val="DefaultParagraphFont"/>
    <w:rsid w:val="007310E3"/>
    <w:rPr>
      <w:color w:val="0000FF" w:themeColor="hyperlink"/>
      <w:u w:val="single"/>
    </w:rPr>
  </w:style>
  <w:style w:type="paragraph" w:customStyle="1" w:styleId="Comment">
    <w:name w:val="Comment"/>
    <w:basedOn w:val="BodyText"/>
    <w:rsid w:val="007310E3"/>
  </w:style>
  <w:style w:type="character" w:styleId="FollowedHyperlink">
    <w:name w:val="FollowedHyperlink"/>
    <w:basedOn w:val="DefaultParagraphFont"/>
    <w:rsid w:val="007310E3"/>
    <w:rPr>
      <w:color w:val="800080" w:themeColor="followedHyperlink"/>
      <w:u w:val="single"/>
    </w:rPr>
  </w:style>
  <w:style w:type="paragraph" w:styleId="EndnoteText">
    <w:name w:val="endnote text"/>
    <w:basedOn w:val="Normal"/>
    <w:link w:val="EndnoteTextChar"/>
    <w:rsid w:val="008D4F61"/>
    <w:rPr>
      <w:sz w:val="20"/>
      <w:szCs w:val="20"/>
    </w:rPr>
  </w:style>
  <w:style w:type="character" w:customStyle="1" w:styleId="EndnoteTextChar">
    <w:name w:val="Endnote Text Char"/>
    <w:basedOn w:val="DefaultParagraphFont"/>
    <w:link w:val="EndnoteText"/>
    <w:rsid w:val="008D4F61"/>
  </w:style>
  <w:style w:type="character" w:styleId="EndnoteReference">
    <w:name w:val="endnote reference"/>
    <w:basedOn w:val="DefaultParagraphFont"/>
    <w:rsid w:val="008D4F61"/>
    <w:rPr>
      <w:vertAlign w:val="superscript"/>
    </w:rPr>
  </w:style>
  <w:style w:type="character" w:styleId="PlaceholderText">
    <w:name w:val="Placeholder Text"/>
    <w:basedOn w:val="DefaultParagraphFont"/>
    <w:uiPriority w:val="99"/>
    <w:semiHidden/>
    <w:rsid w:val="00F36ADF"/>
    <w:rPr>
      <w:color w:val="808080"/>
    </w:rPr>
  </w:style>
  <w:style w:type="character" w:customStyle="1" w:styleId="FootnoteTextChar2">
    <w:name w:val="Footnote Text Char2"/>
    <w:aliases w:val="Footnote Text Char1 Char,Footnote Text Char Char Char,Footnote Text Char Char1"/>
    <w:basedOn w:val="DefaultParagraphFont"/>
    <w:link w:val="FootnoteText"/>
    <w:rsid w:val="00F96325"/>
    <w:rPr>
      <w:sz w:val="22"/>
    </w:rPr>
  </w:style>
  <w:style w:type="character" w:customStyle="1" w:styleId="ReferenceChar">
    <w:name w:val="Reference Char"/>
    <w:link w:val="Reference"/>
    <w:rsid w:val="006276F3"/>
    <w:rPr>
      <w:sz w:val="26"/>
    </w:rPr>
  </w:style>
  <w:style w:type="table" w:styleId="TableGrid">
    <w:name w:val="Table Grid"/>
    <w:basedOn w:val="TableNormal"/>
    <w:rsid w:val="00A1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310E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Footnote Text Char"/>
    <w:basedOn w:val="BodyText"/>
    <w:link w:val="FootnoteTextChar2"/>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7310E3"/>
    <w:pPr>
      <w:keepNext/>
      <w:spacing w:before="360" w:line="80" w:lineRule="exact"/>
      <w:jc w:val="left"/>
    </w:pPr>
  </w:style>
  <w:style w:type="character" w:customStyle="1" w:styleId="BodyTextChar">
    <w:name w:val="Body Text Char"/>
    <w:basedOn w:val="DefaultParagraphFont"/>
    <w:link w:val="BodyText"/>
    <w:rsid w:val="007310E3"/>
    <w:rPr>
      <w:sz w:val="26"/>
    </w:rPr>
  </w:style>
  <w:style w:type="character" w:customStyle="1" w:styleId="CommentTextChar">
    <w:name w:val="Comment Text Char"/>
    <w:basedOn w:val="DefaultParagraphFont"/>
    <w:semiHidden/>
    <w:rsid w:val="007310E3"/>
    <w:rPr>
      <w:szCs w:val="24"/>
    </w:rPr>
  </w:style>
  <w:style w:type="character" w:customStyle="1" w:styleId="FooterChar">
    <w:name w:val="Footer Char"/>
    <w:basedOn w:val="DefaultParagraphFont"/>
    <w:link w:val="Footer"/>
    <w:rsid w:val="007310E3"/>
    <w:rPr>
      <w:caps/>
      <w:spacing w:val="-4"/>
      <w:sz w:val="16"/>
    </w:rPr>
  </w:style>
  <w:style w:type="paragraph" w:styleId="CommentSubject">
    <w:name w:val="annotation subject"/>
    <w:basedOn w:val="CommentText"/>
    <w:next w:val="CommentText"/>
    <w:link w:val="CommentSubjectChar"/>
    <w:rsid w:val="007310E3"/>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7310E3"/>
    <w:rPr>
      <w:szCs w:val="24"/>
    </w:rPr>
  </w:style>
  <w:style w:type="character" w:customStyle="1" w:styleId="CommentSubjectChar">
    <w:name w:val="Comment Subject Char"/>
    <w:basedOn w:val="CommentTextChar1"/>
    <w:link w:val="CommentSubject"/>
    <w:rsid w:val="007310E3"/>
    <w:rPr>
      <w:b/>
      <w:bCs/>
      <w:szCs w:val="24"/>
    </w:rPr>
  </w:style>
  <w:style w:type="paragraph" w:customStyle="1" w:styleId="Bullet">
    <w:name w:val="Bullet"/>
    <w:basedOn w:val="BodyText"/>
    <w:rsid w:val="007310E3"/>
  </w:style>
  <w:style w:type="paragraph" w:styleId="Revision">
    <w:name w:val="Revision"/>
    <w:hidden/>
    <w:uiPriority w:val="99"/>
    <w:semiHidden/>
    <w:rsid w:val="007310E3"/>
    <w:rPr>
      <w:sz w:val="26"/>
      <w:szCs w:val="24"/>
    </w:rPr>
  </w:style>
  <w:style w:type="paragraph" w:customStyle="1" w:styleId="Dn">
    <w:name w:val="Dn"/>
    <w:basedOn w:val="BodyText"/>
    <w:rsid w:val="007310E3"/>
  </w:style>
  <w:style w:type="character" w:styleId="Hyperlink">
    <w:name w:val="Hyperlink"/>
    <w:basedOn w:val="DefaultParagraphFont"/>
    <w:rsid w:val="007310E3"/>
    <w:rPr>
      <w:color w:val="0000FF" w:themeColor="hyperlink"/>
      <w:u w:val="single"/>
    </w:rPr>
  </w:style>
  <w:style w:type="paragraph" w:customStyle="1" w:styleId="Comment">
    <w:name w:val="Comment"/>
    <w:basedOn w:val="BodyText"/>
    <w:rsid w:val="007310E3"/>
  </w:style>
  <w:style w:type="character" w:styleId="FollowedHyperlink">
    <w:name w:val="FollowedHyperlink"/>
    <w:basedOn w:val="DefaultParagraphFont"/>
    <w:rsid w:val="007310E3"/>
    <w:rPr>
      <w:color w:val="800080" w:themeColor="followedHyperlink"/>
      <w:u w:val="single"/>
    </w:rPr>
  </w:style>
  <w:style w:type="paragraph" w:styleId="EndnoteText">
    <w:name w:val="endnote text"/>
    <w:basedOn w:val="Normal"/>
    <w:link w:val="EndnoteTextChar"/>
    <w:rsid w:val="008D4F61"/>
    <w:rPr>
      <w:sz w:val="20"/>
      <w:szCs w:val="20"/>
    </w:rPr>
  </w:style>
  <w:style w:type="character" w:customStyle="1" w:styleId="EndnoteTextChar">
    <w:name w:val="Endnote Text Char"/>
    <w:basedOn w:val="DefaultParagraphFont"/>
    <w:link w:val="EndnoteText"/>
    <w:rsid w:val="008D4F61"/>
  </w:style>
  <w:style w:type="character" w:styleId="EndnoteReference">
    <w:name w:val="endnote reference"/>
    <w:basedOn w:val="DefaultParagraphFont"/>
    <w:rsid w:val="008D4F61"/>
    <w:rPr>
      <w:vertAlign w:val="superscript"/>
    </w:rPr>
  </w:style>
  <w:style w:type="character" w:styleId="PlaceholderText">
    <w:name w:val="Placeholder Text"/>
    <w:basedOn w:val="DefaultParagraphFont"/>
    <w:uiPriority w:val="99"/>
    <w:semiHidden/>
    <w:rsid w:val="00F36ADF"/>
    <w:rPr>
      <w:color w:val="808080"/>
    </w:rPr>
  </w:style>
  <w:style w:type="character" w:customStyle="1" w:styleId="FootnoteTextChar2">
    <w:name w:val="Footnote Text Char2"/>
    <w:aliases w:val="Footnote Text Char1 Char,Footnote Text Char Char Char,Footnote Text Char Char1"/>
    <w:basedOn w:val="DefaultParagraphFont"/>
    <w:link w:val="FootnoteText"/>
    <w:rsid w:val="00F96325"/>
    <w:rPr>
      <w:sz w:val="22"/>
    </w:rPr>
  </w:style>
  <w:style w:type="character" w:customStyle="1" w:styleId="ReferenceChar">
    <w:name w:val="Reference Char"/>
    <w:link w:val="Reference"/>
    <w:rsid w:val="006276F3"/>
    <w:rPr>
      <w:sz w:val="26"/>
    </w:rPr>
  </w:style>
  <w:style w:type="table" w:styleId="TableGrid">
    <w:name w:val="Table Grid"/>
    <w:basedOn w:val="TableNormal"/>
    <w:rsid w:val="00A1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88049">
      <w:bodyDiv w:val="1"/>
      <w:marLeft w:val="0"/>
      <w:marRight w:val="0"/>
      <w:marTop w:val="0"/>
      <w:marBottom w:val="0"/>
      <w:divBdr>
        <w:top w:val="none" w:sz="0" w:space="0" w:color="auto"/>
        <w:left w:val="none" w:sz="0" w:space="0" w:color="auto"/>
        <w:bottom w:val="none" w:sz="0" w:space="0" w:color="auto"/>
        <w:right w:val="none" w:sz="0" w:space="0" w:color="auto"/>
      </w:divBdr>
    </w:div>
    <w:div w:id="1671129872">
      <w:bodyDiv w:val="1"/>
      <w:marLeft w:val="0"/>
      <w:marRight w:val="0"/>
      <w:marTop w:val="0"/>
      <w:marBottom w:val="0"/>
      <w:divBdr>
        <w:top w:val="none" w:sz="0" w:space="0" w:color="auto"/>
        <w:left w:val="none" w:sz="0" w:space="0" w:color="auto"/>
        <w:bottom w:val="none" w:sz="0" w:space="0" w:color="auto"/>
        <w:right w:val="none" w:sz="0" w:space="0" w:color="auto"/>
      </w:divBdr>
    </w:div>
    <w:div w:id="182303509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A5A7-9044-44CB-813E-8D3353ACC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18</Pages>
  <Words>4629</Words>
  <Characters>25386</Characters>
  <Application>Microsoft Office Word</Application>
  <DocSecurity>0</DocSecurity>
  <Lines>818</Lines>
  <Paragraphs>577</Paragraphs>
  <ScaleCrop>false</ScaleCrop>
  <HeadingPairs>
    <vt:vector size="2" baseType="variant">
      <vt:variant>
        <vt:lpstr>Title</vt:lpstr>
      </vt:variant>
      <vt:variant>
        <vt:i4>1</vt:i4>
      </vt:variant>
    </vt:vector>
  </HeadingPairs>
  <TitlesOfParts>
    <vt:vector size="1" baseType="lpstr">
      <vt:lpstr>Subsector productivity</vt:lpstr>
    </vt:vector>
  </TitlesOfParts>
  <Company>Productivity Commission</Company>
  <LinksUpToDate>false</LinksUpToDate>
  <CharactersWithSpaces>29438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Subsector productivity</dc:title>
  <dc:subject>Productivity in Manufacturing</dc:subject>
  <dc:creator>Productivity Commission</dc:creator>
  <dc:description>3.</dc:description>
  <cp:lastModifiedBy>Productivity Commission</cp:lastModifiedBy>
  <cp:revision>2</cp:revision>
  <cp:lastPrinted>2013-11-27T23:17:00Z</cp:lastPrinted>
  <dcterms:created xsi:type="dcterms:W3CDTF">2013-12-03T22:57:00Z</dcterms:created>
  <dcterms:modified xsi:type="dcterms:W3CDTF">2013-12-03T22:57:00Z</dcterms:modified>
</cp:coreProperties>
</file>