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Pr="001C6BCF" w:rsidRDefault="006A7469" w:rsidP="006A7469">
      <w:pPr>
        <w:pStyle w:val="Heading1"/>
        <w:spacing w:before="0"/>
      </w:pPr>
      <w:bookmarkStart w:id="0" w:name="ChapterNumber"/>
      <w:r>
        <w:t>4</w:t>
      </w:r>
      <w:bookmarkEnd w:id="0"/>
      <w:r>
        <w:tab/>
      </w:r>
      <w:bookmarkStart w:id="1" w:name="ChapterTitle"/>
      <w:r>
        <w:t>Productivity in Petroleum, coal, chemical and rubber products</w:t>
      </w:r>
      <w:bookmarkEnd w:id="1"/>
    </w:p>
    <w:p w:rsidR="00507392" w:rsidRPr="001C6BCF" w:rsidRDefault="00534408" w:rsidP="00A14B82">
      <w:pPr>
        <w:pStyle w:val="BodyText"/>
      </w:pPr>
      <w:bookmarkStart w:id="2" w:name="begin"/>
      <w:bookmarkEnd w:id="2"/>
      <w:r>
        <w:t>Multifactor productivity (</w:t>
      </w:r>
      <w:r w:rsidR="00507392" w:rsidRPr="001C6BCF">
        <w:t>MFP</w:t>
      </w:r>
      <w:r>
        <w:t>)</w:t>
      </w:r>
      <w:r w:rsidR="00507392" w:rsidRPr="001C6BCF">
        <w:t xml:space="preserve"> growth</w:t>
      </w:r>
      <w:r w:rsidR="00F91476" w:rsidRPr="001C6BCF">
        <w:t xml:space="preserve"> in the Petroleum, coal, chemical </w:t>
      </w:r>
      <w:r w:rsidR="00301364">
        <w:t>and</w:t>
      </w:r>
      <w:r w:rsidR="00F91476" w:rsidRPr="001C6BCF">
        <w:t xml:space="preserve"> rubber products (</w:t>
      </w:r>
      <w:proofErr w:type="spellStart"/>
      <w:r w:rsidR="00F91476" w:rsidRPr="001C6BCF">
        <w:t>PCCR</w:t>
      </w:r>
      <w:proofErr w:type="spellEnd"/>
      <w:r w:rsidR="00F91476" w:rsidRPr="001C6BCF">
        <w:t xml:space="preserve">) subsector of </w:t>
      </w:r>
      <w:r w:rsidR="00EF5022" w:rsidRPr="001C6BCF">
        <w:t xml:space="preserve">Manufacturing </w:t>
      </w:r>
      <w:r w:rsidR="00F91476" w:rsidRPr="001C6BCF">
        <w:t xml:space="preserve">declined significantly between </w:t>
      </w:r>
      <w:r w:rsidR="005C31D8" w:rsidRPr="001C6BCF">
        <w:t xml:space="preserve">cycle 3 (1998-99 to 2003-04) and cycle 4 (2003-04 to 2007-08) — </w:t>
      </w:r>
      <w:r w:rsidR="00F91476" w:rsidRPr="001C6BCF">
        <w:t xml:space="preserve">with the subsector making the largest negative contribution of any subsector to the </w:t>
      </w:r>
      <w:r>
        <w:t xml:space="preserve">overall </w:t>
      </w:r>
      <w:r w:rsidR="00F91476" w:rsidRPr="001C6BCF">
        <w:t xml:space="preserve">decline in </w:t>
      </w:r>
      <w:r w:rsidR="00D65800" w:rsidRPr="001C6BCF">
        <w:t>Manufacturing</w:t>
      </w:r>
      <w:r>
        <w:t xml:space="preserve"> MFP</w:t>
      </w:r>
      <w:r w:rsidR="00F91476" w:rsidRPr="001C6BCF">
        <w:t xml:space="preserve">. The decline in </w:t>
      </w:r>
      <w:proofErr w:type="spellStart"/>
      <w:r w:rsidR="00F91476" w:rsidRPr="001C6BCF">
        <w:t>PCCR</w:t>
      </w:r>
      <w:proofErr w:type="spellEnd"/>
      <w:r w:rsidR="00F91476" w:rsidRPr="001C6BCF">
        <w:t xml:space="preserve"> MFP was driven by a decline in the absolute level of </w:t>
      </w:r>
      <w:r w:rsidR="00913413" w:rsidRPr="001C6BCF">
        <w:t>value added</w:t>
      </w:r>
      <w:r w:rsidR="00F91476" w:rsidRPr="001C6BCF">
        <w:t xml:space="preserve"> (VA)</w:t>
      </w:r>
      <w:r w:rsidR="00C33AA9" w:rsidRPr="001C6BCF">
        <w:t xml:space="preserve"> </w:t>
      </w:r>
      <w:r w:rsidR="009533C9">
        <w:t xml:space="preserve">coinciding with a </w:t>
      </w:r>
      <w:r w:rsidR="00C33AA9" w:rsidRPr="001C6BCF">
        <w:t>strong growth in inputs</w:t>
      </w:r>
      <w:r w:rsidR="00635EF8" w:rsidRPr="001C6BCF">
        <w:t>,</w:t>
      </w:r>
      <w:r w:rsidR="00C33AA9" w:rsidRPr="001C6BCF">
        <w:t xml:space="preserve"> particularly capital. </w:t>
      </w:r>
    </w:p>
    <w:p w:rsidR="00C33AA9" w:rsidRPr="001C6BCF" w:rsidRDefault="00C33AA9" w:rsidP="00A14B82">
      <w:pPr>
        <w:pStyle w:val="BodyText"/>
      </w:pPr>
      <w:r w:rsidRPr="001C6BCF">
        <w:t xml:space="preserve">This chapter </w:t>
      </w:r>
      <w:r w:rsidR="00FA447D" w:rsidRPr="001C6BCF">
        <w:t>examines</w:t>
      </w:r>
      <w:r w:rsidRPr="001C6BCF">
        <w:t xml:space="preserve"> the structure and characteristics of the </w:t>
      </w:r>
      <w:proofErr w:type="spellStart"/>
      <w:r w:rsidRPr="001C6BCF">
        <w:t>PCCR</w:t>
      </w:r>
      <w:proofErr w:type="spellEnd"/>
      <w:r w:rsidRPr="001C6BCF">
        <w:t xml:space="preserve"> subsector before detailing the pattern and factors that are likely to have influenced its MFP growth.</w:t>
      </w:r>
      <w:r w:rsidR="00BE74D9">
        <w:t xml:space="preserve"> </w:t>
      </w:r>
    </w:p>
    <w:p w:rsidR="00D8403B" w:rsidRPr="001C6BCF" w:rsidRDefault="006A7469" w:rsidP="00D8403B">
      <w:pPr>
        <w:pStyle w:val="Heading2"/>
      </w:pPr>
      <w:r>
        <w:t>4.</w:t>
      </w:r>
      <w:r w:rsidR="007203B8">
        <w:rPr>
          <w:noProof/>
        </w:rPr>
        <w:t>1</w:t>
      </w:r>
      <w:r w:rsidR="00070414" w:rsidRPr="001C6BCF">
        <w:tab/>
      </w:r>
      <w:proofErr w:type="spellStart"/>
      <w:r w:rsidR="00467257" w:rsidRPr="001C6BCF">
        <w:t>PCCR</w:t>
      </w:r>
      <w:proofErr w:type="spellEnd"/>
      <w:r w:rsidR="00467257" w:rsidRPr="001C6BCF">
        <w:t xml:space="preserve"> subsector s</w:t>
      </w:r>
      <w:r w:rsidR="00A42A55" w:rsidRPr="001C6BCF">
        <w:t xml:space="preserve">tructure </w:t>
      </w:r>
      <w:r w:rsidR="00816CB9" w:rsidRPr="001C6BCF">
        <w:t xml:space="preserve">and characteristics </w:t>
      </w:r>
    </w:p>
    <w:p w:rsidR="00756C3E" w:rsidRPr="001C6BCF" w:rsidRDefault="00A4679F" w:rsidP="00756C3E">
      <w:pPr>
        <w:pStyle w:val="BodyText"/>
      </w:pPr>
      <w:r w:rsidRPr="001C6BCF">
        <w:t xml:space="preserve">The </w:t>
      </w:r>
      <w:proofErr w:type="spellStart"/>
      <w:r w:rsidRPr="001C6BCF">
        <w:t>PCCR</w:t>
      </w:r>
      <w:proofErr w:type="spellEnd"/>
      <w:r w:rsidRPr="001C6BCF">
        <w:t xml:space="preserve"> subsector </w:t>
      </w:r>
      <w:r w:rsidR="00DE6DA5" w:rsidRPr="001C6BCF">
        <w:t xml:space="preserve">consists of </w:t>
      </w:r>
      <w:r w:rsidRPr="001C6BCF">
        <w:t xml:space="preserve">three </w:t>
      </w:r>
      <w:r w:rsidRPr="00EB0517">
        <w:rPr>
          <w:i/>
        </w:rPr>
        <w:t>A</w:t>
      </w:r>
      <w:r w:rsidR="00ED5A0B" w:rsidRPr="00EB0517">
        <w:rPr>
          <w:i/>
        </w:rPr>
        <w:t xml:space="preserve">ustralian and </w:t>
      </w:r>
      <w:r w:rsidRPr="00EB0517">
        <w:rPr>
          <w:i/>
        </w:rPr>
        <w:t>N</w:t>
      </w:r>
      <w:r w:rsidR="00ED5A0B" w:rsidRPr="00EB0517">
        <w:rPr>
          <w:i/>
        </w:rPr>
        <w:t xml:space="preserve">ew </w:t>
      </w:r>
      <w:r w:rsidRPr="00EB0517">
        <w:rPr>
          <w:i/>
        </w:rPr>
        <w:t>Z</w:t>
      </w:r>
      <w:r w:rsidR="00ED5A0B" w:rsidRPr="00EB0517">
        <w:rPr>
          <w:i/>
        </w:rPr>
        <w:t xml:space="preserve">ealand </w:t>
      </w:r>
      <w:r w:rsidRPr="00EB0517">
        <w:rPr>
          <w:i/>
        </w:rPr>
        <w:t>S</w:t>
      </w:r>
      <w:r w:rsidR="00ED5A0B" w:rsidRPr="00EB0517">
        <w:rPr>
          <w:i/>
        </w:rPr>
        <w:t xml:space="preserve">tandard </w:t>
      </w:r>
      <w:r w:rsidRPr="00EB0517">
        <w:rPr>
          <w:i/>
        </w:rPr>
        <w:t>I</w:t>
      </w:r>
      <w:r w:rsidR="00ED5A0B" w:rsidRPr="00EB0517">
        <w:rPr>
          <w:i/>
        </w:rPr>
        <w:t xml:space="preserve">ndustry </w:t>
      </w:r>
      <w:r w:rsidRPr="00EB0517">
        <w:rPr>
          <w:i/>
        </w:rPr>
        <w:t>C</w:t>
      </w:r>
      <w:r w:rsidR="00ED5A0B" w:rsidRPr="00EB0517">
        <w:rPr>
          <w:i/>
        </w:rPr>
        <w:t>lassification</w:t>
      </w:r>
      <w:r w:rsidR="00ED5A0B" w:rsidRPr="001C6BCF">
        <w:t xml:space="preserve"> (</w:t>
      </w:r>
      <w:proofErr w:type="spellStart"/>
      <w:r w:rsidR="00ED5A0B" w:rsidRPr="001C6BCF">
        <w:t>ANZSIC06</w:t>
      </w:r>
      <w:proofErr w:type="spellEnd"/>
      <w:r w:rsidR="00ED5A0B" w:rsidRPr="001C6BCF">
        <w:t xml:space="preserve">) </w:t>
      </w:r>
      <w:r w:rsidR="00F30DD5" w:rsidRPr="001C6BCF">
        <w:t>subdivisions</w:t>
      </w:r>
      <w:r w:rsidR="00622BEB" w:rsidRPr="001C6BCF">
        <w:t>:</w:t>
      </w:r>
      <w:r w:rsidR="00714E0F" w:rsidRPr="001C6BCF">
        <w:t xml:space="preserve"> P</w:t>
      </w:r>
      <w:r w:rsidR="00F30DD5" w:rsidRPr="001C6BCF">
        <w:t>etroleum and coal product manufactur</w:t>
      </w:r>
      <w:r w:rsidR="002C01AB" w:rsidRPr="001C6BCF">
        <w:t>ing</w:t>
      </w:r>
      <w:r w:rsidR="00701EE0" w:rsidRPr="001C6BCF">
        <w:t xml:space="preserve"> (</w:t>
      </w:r>
      <w:r w:rsidR="00592646" w:rsidRPr="001C6BCF">
        <w:t>‘Petroleum’</w:t>
      </w:r>
      <w:r w:rsidR="00701EE0" w:rsidRPr="001C6BCF">
        <w:t>)</w:t>
      </w:r>
      <w:r w:rsidR="00622BEB" w:rsidRPr="001C6BCF">
        <w:t xml:space="preserve">, </w:t>
      </w:r>
      <w:r w:rsidR="00714E0F" w:rsidRPr="001C6BCF">
        <w:t xml:space="preserve">Basic </w:t>
      </w:r>
      <w:r w:rsidR="00756C3E" w:rsidRPr="001C6BCF">
        <w:t>chemical and chemical product manufacturing (</w:t>
      </w:r>
      <w:r w:rsidR="00592646" w:rsidRPr="001C6BCF">
        <w:t>‘Chemicals’</w:t>
      </w:r>
      <w:r w:rsidR="00756C3E" w:rsidRPr="001C6BCF">
        <w:t>)</w:t>
      </w:r>
      <w:r w:rsidR="00622BEB" w:rsidRPr="001C6BCF">
        <w:t>,</w:t>
      </w:r>
      <w:r w:rsidR="00756C3E" w:rsidRPr="001C6BCF">
        <w:t xml:space="preserve"> and</w:t>
      </w:r>
      <w:r w:rsidR="00622BEB" w:rsidRPr="001C6BCF">
        <w:t xml:space="preserve"> </w:t>
      </w:r>
      <w:r w:rsidR="00756C3E" w:rsidRPr="001C6BCF">
        <w:t>Polymer product and rubber product manufacturing (</w:t>
      </w:r>
      <w:r w:rsidR="00592646" w:rsidRPr="001C6BCF">
        <w:t>‘Polymers’</w:t>
      </w:r>
      <w:r w:rsidR="00756C3E" w:rsidRPr="001C6BCF">
        <w:t xml:space="preserve">). </w:t>
      </w:r>
      <w:r w:rsidR="00B563E1" w:rsidRPr="001C6BCF">
        <w:t>T</w:t>
      </w:r>
      <w:r w:rsidR="009B777D" w:rsidRPr="001C6BCF">
        <w:t xml:space="preserve">he primary activities </w:t>
      </w:r>
      <w:r w:rsidR="00B563E1" w:rsidRPr="001C6BCF">
        <w:t xml:space="preserve">within </w:t>
      </w:r>
      <w:r w:rsidR="00E03BAB" w:rsidRPr="001C6BCF">
        <w:t xml:space="preserve">each of </w:t>
      </w:r>
      <w:r w:rsidR="00D743DC" w:rsidRPr="001C6BCF">
        <w:t>these</w:t>
      </w:r>
      <w:r w:rsidR="009B777D" w:rsidRPr="001C6BCF">
        <w:t xml:space="preserve"> subdivisions are summarised in table </w:t>
      </w:r>
      <w:r w:rsidR="00476EAD">
        <w:t>4.1</w:t>
      </w:r>
      <w:r w:rsidR="009B777D" w:rsidRPr="001C6BCF">
        <w:t>.</w:t>
      </w:r>
    </w:p>
    <w:p w:rsidR="00701EE0" w:rsidRPr="001C6BCF" w:rsidRDefault="00701EE0">
      <w:pPr>
        <w:pStyle w:val="TableTitle"/>
        <w:rPr>
          <w:sz w:val="24"/>
          <w:szCs w:val="24"/>
        </w:rPr>
      </w:pPr>
      <w:r w:rsidRPr="001C6BCF">
        <w:rPr>
          <w:b w:val="0"/>
          <w:sz w:val="24"/>
          <w:szCs w:val="24"/>
        </w:rPr>
        <w:t xml:space="preserve">Table </w:t>
      </w:r>
      <w:bookmarkStart w:id="3" w:name="OLE_LINK2"/>
      <w:r w:rsidR="006A7469">
        <w:rPr>
          <w:b w:val="0"/>
          <w:sz w:val="24"/>
          <w:szCs w:val="24"/>
        </w:rPr>
        <w:t>4.</w:t>
      </w:r>
      <w:r w:rsidR="007203B8">
        <w:rPr>
          <w:b w:val="0"/>
          <w:noProof/>
          <w:sz w:val="24"/>
          <w:szCs w:val="24"/>
        </w:rPr>
        <w:t>1</w:t>
      </w:r>
      <w:bookmarkEnd w:id="3"/>
      <w:r w:rsidRPr="001C6BCF">
        <w:rPr>
          <w:sz w:val="24"/>
          <w:szCs w:val="24"/>
        </w:rPr>
        <w:tab/>
      </w:r>
      <w:r w:rsidR="00D9583D" w:rsidRPr="001C6BCF">
        <w:rPr>
          <w:sz w:val="24"/>
          <w:szCs w:val="24"/>
        </w:rPr>
        <w:t xml:space="preserve">Activities within the </w:t>
      </w:r>
      <w:r w:rsidR="00CB2D43" w:rsidRPr="001C6BCF">
        <w:rPr>
          <w:sz w:val="24"/>
          <w:szCs w:val="24"/>
        </w:rPr>
        <w:t>P</w:t>
      </w:r>
      <w:r w:rsidRPr="001C6BCF">
        <w:rPr>
          <w:sz w:val="24"/>
          <w:szCs w:val="24"/>
        </w:rPr>
        <w:t xml:space="preserve">etroleum, coal, chemical </w:t>
      </w:r>
      <w:r w:rsidR="00D9583D" w:rsidRPr="001C6BCF">
        <w:rPr>
          <w:sz w:val="24"/>
          <w:szCs w:val="24"/>
        </w:rPr>
        <w:t>and</w:t>
      </w:r>
      <w:r w:rsidRPr="001C6BCF">
        <w:rPr>
          <w:sz w:val="24"/>
          <w:szCs w:val="24"/>
        </w:rPr>
        <w:t xml:space="preserve"> rubber products subsector</w:t>
      </w:r>
    </w:p>
    <w:tbl>
      <w:tblPr>
        <w:tblW w:w="5000" w:type="pct"/>
        <w:tblCellMar>
          <w:left w:w="0" w:type="dxa"/>
          <w:right w:w="0" w:type="dxa"/>
        </w:tblCellMar>
        <w:tblLook w:val="0000" w:firstRow="0" w:lastRow="0" w:firstColumn="0" w:lastColumn="0" w:noHBand="0" w:noVBand="0"/>
      </w:tblPr>
      <w:tblGrid>
        <w:gridCol w:w="2296"/>
        <w:gridCol w:w="6493"/>
      </w:tblGrid>
      <w:tr w:rsidR="00701EE0" w:rsidRPr="001C6BCF" w:rsidTr="00701EE0">
        <w:tc>
          <w:tcPr>
            <w:tcW w:w="1306" w:type="pct"/>
            <w:tcBorders>
              <w:top w:val="single" w:sz="6" w:space="0" w:color="auto"/>
              <w:bottom w:val="single" w:sz="6" w:space="0" w:color="auto"/>
            </w:tcBorders>
            <w:shd w:val="clear" w:color="auto" w:fill="auto"/>
          </w:tcPr>
          <w:p w:rsidR="00701EE0" w:rsidRPr="001C6BCF" w:rsidRDefault="00701EE0" w:rsidP="00701EE0">
            <w:pPr>
              <w:pStyle w:val="TableColumnHeading"/>
              <w:jc w:val="left"/>
            </w:pPr>
            <w:r w:rsidRPr="001C6BCF">
              <w:t>Subdivision</w:t>
            </w:r>
          </w:p>
        </w:tc>
        <w:tc>
          <w:tcPr>
            <w:tcW w:w="3694" w:type="pct"/>
            <w:tcBorders>
              <w:top w:val="single" w:sz="6" w:space="0" w:color="auto"/>
              <w:bottom w:val="single" w:sz="6" w:space="0" w:color="auto"/>
            </w:tcBorders>
            <w:shd w:val="clear" w:color="auto" w:fill="auto"/>
          </w:tcPr>
          <w:p w:rsidR="00701EE0" w:rsidRPr="001C6BCF" w:rsidRDefault="00701EE0" w:rsidP="00D8305D">
            <w:pPr>
              <w:pStyle w:val="TableColumnHeading"/>
              <w:ind w:right="28"/>
              <w:jc w:val="left"/>
              <w:rPr>
                <w:caps/>
                <w:spacing w:val="-4"/>
              </w:rPr>
            </w:pPr>
            <w:r w:rsidRPr="001C6BCF">
              <w:t>Primary activities</w:t>
            </w:r>
          </w:p>
        </w:tc>
      </w:tr>
      <w:tr w:rsidR="00701EE0" w:rsidRPr="001C6BCF" w:rsidTr="00B471F0">
        <w:tc>
          <w:tcPr>
            <w:tcW w:w="1306" w:type="pct"/>
            <w:tcBorders>
              <w:bottom w:val="dotted" w:sz="4" w:space="0" w:color="auto"/>
            </w:tcBorders>
            <w:shd w:val="clear" w:color="auto" w:fill="D9D9D9" w:themeFill="background1" w:themeFillShade="D9"/>
          </w:tcPr>
          <w:p w:rsidR="00701EE0" w:rsidRPr="001C6BCF" w:rsidRDefault="00701EE0" w:rsidP="00AA191B">
            <w:pPr>
              <w:pStyle w:val="TableBodyText"/>
              <w:spacing w:before="40"/>
              <w:jc w:val="left"/>
            </w:pPr>
            <w:r w:rsidRPr="001C6BCF">
              <w:t>Petroleum and coal product manufacturing</w:t>
            </w:r>
          </w:p>
        </w:tc>
        <w:tc>
          <w:tcPr>
            <w:tcW w:w="3694" w:type="pct"/>
            <w:tcBorders>
              <w:bottom w:val="dotted" w:sz="4" w:space="0" w:color="auto"/>
            </w:tcBorders>
            <w:shd w:val="clear" w:color="auto" w:fill="D9D9D9" w:themeFill="background1" w:themeFillShade="D9"/>
          </w:tcPr>
          <w:p w:rsidR="00701EE0" w:rsidRPr="001C6BCF" w:rsidRDefault="003C39D0" w:rsidP="009A5D86">
            <w:pPr>
              <w:pStyle w:val="TableBodyText"/>
              <w:spacing w:before="40"/>
              <w:ind w:right="28"/>
              <w:jc w:val="left"/>
              <w:rPr>
                <w:i/>
              </w:rPr>
            </w:pPr>
            <w:r w:rsidRPr="001C6BCF">
              <w:rPr>
                <w:rFonts w:cs="Arial"/>
              </w:rPr>
              <w:t>Includes the refining of crude oils into petroleum</w:t>
            </w:r>
            <w:r w:rsidR="00C54CD4" w:rsidRPr="001C6BCF">
              <w:rPr>
                <w:rFonts w:cs="Arial"/>
              </w:rPr>
              <w:t>,</w:t>
            </w:r>
            <w:r w:rsidRPr="001C6BCF">
              <w:rPr>
                <w:rFonts w:cs="Arial"/>
              </w:rPr>
              <w:t xml:space="preserve"> </w:t>
            </w:r>
            <w:r w:rsidR="00C54CD4" w:rsidRPr="001C6BCF">
              <w:rPr>
                <w:rFonts w:cs="Arial"/>
              </w:rPr>
              <w:t>diesel</w:t>
            </w:r>
            <w:r w:rsidRPr="001C6BCF">
              <w:rPr>
                <w:rFonts w:cs="Arial"/>
              </w:rPr>
              <w:t xml:space="preserve">, </w:t>
            </w:r>
            <w:r w:rsidR="00C54CD4" w:rsidRPr="001C6BCF">
              <w:rPr>
                <w:rFonts w:cs="Arial"/>
              </w:rPr>
              <w:t xml:space="preserve">liquefied petroleum gas and other fuels. Also includes the production of some oils and coke products. </w:t>
            </w:r>
          </w:p>
        </w:tc>
      </w:tr>
      <w:tr w:rsidR="00701EE0" w:rsidRPr="001C6BCF" w:rsidTr="00AA191B">
        <w:tc>
          <w:tcPr>
            <w:tcW w:w="1306" w:type="pct"/>
            <w:tcBorders>
              <w:top w:val="dotted" w:sz="4" w:space="0" w:color="auto"/>
              <w:bottom w:val="dotted" w:sz="4" w:space="0" w:color="auto"/>
            </w:tcBorders>
            <w:shd w:val="clear" w:color="auto" w:fill="FFFFFF" w:themeFill="background1"/>
          </w:tcPr>
          <w:p w:rsidR="00701EE0" w:rsidRPr="001C6BCF" w:rsidRDefault="00701EE0" w:rsidP="00AA191B">
            <w:pPr>
              <w:pStyle w:val="TableBodyText"/>
              <w:spacing w:before="40"/>
              <w:jc w:val="left"/>
            </w:pPr>
            <w:r w:rsidRPr="001C6BCF">
              <w:t>Basic chemical and chemical product manufacturing</w:t>
            </w:r>
          </w:p>
        </w:tc>
        <w:tc>
          <w:tcPr>
            <w:tcW w:w="3694" w:type="pct"/>
            <w:tcBorders>
              <w:top w:val="dotted" w:sz="4" w:space="0" w:color="auto"/>
              <w:bottom w:val="dotted" w:sz="4" w:space="0" w:color="auto"/>
            </w:tcBorders>
            <w:shd w:val="clear" w:color="auto" w:fill="FFFFFF" w:themeFill="background1"/>
          </w:tcPr>
          <w:p w:rsidR="00701EE0" w:rsidRPr="001C6BCF" w:rsidRDefault="007824A7" w:rsidP="00AA191B">
            <w:pPr>
              <w:pStyle w:val="TableBodyText"/>
              <w:spacing w:before="40"/>
              <w:ind w:right="28"/>
              <w:jc w:val="left"/>
              <w:rPr>
                <w:i/>
              </w:rPr>
            </w:pPr>
            <w:r w:rsidRPr="001C6BCF">
              <w:t>Includes the production of basic chemicals and simple polymers, as well as the manufacture of fertilisers, pesticides, pharmaceuticals, cleaning products, cosmetics and explosives.</w:t>
            </w:r>
          </w:p>
        </w:tc>
      </w:tr>
      <w:tr w:rsidR="00701EE0" w:rsidRPr="001C6BCF" w:rsidTr="00B471F0">
        <w:tc>
          <w:tcPr>
            <w:tcW w:w="1306" w:type="pct"/>
            <w:tcBorders>
              <w:top w:val="dotted" w:sz="4" w:space="0" w:color="auto"/>
              <w:bottom w:val="single" w:sz="6" w:space="0" w:color="auto"/>
            </w:tcBorders>
            <w:shd w:val="clear" w:color="auto" w:fill="D9D9D9" w:themeFill="background1" w:themeFillShade="D9"/>
          </w:tcPr>
          <w:p w:rsidR="00701EE0" w:rsidRPr="001C6BCF" w:rsidRDefault="00701EE0" w:rsidP="00AA191B">
            <w:pPr>
              <w:pStyle w:val="TableBodyText"/>
              <w:spacing w:before="40"/>
              <w:jc w:val="left"/>
            </w:pPr>
            <w:r w:rsidRPr="001C6BCF">
              <w:t>Polymer product and rubber product manufacturing</w:t>
            </w:r>
          </w:p>
        </w:tc>
        <w:tc>
          <w:tcPr>
            <w:tcW w:w="3694" w:type="pct"/>
            <w:tcBorders>
              <w:top w:val="dotted" w:sz="4" w:space="0" w:color="auto"/>
              <w:bottom w:val="single" w:sz="6" w:space="0" w:color="auto"/>
            </w:tcBorders>
            <w:shd w:val="clear" w:color="auto" w:fill="D9D9D9" w:themeFill="background1" w:themeFillShade="D9"/>
          </w:tcPr>
          <w:p w:rsidR="00701EE0" w:rsidRPr="001C6BCF" w:rsidRDefault="005D4B13" w:rsidP="00AA191B">
            <w:pPr>
              <w:pStyle w:val="TableBodyText"/>
              <w:spacing w:before="40"/>
              <w:ind w:right="28"/>
              <w:jc w:val="left"/>
              <w:rPr>
                <w:i/>
              </w:rPr>
            </w:pPr>
            <w:r w:rsidRPr="001C6BCF">
              <w:t>Includes the production of polymer film and sheet packaging material, rigid and semi-rigid polymers, tyres, adhesives, paints</w:t>
            </w:r>
            <w:r w:rsidR="003C39D0" w:rsidRPr="001C6BCF">
              <w:t>, hoses and rubber products.</w:t>
            </w:r>
          </w:p>
        </w:tc>
      </w:tr>
    </w:tbl>
    <w:p w:rsidR="00701EE0" w:rsidRPr="001C6BCF" w:rsidRDefault="00701EE0" w:rsidP="00701EE0">
      <w:pPr>
        <w:pStyle w:val="Source"/>
      </w:pPr>
      <w:r w:rsidRPr="001C6BCF">
        <w:rPr>
          <w:i/>
        </w:rPr>
        <w:t>Source</w:t>
      </w:r>
      <w:r w:rsidRPr="001C6BCF">
        <w:t>:</w:t>
      </w:r>
      <w:r w:rsidR="00135522" w:rsidRPr="001C6BCF">
        <w:t xml:space="preserve"> ABS</w:t>
      </w:r>
      <w:r w:rsidR="00C87A74" w:rsidRPr="001C6BCF">
        <w:t xml:space="preserve"> (</w:t>
      </w:r>
      <w:r w:rsidR="00C87A74" w:rsidRPr="001C6BCF">
        <w:rPr>
          <w:i/>
        </w:rPr>
        <w:t>Australian and New Zealand Standard Industrial Classification, 2006,</w:t>
      </w:r>
      <w:r w:rsidR="00C87A74" w:rsidRPr="001C6BCF">
        <w:t xml:space="preserve"> Cat. no</w:t>
      </w:r>
      <w:r w:rsidR="007A7FAC" w:rsidRPr="001C6BCF">
        <w:t>. </w:t>
      </w:r>
      <w:r w:rsidR="00135522" w:rsidRPr="001C6BCF">
        <w:t>1292.0</w:t>
      </w:r>
      <w:r w:rsidR="00C87A74" w:rsidRPr="001C6BCF">
        <w:t>).</w:t>
      </w:r>
    </w:p>
    <w:p w:rsidR="00725F63" w:rsidRPr="001C6BCF" w:rsidRDefault="00725F63" w:rsidP="00725F63">
      <w:pPr>
        <w:pStyle w:val="BodyText"/>
      </w:pPr>
      <w:proofErr w:type="spellStart"/>
      <w:r w:rsidRPr="001C6BCF">
        <w:lastRenderedPageBreak/>
        <w:t>PCCR</w:t>
      </w:r>
      <w:proofErr w:type="spellEnd"/>
      <w:r w:rsidRPr="001C6BCF">
        <w:t xml:space="preserve"> produces both intermediate inputs to other parts of the economy, as well as finished goods for final consumption. </w:t>
      </w:r>
      <w:r w:rsidR="00B563E1" w:rsidRPr="001C6BCF">
        <w:t xml:space="preserve">For example, </w:t>
      </w:r>
      <w:r w:rsidR="006D7938" w:rsidRPr="001C6BCF">
        <w:t>Petroleum</w:t>
      </w:r>
      <w:r w:rsidRPr="001C6BCF">
        <w:t xml:space="preserve"> products are used as</w:t>
      </w:r>
      <w:r w:rsidR="00E532E3" w:rsidRPr="001C6BCF">
        <w:t>:</w:t>
      </w:r>
      <w:r w:rsidRPr="001C6BCF">
        <w:t xml:space="preserve"> inputs </w:t>
      </w:r>
      <w:r w:rsidR="00E532E3" w:rsidRPr="001C6BCF">
        <w:t>by</w:t>
      </w:r>
      <w:r w:rsidR="002C44E6" w:rsidRPr="001C6BCF">
        <w:t xml:space="preserve"> </w:t>
      </w:r>
      <w:r w:rsidR="00441689">
        <w:t>c</w:t>
      </w:r>
      <w:r w:rsidR="00441689" w:rsidRPr="001C6BCF">
        <w:t xml:space="preserve">hemical </w:t>
      </w:r>
      <w:r w:rsidRPr="001C6BCF">
        <w:t xml:space="preserve">and </w:t>
      </w:r>
      <w:r w:rsidR="00441689">
        <w:t>p</w:t>
      </w:r>
      <w:r w:rsidR="00441689" w:rsidRPr="001C6BCF">
        <w:t xml:space="preserve">olymer </w:t>
      </w:r>
      <w:r w:rsidRPr="001C6BCF">
        <w:t>product manufacture</w:t>
      </w:r>
      <w:r w:rsidR="002351BD" w:rsidRPr="001C6BCF">
        <w:t>r</w:t>
      </w:r>
      <w:r w:rsidRPr="001C6BCF">
        <w:t>s</w:t>
      </w:r>
      <w:r w:rsidR="002351BD" w:rsidRPr="001C6BCF">
        <w:t>; inputs to the transport sector</w:t>
      </w:r>
      <w:r w:rsidR="00E532E3" w:rsidRPr="001C6BCF">
        <w:t>;</w:t>
      </w:r>
      <w:r w:rsidR="002351BD" w:rsidRPr="001C6BCF">
        <w:t xml:space="preserve"> and finished goods supplied by the </w:t>
      </w:r>
      <w:r w:rsidRPr="001C6BCF">
        <w:t xml:space="preserve">retail sector for household consumption. </w:t>
      </w:r>
      <w:r w:rsidR="00D62060">
        <w:t>C</w:t>
      </w:r>
      <w:r w:rsidR="00441689" w:rsidRPr="001C6BCF">
        <w:t xml:space="preserve">hemical </w:t>
      </w:r>
      <w:r w:rsidR="006D7938" w:rsidRPr="001C6BCF">
        <w:t>manufacturers</w:t>
      </w:r>
      <w:r w:rsidRPr="001C6BCF">
        <w:t xml:space="preserve"> </w:t>
      </w:r>
      <w:r w:rsidR="006D7938" w:rsidRPr="001C6BCF">
        <w:t xml:space="preserve">supply </w:t>
      </w:r>
      <w:r w:rsidRPr="001C6BCF">
        <w:t xml:space="preserve">fertilisers to agriculture, explosives to mining and construction, and pharmaceutical products to retailers. </w:t>
      </w:r>
      <w:r w:rsidR="006D7938" w:rsidRPr="001C6BCF">
        <w:t>Polymer manufactu</w:t>
      </w:r>
      <w:r w:rsidR="00DD580D" w:rsidRPr="001C6BCF">
        <w:t>r</w:t>
      </w:r>
      <w:r w:rsidR="006D7938" w:rsidRPr="001C6BCF">
        <w:t>ers</w:t>
      </w:r>
      <w:r w:rsidRPr="001C6BCF">
        <w:t xml:space="preserve"> produce mainly </w:t>
      </w:r>
      <w:r w:rsidR="00FA447D" w:rsidRPr="001C6BCF">
        <w:t xml:space="preserve">packaging and </w:t>
      </w:r>
      <w:r w:rsidRPr="001C6BCF">
        <w:t xml:space="preserve">finished products for sale. </w:t>
      </w:r>
    </w:p>
    <w:p w:rsidR="00C77CF7" w:rsidRPr="001C6BCF" w:rsidRDefault="00C77CF7" w:rsidP="00725F63">
      <w:pPr>
        <w:pStyle w:val="BodyText"/>
      </w:pPr>
      <w:proofErr w:type="spellStart"/>
      <w:r w:rsidRPr="001C6BCF">
        <w:t>PCCR</w:t>
      </w:r>
      <w:proofErr w:type="spellEnd"/>
      <w:r w:rsidRPr="001C6BCF">
        <w:t xml:space="preserve"> is one of the larger subsectors </w:t>
      </w:r>
      <w:r w:rsidR="005B3DF2" w:rsidRPr="001C6BCF">
        <w:t>with</w:t>
      </w:r>
      <w:r w:rsidRPr="001C6BCF">
        <w:t xml:space="preserve">in Manufacturing. </w:t>
      </w:r>
      <w:proofErr w:type="spellStart"/>
      <w:r w:rsidRPr="001C6BCF">
        <w:t>PCCR</w:t>
      </w:r>
      <w:proofErr w:type="spellEnd"/>
      <w:r w:rsidRPr="001C6BCF">
        <w:t xml:space="preserve"> </w:t>
      </w:r>
      <w:r w:rsidR="00E532E3" w:rsidRPr="001C6BCF">
        <w:t>was</w:t>
      </w:r>
      <w:r w:rsidRPr="001C6BCF">
        <w:t xml:space="preserve"> 1</w:t>
      </w:r>
      <w:r w:rsidR="009A5D86">
        <w:t>7</w:t>
      </w:r>
      <w:r w:rsidR="00E532E3" w:rsidRPr="001C6BCF">
        <w:t> </w:t>
      </w:r>
      <w:r w:rsidRPr="001C6BCF">
        <w:t xml:space="preserve">per cent of Manufacturing </w:t>
      </w:r>
      <w:r w:rsidR="00D62060">
        <w:t>VA</w:t>
      </w:r>
      <w:r w:rsidRPr="001C6BCF">
        <w:t xml:space="preserve"> in 2009-10, as well as 10 per cent of hours worked and 19 per cent of gross fixed capital formation (</w:t>
      </w:r>
      <w:proofErr w:type="spellStart"/>
      <w:r w:rsidRPr="001C6BCF">
        <w:t>GFCF</w:t>
      </w:r>
      <w:proofErr w:type="spellEnd"/>
      <w:r w:rsidRPr="001C6BCF">
        <w:t xml:space="preserve">). </w:t>
      </w:r>
    </w:p>
    <w:p w:rsidR="00353CBF" w:rsidRPr="001C6BCF" w:rsidRDefault="004B1179" w:rsidP="00704D28">
      <w:pPr>
        <w:pStyle w:val="Heading3"/>
        <w:spacing w:before="480"/>
      </w:pPr>
      <w:r w:rsidRPr="001C6BCF">
        <w:t xml:space="preserve">Relative sizes of the </w:t>
      </w:r>
      <w:proofErr w:type="spellStart"/>
      <w:r w:rsidRPr="001C6BCF">
        <w:t>PCCR</w:t>
      </w:r>
      <w:proofErr w:type="spellEnd"/>
      <w:r w:rsidRPr="001C6BCF">
        <w:t xml:space="preserve"> subdivisions</w:t>
      </w:r>
    </w:p>
    <w:p w:rsidR="00A578C6" w:rsidRPr="001C6BCF" w:rsidRDefault="00555738" w:rsidP="00035897">
      <w:pPr>
        <w:pStyle w:val="BodyText"/>
      </w:pPr>
      <w:r w:rsidRPr="001C6BCF">
        <w:t>Chemical manufacturing</w:t>
      </w:r>
      <w:r w:rsidR="009A11CA" w:rsidRPr="001C6BCF">
        <w:t xml:space="preserve"> is the largest part of </w:t>
      </w:r>
      <w:proofErr w:type="spellStart"/>
      <w:r w:rsidR="009A11CA" w:rsidRPr="001C6BCF">
        <w:t>PCCR</w:t>
      </w:r>
      <w:proofErr w:type="spellEnd"/>
      <w:r w:rsidR="009A11CA" w:rsidRPr="001C6BCF">
        <w:t xml:space="preserve"> in terms of </w:t>
      </w:r>
      <w:r w:rsidR="00D62060">
        <w:t>VA</w:t>
      </w:r>
      <w:r w:rsidR="009A11CA" w:rsidRPr="001C6BCF">
        <w:t xml:space="preserve">, hours worked and investment. </w:t>
      </w:r>
      <w:r w:rsidR="00490870" w:rsidRPr="001C6BCF">
        <w:t xml:space="preserve">Petroleum manufacturing is the smallest in terms of </w:t>
      </w:r>
      <w:r w:rsidR="00D62060">
        <w:t>VA</w:t>
      </w:r>
      <w:r w:rsidR="004C2519" w:rsidRPr="001C6BCF">
        <w:t xml:space="preserve"> and hours worked</w:t>
      </w:r>
      <w:r w:rsidR="00490870" w:rsidRPr="001C6BCF">
        <w:t xml:space="preserve">, while Polymer manufacturing is smallest in </w:t>
      </w:r>
      <w:r w:rsidR="00312002" w:rsidRPr="001C6BCF">
        <w:t>terms of investment</w:t>
      </w:r>
      <w:r w:rsidR="001867E3" w:rsidRPr="001C6BCF">
        <w:t xml:space="preserve"> (</w:t>
      </w:r>
      <w:r w:rsidR="00BB1BB9" w:rsidRPr="001C6BCF">
        <w:t xml:space="preserve">table </w:t>
      </w:r>
      <w:r w:rsidR="006A7469">
        <w:t>4.2</w:t>
      </w:r>
      <w:r w:rsidR="001867E3" w:rsidRPr="001C6BCF">
        <w:t>).</w:t>
      </w:r>
    </w:p>
    <w:p w:rsidR="00BE384A" w:rsidRPr="001C6BCF" w:rsidRDefault="00BE384A" w:rsidP="006E04E1">
      <w:pPr>
        <w:pStyle w:val="TableTitle"/>
        <w:rPr>
          <w:sz w:val="24"/>
          <w:szCs w:val="24"/>
        </w:rPr>
      </w:pPr>
      <w:r w:rsidRPr="001C6BCF">
        <w:rPr>
          <w:b w:val="0"/>
          <w:sz w:val="24"/>
          <w:szCs w:val="24"/>
        </w:rPr>
        <w:t xml:space="preserve">Table </w:t>
      </w:r>
      <w:bookmarkStart w:id="4" w:name="OLE_LINK6"/>
      <w:r w:rsidR="006A7469">
        <w:rPr>
          <w:b w:val="0"/>
          <w:sz w:val="24"/>
          <w:szCs w:val="24"/>
        </w:rPr>
        <w:t>4.</w:t>
      </w:r>
      <w:r w:rsidR="007203B8">
        <w:rPr>
          <w:b w:val="0"/>
          <w:noProof/>
          <w:sz w:val="24"/>
          <w:szCs w:val="24"/>
        </w:rPr>
        <w:t>2</w:t>
      </w:r>
      <w:bookmarkEnd w:id="4"/>
      <w:r w:rsidRPr="001C6BCF">
        <w:rPr>
          <w:sz w:val="24"/>
          <w:szCs w:val="24"/>
        </w:rPr>
        <w:tab/>
      </w:r>
      <w:r w:rsidR="00BB1BB9" w:rsidRPr="001C6BCF">
        <w:rPr>
          <w:sz w:val="24"/>
          <w:szCs w:val="24"/>
        </w:rPr>
        <w:t xml:space="preserve">Composition of </w:t>
      </w:r>
      <w:proofErr w:type="spellStart"/>
      <w:r w:rsidR="00BB1BB9" w:rsidRPr="001C6BCF">
        <w:rPr>
          <w:sz w:val="24"/>
          <w:szCs w:val="24"/>
        </w:rPr>
        <w:t>PCCR</w:t>
      </w:r>
      <w:proofErr w:type="spellEnd"/>
      <w:r w:rsidR="00F42C03" w:rsidRPr="001C6BCF">
        <w:rPr>
          <w:sz w:val="24"/>
          <w:szCs w:val="24"/>
        </w:rPr>
        <w:t>,</w:t>
      </w:r>
      <w:r w:rsidR="006D3FD9" w:rsidRPr="001C6BCF">
        <w:rPr>
          <w:sz w:val="24"/>
          <w:szCs w:val="24"/>
        </w:rPr>
        <w:t xml:space="preserve"> </w:t>
      </w:r>
      <w:r w:rsidR="00CC3CD6" w:rsidRPr="001C6BCF">
        <w:rPr>
          <w:sz w:val="24"/>
          <w:szCs w:val="24"/>
        </w:rPr>
        <w:t>2009-10</w:t>
      </w:r>
    </w:p>
    <w:p w:rsidR="00BE384A" w:rsidRPr="001C6BCF" w:rsidRDefault="00E532E3" w:rsidP="00BE384A">
      <w:pPr>
        <w:pStyle w:val="Subtitle"/>
      </w:pPr>
      <w:r w:rsidRPr="001C6BCF">
        <w:t xml:space="preserve">Percentage shares of </w:t>
      </w:r>
      <w:proofErr w:type="spellStart"/>
      <w:r w:rsidRPr="001C6BCF">
        <w:t>PCCR</w:t>
      </w:r>
      <w:proofErr w:type="spellEnd"/>
    </w:p>
    <w:tbl>
      <w:tblPr>
        <w:tblW w:w="5000" w:type="pct"/>
        <w:tblCellMar>
          <w:left w:w="0" w:type="dxa"/>
          <w:right w:w="0" w:type="dxa"/>
        </w:tblCellMar>
        <w:tblLook w:val="0000" w:firstRow="0" w:lastRow="0" w:firstColumn="0" w:lastColumn="0" w:noHBand="0" w:noVBand="0"/>
      </w:tblPr>
      <w:tblGrid>
        <w:gridCol w:w="4990"/>
        <w:gridCol w:w="1266"/>
        <w:gridCol w:w="1399"/>
        <w:gridCol w:w="1134"/>
      </w:tblGrid>
      <w:tr w:rsidR="00BE384A" w:rsidRPr="001C6BCF" w:rsidTr="00D74DA8">
        <w:trPr>
          <w:trHeight w:val="356"/>
        </w:trPr>
        <w:tc>
          <w:tcPr>
            <w:tcW w:w="2838" w:type="pct"/>
            <w:tcBorders>
              <w:top w:val="single" w:sz="6" w:space="0" w:color="auto"/>
              <w:bottom w:val="single" w:sz="6" w:space="0" w:color="auto"/>
            </w:tcBorders>
            <w:shd w:val="clear" w:color="auto" w:fill="auto"/>
            <w:vAlign w:val="bottom"/>
          </w:tcPr>
          <w:p w:rsidR="00BE384A" w:rsidRPr="001C6BCF" w:rsidRDefault="00D74DA8" w:rsidP="00D74DA8">
            <w:pPr>
              <w:pStyle w:val="TableColumnHeading"/>
              <w:jc w:val="left"/>
            </w:pPr>
            <w:proofErr w:type="spellStart"/>
            <w:r>
              <w:t>ANZSIC06</w:t>
            </w:r>
            <w:proofErr w:type="spellEnd"/>
            <w:r>
              <w:t xml:space="preserve"> subdivision/group</w:t>
            </w:r>
            <w:r w:rsidRPr="001702E2">
              <w:rPr>
                <w:rStyle w:val="NoteLabel"/>
                <w:i w:val="0"/>
              </w:rPr>
              <w:t>a</w:t>
            </w:r>
          </w:p>
        </w:tc>
        <w:tc>
          <w:tcPr>
            <w:tcW w:w="720" w:type="pct"/>
            <w:tcBorders>
              <w:top w:val="single" w:sz="6" w:space="0" w:color="auto"/>
              <w:bottom w:val="single" w:sz="6" w:space="0" w:color="auto"/>
            </w:tcBorders>
            <w:shd w:val="clear" w:color="auto" w:fill="auto"/>
            <w:vAlign w:val="bottom"/>
          </w:tcPr>
          <w:p w:rsidR="00BE384A" w:rsidRPr="001C6BCF" w:rsidRDefault="0028123B" w:rsidP="00C23EC0">
            <w:pPr>
              <w:pStyle w:val="TableColumnHeading"/>
            </w:pPr>
            <w:r w:rsidRPr="001C6BCF">
              <w:t>V</w:t>
            </w:r>
            <w:r w:rsidR="00BE384A" w:rsidRPr="001C6BCF">
              <w:t>alue added</w:t>
            </w:r>
          </w:p>
        </w:tc>
        <w:tc>
          <w:tcPr>
            <w:tcW w:w="796" w:type="pct"/>
            <w:tcBorders>
              <w:top w:val="single" w:sz="6" w:space="0" w:color="auto"/>
              <w:bottom w:val="single" w:sz="6" w:space="0" w:color="auto"/>
            </w:tcBorders>
            <w:shd w:val="clear" w:color="auto" w:fill="auto"/>
            <w:vAlign w:val="bottom"/>
          </w:tcPr>
          <w:p w:rsidR="00BE384A" w:rsidRPr="001C6BCF" w:rsidRDefault="00D55A9E" w:rsidP="00C23EC0">
            <w:pPr>
              <w:pStyle w:val="TableColumnHeading"/>
              <w:framePr w:w="2155" w:hSpace="227" w:vSpace="181" w:wrap="around" w:vAnchor="text" w:hAnchor="page" w:xAlign="outside" w:y="1"/>
              <w:ind w:right="50"/>
            </w:pPr>
            <w:r w:rsidRPr="001C6BCF">
              <w:t>H</w:t>
            </w:r>
            <w:r w:rsidR="00BE384A" w:rsidRPr="001C6BCF">
              <w:t>ours</w:t>
            </w:r>
            <w:r w:rsidR="00704D28" w:rsidRPr="001C6BCF">
              <w:t xml:space="preserve"> </w:t>
            </w:r>
            <w:r w:rsidR="00BE384A" w:rsidRPr="001C6BCF">
              <w:t xml:space="preserve">worked </w:t>
            </w:r>
          </w:p>
        </w:tc>
        <w:tc>
          <w:tcPr>
            <w:tcW w:w="645" w:type="pct"/>
            <w:tcBorders>
              <w:top w:val="single" w:sz="6" w:space="0" w:color="auto"/>
              <w:bottom w:val="single" w:sz="6" w:space="0" w:color="auto"/>
            </w:tcBorders>
            <w:shd w:val="clear" w:color="auto" w:fill="auto"/>
            <w:vAlign w:val="bottom"/>
          </w:tcPr>
          <w:p w:rsidR="00BE384A" w:rsidRPr="001C6BCF" w:rsidRDefault="00D55A9E" w:rsidP="00C23EC0">
            <w:pPr>
              <w:pStyle w:val="TableColumnHeading"/>
              <w:ind w:right="0"/>
            </w:pPr>
            <w:r w:rsidRPr="001C6BCF">
              <w:t>I</w:t>
            </w:r>
            <w:r w:rsidR="00971A3C" w:rsidRPr="001C6BCF">
              <w:t>nvestment</w:t>
            </w:r>
            <w:r w:rsidR="00971A3C" w:rsidRPr="001C6BCF">
              <w:rPr>
                <w:rStyle w:val="NoteLabel"/>
                <w:i w:val="0"/>
              </w:rPr>
              <w:t>b</w:t>
            </w:r>
            <w:r w:rsidR="001A2D12" w:rsidRPr="001C6BCF">
              <w:rPr>
                <w:rStyle w:val="NoteLabel"/>
                <w:i w:val="0"/>
              </w:rPr>
              <w:t xml:space="preserve"> </w:t>
            </w:r>
          </w:p>
        </w:tc>
      </w:tr>
      <w:tr w:rsidR="00FE785A" w:rsidRPr="001C6BCF" w:rsidTr="00451B72">
        <w:trPr>
          <w:trHeight w:val="312"/>
        </w:trPr>
        <w:tc>
          <w:tcPr>
            <w:tcW w:w="2838" w:type="pct"/>
            <w:shd w:val="clear" w:color="auto" w:fill="D9D9D9" w:themeFill="background1" w:themeFillShade="D9"/>
            <w:vAlign w:val="bottom"/>
          </w:tcPr>
          <w:p w:rsidR="00FE785A" w:rsidRPr="001C6BCF" w:rsidRDefault="00AA191B" w:rsidP="00AA191B">
            <w:pPr>
              <w:pStyle w:val="TableBodyText"/>
              <w:tabs>
                <w:tab w:val="left" w:pos="284"/>
                <w:tab w:val="left" w:pos="825"/>
              </w:tabs>
              <w:jc w:val="left"/>
              <w:rPr>
                <w:b/>
              </w:rPr>
            </w:pPr>
            <w:r>
              <w:rPr>
                <w:b/>
              </w:rPr>
              <w:t>17</w:t>
            </w:r>
            <w:r>
              <w:rPr>
                <w:b/>
              </w:rPr>
              <w:tab/>
            </w:r>
            <w:r w:rsidR="00FE785A" w:rsidRPr="001C6BCF">
              <w:rPr>
                <w:b/>
              </w:rPr>
              <w:t>Petroleum and coal product manufacturing</w:t>
            </w:r>
            <w:r w:rsidR="00971A3C" w:rsidRPr="001C6BCF">
              <w:rPr>
                <w:rStyle w:val="NoteLabel"/>
              </w:rPr>
              <w:t>c</w:t>
            </w:r>
          </w:p>
        </w:tc>
        <w:tc>
          <w:tcPr>
            <w:tcW w:w="720" w:type="pct"/>
            <w:shd w:val="clear" w:color="auto" w:fill="D9D9D9" w:themeFill="background1" w:themeFillShade="D9"/>
            <w:vAlign w:val="bottom"/>
          </w:tcPr>
          <w:p w:rsidR="00FE785A" w:rsidRPr="001C6BCF" w:rsidRDefault="00FE785A" w:rsidP="00C23EC0">
            <w:pPr>
              <w:pStyle w:val="TableBodyText"/>
              <w:spacing w:before="60"/>
              <w:rPr>
                <w:b/>
              </w:rPr>
            </w:pPr>
            <w:r w:rsidRPr="001C6BCF">
              <w:rPr>
                <w:b/>
              </w:rPr>
              <w:t>8.9</w:t>
            </w:r>
          </w:p>
        </w:tc>
        <w:tc>
          <w:tcPr>
            <w:tcW w:w="796" w:type="pct"/>
            <w:shd w:val="clear" w:color="auto" w:fill="D9D9D9" w:themeFill="background1" w:themeFillShade="D9"/>
            <w:vAlign w:val="bottom"/>
          </w:tcPr>
          <w:p w:rsidR="00FE785A" w:rsidRPr="001C6BCF" w:rsidRDefault="00FE785A" w:rsidP="00C23EC0">
            <w:pPr>
              <w:pStyle w:val="TableBodyText"/>
              <w:spacing w:before="60"/>
              <w:rPr>
                <w:b/>
              </w:rPr>
            </w:pPr>
            <w:r w:rsidRPr="001C6BCF">
              <w:rPr>
                <w:b/>
              </w:rPr>
              <w:t>7.1</w:t>
            </w:r>
          </w:p>
        </w:tc>
        <w:tc>
          <w:tcPr>
            <w:tcW w:w="645" w:type="pct"/>
            <w:shd w:val="clear" w:color="auto" w:fill="D9D9D9" w:themeFill="background1" w:themeFillShade="D9"/>
            <w:vAlign w:val="bottom"/>
          </w:tcPr>
          <w:p w:rsidR="00FE785A" w:rsidRPr="001C6BCF" w:rsidRDefault="00FE785A" w:rsidP="00C23EC0">
            <w:pPr>
              <w:pStyle w:val="TableBodyText"/>
              <w:spacing w:before="60"/>
              <w:rPr>
                <w:b/>
              </w:rPr>
            </w:pPr>
            <w:r w:rsidRPr="001C6BCF">
              <w:rPr>
                <w:b/>
              </w:rPr>
              <w:t>22.8</w:t>
            </w:r>
          </w:p>
        </w:tc>
      </w:tr>
      <w:tr w:rsidR="00FE785A" w:rsidRPr="00C23EC0" w:rsidTr="00451B72">
        <w:trPr>
          <w:trHeight w:val="312"/>
        </w:trPr>
        <w:tc>
          <w:tcPr>
            <w:tcW w:w="2838" w:type="pct"/>
            <w:vAlign w:val="bottom"/>
          </w:tcPr>
          <w:p w:rsidR="00FE785A" w:rsidRPr="00C23EC0" w:rsidRDefault="00FE785A" w:rsidP="00AA191B">
            <w:pPr>
              <w:pStyle w:val="TableBodyText"/>
              <w:tabs>
                <w:tab w:val="left" w:pos="284"/>
                <w:tab w:val="left" w:pos="825"/>
              </w:tabs>
              <w:jc w:val="left"/>
              <w:rPr>
                <w:b/>
              </w:rPr>
            </w:pPr>
          </w:p>
        </w:tc>
        <w:tc>
          <w:tcPr>
            <w:tcW w:w="720" w:type="pct"/>
            <w:vAlign w:val="bottom"/>
          </w:tcPr>
          <w:p w:rsidR="00FE785A" w:rsidRPr="00C23EC0" w:rsidRDefault="00FE785A" w:rsidP="00C23EC0">
            <w:pPr>
              <w:pStyle w:val="TableBodyText"/>
              <w:rPr>
                <w:b/>
              </w:rPr>
            </w:pPr>
          </w:p>
        </w:tc>
        <w:tc>
          <w:tcPr>
            <w:tcW w:w="796" w:type="pct"/>
            <w:vAlign w:val="bottom"/>
          </w:tcPr>
          <w:p w:rsidR="00FE785A" w:rsidRPr="00C23EC0" w:rsidRDefault="00FE785A" w:rsidP="00C23EC0">
            <w:pPr>
              <w:pStyle w:val="TableBodyText"/>
              <w:rPr>
                <w:b/>
              </w:rPr>
            </w:pPr>
          </w:p>
        </w:tc>
        <w:tc>
          <w:tcPr>
            <w:tcW w:w="645" w:type="pct"/>
            <w:vAlign w:val="bottom"/>
          </w:tcPr>
          <w:p w:rsidR="00FE785A" w:rsidRPr="00C23EC0" w:rsidRDefault="00FE785A" w:rsidP="00C23EC0">
            <w:pPr>
              <w:pStyle w:val="TableBodyText"/>
              <w:rPr>
                <w:b/>
              </w:rPr>
            </w:pPr>
          </w:p>
        </w:tc>
      </w:tr>
      <w:tr w:rsidR="00FE785A" w:rsidRPr="00C23EC0" w:rsidTr="00451B72">
        <w:trPr>
          <w:trHeight w:val="312"/>
        </w:trPr>
        <w:tc>
          <w:tcPr>
            <w:tcW w:w="2838" w:type="pct"/>
            <w:shd w:val="clear" w:color="auto" w:fill="D9D9D9" w:themeFill="background1" w:themeFillShade="D9"/>
            <w:vAlign w:val="bottom"/>
          </w:tcPr>
          <w:p w:rsidR="00FE785A" w:rsidRPr="001C6BCF" w:rsidRDefault="00AA191B" w:rsidP="00AA191B">
            <w:pPr>
              <w:pStyle w:val="TableBodyText"/>
              <w:tabs>
                <w:tab w:val="left" w:pos="284"/>
                <w:tab w:val="left" w:pos="825"/>
              </w:tabs>
              <w:jc w:val="left"/>
              <w:rPr>
                <w:b/>
              </w:rPr>
            </w:pPr>
            <w:r>
              <w:rPr>
                <w:b/>
              </w:rPr>
              <w:t>18</w:t>
            </w:r>
            <w:r>
              <w:rPr>
                <w:b/>
              </w:rPr>
              <w:tab/>
            </w:r>
            <w:r w:rsidR="00FE785A" w:rsidRPr="001C6BCF">
              <w:rPr>
                <w:b/>
              </w:rPr>
              <w:t xml:space="preserve">Basic chemical and chemical product </w:t>
            </w:r>
            <w:proofErr w:type="spellStart"/>
            <w:r w:rsidR="006D3FD9" w:rsidRPr="001C6BCF">
              <w:rPr>
                <w:b/>
              </w:rPr>
              <w:t>mfg</w:t>
            </w:r>
            <w:proofErr w:type="spellEnd"/>
          </w:p>
        </w:tc>
        <w:tc>
          <w:tcPr>
            <w:tcW w:w="720" w:type="pct"/>
            <w:shd w:val="clear" w:color="auto" w:fill="D9D9D9" w:themeFill="background1" w:themeFillShade="D9"/>
            <w:vAlign w:val="bottom"/>
          </w:tcPr>
          <w:p w:rsidR="00FE785A" w:rsidRPr="001C6BCF" w:rsidRDefault="00FE785A" w:rsidP="00C23EC0">
            <w:pPr>
              <w:pStyle w:val="TableBodyText"/>
              <w:rPr>
                <w:b/>
              </w:rPr>
            </w:pPr>
            <w:r w:rsidRPr="001C6BCF">
              <w:rPr>
                <w:b/>
              </w:rPr>
              <w:t>51.7</w:t>
            </w:r>
          </w:p>
        </w:tc>
        <w:tc>
          <w:tcPr>
            <w:tcW w:w="796" w:type="pct"/>
            <w:shd w:val="clear" w:color="auto" w:fill="D9D9D9" w:themeFill="background1" w:themeFillShade="D9"/>
            <w:vAlign w:val="bottom"/>
          </w:tcPr>
          <w:p w:rsidR="00FE785A" w:rsidRPr="001C6BCF" w:rsidRDefault="00FE785A" w:rsidP="00C23EC0">
            <w:pPr>
              <w:pStyle w:val="TableBodyText"/>
              <w:rPr>
                <w:b/>
              </w:rPr>
            </w:pPr>
            <w:r w:rsidRPr="001C6BCF">
              <w:rPr>
                <w:b/>
              </w:rPr>
              <w:t>54.2</w:t>
            </w:r>
          </w:p>
        </w:tc>
        <w:tc>
          <w:tcPr>
            <w:tcW w:w="645" w:type="pct"/>
            <w:shd w:val="clear" w:color="auto" w:fill="D9D9D9" w:themeFill="background1" w:themeFillShade="D9"/>
            <w:vAlign w:val="bottom"/>
          </w:tcPr>
          <w:p w:rsidR="00FE785A" w:rsidRPr="001C6BCF" w:rsidRDefault="00FE785A" w:rsidP="00C23EC0">
            <w:pPr>
              <w:pStyle w:val="TableBodyText"/>
              <w:rPr>
                <w:b/>
              </w:rPr>
            </w:pPr>
            <w:r w:rsidRPr="001C6BCF">
              <w:rPr>
                <w:b/>
              </w:rPr>
              <w:t>58.5</w:t>
            </w:r>
          </w:p>
        </w:tc>
      </w:tr>
      <w:tr w:rsidR="00FE785A" w:rsidRPr="00C23EC0" w:rsidTr="00451B72">
        <w:trPr>
          <w:trHeight w:val="312"/>
        </w:trPr>
        <w:tc>
          <w:tcPr>
            <w:tcW w:w="2838" w:type="pct"/>
            <w:vAlign w:val="bottom"/>
          </w:tcPr>
          <w:p w:rsidR="00FE785A" w:rsidRPr="00C23EC0" w:rsidRDefault="00AA191B" w:rsidP="00AA191B">
            <w:pPr>
              <w:pStyle w:val="TableBodyText"/>
              <w:tabs>
                <w:tab w:val="left" w:pos="284"/>
                <w:tab w:val="left" w:pos="825"/>
              </w:tabs>
              <w:jc w:val="left"/>
            </w:pPr>
            <w:r>
              <w:tab/>
              <w:t>181</w:t>
            </w:r>
            <w:r>
              <w:tab/>
            </w:r>
            <w:r w:rsidR="00FE785A" w:rsidRPr="00C23EC0">
              <w:t>Basic chemical manufacturing</w:t>
            </w:r>
          </w:p>
        </w:tc>
        <w:tc>
          <w:tcPr>
            <w:tcW w:w="720" w:type="pct"/>
            <w:vAlign w:val="bottom"/>
          </w:tcPr>
          <w:p w:rsidR="00FE785A" w:rsidRPr="00C23EC0" w:rsidRDefault="00FE785A" w:rsidP="00C23EC0">
            <w:pPr>
              <w:pStyle w:val="TableBodyText"/>
            </w:pPr>
            <w:r w:rsidRPr="00C23EC0">
              <w:t>11.1</w:t>
            </w:r>
          </w:p>
        </w:tc>
        <w:tc>
          <w:tcPr>
            <w:tcW w:w="796" w:type="pct"/>
            <w:vAlign w:val="bottom"/>
          </w:tcPr>
          <w:p w:rsidR="00FE785A" w:rsidRPr="00C23EC0" w:rsidRDefault="00FE785A" w:rsidP="00C23EC0">
            <w:pPr>
              <w:pStyle w:val="TableBodyText"/>
            </w:pPr>
          </w:p>
        </w:tc>
        <w:tc>
          <w:tcPr>
            <w:tcW w:w="645" w:type="pct"/>
            <w:vAlign w:val="bottom"/>
          </w:tcPr>
          <w:p w:rsidR="00FE785A" w:rsidRPr="00C23EC0" w:rsidRDefault="00FE785A" w:rsidP="00C23EC0">
            <w:pPr>
              <w:pStyle w:val="TableBodyText"/>
            </w:pPr>
          </w:p>
        </w:tc>
      </w:tr>
      <w:tr w:rsidR="00FE785A" w:rsidRPr="00C23EC0" w:rsidTr="00451B72">
        <w:trPr>
          <w:trHeight w:val="312"/>
        </w:trPr>
        <w:tc>
          <w:tcPr>
            <w:tcW w:w="2838" w:type="pct"/>
            <w:shd w:val="clear" w:color="auto" w:fill="D9D9D9" w:themeFill="background1" w:themeFillShade="D9"/>
            <w:vAlign w:val="bottom"/>
          </w:tcPr>
          <w:p w:rsidR="00FE785A" w:rsidRPr="00C23EC0" w:rsidRDefault="00AA191B" w:rsidP="00AA191B">
            <w:pPr>
              <w:pStyle w:val="TableBodyText"/>
              <w:tabs>
                <w:tab w:val="left" w:pos="284"/>
                <w:tab w:val="left" w:pos="825"/>
              </w:tabs>
              <w:jc w:val="left"/>
            </w:pPr>
            <w:r>
              <w:tab/>
              <w:t>182</w:t>
            </w:r>
            <w:r>
              <w:tab/>
            </w:r>
            <w:r w:rsidR="00FE785A" w:rsidRPr="00C23EC0">
              <w:t>Basic polymer manufacturing</w:t>
            </w:r>
          </w:p>
        </w:tc>
        <w:tc>
          <w:tcPr>
            <w:tcW w:w="720" w:type="pct"/>
            <w:shd w:val="clear" w:color="auto" w:fill="D9D9D9" w:themeFill="background1" w:themeFillShade="D9"/>
            <w:vAlign w:val="bottom"/>
          </w:tcPr>
          <w:p w:rsidR="00FE785A" w:rsidRPr="00C23EC0" w:rsidRDefault="00FE785A" w:rsidP="00C23EC0">
            <w:pPr>
              <w:pStyle w:val="TableBodyText"/>
            </w:pPr>
            <w:r w:rsidRPr="00C23EC0">
              <w:t>5.0</w:t>
            </w:r>
          </w:p>
        </w:tc>
        <w:tc>
          <w:tcPr>
            <w:tcW w:w="796" w:type="pct"/>
            <w:shd w:val="clear" w:color="auto" w:fill="D9D9D9" w:themeFill="background1" w:themeFillShade="D9"/>
            <w:vAlign w:val="bottom"/>
          </w:tcPr>
          <w:p w:rsidR="00FE785A" w:rsidRPr="00C23EC0" w:rsidRDefault="00FE785A" w:rsidP="00C23EC0">
            <w:pPr>
              <w:pStyle w:val="TableBodyText"/>
            </w:pPr>
          </w:p>
        </w:tc>
        <w:tc>
          <w:tcPr>
            <w:tcW w:w="645" w:type="pct"/>
            <w:shd w:val="clear" w:color="auto" w:fill="D9D9D9" w:themeFill="background1" w:themeFillShade="D9"/>
            <w:vAlign w:val="bottom"/>
          </w:tcPr>
          <w:p w:rsidR="00FE785A" w:rsidRPr="00C23EC0" w:rsidRDefault="00FE785A" w:rsidP="00C23EC0">
            <w:pPr>
              <w:pStyle w:val="TableBodyText"/>
            </w:pPr>
          </w:p>
        </w:tc>
      </w:tr>
      <w:tr w:rsidR="00FE785A" w:rsidRPr="00C23EC0" w:rsidTr="00451B72">
        <w:trPr>
          <w:trHeight w:val="312"/>
        </w:trPr>
        <w:tc>
          <w:tcPr>
            <w:tcW w:w="2838" w:type="pct"/>
            <w:vAlign w:val="bottom"/>
          </w:tcPr>
          <w:p w:rsidR="00FE785A" w:rsidRPr="00C23EC0" w:rsidRDefault="00AA191B" w:rsidP="00AA191B">
            <w:pPr>
              <w:pStyle w:val="TableBodyText"/>
              <w:tabs>
                <w:tab w:val="left" w:pos="284"/>
                <w:tab w:val="left" w:pos="825"/>
              </w:tabs>
              <w:jc w:val="left"/>
            </w:pPr>
            <w:r>
              <w:tab/>
            </w:r>
            <w:r w:rsidR="00FE785A" w:rsidRPr="00C23EC0">
              <w:t>183</w:t>
            </w:r>
            <w:r>
              <w:tab/>
            </w:r>
            <w:r w:rsidR="00FE785A" w:rsidRPr="00C23EC0">
              <w:t>Fertiliser and pesticide manufacturing</w:t>
            </w:r>
          </w:p>
        </w:tc>
        <w:tc>
          <w:tcPr>
            <w:tcW w:w="720" w:type="pct"/>
            <w:vAlign w:val="bottom"/>
          </w:tcPr>
          <w:p w:rsidR="00FE785A" w:rsidRPr="00C23EC0" w:rsidRDefault="00FE785A" w:rsidP="00C23EC0">
            <w:pPr>
              <w:pStyle w:val="TableBodyText"/>
            </w:pPr>
            <w:r w:rsidRPr="00C23EC0">
              <w:t>5.8</w:t>
            </w:r>
          </w:p>
        </w:tc>
        <w:tc>
          <w:tcPr>
            <w:tcW w:w="796" w:type="pct"/>
            <w:vAlign w:val="bottom"/>
          </w:tcPr>
          <w:p w:rsidR="00FE785A" w:rsidRPr="00C23EC0" w:rsidRDefault="00FE785A" w:rsidP="00C23EC0">
            <w:pPr>
              <w:pStyle w:val="TableBodyText"/>
            </w:pPr>
          </w:p>
        </w:tc>
        <w:tc>
          <w:tcPr>
            <w:tcW w:w="645" w:type="pct"/>
            <w:vAlign w:val="bottom"/>
          </w:tcPr>
          <w:p w:rsidR="00FE785A" w:rsidRPr="00C23EC0" w:rsidRDefault="00FE785A" w:rsidP="00C23EC0">
            <w:pPr>
              <w:pStyle w:val="TableBodyText"/>
            </w:pPr>
          </w:p>
        </w:tc>
      </w:tr>
      <w:tr w:rsidR="00FE785A" w:rsidRPr="00C23EC0" w:rsidTr="00451B72">
        <w:trPr>
          <w:trHeight w:val="312"/>
        </w:trPr>
        <w:tc>
          <w:tcPr>
            <w:tcW w:w="2838" w:type="pct"/>
            <w:shd w:val="clear" w:color="auto" w:fill="D9D9D9" w:themeFill="background1" w:themeFillShade="D9"/>
            <w:vAlign w:val="bottom"/>
          </w:tcPr>
          <w:p w:rsidR="00FE785A" w:rsidRPr="00C23EC0" w:rsidRDefault="00AA191B" w:rsidP="00AA191B">
            <w:pPr>
              <w:pStyle w:val="TableBodyText"/>
              <w:tabs>
                <w:tab w:val="left" w:pos="284"/>
                <w:tab w:val="left" w:pos="825"/>
              </w:tabs>
              <w:jc w:val="left"/>
            </w:pPr>
            <w:r>
              <w:tab/>
              <w:t>184</w:t>
            </w:r>
            <w:r>
              <w:tab/>
            </w:r>
            <w:r w:rsidR="00FE785A" w:rsidRPr="00C23EC0">
              <w:t>Pharmaceutical and medicinal product</w:t>
            </w:r>
            <w:r w:rsidR="003B20A7" w:rsidRPr="00C23EC0">
              <w:t xml:space="preserve"> </w:t>
            </w:r>
            <w:proofErr w:type="spellStart"/>
            <w:r w:rsidR="003B20A7" w:rsidRPr="00C23EC0">
              <w:t>mfg</w:t>
            </w:r>
            <w:proofErr w:type="spellEnd"/>
          </w:p>
        </w:tc>
        <w:tc>
          <w:tcPr>
            <w:tcW w:w="720" w:type="pct"/>
            <w:shd w:val="clear" w:color="auto" w:fill="D9D9D9" w:themeFill="background1" w:themeFillShade="D9"/>
            <w:vAlign w:val="bottom"/>
          </w:tcPr>
          <w:p w:rsidR="00FE785A" w:rsidRPr="00C23EC0" w:rsidRDefault="00FE785A" w:rsidP="00C23EC0">
            <w:pPr>
              <w:pStyle w:val="TableBodyText"/>
            </w:pPr>
            <w:r w:rsidRPr="00C23EC0">
              <w:t>18.7</w:t>
            </w:r>
          </w:p>
        </w:tc>
        <w:tc>
          <w:tcPr>
            <w:tcW w:w="796" w:type="pct"/>
            <w:shd w:val="clear" w:color="auto" w:fill="D9D9D9" w:themeFill="background1" w:themeFillShade="D9"/>
            <w:vAlign w:val="bottom"/>
          </w:tcPr>
          <w:p w:rsidR="00FE785A" w:rsidRPr="00C23EC0" w:rsidRDefault="00FE785A" w:rsidP="00C23EC0">
            <w:pPr>
              <w:pStyle w:val="TableBodyText"/>
            </w:pPr>
          </w:p>
        </w:tc>
        <w:tc>
          <w:tcPr>
            <w:tcW w:w="645" w:type="pct"/>
            <w:shd w:val="clear" w:color="auto" w:fill="D9D9D9" w:themeFill="background1" w:themeFillShade="D9"/>
            <w:vAlign w:val="bottom"/>
          </w:tcPr>
          <w:p w:rsidR="00FE785A" w:rsidRPr="00C23EC0" w:rsidRDefault="00FE785A" w:rsidP="00C23EC0">
            <w:pPr>
              <w:pStyle w:val="TableBodyText"/>
            </w:pPr>
          </w:p>
        </w:tc>
      </w:tr>
      <w:tr w:rsidR="00FE785A" w:rsidRPr="00C23EC0" w:rsidTr="00451B72">
        <w:trPr>
          <w:trHeight w:val="312"/>
        </w:trPr>
        <w:tc>
          <w:tcPr>
            <w:tcW w:w="2838" w:type="pct"/>
            <w:vAlign w:val="bottom"/>
          </w:tcPr>
          <w:p w:rsidR="00FE785A" w:rsidRPr="00C23EC0" w:rsidRDefault="00AA191B" w:rsidP="00451B72">
            <w:pPr>
              <w:pStyle w:val="TableBodyText"/>
              <w:tabs>
                <w:tab w:val="left" w:pos="284"/>
                <w:tab w:val="left" w:pos="825"/>
              </w:tabs>
              <w:ind w:left="825" w:hanging="819"/>
              <w:jc w:val="left"/>
            </w:pPr>
            <w:r>
              <w:tab/>
              <w:t>185</w:t>
            </w:r>
            <w:r>
              <w:tab/>
            </w:r>
            <w:r w:rsidR="00FE785A" w:rsidRPr="00C23EC0">
              <w:t xml:space="preserve">Cleaning compound and toiletry </w:t>
            </w:r>
            <w:proofErr w:type="spellStart"/>
            <w:r w:rsidR="00FE785A" w:rsidRPr="00C23EC0">
              <w:t>prep</w:t>
            </w:r>
            <w:r w:rsidR="00451B72">
              <w:t>’n</w:t>
            </w:r>
            <w:proofErr w:type="spellEnd"/>
            <w:r w:rsidR="003B20A7" w:rsidRPr="00C23EC0">
              <w:t xml:space="preserve"> </w:t>
            </w:r>
            <w:proofErr w:type="spellStart"/>
            <w:r w:rsidR="003B20A7" w:rsidRPr="00C23EC0">
              <w:t>mfg</w:t>
            </w:r>
            <w:proofErr w:type="spellEnd"/>
          </w:p>
        </w:tc>
        <w:tc>
          <w:tcPr>
            <w:tcW w:w="720" w:type="pct"/>
            <w:vAlign w:val="bottom"/>
          </w:tcPr>
          <w:p w:rsidR="00FE785A" w:rsidRPr="00C23EC0" w:rsidRDefault="00FE785A" w:rsidP="00C23EC0">
            <w:pPr>
              <w:pStyle w:val="TableBodyText"/>
            </w:pPr>
            <w:r w:rsidRPr="00C23EC0">
              <w:t>6.4</w:t>
            </w:r>
          </w:p>
        </w:tc>
        <w:tc>
          <w:tcPr>
            <w:tcW w:w="796" w:type="pct"/>
            <w:vAlign w:val="bottom"/>
          </w:tcPr>
          <w:p w:rsidR="00FE785A" w:rsidRPr="00C23EC0" w:rsidRDefault="00FE785A" w:rsidP="00C23EC0">
            <w:pPr>
              <w:pStyle w:val="TableBodyText"/>
            </w:pPr>
          </w:p>
        </w:tc>
        <w:tc>
          <w:tcPr>
            <w:tcW w:w="645" w:type="pct"/>
            <w:vAlign w:val="bottom"/>
          </w:tcPr>
          <w:p w:rsidR="00FE785A" w:rsidRPr="00C23EC0" w:rsidRDefault="00FE785A" w:rsidP="00C23EC0">
            <w:pPr>
              <w:pStyle w:val="TableBodyText"/>
            </w:pPr>
          </w:p>
        </w:tc>
      </w:tr>
      <w:tr w:rsidR="00FE785A" w:rsidRPr="00C23EC0" w:rsidTr="00451B72">
        <w:trPr>
          <w:trHeight w:val="312"/>
        </w:trPr>
        <w:tc>
          <w:tcPr>
            <w:tcW w:w="2838" w:type="pct"/>
            <w:shd w:val="clear" w:color="auto" w:fill="D9D9D9" w:themeFill="background1" w:themeFillShade="D9"/>
            <w:vAlign w:val="bottom"/>
          </w:tcPr>
          <w:p w:rsidR="00FE785A" w:rsidRPr="00C23EC0" w:rsidRDefault="00AA191B" w:rsidP="00AA191B">
            <w:pPr>
              <w:pStyle w:val="TableBodyText"/>
              <w:tabs>
                <w:tab w:val="left" w:pos="284"/>
                <w:tab w:val="left" w:pos="825"/>
              </w:tabs>
              <w:jc w:val="left"/>
            </w:pPr>
            <w:r>
              <w:tab/>
            </w:r>
            <w:r w:rsidR="00FE785A" w:rsidRPr="00C23EC0">
              <w:t>189</w:t>
            </w:r>
            <w:r>
              <w:tab/>
            </w:r>
            <w:r w:rsidR="00FE785A" w:rsidRPr="00C23EC0">
              <w:t>Other basic chemical product manufacturing</w:t>
            </w:r>
          </w:p>
        </w:tc>
        <w:tc>
          <w:tcPr>
            <w:tcW w:w="720" w:type="pct"/>
            <w:shd w:val="clear" w:color="auto" w:fill="D9D9D9" w:themeFill="background1" w:themeFillShade="D9"/>
            <w:vAlign w:val="bottom"/>
          </w:tcPr>
          <w:p w:rsidR="00FE785A" w:rsidRPr="00C23EC0" w:rsidRDefault="00FE785A" w:rsidP="00C23EC0">
            <w:pPr>
              <w:pStyle w:val="TableBodyText"/>
            </w:pPr>
            <w:r w:rsidRPr="00C23EC0">
              <w:t>4.7</w:t>
            </w:r>
          </w:p>
        </w:tc>
        <w:tc>
          <w:tcPr>
            <w:tcW w:w="796" w:type="pct"/>
            <w:shd w:val="clear" w:color="auto" w:fill="D9D9D9" w:themeFill="background1" w:themeFillShade="D9"/>
            <w:vAlign w:val="bottom"/>
          </w:tcPr>
          <w:p w:rsidR="00FE785A" w:rsidRPr="00C23EC0" w:rsidRDefault="00FE785A" w:rsidP="00C23EC0">
            <w:pPr>
              <w:pStyle w:val="TableBodyText"/>
            </w:pPr>
          </w:p>
        </w:tc>
        <w:tc>
          <w:tcPr>
            <w:tcW w:w="645" w:type="pct"/>
            <w:shd w:val="clear" w:color="auto" w:fill="D9D9D9" w:themeFill="background1" w:themeFillShade="D9"/>
            <w:vAlign w:val="bottom"/>
          </w:tcPr>
          <w:p w:rsidR="00FE785A" w:rsidRPr="00C23EC0" w:rsidRDefault="00FE785A" w:rsidP="00C23EC0">
            <w:pPr>
              <w:pStyle w:val="TableBodyText"/>
            </w:pPr>
          </w:p>
        </w:tc>
      </w:tr>
      <w:tr w:rsidR="00FE785A" w:rsidRPr="00C23EC0" w:rsidTr="00451B72">
        <w:trPr>
          <w:trHeight w:val="312"/>
        </w:trPr>
        <w:tc>
          <w:tcPr>
            <w:tcW w:w="2838" w:type="pct"/>
            <w:vAlign w:val="bottom"/>
          </w:tcPr>
          <w:p w:rsidR="00FE785A" w:rsidRPr="00C23EC0" w:rsidRDefault="00FE785A" w:rsidP="00AA191B">
            <w:pPr>
              <w:pStyle w:val="TableBodyText"/>
              <w:tabs>
                <w:tab w:val="left" w:pos="284"/>
                <w:tab w:val="left" w:pos="825"/>
              </w:tabs>
              <w:jc w:val="left"/>
              <w:rPr>
                <w:b/>
              </w:rPr>
            </w:pPr>
          </w:p>
        </w:tc>
        <w:tc>
          <w:tcPr>
            <w:tcW w:w="720" w:type="pct"/>
            <w:vAlign w:val="bottom"/>
          </w:tcPr>
          <w:p w:rsidR="00FE785A" w:rsidRPr="00C23EC0" w:rsidRDefault="00FE785A" w:rsidP="00C23EC0">
            <w:pPr>
              <w:pStyle w:val="TableBodyText"/>
              <w:rPr>
                <w:b/>
              </w:rPr>
            </w:pPr>
          </w:p>
        </w:tc>
        <w:tc>
          <w:tcPr>
            <w:tcW w:w="796" w:type="pct"/>
            <w:vAlign w:val="bottom"/>
          </w:tcPr>
          <w:p w:rsidR="00FE785A" w:rsidRPr="00C23EC0" w:rsidRDefault="00FE785A" w:rsidP="00C23EC0">
            <w:pPr>
              <w:pStyle w:val="TableBodyText"/>
              <w:rPr>
                <w:b/>
              </w:rPr>
            </w:pPr>
          </w:p>
        </w:tc>
        <w:tc>
          <w:tcPr>
            <w:tcW w:w="645" w:type="pct"/>
            <w:vAlign w:val="bottom"/>
          </w:tcPr>
          <w:p w:rsidR="00FE785A" w:rsidRPr="00C23EC0" w:rsidRDefault="00FE785A" w:rsidP="00C23EC0">
            <w:pPr>
              <w:pStyle w:val="TableBodyText"/>
              <w:rPr>
                <w:b/>
              </w:rPr>
            </w:pPr>
          </w:p>
        </w:tc>
      </w:tr>
      <w:tr w:rsidR="00FE785A" w:rsidRPr="00C23EC0" w:rsidTr="00451B72">
        <w:trPr>
          <w:trHeight w:val="312"/>
        </w:trPr>
        <w:tc>
          <w:tcPr>
            <w:tcW w:w="2838" w:type="pct"/>
            <w:shd w:val="clear" w:color="auto" w:fill="D9D9D9" w:themeFill="background1" w:themeFillShade="D9"/>
            <w:vAlign w:val="bottom"/>
          </w:tcPr>
          <w:p w:rsidR="00FE785A" w:rsidRPr="001C6BCF" w:rsidRDefault="00AA191B" w:rsidP="00AA191B">
            <w:pPr>
              <w:pStyle w:val="TableBodyText"/>
              <w:tabs>
                <w:tab w:val="left" w:pos="284"/>
                <w:tab w:val="left" w:pos="825"/>
              </w:tabs>
              <w:jc w:val="left"/>
              <w:rPr>
                <w:b/>
              </w:rPr>
            </w:pPr>
            <w:r>
              <w:rPr>
                <w:b/>
              </w:rPr>
              <w:t>19</w:t>
            </w:r>
            <w:r>
              <w:rPr>
                <w:b/>
              </w:rPr>
              <w:tab/>
            </w:r>
            <w:r w:rsidR="00FE785A" w:rsidRPr="001C6BCF">
              <w:rPr>
                <w:b/>
              </w:rPr>
              <w:t xml:space="preserve">Polymer product and rubber product </w:t>
            </w:r>
            <w:proofErr w:type="spellStart"/>
            <w:r w:rsidR="00704D28" w:rsidRPr="001C6BCF">
              <w:rPr>
                <w:b/>
              </w:rPr>
              <w:t>mfg</w:t>
            </w:r>
            <w:proofErr w:type="spellEnd"/>
          </w:p>
        </w:tc>
        <w:tc>
          <w:tcPr>
            <w:tcW w:w="720" w:type="pct"/>
            <w:shd w:val="clear" w:color="auto" w:fill="D9D9D9" w:themeFill="background1" w:themeFillShade="D9"/>
            <w:vAlign w:val="bottom"/>
          </w:tcPr>
          <w:p w:rsidR="00FE785A" w:rsidRPr="001C6BCF" w:rsidRDefault="00FE785A" w:rsidP="00C23EC0">
            <w:pPr>
              <w:pStyle w:val="TableBodyText"/>
              <w:rPr>
                <w:b/>
              </w:rPr>
            </w:pPr>
            <w:r w:rsidRPr="001C6BCF">
              <w:rPr>
                <w:b/>
              </w:rPr>
              <w:t>39.4</w:t>
            </w:r>
          </w:p>
        </w:tc>
        <w:tc>
          <w:tcPr>
            <w:tcW w:w="796" w:type="pct"/>
            <w:shd w:val="clear" w:color="auto" w:fill="D9D9D9" w:themeFill="background1" w:themeFillShade="D9"/>
            <w:vAlign w:val="bottom"/>
          </w:tcPr>
          <w:p w:rsidR="00FE785A" w:rsidRPr="001C6BCF" w:rsidRDefault="00FE785A" w:rsidP="00C23EC0">
            <w:pPr>
              <w:pStyle w:val="TableBodyText"/>
              <w:rPr>
                <w:b/>
              </w:rPr>
            </w:pPr>
            <w:r w:rsidRPr="001C6BCF">
              <w:rPr>
                <w:b/>
              </w:rPr>
              <w:t>38.7</w:t>
            </w:r>
          </w:p>
        </w:tc>
        <w:tc>
          <w:tcPr>
            <w:tcW w:w="645" w:type="pct"/>
            <w:shd w:val="clear" w:color="auto" w:fill="D9D9D9" w:themeFill="background1" w:themeFillShade="D9"/>
            <w:vAlign w:val="bottom"/>
          </w:tcPr>
          <w:p w:rsidR="00FE785A" w:rsidRPr="001C6BCF" w:rsidRDefault="00FE785A" w:rsidP="00C23EC0">
            <w:pPr>
              <w:pStyle w:val="TableBodyText"/>
              <w:rPr>
                <w:b/>
              </w:rPr>
            </w:pPr>
            <w:r w:rsidRPr="001C6BCF">
              <w:rPr>
                <w:b/>
              </w:rPr>
              <w:t>18.7</w:t>
            </w:r>
          </w:p>
        </w:tc>
      </w:tr>
      <w:tr w:rsidR="00FE785A" w:rsidRPr="00C23EC0" w:rsidTr="00451B72">
        <w:trPr>
          <w:trHeight w:val="312"/>
        </w:trPr>
        <w:tc>
          <w:tcPr>
            <w:tcW w:w="2838" w:type="pct"/>
            <w:vAlign w:val="bottom"/>
          </w:tcPr>
          <w:p w:rsidR="00FE785A" w:rsidRPr="00C23EC0" w:rsidRDefault="00AA191B" w:rsidP="00AA191B">
            <w:pPr>
              <w:pStyle w:val="TableBodyText"/>
              <w:tabs>
                <w:tab w:val="left" w:pos="284"/>
                <w:tab w:val="left" w:pos="825"/>
              </w:tabs>
              <w:jc w:val="left"/>
            </w:pPr>
            <w:r>
              <w:tab/>
              <w:t>191</w:t>
            </w:r>
            <w:r>
              <w:tab/>
            </w:r>
            <w:r w:rsidR="00FE785A" w:rsidRPr="00C23EC0">
              <w:t>Polymer product manufacturing</w:t>
            </w:r>
          </w:p>
        </w:tc>
        <w:tc>
          <w:tcPr>
            <w:tcW w:w="720" w:type="pct"/>
            <w:vAlign w:val="bottom"/>
          </w:tcPr>
          <w:p w:rsidR="00FE785A" w:rsidRPr="00C23EC0" w:rsidRDefault="00FE785A" w:rsidP="00C23EC0">
            <w:pPr>
              <w:pStyle w:val="TableBodyText"/>
            </w:pPr>
            <w:r w:rsidRPr="00C23EC0">
              <w:t>37.1</w:t>
            </w:r>
          </w:p>
        </w:tc>
        <w:tc>
          <w:tcPr>
            <w:tcW w:w="796" w:type="pct"/>
            <w:vAlign w:val="bottom"/>
          </w:tcPr>
          <w:p w:rsidR="00FE785A" w:rsidRPr="00C23EC0" w:rsidRDefault="00FE785A" w:rsidP="00C23EC0">
            <w:pPr>
              <w:pStyle w:val="TableBodyText"/>
            </w:pPr>
          </w:p>
        </w:tc>
        <w:tc>
          <w:tcPr>
            <w:tcW w:w="645" w:type="pct"/>
            <w:vAlign w:val="bottom"/>
          </w:tcPr>
          <w:p w:rsidR="00FE785A" w:rsidRPr="00C23EC0" w:rsidRDefault="00FE785A" w:rsidP="00C23EC0">
            <w:pPr>
              <w:pStyle w:val="TableBodyText"/>
            </w:pPr>
          </w:p>
        </w:tc>
      </w:tr>
      <w:tr w:rsidR="00FE785A" w:rsidRPr="00C23EC0" w:rsidTr="00451B72">
        <w:trPr>
          <w:trHeight w:val="312"/>
        </w:trPr>
        <w:tc>
          <w:tcPr>
            <w:tcW w:w="2838" w:type="pct"/>
            <w:tcBorders>
              <w:bottom w:val="single" w:sz="6" w:space="0" w:color="auto"/>
            </w:tcBorders>
            <w:shd w:val="clear" w:color="auto" w:fill="D9D9D9" w:themeFill="background1" w:themeFillShade="D9"/>
            <w:vAlign w:val="bottom"/>
          </w:tcPr>
          <w:p w:rsidR="00FE785A" w:rsidRPr="00C23EC0" w:rsidRDefault="00AA191B" w:rsidP="00AA191B">
            <w:pPr>
              <w:pStyle w:val="TableBodyText"/>
              <w:tabs>
                <w:tab w:val="left" w:pos="284"/>
                <w:tab w:val="left" w:pos="825"/>
              </w:tabs>
              <w:jc w:val="left"/>
            </w:pPr>
            <w:r>
              <w:tab/>
              <w:t>192</w:t>
            </w:r>
            <w:r>
              <w:tab/>
            </w:r>
            <w:r w:rsidR="00FE785A" w:rsidRPr="00C23EC0">
              <w:t>Natural rubber product manufacturing</w:t>
            </w:r>
          </w:p>
        </w:tc>
        <w:tc>
          <w:tcPr>
            <w:tcW w:w="720" w:type="pct"/>
            <w:tcBorders>
              <w:bottom w:val="single" w:sz="6" w:space="0" w:color="auto"/>
            </w:tcBorders>
            <w:shd w:val="clear" w:color="auto" w:fill="D9D9D9" w:themeFill="background1" w:themeFillShade="D9"/>
            <w:vAlign w:val="bottom"/>
          </w:tcPr>
          <w:p w:rsidR="00FE785A" w:rsidRPr="00C23EC0" w:rsidRDefault="00FE785A" w:rsidP="00C23EC0">
            <w:pPr>
              <w:pStyle w:val="TableBodyText"/>
            </w:pPr>
            <w:r w:rsidRPr="00C23EC0">
              <w:t>2.3</w:t>
            </w:r>
          </w:p>
        </w:tc>
        <w:tc>
          <w:tcPr>
            <w:tcW w:w="796" w:type="pct"/>
            <w:tcBorders>
              <w:bottom w:val="single" w:sz="6" w:space="0" w:color="auto"/>
            </w:tcBorders>
            <w:shd w:val="clear" w:color="auto" w:fill="D9D9D9" w:themeFill="background1" w:themeFillShade="D9"/>
            <w:vAlign w:val="bottom"/>
          </w:tcPr>
          <w:p w:rsidR="00FE785A" w:rsidRPr="00C23EC0" w:rsidRDefault="00FE785A" w:rsidP="00C23EC0">
            <w:pPr>
              <w:pStyle w:val="TableBodyText"/>
            </w:pPr>
          </w:p>
        </w:tc>
        <w:tc>
          <w:tcPr>
            <w:tcW w:w="645" w:type="pct"/>
            <w:tcBorders>
              <w:bottom w:val="single" w:sz="6" w:space="0" w:color="auto"/>
            </w:tcBorders>
            <w:shd w:val="clear" w:color="auto" w:fill="D9D9D9" w:themeFill="background1" w:themeFillShade="D9"/>
            <w:vAlign w:val="bottom"/>
          </w:tcPr>
          <w:p w:rsidR="00FE785A" w:rsidRPr="00C23EC0" w:rsidRDefault="00FE785A" w:rsidP="00C23EC0">
            <w:pPr>
              <w:pStyle w:val="TableBodyText"/>
            </w:pPr>
          </w:p>
        </w:tc>
      </w:tr>
    </w:tbl>
    <w:p w:rsidR="00971A3C" w:rsidRPr="001C6BCF" w:rsidRDefault="00971A3C" w:rsidP="00AA1153">
      <w:pPr>
        <w:pStyle w:val="Note"/>
      </w:pPr>
      <w:r w:rsidRPr="001C6BCF">
        <w:rPr>
          <w:rStyle w:val="NoteLabel"/>
        </w:rPr>
        <w:t>a</w:t>
      </w:r>
      <w:r w:rsidRPr="001C6BCF">
        <w:t xml:space="preserve"> </w:t>
      </w:r>
      <w:r w:rsidR="00A22872" w:rsidRPr="001C6BCF">
        <w:t xml:space="preserve">Detailed </w:t>
      </w:r>
      <w:r w:rsidR="00C8497D" w:rsidRPr="001C6BCF">
        <w:t>disaggregation</w:t>
      </w:r>
      <w:r w:rsidR="00A22872" w:rsidRPr="001C6BCF">
        <w:t xml:space="preserve"> not available for hours worked and investment</w:t>
      </w:r>
      <w:r w:rsidRPr="001C6BCF">
        <w:t>.</w:t>
      </w:r>
      <w:r w:rsidR="00C77848" w:rsidRPr="001C6BCF">
        <w:t xml:space="preserve"> </w:t>
      </w:r>
      <w:r w:rsidR="00D575A8" w:rsidRPr="001C6BCF">
        <w:rPr>
          <w:rStyle w:val="NoteLabel"/>
        </w:rPr>
        <w:t>b</w:t>
      </w:r>
      <w:r w:rsidRPr="001C6BCF">
        <w:t xml:space="preserve"> </w:t>
      </w:r>
      <w:r w:rsidR="00D575A8" w:rsidRPr="001C6BCF">
        <w:t>Private new capital expenditure</w:t>
      </w:r>
      <w:r w:rsidR="00C77848" w:rsidRPr="001C6BCF">
        <w:t>.</w:t>
      </w:r>
      <w:r w:rsidR="00A22872" w:rsidRPr="001C6BCF">
        <w:t xml:space="preserve"> </w:t>
      </w:r>
      <w:r w:rsidR="00A22872" w:rsidRPr="001C6BCF">
        <w:rPr>
          <w:rStyle w:val="NoteLabel"/>
        </w:rPr>
        <w:t>c</w:t>
      </w:r>
      <w:r w:rsidR="00704D28" w:rsidRPr="001C6BCF">
        <w:t> </w:t>
      </w:r>
      <w:r w:rsidRPr="001C6BCF">
        <w:t xml:space="preserve">There is only one </w:t>
      </w:r>
      <w:proofErr w:type="spellStart"/>
      <w:r w:rsidRPr="001C6BCF">
        <w:t>ANZSIC</w:t>
      </w:r>
      <w:proofErr w:type="spellEnd"/>
      <w:r w:rsidRPr="001C6BCF">
        <w:t xml:space="preserve"> group in Petroleum and coal product manufacturing.</w:t>
      </w:r>
    </w:p>
    <w:p w:rsidR="00B76D18" w:rsidRPr="001C6BCF" w:rsidRDefault="00B76D18" w:rsidP="00AA1153">
      <w:pPr>
        <w:pStyle w:val="Source"/>
      </w:pPr>
      <w:r w:rsidRPr="001C6BCF">
        <w:rPr>
          <w:i/>
        </w:rPr>
        <w:t>Source</w:t>
      </w:r>
      <w:r w:rsidR="004906B8" w:rsidRPr="001C6BCF">
        <w:rPr>
          <w:i/>
        </w:rPr>
        <w:t>s</w:t>
      </w:r>
      <w:r w:rsidRPr="001C6BCF">
        <w:t>: ABS (</w:t>
      </w:r>
      <w:r w:rsidRPr="001C6BCF">
        <w:rPr>
          <w:i/>
        </w:rPr>
        <w:t xml:space="preserve">Experimental Estimates for the Manufacturing Industry, </w:t>
      </w:r>
      <w:r w:rsidR="008C6512" w:rsidRPr="001C6BCF">
        <w:rPr>
          <w:i/>
        </w:rPr>
        <w:t>2009-10</w:t>
      </w:r>
      <w:r w:rsidR="00694256" w:rsidRPr="001C6BCF">
        <w:rPr>
          <w:i/>
        </w:rPr>
        <w:t xml:space="preserve">, </w:t>
      </w:r>
      <w:r w:rsidR="00694256" w:rsidRPr="001C6BCF">
        <w:t>Cat. no. 8159.0</w:t>
      </w:r>
      <w:r w:rsidR="00724BF0" w:rsidRPr="001C6BCF">
        <w:t>); ABS</w:t>
      </w:r>
      <w:r w:rsidR="00231C57">
        <w:t> </w:t>
      </w:r>
      <w:r w:rsidR="00724BF0" w:rsidRPr="001C6BCF">
        <w:t>(</w:t>
      </w:r>
      <w:r w:rsidR="00E32F1B" w:rsidRPr="001C6BCF">
        <w:t>unpublished Labour Force Survey</w:t>
      </w:r>
      <w:r w:rsidR="008C6512" w:rsidRPr="001C6BCF">
        <w:t xml:space="preserve"> data</w:t>
      </w:r>
      <w:r w:rsidR="00724BF0" w:rsidRPr="001C6BCF">
        <w:rPr>
          <w:i/>
        </w:rPr>
        <w:t xml:space="preserve">); </w:t>
      </w:r>
      <w:r w:rsidR="00724BF0" w:rsidRPr="001C6BCF">
        <w:t>ABS (</w:t>
      </w:r>
      <w:r w:rsidR="00724BF0" w:rsidRPr="001C6BCF">
        <w:rPr>
          <w:i/>
        </w:rPr>
        <w:t>Private New Capital Expenditure and Expected Expenditure, Australia, June 2011</w:t>
      </w:r>
      <w:r w:rsidR="00694256" w:rsidRPr="001C6BCF">
        <w:t>, Cat. no. 5625.0</w:t>
      </w:r>
      <w:r w:rsidR="00724BF0" w:rsidRPr="001C6BCF">
        <w:t xml:space="preserve">). </w:t>
      </w:r>
    </w:p>
    <w:p w:rsidR="000011CA" w:rsidRPr="001C6BCF" w:rsidRDefault="00AC2465" w:rsidP="00B024FB">
      <w:pPr>
        <w:pStyle w:val="Heading3"/>
        <w:rPr>
          <w:rFonts w:eastAsiaTheme="minorHAnsi"/>
        </w:rPr>
      </w:pPr>
      <w:proofErr w:type="spellStart"/>
      <w:r w:rsidRPr="001C6BCF">
        <w:lastRenderedPageBreak/>
        <w:t>PCCR</w:t>
      </w:r>
      <w:proofErr w:type="spellEnd"/>
      <w:r w:rsidRPr="001C6BCF">
        <w:t xml:space="preserve"> is a capital intensive subsector</w:t>
      </w:r>
    </w:p>
    <w:p w:rsidR="0013328B" w:rsidRPr="001C6BCF" w:rsidRDefault="00F5726B" w:rsidP="00FC5A17">
      <w:pPr>
        <w:pStyle w:val="BodyText"/>
      </w:pPr>
      <w:r w:rsidRPr="001C6BCF">
        <w:t>A</w:t>
      </w:r>
      <w:r w:rsidR="00FA447D" w:rsidRPr="001C6BCF">
        <w:t>n</w:t>
      </w:r>
      <w:r w:rsidRPr="001C6BCF">
        <w:t xml:space="preserve"> important characteristic of </w:t>
      </w:r>
      <w:proofErr w:type="spellStart"/>
      <w:r w:rsidRPr="001C6BCF">
        <w:t>PCCR</w:t>
      </w:r>
      <w:proofErr w:type="spellEnd"/>
      <w:r w:rsidRPr="001C6BCF">
        <w:t xml:space="preserve"> is that it is the most capital-intensive </w:t>
      </w:r>
      <w:r w:rsidR="00AD479E" w:rsidRPr="001C6BCF">
        <w:t>subsector</w:t>
      </w:r>
      <w:r w:rsidR="006C3D7E" w:rsidRPr="001C6BCF">
        <w:t xml:space="preserve"> within </w:t>
      </w:r>
      <w:r w:rsidR="003B20A7">
        <w:t>M</w:t>
      </w:r>
      <w:r w:rsidR="006C3D7E" w:rsidRPr="001C6BCF">
        <w:t>anufacturing</w:t>
      </w:r>
      <w:r w:rsidRPr="001C6BCF">
        <w:t>, both in terms of the share of income that accrues to capital and in terms of the volume of real net capital stock per hour worked (figure</w:t>
      </w:r>
      <w:r w:rsidR="006C3D7E" w:rsidRPr="001C6BCF">
        <w:t> </w:t>
      </w:r>
      <w:r w:rsidR="006A7469">
        <w:t>4.1</w:t>
      </w:r>
      <w:r w:rsidRPr="001C6BCF">
        <w:t xml:space="preserve">). </w:t>
      </w:r>
      <w:r w:rsidR="00FC5A17" w:rsidRPr="001C6BCF">
        <w:t>This means</w:t>
      </w:r>
      <w:r w:rsidR="00F40E3E" w:rsidRPr="001C6BCF">
        <w:t xml:space="preserve"> </w:t>
      </w:r>
      <w:r w:rsidR="00FC5A17" w:rsidRPr="001C6BCF">
        <w:t xml:space="preserve">that </w:t>
      </w:r>
      <w:proofErr w:type="spellStart"/>
      <w:r w:rsidR="00FC5A17" w:rsidRPr="001C6BCF">
        <w:t>PCCR</w:t>
      </w:r>
      <w:r w:rsidR="00F40E3E" w:rsidRPr="001C6BCF">
        <w:t>’s</w:t>
      </w:r>
      <w:proofErr w:type="spellEnd"/>
      <w:r w:rsidR="00F40E3E" w:rsidRPr="001C6BCF">
        <w:t xml:space="preserve"> MFP growth</w:t>
      </w:r>
      <w:r w:rsidR="00FC5A17" w:rsidRPr="001C6BCF">
        <w:t xml:space="preserve"> is particularly sensitive to </w:t>
      </w:r>
      <w:r w:rsidR="00AE3083">
        <w:t>growth</w:t>
      </w:r>
      <w:r w:rsidR="00AE3083" w:rsidRPr="001C6BCF">
        <w:t xml:space="preserve"> </w:t>
      </w:r>
      <w:r w:rsidR="00FC5A17" w:rsidRPr="001C6BCF">
        <w:t>in capital inputs (relative to labour inputs)</w:t>
      </w:r>
      <w:r w:rsidR="00115709" w:rsidRPr="001C6BCF">
        <w:t>.</w:t>
      </w:r>
      <w:r w:rsidR="0032380E" w:rsidRPr="001C6BCF">
        <w:rPr>
          <w:rStyle w:val="FootnoteReference"/>
        </w:rPr>
        <w:footnoteReference w:id="1"/>
      </w:r>
      <w:r w:rsidR="0032380E" w:rsidRPr="001C6BCF">
        <w:t xml:space="preserve"> </w:t>
      </w:r>
      <w:r w:rsidR="00FC5A17" w:rsidRPr="001C6BCF">
        <w:t xml:space="preserve">This </w:t>
      </w:r>
      <w:r w:rsidR="00E32F1B" w:rsidRPr="001C6BCF">
        <w:t xml:space="preserve">observation </w:t>
      </w:r>
      <w:r w:rsidR="00FC5A17" w:rsidRPr="001C6BCF">
        <w:t xml:space="preserve">is </w:t>
      </w:r>
      <w:r w:rsidR="00115709" w:rsidRPr="001C6BCF">
        <w:t xml:space="preserve">relevant </w:t>
      </w:r>
      <w:r w:rsidR="00135669" w:rsidRPr="001C6BCF">
        <w:t>for</w:t>
      </w:r>
      <w:r w:rsidR="00967D42" w:rsidRPr="001C6BCF">
        <w:t xml:space="preserve"> cycles 3 and 4, when</w:t>
      </w:r>
      <w:r w:rsidR="00FC5A17" w:rsidRPr="001C6BCF">
        <w:t xml:space="preserve"> the capital share of income </w:t>
      </w:r>
      <w:r w:rsidR="00967D42" w:rsidRPr="001C6BCF">
        <w:t>within the sector was even higher than previously</w:t>
      </w:r>
      <w:r w:rsidR="00FC5A17" w:rsidRPr="001C6BCF">
        <w:t xml:space="preserve">. </w:t>
      </w:r>
    </w:p>
    <w:p w:rsidR="00DA5A3E" w:rsidRPr="001C6BCF" w:rsidRDefault="00DA5A3E" w:rsidP="00AA1153">
      <w:pPr>
        <w:pStyle w:val="FigureTitle"/>
        <w:spacing w:before="480"/>
        <w:rPr>
          <w:sz w:val="24"/>
          <w:szCs w:val="24"/>
        </w:rPr>
      </w:pPr>
      <w:r w:rsidRPr="001C6BCF">
        <w:rPr>
          <w:b w:val="0"/>
          <w:sz w:val="24"/>
          <w:szCs w:val="24"/>
        </w:rPr>
        <w:t xml:space="preserve">Figure </w:t>
      </w:r>
      <w:bookmarkStart w:id="5" w:name="OLE_LINK3"/>
      <w:r w:rsidR="006A7469">
        <w:rPr>
          <w:b w:val="0"/>
          <w:sz w:val="24"/>
          <w:szCs w:val="24"/>
        </w:rPr>
        <w:t>4.</w:t>
      </w:r>
      <w:r w:rsidR="007203B8">
        <w:rPr>
          <w:b w:val="0"/>
          <w:noProof/>
          <w:sz w:val="24"/>
          <w:szCs w:val="24"/>
        </w:rPr>
        <w:t>1</w:t>
      </w:r>
      <w:bookmarkEnd w:id="5"/>
      <w:r w:rsidRPr="001C6BCF">
        <w:rPr>
          <w:sz w:val="24"/>
          <w:szCs w:val="24"/>
        </w:rPr>
        <w:tab/>
        <w:t xml:space="preserve">Measures of capital intensity for </w:t>
      </w:r>
      <w:proofErr w:type="spellStart"/>
      <w:r w:rsidRPr="001C6BCF">
        <w:rPr>
          <w:sz w:val="24"/>
          <w:szCs w:val="24"/>
        </w:rPr>
        <w:t>PCCR</w:t>
      </w:r>
      <w:proofErr w:type="spellEnd"/>
      <w:r w:rsidR="00CE1198" w:rsidRPr="001C6BCF">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4388"/>
        <w:gridCol w:w="4389"/>
      </w:tblGrid>
      <w:tr w:rsidR="000B1698" w:rsidRPr="001C6BCF" w:rsidTr="00E11787">
        <w:tc>
          <w:tcPr>
            <w:tcW w:w="4388" w:type="dxa"/>
          </w:tcPr>
          <w:p w:rsidR="000B1698" w:rsidRPr="001C6BCF" w:rsidRDefault="00447588" w:rsidP="00447588">
            <w:pPr>
              <w:pStyle w:val="Figure"/>
              <w:spacing w:after="0"/>
            </w:pPr>
            <w:r w:rsidRPr="00BD41FC">
              <w:rPr>
                <w:i/>
                <w:sz w:val="22"/>
                <w:szCs w:val="22"/>
              </w:rPr>
              <w:t>Net capital stock per hour worked</w:t>
            </w:r>
            <w:r w:rsidRPr="001C6BCF">
              <w:rPr>
                <w:rStyle w:val="NoteLabel"/>
              </w:rPr>
              <w:t>b</w:t>
            </w:r>
          </w:p>
        </w:tc>
        <w:tc>
          <w:tcPr>
            <w:tcW w:w="4389" w:type="dxa"/>
          </w:tcPr>
          <w:p w:rsidR="000B1698" w:rsidRPr="001C6BCF" w:rsidRDefault="00447588" w:rsidP="00447588">
            <w:pPr>
              <w:pStyle w:val="Figure"/>
              <w:spacing w:after="0"/>
              <w:rPr>
                <w:i/>
              </w:rPr>
            </w:pPr>
            <w:r w:rsidRPr="00BD41FC">
              <w:rPr>
                <w:i/>
                <w:sz w:val="22"/>
                <w:szCs w:val="22"/>
              </w:rPr>
              <w:t>Capital income share</w:t>
            </w:r>
            <w:r w:rsidRPr="001C6BCF">
              <w:rPr>
                <w:rStyle w:val="NoteLabel"/>
              </w:rPr>
              <w:t>c</w:t>
            </w:r>
          </w:p>
        </w:tc>
      </w:tr>
      <w:tr w:rsidR="000F5594" w:rsidRPr="001C6BCF" w:rsidTr="00E11787">
        <w:tc>
          <w:tcPr>
            <w:tcW w:w="4388" w:type="dxa"/>
          </w:tcPr>
          <w:p w:rsidR="000F5594" w:rsidRPr="001C6BCF" w:rsidRDefault="00D0322F" w:rsidP="00AA1153">
            <w:pPr>
              <w:pStyle w:val="Figure"/>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This figure comprises of two charts. The chart on the left shows net capital stock per hour worked for PCCR and Manufacturing in total over the period 1998-99 to 2010-11, with PCCR rising at a faster rate than Manufacturing. The chart on the right shows the capital income share for PCCR and Manufacturing in total over the same period, with both series rising to a peak in 2007-08 before falling off afterwards — it is the case that PCCR’s capital income share is always higher than that of Manufacturing in total." style="width:205.95pt;height:197.6pt">
                  <v:imagedata r:id="rId9" o:title=""/>
                </v:shape>
              </w:pict>
            </w:r>
          </w:p>
        </w:tc>
        <w:tc>
          <w:tcPr>
            <w:tcW w:w="4389" w:type="dxa"/>
          </w:tcPr>
          <w:p w:rsidR="000F5594" w:rsidRPr="001C6BCF" w:rsidRDefault="00D0322F" w:rsidP="00AA1153">
            <w:pPr>
              <w:pStyle w:val="Figure"/>
              <w:rPr>
                <w:i/>
              </w:rPr>
            </w:pPr>
            <w:r>
              <w:rPr>
                <w:i/>
              </w:rPr>
              <w:pict>
                <v:shape id="_x0000_i1026" type="#_x0000_t75" alt="This figure comprises of two charts. The chart on the left shows net capital stock per hour worked for PCCR and Manufacturing in total over the period 1998-99 to 2010-11, with PCCR rising at a faster rate than Manufacturing. The chart on the right shows the capital income share for PCCR and Manufacturing in total over the same period, with both series rising to a peak in 2007-08 before falling off afterwards — it is the case that PCCR’s capital income share is always higher than that of Manufacturing in total." style="width:205.95pt;height:197.6pt;mso-position-horizontal:absolute">
                  <v:imagedata r:id="rId10" o:title=""/>
                </v:shape>
              </w:pict>
            </w:r>
          </w:p>
        </w:tc>
      </w:tr>
    </w:tbl>
    <w:p w:rsidR="00430B1E" w:rsidRPr="001C6BCF" w:rsidRDefault="00CE1198" w:rsidP="00430B1E">
      <w:pPr>
        <w:pStyle w:val="Note"/>
      </w:pPr>
      <w:r w:rsidRPr="001C6BCF">
        <w:rPr>
          <w:rStyle w:val="NoteLabel"/>
        </w:rPr>
        <w:t>a</w:t>
      </w:r>
      <w:r w:rsidRPr="001C6BCF">
        <w:t xml:space="preserve"> </w:t>
      </w:r>
      <w:r w:rsidR="0024379B" w:rsidRPr="001C6BCF">
        <w:t xml:space="preserve">Aggregate Manufacturing series presented here </w:t>
      </w:r>
      <w:r w:rsidR="00DE2BEC">
        <w:t>are those</w:t>
      </w:r>
      <w:r w:rsidR="0024379B" w:rsidRPr="001C6BCF">
        <w:t xml:space="preserve"> deri</w:t>
      </w:r>
      <w:r w:rsidR="00F3473D">
        <w:t>ved by the authors (appendix A)</w:t>
      </w:r>
      <w:r w:rsidRPr="001C6BCF">
        <w:t xml:space="preserve">. </w:t>
      </w:r>
      <w:r w:rsidR="00447588" w:rsidRPr="001C6BCF">
        <w:rPr>
          <w:rStyle w:val="NoteLabel"/>
        </w:rPr>
        <w:t>b</w:t>
      </w:r>
      <w:r w:rsidR="0024379B" w:rsidRPr="001C6BCF">
        <w:t> </w:t>
      </w:r>
      <w:r w:rsidR="00541F4A" w:rsidRPr="001C6BCF">
        <w:t>2009</w:t>
      </w:r>
      <w:r w:rsidR="0024379B" w:rsidRPr="001C6BCF">
        <w:noBreakHyphen/>
      </w:r>
      <w:r w:rsidR="00541F4A" w:rsidRPr="001C6BCF">
        <w:t>10</w:t>
      </w:r>
      <w:r w:rsidR="0024379B" w:rsidRPr="001C6BCF">
        <w:t> </w:t>
      </w:r>
      <w:r w:rsidR="00430B1E" w:rsidRPr="001C6BCF">
        <w:t>dollars.</w:t>
      </w:r>
      <w:r w:rsidR="00EA7FC4" w:rsidRPr="001C6BCF">
        <w:t xml:space="preserve"> </w:t>
      </w:r>
      <w:r w:rsidR="00447588" w:rsidRPr="001C6BCF">
        <w:rPr>
          <w:rStyle w:val="NoteLabel"/>
        </w:rPr>
        <w:t>c</w:t>
      </w:r>
      <w:r w:rsidR="00447588" w:rsidRPr="001C6BCF">
        <w:t xml:space="preserve"> On a </w:t>
      </w:r>
      <w:r w:rsidR="00D62060">
        <w:t>VA</w:t>
      </w:r>
      <w:r w:rsidR="00447588" w:rsidRPr="001C6BCF">
        <w:t xml:space="preserve"> basis and includes some taxes attributable to capital</w:t>
      </w:r>
      <w:r w:rsidR="00DE2BEC">
        <w:t xml:space="preserve"> (</w:t>
      </w:r>
      <w:r w:rsidR="00447588" w:rsidRPr="001C6BCF">
        <w:t>appendix A</w:t>
      </w:r>
      <w:r w:rsidR="00DE2BEC">
        <w:t>)</w:t>
      </w:r>
      <w:r w:rsidR="00447588" w:rsidRPr="001C6BCF">
        <w:t>.</w:t>
      </w:r>
    </w:p>
    <w:p w:rsidR="00DA5A3E" w:rsidRPr="001C6BCF" w:rsidRDefault="00DA5A3E">
      <w:pPr>
        <w:pStyle w:val="Source"/>
      </w:pPr>
      <w:r w:rsidRPr="001C6BCF">
        <w:rPr>
          <w:i/>
        </w:rPr>
        <w:t>Data source</w:t>
      </w:r>
      <w:r w:rsidR="00763F1B" w:rsidRPr="001C6BCF">
        <w:rPr>
          <w:i/>
        </w:rPr>
        <w:t>s</w:t>
      </w:r>
      <w:r w:rsidRPr="001C6BCF">
        <w:t xml:space="preserve">: </w:t>
      </w:r>
      <w:r w:rsidR="00430B1E" w:rsidRPr="001C6BCF">
        <w:t>Authors</w:t>
      </w:r>
      <w:r w:rsidR="0013328B" w:rsidRPr="001C6BCF">
        <w:t>’</w:t>
      </w:r>
      <w:r w:rsidR="00430B1E" w:rsidRPr="001C6BCF">
        <w:t xml:space="preserve"> estimates based on </w:t>
      </w:r>
      <w:r w:rsidR="00DA31D9" w:rsidRPr="001C6BCF">
        <w:t>ABS (</w:t>
      </w:r>
      <w:r w:rsidR="00DA31D9" w:rsidRPr="001C6BCF">
        <w:rPr>
          <w:i/>
        </w:rPr>
        <w:t>Australian Industry,</w:t>
      </w:r>
      <w:r w:rsidR="00ED4E8F" w:rsidRPr="001C6BCF">
        <w:rPr>
          <w:i/>
        </w:rPr>
        <w:t xml:space="preserve"> </w:t>
      </w:r>
      <w:r w:rsidR="000E2FCF" w:rsidRPr="001C6BCF">
        <w:t>various issues</w:t>
      </w:r>
      <w:r w:rsidR="00ED4E8F" w:rsidRPr="001C6BCF">
        <w:t>,</w:t>
      </w:r>
      <w:r w:rsidR="00DA31D9" w:rsidRPr="001C6BCF">
        <w:rPr>
          <w:i/>
        </w:rPr>
        <w:t xml:space="preserve"> </w:t>
      </w:r>
      <w:r w:rsidR="00DA31D9" w:rsidRPr="001C6BCF">
        <w:t xml:space="preserve">Cat. no </w:t>
      </w:r>
      <w:r w:rsidR="00430B1E" w:rsidRPr="001C6BCF">
        <w:t>8155</w:t>
      </w:r>
      <w:r w:rsidR="00ED4E8F" w:rsidRPr="001C6BCF">
        <w:t>.0)</w:t>
      </w:r>
      <w:r w:rsidR="00AB6B09" w:rsidRPr="001C6BCF">
        <w:t>;</w:t>
      </w:r>
      <w:r w:rsidR="00DA31D9" w:rsidRPr="001C6BCF">
        <w:t xml:space="preserve"> ABS</w:t>
      </w:r>
      <w:r w:rsidR="00231C57">
        <w:t> </w:t>
      </w:r>
      <w:r w:rsidR="00DA31D9" w:rsidRPr="001C6BCF">
        <w:t>(</w:t>
      </w:r>
      <w:r w:rsidR="00DA31D9" w:rsidRPr="001C6BCF">
        <w:rPr>
          <w:i/>
        </w:rPr>
        <w:t xml:space="preserve">Australian Manufacturing, </w:t>
      </w:r>
      <w:r w:rsidR="000E2FCF" w:rsidRPr="001C6BCF">
        <w:t>various issues</w:t>
      </w:r>
      <w:r w:rsidR="00ED4E8F" w:rsidRPr="001C6BCF">
        <w:t xml:space="preserve">, </w:t>
      </w:r>
      <w:r w:rsidR="00DA31D9" w:rsidRPr="001C6BCF">
        <w:t xml:space="preserve">Cat. no. </w:t>
      </w:r>
      <w:r w:rsidR="00ED6041" w:rsidRPr="001C6BCF">
        <w:t>8221</w:t>
      </w:r>
      <w:r w:rsidR="00DA31D9" w:rsidRPr="001C6BCF">
        <w:t>.0)</w:t>
      </w:r>
      <w:r w:rsidR="00AB6B09" w:rsidRPr="001C6BCF">
        <w:t>;</w:t>
      </w:r>
      <w:r w:rsidR="00C65D32" w:rsidRPr="001C6BCF">
        <w:t xml:space="preserve"> </w:t>
      </w:r>
      <w:r w:rsidR="00DA31D9" w:rsidRPr="001C6BCF">
        <w:t>ABS (</w:t>
      </w:r>
      <w:r w:rsidR="00DA31D9" w:rsidRPr="001C6BCF">
        <w:rPr>
          <w:i/>
        </w:rPr>
        <w:t>Australian System of National Accounts,</w:t>
      </w:r>
      <w:r w:rsidR="00ED6DD0" w:rsidRPr="001C6BCF">
        <w:rPr>
          <w:i/>
        </w:rPr>
        <w:t xml:space="preserve"> 2010-11</w:t>
      </w:r>
      <w:r w:rsidR="00F3473D" w:rsidRPr="00F3473D">
        <w:t>,</w:t>
      </w:r>
      <w:r w:rsidR="00DA31D9" w:rsidRPr="001C6BCF">
        <w:rPr>
          <w:i/>
        </w:rPr>
        <w:t xml:space="preserve"> </w:t>
      </w:r>
      <w:r w:rsidR="00DA31D9" w:rsidRPr="001C6BCF">
        <w:t xml:space="preserve">Cat. no. </w:t>
      </w:r>
      <w:r w:rsidR="00C65D32" w:rsidRPr="001C6BCF">
        <w:t>5204</w:t>
      </w:r>
      <w:r w:rsidR="00DA31D9" w:rsidRPr="001C6BCF">
        <w:t>.0)</w:t>
      </w:r>
      <w:r w:rsidR="00AB6B09" w:rsidRPr="001C6BCF">
        <w:t>; and</w:t>
      </w:r>
      <w:r w:rsidR="00DA31D9" w:rsidRPr="001C6BCF">
        <w:t xml:space="preserve"> ABS (</w:t>
      </w:r>
      <w:r w:rsidR="00CB371D" w:rsidRPr="001C6BCF">
        <w:t>unpublished Labour Force Survey data</w:t>
      </w:r>
      <w:r w:rsidR="00BB098F" w:rsidRPr="001C6BCF">
        <w:t>)</w:t>
      </w:r>
      <w:r w:rsidR="00CB371D" w:rsidRPr="001C6BCF">
        <w:t>.</w:t>
      </w:r>
    </w:p>
    <w:p w:rsidR="00AA1153" w:rsidRDefault="00AA1153">
      <w:pPr>
        <w:rPr>
          <w:rFonts w:ascii="Arial" w:eastAsia="Times New Roman" w:hAnsi="Arial" w:cs="Times New Roman"/>
          <w:b/>
          <w:sz w:val="26"/>
          <w:szCs w:val="20"/>
          <w:lang w:eastAsia="en-AU"/>
        </w:rPr>
      </w:pPr>
      <w:r>
        <w:br w:type="page"/>
      </w:r>
    </w:p>
    <w:p w:rsidR="000011CA" w:rsidRPr="001C6BCF" w:rsidRDefault="000012CD" w:rsidP="00AF0D24">
      <w:pPr>
        <w:pStyle w:val="Heading3"/>
      </w:pPr>
      <w:r w:rsidRPr="001C6BCF">
        <w:lastRenderedPageBreak/>
        <w:t xml:space="preserve">Parts of </w:t>
      </w:r>
      <w:proofErr w:type="spellStart"/>
      <w:r w:rsidRPr="001C6BCF">
        <w:t>PCCR</w:t>
      </w:r>
      <w:proofErr w:type="spellEnd"/>
      <w:r w:rsidRPr="001C6BCF">
        <w:t xml:space="preserve"> are R&amp;D intensive</w:t>
      </w:r>
    </w:p>
    <w:p w:rsidR="004B38A7" w:rsidRPr="001C6BCF" w:rsidRDefault="004B38A7" w:rsidP="004B38A7">
      <w:pPr>
        <w:pStyle w:val="BodyText"/>
      </w:pPr>
      <w:proofErr w:type="spellStart"/>
      <w:r w:rsidRPr="001C6BCF">
        <w:t>PCCR</w:t>
      </w:r>
      <w:proofErr w:type="spellEnd"/>
      <w:r w:rsidRPr="001C6BCF">
        <w:t xml:space="preserve"> has a </w:t>
      </w:r>
      <w:r w:rsidR="00461A2E" w:rsidRPr="001C6BCF">
        <w:t>similar</w:t>
      </w:r>
      <w:r w:rsidRPr="001C6BCF">
        <w:t xml:space="preserve"> </w:t>
      </w:r>
      <w:r w:rsidR="00E603C4" w:rsidRPr="001C6BCF">
        <w:t>research and development (</w:t>
      </w:r>
      <w:r w:rsidRPr="001C6BCF">
        <w:t>R&amp;D</w:t>
      </w:r>
      <w:r w:rsidR="00E603C4" w:rsidRPr="001C6BCF">
        <w:t>)</w:t>
      </w:r>
      <w:r w:rsidRPr="001C6BCF">
        <w:t xml:space="preserve"> intensity </w:t>
      </w:r>
      <w:r w:rsidR="0020412E" w:rsidRPr="001C6BCF">
        <w:t xml:space="preserve">to </w:t>
      </w:r>
      <w:r w:rsidR="00A327F3" w:rsidRPr="001C6BCF">
        <w:t>Manufacturing</w:t>
      </w:r>
      <w:r w:rsidR="0020412E" w:rsidRPr="001C6BCF">
        <w:t xml:space="preserve"> on average</w:t>
      </w:r>
      <w:r w:rsidRPr="001C6BCF">
        <w:t xml:space="preserve">, but the intensity varies markedly </w:t>
      </w:r>
      <w:r w:rsidR="00FC462A" w:rsidRPr="001C6BCF">
        <w:t>across subdivisions</w:t>
      </w:r>
      <w:r w:rsidR="00831824" w:rsidRPr="001C6BCF">
        <w:t xml:space="preserve"> </w:t>
      </w:r>
      <w:r w:rsidRPr="001C6BCF">
        <w:t xml:space="preserve">(figure </w:t>
      </w:r>
      <w:r w:rsidR="006A7469">
        <w:t>4.2</w:t>
      </w:r>
      <w:r w:rsidRPr="001C6BCF">
        <w:t xml:space="preserve">). </w:t>
      </w:r>
      <w:r w:rsidR="00FB45A9" w:rsidRPr="001C6BCF">
        <w:t>Chemicals has</w:t>
      </w:r>
      <w:r w:rsidRPr="001C6BCF">
        <w:t xml:space="preserve"> the highest intensity, mainly driven by the R&amp;D-intensive nature of pharmaceuticals, while Polymers has the lowest within the subsector. </w:t>
      </w:r>
    </w:p>
    <w:p w:rsidR="004B38A7" w:rsidRPr="001C6BCF" w:rsidRDefault="004B38A7" w:rsidP="00AA1153">
      <w:pPr>
        <w:pStyle w:val="FigureTitle"/>
        <w:spacing w:before="480"/>
        <w:rPr>
          <w:sz w:val="24"/>
        </w:rPr>
      </w:pPr>
      <w:r w:rsidRPr="001C6BCF">
        <w:rPr>
          <w:b w:val="0"/>
          <w:sz w:val="24"/>
        </w:rPr>
        <w:t xml:space="preserve">Figure </w:t>
      </w:r>
      <w:bookmarkStart w:id="6" w:name="OLE_LINK17"/>
      <w:r w:rsidR="006A7469">
        <w:rPr>
          <w:b w:val="0"/>
          <w:sz w:val="24"/>
        </w:rPr>
        <w:t>4.</w:t>
      </w:r>
      <w:r w:rsidR="007203B8">
        <w:rPr>
          <w:b w:val="0"/>
          <w:noProof/>
          <w:sz w:val="24"/>
        </w:rPr>
        <w:t>2</w:t>
      </w:r>
      <w:bookmarkEnd w:id="6"/>
      <w:r w:rsidRPr="001C6BCF">
        <w:rPr>
          <w:sz w:val="24"/>
        </w:rPr>
        <w:tab/>
        <w:t>R&amp;D intensity</w:t>
      </w:r>
      <w:r w:rsidR="0040535F" w:rsidRPr="001C6BCF">
        <w:rPr>
          <w:rStyle w:val="NoteLabel"/>
          <w:b/>
        </w:rPr>
        <w:t>a</w:t>
      </w:r>
      <w:r w:rsidRPr="001C6BCF">
        <w:rPr>
          <w:sz w:val="24"/>
        </w:rPr>
        <w:t xml:space="preserve"> for </w:t>
      </w:r>
      <w:proofErr w:type="spellStart"/>
      <w:r w:rsidRPr="001C6BCF">
        <w:rPr>
          <w:sz w:val="24"/>
        </w:rPr>
        <w:t>PCCR</w:t>
      </w:r>
      <w:proofErr w:type="spellEnd"/>
      <w:r w:rsidRPr="001C6BCF">
        <w:rPr>
          <w:sz w:val="24"/>
        </w:rPr>
        <w:t xml:space="preserve"> and constituent subdivisions</w:t>
      </w:r>
    </w:p>
    <w:p w:rsidR="004B38A7" w:rsidRPr="001C6BCF" w:rsidRDefault="0040535F" w:rsidP="004B38A7">
      <w:pPr>
        <w:pStyle w:val="Subtitle"/>
      </w:pPr>
      <w:r w:rsidRPr="001C6BCF">
        <w:t>Per cent</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B38A7" w:rsidRPr="001C6BCF" w:rsidTr="00FC0D52">
        <w:tc>
          <w:tcPr>
            <w:tcW w:w="8777" w:type="dxa"/>
          </w:tcPr>
          <w:p w:rsidR="004B38A7" w:rsidRPr="001C6BCF" w:rsidRDefault="00D0322F" w:rsidP="00AA1153">
            <w:pPr>
              <w:pStyle w:val="Figure"/>
            </w:pPr>
            <w:r>
              <w:rPr>
                <w:noProof/>
              </w:rPr>
              <w:pict>
                <v:shape id="_x0000_i1027" type="#_x0000_t75" alt="This figure shows the R&amp;D intensity of the PCCR subsector and Manufacturing in total over the period of 1989-90 to 2010-11; and the R&amp;D intensity of the three PCCR subdivisions — Petroleum and coal product manufacturing, Basic chemical and chemical product manufacturing, and Polymer product manufacturing from 2005-06. PCCR and Manufacturing in total have roughly the same level of R&amp;D intensity, while Basic Chemical and chemical product manufacturing has a high R&amp;D intensity, and Polymer products a low R&amp;D intensity (relative to PCCR). Petroleum and coal product R&amp;D intensity is shown to be volatile." style="width:424.45pt;height:198.4pt;mso-position-vertical:absolute">
                  <v:imagedata r:id="rId11" o:title=""/>
                </v:shape>
              </w:pict>
            </w:r>
          </w:p>
        </w:tc>
      </w:tr>
    </w:tbl>
    <w:p w:rsidR="0040535F" w:rsidRPr="001C6BCF" w:rsidRDefault="0040535F" w:rsidP="0040535F">
      <w:pPr>
        <w:pStyle w:val="Note"/>
      </w:pPr>
      <w:r w:rsidRPr="001C6BCF">
        <w:rPr>
          <w:rStyle w:val="NoteLabel"/>
        </w:rPr>
        <w:t>a</w:t>
      </w:r>
      <w:r w:rsidRPr="001C6BCF">
        <w:t xml:space="preserve"> Total R&amp;D expenditure (current and capital expenditure) as a percentage of industry </w:t>
      </w:r>
      <w:r w:rsidR="00D62060">
        <w:t>VA</w:t>
      </w:r>
      <w:r w:rsidRPr="001C6BCF">
        <w:t>.</w:t>
      </w:r>
    </w:p>
    <w:p w:rsidR="004B38A7" w:rsidRPr="001C6BCF" w:rsidRDefault="004B38A7" w:rsidP="004B38A7">
      <w:pPr>
        <w:pStyle w:val="Source"/>
      </w:pPr>
      <w:r w:rsidRPr="001C6BCF">
        <w:rPr>
          <w:i/>
        </w:rPr>
        <w:t>Data source</w:t>
      </w:r>
      <w:r w:rsidR="00411130" w:rsidRPr="001C6BCF">
        <w:rPr>
          <w:i/>
        </w:rPr>
        <w:t>s</w:t>
      </w:r>
      <w:r w:rsidRPr="001C6BCF">
        <w:t>: Authors’ estimates based on ABS (</w:t>
      </w:r>
      <w:r w:rsidRPr="001C6BCF">
        <w:rPr>
          <w:i/>
        </w:rPr>
        <w:t>Research and Experimental Development, Businesses, Australia, 2010-11</w:t>
      </w:r>
      <w:r w:rsidR="00692E63" w:rsidRPr="001C6BCF">
        <w:t xml:space="preserve">, </w:t>
      </w:r>
      <w:r w:rsidR="000E2FCF" w:rsidRPr="001C6BCF">
        <w:t xml:space="preserve">various issues, </w:t>
      </w:r>
      <w:r w:rsidR="00692E63" w:rsidRPr="001C6BCF">
        <w:t>Cat. no. 8104.0</w:t>
      </w:r>
      <w:r w:rsidRPr="001C6BCF">
        <w:t>)</w:t>
      </w:r>
      <w:r w:rsidR="00B82082" w:rsidRPr="001C6BCF">
        <w:t>;</w:t>
      </w:r>
      <w:r w:rsidRPr="001C6BCF">
        <w:t xml:space="preserve"> ABS (</w:t>
      </w:r>
      <w:r w:rsidRPr="001C6BCF">
        <w:rPr>
          <w:i/>
        </w:rPr>
        <w:t>Australian Manufacturing</w:t>
      </w:r>
      <w:r w:rsidR="000E2FCF" w:rsidRPr="001C6BCF">
        <w:t>, various issues</w:t>
      </w:r>
      <w:r w:rsidRPr="001C6BCF">
        <w:rPr>
          <w:i/>
        </w:rPr>
        <w:t xml:space="preserve">, </w:t>
      </w:r>
      <w:r w:rsidRPr="001C6BCF">
        <w:t>Cat</w:t>
      </w:r>
      <w:r w:rsidR="002D0C3F" w:rsidRPr="001C6BCF">
        <w:t>. </w:t>
      </w:r>
      <w:r w:rsidRPr="001C6BCF">
        <w:t>no.</w:t>
      </w:r>
      <w:r w:rsidR="0040535F" w:rsidRPr="001C6BCF">
        <w:t> </w:t>
      </w:r>
      <w:r w:rsidRPr="001C6BCF">
        <w:t>8221.0)</w:t>
      </w:r>
      <w:r w:rsidR="0040535F" w:rsidRPr="001C6BCF">
        <w:t>; and ABS (</w:t>
      </w:r>
      <w:r w:rsidR="0040535F" w:rsidRPr="001C6BCF">
        <w:rPr>
          <w:i/>
        </w:rPr>
        <w:t xml:space="preserve">Australian Industry, </w:t>
      </w:r>
      <w:r w:rsidR="0040535F" w:rsidRPr="001C6BCF">
        <w:t>various issues, Cat. no. 8155.0)</w:t>
      </w:r>
      <w:r w:rsidRPr="001C6BCF">
        <w:t>.</w:t>
      </w:r>
    </w:p>
    <w:p w:rsidR="00547D31" w:rsidRPr="001C6BCF" w:rsidRDefault="004B38A7" w:rsidP="0023322F">
      <w:pPr>
        <w:pStyle w:val="BodyText"/>
      </w:pPr>
      <w:r w:rsidRPr="001C6BCF">
        <w:t xml:space="preserve">One of the underlying drivers of productivity growth, as discussed in chapter </w:t>
      </w:r>
      <w:r w:rsidR="00CC4EEC" w:rsidRPr="001C6BCF">
        <w:t>2</w:t>
      </w:r>
      <w:r w:rsidRPr="001C6BCF">
        <w:t xml:space="preserve">, </w:t>
      </w:r>
      <w:r w:rsidR="00167F45" w:rsidRPr="001C6BCF">
        <w:t>is</w:t>
      </w:r>
      <w:r w:rsidRPr="001C6BCF">
        <w:t xml:space="preserve"> innovation effort, of which R&amp;D intensity is an indicator. However, as seen in the chart above, the </w:t>
      </w:r>
      <w:r w:rsidR="00CF7E65" w:rsidRPr="001C6BCF">
        <w:t xml:space="preserve">relative </w:t>
      </w:r>
      <w:r w:rsidRPr="001C6BCF">
        <w:t xml:space="preserve">stability of </w:t>
      </w:r>
      <w:proofErr w:type="spellStart"/>
      <w:r w:rsidRPr="001C6BCF">
        <w:t>PCCR</w:t>
      </w:r>
      <w:proofErr w:type="spellEnd"/>
      <w:r w:rsidRPr="001C6BCF">
        <w:t xml:space="preserve"> R&amp;D intensity would tend to suggest that changes in R&amp;D activity are not behind the decline in MFP for the subsector in aggregate over the last </w:t>
      </w:r>
      <w:r w:rsidR="00CC4EEC" w:rsidRPr="001C6BCF">
        <w:t xml:space="preserve">two </w:t>
      </w:r>
      <w:r w:rsidRPr="001C6BCF">
        <w:t>complete productivity cycles.</w:t>
      </w:r>
    </w:p>
    <w:p w:rsidR="003B3B19" w:rsidRPr="001C6BCF" w:rsidRDefault="00707F7A" w:rsidP="0023322F">
      <w:pPr>
        <w:pStyle w:val="BodyText"/>
      </w:pPr>
      <w:r w:rsidRPr="001C6BCF">
        <w:t>A</w:t>
      </w:r>
      <w:r w:rsidR="00F530BA" w:rsidRPr="001C6BCF">
        <w:t xml:space="preserve"> closer look at the trends in </w:t>
      </w:r>
      <w:proofErr w:type="spellStart"/>
      <w:r w:rsidR="00F530BA" w:rsidRPr="001C6BCF">
        <w:t>PCCR</w:t>
      </w:r>
      <w:proofErr w:type="spellEnd"/>
      <w:r w:rsidR="00F530BA" w:rsidRPr="001C6BCF">
        <w:t xml:space="preserve"> MFP and the drivers of the proximate causes from an individual subdivision point of view is necessary to explain this performance.</w:t>
      </w:r>
    </w:p>
    <w:p w:rsidR="00AA1153" w:rsidRDefault="00AA1153">
      <w:pPr>
        <w:rPr>
          <w:rFonts w:ascii="Arial" w:eastAsia="Times New Roman" w:hAnsi="Arial" w:cs="Times New Roman"/>
          <w:b/>
          <w:sz w:val="32"/>
          <w:szCs w:val="20"/>
          <w:lang w:eastAsia="en-AU"/>
        </w:rPr>
      </w:pPr>
      <w:bookmarkStart w:id="7" w:name="OLE_LINK15"/>
      <w:r>
        <w:br w:type="page"/>
      </w:r>
    </w:p>
    <w:p w:rsidR="00D8403B" w:rsidRPr="001C6BCF" w:rsidRDefault="006A7469" w:rsidP="00D8403B">
      <w:pPr>
        <w:pStyle w:val="Heading2"/>
      </w:pPr>
      <w:r>
        <w:lastRenderedPageBreak/>
        <w:t>4.</w:t>
      </w:r>
      <w:r w:rsidR="007203B8">
        <w:rPr>
          <w:noProof/>
        </w:rPr>
        <w:t>2</w:t>
      </w:r>
      <w:bookmarkEnd w:id="7"/>
      <w:r w:rsidR="00070414" w:rsidRPr="001C6BCF">
        <w:tab/>
      </w:r>
      <w:proofErr w:type="spellStart"/>
      <w:r w:rsidR="00473575" w:rsidRPr="001C6BCF">
        <w:t>PCCR</w:t>
      </w:r>
      <w:r w:rsidR="00AB3AA9" w:rsidRPr="001C6BCF">
        <w:t>’s</w:t>
      </w:r>
      <w:proofErr w:type="spellEnd"/>
      <w:r w:rsidR="00473575" w:rsidRPr="001C6BCF">
        <w:t xml:space="preserve"> </w:t>
      </w:r>
      <w:r w:rsidR="00D8403B" w:rsidRPr="001C6BCF">
        <w:t xml:space="preserve">MFP growth and its </w:t>
      </w:r>
      <w:r w:rsidR="00AB3AA9" w:rsidRPr="001C6BCF">
        <w:t>proximate causes</w:t>
      </w:r>
      <w:r w:rsidR="00D8403B" w:rsidRPr="001C6BCF">
        <w:t xml:space="preserve"> </w:t>
      </w:r>
    </w:p>
    <w:p w:rsidR="004D0401" w:rsidRPr="001C6BCF" w:rsidRDefault="00AC5006" w:rsidP="0067578E">
      <w:pPr>
        <w:pStyle w:val="BodyText"/>
      </w:pPr>
      <w:r w:rsidRPr="001C6BCF">
        <w:t xml:space="preserve">The average rate of </w:t>
      </w:r>
      <w:proofErr w:type="spellStart"/>
      <w:r w:rsidRPr="001C6BCF">
        <w:t>PCCR</w:t>
      </w:r>
      <w:proofErr w:type="spellEnd"/>
      <w:r w:rsidRPr="001C6BCF">
        <w:t xml:space="preserve"> MFP growth between 1985-86 and 2010-11 was </w:t>
      </w:r>
      <w:r w:rsidR="005839BA" w:rsidRPr="001C6BCF">
        <w:t>-0.8</w:t>
      </w:r>
      <w:r w:rsidRPr="001C6BCF">
        <w:t xml:space="preserve"> per cent a year. </w:t>
      </w:r>
      <w:r w:rsidR="006660BF" w:rsidRPr="001C6BCF">
        <w:t xml:space="preserve">MFP growth in </w:t>
      </w:r>
      <w:proofErr w:type="spellStart"/>
      <w:r w:rsidR="006660BF" w:rsidRPr="001C6BCF">
        <w:t>PCCR</w:t>
      </w:r>
      <w:proofErr w:type="spellEnd"/>
      <w:r w:rsidR="006660BF" w:rsidRPr="001C6BCF">
        <w:t xml:space="preserve"> </w:t>
      </w:r>
      <w:r w:rsidR="00CF7E65" w:rsidRPr="001C6BCF">
        <w:t>was</w:t>
      </w:r>
      <w:r w:rsidR="006660BF" w:rsidRPr="001C6BCF">
        <w:t xml:space="preserve"> quite volatile up to the beginning of cycle 4 (2003-04), but then declined sharply at a rate greater than that of total </w:t>
      </w:r>
      <w:r w:rsidR="00A327F3" w:rsidRPr="001C6BCF">
        <w:t>M</w:t>
      </w:r>
      <w:r w:rsidR="006660BF" w:rsidRPr="001C6BCF">
        <w:t>anufacturing</w:t>
      </w:r>
      <w:r w:rsidR="009A7487" w:rsidRPr="001C6BCF">
        <w:t xml:space="preserve"> (figure </w:t>
      </w:r>
      <w:r w:rsidR="006A7469">
        <w:t>4.3</w:t>
      </w:r>
      <w:r w:rsidR="009A7487" w:rsidRPr="001C6BCF">
        <w:t>)</w:t>
      </w:r>
      <w:r w:rsidR="006660BF" w:rsidRPr="001C6BCF">
        <w:t xml:space="preserve">. </w:t>
      </w:r>
      <w:r w:rsidR="003D7E60" w:rsidRPr="001C6BCF">
        <w:t>It was this decline that made a significant contribution</w:t>
      </w:r>
      <w:r w:rsidR="00C70782" w:rsidRPr="001C6BCF">
        <w:t xml:space="preserve"> </w:t>
      </w:r>
      <w:r w:rsidR="003D7E60" w:rsidRPr="001C6BCF">
        <w:t>to the poor MFP performance</w:t>
      </w:r>
      <w:r w:rsidR="005601C3">
        <w:t xml:space="preserve"> of</w:t>
      </w:r>
      <w:r w:rsidR="003D7E60" w:rsidRPr="001C6BCF">
        <w:t xml:space="preserve"> </w:t>
      </w:r>
      <w:r w:rsidR="005601C3" w:rsidRPr="001C6BCF">
        <w:t xml:space="preserve">Manufacturing </w:t>
      </w:r>
      <w:r w:rsidR="00CF7E65" w:rsidRPr="001C6BCF">
        <w:t xml:space="preserve">in </w:t>
      </w:r>
      <w:r w:rsidR="003D7E60" w:rsidRPr="001C6BCF">
        <w:t>cycle</w:t>
      </w:r>
      <w:r w:rsidR="00807D3C" w:rsidRPr="001C6BCF">
        <w:t xml:space="preserve"> 4</w:t>
      </w:r>
      <w:r w:rsidR="003D7E60" w:rsidRPr="001C6BCF">
        <w:t>.</w:t>
      </w:r>
    </w:p>
    <w:p w:rsidR="001B5296" w:rsidRPr="001C6BCF" w:rsidRDefault="004D0401" w:rsidP="001B5296">
      <w:pPr>
        <w:pStyle w:val="FigureTitle"/>
        <w:rPr>
          <w:b w:val="0"/>
          <w:sz w:val="24"/>
          <w:szCs w:val="24"/>
        </w:rPr>
      </w:pPr>
      <w:r w:rsidRPr="001C6BCF">
        <w:rPr>
          <w:b w:val="0"/>
          <w:sz w:val="24"/>
          <w:szCs w:val="24"/>
        </w:rPr>
        <w:t xml:space="preserve">Figure </w:t>
      </w:r>
      <w:bookmarkStart w:id="8" w:name="OLE_LINK8"/>
      <w:r w:rsidR="006A7469">
        <w:rPr>
          <w:b w:val="0"/>
          <w:sz w:val="24"/>
          <w:szCs w:val="24"/>
        </w:rPr>
        <w:t>4.</w:t>
      </w:r>
      <w:r w:rsidR="007203B8">
        <w:rPr>
          <w:b w:val="0"/>
          <w:noProof/>
          <w:sz w:val="24"/>
          <w:szCs w:val="24"/>
        </w:rPr>
        <w:t>3</w:t>
      </w:r>
      <w:bookmarkEnd w:id="8"/>
      <w:r w:rsidRPr="001C6BCF">
        <w:rPr>
          <w:b w:val="0"/>
          <w:sz w:val="24"/>
          <w:szCs w:val="24"/>
        </w:rPr>
        <w:tab/>
      </w:r>
      <w:proofErr w:type="spellStart"/>
      <w:r w:rsidR="007C710F" w:rsidRPr="001C6BCF">
        <w:rPr>
          <w:sz w:val="24"/>
          <w:szCs w:val="24"/>
        </w:rPr>
        <w:t>PCCR</w:t>
      </w:r>
      <w:proofErr w:type="spellEnd"/>
      <w:r w:rsidR="00913A8F" w:rsidRPr="001C6BCF">
        <w:rPr>
          <w:sz w:val="24"/>
          <w:szCs w:val="24"/>
        </w:rPr>
        <w:t xml:space="preserve"> and Manufacturing MFP</w:t>
      </w:r>
    </w:p>
    <w:p w:rsidR="004D0401" w:rsidRPr="001C6BCF" w:rsidRDefault="001B5296" w:rsidP="001B5296">
      <w:pPr>
        <w:pStyle w:val="Subtitle"/>
      </w:pPr>
      <w:r w:rsidRPr="001C6BCF">
        <w:t>Index 2009-10 = 100</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D0401" w:rsidRPr="001C6BCF">
        <w:tc>
          <w:tcPr>
            <w:tcW w:w="8777" w:type="dxa"/>
          </w:tcPr>
          <w:p w:rsidR="004D0401" w:rsidRPr="001C6BCF" w:rsidRDefault="00D0322F" w:rsidP="006108A9">
            <w:pPr>
              <w:pStyle w:val="Figure"/>
              <w:spacing w:before="60" w:after="60"/>
            </w:pPr>
            <w:r>
              <w:pict>
                <v:shape id="_x0000_i1028" type="#_x0000_t75" alt="This figure shows indexes of MFP for Manufacturing and PCCR over the period of 1985-86 to 2010-11. It shows that while both series have declined, on average, from 2003-04, it is the case that the decline in PCCR MFP is much faster than that of total manufacturing MFP." style="width:424.45pt;height:198.4pt">
                  <v:imagedata r:id="rId12" o:title=""/>
                </v:shape>
              </w:pict>
            </w:r>
          </w:p>
        </w:tc>
      </w:tr>
    </w:tbl>
    <w:p w:rsidR="003036C0" w:rsidRPr="001C6BCF" w:rsidRDefault="003036C0" w:rsidP="003036C0">
      <w:pPr>
        <w:pStyle w:val="Source"/>
      </w:pPr>
      <w:r w:rsidRPr="001C6BCF">
        <w:rPr>
          <w:i/>
        </w:rPr>
        <w:t>Data source</w:t>
      </w:r>
      <w:r w:rsidR="00DE2BEC">
        <w:rPr>
          <w:i/>
        </w:rPr>
        <w:t>s</w:t>
      </w:r>
      <w:r w:rsidRPr="001C6BCF">
        <w:t>: Authors’ estimates</w:t>
      </w:r>
      <w:r w:rsidR="002A5B7E" w:rsidRPr="001C6BCF">
        <w:t>;</w:t>
      </w:r>
      <w:r w:rsidRPr="001C6BCF">
        <w:t xml:space="preserve"> ABS (</w:t>
      </w:r>
      <w:r w:rsidR="00537394" w:rsidRPr="001C6BCF">
        <w:rPr>
          <w:i/>
        </w:rPr>
        <w:t>Experimental Estimates of Industry Multifactor Productivity</w:t>
      </w:r>
      <w:r w:rsidR="009273FB" w:rsidRPr="001C6BCF">
        <w:rPr>
          <w:i/>
        </w:rPr>
        <w:t xml:space="preserve">, </w:t>
      </w:r>
      <w:r w:rsidR="00537394" w:rsidRPr="001C6BCF">
        <w:rPr>
          <w:i/>
        </w:rPr>
        <w:t>201</w:t>
      </w:r>
      <w:r w:rsidR="00692E63" w:rsidRPr="001C6BCF">
        <w:rPr>
          <w:i/>
        </w:rPr>
        <w:t>0</w:t>
      </w:r>
      <w:r w:rsidR="00537394" w:rsidRPr="001C6BCF">
        <w:rPr>
          <w:i/>
        </w:rPr>
        <w:t>-1</w:t>
      </w:r>
      <w:r w:rsidR="00692E63" w:rsidRPr="001C6BCF">
        <w:rPr>
          <w:i/>
        </w:rPr>
        <w:t>1</w:t>
      </w:r>
      <w:r w:rsidR="00537394" w:rsidRPr="001C6BCF">
        <w:rPr>
          <w:i/>
        </w:rPr>
        <w:t xml:space="preserve">, </w:t>
      </w:r>
      <w:r w:rsidRPr="001C6BCF">
        <w:t>Cat. no. 5260.0.55.002).</w:t>
      </w:r>
    </w:p>
    <w:p w:rsidR="00051534" w:rsidRPr="001C6BCF" w:rsidRDefault="009F44F1" w:rsidP="009F44F1">
      <w:pPr>
        <w:pStyle w:val="BodyText"/>
      </w:pPr>
      <w:r w:rsidRPr="001C6BCF">
        <w:t xml:space="preserve">For the purposes of identifying the contribution of a subsector to MFP for Manufacturing as a whole, the </w:t>
      </w:r>
      <w:r w:rsidR="00DE2BEC">
        <w:t xml:space="preserve">productivity </w:t>
      </w:r>
      <w:r w:rsidRPr="001C6BCF">
        <w:t>cycles for Manufacturing in aggregate are used.</w:t>
      </w:r>
      <w:r w:rsidR="005619F9">
        <w:t xml:space="preserve"> However, it is worth noting that there are significant d</w:t>
      </w:r>
      <w:r w:rsidRPr="001C6BCF">
        <w:t xml:space="preserve">ifferences between </w:t>
      </w:r>
      <w:proofErr w:type="spellStart"/>
      <w:r w:rsidRPr="001C6BCF">
        <w:t>PCCR</w:t>
      </w:r>
      <w:proofErr w:type="spellEnd"/>
      <w:r w:rsidRPr="001C6BCF">
        <w:t xml:space="preserve"> cycles and those for Manufacturing </w:t>
      </w:r>
      <w:r w:rsidR="002219BF">
        <w:t>(</w:t>
      </w:r>
      <w:r w:rsidRPr="001C6BCF">
        <w:t xml:space="preserve">box </w:t>
      </w:r>
      <w:r w:rsidR="006A7469">
        <w:t>4.1</w:t>
      </w:r>
      <w:r w:rsidR="00AA1153">
        <w:t>).</w:t>
      </w:r>
    </w:p>
    <w:p w:rsidR="004A53A4" w:rsidRPr="001C6BCF" w:rsidRDefault="004A53A4" w:rsidP="004A53A4">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A53A4" w:rsidRPr="001C6BCF" w:rsidTr="00030DAF">
        <w:tc>
          <w:tcPr>
            <w:tcW w:w="8771" w:type="dxa"/>
            <w:tcBorders>
              <w:top w:val="single" w:sz="6" w:space="0" w:color="auto"/>
              <w:bottom w:val="nil"/>
            </w:tcBorders>
          </w:tcPr>
          <w:p w:rsidR="004A53A4" w:rsidRPr="00964528" w:rsidRDefault="004A53A4" w:rsidP="00030DAF">
            <w:pPr>
              <w:pStyle w:val="BoxTitle"/>
              <w:rPr>
                <w:sz w:val="24"/>
                <w:szCs w:val="24"/>
              </w:rPr>
            </w:pPr>
            <w:r w:rsidRPr="00964528">
              <w:rPr>
                <w:b w:val="0"/>
                <w:sz w:val="24"/>
                <w:szCs w:val="24"/>
              </w:rPr>
              <w:t>Box</w:t>
            </w:r>
            <w:r w:rsidRPr="00964528">
              <w:rPr>
                <w:sz w:val="24"/>
                <w:szCs w:val="24"/>
              </w:rPr>
              <w:t xml:space="preserve"> </w:t>
            </w:r>
            <w:bookmarkStart w:id="9" w:name="OLE_LINK12"/>
            <w:r w:rsidR="006A7469">
              <w:rPr>
                <w:b w:val="0"/>
                <w:sz w:val="24"/>
                <w:szCs w:val="24"/>
              </w:rPr>
              <w:t>4.</w:t>
            </w:r>
            <w:r w:rsidR="007203B8">
              <w:rPr>
                <w:b w:val="0"/>
                <w:noProof/>
                <w:sz w:val="24"/>
                <w:szCs w:val="24"/>
              </w:rPr>
              <w:t>1</w:t>
            </w:r>
            <w:bookmarkEnd w:id="9"/>
            <w:r w:rsidRPr="00964528">
              <w:rPr>
                <w:sz w:val="24"/>
                <w:szCs w:val="24"/>
              </w:rPr>
              <w:tab/>
              <w:t xml:space="preserve">Manufacturing productivity cycles and </w:t>
            </w:r>
            <w:proofErr w:type="spellStart"/>
            <w:r w:rsidRPr="00964528">
              <w:rPr>
                <w:sz w:val="24"/>
                <w:szCs w:val="24"/>
              </w:rPr>
              <w:t>PCCR</w:t>
            </w:r>
            <w:proofErr w:type="spellEnd"/>
          </w:p>
        </w:tc>
      </w:tr>
      <w:tr w:rsidR="004A53A4" w:rsidRPr="001C6BCF" w:rsidTr="00030DAF">
        <w:trPr>
          <w:cantSplit/>
        </w:trPr>
        <w:tc>
          <w:tcPr>
            <w:tcW w:w="8771" w:type="dxa"/>
            <w:tcBorders>
              <w:top w:val="nil"/>
              <w:left w:val="single" w:sz="6" w:space="0" w:color="auto"/>
              <w:bottom w:val="nil"/>
              <w:right w:val="single" w:sz="6" w:space="0" w:color="auto"/>
            </w:tcBorders>
          </w:tcPr>
          <w:p w:rsidR="004A53A4" w:rsidRPr="001C6BCF" w:rsidRDefault="004A53A4" w:rsidP="00030DAF">
            <w:pPr>
              <w:pStyle w:val="Box"/>
            </w:pPr>
            <w:r w:rsidRPr="001C6BCF">
              <w:t xml:space="preserve">When examining the contribution of a subsector to total </w:t>
            </w:r>
            <w:r w:rsidR="00E44067" w:rsidRPr="001C6BCF">
              <w:t xml:space="preserve">Manufacturing </w:t>
            </w:r>
            <w:r w:rsidRPr="001C6BCF">
              <w:t xml:space="preserve">productivity performance it is reasonable to do this over the productivity cycles identified for </w:t>
            </w:r>
            <w:r w:rsidR="00A66AFA">
              <w:t xml:space="preserve">the </w:t>
            </w:r>
            <w:r w:rsidR="00857FAE" w:rsidRPr="001C6BCF">
              <w:t>Manufacturing</w:t>
            </w:r>
            <w:r w:rsidR="00A66AFA">
              <w:t xml:space="preserve"> sector as a whole</w:t>
            </w:r>
            <w:r w:rsidRPr="001C6BCF">
              <w:t>. However, individual subsectors may have different cycles</w:t>
            </w:r>
            <w:r w:rsidR="00A66AFA">
              <w:t xml:space="preserve">, so it is </w:t>
            </w:r>
            <w:r w:rsidRPr="001C6BCF">
              <w:t xml:space="preserve">also useful to consider the subsector-specific cycles when looking at subsector productivity performance over time. </w:t>
            </w:r>
          </w:p>
          <w:p w:rsidR="004A53A4" w:rsidRPr="00B471F0" w:rsidRDefault="004A53A4" w:rsidP="00E516FB">
            <w:pPr>
              <w:pStyle w:val="BodyText"/>
              <w:rPr>
                <w:rFonts w:ascii="Arial" w:hAnsi="Arial" w:cs="Arial"/>
                <w:b/>
                <w:sz w:val="22"/>
                <w:szCs w:val="22"/>
              </w:rPr>
            </w:pPr>
            <w:r w:rsidRPr="00B471F0">
              <w:rPr>
                <w:rFonts w:ascii="Arial" w:hAnsi="Arial" w:cs="Arial"/>
                <w:b/>
                <w:sz w:val="22"/>
                <w:szCs w:val="22"/>
              </w:rPr>
              <w:t xml:space="preserve">MFP for </w:t>
            </w:r>
            <w:proofErr w:type="spellStart"/>
            <w:r w:rsidRPr="00B471F0">
              <w:rPr>
                <w:rFonts w:ascii="Arial" w:hAnsi="Arial" w:cs="Arial"/>
                <w:b/>
                <w:sz w:val="22"/>
                <w:szCs w:val="22"/>
              </w:rPr>
              <w:t>PCCR</w:t>
            </w:r>
            <w:proofErr w:type="spellEnd"/>
            <w:r w:rsidRPr="00B471F0">
              <w:rPr>
                <w:rFonts w:ascii="Arial" w:hAnsi="Arial" w:cs="Arial"/>
                <w:b/>
                <w:sz w:val="22"/>
                <w:szCs w:val="22"/>
              </w:rPr>
              <w:t xml:space="preserve"> and </w:t>
            </w:r>
            <w:r w:rsidR="00A327F3" w:rsidRPr="00B471F0">
              <w:rPr>
                <w:rFonts w:ascii="Arial" w:hAnsi="Arial" w:cs="Arial"/>
                <w:b/>
                <w:sz w:val="22"/>
                <w:szCs w:val="22"/>
              </w:rPr>
              <w:t>Manufacturing</w:t>
            </w:r>
            <w:r w:rsidRPr="00B471F0">
              <w:rPr>
                <w:rFonts w:ascii="Arial" w:hAnsi="Arial" w:cs="Arial"/>
                <w:b/>
                <w:sz w:val="22"/>
                <w:szCs w:val="22"/>
              </w:rPr>
              <w:t>, alternative cycles</w:t>
            </w:r>
          </w:p>
          <w:p w:rsidR="004A53A4" w:rsidRPr="001C6BCF" w:rsidRDefault="00E516FB" w:rsidP="00E516FB">
            <w:pPr>
              <w:pStyle w:val="Subtitle"/>
              <w:ind w:left="0"/>
            </w:pPr>
            <w:r w:rsidRPr="001C6BCF">
              <w:t>I</w:t>
            </w:r>
            <w:r w:rsidR="004A53A4" w:rsidRPr="001C6BCF">
              <w:t>ndex 2009-10</w:t>
            </w:r>
            <w:r w:rsidR="00A66E9F">
              <w:t xml:space="preserve"> </w:t>
            </w:r>
            <w:r w:rsidR="004A53A4" w:rsidRPr="001C6BCF">
              <w:t>=</w:t>
            </w:r>
            <w:r w:rsidR="00A66E9F">
              <w:t xml:space="preserve"> </w:t>
            </w:r>
            <w:r w:rsidR="004A53A4" w:rsidRPr="001C6BCF">
              <w:t xml:space="preserve">100. Solid vertical lines denote </w:t>
            </w:r>
            <w:proofErr w:type="spellStart"/>
            <w:r w:rsidR="004A53A4" w:rsidRPr="001C6BCF">
              <w:t>PCCR</w:t>
            </w:r>
            <w:proofErr w:type="spellEnd"/>
            <w:r w:rsidR="004A53A4" w:rsidRPr="001C6BCF">
              <w:t xml:space="preserve"> cycles and dotted vertical lines denote aggregate Manufacturing cycles.</w:t>
            </w:r>
          </w:p>
          <w:tbl>
            <w:tblPr>
              <w:tblW w:w="8504" w:type="dxa"/>
              <w:tblInd w:w="11"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8504"/>
            </w:tblGrid>
            <w:tr w:rsidR="004A53A4" w:rsidRPr="001C6BCF" w:rsidTr="00B91C81">
              <w:tc>
                <w:tcPr>
                  <w:tcW w:w="8504" w:type="dxa"/>
                </w:tcPr>
                <w:p w:rsidR="004A53A4" w:rsidRPr="001C6BCF" w:rsidRDefault="00D0322F" w:rsidP="006108A9">
                  <w:pPr>
                    <w:pStyle w:val="Figure"/>
                    <w:spacing w:before="60" w:after="60"/>
                    <w:jc w:val="left"/>
                  </w:pPr>
                  <w:r>
                    <w:pict>
                      <v:shape id="_x0000_i1029" type="#_x0000_t75" alt="This figure shows the same data as figure 4.3, but includes lines to denote where the productivity cycles for PCCR and total Manufacturing occur. The figure indicates the cycles for PCCR never coincide with those of total Manufacturing over the 1985-86 to 2010-11 period." style="width:414.4pt;height:193.4pt;mso-position-vertical:absolute">
                        <v:imagedata r:id="rId13" o:title=""/>
                      </v:shape>
                    </w:pict>
                  </w:r>
                </w:p>
              </w:tc>
            </w:tr>
          </w:tbl>
          <w:p w:rsidR="004A53A4" w:rsidRPr="001C6BCF" w:rsidRDefault="004A53A4" w:rsidP="00030DAF">
            <w:pPr>
              <w:pStyle w:val="Source"/>
            </w:pPr>
            <w:r w:rsidRPr="001C6BCF">
              <w:rPr>
                <w:i/>
              </w:rPr>
              <w:t>Data source</w:t>
            </w:r>
            <w:r w:rsidR="00DE2BEC">
              <w:rPr>
                <w:i/>
              </w:rPr>
              <w:t>s</w:t>
            </w:r>
            <w:r w:rsidRPr="001C6BCF">
              <w:t xml:space="preserve">: Authors’ </w:t>
            </w:r>
            <w:r w:rsidR="005D78F7" w:rsidRPr="001C6BCF">
              <w:t>estimates</w:t>
            </w:r>
            <w:r w:rsidR="009A60C7">
              <w:t xml:space="preserve">; </w:t>
            </w:r>
            <w:r w:rsidRPr="001C6BCF">
              <w:t>ABS (</w:t>
            </w:r>
            <w:r w:rsidRPr="001C6BCF">
              <w:rPr>
                <w:i/>
              </w:rPr>
              <w:t>Experimental Estimates of Industry Multifactor Productivity, 2010</w:t>
            </w:r>
            <w:r w:rsidR="009A60C7">
              <w:rPr>
                <w:i/>
              </w:rPr>
              <w:noBreakHyphen/>
            </w:r>
            <w:r w:rsidRPr="001C6BCF">
              <w:rPr>
                <w:i/>
              </w:rPr>
              <w:t xml:space="preserve">11, </w:t>
            </w:r>
            <w:r w:rsidR="00941EAA" w:rsidRPr="001C6BCF">
              <w:t>Cat. no. 5260.0.55.002)</w:t>
            </w:r>
            <w:r w:rsidR="008D674F">
              <w:t>.</w:t>
            </w:r>
          </w:p>
          <w:p w:rsidR="004A53A4" w:rsidRPr="001C6BCF" w:rsidRDefault="007F5417" w:rsidP="00DE2BEC">
            <w:pPr>
              <w:pStyle w:val="Box"/>
              <w:spacing w:before="100"/>
            </w:pPr>
            <w:r>
              <w:t xml:space="preserve">None of the cycles identified for </w:t>
            </w:r>
            <w:proofErr w:type="spellStart"/>
            <w:r>
              <w:t>PCCR</w:t>
            </w:r>
            <w:proofErr w:type="spellEnd"/>
            <w:r>
              <w:t xml:space="preserve"> coincide with those for Manufacturing in aggregate (appendix C). Some cycle peak years for </w:t>
            </w:r>
            <w:proofErr w:type="spellStart"/>
            <w:r>
              <w:t>PCCR</w:t>
            </w:r>
            <w:proofErr w:type="spellEnd"/>
            <w:r>
              <w:t xml:space="preserve"> are close to those for Manufacturing (as shown in the figure). </w:t>
            </w:r>
            <w:r w:rsidR="000908D0">
              <w:t>However,</w:t>
            </w:r>
            <w:r w:rsidR="004A53A4" w:rsidRPr="001C6BCF">
              <w:t xml:space="preserve"> it is particularly notable that </w:t>
            </w:r>
            <w:proofErr w:type="spellStart"/>
            <w:r w:rsidR="004A53A4" w:rsidRPr="001C6BCF">
              <w:t>PCCR</w:t>
            </w:r>
            <w:proofErr w:type="spellEnd"/>
            <w:r w:rsidR="007E1F29">
              <w:t xml:space="preserve"> has</w:t>
            </w:r>
            <w:r w:rsidR="004A53A4" w:rsidRPr="001C6BCF">
              <w:t xml:space="preserve"> no </w:t>
            </w:r>
            <w:r w:rsidR="00CE2B0E" w:rsidRPr="001C6BCF">
              <w:t xml:space="preserve">identifiable </w:t>
            </w:r>
            <w:r w:rsidR="004A53A4" w:rsidRPr="001C6BCF">
              <w:t xml:space="preserve">cycles after 2002-03 (compared with </w:t>
            </w:r>
            <w:r w:rsidR="000C1D8F" w:rsidRPr="001C6BCF">
              <w:t xml:space="preserve">Manufacturing </w:t>
            </w:r>
            <w:r w:rsidR="004A53A4" w:rsidRPr="001C6BCF">
              <w:t xml:space="preserve">which has a cycle from 2003-04 to 2007-08). </w:t>
            </w:r>
            <w:r w:rsidR="00CE2B0E" w:rsidRPr="001C6BCF">
              <w:t xml:space="preserve">This is due to the </w:t>
            </w:r>
            <w:r w:rsidR="004A53A4" w:rsidRPr="001C6BCF">
              <w:t xml:space="preserve">steady decline of </w:t>
            </w:r>
            <w:proofErr w:type="spellStart"/>
            <w:r w:rsidR="004A53A4" w:rsidRPr="001C6BCF">
              <w:t>PCCR</w:t>
            </w:r>
            <w:proofErr w:type="spellEnd"/>
            <w:r w:rsidR="006847FD">
              <w:t xml:space="preserve"> MFP</w:t>
            </w:r>
            <w:r w:rsidR="004A53A4" w:rsidRPr="001C6BCF">
              <w:t xml:space="preserve"> to 2008-09, before a slight increase to 2010-11 (</w:t>
            </w:r>
            <w:r w:rsidR="007B45C2" w:rsidRPr="001C6BCF">
              <w:t>which is still</w:t>
            </w:r>
            <w:r w:rsidR="004A53A4" w:rsidRPr="001C6BCF">
              <w:t xml:space="preserve"> insufficient to identify the end of a cycle). </w:t>
            </w:r>
          </w:p>
          <w:p w:rsidR="004A53A4" w:rsidRPr="001C6BCF" w:rsidRDefault="006C560A" w:rsidP="00903CCB">
            <w:pPr>
              <w:pStyle w:val="Box"/>
              <w:spacing w:before="100"/>
            </w:pPr>
            <w:r>
              <w:t>T</w:t>
            </w:r>
            <w:r w:rsidR="004A53A4" w:rsidRPr="001C6BCF">
              <w:t>he use of either set of cycle</w:t>
            </w:r>
            <w:r w:rsidR="00172FAD" w:rsidRPr="001C6BCF">
              <w:t>s</w:t>
            </w:r>
            <w:r w:rsidR="004A53A4" w:rsidRPr="001C6BCF">
              <w:t xml:space="preserve"> demonstrates a significant decline in MFP growth in </w:t>
            </w:r>
            <w:proofErr w:type="spellStart"/>
            <w:r w:rsidR="004A53A4" w:rsidRPr="001C6BCF">
              <w:t>PCCR</w:t>
            </w:r>
            <w:proofErr w:type="spellEnd"/>
            <w:r w:rsidR="004A53A4" w:rsidRPr="001C6BCF">
              <w:t xml:space="preserve"> in the period </w:t>
            </w:r>
            <w:r w:rsidR="006A5936" w:rsidRPr="001C6BCF">
              <w:t xml:space="preserve">starting around 2003-04. </w:t>
            </w:r>
            <w:r w:rsidR="00082BC9">
              <w:t>F</w:t>
            </w:r>
            <w:r w:rsidR="004A53A4" w:rsidRPr="001C6BCF">
              <w:t xml:space="preserve">or simplicity the </w:t>
            </w:r>
            <w:r w:rsidR="000C1D8F" w:rsidRPr="001C6BCF">
              <w:t xml:space="preserve">Manufacturing </w:t>
            </w:r>
            <w:r w:rsidR="004A53A4" w:rsidRPr="001C6BCF">
              <w:t xml:space="preserve">cycles are used throughout the main body of this paper. </w:t>
            </w:r>
          </w:p>
        </w:tc>
      </w:tr>
      <w:tr w:rsidR="004A53A4" w:rsidRPr="001C6BCF" w:rsidTr="00030DAF">
        <w:trPr>
          <w:cantSplit/>
        </w:trPr>
        <w:tc>
          <w:tcPr>
            <w:tcW w:w="8771" w:type="dxa"/>
            <w:tcBorders>
              <w:top w:val="nil"/>
              <w:left w:val="single" w:sz="6" w:space="0" w:color="auto"/>
              <w:bottom w:val="single" w:sz="6" w:space="0" w:color="auto"/>
              <w:right w:val="single" w:sz="6" w:space="0" w:color="auto"/>
            </w:tcBorders>
          </w:tcPr>
          <w:p w:rsidR="004A53A4" w:rsidRPr="001C6BCF" w:rsidRDefault="004A53A4" w:rsidP="00030DAF">
            <w:pPr>
              <w:pStyle w:val="Box"/>
              <w:spacing w:before="0" w:line="120" w:lineRule="exact"/>
            </w:pPr>
          </w:p>
        </w:tc>
      </w:tr>
      <w:tr w:rsidR="004A53A4" w:rsidRPr="001C6BCF" w:rsidTr="00030DAF">
        <w:tc>
          <w:tcPr>
            <w:tcW w:w="8771" w:type="dxa"/>
            <w:tcBorders>
              <w:top w:val="nil"/>
              <w:left w:val="nil"/>
              <w:bottom w:val="nil"/>
              <w:right w:val="nil"/>
            </w:tcBorders>
          </w:tcPr>
          <w:p w:rsidR="004A53A4" w:rsidRPr="001C6BCF" w:rsidRDefault="004A53A4" w:rsidP="00030DAF">
            <w:pPr>
              <w:pStyle w:val="BoxSpaceBelow"/>
            </w:pPr>
          </w:p>
        </w:tc>
      </w:tr>
    </w:tbl>
    <w:p w:rsidR="00404DE3" w:rsidRPr="001C6BCF" w:rsidRDefault="006B4151" w:rsidP="00903CCB">
      <w:pPr>
        <w:pStyle w:val="BodyText"/>
        <w:spacing w:before="200"/>
      </w:pPr>
      <w:r w:rsidRPr="001C6BCF">
        <w:t xml:space="preserve">As for Manufacturing as a whole, MFP </w:t>
      </w:r>
      <w:r w:rsidR="008D7D2E" w:rsidRPr="001C6BCF">
        <w:t xml:space="preserve">growth in </w:t>
      </w:r>
      <w:proofErr w:type="spellStart"/>
      <w:r w:rsidR="008D7D2E" w:rsidRPr="001C6BCF">
        <w:t>PCCR</w:t>
      </w:r>
      <w:proofErr w:type="spellEnd"/>
      <w:r w:rsidR="008D7D2E" w:rsidRPr="001C6BCF">
        <w:t xml:space="preserve"> for each cycle can be broken down into </w:t>
      </w:r>
      <w:r w:rsidR="00C83BEF" w:rsidRPr="001C6BCF">
        <w:t xml:space="preserve">growth of </w:t>
      </w:r>
      <w:r w:rsidR="00DE2BEC">
        <w:t xml:space="preserve">the </w:t>
      </w:r>
      <w:r w:rsidR="006E610E" w:rsidRPr="001C6BCF">
        <w:t>volume</w:t>
      </w:r>
      <w:r w:rsidR="00DE2BEC">
        <w:t>s</w:t>
      </w:r>
      <w:r w:rsidR="006E610E" w:rsidRPr="001C6BCF">
        <w:t xml:space="preserve"> of </w:t>
      </w:r>
      <w:r w:rsidR="00D62060">
        <w:t>VA</w:t>
      </w:r>
      <w:r w:rsidR="008D7D2E" w:rsidRPr="001C6BCF">
        <w:t xml:space="preserve">, hours worked and capital services. Examining these ‘proximate causes’ of MFP makes it easier to understand whether it </w:t>
      </w:r>
      <w:r w:rsidR="00404DE3" w:rsidRPr="001C6BCF">
        <w:t>was</w:t>
      </w:r>
      <w:r w:rsidR="008D7D2E" w:rsidRPr="001C6BCF">
        <w:t xml:space="preserve"> output growth, input growth or a combination of the two that </w:t>
      </w:r>
      <w:r w:rsidR="00404DE3" w:rsidRPr="001C6BCF">
        <w:t>drove</w:t>
      </w:r>
      <w:r w:rsidR="008D7D2E" w:rsidRPr="001C6BCF">
        <w:t xml:space="preserve"> the productivity trends in each cycle.</w:t>
      </w:r>
      <w:r w:rsidR="00404DE3" w:rsidRPr="001C6BCF">
        <w:t xml:space="preserve"> </w:t>
      </w:r>
      <w:r w:rsidR="003D42CB">
        <w:t>M</w:t>
      </w:r>
      <w:r w:rsidR="003D42CB" w:rsidRPr="001C6BCF">
        <w:t xml:space="preserve">ovements </w:t>
      </w:r>
      <w:r w:rsidR="00404DE3" w:rsidRPr="001C6BCF">
        <w:t xml:space="preserve">in </w:t>
      </w:r>
      <w:proofErr w:type="spellStart"/>
      <w:r w:rsidR="0066696B" w:rsidRPr="001C6BCF">
        <w:t>PCCR</w:t>
      </w:r>
      <w:proofErr w:type="spellEnd"/>
      <w:r w:rsidR="0066696B" w:rsidRPr="001C6BCF">
        <w:t xml:space="preserve"> </w:t>
      </w:r>
      <w:r w:rsidR="00404DE3" w:rsidRPr="001C6BCF">
        <w:t xml:space="preserve">MFP have largely been driven by changes in the rate of </w:t>
      </w:r>
      <w:r w:rsidR="00D62060">
        <w:t>VA</w:t>
      </w:r>
      <w:r w:rsidR="00404DE3" w:rsidRPr="001C6BCF">
        <w:t xml:space="preserve"> and capital services growth</w:t>
      </w:r>
      <w:r w:rsidR="0066696B" w:rsidRPr="001C6BCF">
        <w:t xml:space="preserve"> </w:t>
      </w:r>
      <w:r w:rsidR="00960A81" w:rsidRPr="001C6BCF">
        <w:t xml:space="preserve">(with the exception </w:t>
      </w:r>
      <w:r w:rsidR="00960A81" w:rsidRPr="001C6BCF">
        <w:lastRenderedPageBreak/>
        <w:t xml:space="preserve">of the incomplete productivity cycle) </w:t>
      </w:r>
      <w:r w:rsidR="0066696B" w:rsidRPr="001C6BCF">
        <w:t>(</w:t>
      </w:r>
      <w:r w:rsidR="00393B3A" w:rsidRPr="001C6BCF">
        <w:t xml:space="preserve">figure </w:t>
      </w:r>
      <w:r w:rsidR="006A7469">
        <w:t>4.4</w:t>
      </w:r>
      <w:r w:rsidR="0066696B" w:rsidRPr="001C6BCF">
        <w:t>)</w:t>
      </w:r>
      <w:r w:rsidR="00404DE3" w:rsidRPr="001C6BCF">
        <w:t xml:space="preserve">. </w:t>
      </w:r>
      <w:r w:rsidR="004F1152" w:rsidRPr="001C6BCF">
        <w:t xml:space="preserve">However, the scale and significance of </w:t>
      </w:r>
      <w:r w:rsidR="00533C81" w:rsidRPr="001C6BCF">
        <w:t>these</w:t>
      </w:r>
      <w:r w:rsidR="004F1152" w:rsidRPr="001C6BCF">
        <w:t xml:space="preserve"> changes have varied considerably through time</w:t>
      </w:r>
      <w:r w:rsidR="003D42CB" w:rsidRPr="003D42CB">
        <w:t xml:space="preserve"> </w:t>
      </w:r>
      <w:r w:rsidR="003D42CB">
        <w:t>over the cycles</w:t>
      </w:r>
      <w:r w:rsidR="004F1152" w:rsidRPr="001C6BCF">
        <w:t>.</w:t>
      </w:r>
    </w:p>
    <w:p w:rsidR="00A9736A" w:rsidRPr="001C6BCF" w:rsidRDefault="00A9736A">
      <w:pPr>
        <w:pStyle w:val="FigureTitle"/>
        <w:rPr>
          <w:sz w:val="24"/>
          <w:szCs w:val="24"/>
        </w:rPr>
      </w:pPr>
      <w:r w:rsidRPr="001C6BCF">
        <w:rPr>
          <w:b w:val="0"/>
          <w:sz w:val="24"/>
          <w:szCs w:val="24"/>
        </w:rPr>
        <w:t xml:space="preserve">Figure </w:t>
      </w:r>
      <w:bookmarkStart w:id="10" w:name="OLE_LINK11"/>
      <w:r w:rsidR="006A7469">
        <w:rPr>
          <w:b w:val="0"/>
          <w:sz w:val="24"/>
          <w:szCs w:val="24"/>
        </w:rPr>
        <w:t>4.</w:t>
      </w:r>
      <w:r w:rsidR="007203B8">
        <w:rPr>
          <w:b w:val="0"/>
          <w:noProof/>
          <w:sz w:val="24"/>
          <w:szCs w:val="24"/>
        </w:rPr>
        <w:t>4</w:t>
      </w:r>
      <w:bookmarkEnd w:id="10"/>
      <w:r w:rsidRPr="001C6BCF">
        <w:rPr>
          <w:sz w:val="24"/>
          <w:szCs w:val="24"/>
        </w:rPr>
        <w:tab/>
      </w:r>
      <w:r w:rsidR="000B1698" w:rsidRPr="001C6BCF">
        <w:rPr>
          <w:sz w:val="24"/>
          <w:szCs w:val="24"/>
        </w:rPr>
        <w:t xml:space="preserve">Growth in </w:t>
      </w:r>
      <w:proofErr w:type="spellStart"/>
      <w:r w:rsidR="002F287D" w:rsidRPr="001C6BCF">
        <w:rPr>
          <w:sz w:val="24"/>
          <w:szCs w:val="24"/>
        </w:rPr>
        <w:t>PCCR</w:t>
      </w:r>
      <w:proofErr w:type="spellEnd"/>
      <w:r w:rsidR="002F287D" w:rsidRPr="001C6BCF">
        <w:rPr>
          <w:sz w:val="24"/>
          <w:szCs w:val="24"/>
        </w:rPr>
        <w:t xml:space="preserve"> MFP and </w:t>
      </w:r>
      <w:r w:rsidR="000B1698" w:rsidRPr="001C6BCF">
        <w:rPr>
          <w:sz w:val="24"/>
          <w:szCs w:val="24"/>
        </w:rPr>
        <w:t xml:space="preserve">its </w:t>
      </w:r>
      <w:r w:rsidR="002F287D" w:rsidRPr="001C6BCF">
        <w:rPr>
          <w:sz w:val="24"/>
          <w:szCs w:val="24"/>
        </w:rPr>
        <w:t>proximate causes</w:t>
      </w:r>
      <w:r w:rsidR="002F287D" w:rsidRPr="001C6BCF">
        <w:rPr>
          <w:rStyle w:val="NoteLabel"/>
          <w:b/>
        </w:rPr>
        <w:t>a</w:t>
      </w:r>
      <w:r w:rsidR="002F287D" w:rsidRPr="001C6BCF">
        <w:rPr>
          <w:sz w:val="24"/>
          <w:szCs w:val="24"/>
        </w:rPr>
        <w:t xml:space="preserve"> by cycle</w:t>
      </w:r>
    </w:p>
    <w:p w:rsidR="004B2E84" w:rsidRPr="001C6BCF" w:rsidRDefault="00115711" w:rsidP="004B2E84">
      <w:pPr>
        <w:pStyle w:val="Subtitle"/>
      </w:pPr>
      <w:r w:rsidRPr="001C6BCF">
        <w:t>Average annual growth rate (per cent)</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9736A" w:rsidRPr="001C6BCF">
        <w:tc>
          <w:tcPr>
            <w:tcW w:w="8777" w:type="dxa"/>
          </w:tcPr>
          <w:p w:rsidR="00A9736A" w:rsidRPr="001C6BCF" w:rsidRDefault="00D0322F" w:rsidP="00DB670E">
            <w:pPr>
              <w:pStyle w:val="Figure"/>
              <w:spacing w:before="0" w:after="0"/>
            </w:pPr>
            <w:r>
              <w:pict>
                <v:shape id="_x0000_i1030" type="#_x0000_t75" alt="This figure shows the rate of growth in each of the proximate causes (value added, weighted hours worked and weighted capital services) and resulting rate of growth in MFP for each productivity cycle, including the incomplete cycle and average over the whole period of 1985-86 to 2010-11. The magnitudes of the changes are discussed in the text immediately following the figure." style="width:424.45pt;height:198.4pt">
                  <v:imagedata r:id="rId14" o:title=""/>
                </v:shape>
              </w:pict>
            </w:r>
          </w:p>
        </w:tc>
      </w:tr>
    </w:tbl>
    <w:p w:rsidR="00A9736A" w:rsidRPr="001C6BCF" w:rsidRDefault="00A9736A">
      <w:pPr>
        <w:pStyle w:val="Note"/>
      </w:pPr>
      <w:r w:rsidRPr="001C6BCF">
        <w:rPr>
          <w:rStyle w:val="NoteLabel"/>
        </w:rPr>
        <w:t>a</w:t>
      </w:r>
      <w:r w:rsidRPr="001C6BCF">
        <w:t xml:space="preserve"> </w:t>
      </w:r>
      <w:r w:rsidR="00347523" w:rsidRPr="001C6BCF">
        <w:t>Capital services and hours worked weighted by income shares.</w:t>
      </w:r>
      <w:r w:rsidR="008F360F" w:rsidRPr="001C6BCF">
        <w:t xml:space="preserve"> </w:t>
      </w:r>
    </w:p>
    <w:p w:rsidR="00A9736A" w:rsidRPr="001C6BCF" w:rsidRDefault="00A9736A">
      <w:pPr>
        <w:pStyle w:val="Source"/>
      </w:pPr>
      <w:r w:rsidRPr="001C6BCF">
        <w:rPr>
          <w:i/>
        </w:rPr>
        <w:t>Data source</w:t>
      </w:r>
      <w:r w:rsidRPr="001C6BCF">
        <w:t>: Authors’ estimates</w:t>
      </w:r>
      <w:r w:rsidR="007D5ED2" w:rsidRPr="001C6BCF">
        <w:t>.</w:t>
      </w:r>
    </w:p>
    <w:p w:rsidR="007823DD" w:rsidRPr="001C6BCF" w:rsidRDefault="007823DD" w:rsidP="007823DD">
      <w:pPr>
        <w:pStyle w:val="ListBullet"/>
      </w:pPr>
      <w:r w:rsidRPr="00451B72">
        <w:t>Over cycle 1</w:t>
      </w:r>
      <w:r w:rsidR="00233585" w:rsidRPr="00451B72">
        <w:t>,</w:t>
      </w:r>
      <w:r w:rsidRPr="00451B72">
        <w:t xml:space="preserve"> </w:t>
      </w:r>
      <w:r w:rsidR="00340A10" w:rsidRPr="00451B72">
        <w:t xml:space="preserve">negative </w:t>
      </w:r>
      <w:r w:rsidRPr="00451B72">
        <w:t xml:space="preserve">MFP growth was </w:t>
      </w:r>
      <w:r w:rsidR="00340A10" w:rsidRPr="00451B72">
        <w:t>associated with</w:t>
      </w:r>
      <w:r w:rsidR="00F95F76" w:rsidRPr="00451B72">
        <w:t xml:space="preserve"> low </w:t>
      </w:r>
      <w:r w:rsidR="00D62060" w:rsidRPr="00451B72">
        <w:t>VA</w:t>
      </w:r>
      <w:r w:rsidR="00F95F76" w:rsidRPr="00451B72">
        <w:t xml:space="preserve"> growth and</w:t>
      </w:r>
      <w:r w:rsidR="00F95F76">
        <w:t xml:space="preserve"> high</w:t>
      </w:r>
      <w:r w:rsidR="00340A10" w:rsidRPr="001C6BCF">
        <w:t xml:space="preserve"> </w:t>
      </w:r>
      <w:r w:rsidRPr="001C6BCF">
        <w:t xml:space="preserve">capital growth. </w:t>
      </w:r>
    </w:p>
    <w:p w:rsidR="00340A10" w:rsidRPr="001C6BCF" w:rsidRDefault="00340A10" w:rsidP="007823DD">
      <w:pPr>
        <w:pStyle w:val="ListBullet"/>
      </w:pPr>
      <w:r w:rsidRPr="001C6BCF">
        <w:t>D</w:t>
      </w:r>
      <w:r w:rsidR="00D34F31" w:rsidRPr="001C6BCF">
        <w:t xml:space="preserve">uring </w:t>
      </w:r>
      <w:r w:rsidR="00BC15A6" w:rsidRPr="001C6BCF">
        <w:t xml:space="preserve">cycle </w:t>
      </w:r>
      <w:r w:rsidRPr="001C6BCF">
        <w:t>2</w:t>
      </w:r>
      <w:r w:rsidR="00233585">
        <w:t>,</w:t>
      </w:r>
      <w:r w:rsidRPr="001C6BCF">
        <w:t xml:space="preserve"> there was a return to positive MFP growth </w:t>
      </w:r>
      <w:r w:rsidR="00BC15A6" w:rsidRPr="001C6BCF">
        <w:t xml:space="preserve">as </w:t>
      </w:r>
      <w:r w:rsidR="00D62060">
        <w:t>VA</w:t>
      </w:r>
      <w:r w:rsidR="00BC15A6" w:rsidRPr="001C6BCF">
        <w:t xml:space="preserve"> growth </w:t>
      </w:r>
      <w:r w:rsidRPr="001C6BCF">
        <w:t xml:space="preserve">increased significantly and </w:t>
      </w:r>
      <w:r w:rsidR="00BC15A6" w:rsidRPr="001C6BCF">
        <w:t xml:space="preserve">exceeded </w:t>
      </w:r>
      <w:r w:rsidRPr="001C6BCF">
        <w:t xml:space="preserve">combined </w:t>
      </w:r>
      <w:r w:rsidR="00BC15A6" w:rsidRPr="001C6BCF">
        <w:t xml:space="preserve">input growth </w:t>
      </w:r>
      <w:r w:rsidRPr="001C6BCF">
        <w:t>(</w:t>
      </w:r>
      <w:r w:rsidR="00BC15A6" w:rsidRPr="001C6BCF">
        <w:t>which</w:t>
      </w:r>
      <w:r w:rsidR="00B720DE" w:rsidRPr="001C6BCF">
        <w:t>,</w:t>
      </w:r>
      <w:r w:rsidR="00BC15A6" w:rsidRPr="001C6BCF">
        <w:t xml:space="preserve"> </w:t>
      </w:r>
      <w:r w:rsidRPr="001C6BCF">
        <w:t>again</w:t>
      </w:r>
      <w:r w:rsidR="00B720DE" w:rsidRPr="001C6BCF">
        <w:t>,</w:t>
      </w:r>
      <w:r w:rsidRPr="001C6BCF">
        <w:t xml:space="preserve"> was</w:t>
      </w:r>
      <w:r w:rsidR="00BC15A6" w:rsidRPr="001C6BCF">
        <w:t xml:space="preserve"> almost entirely capital services growth</w:t>
      </w:r>
      <w:r w:rsidRPr="001C6BCF">
        <w:t>)</w:t>
      </w:r>
      <w:r w:rsidR="00BC15A6" w:rsidRPr="001C6BCF">
        <w:t xml:space="preserve">. </w:t>
      </w:r>
    </w:p>
    <w:p w:rsidR="00340A10" w:rsidRPr="001C6BCF" w:rsidRDefault="00BC15A6" w:rsidP="007823DD">
      <w:pPr>
        <w:pStyle w:val="ListBullet"/>
      </w:pPr>
      <w:r w:rsidRPr="001C6BCF">
        <w:t xml:space="preserve">In </w:t>
      </w:r>
      <w:r w:rsidR="00340A10" w:rsidRPr="001C6BCF">
        <w:t>cycle 3</w:t>
      </w:r>
      <w:r w:rsidR="00D62060">
        <w:t>,</w:t>
      </w:r>
      <w:r w:rsidRPr="001C6BCF">
        <w:t xml:space="preserve"> MFP growth</w:t>
      </w:r>
      <w:r w:rsidR="00D666D8">
        <w:t xml:space="preserve"> continued</w:t>
      </w:r>
      <w:r w:rsidR="00340A10" w:rsidRPr="001C6BCF">
        <w:t>, although at a lower rate than in cycle 2.</w:t>
      </w:r>
      <w:r w:rsidRPr="001C6BCF">
        <w:t xml:space="preserve"> </w:t>
      </w:r>
      <w:r w:rsidR="00D93530" w:rsidRPr="001C6BCF">
        <w:t xml:space="preserve">While </w:t>
      </w:r>
      <w:r w:rsidR="00D62060">
        <w:t>VA</w:t>
      </w:r>
      <w:r w:rsidR="00D93530" w:rsidRPr="001C6BCF">
        <w:t xml:space="preserve"> growth was slower than </w:t>
      </w:r>
      <w:r w:rsidR="000B3F49" w:rsidRPr="001C6BCF">
        <w:t xml:space="preserve">in </w:t>
      </w:r>
      <w:r w:rsidR="00D93530" w:rsidRPr="001C6BCF">
        <w:t xml:space="preserve">the preceding cycle, </w:t>
      </w:r>
      <w:r w:rsidR="00783664">
        <w:t>VA</w:t>
      </w:r>
      <w:r w:rsidR="00D93530" w:rsidRPr="001C6BCF">
        <w:t xml:space="preserve"> growth still exceeded </w:t>
      </w:r>
      <w:r w:rsidR="00340A10" w:rsidRPr="001C6BCF">
        <w:t>growth in combined inputs</w:t>
      </w:r>
      <w:r w:rsidRPr="001C6BCF">
        <w:t xml:space="preserve">. </w:t>
      </w:r>
    </w:p>
    <w:p w:rsidR="00A9736A" w:rsidRPr="001C6BCF" w:rsidRDefault="00BC15A6" w:rsidP="007823DD">
      <w:pPr>
        <w:pStyle w:val="ListBullet"/>
      </w:pPr>
      <w:r w:rsidRPr="001C6BCF">
        <w:t xml:space="preserve">In </w:t>
      </w:r>
      <w:r w:rsidR="00974EA4" w:rsidRPr="001C6BCF">
        <w:t>cycle</w:t>
      </w:r>
      <w:r w:rsidR="00BC6D28">
        <w:t xml:space="preserve"> 4</w:t>
      </w:r>
      <w:r w:rsidR="00233585">
        <w:t>,</w:t>
      </w:r>
      <w:r w:rsidR="00974EA4" w:rsidRPr="001C6BCF">
        <w:t xml:space="preserve"> </w:t>
      </w:r>
      <w:r w:rsidR="00811D77" w:rsidRPr="001C6BCF">
        <w:t xml:space="preserve">MFP growth was </w:t>
      </w:r>
      <w:r w:rsidR="00DE1C3C">
        <w:t xml:space="preserve">strongly </w:t>
      </w:r>
      <w:r w:rsidR="00811D77" w:rsidRPr="001C6BCF">
        <w:t xml:space="preserve">negative </w:t>
      </w:r>
      <w:r w:rsidR="00DE1C3C">
        <w:t>as a result of</w:t>
      </w:r>
      <w:r w:rsidR="00811D77" w:rsidRPr="001C6BCF">
        <w:t xml:space="preserve"> </w:t>
      </w:r>
      <w:r w:rsidR="0034492D">
        <w:t>a</w:t>
      </w:r>
      <w:r w:rsidR="00DE2BEC">
        <w:t>n absolute</w:t>
      </w:r>
      <w:r w:rsidR="0034492D">
        <w:t xml:space="preserve"> decline in </w:t>
      </w:r>
      <w:r w:rsidR="00D62060">
        <w:t>VA</w:t>
      </w:r>
      <w:r w:rsidR="00974EA4" w:rsidRPr="001C6BCF">
        <w:t xml:space="preserve"> and </w:t>
      </w:r>
      <w:r w:rsidR="00FD29F6" w:rsidRPr="001C6BCF">
        <w:t xml:space="preserve">strong </w:t>
      </w:r>
      <w:r w:rsidR="00974EA4" w:rsidRPr="001C6BCF">
        <w:t>capital services growth</w:t>
      </w:r>
      <w:r w:rsidR="00FD29F6" w:rsidRPr="001C6BCF">
        <w:t>.</w:t>
      </w:r>
    </w:p>
    <w:p w:rsidR="00C564F4" w:rsidRDefault="00204BA4" w:rsidP="00340A10">
      <w:pPr>
        <w:pStyle w:val="ListBullet"/>
      </w:pPr>
      <w:r w:rsidRPr="001C6BCF">
        <w:t xml:space="preserve">Over the current incomplete cycle, MFP growth </w:t>
      </w:r>
      <w:r w:rsidR="00DE2BEC">
        <w:t>has</w:t>
      </w:r>
      <w:r w:rsidRPr="001C6BCF">
        <w:t xml:space="preserve"> </w:t>
      </w:r>
      <w:r w:rsidR="00DE2BEC">
        <w:t xml:space="preserve">been </w:t>
      </w:r>
      <w:r w:rsidRPr="001C6BCF">
        <w:t xml:space="preserve">negative, but to a lesser extent than over cycle 4. The pattern of change in the proximate causes is much different. </w:t>
      </w:r>
      <w:r w:rsidR="00C564F4">
        <w:t>There has been a much larger decline in VA. And while there has been an even stronger decline in hours worked, capital services growth has continued (although at a lower rate, just below the long-run average).</w:t>
      </w:r>
    </w:p>
    <w:p w:rsidR="00E713D3" w:rsidRPr="001C6BCF" w:rsidRDefault="00C04E81" w:rsidP="00C04E81">
      <w:pPr>
        <w:pStyle w:val="BodyText"/>
      </w:pPr>
      <w:r w:rsidRPr="001C6BCF">
        <w:t>Significantly</w:t>
      </w:r>
      <w:r w:rsidR="00C1151B">
        <w:t xml:space="preserve"> for this subsector</w:t>
      </w:r>
      <w:r w:rsidRPr="001C6BCF">
        <w:t xml:space="preserve">, growth of capital services has been consistently positive (exceeding 1.5 per cent a year for the first three cycles), </w:t>
      </w:r>
      <w:r w:rsidR="00CD3A4C">
        <w:t>and</w:t>
      </w:r>
      <w:r w:rsidR="00CD3A4C" w:rsidRPr="001C6BCF">
        <w:t xml:space="preserve"> </w:t>
      </w:r>
      <w:r w:rsidRPr="001C6BCF">
        <w:t xml:space="preserve">it was particularly strong in cycle 4 (up to 3.8 per cent a year). Increases in capital services </w:t>
      </w:r>
      <w:r w:rsidRPr="001C6BCF">
        <w:lastRenderedPageBreak/>
        <w:t xml:space="preserve">were sustained by strong investment in all cycles. At the same time, hours worked did not change substantially until the incomplete cycle. </w:t>
      </w:r>
      <w:r w:rsidR="002C1E90">
        <w:t xml:space="preserve">As a consequence, </w:t>
      </w:r>
      <w:proofErr w:type="spellStart"/>
      <w:r w:rsidRPr="001C6BCF">
        <w:t>PCCR</w:t>
      </w:r>
      <w:proofErr w:type="spellEnd"/>
      <w:r w:rsidRPr="001C6BCF">
        <w:t xml:space="preserve"> has become more capital-intensive</w:t>
      </w:r>
      <w:r w:rsidR="00E713D3" w:rsidRPr="001C6BCF">
        <w:t xml:space="preserve"> (</w:t>
      </w:r>
      <w:r w:rsidR="00B453C0" w:rsidRPr="001C6BCF">
        <w:t xml:space="preserve">figure </w:t>
      </w:r>
      <w:r w:rsidR="006A7469">
        <w:t>4.5</w:t>
      </w:r>
      <w:r w:rsidR="00E713D3" w:rsidRPr="001C6BCF">
        <w:t>).</w:t>
      </w:r>
    </w:p>
    <w:p w:rsidR="00D74FF7" w:rsidRPr="001C6BCF" w:rsidRDefault="00811D77" w:rsidP="00D8403B">
      <w:pPr>
        <w:pStyle w:val="BodyText"/>
      </w:pPr>
      <w:r w:rsidRPr="001C6BCF">
        <w:t xml:space="preserve">As discussed in chapter </w:t>
      </w:r>
      <w:r w:rsidR="00F165DF" w:rsidRPr="001C6BCF">
        <w:t>1</w:t>
      </w:r>
      <w:r w:rsidRPr="001C6BCF">
        <w:t xml:space="preserve">, the focus of this paper is on explaining the decline in </w:t>
      </w:r>
      <w:r w:rsidR="00DE2BEC">
        <w:t xml:space="preserve">average </w:t>
      </w:r>
      <w:r w:rsidRPr="001C6BCF">
        <w:t xml:space="preserve">MFP growth between cycles 3 and 4. Figure </w:t>
      </w:r>
      <w:r w:rsidR="006A7469">
        <w:t>4.5</w:t>
      </w:r>
      <w:r w:rsidRPr="001C6BCF">
        <w:t xml:space="preserve"> </w:t>
      </w:r>
      <w:r w:rsidR="00F165DF" w:rsidRPr="001C6BCF">
        <w:t>shows that,</w:t>
      </w:r>
      <w:r w:rsidRPr="001C6BCF">
        <w:t xml:space="preserve"> </w:t>
      </w:r>
      <w:r w:rsidR="00000AF7" w:rsidRPr="001C6BCF">
        <w:t xml:space="preserve">for </w:t>
      </w:r>
      <w:proofErr w:type="spellStart"/>
      <w:r w:rsidR="00000AF7" w:rsidRPr="001C6BCF">
        <w:t>PCCR</w:t>
      </w:r>
      <w:proofErr w:type="spellEnd"/>
      <w:r w:rsidR="00F165DF" w:rsidRPr="001C6BCF">
        <w:t>,</w:t>
      </w:r>
      <w:r w:rsidR="00000AF7" w:rsidRPr="001C6BCF">
        <w:t xml:space="preserve"> large changes</w:t>
      </w:r>
      <w:r w:rsidR="00F165DF" w:rsidRPr="001C6BCF">
        <w:t xml:space="preserve"> (of opposite signs)</w:t>
      </w:r>
      <w:r w:rsidR="00000AF7" w:rsidRPr="001C6BCF">
        <w:t xml:space="preserve"> in VA and capital services</w:t>
      </w:r>
      <w:r w:rsidR="00F165DF" w:rsidRPr="001C6BCF">
        <w:t xml:space="preserve"> between these last two complete cycles accounted for around </w:t>
      </w:r>
      <w:r w:rsidR="001D0AE1" w:rsidRPr="001C6BCF">
        <w:t>90 per cent of th</w:t>
      </w:r>
      <w:r w:rsidR="00585525" w:rsidRPr="001C6BCF">
        <w:t>at</w:t>
      </w:r>
      <w:r w:rsidR="001D0AE1" w:rsidRPr="001C6BCF">
        <w:t xml:space="preserve"> decline</w:t>
      </w:r>
      <w:r w:rsidRPr="001C6BCF">
        <w:t xml:space="preserve">. </w:t>
      </w:r>
      <w:r w:rsidR="00000AF7" w:rsidRPr="001C6BCF">
        <w:t>The</w:t>
      </w:r>
      <w:r w:rsidRPr="001C6BCF">
        <w:t xml:space="preserve"> </w:t>
      </w:r>
      <w:r w:rsidR="00000AF7" w:rsidRPr="001C6BCF">
        <w:t xml:space="preserve">remainder of the chapter discusses </w:t>
      </w:r>
      <w:r w:rsidRPr="001C6BCF">
        <w:t xml:space="preserve">influences </w:t>
      </w:r>
      <w:r w:rsidR="00000AF7" w:rsidRPr="001C6BCF">
        <w:t xml:space="preserve">that might </w:t>
      </w:r>
      <w:r w:rsidRPr="001C6BCF">
        <w:t>underl</w:t>
      </w:r>
      <w:r w:rsidR="00000AF7" w:rsidRPr="001C6BCF">
        <w:t>ie</w:t>
      </w:r>
      <w:r w:rsidRPr="001C6BCF">
        <w:t xml:space="preserve"> the</w:t>
      </w:r>
      <w:r w:rsidR="00000AF7" w:rsidRPr="001C6BCF">
        <w:t>se large changes</w:t>
      </w:r>
      <w:r w:rsidRPr="001C6BCF">
        <w:t>.</w:t>
      </w:r>
    </w:p>
    <w:p w:rsidR="00D74FF7" w:rsidRPr="001C6BCF" w:rsidRDefault="00D74FF7">
      <w:pPr>
        <w:pStyle w:val="FigureTitle"/>
        <w:rPr>
          <w:sz w:val="24"/>
          <w:szCs w:val="24"/>
        </w:rPr>
      </w:pPr>
      <w:r w:rsidRPr="001C6BCF">
        <w:rPr>
          <w:b w:val="0"/>
          <w:sz w:val="24"/>
          <w:szCs w:val="24"/>
        </w:rPr>
        <w:t xml:space="preserve">Figure </w:t>
      </w:r>
      <w:bookmarkStart w:id="11" w:name="OLE_LINK27"/>
      <w:r w:rsidR="006A7469">
        <w:rPr>
          <w:b w:val="0"/>
          <w:sz w:val="24"/>
          <w:szCs w:val="24"/>
        </w:rPr>
        <w:t>4.</w:t>
      </w:r>
      <w:r w:rsidR="007203B8">
        <w:rPr>
          <w:b w:val="0"/>
          <w:noProof/>
          <w:sz w:val="24"/>
          <w:szCs w:val="24"/>
        </w:rPr>
        <w:t>5</w:t>
      </w:r>
      <w:bookmarkEnd w:id="11"/>
      <w:r w:rsidRPr="001C6BCF">
        <w:rPr>
          <w:sz w:val="24"/>
          <w:szCs w:val="24"/>
        </w:rPr>
        <w:tab/>
      </w:r>
      <w:r w:rsidR="000B1698" w:rsidRPr="001C6BCF">
        <w:rPr>
          <w:sz w:val="24"/>
          <w:szCs w:val="24"/>
        </w:rPr>
        <w:t xml:space="preserve">Growth in </w:t>
      </w:r>
      <w:proofErr w:type="spellStart"/>
      <w:r w:rsidRPr="001C6BCF">
        <w:rPr>
          <w:sz w:val="24"/>
          <w:szCs w:val="24"/>
        </w:rPr>
        <w:t>PCCR</w:t>
      </w:r>
      <w:proofErr w:type="spellEnd"/>
      <w:r w:rsidRPr="001C6BCF">
        <w:rPr>
          <w:sz w:val="24"/>
          <w:szCs w:val="24"/>
        </w:rPr>
        <w:t xml:space="preserve"> MFP </w:t>
      </w:r>
      <w:r w:rsidR="000B1698" w:rsidRPr="001C6BCF">
        <w:rPr>
          <w:sz w:val="24"/>
          <w:szCs w:val="24"/>
        </w:rPr>
        <w:t>and its proximate causes</w:t>
      </w:r>
      <w:r w:rsidR="000B1698" w:rsidRPr="001C6BCF">
        <w:rPr>
          <w:rStyle w:val="NoteLabel"/>
          <w:b/>
        </w:rPr>
        <w:t>a</w:t>
      </w:r>
      <w:r w:rsidR="004B465D" w:rsidRPr="001C6BCF">
        <w:rPr>
          <w:sz w:val="24"/>
          <w:szCs w:val="24"/>
        </w:rPr>
        <w:t xml:space="preserve"> in</w:t>
      </w:r>
      <w:r w:rsidR="000B1698" w:rsidRPr="001C6BCF">
        <w:rPr>
          <w:sz w:val="24"/>
          <w:szCs w:val="24"/>
        </w:rPr>
        <w:t xml:space="preserve"> </w:t>
      </w:r>
      <w:r w:rsidRPr="001C6BCF">
        <w:rPr>
          <w:sz w:val="24"/>
          <w:szCs w:val="24"/>
        </w:rPr>
        <w:t>cycles 3 and</w:t>
      </w:r>
      <w:r w:rsidR="00A23F03" w:rsidRPr="001C6BCF">
        <w:rPr>
          <w:sz w:val="24"/>
          <w:szCs w:val="24"/>
        </w:rPr>
        <w:t> </w:t>
      </w:r>
      <w:r w:rsidRPr="001C6BCF">
        <w:rPr>
          <w:sz w:val="24"/>
          <w:szCs w:val="24"/>
        </w:rPr>
        <w:t>4</w:t>
      </w:r>
    </w:p>
    <w:p w:rsidR="00D74FF7" w:rsidRPr="001C6BCF" w:rsidRDefault="00115711">
      <w:pPr>
        <w:pStyle w:val="Subtitle"/>
      </w:pPr>
      <w:r w:rsidRPr="001C6BCF">
        <w:t>Average annual growth rate (per cent)</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74FF7" w:rsidRPr="001C6BCF">
        <w:tc>
          <w:tcPr>
            <w:tcW w:w="8777" w:type="dxa"/>
          </w:tcPr>
          <w:p w:rsidR="00D74FF7" w:rsidRPr="001C6BCF" w:rsidRDefault="00D0322F" w:rsidP="00AA1153">
            <w:pPr>
              <w:pStyle w:val="Figure"/>
              <w:spacing w:after="0"/>
            </w:pPr>
            <w:r>
              <w:pict>
                <v:shape id="_x0000_i1031" type="#_x0000_t75" alt="This figure shows the rate of growth in each of the proximate causes (value added, weighted hours worked and weighted capital services) and resulting rate of growth in Petroleum and chemicals MFP for cycles 3 and 4, and the difference between these cycles. Between the cycles, a decline in value added, weak growth in hours worked and stronger growth in capital services led to a considerable decline in the rate of MFP growth." style="width:424.45pt;height:198.4pt;mso-position-vertical:absolute">
                  <v:imagedata r:id="rId15" o:title=""/>
                </v:shape>
              </w:pict>
            </w:r>
          </w:p>
        </w:tc>
      </w:tr>
    </w:tbl>
    <w:p w:rsidR="00D74FF7" w:rsidRPr="001C6BCF" w:rsidRDefault="00D74FF7">
      <w:pPr>
        <w:pStyle w:val="Note"/>
      </w:pPr>
      <w:r w:rsidRPr="001C6BCF">
        <w:rPr>
          <w:rStyle w:val="NoteLabel"/>
        </w:rPr>
        <w:t>a</w:t>
      </w:r>
      <w:r w:rsidRPr="001C6BCF">
        <w:t xml:space="preserve"> </w:t>
      </w:r>
      <w:r w:rsidR="00E50B59" w:rsidRPr="001C6BCF">
        <w:t>Capital services and hours worked weighted by income shares.</w:t>
      </w:r>
    </w:p>
    <w:p w:rsidR="00D74FF7" w:rsidRPr="001C6BCF" w:rsidRDefault="00D74FF7">
      <w:pPr>
        <w:pStyle w:val="Source"/>
      </w:pPr>
      <w:r w:rsidRPr="001C6BCF">
        <w:rPr>
          <w:i/>
        </w:rPr>
        <w:t>Data source</w:t>
      </w:r>
      <w:r w:rsidRPr="001C6BCF">
        <w:t xml:space="preserve">: </w:t>
      </w:r>
      <w:r w:rsidR="00D63BF9" w:rsidRPr="001C6BCF">
        <w:t>Authors’ estimates.</w:t>
      </w:r>
    </w:p>
    <w:p w:rsidR="00BC5B2E" w:rsidRPr="001C6BCF" w:rsidRDefault="006A7469" w:rsidP="00BC5B2E">
      <w:pPr>
        <w:pStyle w:val="Heading2"/>
      </w:pPr>
      <w:r>
        <w:t>4.</w:t>
      </w:r>
      <w:r w:rsidR="007203B8">
        <w:rPr>
          <w:noProof/>
        </w:rPr>
        <w:t>3</w:t>
      </w:r>
      <w:r w:rsidR="00BC5B2E" w:rsidRPr="001C6BCF">
        <w:tab/>
      </w:r>
      <w:r w:rsidR="005977CA" w:rsidRPr="001C6BCF">
        <w:t xml:space="preserve">Influences on </w:t>
      </w:r>
      <w:proofErr w:type="spellStart"/>
      <w:r w:rsidR="005977CA" w:rsidRPr="001C6BCF">
        <w:t>PCCR’s</w:t>
      </w:r>
      <w:proofErr w:type="spellEnd"/>
      <w:r w:rsidR="005977CA" w:rsidRPr="001C6BCF">
        <w:t xml:space="preserve"> MFP growth</w:t>
      </w:r>
    </w:p>
    <w:p w:rsidR="00036108" w:rsidRPr="001C6BCF" w:rsidRDefault="004453D6" w:rsidP="00642541">
      <w:pPr>
        <w:pStyle w:val="BodyText"/>
      </w:pPr>
      <w:r w:rsidRPr="001C6BCF">
        <w:t xml:space="preserve">Understanding why </w:t>
      </w:r>
      <w:r w:rsidR="00A70173">
        <w:t>there has been a decline in VA and strong growth in capital services</w:t>
      </w:r>
      <w:r w:rsidRPr="001C6BCF">
        <w:t xml:space="preserve"> </w:t>
      </w:r>
      <w:r w:rsidR="003A2B36">
        <w:t xml:space="preserve">from cycle 3 to cycle 4 </w:t>
      </w:r>
      <w:r w:rsidRPr="001C6BCF">
        <w:t xml:space="preserve">is key to explaining the poor MFP growth in </w:t>
      </w:r>
      <w:proofErr w:type="spellStart"/>
      <w:r w:rsidRPr="001C6BCF">
        <w:t>PCCR</w:t>
      </w:r>
      <w:proofErr w:type="spellEnd"/>
      <w:r w:rsidRPr="001C6BCF">
        <w:t>.</w:t>
      </w:r>
      <w:r w:rsidR="009123E0" w:rsidRPr="001C6BCF">
        <w:rPr>
          <w:rStyle w:val="FootnoteReference"/>
        </w:rPr>
        <w:footnoteReference w:id="2"/>
      </w:r>
      <w:r w:rsidRPr="001C6BCF">
        <w:t xml:space="preserve"> </w:t>
      </w:r>
      <w:r w:rsidR="001D3BBA" w:rsidRPr="001C6BCF">
        <w:t xml:space="preserve">As </w:t>
      </w:r>
      <w:r w:rsidR="00CD3279" w:rsidRPr="001C6BCF">
        <w:t xml:space="preserve">becomes clear below, </w:t>
      </w:r>
      <w:r w:rsidR="00D95762">
        <w:t xml:space="preserve">however, </w:t>
      </w:r>
      <w:r w:rsidR="002D6F67" w:rsidRPr="001C6BCF">
        <w:t>i</w:t>
      </w:r>
      <w:r w:rsidR="001D3BBA" w:rsidRPr="001C6BCF">
        <w:t xml:space="preserve">t is difficult to provide a comprehensive picture of the contributions of different parts of </w:t>
      </w:r>
      <w:proofErr w:type="spellStart"/>
      <w:r w:rsidR="001D3BBA" w:rsidRPr="001C6BCF">
        <w:t>PCCR</w:t>
      </w:r>
      <w:proofErr w:type="spellEnd"/>
      <w:r w:rsidR="001D3BBA" w:rsidRPr="001C6BCF">
        <w:t xml:space="preserve"> to </w:t>
      </w:r>
      <w:r w:rsidR="00D95762">
        <w:t>its</w:t>
      </w:r>
      <w:r w:rsidR="00D95762" w:rsidRPr="001C6BCF">
        <w:t xml:space="preserve"> </w:t>
      </w:r>
      <w:r w:rsidR="001D3BBA" w:rsidRPr="001C6BCF">
        <w:t>overall trends in VA and capital.</w:t>
      </w:r>
    </w:p>
    <w:p w:rsidR="0050059A" w:rsidRPr="001C6BCF" w:rsidRDefault="00741CBC" w:rsidP="00642541">
      <w:pPr>
        <w:pStyle w:val="Heading3"/>
      </w:pPr>
      <w:r w:rsidRPr="001C6BCF">
        <w:lastRenderedPageBreak/>
        <w:t>V</w:t>
      </w:r>
      <w:r w:rsidR="0050059A" w:rsidRPr="001C6BCF">
        <w:t>alue</w:t>
      </w:r>
      <w:r w:rsidRPr="001C6BCF">
        <w:t xml:space="preserve"> </w:t>
      </w:r>
      <w:r w:rsidR="0050059A" w:rsidRPr="001C6BCF">
        <w:t>added</w:t>
      </w:r>
    </w:p>
    <w:p w:rsidR="004C63B4" w:rsidRPr="001C6BCF" w:rsidRDefault="0082369C" w:rsidP="00903CCB">
      <w:pPr>
        <w:pStyle w:val="BodyText"/>
        <w:spacing w:before="200"/>
      </w:pPr>
      <w:r w:rsidRPr="001C6BCF">
        <w:t xml:space="preserve">VA in </w:t>
      </w:r>
      <w:proofErr w:type="spellStart"/>
      <w:r w:rsidRPr="001C6BCF">
        <w:t>PCCR</w:t>
      </w:r>
      <w:proofErr w:type="spellEnd"/>
      <w:r w:rsidRPr="001C6BCF">
        <w:t xml:space="preserve"> declined from cycle 3 to cycle 4</w:t>
      </w:r>
      <w:r w:rsidR="006C6308">
        <w:t xml:space="preserve"> (</w:t>
      </w:r>
      <w:r w:rsidR="001272FF">
        <w:t xml:space="preserve">VA growth </w:t>
      </w:r>
      <w:r w:rsidR="006C6308">
        <w:t>having been positive in the former and negative in the latter)</w:t>
      </w:r>
      <w:r w:rsidR="004C63B4" w:rsidRPr="001C6BCF">
        <w:t>.</w:t>
      </w:r>
      <w:r w:rsidR="00D75C16">
        <w:rPr>
          <w:rStyle w:val="FootnoteReference"/>
        </w:rPr>
        <w:footnoteReference w:id="3"/>
      </w:r>
      <w:r w:rsidR="004C63B4" w:rsidRPr="001C6BCF">
        <w:t xml:space="preserve"> </w:t>
      </w:r>
      <w:r w:rsidR="004C3F3C" w:rsidRPr="001C6BCF">
        <w:t xml:space="preserve">The data that </w:t>
      </w:r>
      <w:r w:rsidR="0050736D" w:rsidRPr="001C6BCF">
        <w:t>are</w:t>
      </w:r>
      <w:r w:rsidR="004C3F3C" w:rsidRPr="001C6BCF">
        <w:t xml:space="preserve"> available </w:t>
      </w:r>
      <w:r w:rsidR="00156B2F" w:rsidRPr="001C6BCF">
        <w:t>suggest that</w:t>
      </w:r>
      <w:r w:rsidR="0050736D" w:rsidRPr="001C6BCF">
        <w:t xml:space="preserve"> this </w:t>
      </w:r>
      <w:r w:rsidR="004C63B4" w:rsidRPr="001C6BCF">
        <w:t>was</w:t>
      </w:r>
      <w:r w:rsidR="00DE7497" w:rsidRPr="001C6BCF">
        <w:t xml:space="preserve"> due in large part to</w:t>
      </w:r>
      <w:r w:rsidR="004C63B4" w:rsidRPr="001C6BCF">
        <w:t xml:space="preserve"> a decline in the VA of </w:t>
      </w:r>
      <w:r w:rsidR="00E11207" w:rsidRPr="001C6BCF">
        <w:t>Petroleum</w:t>
      </w:r>
      <w:r w:rsidR="000B7769" w:rsidRPr="001C6BCF">
        <w:t xml:space="preserve">, </w:t>
      </w:r>
      <w:r w:rsidR="007B5197" w:rsidRPr="001C6BCF">
        <w:t>while</w:t>
      </w:r>
      <w:r w:rsidR="004C63B4" w:rsidRPr="001C6BCF">
        <w:t xml:space="preserve"> </w:t>
      </w:r>
      <w:r w:rsidR="007B5197" w:rsidRPr="001C6BCF">
        <w:t xml:space="preserve">the </w:t>
      </w:r>
      <w:r w:rsidR="008F41FC" w:rsidRPr="001C6BCF">
        <w:t xml:space="preserve">VA </w:t>
      </w:r>
      <w:r w:rsidR="004C63B4" w:rsidRPr="001C6BCF">
        <w:t>in</w:t>
      </w:r>
      <w:r w:rsidR="000B7769" w:rsidRPr="001C6BCF">
        <w:t xml:space="preserve"> </w:t>
      </w:r>
      <w:r w:rsidR="00E11207" w:rsidRPr="001C6BCF">
        <w:t>Chemicals and Polymers</w:t>
      </w:r>
      <w:r w:rsidR="0050736D" w:rsidRPr="001C6BCF">
        <w:t xml:space="preserve"> continued to grow, but at a slower rate</w:t>
      </w:r>
      <w:r w:rsidR="000E44F5" w:rsidRPr="001C6BCF">
        <w:t xml:space="preserve"> (see box </w:t>
      </w:r>
      <w:r w:rsidR="006A7469">
        <w:t>4.2</w:t>
      </w:r>
      <w:r w:rsidR="000E44F5" w:rsidRPr="001C6BCF">
        <w:t xml:space="preserve"> regarding data limitations)</w:t>
      </w:r>
      <w:r w:rsidR="00916658" w:rsidRPr="001C6BCF">
        <w:t>.</w:t>
      </w:r>
      <w:r w:rsidR="004C63B4" w:rsidRPr="001C6BCF">
        <w:t xml:space="preserve"> However, parts of </w:t>
      </w:r>
      <w:proofErr w:type="spellStart"/>
      <w:r w:rsidR="004C63B4" w:rsidRPr="001C6BCF">
        <w:t>PCCR</w:t>
      </w:r>
      <w:proofErr w:type="spellEnd"/>
      <w:r w:rsidR="00E15B0B" w:rsidRPr="001C6BCF">
        <w:t>, such as paints and pharmaceuticals</w:t>
      </w:r>
      <w:r w:rsidR="008538EE" w:rsidRPr="001C6BCF">
        <w:t>,</w:t>
      </w:r>
      <w:r w:rsidR="004C63B4" w:rsidRPr="001C6BCF">
        <w:t xml:space="preserve"> experienced growth in output between cycles, but this growth was nowhere near strong enough to offset the decline </w:t>
      </w:r>
      <w:r w:rsidR="000471C6" w:rsidRPr="001C6BCF">
        <w:t xml:space="preserve">in </w:t>
      </w:r>
      <w:r w:rsidR="004C63B4" w:rsidRPr="001C6BCF">
        <w:t xml:space="preserve">the rest of the subsector. </w:t>
      </w:r>
    </w:p>
    <w:p w:rsidR="000D1C9E" w:rsidRPr="001C6BCF" w:rsidRDefault="000D1C9E">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D1C9E" w:rsidRPr="001C6BCF">
        <w:tc>
          <w:tcPr>
            <w:tcW w:w="8771" w:type="dxa"/>
            <w:tcBorders>
              <w:top w:val="single" w:sz="6" w:space="0" w:color="auto"/>
              <w:bottom w:val="nil"/>
            </w:tcBorders>
          </w:tcPr>
          <w:p w:rsidR="000D1C9E" w:rsidRPr="00964528" w:rsidRDefault="000D1C9E" w:rsidP="00FF18F8">
            <w:pPr>
              <w:pStyle w:val="BoxTitle"/>
              <w:rPr>
                <w:sz w:val="24"/>
                <w:szCs w:val="24"/>
              </w:rPr>
            </w:pPr>
            <w:r w:rsidRPr="00964528">
              <w:rPr>
                <w:b w:val="0"/>
                <w:sz w:val="24"/>
                <w:szCs w:val="24"/>
              </w:rPr>
              <w:t xml:space="preserve">Box </w:t>
            </w:r>
            <w:bookmarkStart w:id="12" w:name="OLE_LINK13"/>
            <w:r w:rsidR="006A7469">
              <w:rPr>
                <w:b w:val="0"/>
                <w:sz w:val="24"/>
                <w:szCs w:val="24"/>
              </w:rPr>
              <w:t>4.</w:t>
            </w:r>
            <w:r w:rsidR="007203B8">
              <w:rPr>
                <w:b w:val="0"/>
                <w:noProof/>
                <w:sz w:val="24"/>
                <w:szCs w:val="24"/>
              </w:rPr>
              <w:t>2</w:t>
            </w:r>
            <w:bookmarkEnd w:id="12"/>
            <w:r w:rsidRPr="00964528">
              <w:rPr>
                <w:sz w:val="24"/>
                <w:szCs w:val="24"/>
              </w:rPr>
              <w:tab/>
            </w:r>
            <w:r w:rsidR="0095550E" w:rsidRPr="00964528">
              <w:rPr>
                <w:sz w:val="24"/>
                <w:szCs w:val="24"/>
              </w:rPr>
              <w:t xml:space="preserve">Limitations </w:t>
            </w:r>
            <w:r w:rsidR="00FF18F8" w:rsidRPr="00964528">
              <w:rPr>
                <w:sz w:val="24"/>
                <w:szCs w:val="24"/>
              </w:rPr>
              <w:t xml:space="preserve">of </w:t>
            </w:r>
            <w:r w:rsidR="0095550E" w:rsidRPr="00964528">
              <w:rPr>
                <w:sz w:val="24"/>
                <w:szCs w:val="24"/>
              </w:rPr>
              <w:t>VA</w:t>
            </w:r>
            <w:r w:rsidR="002F7952" w:rsidRPr="00964528">
              <w:rPr>
                <w:sz w:val="24"/>
                <w:szCs w:val="24"/>
              </w:rPr>
              <w:t xml:space="preserve"> data</w:t>
            </w:r>
            <w:r w:rsidR="00B10CF5" w:rsidRPr="00964528">
              <w:rPr>
                <w:sz w:val="24"/>
                <w:szCs w:val="24"/>
              </w:rPr>
              <w:t xml:space="preserve"> for </w:t>
            </w:r>
            <w:proofErr w:type="spellStart"/>
            <w:r w:rsidR="00B10CF5" w:rsidRPr="00964528">
              <w:rPr>
                <w:sz w:val="24"/>
                <w:szCs w:val="24"/>
              </w:rPr>
              <w:t>PCCR</w:t>
            </w:r>
            <w:proofErr w:type="spellEnd"/>
          </w:p>
        </w:tc>
      </w:tr>
      <w:tr w:rsidR="000D1C9E" w:rsidRPr="001C6BCF">
        <w:trPr>
          <w:cantSplit/>
        </w:trPr>
        <w:tc>
          <w:tcPr>
            <w:tcW w:w="8771" w:type="dxa"/>
            <w:tcBorders>
              <w:top w:val="nil"/>
              <w:left w:val="single" w:sz="6" w:space="0" w:color="auto"/>
              <w:bottom w:val="nil"/>
              <w:right w:val="single" w:sz="6" w:space="0" w:color="auto"/>
            </w:tcBorders>
          </w:tcPr>
          <w:p w:rsidR="00322E46" w:rsidRPr="001C6BCF" w:rsidRDefault="00C2559D" w:rsidP="00C40801">
            <w:pPr>
              <w:pStyle w:val="Box"/>
            </w:pPr>
            <w:r w:rsidRPr="001C6BCF">
              <w:t xml:space="preserve">Data on real </w:t>
            </w:r>
            <w:r w:rsidR="00783664">
              <w:t>VA</w:t>
            </w:r>
            <w:r w:rsidRPr="001C6BCF">
              <w:t xml:space="preserve"> for the </w:t>
            </w:r>
            <w:proofErr w:type="spellStart"/>
            <w:r w:rsidRPr="001C6BCF">
              <w:t>PCCR</w:t>
            </w:r>
            <w:proofErr w:type="spellEnd"/>
            <w:r w:rsidRPr="001C6BCF">
              <w:t xml:space="preserve"> subdivisions </w:t>
            </w:r>
            <w:r w:rsidR="0094384F" w:rsidRPr="001C6BCF">
              <w:t>are</w:t>
            </w:r>
            <w:r w:rsidRPr="001C6BCF">
              <w:t xml:space="preserve"> not available from the</w:t>
            </w:r>
            <w:r w:rsidR="00BA11CD">
              <w:t xml:space="preserve"> ABS</w:t>
            </w:r>
            <w:r w:rsidRPr="001C6BCF">
              <w:t xml:space="preserve"> </w:t>
            </w:r>
            <w:r w:rsidR="0094384F" w:rsidRPr="001C6BCF">
              <w:t>N</w:t>
            </w:r>
            <w:r w:rsidRPr="001C6BCF">
              <w:t xml:space="preserve">ational </w:t>
            </w:r>
            <w:r w:rsidR="0094384F" w:rsidRPr="001C6BCF">
              <w:t>A</w:t>
            </w:r>
            <w:r w:rsidRPr="001C6BCF">
              <w:t xml:space="preserve">ccounts. Accordingly, </w:t>
            </w:r>
            <w:r w:rsidR="00505323">
              <w:t>an alternative indicator</w:t>
            </w:r>
            <w:r w:rsidRPr="001C6BCF">
              <w:t xml:space="preserve"> must be used to identify which parts of </w:t>
            </w:r>
            <w:proofErr w:type="spellStart"/>
            <w:r w:rsidRPr="001C6BCF">
              <w:t>PCCR</w:t>
            </w:r>
            <w:proofErr w:type="spellEnd"/>
            <w:r w:rsidRPr="001C6BCF">
              <w:t xml:space="preserve"> </w:t>
            </w:r>
            <w:r w:rsidR="00C72D37">
              <w:t xml:space="preserve">drove </w:t>
            </w:r>
            <w:r w:rsidRPr="001C6BCF">
              <w:t xml:space="preserve">the decline in </w:t>
            </w:r>
            <w:r w:rsidR="00783664">
              <w:t>VA</w:t>
            </w:r>
            <w:r w:rsidRPr="001C6BCF">
              <w:t xml:space="preserve"> between cycles 3 and 4. (A comparison </w:t>
            </w:r>
            <w:r w:rsidR="00757C67">
              <w:t>of availabl</w:t>
            </w:r>
            <w:r w:rsidR="00751373">
              <w:t>e</w:t>
            </w:r>
            <w:r w:rsidRPr="001C6BCF">
              <w:t xml:space="preserve"> indicators is presented in appendix </w:t>
            </w:r>
            <w:r w:rsidR="0054148B" w:rsidRPr="001C6BCF">
              <w:t>F</w:t>
            </w:r>
            <w:r w:rsidRPr="001C6BCF">
              <w:t>.)</w:t>
            </w:r>
          </w:p>
          <w:p w:rsidR="00322E46" w:rsidRPr="001C6BCF" w:rsidRDefault="00C0176D" w:rsidP="00C40801">
            <w:pPr>
              <w:pStyle w:val="Box"/>
            </w:pPr>
            <w:r w:rsidRPr="001C6BCF">
              <w:t xml:space="preserve">The best available indicator of real VA </w:t>
            </w:r>
            <w:r w:rsidR="009C5271" w:rsidRPr="001C6BCF">
              <w:t xml:space="preserve">growth </w:t>
            </w:r>
            <w:r w:rsidR="00233F08" w:rsidRPr="001C6BCF">
              <w:t xml:space="preserve">at the subdivision level </w:t>
            </w:r>
            <w:r w:rsidRPr="001C6BCF">
              <w:t>is</w:t>
            </w:r>
            <w:r w:rsidR="002E436A" w:rsidRPr="001C6BCF">
              <w:t xml:space="preserve"> real</w:t>
            </w:r>
            <w:r w:rsidR="00322E46" w:rsidRPr="001C6BCF">
              <w:t xml:space="preserve"> </w:t>
            </w:r>
            <w:r w:rsidR="008D674F">
              <w:t>‘</w:t>
            </w:r>
            <w:r w:rsidR="00322E46" w:rsidRPr="001C6BCF">
              <w:t>sales and service income</w:t>
            </w:r>
            <w:r w:rsidR="008D674F">
              <w:t>’</w:t>
            </w:r>
            <w:r w:rsidR="00A6326D" w:rsidRPr="001C6BCF">
              <w:t xml:space="preserve"> (although it will differ from real VA where there is a difference in the trend in </w:t>
            </w:r>
            <w:r w:rsidR="00D75C16">
              <w:t xml:space="preserve">the </w:t>
            </w:r>
            <w:r w:rsidR="00A6326D" w:rsidRPr="001C6BCF">
              <w:t>volume of intermediate</w:t>
            </w:r>
            <w:r w:rsidR="00806ABC">
              <w:t xml:space="preserve"> inputs</w:t>
            </w:r>
            <w:r w:rsidR="00A6326D" w:rsidRPr="001C6BCF">
              <w:t xml:space="preserve"> used)</w:t>
            </w:r>
            <w:r w:rsidR="00322E46" w:rsidRPr="001C6BCF">
              <w:t xml:space="preserve">. This matches </w:t>
            </w:r>
            <w:r w:rsidR="00DA41F2" w:rsidRPr="001C6BCF">
              <w:t xml:space="preserve">fairly </w:t>
            </w:r>
            <w:r w:rsidR="00322E46" w:rsidRPr="001C6BCF">
              <w:t xml:space="preserve">closely to the </w:t>
            </w:r>
            <w:proofErr w:type="spellStart"/>
            <w:r w:rsidR="00295313" w:rsidRPr="001C6BCF">
              <w:t>PCCR</w:t>
            </w:r>
            <w:proofErr w:type="spellEnd"/>
            <w:r w:rsidR="00322E46" w:rsidRPr="001C6BCF">
              <w:t xml:space="preserve"> trend</w:t>
            </w:r>
            <w:r w:rsidR="00295313" w:rsidRPr="001C6BCF">
              <w:t xml:space="preserve"> in real VA</w:t>
            </w:r>
            <w:r w:rsidR="000C15EF" w:rsidRPr="001C6BCF">
              <w:t>.</w:t>
            </w:r>
            <w:r w:rsidR="00086851" w:rsidRPr="001C6BCF">
              <w:t xml:space="preserve"> </w:t>
            </w:r>
            <w:r w:rsidR="00322E46" w:rsidRPr="001C6BCF">
              <w:t xml:space="preserve">Real sales and service income fell between cycles for each of the three </w:t>
            </w:r>
            <w:proofErr w:type="spellStart"/>
            <w:r w:rsidR="00322E46" w:rsidRPr="001C6BCF">
              <w:t>PCCR</w:t>
            </w:r>
            <w:proofErr w:type="spellEnd"/>
            <w:r w:rsidR="00322E46" w:rsidRPr="001C6BCF">
              <w:t xml:space="preserve"> subdivisions, with the strongest decline occurring in Petroleum and coal products and the smallest decline in Basic chemical and chemical products</w:t>
            </w:r>
            <w:r w:rsidR="002E2A59" w:rsidRPr="001C6BCF">
              <w:t>.</w:t>
            </w:r>
          </w:p>
          <w:p w:rsidR="00322E46" w:rsidRPr="001C6BCF" w:rsidRDefault="00322E46" w:rsidP="00C80048">
            <w:pPr>
              <w:pStyle w:val="Box"/>
              <w:rPr>
                <w:b/>
              </w:rPr>
            </w:pPr>
            <w:r w:rsidRPr="001C6BCF">
              <w:rPr>
                <w:b/>
              </w:rPr>
              <w:t>G</w:t>
            </w:r>
            <w:r w:rsidR="00860B00" w:rsidRPr="001C6BCF">
              <w:rPr>
                <w:b/>
              </w:rPr>
              <w:t xml:space="preserve">rowth in </w:t>
            </w:r>
            <w:r w:rsidR="00783664">
              <w:rPr>
                <w:b/>
              </w:rPr>
              <w:t>VA</w:t>
            </w:r>
            <w:r w:rsidR="00860B00" w:rsidRPr="001C6BCF">
              <w:rPr>
                <w:b/>
              </w:rPr>
              <w:t xml:space="preserve"> compared with</w:t>
            </w:r>
            <w:r w:rsidRPr="001C6BCF">
              <w:rPr>
                <w:b/>
              </w:rPr>
              <w:t xml:space="preserve"> growth in sales and service income </w:t>
            </w:r>
          </w:p>
          <w:p w:rsidR="00322E46" w:rsidRPr="001C6BCF" w:rsidRDefault="00115711" w:rsidP="00AF0D24">
            <w:pPr>
              <w:pStyle w:val="Subtitle"/>
              <w:ind w:hanging="1474"/>
            </w:pPr>
            <w:r w:rsidRPr="001C6BCF">
              <w:t>Average annual growth rate (per cent)</w:t>
            </w:r>
          </w:p>
          <w:tbl>
            <w:tblPr>
              <w:tblW w:w="5000" w:type="pct"/>
              <w:tblLayout w:type="fixed"/>
              <w:tblCellMar>
                <w:left w:w="0" w:type="dxa"/>
                <w:right w:w="0" w:type="dxa"/>
              </w:tblCellMar>
              <w:tblLook w:val="0000" w:firstRow="0" w:lastRow="0" w:firstColumn="0" w:lastColumn="0" w:noHBand="0" w:noVBand="0"/>
            </w:tblPr>
            <w:tblGrid>
              <w:gridCol w:w="3976"/>
              <w:gridCol w:w="1503"/>
              <w:gridCol w:w="1504"/>
              <w:gridCol w:w="1504"/>
            </w:tblGrid>
            <w:tr w:rsidR="00C266FB" w:rsidRPr="001C6BCF" w:rsidTr="00EA315C">
              <w:tc>
                <w:tcPr>
                  <w:tcW w:w="2342" w:type="pct"/>
                  <w:tcBorders>
                    <w:top w:val="single" w:sz="4" w:space="0" w:color="auto"/>
                  </w:tcBorders>
                  <w:shd w:val="clear" w:color="auto" w:fill="auto"/>
                  <w:vAlign w:val="bottom"/>
                </w:tcPr>
                <w:p w:rsidR="00322E46" w:rsidRPr="001C6BCF" w:rsidRDefault="00322E46" w:rsidP="00EA315C">
                  <w:pPr>
                    <w:pStyle w:val="TableColumnHeading"/>
                    <w:spacing w:before="0"/>
                    <w:jc w:val="left"/>
                  </w:pPr>
                </w:p>
              </w:tc>
              <w:tc>
                <w:tcPr>
                  <w:tcW w:w="885" w:type="pct"/>
                  <w:tcBorders>
                    <w:top w:val="single" w:sz="4" w:space="0" w:color="auto"/>
                  </w:tcBorders>
                  <w:shd w:val="clear" w:color="auto" w:fill="auto"/>
                  <w:vAlign w:val="bottom"/>
                </w:tcPr>
                <w:p w:rsidR="00322E46" w:rsidRPr="001C6BCF" w:rsidRDefault="005E5FB1" w:rsidP="00EA315C">
                  <w:pPr>
                    <w:pStyle w:val="TableColumnHeading"/>
                    <w:spacing w:before="0"/>
                  </w:pPr>
                  <w:r w:rsidRPr="001C6BCF">
                    <w:br/>
                  </w:r>
                  <w:r w:rsidR="00322E46" w:rsidRPr="001C6BCF">
                    <w:t>Cycle 3</w:t>
                  </w:r>
                </w:p>
              </w:tc>
              <w:tc>
                <w:tcPr>
                  <w:tcW w:w="886" w:type="pct"/>
                  <w:tcBorders>
                    <w:top w:val="single" w:sz="4" w:space="0" w:color="auto"/>
                  </w:tcBorders>
                  <w:shd w:val="clear" w:color="auto" w:fill="auto"/>
                  <w:vAlign w:val="bottom"/>
                </w:tcPr>
                <w:p w:rsidR="00322E46" w:rsidRPr="001C6BCF" w:rsidRDefault="005E5FB1" w:rsidP="00EA315C">
                  <w:pPr>
                    <w:pStyle w:val="TableColumnHeading"/>
                    <w:spacing w:before="0"/>
                  </w:pPr>
                  <w:r w:rsidRPr="001C6BCF">
                    <w:br/>
                  </w:r>
                  <w:r w:rsidR="00322E46" w:rsidRPr="001C6BCF">
                    <w:t>Cycle 4</w:t>
                  </w:r>
                </w:p>
              </w:tc>
              <w:tc>
                <w:tcPr>
                  <w:tcW w:w="886" w:type="pct"/>
                  <w:tcBorders>
                    <w:top w:val="single" w:sz="4" w:space="0" w:color="auto"/>
                  </w:tcBorders>
                  <w:shd w:val="clear" w:color="auto" w:fill="auto"/>
                  <w:vAlign w:val="bottom"/>
                </w:tcPr>
                <w:p w:rsidR="00322E46" w:rsidRPr="001C6BCF" w:rsidRDefault="00322E46" w:rsidP="00EA315C">
                  <w:pPr>
                    <w:pStyle w:val="TableColumnHeading"/>
                    <w:spacing w:before="0"/>
                    <w:ind w:right="28"/>
                  </w:pPr>
                  <w:r w:rsidRPr="001C6BCF">
                    <w:t>Incomplete cycle</w:t>
                  </w:r>
                </w:p>
              </w:tc>
            </w:tr>
            <w:tr w:rsidR="00C266FB" w:rsidRPr="001C6BCF" w:rsidTr="00EA315C">
              <w:trPr>
                <w:trHeight w:val="317"/>
              </w:trPr>
              <w:tc>
                <w:tcPr>
                  <w:tcW w:w="2342" w:type="pct"/>
                  <w:tcBorders>
                    <w:top w:val="single" w:sz="4" w:space="0" w:color="auto"/>
                  </w:tcBorders>
                  <w:shd w:val="clear" w:color="auto" w:fill="D9D9D9" w:themeFill="background1" w:themeFillShade="D9"/>
                  <w:vAlign w:val="bottom"/>
                </w:tcPr>
                <w:p w:rsidR="00322E46" w:rsidRPr="00451B72" w:rsidRDefault="00322E46" w:rsidP="00EA315C">
                  <w:pPr>
                    <w:pStyle w:val="TableBodyText"/>
                    <w:spacing w:before="40"/>
                    <w:jc w:val="left"/>
                    <w:rPr>
                      <w:b/>
                    </w:rPr>
                  </w:pPr>
                  <w:proofErr w:type="spellStart"/>
                  <w:r w:rsidRPr="00451B72">
                    <w:rPr>
                      <w:b/>
                    </w:rPr>
                    <w:t>PCCR</w:t>
                  </w:r>
                  <w:proofErr w:type="spellEnd"/>
                  <w:r w:rsidRPr="00451B72">
                    <w:rPr>
                      <w:b/>
                    </w:rPr>
                    <w:t xml:space="preserve"> </w:t>
                  </w:r>
                  <w:r w:rsidR="00783664" w:rsidRPr="00451B72">
                    <w:rPr>
                      <w:b/>
                    </w:rPr>
                    <w:t>VA</w:t>
                  </w:r>
                  <w:r w:rsidRPr="00451B72">
                    <w:rPr>
                      <w:b/>
                    </w:rPr>
                    <w:t xml:space="preserve"> (real)</w:t>
                  </w:r>
                  <w:r w:rsidRPr="00451B72">
                    <w:rPr>
                      <w:rStyle w:val="NoteLabel"/>
                    </w:rPr>
                    <w:t>a</w:t>
                  </w:r>
                </w:p>
              </w:tc>
              <w:tc>
                <w:tcPr>
                  <w:tcW w:w="885" w:type="pct"/>
                  <w:tcBorders>
                    <w:top w:val="single" w:sz="4" w:space="0" w:color="auto"/>
                  </w:tcBorders>
                  <w:shd w:val="clear" w:color="auto" w:fill="D9D9D9" w:themeFill="background1" w:themeFillShade="D9"/>
                  <w:vAlign w:val="bottom"/>
                </w:tcPr>
                <w:p w:rsidR="00322E46" w:rsidRPr="00451B72" w:rsidRDefault="00322E46" w:rsidP="00EA315C">
                  <w:pPr>
                    <w:pStyle w:val="TableBodyText"/>
                    <w:spacing w:before="40"/>
                    <w:rPr>
                      <w:b/>
                    </w:rPr>
                  </w:pPr>
                  <w:r w:rsidRPr="00451B72">
                    <w:rPr>
                      <w:b/>
                    </w:rPr>
                    <w:t>1.8</w:t>
                  </w:r>
                </w:p>
              </w:tc>
              <w:tc>
                <w:tcPr>
                  <w:tcW w:w="886" w:type="pct"/>
                  <w:tcBorders>
                    <w:top w:val="single" w:sz="4" w:space="0" w:color="auto"/>
                  </w:tcBorders>
                  <w:shd w:val="clear" w:color="auto" w:fill="D9D9D9" w:themeFill="background1" w:themeFillShade="D9"/>
                  <w:vAlign w:val="bottom"/>
                </w:tcPr>
                <w:p w:rsidR="00322E46" w:rsidRPr="00451B72" w:rsidRDefault="00322E46" w:rsidP="00EA315C">
                  <w:pPr>
                    <w:pStyle w:val="TableBodyText"/>
                    <w:spacing w:before="40"/>
                    <w:rPr>
                      <w:b/>
                    </w:rPr>
                  </w:pPr>
                  <w:r w:rsidRPr="00451B72">
                    <w:rPr>
                      <w:b/>
                    </w:rPr>
                    <w:t>-0.6</w:t>
                  </w:r>
                </w:p>
              </w:tc>
              <w:tc>
                <w:tcPr>
                  <w:tcW w:w="886" w:type="pct"/>
                  <w:tcBorders>
                    <w:top w:val="single" w:sz="4" w:space="0" w:color="auto"/>
                  </w:tcBorders>
                  <w:shd w:val="clear" w:color="auto" w:fill="D9D9D9" w:themeFill="background1" w:themeFillShade="D9"/>
                  <w:vAlign w:val="bottom"/>
                </w:tcPr>
                <w:p w:rsidR="00322E46" w:rsidRPr="00451B72" w:rsidRDefault="00322E46" w:rsidP="00EA315C">
                  <w:pPr>
                    <w:pStyle w:val="TableBodyText"/>
                    <w:spacing w:before="40"/>
                    <w:rPr>
                      <w:b/>
                    </w:rPr>
                  </w:pPr>
                  <w:r w:rsidRPr="00451B72">
                    <w:rPr>
                      <w:b/>
                    </w:rPr>
                    <w:t>-2.3</w:t>
                  </w:r>
                </w:p>
              </w:tc>
            </w:tr>
            <w:tr w:rsidR="00C266FB" w:rsidRPr="001C6BCF" w:rsidTr="00EA315C">
              <w:trPr>
                <w:trHeight w:val="317"/>
              </w:trPr>
              <w:tc>
                <w:tcPr>
                  <w:tcW w:w="2342" w:type="pct"/>
                  <w:vAlign w:val="bottom"/>
                </w:tcPr>
                <w:p w:rsidR="00322E46" w:rsidRPr="00125DCE" w:rsidRDefault="00B23AEA" w:rsidP="00EA315C">
                  <w:pPr>
                    <w:pStyle w:val="TableBodyText"/>
                    <w:jc w:val="left"/>
                    <w:rPr>
                      <w:b/>
                    </w:rPr>
                  </w:pPr>
                  <w:r w:rsidRPr="00125DCE">
                    <w:rPr>
                      <w:i/>
                    </w:rPr>
                    <w:t xml:space="preserve">Real sales </w:t>
                  </w:r>
                  <w:r w:rsidR="00322E46" w:rsidRPr="00125DCE">
                    <w:rPr>
                      <w:i/>
                    </w:rPr>
                    <w:t>and service income</w:t>
                  </w:r>
                </w:p>
              </w:tc>
              <w:tc>
                <w:tcPr>
                  <w:tcW w:w="885" w:type="pct"/>
                  <w:vAlign w:val="bottom"/>
                </w:tcPr>
                <w:p w:rsidR="00322E46" w:rsidRPr="001C6BCF" w:rsidRDefault="00322E46" w:rsidP="00EA315C">
                  <w:pPr>
                    <w:pStyle w:val="TableBodyText"/>
                  </w:pPr>
                </w:p>
              </w:tc>
              <w:tc>
                <w:tcPr>
                  <w:tcW w:w="886" w:type="pct"/>
                  <w:vAlign w:val="bottom"/>
                </w:tcPr>
                <w:p w:rsidR="00322E46" w:rsidRPr="001C6BCF" w:rsidRDefault="00322E46" w:rsidP="00EA315C">
                  <w:pPr>
                    <w:pStyle w:val="TableBodyText"/>
                  </w:pPr>
                </w:p>
              </w:tc>
              <w:tc>
                <w:tcPr>
                  <w:tcW w:w="886" w:type="pct"/>
                  <w:vAlign w:val="bottom"/>
                </w:tcPr>
                <w:p w:rsidR="00322E46" w:rsidRPr="001C6BCF" w:rsidRDefault="00322E46" w:rsidP="00EA315C">
                  <w:pPr>
                    <w:pStyle w:val="TableBodyText"/>
                  </w:pPr>
                </w:p>
              </w:tc>
            </w:tr>
            <w:tr w:rsidR="00C266FB" w:rsidRPr="001C6BCF" w:rsidTr="00EA315C">
              <w:trPr>
                <w:trHeight w:val="317"/>
              </w:trPr>
              <w:tc>
                <w:tcPr>
                  <w:tcW w:w="2342" w:type="pct"/>
                  <w:shd w:val="clear" w:color="auto" w:fill="D9D9D9" w:themeFill="background1" w:themeFillShade="D9"/>
                  <w:vAlign w:val="bottom"/>
                </w:tcPr>
                <w:p w:rsidR="00322E46" w:rsidRPr="001C6BCF" w:rsidRDefault="00322E46" w:rsidP="00EA315C">
                  <w:pPr>
                    <w:pStyle w:val="TableBodyText"/>
                    <w:jc w:val="left"/>
                  </w:pPr>
                  <w:r w:rsidRPr="001C6BCF">
                    <w:t xml:space="preserve">    Petroleum and coal product </w:t>
                  </w:r>
                  <w:proofErr w:type="spellStart"/>
                  <w:r w:rsidRPr="001C6BCF">
                    <w:t>mfg</w:t>
                  </w:r>
                  <w:proofErr w:type="spellEnd"/>
                  <w:r w:rsidRPr="001C6BCF">
                    <w:t xml:space="preserve"> </w:t>
                  </w:r>
                </w:p>
              </w:tc>
              <w:tc>
                <w:tcPr>
                  <w:tcW w:w="885" w:type="pct"/>
                  <w:shd w:val="clear" w:color="auto" w:fill="D9D9D9" w:themeFill="background1" w:themeFillShade="D9"/>
                  <w:vAlign w:val="bottom"/>
                </w:tcPr>
                <w:p w:rsidR="00322E46" w:rsidRPr="001C6BCF" w:rsidRDefault="00322E46" w:rsidP="00EA315C">
                  <w:pPr>
                    <w:pStyle w:val="TableBodyText"/>
                  </w:pPr>
                  <w:r w:rsidRPr="001C6BCF">
                    <w:rPr>
                      <w:rFonts w:cs="Arial"/>
                      <w:color w:val="000000"/>
                    </w:rPr>
                    <w:t>-4.9</w:t>
                  </w:r>
                </w:p>
              </w:tc>
              <w:tc>
                <w:tcPr>
                  <w:tcW w:w="886" w:type="pct"/>
                  <w:shd w:val="clear" w:color="auto" w:fill="D9D9D9" w:themeFill="background1" w:themeFillShade="D9"/>
                  <w:vAlign w:val="bottom"/>
                </w:tcPr>
                <w:p w:rsidR="00322E46" w:rsidRPr="001C6BCF" w:rsidRDefault="00322E46" w:rsidP="00EA315C">
                  <w:pPr>
                    <w:pStyle w:val="TableBodyText"/>
                  </w:pPr>
                  <w:r w:rsidRPr="001C6BCF">
                    <w:rPr>
                      <w:rFonts w:cs="Arial"/>
                      <w:color w:val="000000"/>
                    </w:rPr>
                    <w:t>-9.8</w:t>
                  </w:r>
                </w:p>
              </w:tc>
              <w:tc>
                <w:tcPr>
                  <w:tcW w:w="886" w:type="pct"/>
                  <w:shd w:val="clear" w:color="auto" w:fill="D9D9D9" w:themeFill="background1" w:themeFillShade="D9"/>
                  <w:vAlign w:val="bottom"/>
                </w:tcPr>
                <w:p w:rsidR="00322E46" w:rsidRPr="001C6BCF" w:rsidRDefault="00322E46" w:rsidP="00EA315C">
                  <w:pPr>
                    <w:pStyle w:val="TableBodyText"/>
                  </w:pPr>
                  <w:r w:rsidRPr="001C6BCF">
                    <w:rPr>
                      <w:rFonts w:cs="Arial"/>
                      <w:color w:val="000000"/>
                    </w:rPr>
                    <w:t>-2.0</w:t>
                  </w:r>
                </w:p>
              </w:tc>
            </w:tr>
            <w:tr w:rsidR="00C266FB" w:rsidRPr="001C6BCF" w:rsidTr="00EA315C">
              <w:trPr>
                <w:trHeight w:val="317"/>
              </w:trPr>
              <w:tc>
                <w:tcPr>
                  <w:tcW w:w="2342" w:type="pct"/>
                  <w:vAlign w:val="bottom"/>
                </w:tcPr>
                <w:p w:rsidR="00322E46" w:rsidRPr="001C6BCF" w:rsidRDefault="00322E46" w:rsidP="00EA315C">
                  <w:pPr>
                    <w:pStyle w:val="TableBodyText"/>
                    <w:ind w:right="-255"/>
                    <w:jc w:val="left"/>
                  </w:pPr>
                  <w:r w:rsidRPr="001C6BCF">
                    <w:t xml:space="preserve">    Basic chemical and chemical product </w:t>
                  </w:r>
                  <w:proofErr w:type="spellStart"/>
                  <w:r w:rsidRPr="001C6BCF">
                    <w:t>mfg</w:t>
                  </w:r>
                  <w:proofErr w:type="spellEnd"/>
                  <w:r w:rsidRPr="001C6BCF">
                    <w:t xml:space="preserve"> </w:t>
                  </w:r>
                </w:p>
              </w:tc>
              <w:tc>
                <w:tcPr>
                  <w:tcW w:w="885" w:type="pct"/>
                  <w:vAlign w:val="bottom"/>
                </w:tcPr>
                <w:p w:rsidR="00322E46" w:rsidRPr="001C6BCF" w:rsidRDefault="00322E46" w:rsidP="00EA315C">
                  <w:pPr>
                    <w:pStyle w:val="TableBodyText"/>
                  </w:pPr>
                  <w:r w:rsidRPr="001C6BCF">
                    <w:rPr>
                      <w:rFonts w:cs="Arial"/>
                      <w:color w:val="000000"/>
                    </w:rPr>
                    <w:t>9.0</w:t>
                  </w:r>
                </w:p>
              </w:tc>
              <w:tc>
                <w:tcPr>
                  <w:tcW w:w="886" w:type="pct"/>
                  <w:vAlign w:val="bottom"/>
                </w:tcPr>
                <w:p w:rsidR="00322E46" w:rsidRPr="001C6BCF" w:rsidRDefault="00322E46" w:rsidP="00EA315C">
                  <w:pPr>
                    <w:pStyle w:val="TableBodyText"/>
                  </w:pPr>
                  <w:r w:rsidRPr="001C6BCF">
                    <w:rPr>
                      <w:rFonts w:cs="Arial"/>
                      <w:color w:val="000000"/>
                    </w:rPr>
                    <w:t>7.0</w:t>
                  </w:r>
                </w:p>
              </w:tc>
              <w:tc>
                <w:tcPr>
                  <w:tcW w:w="886" w:type="pct"/>
                  <w:vAlign w:val="bottom"/>
                </w:tcPr>
                <w:p w:rsidR="00322E46" w:rsidRPr="001C6BCF" w:rsidRDefault="00322E46" w:rsidP="00EA315C">
                  <w:pPr>
                    <w:pStyle w:val="TableBodyText"/>
                  </w:pPr>
                  <w:r w:rsidRPr="001C6BCF">
                    <w:rPr>
                      <w:rFonts w:cs="Arial"/>
                      <w:color w:val="000000"/>
                    </w:rPr>
                    <w:t>0.6</w:t>
                  </w:r>
                </w:p>
              </w:tc>
            </w:tr>
            <w:tr w:rsidR="00C266FB" w:rsidRPr="001C6BCF" w:rsidTr="00EA315C">
              <w:trPr>
                <w:trHeight w:val="317"/>
              </w:trPr>
              <w:tc>
                <w:tcPr>
                  <w:tcW w:w="2342" w:type="pct"/>
                  <w:shd w:val="clear" w:color="auto" w:fill="D9D9D9" w:themeFill="background1" w:themeFillShade="D9"/>
                  <w:vAlign w:val="bottom"/>
                </w:tcPr>
                <w:p w:rsidR="00322E46" w:rsidRPr="001C6BCF" w:rsidRDefault="00322E46" w:rsidP="00EA315C">
                  <w:pPr>
                    <w:pStyle w:val="TableBodyText"/>
                    <w:jc w:val="left"/>
                  </w:pPr>
                  <w:r w:rsidRPr="001C6BCF">
                    <w:t xml:space="preserve">    Polymer product and rubber product </w:t>
                  </w:r>
                  <w:proofErr w:type="spellStart"/>
                  <w:r w:rsidRPr="001C6BCF">
                    <w:t>mfg</w:t>
                  </w:r>
                  <w:proofErr w:type="spellEnd"/>
                  <w:r w:rsidRPr="001C6BCF" w:rsidDel="008F41F0">
                    <w:t xml:space="preserve"> </w:t>
                  </w:r>
                </w:p>
              </w:tc>
              <w:tc>
                <w:tcPr>
                  <w:tcW w:w="885" w:type="pct"/>
                  <w:shd w:val="clear" w:color="auto" w:fill="D9D9D9" w:themeFill="background1" w:themeFillShade="D9"/>
                  <w:vAlign w:val="bottom"/>
                </w:tcPr>
                <w:p w:rsidR="00322E46" w:rsidRPr="001C6BCF" w:rsidRDefault="00322E46" w:rsidP="00EA315C">
                  <w:pPr>
                    <w:pStyle w:val="TableBodyText"/>
                  </w:pPr>
                  <w:r w:rsidRPr="001C6BCF">
                    <w:rPr>
                      <w:rFonts w:cs="Arial"/>
                      <w:color w:val="000000"/>
                    </w:rPr>
                    <w:t>7.0</w:t>
                  </w:r>
                </w:p>
              </w:tc>
              <w:tc>
                <w:tcPr>
                  <w:tcW w:w="886" w:type="pct"/>
                  <w:shd w:val="clear" w:color="auto" w:fill="D9D9D9" w:themeFill="background1" w:themeFillShade="D9"/>
                  <w:vAlign w:val="bottom"/>
                </w:tcPr>
                <w:p w:rsidR="00322E46" w:rsidRPr="001C6BCF" w:rsidRDefault="00322E46" w:rsidP="00EA315C">
                  <w:pPr>
                    <w:pStyle w:val="TableBodyText"/>
                  </w:pPr>
                  <w:r w:rsidRPr="001C6BCF">
                    <w:rPr>
                      <w:rFonts w:cs="Arial"/>
                      <w:color w:val="000000"/>
                    </w:rPr>
                    <w:t>2.6</w:t>
                  </w:r>
                </w:p>
              </w:tc>
              <w:tc>
                <w:tcPr>
                  <w:tcW w:w="886" w:type="pct"/>
                  <w:shd w:val="clear" w:color="auto" w:fill="D9D9D9" w:themeFill="background1" w:themeFillShade="D9"/>
                  <w:vAlign w:val="bottom"/>
                </w:tcPr>
                <w:p w:rsidR="00322E46" w:rsidRPr="001C6BCF" w:rsidRDefault="00322E46" w:rsidP="00EA315C">
                  <w:pPr>
                    <w:pStyle w:val="TableBodyText"/>
                  </w:pPr>
                  <w:r w:rsidRPr="001C6BCF">
                    <w:rPr>
                      <w:rFonts w:cs="Arial"/>
                      <w:color w:val="000000"/>
                    </w:rPr>
                    <w:t>-10.3</w:t>
                  </w:r>
                </w:p>
              </w:tc>
            </w:tr>
            <w:tr w:rsidR="00C266FB" w:rsidRPr="001C6BCF" w:rsidTr="00EA315C">
              <w:trPr>
                <w:trHeight w:val="317"/>
              </w:trPr>
              <w:tc>
                <w:tcPr>
                  <w:tcW w:w="2342" w:type="pct"/>
                  <w:tcBorders>
                    <w:bottom w:val="single" w:sz="4" w:space="0" w:color="auto"/>
                  </w:tcBorders>
                  <w:vAlign w:val="bottom"/>
                </w:tcPr>
                <w:p w:rsidR="00322E46" w:rsidRPr="00EA315C" w:rsidRDefault="00322E46" w:rsidP="00EA315C">
                  <w:pPr>
                    <w:pStyle w:val="TableBodyText"/>
                    <w:jc w:val="left"/>
                    <w:rPr>
                      <w:b/>
                      <w:i/>
                    </w:rPr>
                  </w:pPr>
                  <w:r w:rsidRPr="00EA315C">
                    <w:rPr>
                      <w:b/>
                      <w:i/>
                    </w:rPr>
                    <w:t xml:space="preserve">    Sum of subdivisions </w:t>
                  </w:r>
                </w:p>
              </w:tc>
              <w:tc>
                <w:tcPr>
                  <w:tcW w:w="885" w:type="pct"/>
                  <w:tcBorders>
                    <w:bottom w:val="single" w:sz="4" w:space="0" w:color="auto"/>
                  </w:tcBorders>
                  <w:vAlign w:val="bottom"/>
                </w:tcPr>
                <w:p w:rsidR="00322E46" w:rsidRPr="00EA315C" w:rsidRDefault="00322E46" w:rsidP="00EA315C">
                  <w:pPr>
                    <w:pStyle w:val="TableBodyText"/>
                    <w:framePr w:w="2155" w:hSpace="227" w:vSpace="181" w:wrap="around" w:vAnchor="text" w:hAnchor="page" w:xAlign="outside" w:y="1"/>
                    <w:rPr>
                      <w:b/>
                      <w:i/>
                    </w:rPr>
                  </w:pPr>
                  <w:r w:rsidRPr="00EA315C">
                    <w:rPr>
                      <w:b/>
                      <w:i/>
                    </w:rPr>
                    <w:t>1.9</w:t>
                  </w:r>
                </w:p>
              </w:tc>
              <w:tc>
                <w:tcPr>
                  <w:tcW w:w="886" w:type="pct"/>
                  <w:tcBorders>
                    <w:bottom w:val="single" w:sz="4" w:space="0" w:color="auto"/>
                  </w:tcBorders>
                  <w:vAlign w:val="bottom"/>
                </w:tcPr>
                <w:p w:rsidR="00322E46" w:rsidRPr="00EA315C" w:rsidRDefault="00322E46" w:rsidP="00EA315C">
                  <w:pPr>
                    <w:pStyle w:val="TableBodyText"/>
                    <w:framePr w:w="2155" w:hSpace="227" w:vSpace="181" w:wrap="around" w:vAnchor="text" w:hAnchor="page" w:xAlign="outside" w:y="1"/>
                    <w:rPr>
                      <w:b/>
                      <w:i/>
                    </w:rPr>
                  </w:pPr>
                  <w:r w:rsidRPr="00EA315C">
                    <w:rPr>
                      <w:b/>
                      <w:i/>
                    </w:rPr>
                    <w:t>-1.7</w:t>
                  </w:r>
                </w:p>
              </w:tc>
              <w:tc>
                <w:tcPr>
                  <w:tcW w:w="886" w:type="pct"/>
                  <w:tcBorders>
                    <w:bottom w:val="single" w:sz="4" w:space="0" w:color="auto"/>
                  </w:tcBorders>
                  <w:vAlign w:val="bottom"/>
                </w:tcPr>
                <w:p w:rsidR="00322E46" w:rsidRPr="00EA315C" w:rsidRDefault="00322E46" w:rsidP="00EA315C">
                  <w:pPr>
                    <w:pStyle w:val="TableBodyText"/>
                    <w:framePr w:w="2155" w:hSpace="227" w:vSpace="181" w:wrap="around" w:vAnchor="text" w:hAnchor="page" w:xAlign="outside" w:y="1"/>
                    <w:rPr>
                      <w:b/>
                      <w:i/>
                    </w:rPr>
                  </w:pPr>
                  <w:r w:rsidRPr="00EA315C">
                    <w:rPr>
                      <w:b/>
                      <w:i/>
                    </w:rPr>
                    <w:t>-2.5</w:t>
                  </w:r>
                </w:p>
              </w:tc>
            </w:tr>
          </w:tbl>
          <w:p w:rsidR="000D1C9E" w:rsidRPr="001C6BCF" w:rsidRDefault="00322E46" w:rsidP="00C40801">
            <w:pPr>
              <w:pStyle w:val="Note"/>
              <w:rPr>
                <w:rFonts w:eastAsiaTheme="minorHAnsi"/>
              </w:rPr>
            </w:pPr>
            <w:r w:rsidRPr="001C6BCF">
              <w:rPr>
                <w:rStyle w:val="NoteLabel"/>
              </w:rPr>
              <w:t>a</w:t>
            </w:r>
            <w:r w:rsidRPr="001C6BCF">
              <w:t xml:space="preserve"> </w:t>
            </w:r>
            <w:r w:rsidRPr="00451B72">
              <w:t>National accounts data.</w:t>
            </w:r>
          </w:p>
        </w:tc>
      </w:tr>
      <w:tr w:rsidR="000D1C9E" w:rsidRPr="001C6BCF">
        <w:trPr>
          <w:cantSplit/>
        </w:trPr>
        <w:tc>
          <w:tcPr>
            <w:tcW w:w="8771" w:type="dxa"/>
            <w:tcBorders>
              <w:top w:val="nil"/>
              <w:left w:val="single" w:sz="6" w:space="0" w:color="auto"/>
              <w:bottom w:val="nil"/>
              <w:right w:val="single" w:sz="6" w:space="0" w:color="auto"/>
            </w:tcBorders>
          </w:tcPr>
          <w:p w:rsidR="000D1C9E" w:rsidRPr="001C6BCF" w:rsidRDefault="00305E72" w:rsidP="00903CCB">
            <w:pPr>
              <w:pStyle w:val="BoxSource"/>
              <w:spacing w:before="120"/>
            </w:pPr>
            <w:r w:rsidRPr="001C6BCF">
              <w:rPr>
                <w:i/>
              </w:rPr>
              <w:t>Sources</w:t>
            </w:r>
            <w:r w:rsidR="000D1C9E" w:rsidRPr="001C6BCF">
              <w:t xml:space="preserve">: </w:t>
            </w:r>
            <w:r w:rsidRPr="001C6BCF">
              <w:t>ABS (</w:t>
            </w:r>
            <w:r w:rsidRPr="001C6BCF">
              <w:rPr>
                <w:i/>
              </w:rPr>
              <w:t xml:space="preserve">Australian System of National Accounts, 2010-11, </w:t>
            </w:r>
            <w:r w:rsidR="00860B00" w:rsidRPr="001C6BCF">
              <w:t xml:space="preserve">Cat. no. 5204.0); </w:t>
            </w:r>
            <w:r w:rsidRPr="001C6BCF">
              <w:t>ABS (</w:t>
            </w:r>
            <w:r w:rsidRPr="001C6BCF">
              <w:rPr>
                <w:i/>
              </w:rPr>
              <w:t xml:space="preserve">Business Indicators, </w:t>
            </w:r>
            <w:r w:rsidR="005B61FC" w:rsidRPr="001C6BCF">
              <w:rPr>
                <w:i/>
              </w:rPr>
              <w:t>Australia, June</w:t>
            </w:r>
            <w:r w:rsidR="00CB4834" w:rsidRPr="001C6BCF">
              <w:rPr>
                <w:i/>
              </w:rPr>
              <w:t xml:space="preserve"> 2011, </w:t>
            </w:r>
            <w:r w:rsidRPr="001C6BCF">
              <w:t>Cat. no. 5676.0).</w:t>
            </w:r>
          </w:p>
        </w:tc>
      </w:tr>
      <w:tr w:rsidR="000D1C9E" w:rsidRPr="001C6BCF">
        <w:trPr>
          <w:cantSplit/>
        </w:trPr>
        <w:tc>
          <w:tcPr>
            <w:tcW w:w="8771" w:type="dxa"/>
            <w:tcBorders>
              <w:top w:val="nil"/>
              <w:left w:val="single" w:sz="6" w:space="0" w:color="auto"/>
              <w:bottom w:val="single" w:sz="6" w:space="0" w:color="auto"/>
              <w:right w:val="single" w:sz="6" w:space="0" w:color="auto"/>
            </w:tcBorders>
          </w:tcPr>
          <w:p w:rsidR="000D1C9E" w:rsidRPr="001C6BCF" w:rsidRDefault="000D1C9E">
            <w:pPr>
              <w:pStyle w:val="Box"/>
              <w:spacing w:before="0" w:line="120" w:lineRule="exact"/>
            </w:pPr>
          </w:p>
        </w:tc>
      </w:tr>
      <w:tr w:rsidR="000D1C9E" w:rsidRPr="001C6BCF">
        <w:tc>
          <w:tcPr>
            <w:tcW w:w="8771" w:type="dxa"/>
            <w:tcBorders>
              <w:top w:val="nil"/>
              <w:left w:val="nil"/>
              <w:bottom w:val="nil"/>
              <w:right w:val="nil"/>
            </w:tcBorders>
          </w:tcPr>
          <w:p w:rsidR="000D1C9E" w:rsidRPr="001C6BCF" w:rsidRDefault="000D1C9E" w:rsidP="00150258">
            <w:pPr>
              <w:pStyle w:val="BoxSpaceBelow"/>
            </w:pPr>
          </w:p>
        </w:tc>
      </w:tr>
    </w:tbl>
    <w:p w:rsidR="0037507E" w:rsidRPr="001C6BCF" w:rsidRDefault="0037507E" w:rsidP="0023322F">
      <w:pPr>
        <w:pStyle w:val="Heading4"/>
      </w:pPr>
      <w:r w:rsidRPr="001C6BCF">
        <w:lastRenderedPageBreak/>
        <w:t>Petroleum</w:t>
      </w:r>
      <w:r w:rsidR="00DD65C8" w:rsidRPr="001C6BCF">
        <w:t>-</w:t>
      </w:r>
      <w:r w:rsidR="00C85A0F" w:rsidRPr="001C6BCF">
        <w:t xml:space="preserve">specific </w:t>
      </w:r>
      <w:r w:rsidR="00DD65C8" w:rsidRPr="001C6BCF">
        <w:t>issues</w:t>
      </w:r>
    </w:p>
    <w:p w:rsidR="00D0025F" w:rsidRPr="001C6BCF" w:rsidRDefault="00F4289A" w:rsidP="00AE38BF">
      <w:pPr>
        <w:pStyle w:val="BodyText"/>
      </w:pPr>
      <w:r>
        <w:t xml:space="preserve">Two issues specific to petroleum refining are likely to have contributed to the </w:t>
      </w:r>
      <w:proofErr w:type="spellStart"/>
      <w:r>
        <w:t>PCCR</w:t>
      </w:r>
      <w:proofErr w:type="spellEnd"/>
      <w:r>
        <w:t xml:space="preserve"> VA decline over cycle 4</w:t>
      </w:r>
      <w:r w:rsidR="00752A10" w:rsidRPr="001C6BCF">
        <w:t>.</w:t>
      </w:r>
      <w:r w:rsidR="00EF0F73" w:rsidRPr="001C6BCF">
        <w:t xml:space="preserve"> The first is a trend to</w:t>
      </w:r>
      <w:r w:rsidR="00827459" w:rsidRPr="001C6BCF">
        <w:t>wards</w:t>
      </w:r>
      <w:r w:rsidR="00EF0F73" w:rsidRPr="001C6BCF">
        <w:t xml:space="preserve"> import</w:t>
      </w:r>
      <w:r w:rsidR="00827459" w:rsidRPr="001C6BCF">
        <w:t>ing</w:t>
      </w:r>
      <w:r w:rsidR="00EF0F73" w:rsidRPr="001C6BCF">
        <w:t xml:space="preserve"> a greater volume of refined fuel from overseas rather than</w:t>
      </w:r>
      <w:r w:rsidR="003A2030" w:rsidRPr="001C6BCF">
        <w:t xml:space="preserve"> </w:t>
      </w:r>
      <w:r w:rsidR="00827459" w:rsidRPr="001C6BCF">
        <w:t>refining</w:t>
      </w:r>
      <w:r w:rsidR="003A2030" w:rsidRPr="001C6BCF">
        <w:t xml:space="preserve"> </w:t>
      </w:r>
      <w:r w:rsidR="00EF0F73" w:rsidRPr="001C6BCF">
        <w:t xml:space="preserve">crude oil </w:t>
      </w:r>
      <w:r w:rsidR="00E20F2C" w:rsidRPr="001C6BCF">
        <w:t>domestically</w:t>
      </w:r>
      <w:r w:rsidR="00163BE6" w:rsidRPr="001C6BCF">
        <w:t xml:space="preserve"> — a trend that reduces the amount of</w:t>
      </w:r>
      <w:r w:rsidR="00C948F5" w:rsidRPr="001C6BCF">
        <w:t xml:space="preserve"> domestic</w:t>
      </w:r>
      <w:r w:rsidR="00163BE6" w:rsidRPr="001C6BCF">
        <w:t xml:space="preserve"> value</w:t>
      </w:r>
      <w:r w:rsidR="007236CD" w:rsidRPr="001C6BCF">
        <w:t xml:space="preserve"> </w:t>
      </w:r>
      <w:r w:rsidR="00163BE6" w:rsidRPr="001C6BCF">
        <w:t>adding. The second</w:t>
      </w:r>
      <w:r w:rsidR="00EF0F73" w:rsidRPr="001C6BCF">
        <w:t xml:space="preserve"> </w:t>
      </w:r>
      <w:r w:rsidR="00163BE6" w:rsidRPr="001C6BCF">
        <w:t xml:space="preserve">is </w:t>
      </w:r>
      <w:r w:rsidR="00992AF5" w:rsidRPr="001C6BCF">
        <w:t>related to higher standards for clean fuels — VA is likely to be understated as the improvements in fuel quality</w:t>
      </w:r>
      <w:r w:rsidR="00A125C1">
        <w:t xml:space="preserve"> </w:t>
      </w:r>
      <w:r w:rsidR="00992AF5" w:rsidRPr="001C6BCF">
        <w:t xml:space="preserve">are not </w:t>
      </w:r>
      <w:r w:rsidR="00D75C16">
        <w:t xml:space="preserve">fully </w:t>
      </w:r>
      <w:r w:rsidR="00992AF5" w:rsidRPr="001C6BCF">
        <w:t>measure</w:t>
      </w:r>
      <w:r w:rsidR="00571DC1" w:rsidRPr="001C6BCF">
        <w:t>d</w:t>
      </w:r>
      <w:r w:rsidR="00992AF5" w:rsidRPr="001C6BCF">
        <w:t xml:space="preserve">. </w:t>
      </w:r>
    </w:p>
    <w:p w:rsidR="00DF1F72" w:rsidRPr="001C6BCF" w:rsidRDefault="00DF1F72" w:rsidP="0023322F">
      <w:pPr>
        <w:pStyle w:val="Heading5"/>
      </w:pPr>
      <w:r w:rsidRPr="001C6BCF">
        <w:t>Greater imports of refined fuel</w:t>
      </w:r>
    </w:p>
    <w:p w:rsidR="003372A9" w:rsidRPr="001C6BCF" w:rsidRDefault="003372A9" w:rsidP="00F87744">
      <w:pPr>
        <w:pStyle w:val="BodyText"/>
      </w:pPr>
      <w:r w:rsidRPr="001C6BCF">
        <w:t xml:space="preserve">Domestic demand for fuel </w:t>
      </w:r>
      <w:r w:rsidR="00DF3466" w:rsidRPr="001C6BCF">
        <w:t>increased</w:t>
      </w:r>
      <w:r w:rsidRPr="001C6BCF">
        <w:t xml:space="preserve"> over cycle 4, </w:t>
      </w:r>
      <w:r w:rsidR="009405E0" w:rsidRPr="001C6BCF">
        <w:t xml:space="preserve">but this demand </w:t>
      </w:r>
      <w:r w:rsidR="00B7304E" w:rsidRPr="001C6BCF">
        <w:t>w</w:t>
      </w:r>
      <w:r w:rsidR="009405E0" w:rsidRPr="001C6BCF">
        <w:t>as increasingly met</w:t>
      </w:r>
      <w:r w:rsidRPr="001C6BCF">
        <w:t xml:space="preserve"> from imported fuel. The</w:t>
      </w:r>
      <w:r w:rsidR="00DF3466" w:rsidRPr="001C6BCF">
        <w:t>re were a number of supply- and demand-related reasons for this</w:t>
      </w:r>
      <w:r w:rsidR="009924DB" w:rsidRPr="001C6BCF">
        <w:t>.</w:t>
      </w:r>
    </w:p>
    <w:p w:rsidR="007F4916" w:rsidRPr="001C6BCF" w:rsidRDefault="00F74C1A" w:rsidP="00C40801">
      <w:pPr>
        <w:pStyle w:val="ListBullet"/>
      </w:pPr>
      <w:r w:rsidRPr="001C6BCF">
        <w:t>T</w:t>
      </w:r>
      <w:r w:rsidR="00374B98" w:rsidRPr="001C6BCF">
        <w:t>he suppl</w:t>
      </w:r>
      <w:r w:rsidR="00357C60" w:rsidRPr="001C6BCF">
        <w:t>y of crude from domestic oilfields was declining</w:t>
      </w:r>
      <w:r w:rsidR="00262B51" w:rsidRPr="001C6BCF">
        <w:t xml:space="preserve"> (</w:t>
      </w:r>
      <w:proofErr w:type="spellStart"/>
      <w:r w:rsidR="00262B51" w:rsidRPr="001C6BCF">
        <w:t>ABARE</w:t>
      </w:r>
      <w:proofErr w:type="spellEnd"/>
      <w:r w:rsidR="00262B51" w:rsidRPr="001C6BCF">
        <w:t xml:space="preserve"> 2008)</w:t>
      </w:r>
      <w:r w:rsidR="00357C60" w:rsidRPr="001C6BCF">
        <w:t xml:space="preserve">, </w:t>
      </w:r>
      <w:r w:rsidR="00D9580A" w:rsidRPr="001C6BCF">
        <w:t>requiring greater imports of</w:t>
      </w:r>
      <w:r w:rsidR="0029178F" w:rsidRPr="001C6BCF">
        <w:t xml:space="preserve"> crude </w:t>
      </w:r>
      <w:r w:rsidR="009E4766">
        <w:t xml:space="preserve">oil </w:t>
      </w:r>
      <w:r w:rsidR="0029178F" w:rsidRPr="001C6BCF">
        <w:t xml:space="preserve">and </w:t>
      </w:r>
      <w:r w:rsidR="00346788" w:rsidRPr="001C6BCF">
        <w:t>refined</w:t>
      </w:r>
      <w:r w:rsidR="009E4766">
        <w:t xml:space="preserve"> fuel</w:t>
      </w:r>
      <w:r w:rsidR="009924DB" w:rsidRPr="001C6BCF">
        <w:t>.</w:t>
      </w:r>
    </w:p>
    <w:p w:rsidR="009924DB" w:rsidRPr="001C6BCF" w:rsidRDefault="009924DB" w:rsidP="009924DB">
      <w:pPr>
        <w:pStyle w:val="ListBullet"/>
      </w:pPr>
      <w:r w:rsidRPr="001C6BCF">
        <w:t>There was an increase in</w:t>
      </w:r>
      <w:r w:rsidR="00D12CCB">
        <w:t xml:space="preserve"> the</w:t>
      </w:r>
      <w:r w:rsidRPr="001C6BCF">
        <w:t xml:space="preserve"> supply of refined fuel available from Asian refineries (</w:t>
      </w:r>
      <w:proofErr w:type="spellStart"/>
      <w:r w:rsidRPr="001C6BCF">
        <w:t>AIP</w:t>
      </w:r>
      <w:proofErr w:type="spellEnd"/>
      <w:r w:rsidRPr="001C6BCF">
        <w:t xml:space="preserve"> 2011)</w:t>
      </w:r>
      <w:r w:rsidR="0069168C" w:rsidRPr="001C6BCF">
        <w:t>.</w:t>
      </w:r>
    </w:p>
    <w:p w:rsidR="006A4835" w:rsidRPr="001C6BCF" w:rsidRDefault="00F74C1A">
      <w:pPr>
        <w:pStyle w:val="ListBullet"/>
      </w:pPr>
      <w:r w:rsidRPr="001C6BCF">
        <w:t>D</w:t>
      </w:r>
      <w:r w:rsidR="00186C90" w:rsidRPr="001C6BCF">
        <w:t>omestic refiner</w:t>
      </w:r>
      <w:r w:rsidRPr="001C6BCF">
        <w:t xml:space="preserve">ies were built to process the domestic feedstock, which is typically of higher quality </w:t>
      </w:r>
      <w:r w:rsidR="008F71D0" w:rsidRPr="001C6BCF">
        <w:t xml:space="preserve">than imported crude </w:t>
      </w:r>
      <w:r w:rsidR="00BB698B">
        <w:t xml:space="preserve">oil </w:t>
      </w:r>
      <w:r w:rsidR="008F71D0" w:rsidRPr="001C6BCF">
        <w:t>(</w:t>
      </w:r>
      <w:proofErr w:type="spellStart"/>
      <w:r w:rsidR="008F71D0" w:rsidRPr="001C6BCF">
        <w:t>ACIL</w:t>
      </w:r>
      <w:proofErr w:type="spellEnd"/>
      <w:r w:rsidR="008F71D0" w:rsidRPr="001C6BCF">
        <w:t xml:space="preserve"> Tasman </w:t>
      </w:r>
      <w:r w:rsidR="00370DB3" w:rsidRPr="001C6BCF">
        <w:t>2008)</w:t>
      </w:r>
      <w:r w:rsidR="002A7943" w:rsidRPr="001C6BCF">
        <w:t>.</w:t>
      </w:r>
    </w:p>
    <w:p w:rsidR="006A4835" w:rsidRPr="001C6BCF" w:rsidRDefault="00D13466" w:rsidP="00C40801">
      <w:pPr>
        <w:pStyle w:val="ListBullet2"/>
      </w:pPr>
      <w:r w:rsidRPr="001C6BCF">
        <w:t xml:space="preserve">Some </w:t>
      </w:r>
      <w:r w:rsidR="00C75B71" w:rsidRPr="001C6BCF">
        <w:t>imported refined fuels were produced overseas using crude</w:t>
      </w:r>
      <w:r w:rsidR="00D10079">
        <w:t xml:space="preserve"> oil</w:t>
      </w:r>
      <w:r w:rsidR="00C75B71" w:rsidRPr="001C6BCF">
        <w:t xml:space="preserve"> that Australian refineries would be unable to process (</w:t>
      </w:r>
      <w:proofErr w:type="spellStart"/>
      <w:r w:rsidR="003464D0" w:rsidRPr="001C6BCF">
        <w:t>HoRSCE</w:t>
      </w:r>
      <w:proofErr w:type="spellEnd"/>
      <w:r w:rsidR="003464D0" w:rsidRPr="001C6BCF">
        <w:t xml:space="preserve"> </w:t>
      </w:r>
      <w:r w:rsidR="00C75B71" w:rsidRPr="001C6BCF">
        <w:t>2013</w:t>
      </w:r>
      <w:r w:rsidR="003C607B">
        <w:t>,</w:t>
      </w:r>
      <w:r w:rsidR="007E2B08" w:rsidRPr="001C6BCF">
        <w:t xml:space="preserve"> p</w:t>
      </w:r>
      <w:r w:rsidR="00C10002" w:rsidRPr="001C6BCF">
        <w:t xml:space="preserve">. </w:t>
      </w:r>
      <w:r w:rsidR="007E2B08" w:rsidRPr="001C6BCF">
        <w:t>20</w:t>
      </w:r>
      <w:r w:rsidR="00C75B71" w:rsidRPr="001C6BCF">
        <w:t>)</w:t>
      </w:r>
      <w:r w:rsidRPr="001C6BCF">
        <w:t>.</w:t>
      </w:r>
      <w:r w:rsidR="000A5A3E" w:rsidRPr="001C6BCF">
        <w:t xml:space="preserve"> </w:t>
      </w:r>
    </w:p>
    <w:p w:rsidR="00B7304E" w:rsidRPr="001C6BCF" w:rsidRDefault="00D271B2" w:rsidP="00520BC8">
      <w:pPr>
        <w:pStyle w:val="ListBullet2"/>
      </w:pPr>
      <w:r w:rsidRPr="001C6BCF">
        <w:t>Nonetheless, s</w:t>
      </w:r>
      <w:r w:rsidR="000A5A3E" w:rsidRPr="001C6BCF">
        <w:t xml:space="preserve">ome refineries made capital expenditure </w:t>
      </w:r>
      <w:r w:rsidR="006A4835" w:rsidRPr="001C6BCF">
        <w:t xml:space="preserve">in order </w:t>
      </w:r>
      <w:r w:rsidR="000A5A3E" w:rsidRPr="001C6BCF">
        <w:t>to process imported crudes (</w:t>
      </w:r>
      <w:proofErr w:type="spellStart"/>
      <w:r w:rsidR="000A5A3E" w:rsidRPr="001C6BCF">
        <w:t>AIP</w:t>
      </w:r>
      <w:proofErr w:type="spellEnd"/>
      <w:r w:rsidR="000A5A3E" w:rsidRPr="001C6BCF">
        <w:t xml:space="preserve"> 2011)</w:t>
      </w:r>
      <w:r w:rsidR="002F15AC" w:rsidRPr="001C6BCF">
        <w:t>.</w:t>
      </w:r>
    </w:p>
    <w:p w:rsidR="00D9747C" w:rsidRPr="001C6BCF" w:rsidRDefault="004D6D6C" w:rsidP="00C40801">
      <w:pPr>
        <w:pStyle w:val="ListBullet"/>
      </w:pPr>
      <w:r w:rsidRPr="001C6BCF">
        <w:t>A change in the mix of demand, with greater</w:t>
      </w:r>
      <w:r w:rsidR="00540F80" w:rsidRPr="001C6BCF">
        <w:t xml:space="preserve"> growth in</w:t>
      </w:r>
      <w:r w:rsidR="005231A7" w:rsidRPr="001C6BCF">
        <w:t xml:space="preserve"> demand for diesel fuel </w:t>
      </w:r>
      <w:r w:rsidRPr="001C6BCF">
        <w:t>over gasoline</w:t>
      </w:r>
      <w:r w:rsidR="00C438C3" w:rsidRPr="001C6BCF">
        <w:t xml:space="preserve">; </w:t>
      </w:r>
      <w:r w:rsidR="00F2021F">
        <w:t xml:space="preserve">given that </w:t>
      </w:r>
      <w:r w:rsidR="00C438C3" w:rsidRPr="001C6BCF">
        <w:t xml:space="preserve">Australian refineries </w:t>
      </w:r>
      <w:r w:rsidR="003E1F26" w:rsidRPr="001C6BCF">
        <w:t xml:space="preserve">focus on producing </w:t>
      </w:r>
      <w:r w:rsidR="00AE1804">
        <w:t>gasoline</w:t>
      </w:r>
      <w:r w:rsidR="00C438C3" w:rsidRPr="001C6BCF">
        <w:t xml:space="preserve"> (</w:t>
      </w:r>
      <w:proofErr w:type="spellStart"/>
      <w:r w:rsidR="00C416D0" w:rsidRPr="001C6BCF">
        <w:t>HoRSCE</w:t>
      </w:r>
      <w:proofErr w:type="spellEnd"/>
      <w:r w:rsidR="00C438C3" w:rsidRPr="001C6BCF">
        <w:t xml:space="preserve"> 2013</w:t>
      </w:r>
      <w:r w:rsidR="00F35831" w:rsidRPr="001C6BCF">
        <w:t>,</w:t>
      </w:r>
      <w:r w:rsidR="007E2B08" w:rsidRPr="001C6BCF">
        <w:t xml:space="preserve"> p</w:t>
      </w:r>
      <w:r w:rsidR="00C416D0" w:rsidRPr="001C6BCF">
        <w:t xml:space="preserve">. </w:t>
      </w:r>
      <w:r w:rsidR="007E2B08" w:rsidRPr="001C6BCF">
        <w:t>15</w:t>
      </w:r>
      <w:r w:rsidR="00C438C3" w:rsidRPr="001C6BCF">
        <w:t>)</w:t>
      </w:r>
      <w:r w:rsidR="00493D82" w:rsidRPr="001C6BCF">
        <w:t>.</w:t>
      </w:r>
    </w:p>
    <w:p w:rsidR="00C75B71" w:rsidRPr="001C6BCF" w:rsidRDefault="00D9747C" w:rsidP="00C40801">
      <w:pPr>
        <w:pStyle w:val="ListBullet"/>
      </w:pPr>
      <w:r w:rsidRPr="001C6BCF">
        <w:t>There was no incentive for domestic refiners to expand capacity, as doing so would not enable them to achieve economies of scale (</w:t>
      </w:r>
      <w:proofErr w:type="spellStart"/>
      <w:r w:rsidR="00D33678" w:rsidRPr="001C6BCF">
        <w:t>HoRSCE</w:t>
      </w:r>
      <w:proofErr w:type="spellEnd"/>
      <w:r w:rsidRPr="001C6BCF">
        <w:t xml:space="preserve"> 2013</w:t>
      </w:r>
      <w:r w:rsidR="00F35831" w:rsidRPr="001C6BCF">
        <w:t>,</w:t>
      </w:r>
      <w:r w:rsidR="007E2B08" w:rsidRPr="001C6BCF">
        <w:t xml:space="preserve"> p</w:t>
      </w:r>
      <w:r w:rsidR="00F35831" w:rsidRPr="001C6BCF">
        <w:t xml:space="preserve">. </w:t>
      </w:r>
      <w:r w:rsidR="007E2B08" w:rsidRPr="001C6BCF">
        <w:t>18</w:t>
      </w:r>
      <w:r w:rsidRPr="001C6BCF">
        <w:t>)</w:t>
      </w:r>
      <w:r w:rsidR="00C266FB">
        <w:t>,</w:t>
      </w:r>
      <w:r w:rsidR="00E9162E">
        <w:t xml:space="preserve"> like those of larger refineries in the region</w:t>
      </w:r>
      <w:r w:rsidR="00493D82" w:rsidRPr="001C6BCF">
        <w:t>.</w:t>
      </w:r>
      <w:r w:rsidR="00125DCE">
        <w:t xml:space="preserve"> </w:t>
      </w:r>
    </w:p>
    <w:p w:rsidR="002F0E03" w:rsidRPr="001C6BCF" w:rsidRDefault="00284CE1">
      <w:pPr>
        <w:pStyle w:val="BodyText"/>
      </w:pPr>
      <w:r w:rsidRPr="001C6BCF">
        <w:t>T</w:t>
      </w:r>
      <w:r w:rsidR="0021084B" w:rsidRPr="001C6BCF">
        <w:t xml:space="preserve">he greatest </w:t>
      </w:r>
      <w:r w:rsidR="00783664">
        <w:t>VA</w:t>
      </w:r>
      <w:r w:rsidR="0021084B" w:rsidRPr="001C6BCF">
        <w:t xml:space="preserve"> per unit of refined output comes from refining domestically-sourced crude, which Australian refineries were designed to process. </w:t>
      </w:r>
      <w:r w:rsidR="00D43D8E" w:rsidRPr="001C6BCF">
        <w:t>Fuel refined</w:t>
      </w:r>
      <w:r w:rsidR="0021084B" w:rsidRPr="001C6BCF">
        <w:t xml:space="preserve"> from imported </w:t>
      </w:r>
      <w:r w:rsidR="00D43D8E" w:rsidRPr="001C6BCF">
        <w:t xml:space="preserve">crude </w:t>
      </w:r>
      <w:r w:rsidR="00D041D2" w:rsidRPr="001C6BCF">
        <w:t>involves</w:t>
      </w:r>
      <w:r w:rsidR="00D43D8E" w:rsidRPr="001C6BCF">
        <w:t xml:space="preserve"> </w:t>
      </w:r>
      <w:r w:rsidR="0021084B" w:rsidRPr="001C6BCF">
        <w:t xml:space="preserve">less value adding, as more inputs are required to process the different feedstock type. </w:t>
      </w:r>
      <w:r w:rsidR="00A727CF" w:rsidRPr="001C6BCF">
        <w:t>Blending</w:t>
      </w:r>
      <w:r w:rsidR="00FD4880" w:rsidRPr="001C6BCF">
        <w:t xml:space="preserve"> of imported </w:t>
      </w:r>
      <w:r w:rsidR="00105850" w:rsidRPr="001C6BCF">
        <w:t xml:space="preserve">refined </w:t>
      </w:r>
      <w:r w:rsidR="0021084B" w:rsidRPr="001C6BCF">
        <w:t xml:space="preserve">fuel </w:t>
      </w:r>
      <w:r w:rsidR="001F039D" w:rsidRPr="001C6BCF">
        <w:t>requires</w:t>
      </w:r>
      <w:r w:rsidR="0021084B" w:rsidRPr="001C6BCF">
        <w:t xml:space="preserve"> the least amount of value</w:t>
      </w:r>
      <w:r w:rsidR="007236CD" w:rsidRPr="001C6BCF">
        <w:t xml:space="preserve"> </w:t>
      </w:r>
      <w:r w:rsidR="0021084B" w:rsidRPr="001C6BCF">
        <w:t>adding</w:t>
      </w:r>
      <w:r w:rsidR="002C49FF" w:rsidRPr="001C6BCF">
        <w:t xml:space="preserve"> </w:t>
      </w:r>
      <w:r w:rsidR="001F039D" w:rsidRPr="001C6BCF">
        <w:t>by domestic refiners</w:t>
      </w:r>
      <w:r w:rsidR="0021084B" w:rsidRPr="001C6BCF">
        <w:t xml:space="preserve">, as </w:t>
      </w:r>
      <w:r w:rsidR="00A727CF" w:rsidRPr="001C6BCF">
        <w:t>the fuel</w:t>
      </w:r>
      <w:r w:rsidR="00B27176" w:rsidRPr="001C6BCF">
        <w:t xml:space="preserve"> is</w:t>
      </w:r>
      <w:r w:rsidR="0021084B" w:rsidRPr="001C6BCF">
        <w:t xml:space="preserve"> already refined and may only require small amounts of blending to meet Australian fuel requirements. A greater share of imports, therefore, </w:t>
      </w:r>
      <w:r w:rsidR="002C49FF" w:rsidRPr="001C6BCF">
        <w:t>results in</w:t>
      </w:r>
      <w:r w:rsidR="0021084B" w:rsidRPr="001C6BCF">
        <w:t xml:space="preserve"> a greater share of lower</w:t>
      </w:r>
      <w:r w:rsidR="0094384F" w:rsidRPr="001C6BCF">
        <w:t xml:space="preserve"> </w:t>
      </w:r>
      <w:r w:rsidR="0021084B" w:rsidRPr="001C6BCF">
        <w:t xml:space="preserve">value adding activity. </w:t>
      </w:r>
    </w:p>
    <w:p w:rsidR="00012C0D" w:rsidRPr="001C6BCF" w:rsidRDefault="00012C0D" w:rsidP="00012C0D">
      <w:pPr>
        <w:pStyle w:val="BodyText"/>
      </w:pPr>
      <w:r w:rsidRPr="001C6BCF">
        <w:lastRenderedPageBreak/>
        <w:t xml:space="preserve">Figure </w:t>
      </w:r>
      <w:r w:rsidR="006A7469">
        <w:t>4.6</w:t>
      </w:r>
      <w:r w:rsidRPr="001C6BCF">
        <w:t xml:space="preserve"> shows the physical volume of output for domestic refining,</w:t>
      </w:r>
      <w:r w:rsidR="00E30824" w:rsidRPr="001C6BCF">
        <w:t xml:space="preserve"> as well as imports and domestic consumption of </w:t>
      </w:r>
      <w:r w:rsidRPr="001C6BCF">
        <w:t xml:space="preserve">refined fuels. A proportion of </w:t>
      </w:r>
      <w:r w:rsidR="00B4021B" w:rsidRPr="001C6BCF">
        <w:t xml:space="preserve">these </w:t>
      </w:r>
      <w:r w:rsidRPr="001C6BCF">
        <w:t xml:space="preserve">imports </w:t>
      </w:r>
      <w:r w:rsidR="00D13466" w:rsidRPr="001C6BCF">
        <w:t xml:space="preserve">is </w:t>
      </w:r>
      <w:r w:rsidRPr="001C6BCF">
        <w:t xml:space="preserve">also counted as part of domestic refining as </w:t>
      </w:r>
      <w:r w:rsidR="00D13466" w:rsidRPr="001C6BCF">
        <w:t>a result of the domestic</w:t>
      </w:r>
      <w:r w:rsidRPr="001C6BCF">
        <w:t xml:space="preserve"> blending process. The data show the </w:t>
      </w:r>
      <w:r w:rsidR="002C49FF" w:rsidRPr="001C6BCF">
        <w:t>rise in</w:t>
      </w:r>
      <w:r w:rsidRPr="001C6BCF">
        <w:t xml:space="preserve"> imports and domestic consumption, with domestic refining falling slightly over cycle 4</w:t>
      </w:r>
      <w:r w:rsidR="00BC5778" w:rsidRPr="001C6BCF">
        <w:t xml:space="preserve"> (even including the blended imports).</w:t>
      </w:r>
    </w:p>
    <w:p w:rsidR="00E647B1" w:rsidRPr="001C6BCF" w:rsidRDefault="00E647B1" w:rsidP="00E647B1">
      <w:pPr>
        <w:pStyle w:val="FigureTitle"/>
        <w:rPr>
          <w:sz w:val="24"/>
        </w:rPr>
      </w:pPr>
      <w:r w:rsidRPr="001C6BCF">
        <w:rPr>
          <w:b w:val="0"/>
          <w:sz w:val="24"/>
        </w:rPr>
        <w:t xml:space="preserve">Figure </w:t>
      </w:r>
      <w:bookmarkStart w:id="13" w:name="OLE_LINK19"/>
      <w:r w:rsidR="006A7469">
        <w:rPr>
          <w:b w:val="0"/>
          <w:sz w:val="24"/>
        </w:rPr>
        <w:t>4.</w:t>
      </w:r>
      <w:r w:rsidR="007203B8">
        <w:rPr>
          <w:b w:val="0"/>
          <w:noProof/>
          <w:sz w:val="24"/>
        </w:rPr>
        <w:t>6</w:t>
      </w:r>
      <w:bookmarkEnd w:id="13"/>
      <w:r w:rsidRPr="001C6BCF">
        <w:rPr>
          <w:sz w:val="24"/>
        </w:rPr>
        <w:tab/>
        <w:t xml:space="preserve">Production, consumption and imports </w:t>
      </w:r>
      <w:r w:rsidR="002C49FF" w:rsidRPr="001C6BCF">
        <w:rPr>
          <w:sz w:val="24"/>
        </w:rPr>
        <w:t>of</w:t>
      </w:r>
      <w:r w:rsidRPr="001C6BCF">
        <w:rPr>
          <w:sz w:val="24"/>
        </w:rPr>
        <w:t xml:space="preserve"> refined fuels</w:t>
      </w:r>
      <w:r w:rsidR="00436117" w:rsidRPr="00436117">
        <w:rPr>
          <w:rStyle w:val="NoteLabel"/>
          <w:b/>
        </w:rPr>
        <w:t>a</w:t>
      </w:r>
    </w:p>
    <w:p w:rsidR="00E647B1" w:rsidRPr="001C6BCF" w:rsidRDefault="007C710F" w:rsidP="00E647B1">
      <w:pPr>
        <w:pStyle w:val="Subtitle"/>
      </w:pPr>
      <w:proofErr w:type="spellStart"/>
      <w:r w:rsidRPr="001C6BCF">
        <w:t>Mega</w:t>
      </w:r>
      <w:r w:rsidR="00E647B1" w:rsidRPr="001C6BCF">
        <w:t>litres</w:t>
      </w:r>
      <w:proofErr w:type="spellEnd"/>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E647B1" w:rsidRPr="001C6BCF" w:rsidTr="00C60018">
        <w:tc>
          <w:tcPr>
            <w:tcW w:w="8777" w:type="dxa"/>
          </w:tcPr>
          <w:p w:rsidR="00E647B1" w:rsidRPr="001C6BCF" w:rsidRDefault="00D0322F" w:rsidP="00AA1153">
            <w:pPr>
              <w:pStyle w:val="Figure"/>
            </w:pPr>
            <w:r>
              <w:pict>
                <v:shape id="_x0000_i1032" type="#_x0000_t75" alt="This figure shows the volume of domestic production, domestic consumption and imports of refined fuels over the period of 1985-86 to 2010-11. It shows that domestic production and domestic consumption rise slowly and track together until about 2003-04, where consumption continues to grow and production flattens. Imports are flat and very low until 2003-04, where they start to rise." style="width:424.45pt;height:199.25pt">
                  <v:imagedata r:id="rId16" o:title=""/>
                </v:shape>
              </w:pict>
            </w:r>
          </w:p>
        </w:tc>
      </w:tr>
    </w:tbl>
    <w:p w:rsidR="009A66ED" w:rsidRPr="00C266FB" w:rsidRDefault="00436117" w:rsidP="00C266FB">
      <w:pPr>
        <w:pStyle w:val="Note"/>
      </w:pPr>
      <w:r>
        <w:rPr>
          <w:rStyle w:val="NoteLabel"/>
        </w:rPr>
        <w:t>a</w:t>
      </w:r>
      <w:r w:rsidRPr="00C266FB">
        <w:rPr>
          <w:rStyle w:val="NoteLabel"/>
        </w:rPr>
        <w:t xml:space="preserve"> </w:t>
      </w:r>
      <w:r w:rsidR="008A74A8">
        <w:t>Some domestically produced refined fuel is exported, so the sum of domestic production and imports is greater than domestic consumption. Also, blending of some imported refined fuel is counted as domestic refined production.</w:t>
      </w:r>
    </w:p>
    <w:p w:rsidR="00E647B1" w:rsidRPr="001C6BCF" w:rsidRDefault="00E647B1" w:rsidP="00B676BD">
      <w:pPr>
        <w:pStyle w:val="Source"/>
      </w:pPr>
      <w:r w:rsidRPr="001C6BCF">
        <w:rPr>
          <w:i/>
        </w:rPr>
        <w:t>Data source</w:t>
      </w:r>
      <w:r w:rsidRPr="001C6BCF">
        <w:t xml:space="preserve">: </w:t>
      </w:r>
      <w:proofErr w:type="spellStart"/>
      <w:r w:rsidRPr="001C6BCF">
        <w:t>BREE</w:t>
      </w:r>
      <w:proofErr w:type="spellEnd"/>
      <w:r w:rsidRPr="001C6BCF">
        <w:t xml:space="preserve"> (</w:t>
      </w:r>
      <w:proofErr w:type="spellStart"/>
      <w:r w:rsidRPr="001C6BCF">
        <w:t>2012</w:t>
      </w:r>
      <w:r w:rsidR="006A3DCC">
        <w:t>a</w:t>
      </w:r>
      <w:proofErr w:type="spellEnd"/>
      <w:r w:rsidRPr="001C6BCF">
        <w:t>)</w:t>
      </w:r>
      <w:r w:rsidR="00E86F19" w:rsidRPr="001C6BCF">
        <w:t>.</w:t>
      </w:r>
    </w:p>
    <w:p w:rsidR="0049309A" w:rsidRPr="001C6BCF" w:rsidRDefault="00121E82" w:rsidP="00AA1153">
      <w:pPr>
        <w:pStyle w:val="BodyText"/>
        <w:spacing w:before="480"/>
      </w:pPr>
      <w:r w:rsidRPr="001C6BCF">
        <w:t xml:space="preserve">The sudden rise in imports at the beginning of cycle 4 has much to do </w:t>
      </w:r>
      <w:r w:rsidR="008E775A" w:rsidRPr="001C6BCF">
        <w:t>with the changing mix of demand,</w:t>
      </w:r>
      <w:r w:rsidRPr="001C6BCF">
        <w:t xml:space="preserve"> particularly a greater demand for diesel</w:t>
      </w:r>
      <w:r w:rsidR="00FA5713" w:rsidRPr="001C6BCF">
        <w:t xml:space="preserve"> fuel</w:t>
      </w:r>
      <w:r w:rsidR="008F0FBA">
        <w:t>, and, to a lesser extent, aviation fuel</w:t>
      </w:r>
      <w:r w:rsidRPr="001C6BCF">
        <w:t>.</w:t>
      </w:r>
      <w:r w:rsidR="009E6C93" w:rsidRPr="001C6BCF">
        <w:t xml:space="preserve"> </w:t>
      </w:r>
      <w:r w:rsidRPr="001C6BCF">
        <w:t xml:space="preserve">This growth in demand </w:t>
      </w:r>
      <w:r w:rsidR="00B27176" w:rsidRPr="001C6BCF">
        <w:t xml:space="preserve">for diesel </w:t>
      </w:r>
      <w:r w:rsidRPr="001C6BCF">
        <w:t>occurred</w:t>
      </w:r>
      <w:r w:rsidR="009E6C93" w:rsidRPr="001C6BCF">
        <w:t xml:space="preserve"> </w:t>
      </w:r>
      <w:r w:rsidR="00F332FD" w:rsidRPr="001C6BCF">
        <w:t>due to strong economic growth</w:t>
      </w:r>
      <w:r w:rsidR="005830D7">
        <w:t>, an increase in the sales of vehicles fitted with diesel engines</w:t>
      </w:r>
      <w:r w:rsidR="000A6E88">
        <w:t xml:space="preserve"> (ABS </w:t>
      </w:r>
      <w:proofErr w:type="spellStart"/>
      <w:r w:rsidR="000A6E88">
        <w:t>2008</w:t>
      </w:r>
      <w:r w:rsidR="00E0600B">
        <w:t>b</w:t>
      </w:r>
      <w:proofErr w:type="spellEnd"/>
      <w:r w:rsidR="000A6E88">
        <w:t>)</w:t>
      </w:r>
      <w:r w:rsidR="005830D7">
        <w:t>, and</w:t>
      </w:r>
      <w:r w:rsidR="00827E4A">
        <w:t xml:space="preserve"> the</w:t>
      </w:r>
      <w:r w:rsidR="005830D7">
        <w:t xml:space="preserve"> intensive use </w:t>
      </w:r>
      <w:r w:rsidR="00044B4B">
        <w:t xml:space="preserve">of diesel </w:t>
      </w:r>
      <w:r w:rsidR="005830D7">
        <w:t>by the mining industry</w:t>
      </w:r>
      <w:r w:rsidR="00F332FD" w:rsidRPr="001C6BCF">
        <w:t xml:space="preserve"> (</w:t>
      </w:r>
      <w:proofErr w:type="spellStart"/>
      <w:r w:rsidR="00F332FD" w:rsidRPr="001C6BCF">
        <w:t>AIP</w:t>
      </w:r>
      <w:proofErr w:type="spellEnd"/>
      <w:r w:rsidR="00F332FD" w:rsidRPr="001C6BCF">
        <w:t xml:space="preserve"> 2013). Figure </w:t>
      </w:r>
      <w:r w:rsidR="006A7469">
        <w:t xml:space="preserve">4.7 </w:t>
      </w:r>
      <w:r w:rsidR="000B357B" w:rsidRPr="001C6BCF">
        <w:t>illustrates the growth in diesel consumption relative to gasoline</w:t>
      </w:r>
      <w:r w:rsidR="00F332FD" w:rsidRPr="001C6BCF">
        <w:t>.</w:t>
      </w:r>
    </w:p>
    <w:p w:rsidR="001F07C9" w:rsidRPr="001C6BCF" w:rsidRDefault="001F07C9">
      <w:pPr>
        <w:pStyle w:val="FigureTitle"/>
        <w:rPr>
          <w:sz w:val="24"/>
        </w:rPr>
      </w:pPr>
      <w:r w:rsidRPr="001C6BCF">
        <w:rPr>
          <w:b w:val="0"/>
          <w:sz w:val="24"/>
        </w:rPr>
        <w:lastRenderedPageBreak/>
        <w:t xml:space="preserve">Figure </w:t>
      </w:r>
      <w:bookmarkStart w:id="14" w:name="OLE_LINK4"/>
      <w:r w:rsidR="006A7469">
        <w:rPr>
          <w:b w:val="0"/>
          <w:sz w:val="24"/>
        </w:rPr>
        <w:t>4.</w:t>
      </w:r>
      <w:r w:rsidR="007203B8">
        <w:rPr>
          <w:b w:val="0"/>
          <w:noProof/>
          <w:sz w:val="24"/>
        </w:rPr>
        <w:t>7</w:t>
      </w:r>
      <w:bookmarkEnd w:id="14"/>
      <w:r w:rsidRPr="001C6BCF">
        <w:rPr>
          <w:sz w:val="24"/>
        </w:rPr>
        <w:tab/>
        <w:t>Australian production and consumption of diesel and gasoline</w:t>
      </w:r>
    </w:p>
    <w:p w:rsidR="001F07C9" w:rsidRPr="001C6BCF" w:rsidRDefault="001F07C9">
      <w:pPr>
        <w:pStyle w:val="Subtitle"/>
      </w:pPr>
      <w:proofErr w:type="spellStart"/>
      <w:r w:rsidRPr="001C6BCF">
        <w:t>Megalitres</w:t>
      </w:r>
      <w:proofErr w:type="spellEnd"/>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1F07C9" w:rsidRPr="001C6BCF">
        <w:tc>
          <w:tcPr>
            <w:tcW w:w="8777" w:type="dxa"/>
          </w:tcPr>
          <w:p w:rsidR="001F07C9" w:rsidRPr="001C6BCF" w:rsidRDefault="00D0322F" w:rsidP="00AA1153">
            <w:pPr>
              <w:pStyle w:val="Figure"/>
            </w:pPr>
            <w:r>
              <w:rPr>
                <w:noProof/>
              </w:rPr>
              <w:pict>
                <v:shape id="_x0000_i1033" type="#_x0000_t75" alt="This figure separately shows the volume of production and consumption of diesel oil and automotive gasoline; over the period of 1985-86 to 2010-11. Production and consumption of diesel oil move very closely together until 2003-04, where consumption rises at a faster rate and production flattens. Production and consumption of automotive gasoline move very closely together until 2002-03, where consumption flattens and production declines slightly." style="width:424.45pt;height:198.4pt;mso-position-vertical:absolute">
                  <v:imagedata r:id="rId17" o:title=""/>
                </v:shape>
              </w:pict>
            </w:r>
          </w:p>
        </w:tc>
      </w:tr>
    </w:tbl>
    <w:p w:rsidR="001F07C9" w:rsidRPr="001C6BCF" w:rsidRDefault="001F07C9">
      <w:pPr>
        <w:pStyle w:val="Source"/>
      </w:pPr>
      <w:r w:rsidRPr="001C6BCF">
        <w:rPr>
          <w:i/>
        </w:rPr>
        <w:t>Data source</w:t>
      </w:r>
      <w:r w:rsidRPr="001C6BCF">
        <w:t xml:space="preserve">: </w:t>
      </w:r>
      <w:proofErr w:type="spellStart"/>
      <w:r w:rsidR="00B676BD" w:rsidRPr="001C6BCF">
        <w:t>BREE</w:t>
      </w:r>
      <w:proofErr w:type="spellEnd"/>
      <w:r w:rsidR="00B676BD" w:rsidRPr="001C6BCF">
        <w:t xml:space="preserve"> (</w:t>
      </w:r>
      <w:proofErr w:type="spellStart"/>
      <w:r w:rsidR="00B676BD" w:rsidRPr="001C6BCF">
        <w:t>2012</w:t>
      </w:r>
      <w:r w:rsidR="006A3DCC">
        <w:t>a</w:t>
      </w:r>
      <w:proofErr w:type="spellEnd"/>
      <w:r w:rsidR="00B676BD" w:rsidRPr="001C6BCF">
        <w:t>).</w:t>
      </w:r>
    </w:p>
    <w:p w:rsidR="007E1154" w:rsidRPr="001C6BCF" w:rsidRDefault="007E1154" w:rsidP="007E1154">
      <w:pPr>
        <w:pStyle w:val="BodyText"/>
      </w:pPr>
      <w:r>
        <w:t xml:space="preserve">While output volume has remained steady, </w:t>
      </w:r>
      <w:r w:rsidR="00783664">
        <w:t>VA</w:t>
      </w:r>
      <w:r>
        <w:t xml:space="preserve"> has fallen as the intermediate inputs used in the production of petroleum have </w:t>
      </w:r>
      <w:r w:rsidR="00DA1E14">
        <w:t>increased</w:t>
      </w:r>
      <w:r>
        <w:t xml:space="preserve">. Relatively speaking, more refined fuel rather than crude inputs are being used to supply domestic consumption. As a result, the amount of value-adding per unit of output falls, as there is less refining to be done. </w:t>
      </w:r>
    </w:p>
    <w:p w:rsidR="00763509" w:rsidRPr="001C6BCF" w:rsidRDefault="0056477B" w:rsidP="0023322F">
      <w:pPr>
        <w:pStyle w:val="Heading5"/>
      </w:pPr>
      <w:r w:rsidRPr="001C6BCF">
        <w:t>Mismeasurement of cleaner fuels</w:t>
      </w:r>
    </w:p>
    <w:p w:rsidR="00032DE3" w:rsidRPr="001C6BCF" w:rsidRDefault="00032DE3" w:rsidP="0023322F">
      <w:pPr>
        <w:pStyle w:val="BodyText"/>
      </w:pPr>
      <w:r w:rsidRPr="001C6BCF">
        <w:t xml:space="preserve">A significant change in the operating environment </w:t>
      </w:r>
      <w:r w:rsidR="008C17BA">
        <w:t>for</w:t>
      </w:r>
      <w:r w:rsidRPr="001C6BCF">
        <w:t xml:space="preserve"> </w:t>
      </w:r>
      <w:r w:rsidR="00817185" w:rsidRPr="001C6BCF">
        <w:t>p</w:t>
      </w:r>
      <w:r w:rsidRPr="001C6BCF">
        <w:t xml:space="preserve">etroleum refining was the introduction of the Commonwealth </w:t>
      </w:r>
      <w:r w:rsidR="00DA3357" w:rsidRPr="001C6BCF">
        <w:t xml:space="preserve">Government’s </w:t>
      </w:r>
      <w:r w:rsidRPr="001C6BCF">
        <w:rPr>
          <w:i/>
        </w:rPr>
        <w:t xml:space="preserve">Cleaner Fuels </w:t>
      </w:r>
      <w:r w:rsidRPr="001C6BCF">
        <w:t xml:space="preserve">program </w:t>
      </w:r>
      <w:r w:rsidR="00C71678" w:rsidRPr="001C6BCF">
        <w:t>— a policy designed to tighten fuel standards to reduce harmful environmental pollutants.</w:t>
      </w:r>
      <w:r w:rsidR="00180F81" w:rsidRPr="001C6BCF">
        <w:rPr>
          <w:rStyle w:val="FootnoteReference"/>
        </w:rPr>
        <w:footnoteReference w:id="4"/>
      </w:r>
    </w:p>
    <w:p w:rsidR="00CE121A" w:rsidRPr="001C6BCF" w:rsidRDefault="00DA3357" w:rsidP="0023322F">
      <w:pPr>
        <w:pStyle w:val="BodyText"/>
      </w:pPr>
      <w:r w:rsidRPr="001C6BCF">
        <w:t>The resultant</w:t>
      </w:r>
      <w:r w:rsidR="00CE121A" w:rsidRPr="001C6BCF">
        <w:t xml:space="preserve"> environmental outcomes are not</w:t>
      </w:r>
      <w:r w:rsidR="00163D14">
        <w:t xml:space="preserve"> completely</w:t>
      </w:r>
      <w:r w:rsidR="00CE121A" w:rsidRPr="001C6BCF">
        <w:t xml:space="preserve"> taken account of in the volume of </w:t>
      </w:r>
      <w:r w:rsidRPr="001C6BCF">
        <w:t xml:space="preserve">output </w:t>
      </w:r>
      <w:r w:rsidR="00CE121A" w:rsidRPr="001C6BCF">
        <w:t>data.</w:t>
      </w:r>
      <w:r w:rsidR="00CE121A" w:rsidRPr="001C6BCF">
        <w:rPr>
          <w:rStyle w:val="FootnoteReference"/>
        </w:rPr>
        <w:footnoteReference w:id="5"/>
      </w:r>
      <w:r w:rsidR="000470D0">
        <w:t xml:space="preserve"> </w:t>
      </w:r>
      <w:r w:rsidR="00135947">
        <w:t>Not including i</w:t>
      </w:r>
      <w:r w:rsidR="00CE121A" w:rsidRPr="001C6BCF">
        <w:t xml:space="preserve">mprovements in fuel quality in the measured output data may mean that the </w:t>
      </w:r>
      <w:r w:rsidR="00783664">
        <w:t>VA</w:t>
      </w:r>
      <w:r w:rsidR="00CE121A" w:rsidRPr="001C6BCF">
        <w:t xml:space="preserve"> growth in </w:t>
      </w:r>
      <w:r w:rsidR="00F250CE" w:rsidRPr="001C6BCF">
        <w:t xml:space="preserve">Petroleum </w:t>
      </w:r>
      <w:r w:rsidR="00CE121A" w:rsidRPr="001C6BCF">
        <w:t>refining is underestimated.</w:t>
      </w:r>
      <w:r w:rsidR="00F14F59" w:rsidRPr="001C6BCF">
        <w:rPr>
          <w:rStyle w:val="FootnoteReference"/>
        </w:rPr>
        <w:footnoteReference w:id="6"/>
      </w:r>
    </w:p>
    <w:p w:rsidR="00AE3D5A" w:rsidRPr="001C6BCF" w:rsidRDefault="000A1069" w:rsidP="00CB19F1">
      <w:pPr>
        <w:pStyle w:val="Heading4"/>
      </w:pPr>
      <w:r w:rsidRPr="001C6BCF">
        <w:lastRenderedPageBreak/>
        <w:t xml:space="preserve">Increased import competition </w:t>
      </w:r>
      <w:r w:rsidR="007D516B" w:rsidRPr="001C6BCF">
        <w:t xml:space="preserve">in </w:t>
      </w:r>
      <w:r w:rsidR="00810C42" w:rsidRPr="001C6BCF">
        <w:t xml:space="preserve">other parts of </w:t>
      </w:r>
      <w:r w:rsidR="007D516B" w:rsidRPr="001C6BCF">
        <w:t>the subsector</w:t>
      </w:r>
    </w:p>
    <w:p w:rsidR="00D77BA7" w:rsidRPr="001C6BCF" w:rsidRDefault="004F1DFC" w:rsidP="00D77BA7">
      <w:pPr>
        <w:pStyle w:val="BodyText"/>
      </w:pPr>
      <w:r w:rsidRPr="001C6BCF">
        <w:t>Australia has long been a net impo</w:t>
      </w:r>
      <w:r w:rsidR="007E2808" w:rsidRPr="001C6BCF">
        <w:t xml:space="preserve">rter of </w:t>
      </w:r>
      <w:proofErr w:type="spellStart"/>
      <w:r w:rsidR="007E2808" w:rsidRPr="001C6BCF">
        <w:t>PCCR</w:t>
      </w:r>
      <w:proofErr w:type="spellEnd"/>
      <w:r w:rsidR="007E2808" w:rsidRPr="001C6BCF">
        <w:t xml:space="preserve"> manufactured goods</w:t>
      </w:r>
      <w:r w:rsidRPr="001C6BCF">
        <w:t xml:space="preserve"> but</w:t>
      </w:r>
      <w:r w:rsidR="007E2808" w:rsidRPr="001C6BCF">
        <w:t>,</w:t>
      </w:r>
      <w:r w:rsidRPr="001C6BCF">
        <w:t xml:space="preserve"> in recent years</w:t>
      </w:r>
      <w:r w:rsidR="007E2808" w:rsidRPr="001C6BCF">
        <w:t>,</w:t>
      </w:r>
      <w:r w:rsidRPr="001C6BCF">
        <w:t xml:space="preserve"> the growth in the volume of imports has accelerated</w:t>
      </w:r>
      <w:r w:rsidR="009719DF" w:rsidRPr="001C6BCF">
        <w:t xml:space="preserve"> relative to</w:t>
      </w:r>
      <w:r w:rsidRPr="001C6BCF">
        <w:t xml:space="preserve"> export growth (figure </w:t>
      </w:r>
      <w:r w:rsidR="006A7469">
        <w:t>4.8</w:t>
      </w:r>
      <w:r w:rsidRPr="001C6BCF">
        <w:t xml:space="preserve">). Much of this import growth is in </w:t>
      </w:r>
      <w:r w:rsidR="00F43BFE" w:rsidRPr="001C6BCF">
        <w:t>petroleum</w:t>
      </w:r>
      <w:r w:rsidRPr="001C6BCF">
        <w:t xml:space="preserve">-related products, but other parts of </w:t>
      </w:r>
      <w:proofErr w:type="spellStart"/>
      <w:r w:rsidRPr="001C6BCF">
        <w:t>PCCR</w:t>
      </w:r>
      <w:proofErr w:type="spellEnd"/>
      <w:r w:rsidRPr="001C6BCF">
        <w:t xml:space="preserve"> have also experienced strong import growth. </w:t>
      </w:r>
      <w:r w:rsidR="000D7E3D" w:rsidRPr="001C6BCF">
        <w:t>One</w:t>
      </w:r>
      <w:r w:rsidRPr="001C6BCF">
        <w:t xml:space="preserve"> factor that is likely to have driven the relative growth rates of imports and exports is the appreciation of the Australian dollar relative to the currencies of Australia’s trading partners from the early </w:t>
      </w:r>
      <w:proofErr w:type="spellStart"/>
      <w:r w:rsidRPr="001C6BCF">
        <w:t>2000s</w:t>
      </w:r>
      <w:proofErr w:type="spellEnd"/>
      <w:r w:rsidRPr="001C6BCF">
        <w:t xml:space="preserve"> onwards. All else </w:t>
      </w:r>
      <w:r w:rsidR="007E2808" w:rsidRPr="001C6BCF">
        <w:t>equal,</w:t>
      </w:r>
      <w:r w:rsidRPr="001C6BCF">
        <w:t xml:space="preserve"> a higher dollar is likely to lead to stronger growth in imports relative to exports, which is observed in </w:t>
      </w:r>
      <w:proofErr w:type="spellStart"/>
      <w:r w:rsidRPr="001C6BCF">
        <w:t>PCCR</w:t>
      </w:r>
      <w:proofErr w:type="spellEnd"/>
      <w:r w:rsidRPr="001C6BCF">
        <w:t xml:space="preserve"> as well as in the rest of </w:t>
      </w:r>
      <w:r w:rsidR="007D131D" w:rsidRPr="001C6BCF">
        <w:t>Manufacturing</w:t>
      </w:r>
      <w:r w:rsidRPr="001C6BCF">
        <w:t xml:space="preserve">. </w:t>
      </w:r>
    </w:p>
    <w:p w:rsidR="00902A0C" w:rsidRPr="001C6BCF" w:rsidRDefault="00902A0C" w:rsidP="00902A0C">
      <w:pPr>
        <w:pStyle w:val="FigureTitle"/>
        <w:rPr>
          <w:sz w:val="24"/>
        </w:rPr>
      </w:pPr>
      <w:bookmarkStart w:id="15" w:name="OLE_LINK5"/>
      <w:r w:rsidRPr="001C6BCF">
        <w:rPr>
          <w:b w:val="0"/>
          <w:sz w:val="24"/>
        </w:rPr>
        <w:t xml:space="preserve">Figure </w:t>
      </w:r>
      <w:bookmarkStart w:id="16" w:name="OLE_LINK31"/>
      <w:r w:rsidR="006A7469">
        <w:rPr>
          <w:b w:val="0"/>
          <w:sz w:val="24"/>
        </w:rPr>
        <w:t>4.</w:t>
      </w:r>
      <w:r w:rsidR="007203B8">
        <w:rPr>
          <w:b w:val="0"/>
          <w:noProof/>
          <w:sz w:val="24"/>
        </w:rPr>
        <w:t>8</w:t>
      </w:r>
      <w:bookmarkEnd w:id="15"/>
      <w:bookmarkEnd w:id="16"/>
      <w:r w:rsidRPr="001C6BCF">
        <w:rPr>
          <w:sz w:val="24"/>
        </w:rPr>
        <w:tab/>
      </w:r>
      <w:proofErr w:type="spellStart"/>
      <w:r w:rsidRPr="001C6BCF">
        <w:rPr>
          <w:sz w:val="24"/>
        </w:rPr>
        <w:t>PCCR</w:t>
      </w:r>
      <w:proofErr w:type="spellEnd"/>
      <w:r w:rsidRPr="001C6BCF">
        <w:rPr>
          <w:sz w:val="24"/>
        </w:rPr>
        <w:t xml:space="preserve"> imports, exports</w:t>
      </w:r>
      <w:r w:rsidRPr="001C6BCF">
        <w:rPr>
          <w:rStyle w:val="NoteLabel"/>
          <w:b/>
        </w:rPr>
        <w:t>a</w:t>
      </w:r>
      <w:r w:rsidRPr="001C6BCF">
        <w:rPr>
          <w:rStyle w:val="NoteLabel"/>
          <w:b/>
          <w:sz w:val="20"/>
        </w:rPr>
        <w:t xml:space="preserve"> </w:t>
      </w:r>
      <w:r w:rsidRPr="001C6BCF">
        <w:rPr>
          <w:sz w:val="24"/>
        </w:rPr>
        <w:t xml:space="preserve">and </w:t>
      </w:r>
      <w:r w:rsidR="005E2EE5" w:rsidRPr="001C6BCF">
        <w:rPr>
          <w:sz w:val="24"/>
        </w:rPr>
        <w:t xml:space="preserve">the </w:t>
      </w:r>
      <w:r w:rsidRPr="001C6BCF">
        <w:rPr>
          <w:sz w:val="24"/>
        </w:rPr>
        <w:t>exchange rate</w:t>
      </w:r>
      <w:r w:rsidR="00AD402E" w:rsidRPr="00B8166B">
        <w:rPr>
          <w:rStyle w:val="NoteLabel"/>
          <w:b/>
        </w:rPr>
        <w:t>b</w:t>
      </w:r>
    </w:p>
    <w:p w:rsidR="00902A0C" w:rsidRPr="001C6BCF" w:rsidRDefault="00902A0C" w:rsidP="00902A0C">
      <w:pPr>
        <w:pStyle w:val="Subtitle"/>
      </w:pPr>
      <w:r w:rsidRPr="001C6BCF">
        <w:t>200</w:t>
      </w:r>
      <w:r w:rsidR="005710B6" w:rsidRPr="001C6BCF">
        <w:t>9-10</w:t>
      </w:r>
      <w:r w:rsidRPr="001C6BCF">
        <w:t xml:space="preserve"> </w:t>
      </w:r>
      <w:r w:rsidR="00E516FB" w:rsidRPr="001C6BCF">
        <w:t xml:space="preserve">$m </w:t>
      </w:r>
      <w:r w:rsidR="00621844" w:rsidRPr="001C6BCF">
        <w:t>(LHS</w:t>
      </w:r>
      <w:r w:rsidR="00833AE4" w:rsidRPr="001C6BCF">
        <w:t>)</w:t>
      </w:r>
      <w:r w:rsidR="00833AE4">
        <w:t>;</w:t>
      </w:r>
      <w:r w:rsidR="00833AE4" w:rsidRPr="001C6BCF">
        <w:t xml:space="preserve"> </w:t>
      </w:r>
      <w:r w:rsidR="00621844" w:rsidRPr="001C6BCF">
        <w:t>I</w:t>
      </w:r>
      <w:r w:rsidR="000E6DB3" w:rsidRPr="001C6BCF">
        <w:t xml:space="preserve">ndex </w:t>
      </w:r>
      <w:r w:rsidR="005710B6" w:rsidRPr="001C6BCF">
        <w:t>2009-10</w:t>
      </w:r>
      <w:r w:rsidR="000E6DB3" w:rsidRPr="001C6BCF">
        <w:t xml:space="preserve"> = 100 (RHS)</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902A0C" w:rsidRPr="001C6BCF" w:rsidTr="006E04E1">
        <w:tc>
          <w:tcPr>
            <w:tcW w:w="8777" w:type="dxa"/>
          </w:tcPr>
          <w:p w:rsidR="00902A0C" w:rsidRPr="001C6BCF" w:rsidRDefault="00D0322F" w:rsidP="00AA1153">
            <w:pPr>
              <w:pStyle w:val="Figure"/>
              <w:spacing w:before="240"/>
            </w:pPr>
            <w:r>
              <w:rPr>
                <w:noProof/>
              </w:rPr>
              <w:pict>
                <v:shape id="_x0000_i1034" type="#_x0000_t75" alt="This figure shows a real measure of PCCR imports and exports, as well the trade weighted index (right hand axis), over the period of 1991-92 to 2010-11. Imports are always larger than exports, and imports grow at a faster rate than exports. Exports are relatively flat, on average, from 2003-04, onwards." style="width:424.45pt;height:199.25pt">
                  <v:imagedata r:id="rId18" o:title=""/>
                </v:shape>
              </w:pict>
            </w:r>
          </w:p>
        </w:tc>
      </w:tr>
    </w:tbl>
    <w:p w:rsidR="00902A0C" w:rsidRPr="00AD402E" w:rsidRDefault="00902A0C" w:rsidP="00902A0C">
      <w:pPr>
        <w:pStyle w:val="Note"/>
      </w:pPr>
      <w:r w:rsidRPr="001C6BCF">
        <w:rPr>
          <w:rStyle w:val="NoteLabel"/>
        </w:rPr>
        <w:t>a</w:t>
      </w:r>
      <w:r w:rsidRPr="001C6BCF">
        <w:t xml:space="preserve"> Due to </w:t>
      </w:r>
      <w:proofErr w:type="spellStart"/>
      <w:r w:rsidRPr="001C6BCF">
        <w:t>ANZSIC</w:t>
      </w:r>
      <w:proofErr w:type="spellEnd"/>
      <w:r w:rsidRPr="001C6BCF">
        <w:t xml:space="preserve"> classification changes, there is a break in the trade data between 2005-06 and 2006-07.</w:t>
      </w:r>
      <w:r w:rsidR="00AD402E">
        <w:t xml:space="preserve"> </w:t>
      </w:r>
      <w:r w:rsidR="00AD402E" w:rsidRPr="00B60243">
        <w:rPr>
          <w:rStyle w:val="NoteLabel"/>
        </w:rPr>
        <w:t>b</w:t>
      </w:r>
      <w:r w:rsidR="00AD402E">
        <w:t> </w:t>
      </w:r>
      <w:proofErr w:type="spellStart"/>
      <w:r w:rsidR="00AD402E">
        <w:t>TWI</w:t>
      </w:r>
      <w:proofErr w:type="spellEnd"/>
      <w:r w:rsidR="00AD402E">
        <w:t xml:space="preserve"> (</w:t>
      </w:r>
      <w:r w:rsidR="00AD402E" w:rsidRPr="00B60243">
        <w:t>trade weighted index</w:t>
      </w:r>
      <w:r w:rsidR="00AD402E">
        <w:t>)</w:t>
      </w:r>
      <w:r w:rsidR="00AD402E" w:rsidRPr="00B60243">
        <w:t xml:space="preserve"> is the m</w:t>
      </w:r>
      <w:r w:rsidR="00AD402E" w:rsidRPr="00B60243">
        <w:rPr>
          <w:iCs/>
        </w:rPr>
        <w:t>ultilateral exchange rate $A against trade-weighted average of trading partner currencies.</w:t>
      </w:r>
    </w:p>
    <w:p w:rsidR="00902A0C" w:rsidRDefault="00902A0C" w:rsidP="00902A0C">
      <w:pPr>
        <w:pStyle w:val="Source"/>
      </w:pPr>
      <w:r w:rsidRPr="001C6BCF">
        <w:rPr>
          <w:i/>
        </w:rPr>
        <w:t>Data source</w:t>
      </w:r>
      <w:r w:rsidR="000D542A">
        <w:rPr>
          <w:i/>
        </w:rPr>
        <w:t>s</w:t>
      </w:r>
      <w:r w:rsidRPr="001C6BCF">
        <w:t>: Authors’ estimates based on ABS (</w:t>
      </w:r>
      <w:r w:rsidRPr="001C6BCF">
        <w:rPr>
          <w:i/>
        </w:rPr>
        <w:t xml:space="preserve">International Trade in Goods and Services, Australia, </w:t>
      </w:r>
      <w:r w:rsidR="00985490" w:rsidRPr="001C6BCF">
        <w:t>various issues</w:t>
      </w:r>
      <w:r w:rsidRPr="001C6BCF">
        <w:t>, Cat. no. 5368.0)</w:t>
      </w:r>
      <w:r w:rsidR="0067524E" w:rsidRPr="001C6BCF">
        <w:t xml:space="preserve">; and </w:t>
      </w:r>
      <w:r w:rsidRPr="001C6BCF">
        <w:t>ABS (</w:t>
      </w:r>
      <w:r w:rsidRPr="001C6BCF">
        <w:rPr>
          <w:i/>
        </w:rPr>
        <w:t>International Trade Price Indexes,</w:t>
      </w:r>
      <w:r w:rsidR="003642D3" w:rsidRPr="001C6BCF">
        <w:t xml:space="preserve"> </w:t>
      </w:r>
      <w:r w:rsidR="00985490" w:rsidRPr="001C6BCF">
        <w:t>various issues</w:t>
      </w:r>
      <w:r w:rsidR="003642D3" w:rsidRPr="009B6DE9">
        <w:rPr>
          <w:b/>
        </w:rPr>
        <w:t>,</w:t>
      </w:r>
      <w:r w:rsidRPr="001C6BCF">
        <w:t xml:space="preserve"> Cat. no. 6457.0).</w:t>
      </w:r>
    </w:p>
    <w:p w:rsidR="00674FB8" w:rsidRDefault="00674FB8" w:rsidP="00674FB8">
      <w:pPr>
        <w:pStyle w:val="BodyText"/>
      </w:pPr>
      <w:r w:rsidRPr="001C6BCF">
        <w:t>The imports of petroleum products have already been discussed above</w:t>
      </w:r>
      <w:r w:rsidR="00D75C16">
        <w:t>.</w:t>
      </w:r>
      <w:r w:rsidRPr="001C6BCF">
        <w:t xml:space="preserve"> </w:t>
      </w:r>
      <w:r w:rsidR="00D75C16">
        <w:t>I</w:t>
      </w:r>
      <w:r w:rsidRPr="001C6BCF">
        <w:t xml:space="preserve">t is not the case that all </w:t>
      </w:r>
      <w:proofErr w:type="spellStart"/>
      <w:r w:rsidRPr="001C6BCF">
        <w:t>PCCR</w:t>
      </w:r>
      <w:proofErr w:type="spellEnd"/>
      <w:r w:rsidRPr="001C6BCF">
        <w:t xml:space="preserve"> imports are </w:t>
      </w:r>
      <w:r w:rsidR="00D75C16">
        <w:t>competing with</w:t>
      </w:r>
      <w:r w:rsidR="00D75C16" w:rsidRPr="001C6BCF">
        <w:t xml:space="preserve"> </w:t>
      </w:r>
      <w:r w:rsidRPr="001C6BCF">
        <w:t>domestic production</w:t>
      </w:r>
      <w:r>
        <w:t xml:space="preserve"> </w:t>
      </w:r>
      <w:r w:rsidRPr="001C6BCF">
        <w:t>(box.</w:t>
      </w:r>
      <w:r w:rsidR="006A7469" w:rsidRPr="006A7469">
        <w:t xml:space="preserve"> </w:t>
      </w:r>
      <w:r w:rsidR="006A7469">
        <w:t xml:space="preserve">4.3). </w:t>
      </w:r>
      <w:r w:rsidRPr="001C6BCF">
        <w:t xml:space="preserve">The </w:t>
      </w:r>
      <w:r w:rsidR="00D75C16">
        <w:t>remainder</w:t>
      </w:r>
      <w:r w:rsidR="00D75C16" w:rsidRPr="001C6BCF">
        <w:t xml:space="preserve"> </w:t>
      </w:r>
      <w:r w:rsidRPr="001C6BCF">
        <w:t xml:space="preserve">of this section examines the import trends in the rest of the </w:t>
      </w:r>
      <w:proofErr w:type="spellStart"/>
      <w:r w:rsidRPr="001C6BCF">
        <w:t>PCCR</w:t>
      </w:r>
      <w:proofErr w:type="spellEnd"/>
      <w:r w:rsidRPr="001C6BCF">
        <w:t xml:space="preserve"> subsector — Chemicals and Polymers.</w:t>
      </w:r>
    </w:p>
    <w:p w:rsidR="002369AE" w:rsidRPr="001C6BCF" w:rsidRDefault="002369AE">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369AE" w:rsidRPr="001C6BCF">
        <w:tc>
          <w:tcPr>
            <w:tcW w:w="8771" w:type="dxa"/>
            <w:tcBorders>
              <w:top w:val="single" w:sz="6" w:space="0" w:color="auto"/>
              <w:bottom w:val="nil"/>
            </w:tcBorders>
          </w:tcPr>
          <w:p w:rsidR="002369AE" w:rsidRPr="0020514B" w:rsidRDefault="002369AE" w:rsidP="008738B7">
            <w:pPr>
              <w:pStyle w:val="BoxTitle"/>
              <w:rPr>
                <w:sz w:val="24"/>
                <w:szCs w:val="24"/>
              </w:rPr>
            </w:pPr>
            <w:r w:rsidRPr="0020514B">
              <w:rPr>
                <w:b w:val="0"/>
                <w:sz w:val="24"/>
                <w:szCs w:val="24"/>
              </w:rPr>
              <w:t xml:space="preserve">Box </w:t>
            </w:r>
            <w:bookmarkStart w:id="17" w:name="OLE_LINK1"/>
            <w:r w:rsidR="006A7469">
              <w:rPr>
                <w:b w:val="0"/>
                <w:sz w:val="24"/>
                <w:szCs w:val="24"/>
              </w:rPr>
              <w:t>4.</w:t>
            </w:r>
            <w:r w:rsidR="007203B8">
              <w:rPr>
                <w:b w:val="0"/>
                <w:noProof/>
                <w:sz w:val="24"/>
                <w:szCs w:val="24"/>
              </w:rPr>
              <w:t>3</w:t>
            </w:r>
            <w:bookmarkEnd w:id="17"/>
            <w:r w:rsidRPr="0020514B">
              <w:rPr>
                <w:sz w:val="24"/>
                <w:szCs w:val="24"/>
              </w:rPr>
              <w:tab/>
            </w:r>
            <w:r w:rsidR="008738B7" w:rsidRPr="0020514B">
              <w:rPr>
                <w:sz w:val="24"/>
                <w:szCs w:val="24"/>
              </w:rPr>
              <w:t xml:space="preserve">Growth of imports in </w:t>
            </w:r>
            <w:proofErr w:type="spellStart"/>
            <w:r w:rsidR="008738B7" w:rsidRPr="0020514B">
              <w:rPr>
                <w:sz w:val="24"/>
                <w:szCs w:val="24"/>
              </w:rPr>
              <w:t>PCCR</w:t>
            </w:r>
            <w:proofErr w:type="spellEnd"/>
            <w:r w:rsidR="008738B7" w:rsidRPr="0020514B">
              <w:rPr>
                <w:sz w:val="24"/>
                <w:szCs w:val="24"/>
              </w:rPr>
              <w:t xml:space="preserve"> products</w:t>
            </w:r>
          </w:p>
        </w:tc>
      </w:tr>
      <w:tr w:rsidR="002369AE" w:rsidRPr="001C6BCF" w:rsidTr="008B14FA">
        <w:trPr>
          <w:cantSplit/>
        </w:trPr>
        <w:tc>
          <w:tcPr>
            <w:tcW w:w="8771" w:type="dxa"/>
            <w:tcBorders>
              <w:top w:val="nil"/>
              <w:left w:val="single" w:sz="6" w:space="0" w:color="auto"/>
              <w:bottom w:val="nil"/>
              <w:right w:val="single" w:sz="6" w:space="0" w:color="auto"/>
            </w:tcBorders>
          </w:tcPr>
          <w:p w:rsidR="00352320" w:rsidRPr="001C6BCF" w:rsidRDefault="00352320" w:rsidP="00352320">
            <w:pPr>
              <w:pStyle w:val="Box"/>
              <w:spacing w:after="60"/>
              <w:outlineLvl w:val="7"/>
            </w:pPr>
            <w:r w:rsidRPr="001C6BCF">
              <w:t xml:space="preserve">Over cycle 4, there was growth in import penetration in </w:t>
            </w:r>
            <w:proofErr w:type="spellStart"/>
            <w:r w:rsidRPr="001C6BCF">
              <w:t>PCCR</w:t>
            </w:r>
            <w:proofErr w:type="spellEnd"/>
            <w:r w:rsidRPr="001C6BCF">
              <w:t>, while export propensity was relatively flat (see figure).</w:t>
            </w:r>
          </w:p>
          <w:p w:rsidR="00352320" w:rsidRPr="00AE53FC" w:rsidRDefault="00352320" w:rsidP="004A0698">
            <w:pPr>
              <w:pStyle w:val="Box"/>
              <w:spacing w:before="100" w:after="40"/>
              <w:rPr>
                <w:szCs w:val="22"/>
              </w:rPr>
            </w:pPr>
            <w:r w:rsidRPr="0020514B">
              <w:rPr>
                <w:rStyle w:val="BodyTextChar"/>
                <w:b/>
                <w:sz w:val="22"/>
                <w:szCs w:val="22"/>
              </w:rPr>
              <w:t xml:space="preserve">Import penetration and export propensity in </w:t>
            </w:r>
            <w:proofErr w:type="spellStart"/>
            <w:r w:rsidRPr="0020514B">
              <w:rPr>
                <w:rStyle w:val="BodyTextChar"/>
                <w:b/>
                <w:sz w:val="22"/>
                <w:szCs w:val="22"/>
              </w:rPr>
              <w:t>PCCR</w:t>
            </w:r>
            <w:proofErr w:type="spellEnd"/>
            <w:r w:rsidRPr="00AE53FC">
              <w:rPr>
                <w:rStyle w:val="NoteLabel"/>
              </w:rPr>
              <w:t>a</w:t>
            </w:r>
          </w:p>
          <w:tbl>
            <w:tblPr>
              <w:tblW w:w="8472"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472"/>
            </w:tblGrid>
            <w:tr w:rsidR="00352320" w:rsidRPr="001C6BCF" w:rsidTr="00964528">
              <w:tc>
                <w:tcPr>
                  <w:tcW w:w="8472" w:type="dxa"/>
                </w:tcPr>
                <w:p w:rsidR="00352320" w:rsidRPr="001C6BCF" w:rsidRDefault="00D0322F" w:rsidP="00964528">
                  <w:pPr>
                    <w:pStyle w:val="Figure"/>
                    <w:spacing w:before="0" w:after="0"/>
                    <w:rPr>
                      <w:rFonts w:asciiTheme="minorHAnsi" w:eastAsiaTheme="minorHAnsi" w:hAnsiTheme="minorHAnsi" w:cstheme="minorBidi"/>
                      <w:szCs w:val="22"/>
                      <w:lang w:eastAsia="en-US"/>
                    </w:rPr>
                  </w:pPr>
                  <w:r>
                    <w:rPr>
                      <w:noProof/>
                    </w:rPr>
                    <w:pict>
                      <v:shape id="_x0000_i1035" type="#_x0000_t75" alt="This figure shows measures of import penetration, export propensity and imports as a share of production in PCCR for 1999-2000 and from 2001-02 to 2010-11. It shows that imports as a share of production and import penetration have risen over that latter period. Export propensity declines, on average, very slowly over that latter period." style="width:420.3pt;height:186.7pt">
                        <v:imagedata r:id="rId19" o:title=""/>
                      </v:shape>
                    </w:pict>
                  </w:r>
                </w:p>
              </w:tc>
            </w:tr>
          </w:tbl>
          <w:p w:rsidR="00352320" w:rsidRPr="00EE13E0" w:rsidRDefault="00352320" w:rsidP="00B967D0">
            <w:pPr>
              <w:pStyle w:val="Note"/>
            </w:pPr>
            <w:r w:rsidRPr="001C6BCF">
              <w:rPr>
                <w:rStyle w:val="NoteLabel"/>
              </w:rPr>
              <w:t>a</w:t>
            </w:r>
            <w:r w:rsidRPr="001C6BCF">
              <w:t xml:space="preserve"> Import penetration is the value of imports as a share of the</w:t>
            </w:r>
            <w:r>
              <w:t xml:space="preserve"> domestic market for </w:t>
            </w:r>
            <w:proofErr w:type="spellStart"/>
            <w:r>
              <w:t>PCCR</w:t>
            </w:r>
            <w:proofErr w:type="spellEnd"/>
            <w:r>
              <w:t xml:space="preserve"> goods</w:t>
            </w:r>
            <w:r w:rsidRPr="001C6BCF">
              <w:t xml:space="preserve"> </w:t>
            </w:r>
            <w:r>
              <w:t>(</w:t>
            </w:r>
            <w:r w:rsidRPr="001C6BCF">
              <w:t xml:space="preserve">which in turn is defined as the total sales and service income of domestic </w:t>
            </w:r>
            <w:proofErr w:type="spellStart"/>
            <w:r w:rsidRPr="001C6BCF">
              <w:t>PCCR</w:t>
            </w:r>
            <w:proofErr w:type="spellEnd"/>
            <w:r w:rsidRPr="001C6BCF">
              <w:t xml:space="preserve"> manufacturing, plus the value of imports, less the value of exports</w:t>
            </w:r>
            <w:r>
              <w:t>)</w:t>
            </w:r>
            <w:r w:rsidRPr="001C6BCF">
              <w:t xml:space="preserve">. Export propensity is the value of </w:t>
            </w:r>
            <w:proofErr w:type="spellStart"/>
            <w:r w:rsidRPr="001C6BCF">
              <w:t>PCCR</w:t>
            </w:r>
            <w:proofErr w:type="spellEnd"/>
            <w:r w:rsidRPr="001C6BCF">
              <w:t xml:space="preserve"> exports as a share of </w:t>
            </w:r>
            <w:proofErr w:type="spellStart"/>
            <w:r w:rsidRPr="001C6BCF">
              <w:t>PCCR</w:t>
            </w:r>
            <w:proofErr w:type="spellEnd"/>
            <w:r w:rsidRPr="001C6BCF">
              <w:t xml:space="preserve"> manufacturing sales and service income. 1999-00 </w:t>
            </w:r>
            <w:r>
              <w:t>is</w:t>
            </w:r>
            <w:r w:rsidRPr="001C6BCF">
              <w:t xml:space="preserve"> from PC</w:t>
            </w:r>
            <w:r>
              <w:t> </w:t>
            </w:r>
            <w:r w:rsidRPr="001C6BCF">
              <w:t xml:space="preserve">(2003) </w:t>
            </w:r>
            <w:r>
              <w:t xml:space="preserve">and </w:t>
            </w:r>
            <w:r w:rsidRPr="001C6BCF">
              <w:t>may not be directly comparable because of changes to the scope of the survey from which sales and service income is derived.</w:t>
            </w:r>
          </w:p>
          <w:p w:rsidR="00352320" w:rsidRPr="001C6BCF" w:rsidRDefault="00417B5D" w:rsidP="00B967D0">
            <w:pPr>
              <w:pStyle w:val="Source"/>
              <w:spacing w:after="0"/>
              <w:rPr>
                <w:i/>
              </w:rPr>
            </w:pPr>
            <w:r>
              <w:rPr>
                <w:i/>
              </w:rPr>
              <w:t>Data s</w:t>
            </w:r>
            <w:r w:rsidR="00352320" w:rsidRPr="001C6BCF">
              <w:rPr>
                <w:i/>
              </w:rPr>
              <w:t>ources</w:t>
            </w:r>
            <w:r w:rsidR="00352320" w:rsidRPr="008D674F">
              <w:t>:</w:t>
            </w:r>
            <w:r w:rsidR="00352320" w:rsidRPr="001C6BCF">
              <w:rPr>
                <w:i/>
              </w:rPr>
              <w:t xml:space="preserve"> </w:t>
            </w:r>
            <w:r w:rsidR="00352320" w:rsidRPr="001C6BCF">
              <w:t>PC (2003); authors’ estimates based on ABS</w:t>
            </w:r>
            <w:r w:rsidR="00352320" w:rsidRPr="001C6BCF">
              <w:rPr>
                <w:i/>
              </w:rPr>
              <w:t xml:space="preserve"> (International Trade in Goods and Services, Australia, September 2012, </w:t>
            </w:r>
            <w:r w:rsidR="00352320" w:rsidRPr="001C6BCF">
              <w:t>Cat. no. 5368.0</w:t>
            </w:r>
            <w:r w:rsidR="00352320" w:rsidRPr="001C6BCF">
              <w:rPr>
                <w:i/>
              </w:rPr>
              <w:t>)</w:t>
            </w:r>
            <w:r w:rsidR="00352320" w:rsidRPr="001C6BCF">
              <w:t>;</w:t>
            </w:r>
            <w:r w:rsidR="00352320" w:rsidRPr="001C6BCF">
              <w:rPr>
                <w:i/>
              </w:rPr>
              <w:t xml:space="preserve"> </w:t>
            </w:r>
            <w:r w:rsidR="00352320" w:rsidRPr="001C6BCF">
              <w:t>and ABS</w:t>
            </w:r>
            <w:r w:rsidR="00352320" w:rsidRPr="001C6BCF">
              <w:rPr>
                <w:i/>
              </w:rPr>
              <w:t xml:space="preserve"> (Australian Industry</w:t>
            </w:r>
            <w:r w:rsidR="00352320" w:rsidRPr="001C6BCF">
              <w:t>, various issues</w:t>
            </w:r>
            <w:r w:rsidR="00352320" w:rsidRPr="001C6BCF">
              <w:rPr>
                <w:i/>
              </w:rPr>
              <w:t xml:space="preserve">, </w:t>
            </w:r>
            <w:r w:rsidR="00352320" w:rsidRPr="001C6BCF">
              <w:t>Cat.</w:t>
            </w:r>
            <w:r w:rsidR="002133CB">
              <w:t> </w:t>
            </w:r>
            <w:r w:rsidR="00352320" w:rsidRPr="001C6BCF">
              <w:t>no. 8155.0).</w:t>
            </w:r>
          </w:p>
          <w:p w:rsidR="00352320" w:rsidRDefault="00352320" w:rsidP="003670A4">
            <w:pPr>
              <w:pStyle w:val="Box"/>
            </w:pPr>
            <w:r w:rsidRPr="001C6BCF">
              <w:t xml:space="preserve">Imports may out-compete domestically manufactured products and potentially lead to the exit of some firms from the industry or a reduction in their output. </w:t>
            </w:r>
            <w:r>
              <w:t xml:space="preserve">This has been the case for some of the additional imports of </w:t>
            </w:r>
            <w:proofErr w:type="spellStart"/>
            <w:r>
              <w:t>PCCR</w:t>
            </w:r>
            <w:proofErr w:type="spellEnd"/>
            <w:r>
              <w:t xml:space="preserve"> goods over cycle 4. For example, t</w:t>
            </w:r>
            <w:r w:rsidRPr="001C6BCF">
              <w:t>here appears to have been a greater volume of imported finished plastic products and tyres and reduced domestic production</w:t>
            </w:r>
            <w:r>
              <w:t xml:space="preserve"> of these products</w:t>
            </w:r>
            <w:r w:rsidRPr="001C6BCF">
              <w:t xml:space="preserve">. </w:t>
            </w:r>
          </w:p>
          <w:p w:rsidR="00352320" w:rsidRDefault="00352320" w:rsidP="00011D13">
            <w:pPr>
              <w:pStyle w:val="Box"/>
            </w:pPr>
            <w:r>
              <w:t xml:space="preserve">But in other cases, the imports may not be directly competing with domestic </w:t>
            </w:r>
            <w:proofErr w:type="spellStart"/>
            <w:r>
              <w:t>PCCR</w:t>
            </w:r>
            <w:proofErr w:type="spellEnd"/>
            <w:r>
              <w:t xml:space="preserve"> products. For example: </w:t>
            </w:r>
          </w:p>
          <w:p w:rsidR="00352320" w:rsidRPr="00F4777C" w:rsidRDefault="00352320" w:rsidP="00B967D0">
            <w:pPr>
              <w:pStyle w:val="BoxListBullet"/>
              <w:spacing w:before="100"/>
              <w:rPr>
                <w:rFonts w:eastAsiaTheme="minorHAnsi" w:cstheme="minorBidi"/>
                <w:szCs w:val="22"/>
                <w:lang w:eastAsia="en-US"/>
              </w:rPr>
            </w:pPr>
            <w:r>
              <w:t>there</w:t>
            </w:r>
            <w:r w:rsidRPr="001C6BCF">
              <w:t xml:space="preserve"> were greater imports of fertiliser over cycle 4 to cope with demand that could not be </w:t>
            </w:r>
            <w:r>
              <w:t>satisfied</w:t>
            </w:r>
            <w:r w:rsidRPr="001C6BCF">
              <w:t xml:space="preserve"> by domestic producers in the short</w:t>
            </w:r>
            <w:r>
              <w:t xml:space="preserve"> term, because of limited production capacity</w:t>
            </w:r>
          </w:p>
          <w:p w:rsidR="00352320" w:rsidRDefault="00D62060" w:rsidP="00B967D0">
            <w:pPr>
              <w:pStyle w:val="BoxListBullet"/>
              <w:spacing w:before="100"/>
            </w:pPr>
            <w:r>
              <w:rPr>
                <w:rFonts w:eastAsiaTheme="minorHAnsi"/>
              </w:rPr>
              <w:t>there were greater imports of organic chemicals over cycle 4, some of which were used as intermediate inputs by the domestic pharmaceutical manufacturing industry as it expanded its production capacity</w:t>
            </w:r>
            <w:r w:rsidR="00352320" w:rsidRPr="00834797">
              <w:rPr>
                <w:rFonts w:eastAsiaTheme="minorHAnsi"/>
              </w:rPr>
              <w:t>.</w:t>
            </w:r>
            <w:r w:rsidR="00352320">
              <w:rPr>
                <w:rFonts w:eastAsiaTheme="minorHAnsi"/>
              </w:rPr>
              <w:t xml:space="preserve"> </w:t>
            </w:r>
          </w:p>
          <w:p w:rsidR="0086544D" w:rsidRPr="001C6BCF" w:rsidRDefault="00352320" w:rsidP="0020514B">
            <w:pPr>
              <w:pStyle w:val="Box"/>
              <w:rPr>
                <w:rFonts w:eastAsiaTheme="minorHAnsi" w:cstheme="minorBidi"/>
                <w:szCs w:val="22"/>
                <w:lang w:eastAsia="en-US"/>
              </w:rPr>
            </w:pPr>
            <w:r w:rsidRPr="00B60243">
              <w:t xml:space="preserve">Import competition can provide incentives for firms to improve their efficiency and in the long run is likely to lead to improvements in industry productivity. More generally, trade helps support higher living standards by ensuring that an economy plays to its comparative strengths (box </w:t>
            </w:r>
            <w:r>
              <w:t>2.2</w:t>
            </w:r>
            <w:r w:rsidRPr="00B60243">
              <w:t xml:space="preserve">). However, in the short run, the effect on </w:t>
            </w:r>
            <w:r w:rsidRPr="00B60243">
              <w:rPr>
                <w:i/>
              </w:rPr>
              <w:t xml:space="preserve">measured </w:t>
            </w:r>
            <w:r w:rsidRPr="00B60243">
              <w:t xml:space="preserve">productivity may be negative. For example, when firms reduce output this can lead to underutilised capacity, which depresses </w:t>
            </w:r>
            <w:r w:rsidRPr="00B60243">
              <w:rPr>
                <w:i/>
              </w:rPr>
              <w:t xml:space="preserve">measured </w:t>
            </w:r>
            <w:r w:rsidRPr="00B60243">
              <w:t>productivity</w:t>
            </w:r>
            <w:r w:rsidRPr="00B60243">
              <w:rPr>
                <w:i/>
              </w:rPr>
              <w:t xml:space="preserve">. </w:t>
            </w:r>
          </w:p>
        </w:tc>
      </w:tr>
      <w:tr w:rsidR="002369AE" w:rsidRPr="001C6BCF" w:rsidTr="008B14FA">
        <w:trPr>
          <w:cantSplit/>
        </w:trPr>
        <w:tc>
          <w:tcPr>
            <w:tcW w:w="8771" w:type="dxa"/>
            <w:tcBorders>
              <w:top w:val="nil"/>
              <w:left w:val="single" w:sz="6" w:space="0" w:color="auto"/>
              <w:bottom w:val="single" w:sz="6" w:space="0" w:color="auto"/>
              <w:right w:val="single" w:sz="6" w:space="0" w:color="auto"/>
            </w:tcBorders>
          </w:tcPr>
          <w:p w:rsidR="002369AE" w:rsidRPr="001C6BCF" w:rsidRDefault="002369AE">
            <w:pPr>
              <w:pStyle w:val="Box"/>
              <w:spacing w:before="0" w:line="120" w:lineRule="exact"/>
            </w:pPr>
          </w:p>
        </w:tc>
      </w:tr>
      <w:tr w:rsidR="002369AE" w:rsidRPr="001C6BCF">
        <w:tc>
          <w:tcPr>
            <w:tcW w:w="8771" w:type="dxa"/>
            <w:tcBorders>
              <w:top w:val="nil"/>
              <w:left w:val="nil"/>
              <w:bottom w:val="nil"/>
              <w:right w:val="nil"/>
            </w:tcBorders>
          </w:tcPr>
          <w:p w:rsidR="002369AE" w:rsidRPr="001C6BCF" w:rsidRDefault="002369AE" w:rsidP="00451B72">
            <w:pPr>
              <w:pStyle w:val="BoxSpaceBelow"/>
              <w:spacing w:before="0" w:after="0" w:line="40" w:lineRule="exact"/>
              <w:rPr>
                <w:i/>
              </w:rPr>
            </w:pPr>
          </w:p>
        </w:tc>
      </w:tr>
    </w:tbl>
    <w:p w:rsidR="0014604A" w:rsidRPr="001C6BCF" w:rsidRDefault="007D516B" w:rsidP="00832F3F">
      <w:pPr>
        <w:pStyle w:val="Heading5"/>
      </w:pPr>
      <w:r w:rsidRPr="001C6BCF">
        <w:lastRenderedPageBreak/>
        <w:t xml:space="preserve">Faster import growth of </w:t>
      </w:r>
      <w:r w:rsidR="002D26B0" w:rsidRPr="001C6BCF">
        <w:t xml:space="preserve">chemicals </w:t>
      </w:r>
      <w:r w:rsidR="00794DB3" w:rsidRPr="001C6BCF">
        <w:t xml:space="preserve">and </w:t>
      </w:r>
      <w:r w:rsidR="002D26B0" w:rsidRPr="001C6BCF">
        <w:t>polymers</w:t>
      </w:r>
    </w:p>
    <w:p w:rsidR="00D70DFE" w:rsidRPr="001C6BCF" w:rsidRDefault="001F5C3C" w:rsidP="001F5C3C">
      <w:pPr>
        <w:pStyle w:val="BodyText"/>
      </w:pPr>
      <w:r w:rsidRPr="001C6BCF">
        <w:t xml:space="preserve">Imports of most categories of chemical and polymer products grew faster in cycle 4 than cycle 3. The largest growth </w:t>
      </w:r>
      <w:r w:rsidR="009B15EF">
        <w:t>was</w:t>
      </w:r>
      <w:r w:rsidR="009B15EF" w:rsidRPr="001C6BCF">
        <w:t xml:space="preserve"> </w:t>
      </w:r>
      <w:r w:rsidRPr="001C6BCF">
        <w:t>in organic chemicals, fertilisers and plastics in non-primary forms</w:t>
      </w:r>
      <w:r w:rsidR="007F2055" w:rsidRPr="001C6BCF">
        <w:t xml:space="preserve"> (table </w:t>
      </w:r>
      <w:r w:rsidR="006A7469">
        <w:t>4.3</w:t>
      </w:r>
      <w:r w:rsidR="007F2055" w:rsidRPr="001C6BCF">
        <w:t>)</w:t>
      </w:r>
      <w:r w:rsidR="00CF2A9D" w:rsidRPr="001C6BCF">
        <w:t xml:space="preserve">. </w:t>
      </w:r>
      <w:r w:rsidR="003E181E" w:rsidRPr="001C6BCF">
        <w:t>The largest decline in the rate of import growth occurred in medicinal products</w:t>
      </w:r>
      <w:r w:rsidR="006A58C0" w:rsidRPr="001C6BCF">
        <w:t xml:space="preserve"> (</w:t>
      </w:r>
      <w:r w:rsidR="003E181E" w:rsidRPr="001C6BCF">
        <w:t xml:space="preserve">which </w:t>
      </w:r>
      <w:r w:rsidR="006A58C0" w:rsidRPr="001C6BCF">
        <w:t xml:space="preserve">was </w:t>
      </w:r>
      <w:r w:rsidR="003E181E" w:rsidRPr="001C6BCF">
        <w:t xml:space="preserve">also the largest share of </w:t>
      </w:r>
      <w:r w:rsidR="006A58C0" w:rsidRPr="001C6BCF">
        <w:t>total chemical and polymer imports</w:t>
      </w:r>
      <w:r w:rsidR="00872322" w:rsidRPr="001C6BCF">
        <w:t>)</w:t>
      </w:r>
      <w:r w:rsidR="003E181E" w:rsidRPr="001C6BCF">
        <w:t>.</w:t>
      </w:r>
    </w:p>
    <w:p w:rsidR="006122B4" w:rsidRPr="001C6BCF" w:rsidRDefault="006122B4" w:rsidP="006122B4">
      <w:pPr>
        <w:pStyle w:val="TableTitle"/>
      </w:pPr>
      <w:r w:rsidRPr="001C6BCF">
        <w:rPr>
          <w:b w:val="0"/>
          <w:sz w:val="24"/>
        </w:rPr>
        <w:t xml:space="preserve">Table </w:t>
      </w:r>
      <w:bookmarkStart w:id="18" w:name="OLE_LINK22"/>
      <w:r w:rsidR="006A7469">
        <w:rPr>
          <w:b w:val="0"/>
          <w:sz w:val="24"/>
        </w:rPr>
        <w:t>4.</w:t>
      </w:r>
      <w:r w:rsidR="007203B8">
        <w:rPr>
          <w:b w:val="0"/>
          <w:noProof/>
          <w:sz w:val="24"/>
        </w:rPr>
        <w:t>3</w:t>
      </w:r>
      <w:bookmarkEnd w:id="18"/>
      <w:r w:rsidRPr="001C6BCF">
        <w:rPr>
          <w:sz w:val="24"/>
        </w:rPr>
        <w:tab/>
        <w:t>Import trends i</w:t>
      </w:r>
      <w:r w:rsidR="00F81537" w:rsidRPr="001C6BCF">
        <w:rPr>
          <w:sz w:val="24"/>
        </w:rPr>
        <w:t xml:space="preserve">n chemical and </w:t>
      </w:r>
      <w:r w:rsidR="005E28E3" w:rsidRPr="001C6BCF">
        <w:rPr>
          <w:sz w:val="24"/>
        </w:rPr>
        <w:t xml:space="preserve">polymer </w:t>
      </w:r>
      <w:r w:rsidR="00F81537" w:rsidRPr="001C6BCF">
        <w:rPr>
          <w:sz w:val="24"/>
        </w:rPr>
        <w:t>products</w:t>
      </w:r>
      <w:r w:rsidRPr="001C6BCF">
        <w:rPr>
          <w:rStyle w:val="NoteLabel"/>
          <w:b/>
        </w:rPr>
        <w:t>a</w:t>
      </w:r>
    </w:p>
    <w:tbl>
      <w:tblPr>
        <w:tblW w:w="5000" w:type="pct"/>
        <w:tblCellMar>
          <w:left w:w="0" w:type="dxa"/>
          <w:right w:w="0" w:type="dxa"/>
        </w:tblCellMar>
        <w:tblLook w:val="0000" w:firstRow="0" w:lastRow="0" w:firstColumn="0" w:lastColumn="0" w:noHBand="0" w:noVBand="0"/>
      </w:tblPr>
      <w:tblGrid>
        <w:gridCol w:w="3288"/>
        <w:gridCol w:w="1375"/>
        <w:gridCol w:w="1375"/>
        <w:gridCol w:w="1375"/>
        <w:gridCol w:w="1376"/>
      </w:tblGrid>
      <w:tr w:rsidR="006122B4" w:rsidRPr="001C6BCF" w:rsidTr="00A07570">
        <w:tc>
          <w:tcPr>
            <w:tcW w:w="1871" w:type="pct"/>
            <w:tcBorders>
              <w:top w:val="single" w:sz="6" w:space="0" w:color="auto"/>
              <w:bottom w:val="single" w:sz="6" w:space="0" w:color="auto"/>
            </w:tcBorders>
            <w:shd w:val="clear" w:color="auto" w:fill="auto"/>
          </w:tcPr>
          <w:p w:rsidR="006122B4" w:rsidRPr="001C6BCF" w:rsidRDefault="006122B4" w:rsidP="00A07570">
            <w:pPr>
              <w:pStyle w:val="TableColumnHeading"/>
              <w:jc w:val="left"/>
            </w:pPr>
          </w:p>
        </w:tc>
        <w:tc>
          <w:tcPr>
            <w:tcW w:w="782" w:type="pct"/>
            <w:tcBorders>
              <w:top w:val="single" w:sz="6" w:space="0" w:color="auto"/>
              <w:bottom w:val="single" w:sz="6" w:space="0" w:color="auto"/>
            </w:tcBorders>
            <w:shd w:val="clear" w:color="auto" w:fill="auto"/>
            <w:vAlign w:val="bottom"/>
          </w:tcPr>
          <w:p w:rsidR="006122B4" w:rsidRPr="001C6BCF" w:rsidRDefault="006122B4" w:rsidP="00A07570">
            <w:pPr>
              <w:pStyle w:val="TableColumnHeading"/>
            </w:pPr>
            <w:r w:rsidRPr="001C6BCF">
              <w:rPr>
                <w:rFonts w:cs="Arial"/>
                <w:color w:val="000000"/>
              </w:rPr>
              <w:t>Growth in cycle 3</w:t>
            </w:r>
            <w:r w:rsidR="001672A6" w:rsidRPr="001C6BCF">
              <w:rPr>
                <w:rStyle w:val="NoteLabel"/>
                <w:i w:val="0"/>
              </w:rPr>
              <w:t>b</w:t>
            </w:r>
          </w:p>
        </w:tc>
        <w:tc>
          <w:tcPr>
            <w:tcW w:w="782" w:type="pct"/>
            <w:tcBorders>
              <w:top w:val="single" w:sz="6" w:space="0" w:color="auto"/>
              <w:bottom w:val="single" w:sz="6" w:space="0" w:color="auto"/>
            </w:tcBorders>
            <w:shd w:val="clear" w:color="auto" w:fill="auto"/>
            <w:vAlign w:val="bottom"/>
          </w:tcPr>
          <w:p w:rsidR="006122B4" w:rsidRPr="001C6BCF" w:rsidRDefault="006122B4" w:rsidP="00A07570">
            <w:pPr>
              <w:pStyle w:val="TableColumnHeading"/>
            </w:pPr>
            <w:r w:rsidRPr="001C6BCF">
              <w:rPr>
                <w:rFonts w:cs="Arial"/>
                <w:color w:val="000000"/>
              </w:rPr>
              <w:t>Growth in cycle 4</w:t>
            </w:r>
            <w:r w:rsidR="001672A6" w:rsidRPr="001C6BCF">
              <w:rPr>
                <w:rStyle w:val="NoteLabel"/>
                <w:i w:val="0"/>
              </w:rPr>
              <w:t>b</w:t>
            </w:r>
          </w:p>
        </w:tc>
        <w:tc>
          <w:tcPr>
            <w:tcW w:w="782" w:type="pct"/>
            <w:tcBorders>
              <w:top w:val="single" w:sz="6" w:space="0" w:color="auto"/>
              <w:bottom w:val="single" w:sz="6" w:space="0" w:color="auto"/>
            </w:tcBorders>
            <w:shd w:val="clear" w:color="auto" w:fill="auto"/>
            <w:vAlign w:val="bottom"/>
          </w:tcPr>
          <w:p w:rsidR="006122B4" w:rsidRPr="001C6BCF" w:rsidRDefault="006122B4" w:rsidP="00A07570">
            <w:pPr>
              <w:pStyle w:val="TableColumnHeading"/>
            </w:pPr>
            <w:r w:rsidRPr="001C6BCF">
              <w:rPr>
                <w:rFonts w:cs="Arial"/>
                <w:color w:val="000000"/>
              </w:rPr>
              <w:t>Difference</w:t>
            </w:r>
          </w:p>
        </w:tc>
        <w:tc>
          <w:tcPr>
            <w:tcW w:w="783" w:type="pct"/>
            <w:tcBorders>
              <w:top w:val="single" w:sz="6" w:space="0" w:color="auto"/>
              <w:bottom w:val="single" w:sz="6" w:space="0" w:color="auto"/>
            </w:tcBorders>
            <w:shd w:val="clear" w:color="auto" w:fill="auto"/>
            <w:vAlign w:val="bottom"/>
          </w:tcPr>
          <w:p w:rsidR="006122B4" w:rsidRPr="001C6BCF" w:rsidRDefault="006122B4" w:rsidP="003214F1">
            <w:pPr>
              <w:pStyle w:val="TableColumnHeading"/>
              <w:ind w:right="28"/>
            </w:pPr>
            <w:r w:rsidRPr="001C6BCF">
              <w:rPr>
                <w:rFonts w:cs="Arial"/>
                <w:color w:val="000000"/>
              </w:rPr>
              <w:t>Re</w:t>
            </w:r>
            <w:r w:rsidR="003214F1" w:rsidRPr="001C6BCF">
              <w:rPr>
                <w:rFonts w:cs="Arial"/>
                <w:color w:val="000000"/>
              </w:rPr>
              <w:t xml:space="preserve">al value of imports in 2003-04 </w:t>
            </w:r>
          </w:p>
        </w:tc>
      </w:tr>
      <w:tr w:rsidR="006122B4" w:rsidRPr="001C6BCF" w:rsidTr="00467A16">
        <w:tc>
          <w:tcPr>
            <w:tcW w:w="1871" w:type="pct"/>
            <w:tcBorders>
              <w:top w:val="single" w:sz="6" w:space="0" w:color="auto"/>
            </w:tcBorders>
            <w:vAlign w:val="bottom"/>
          </w:tcPr>
          <w:p w:rsidR="006122B4" w:rsidRPr="001C6BCF" w:rsidRDefault="006122B4" w:rsidP="00467A16">
            <w:pPr>
              <w:pStyle w:val="TableUnitsRow"/>
            </w:pPr>
          </w:p>
        </w:tc>
        <w:tc>
          <w:tcPr>
            <w:tcW w:w="782" w:type="pct"/>
            <w:tcBorders>
              <w:top w:val="single" w:sz="6" w:space="0" w:color="auto"/>
            </w:tcBorders>
            <w:vAlign w:val="bottom"/>
          </w:tcPr>
          <w:p w:rsidR="006122B4" w:rsidRPr="001C6BCF" w:rsidRDefault="00522B06" w:rsidP="00467A16">
            <w:pPr>
              <w:pStyle w:val="TableUnitsRow"/>
              <w:framePr w:w="2155" w:hSpace="227" w:vSpace="181" w:wrap="around" w:vAnchor="text" w:hAnchor="page" w:xAlign="outside" w:y="1"/>
            </w:pPr>
            <w:r w:rsidRPr="001C6BCF">
              <w:t xml:space="preserve">% </w:t>
            </w:r>
            <w:proofErr w:type="spellStart"/>
            <w:r w:rsidR="006122B4" w:rsidRPr="001C6BCF">
              <w:t>p</w:t>
            </w:r>
            <w:r w:rsidR="00220807" w:rsidRPr="001C6BCF">
              <w:t>y</w:t>
            </w:r>
            <w:proofErr w:type="spellEnd"/>
          </w:p>
        </w:tc>
        <w:tc>
          <w:tcPr>
            <w:tcW w:w="782" w:type="pct"/>
            <w:tcBorders>
              <w:top w:val="single" w:sz="6" w:space="0" w:color="auto"/>
            </w:tcBorders>
            <w:vAlign w:val="bottom"/>
          </w:tcPr>
          <w:p w:rsidR="006122B4" w:rsidRPr="001C6BCF" w:rsidRDefault="00522B06" w:rsidP="00467A16">
            <w:pPr>
              <w:pStyle w:val="TableUnitsRow"/>
              <w:framePr w:w="2155" w:hSpace="227" w:vSpace="181" w:wrap="around" w:vAnchor="text" w:hAnchor="page" w:xAlign="outside" w:y="1"/>
            </w:pPr>
            <w:r w:rsidRPr="001C6BCF">
              <w:t xml:space="preserve">% </w:t>
            </w:r>
            <w:proofErr w:type="spellStart"/>
            <w:r w:rsidR="006122B4" w:rsidRPr="001C6BCF">
              <w:t>p</w:t>
            </w:r>
            <w:r w:rsidR="00220807" w:rsidRPr="001C6BCF">
              <w:t>y</w:t>
            </w:r>
            <w:proofErr w:type="spellEnd"/>
          </w:p>
        </w:tc>
        <w:tc>
          <w:tcPr>
            <w:tcW w:w="782" w:type="pct"/>
            <w:tcBorders>
              <w:top w:val="single" w:sz="6" w:space="0" w:color="auto"/>
            </w:tcBorders>
            <w:vAlign w:val="bottom"/>
          </w:tcPr>
          <w:p w:rsidR="006122B4" w:rsidRPr="001C6BCF" w:rsidRDefault="001672A6" w:rsidP="00467A16">
            <w:pPr>
              <w:pStyle w:val="TableUnitsRow"/>
              <w:framePr w:w="2155" w:hSpace="227" w:vSpace="181" w:wrap="around" w:vAnchor="text" w:hAnchor="page" w:xAlign="outside" w:y="1"/>
            </w:pPr>
            <w:r w:rsidRPr="001C6BCF">
              <w:t>%</w:t>
            </w:r>
            <w:r w:rsidR="00F741BA" w:rsidRPr="001C6BCF">
              <w:t xml:space="preserve"> </w:t>
            </w:r>
            <w:proofErr w:type="spellStart"/>
            <w:r w:rsidR="006122B4" w:rsidRPr="001C6BCF">
              <w:t>pts</w:t>
            </w:r>
            <w:proofErr w:type="spellEnd"/>
          </w:p>
        </w:tc>
        <w:tc>
          <w:tcPr>
            <w:tcW w:w="783" w:type="pct"/>
            <w:tcBorders>
              <w:top w:val="single" w:sz="6" w:space="0" w:color="auto"/>
            </w:tcBorders>
            <w:vAlign w:val="bottom"/>
          </w:tcPr>
          <w:p w:rsidR="006122B4" w:rsidRPr="001C6BCF" w:rsidRDefault="006122B4" w:rsidP="00467A16">
            <w:pPr>
              <w:pStyle w:val="TableUnitsRow"/>
              <w:framePr w:w="2155" w:hSpace="227" w:vSpace="181" w:wrap="around" w:vAnchor="text" w:hAnchor="page" w:xAlign="outside" w:y="1"/>
              <w:ind w:right="28"/>
            </w:pPr>
            <w:r w:rsidRPr="001C6BCF">
              <w:t>20</w:t>
            </w:r>
            <w:r w:rsidR="003C6C11" w:rsidRPr="001C6BCF">
              <w:t>09-10</w:t>
            </w:r>
            <w:r w:rsidRPr="001C6BCF">
              <w:t xml:space="preserve"> $m</w:t>
            </w:r>
          </w:p>
        </w:tc>
      </w:tr>
      <w:tr w:rsidR="003C6C11" w:rsidRPr="001C6BCF" w:rsidTr="0020514B">
        <w:tc>
          <w:tcPr>
            <w:tcW w:w="1871" w:type="pct"/>
            <w:shd w:val="clear" w:color="auto" w:fill="D9D9D9" w:themeFill="background1" w:themeFillShade="D9"/>
            <w:vAlign w:val="bottom"/>
          </w:tcPr>
          <w:p w:rsidR="003C6C11" w:rsidRPr="001C6BCF" w:rsidRDefault="003C6C11" w:rsidP="00A07570">
            <w:pPr>
              <w:pStyle w:val="TableBodyText"/>
              <w:jc w:val="left"/>
            </w:pPr>
            <w:r w:rsidRPr="001C6BCF">
              <w:rPr>
                <w:rFonts w:cs="Arial"/>
                <w:color w:val="000000"/>
              </w:rPr>
              <w:t>Organic chemicals</w:t>
            </w:r>
          </w:p>
        </w:tc>
        <w:tc>
          <w:tcPr>
            <w:tcW w:w="782" w:type="pct"/>
            <w:shd w:val="clear" w:color="auto" w:fill="D9D9D9" w:themeFill="background1" w:themeFillShade="D9"/>
            <w:vAlign w:val="bottom"/>
          </w:tcPr>
          <w:p w:rsidR="003C6C11" w:rsidRPr="001C6BCF" w:rsidRDefault="003C6C11" w:rsidP="005368E5">
            <w:pPr>
              <w:pStyle w:val="TableBodyText"/>
            </w:pPr>
            <w:r w:rsidRPr="001C6BCF">
              <w:rPr>
                <w:rFonts w:cs="Arial"/>
                <w:color w:val="000000"/>
              </w:rPr>
              <w:t>-2.5</w:t>
            </w:r>
          </w:p>
        </w:tc>
        <w:tc>
          <w:tcPr>
            <w:tcW w:w="782" w:type="pct"/>
            <w:shd w:val="clear" w:color="auto" w:fill="D9D9D9" w:themeFill="background1" w:themeFillShade="D9"/>
            <w:vAlign w:val="bottom"/>
          </w:tcPr>
          <w:p w:rsidR="003C6C11" w:rsidRPr="001C6BCF" w:rsidRDefault="003C6C11" w:rsidP="00A07570">
            <w:pPr>
              <w:pStyle w:val="TableBodyText"/>
            </w:pPr>
            <w:r w:rsidRPr="001C6BCF">
              <w:rPr>
                <w:rFonts w:cs="Arial"/>
                <w:color w:val="000000"/>
              </w:rPr>
              <w:t>7.0</w:t>
            </w:r>
          </w:p>
        </w:tc>
        <w:tc>
          <w:tcPr>
            <w:tcW w:w="782" w:type="pct"/>
            <w:shd w:val="clear" w:color="auto" w:fill="D9D9D9" w:themeFill="background1" w:themeFillShade="D9"/>
            <w:vAlign w:val="bottom"/>
          </w:tcPr>
          <w:p w:rsidR="003C6C11" w:rsidRPr="001C6BCF" w:rsidRDefault="003C6C11" w:rsidP="00A07570">
            <w:pPr>
              <w:pStyle w:val="TableBodyText"/>
            </w:pPr>
            <w:r w:rsidRPr="001C6BCF">
              <w:rPr>
                <w:rFonts w:cs="Arial"/>
                <w:color w:val="000000"/>
              </w:rPr>
              <w:t>9.5</w:t>
            </w:r>
          </w:p>
        </w:tc>
        <w:tc>
          <w:tcPr>
            <w:tcW w:w="783" w:type="pct"/>
            <w:shd w:val="clear" w:color="auto" w:fill="D9D9D9" w:themeFill="background1" w:themeFillShade="D9"/>
            <w:vAlign w:val="bottom"/>
          </w:tcPr>
          <w:p w:rsidR="003C6C11" w:rsidRPr="001C6BCF" w:rsidRDefault="003C6C11" w:rsidP="003C6C11">
            <w:pPr>
              <w:pStyle w:val="TableBodyText"/>
            </w:pPr>
            <w:r w:rsidRPr="001C6BCF">
              <w:t>2</w:t>
            </w:r>
            <w:r w:rsidR="00097A11" w:rsidRPr="001C6BCF">
              <w:t xml:space="preserve"> </w:t>
            </w:r>
            <w:r w:rsidRPr="001C6BCF">
              <w:t>988</w:t>
            </w:r>
          </w:p>
        </w:tc>
      </w:tr>
      <w:tr w:rsidR="003C6C11" w:rsidRPr="001C6BCF" w:rsidTr="00A07570">
        <w:tc>
          <w:tcPr>
            <w:tcW w:w="1871" w:type="pct"/>
            <w:vAlign w:val="bottom"/>
          </w:tcPr>
          <w:p w:rsidR="003C6C11" w:rsidRPr="001C6BCF" w:rsidRDefault="003C6C11" w:rsidP="001F162C">
            <w:pPr>
              <w:pStyle w:val="TableBodyText"/>
              <w:jc w:val="left"/>
            </w:pPr>
            <w:r w:rsidRPr="001C6BCF">
              <w:rPr>
                <w:rFonts w:cs="Arial"/>
                <w:color w:val="000000"/>
              </w:rPr>
              <w:t>Plastics in non-primary forms</w:t>
            </w:r>
          </w:p>
        </w:tc>
        <w:tc>
          <w:tcPr>
            <w:tcW w:w="782" w:type="pct"/>
            <w:vAlign w:val="bottom"/>
          </w:tcPr>
          <w:p w:rsidR="003C6C11" w:rsidRPr="001C6BCF" w:rsidRDefault="003C6C11" w:rsidP="00A07570">
            <w:pPr>
              <w:pStyle w:val="TableBodyText"/>
            </w:pPr>
            <w:r w:rsidRPr="001C6BCF">
              <w:rPr>
                <w:rFonts w:cs="Arial"/>
                <w:color w:val="000000"/>
              </w:rPr>
              <w:t>3.4</w:t>
            </w:r>
          </w:p>
        </w:tc>
        <w:tc>
          <w:tcPr>
            <w:tcW w:w="782" w:type="pct"/>
            <w:vAlign w:val="bottom"/>
          </w:tcPr>
          <w:p w:rsidR="003C6C11" w:rsidRPr="001C6BCF" w:rsidRDefault="003C6C11" w:rsidP="00A07570">
            <w:pPr>
              <w:pStyle w:val="TableBodyText"/>
            </w:pPr>
            <w:r w:rsidRPr="001C6BCF">
              <w:rPr>
                <w:rFonts w:cs="Arial"/>
                <w:color w:val="000000"/>
              </w:rPr>
              <w:t>10.6</w:t>
            </w:r>
          </w:p>
        </w:tc>
        <w:tc>
          <w:tcPr>
            <w:tcW w:w="782" w:type="pct"/>
            <w:vAlign w:val="bottom"/>
          </w:tcPr>
          <w:p w:rsidR="003C6C11" w:rsidRPr="001C6BCF" w:rsidRDefault="003C6C11" w:rsidP="00A07570">
            <w:pPr>
              <w:pStyle w:val="TableBodyText"/>
            </w:pPr>
            <w:r w:rsidRPr="001C6BCF">
              <w:rPr>
                <w:rFonts w:cs="Arial"/>
                <w:color w:val="000000"/>
              </w:rPr>
              <w:t>7.2</w:t>
            </w:r>
          </w:p>
        </w:tc>
        <w:tc>
          <w:tcPr>
            <w:tcW w:w="783" w:type="pct"/>
            <w:vAlign w:val="bottom"/>
          </w:tcPr>
          <w:p w:rsidR="003C6C11" w:rsidRPr="001C6BCF" w:rsidRDefault="003C6C11" w:rsidP="003C6C11">
            <w:pPr>
              <w:pStyle w:val="TableBodyText"/>
            </w:pPr>
            <w:r w:rsidRPr="001C6BCF">
              <w:t>1</w:t>
            </w:r>
            <w:r w:rsidR="00097A11" w:rsidRPr="001C6BCF">
              <w:t xml:space="preserve"> </w:t>
            </w:r>
            <w:r w:rsidRPr="001C6BCF">
              <w:t>030</w:t>
            </w:r>
          </w:p>
        </w:tc>
      </w:tr>
      <w:tr w:rsidR="003C6C11" w:rsidRPr="001C6BCF" w:rsidTr="0020514B">
        <w:tc>
          <w:tcPr>
            <w:tcW w:w="1871" w:type="pct"/>
            <w:shd w:val="clear" w:color="auto" w:fill="D9D9D9" w:themeFill="background1" w:themeFillShade="D9"/>
            <w:vAlign w:val="bottom"/>
          </w:tcPr>
          <w:p w:rsidR="003C6C11" w:rsidRPr="001C6BCF" w:rsidRDefault="003C6C11" w:rsidP="00A07570">
            <w:pPr>
              <w:pStyle w:val="TableBodyText"/>
              <w:jc w:val="left"/>
            </w:pPr>
            <w:r w:rsidRPr="001C6BCF">
              <w:rPr>
                <w:rFonts w:cs="Arial"/>
                <w:color w:val="000000"/>
              </w:rPr>
              <w:t>Fertilizers (excluding crude)</w:t>
            </w:r>
          </w:p>
        </w:tc>
        <w:tc>
          <w:tcPr>
            <w:tcW w:w="782" w:type="pct"/>
            <w:shd w:val="clear" w:color="auto" w:fill="D9D9D9" w:themeFill="background1" w:themeFillShade="D9"/>
            <w:vAlign w:val="bottom"/>
          </w:tcPr>
          <w:p w:rsidR="003C6C11" w:rsidRPr="001C6BCF" w:rsidRDefault="003C6C11" w:rsidP="00A07570">
            <w:pPr>
              <w:pStyle w:val="TableBodyText"/>
            </w:pPr>
            <w:r w:rsidRPr="001C6BCF">
              <w:rPr>
                <w:rFonts w:cs="Arial"/>
                <w:color w:val="000000"/>
              </w:rPr>
              <w:t>-2.6</w:t>
            </w:r>
          </w:p>
        </w:tc>
        <w:tc>
          <w:tcPr>
            <w:tcW w:w="782" w:type="pct"/>
            <w:shd w:val="clear" w:color="auto" w:fill="D9D9D9" w:themeFill="background1" w:themeFillShade="D9"/>
            <w:vAlign w:val="bottom"/>
          </w:tcPr>
          <w:p w:rsidR="003C6C11" w:rsidRPr="001C6BCF" w:rsidRDefault="003C6C11" w:rsidP="00A07570">
            <w:pPr>
              <w:pStyle w:val="TableBodyText"/>
            </w:pPr>
            <w:r w:rsidRPr="001C6BCF">
              <w:rPr>
                <w:rFonts w:cs="Arial"/>
                <w:color w:val="000000"/>
              </w:rPr>
              <w:t>4.0</w:t>
            </w:r>
          </w:p>
        </w:tc>
        <w:tc>
          <w:tcPr>
            <w:tcW w:w="782" w:type="pct"/>
            <w:shd w:val="clear" w:color="auto" w:fill="D9D9D9" w:themeFill="background1" w:themeFillShade="D9"/>
            <w:vAlign w:val="bottom"/>
          </w:tcPr>
          <w:p w:rsidR="003C6C11" w:rsidRPr="001C6BCF" w:rsidRDefault="003C6C11" w:rsidP="00A07570">
            <w:pPr>
              <w:pStyle w:val="TableBodyText"/>
            </w:pPr>
            <w:r w:rsidRPr="001C6BCF">
              <w:rPr>
                <w:rFonts w:cs="Arial"/>
                <w:color w:val="000000"/>
              </w:rPr>
              <w:t>6.5</w:t>
            </w:r>
          </w:p>
        </w:tc>
        <w:tc>
          <w:tcPr>
            <w:tcW w:w="783" w:type="pct"/>
            <w:shd w:val="clear" w:color="auto" w:fill="D9D9D9" w:themeFill="background1" w:themeFillShade="D9"/>
            <w:vAlign w:val="bottom"/>
          </w:tcPr>
          <w:p w:rsidR="003C6C11" w:rsidRPr="001C6BCF" w:rsidRDefault="003C6C11" w:rsidP="003C6C11">
            <w:pPr>
              <w:pStyle w:val="TableBodyText"/>
            </w:pPr>
            <w:r w:rsidRPr="001C6BCF">
              <w:t>990</w:t>
            </w:r>
          </w:p>
        </w:tc>
      </w:tr>
      <w:tr w:rsidR="003C6C11" w:rsidRPr="001C6BCF" w:rsidTr="00A07570">
        <w:tc>
          <w:tcPr>
            <w:tcW w:w="1871" w:type="pct"/>
            <w:vAlign w:val="bottom"/>
          </w:tcPr>
          <w:p w:rsidR="003C6C11" w:rsidRPr="001C6BCF" w:rsidRDefault="003C6C11" w:rsidP="00A07570">
            <w:pPr>
              <w:pStyle w:val="TableBodyText"/>
              <w:jc w:val="left"/>
            </w:pPr>
            <w:r w:rsidRPr="001C6BCF">
              <w:rPr>
                <w:rFonts w:cs="Arial"/>
                <w:color w:val="000000"/>
              </w:rPr>
              <w:t>Plastics in primary forms</w:t>
            </w:r>
          </w:p>
        </w:tc>
        <w:tc>
          <w:tcPr>
            <w:tcW w:w="782" w:type="pct"/>
            <w:vAlign w:val="bottom"/>
          </w:tcPr>
          <w:p w:rsidR="003C6C11" w:rsidRPr="001C6BCF" w:rsidRDefault="003C6C11" w:rsidP="00A07570">
            <w:pPr>
              <w:pStyle w:val="TableBodyText"/>
            </w:pPr>
            <w:r w:rsidRPr="001C6BCF">
              <w:rPr>
                <w:rFonts w:cs="Arial"/>
                <w:color w:val="000000"/>
              </w:rPr>
              <w:t>1.1</w:t>
            </w:r>
          </w:p>
        </w:tc>
        <w:tc>
          <w:tcPr>
            <w:tcW w:w="782" w:type="pct"/>
            <w:vAlign w:val="bottom"/>
          </w:tcPr>
          <w:p w:rsidR="003C6C11" w:rsidRPr="001C6BCF" w:rsidRDefault="003C6C11" w:rsidP="00A07570">
            <w:pPr>
              <w:pStyle w:val="TableBodyText"/>
            </w:pPr>
            <w:r w:rsidRPr="001C6BCF">
              <w:rPr>
                <w:rFonts w:cs="Arial"/>
                <w:color w:val="000000"/>
              </w:rPr>
              <w:t>3.5</w:t>
            </w:r>
          </w:p>
        </w:tc>
        <w:tc>
          <w:tcPr>
            <w:tcW w:w="782" w:type="pct"/>
            <w:vAlign w:val="bottom"/>
          </w:tcPr>
          <w:p w:rsidR="003C6C11" w:rsidRPr="001C6BCF" w:rsidRDefault="003C6C11" w:rsidP="00A07570">
            <w:pPr>
              <w:pStyle w:val="TableBodyText"/>
            </w:pPr>
            <w:r w:rsidRPr="001C6BCF">
              <w:rPr>
                <w:rFonts w:cs="Arial"/>
                <w:color w:val="000000"/>
              </w:rPr>
              <w:t>2.4</w:t>
            </w:r>
          </w:p>
        </w:tc>
        <w:tc>
          <w:tcPr>
            <w:tcW w:w="783" w:type="pct"/>
            <w:vAlign w:val="bottom"/>
          </w:tcPr>
          <w:p w:rsidR="003C6C11" w:rsidRPr="001C6BCF" w:rsidRDefault="003C6C11" w:rsidP="003C6C11">
            <w:pPr>
              <w:pStyle w:val="TableBodyText"/>
            </w:pPr>
            <w:r w:rsidRPr="001C6BCF">
              <w:t>1</w:t>
            </w:r>
            <w:r w:rsidR="00097A11" w:rsidRPr="001C6BCF">
              <w:t xml:space="preserve"> </w:t>
            </w:r>
            <w:r w:rsidRPr="001C6BCF">
              <w:t>769</w:t>
            </w:r>
          </w:p>
        </w:tc>
      </w:tr>
      <w:tr w:rsidR="003C6C11" w:rsidRPr="001C6BCF" w:rsidTr="0020514B">
        <w:tc>
          <w:tcPr>
            <w:tcW w:w="1871" w:type="pct"/>
            <w:shd w:val="clear" w:color="auto" w:fill="D9D9D9" w:themeFill="background1" w:themeFillShade="D9"/>
            <w:vAlign w:val="bottom"/>
          </w:tcPr>
          <w:p w:rsidR="003C6C11" w:rsidRPr="001C6BCF" w:rsidRDefault="003C6C11" w:rsidP="00A07570">
            <w:pPr>
              <w:pStyle w:val="TableBodyText"/>
              <w:jc w:val="left"/>
            </w:pPr>
            <w:r w:rsidRPr="001C6BCF">
              <w:rPr>
                <w:rFonts w:cs="Arial"/>
                <w:color w:val="000000"/>
              </w:rPr>
              <w:t>Inorganic chemicals</w:t>
            </w:r>
          </w:p>
        </w:tc>
        <w:tc>
          <w:tcPr>
            <w:tcW w:w="782" w:type="pct"/>
            <w:shd w:val="clear" w:color="auto" w:fill="D9D9D9" w:themeFill="background1" w:themeFillShade="D9"/>
            <w:vAlign w:val="bottom"/>
          </w:tcPr>
          <w:p w:rsidR="003C6C11" w:rsidRPr="001C6BCF" w:rsidRDefault="003C6C11" w:rsidP="00A07570">
            <w:pPr>
              <w:pStyle w:val="TableBodyText"/>
            </w:pPr>
            <w:r w:rsidRPr="001C6BCF">
              <w:rPr>
                <w:rFonts w:cs="Arial"/>
                <w:color w:val="000000"/>
              </w:rPr>
              <w:t>5.2</w:t>
            </w:r>
          </w:p>
        </w:tc>
        <w:tc>
          <w:tcPr>
            <w:tcW w:w="782" w:type="pct"/>
            <w:shd w:val="clear" w:color="auto" w:fill="D9D9D9" w:themeFill="background1" w:themeFillShade="D9"/>
            <w:vAlign w:val="bottom"/>
          </w:tcPr>
          <w:p w:rsidR="003C6C11" w:rsidRPr="001C6BCF" w:rsidRDefault="003C6C11" w:rsidP="00A07570">
            <w:pPr>
              <w:pStyle w:val="TableBodyText"/>
            </w:pPr>
            <w:r w:rsidRPr="001C6BCF">
              <w:rPr>
                <w:rFonts w:cs="Arial"/>
                <w:color w:val="000000"/>
              </w:rPr>
              <w:t>7.2</w:t>
            </w:r>
          </w:p>
        </w:tc>
        <w:tc>
          <w:tcPr>
            <w:tcW w:w="782" w:type="pct"/>
            <w:shd w:val="clear" w:color="auto" w:fill="D9D9D9" w:themeFill="background1" w:themeFillShade="D9"/>
            <w:vAlign w:val="bottom"/>
          </w:tcPr>
          <w:p w:rsidR="003C6C11" w:rsidRPr="001C6BCF" w:rsidRDefault="003C6C11" w:rsidP="00A07570">
            <w:pPr>
              <w:pStyle w:val="TableBodyText"/>
            </w:pPr>
            <w:r w:rsidRPr="001C6BCF">
              <w:rPr>
                <w:rFonts w:cs="Arial"/>
                <w:color w:val="000000"/>
              </w:rPr>
              <w:t>2.0</w:t>
            </w:r>
          </w:p>
        </w:tc>
        <w:tc>
          <w:tcPr>
            <w:tcW w:w="783" w:type="pct"/>
            <w:shd w:val="clear" w:color="auto" w:fill="D9D9D9" w:themeFill="background1" w:themeFillShade="D9"/>
            <w:vAlign w:val="bottom"/>
          </w:tcPr>
          <w:p w:rsidR="003C6C11" w:rsidRPr="001C6BCF" w:rsidRDefault="003C6C11" w:rsidP="003C6C11">
            <w:pPr>
              <w:pStyle w:val="TableBodyText"/>
            </w:pPr>
            <w:r w:rsidRPr="001C6BCF">
              <w:t>842</w:t>
            </w:r>
          </w:p>
        </w:tc>
      </w:tr>
      <w:tr w:rsidR="003C6C11" w:rsidRPr="001C6BCF" w:rsidTr="00A07570">
        <w:tc>
          <w:tcPr>
            <w:tcW w:w="1871" w:type="pct"/>
            <w:vAlign w:val="bottom"/>
          </w:tcPr>
          <w:p w:rsidR="003C6C11" w:rsidRPr="001C6BCF" w:rsidRDefault="003C6C11" w:rsidP="00A07570">
            <w:pPr>
              <w:pStyle w:val="TableBodyText"/>
              <w:jc w:val="left"/>
            </w:pPr>
            <w:r w:rsidRPr="001C6BCF">
              <w:rPr>
                <w:rFonts w:cs="Arial"/>
                <w:color w:val="000000"/>
              </w:rPr>
              <w:t>Dyeing &amp; colouring materials</w:t>
            </w:r>
          </w:p>
        </w:tc>
        <w:tc>
          <w:tcPr>
            <w:tcW w:w="782" w:type="pct"/>
            <w:vAlign w:val="bottom"/>
          </w:tcPr>
          <w:p w:rsidR="003C6C11" w:rsidRPr="001C6BCF" w:rsidRDefault="003C6C11" w:rsidP="00A07570">
            <w:pPr>
              <w:pStyle w:val="TableBodyText"/>
            </w:pPr>
            <w:r w:rsidRPr="001C6BCF">
              <w:rPr>
                <w:rFonts w:cs="Arial"/>
                <w:color w:val="000000"/>
              </w:rPr>
              <w:t>8.5</w:t>
            </w:r>
          </w:p>
        </w:tc>
        <w:tc>
          <w:tcPr>
            <w:tcW w:w="782" w:type="pct"/>
            <w:vAlign w:val="bottom"/>
          </w:tcPr>
          <w:p w:rsidR="003C6C11" w:rsidRPr="001C6BCF" w:rsidRDefault="003C6C11" w:rsidP="00A07570">
            <w:pPr>
              <w:pStyle w:val="TableBodyText"/>
            </w:pPr>
            <w:r w:rsidRPr="001C6BCF">
              <w:rPr>
                <w:rFonts w:cs="Arial"/>
                <w:color w:val="000000"/>
              </w:rPr>
              <w:t>10.0</w:t>
            </w:r>
          </w:p>
        </w:tc>
        <w:tc>
          <w:tcPr>
            <w:tcW w:w="782" w:type="pct"/>
            <w:vAlign w:val="bottom"/>
          </w:tcPr>
          <w:p w:rsidR="003C6C11" w:rsidRPr="001C6BCF" w:rsidRDefault="003C6C11" w:rsidP="00A07570">
            <w:pPr>
              <w:pStyle w:val="TableBodyText"/>
            </w:pPr>
            <w:r w:rsidRPr="001C6BCF">
              <w:rPr>
                <w:rFonts w:cs="Arial"/>
                <w:color w:val="000000"/>
              </w:rPr>
              <w:t>1.6</w:t>
            </w:r>
          </w:p>
        </w:tc>
        <w:tc>
          <w:tcPr>
            <w:tcW w:w="783" w:type="pct"/>
            <w:vAlign w:val="bottom"/>
          </w:tcPr>
          <w:p w:rsidR="003C6C11" w:rsidRPr="001C6BCF" w:rsidRDefault="003C6C11" w:rsidP="003C6C11">
            <w:pPr>
              <w:pStyle w:val="TableBodyText"/>
            </w:pPr>
            <w:r w:rsidRPr="001C6BCF">
              <w:t>440</w:t>
            </w:r>
          </w:p>
        </w:tc>
      </w:tr>
      <w:tr w:rsidR="003C6C11" w:rsidRPr="001C6BCF" w:rsidTr="0020514B">
        <w:tc>
          <w:tcPr>
            <w:tcW w:w="1871" w:type="pct"/>
            <w:shd w:val="clear" w:color="auto" w:fill="D9D9D9" w:themeFill="background1" w:themeFillShade="D9"/>
            <w:vAlign w:val="bottom"/>
          </w:tcPr>
          <w:p w:rsidR="003C6C11" w:rsidRPr="001C6BCF" w:rsidRDefault="003C6C11" w:rsidP="00A07570">
            <w:pPr>
              <w:pStyle w:val="TableBodyText"/>
              <w:jc w:val="left"/>
            </w:pPr>
            <w:r w:rsidRPr="001C6BCF">
              <w:rPr>
                <w:rFonts w:cs="Arial"/>
                <w:color w:val="000000"/>
              </w:rPr>
              <w:t xml:space="preserve">Chemical materials &amp; prods </w:t>
            </w:r>
            <w:proofErr w:type="spellStart"/>
            <w:r w:rsidRPr="001C6BCF">
              <w:rPr>
                <w:rFonts w:cs="Arial"/>
                <w:color w:val="000000"/>
              </w:rPr>
              <w:t>nes</w:t>
            </w:r>
            <w:proofErr w:type="spellEnd"/>
            <w:r w:rsidRPr="001C6BCF">
              <w:rPr>
                <w:rFonts w:cs="Arial"/>
                <w:color w:val="000000"/>
              </w:rPr>
              <w:t>.</w:t>
            </w:r>
          </w:p>
        </w:tc>
        <w:tc>
          <w:tcPr>
            <w:tcW w:w="782" w:type="pct"/>
            <w:shd w:val="clear" w:color="auto" w:fill="D9D9D9" w:themeFill="background1" w:themeFillShade="D9"/>
            <w:vAlign w:val="bottom"/>
          </w:tcPr>
          <w:p w:rsidR="003C6C11" w:rsidRPr="001C6BCF" w:rsidRDefault="003C6C11" w:rsidP="00A07570">
            <w:pPr>
              <w:pStyle w:val="TableBodyText"/>
            </w:pPr>
            <w:r w:rsidRPr="001C6BCF">
              <w:rPr>
                <w:rFonts w:cs="Arial"/>
                <w:color w:val="000000"/>
              </w:rPr>
              <w:t>3.7</w:t>
            </w:r>
          </w:p>
        </w:tc>
        <w:tc>
          <w:tcPr>
            <w:tcW w:w="782" w:type="pct"/>
            <w:shd w:val="clear" w:color="auto" w:fill="D9D9D9" w:themeFill="background1" w:themeFillShade="D9"/>
            <w:vAlign w:val="bottom"/>
          </w:tcPr>
          <w:p w:rsidR="003C6C11" w:rsidRPr="001C6BCF" w:rsidRDefault="003C6C11" w:rsidP="00A07570">
            <w:pPr>
              <w:pStyle w:val="TableBodyText"/>
            </w:pPr>
            <w:r w:rsidRPr="001C6BCF">
              <w:rPr>
                <w:rFonts w:cs="Arial"/>
                <w:color w:val="000000"/>
              </w:rPr>
              <w:t>3.2</w:t>
            </w:r>
          </w:p>
        </w:tc>
        <w:tc>
          <w:tcPr>
            <w:tcW w:w="782" w:type="pct"/>
            <w:shd w:val="clear" w:color="auto" w:fill="D9D9D9" w:themeFill="background1" w:themeFillShade="D9"/>
            <w:vAlign w:val="bottom"/>
          </w:tcPr>
          <w:p w:rsidR="003C6C11" w:rsidRPr="001C6BCF" w:rsidRDefault="003C6C11" w:rsidP="00A07570">
            <w:pPr>
              <w:pStyle w:val="TableBodyText"/>
            </w:pPr>
            <w:r w:rsidRPr="001C6BCF">
              <w:rPr>
                <w:rFonts w:cs="Arial"/>
                <w:color w:val="000000"/>
              </w:rPr>
              <w:t>-0.5</w:t>
            </w:r>
          </w:p>
        </w:tc>
        <w:tc>
          <w:tcPr>
            <w:tcW w:w="783" w:type="pct"/>
            <w:shd w:val="clear" w:color="auto" w:fill="D9D9D9" w:themeFill="background1" w:themeFillShade="D9"/>
            <w:vAlign w:val="bottom"/>
          </w:tcPr>
          <w:p w:rsidR="003C6C11" w:rsidRPr="001C6BCF" w:rsidRDefault="003C6C11" w:rsidP="003C6C11">
            <w:pPr>
              <w:pStyle w:val="TableBodyText"/>
            </w:pPr>
            <w:r w:rsidRPr="001C6BCF">
              <w:t>1</w:t>
            </w:r>
            <w:r w:rsidR="00097A11" w:rsidRPr="001C6BCF">
              <w:t xml:space="preserve"> </w:t>
            </w:r>
            <w:r w:rsidRPr="001C6BCF">
              <w:t>907</w:t>
            </w:r>
          </w:p>
        </w:tc>
      </w:tr>
      <w:tr w:rsidR="003C6C11" w:rsidRPr="001C6BCF" w:rsidTr="00A07570">
        <w:tc>
          <w:tcPr>
            <w:tcW w:w="1871" w:type="pct"/>
            <w:vAlign w:val="bottom"/>
          </w:tcPr>
          <w:p w:rsidR="003C6C11" w:rsidRPr="001C6BCF" w:rsidRDefault="003C6C11" w:rsidP="00A07570">
            <w:pPr>
              <w:pStyle w:val="TableBodyText"/>
              <w:jc w:val="left"/>
            </w:pPr>
            <w:r w:rsidRPr="001C6BCF">
              <w:rPr>
                <w:rFonts w:cs="Arial"/>
                <w:color w:val="000000"/>
              </w:rPr>
              <w:t>Essential oils etc.</w:t>
            </w:r>
          </w:p>
        </w:tc>
        <w:tc>
          <w:tcPr>
            <w:tcW w:w="782" w:type="pct"/>
            <w:vAlign w:val="bottom"/>
          </w:tcPr>
          <w:p w:rsidR="003C6C11" w:rsidRPr="001C6BCF" w:rsidRDefault="003C6C11" w:rsidP="00A07570">
            <w:pPr>
              <w:pStyle w:val="TableBodyText"/>
            </w:pPr>
            <w:r w:rsidRPr="001C6BCF">
              <w:rPr>
                <w:rFonts w:cs="Arial"/>
                <w:color w:val="000000"/>
              </w:rPr>
              <w:t>8.6</w:t>
            </w:r>
          </w:p>
        </w:tc>
        <w:tc>
          <w:tcPr>
            <w:tcW w:w="782" w:type="pct"/>
            <w:vAlign w:val="bottom"/>
          </w:tcPr>
          <w:p w:rsidR="003C6C11" w:rsidRPr="001C6BCF" w:rsidRDefault="003C6C11" w:rsidP="00A07570">
            <w:pPr>
              <w:pStyle w:val="TableBodyText"/>
            </w:pPr>
            <w:r w:rsidRPr="001C6BCF">
              <w:rPr>
                <w:rFonts w:cs="Arial"/>
                <w:color w:val="000000"/>
              </w:rPr>
              <w:t>8.0</w:t>
            </w:r>
          </w:p>
        </w:tc>
        <w:tc>
          <w:tcPr>
            <w:tcW w:w="782" w:type="pct"/>
            <w:vAlign w:val="bottom"/>
          </w:tcPr>
          <w:p w:rsidR="003C6C11" w:rsidRPr="001C6BCF" w:rsidRDefault="003C6C11" w:rsidP="00A07570">
            <w:pPr>
              <w:pStyle w:val="TableBodyText"/>
            </w:pPr>
            <w:r w:rsidRPr="001C6BCF">
              <w:rPr>
                <w:rFonts w:cs="Arial"/>
                <w:color w:val="000000"/>
              </w:rPr>
              <w:t>-0.7</w:t>
            </w:r>
          </w:p>
        </w:tc>
        <w:tc>
          <w:tcPr>
            <w:tcW w:w="783" w:type="pct"/>
            <w:vAlign w:val="bottom"/>
          </w:tcPr>
          <w:p w:rsidR="003C6C11" w:rsidRPr="001C6BCF" w:rsidRDefault="003C6C11" w:rsidP="003C6C11">
            <w:pPr>
              <w:pStyle w:val="TableBodyText"/>
            </w:pPr>
            <w:r w:rsidRPr="001C6BCF">
              <w:t>1</w:t>
            </w:r>
            <w:r w:rsidR="00097A11" w:rsidRPr="001C6BCF">
              <w:t xml:space="preserve"> </w:t>
            </w:r>
            <w:r w:rsidRPr="001C6BCF">
              <w:t>263</w:t>
            </w:r>
          </w:p>
        </w:tc>
      </w:tr>
      <w:tr w:rsidR="003C6C11" w:rsidRPr="001C6BCF" w:rsidTr="0020514B">
        <w:tc>
          <w:tcPr>
            <w:tcW w:w="1871" w:type="pct"/>
            <w:shd w:val="clear" w:color="auto" w:fill="D9D9D9" w:themeFill="background1" w:themeFillShade="D9"/>
            <w:vAlign w:val="bottom"/>
          </w:tcPr>
          <w:p w:rsidR="003C6C11" w:rsidRPr="001C6BCF" w:rsidRDefault="003C6C11" w:rsidP="00A07570">
            <w:pPr>
              <w:pStyle w:val="TableBodyText"/>
              <w:jc w:val="left"/>
            </w:pPr>
            <w:r w:rsidRPr="001C6BCF">
              <w:rPr>
                <w:rFonts w:cs="Arial"/>
                <w:color w:val="000000"/>
              </w:rPr>
              <w:t>Medicinal products</w:t>
            </w:r>
          </w:p>
        </w:tc>
        <w:tc>
          <w:tcPr>
            <w:tcW w:w="782" w:type="pct"/>
            <w:shd w:val="clear" w:color="auto" w:fill="D9D9D9" w:themeFill="background1" w:themeFillShade="D9"/>
            <w:vAlign w:val="bottom"/>
          </w:tcPr>
          <w:p w:rsidR="003C6C11" w:rsidRPr="001C6BCF" w:rsidRDefault="003C6C11" w:rsidP="00A07570">
            <w:pPr>
              <w:pStyle w:val="TableBodyText"/>
            </w:pPr>
            <w:r w:rsidRPr="001C6BCF">
              <w:rPr>
                <w:rFonts w:cs="Arial"/>
                <w:color w:val="000000"/>
              </w:rPr>
              <w:t>16.2</w:t>
            </w:r>
          </w:p>
        </w:tc>
        <w:tc>
          <w:tcPr>
            <w:tcW w:w="782" w:type="pct"/>
            <w:shd w:val="clear" w:color="auto" w:fill="D9D9D9" w:themeFill="background1" w:themeFillShade="D9"/>
            <w:vAlign w:val="bottom"/>
          </w:tcPr>
          <w:p w:rsidR="003C6C11" w:rsidRPr="001C6BCF" w:rsidRDefault="003C6C11" w:rsidP="00A07570">
            <w:pPr>
              <w:pStyle w:val="TableBodyText"/>
            </w:pPr>
            <w:r w:rsidRPr="001C6BCF">
              <w:rPr>
                <w:rFonts w:cs="Arial"/>
                <w:color w:val="000000"/>
              </w:rPr>
              <w:t>9.6</w:t>
            </w:r>
          </w:p>
        </w:tc>
        <w:tc>
          <w:tcPr>
            <w:tcW w:w="782" w:type="pct"/>
            <w:shd w:val="clear" w:color="auto" w:fill="D9D9D9" w:themeFill="background1" w:themeFillShade="D9"/>
            <w:vAlign w:val="bottom"/>
          </w:tcPr>
          <w:p w:rsidR="003C6C11" w:rsidRPr="001C6BCF" w:rsidRDefault="003C6C11" w:rsidP="00A07570">
            <w:pPr>
              <w:pStyle w:val="TableBodyText"/>
            </w:pPr>
            <w:r w:rsidRPr="001C6BCF">
              <w:rPr>
                <w:rFonts w:cs="Arial"/>
                <w:color w:val="000000"/>
              </w:rPr>
              <w:t>-6.6</w:t>
            </w:r>
          </w:p>
        </w:tc>
        <w:tc>
          <w:tcPr>
            <w:tcW w:w="783" w:type="pct"/>
            <w:shd w:val="clear" w:color="auto" w:fill="D9D9D9" w:themeFill="background1" w:themeFillShade="D9"/>
            <w:vAlign w:val="bottom"/>
          </w:tcPr>
          <w:p w:rsidR="003C6C11" w:rsidRPr="001C6BCF" w:rsidRDefault="003C6C11" w:rsidP="003C6C11">
            <w:pPr>
              <w:pStyle w:val="TableBodyText"/>
            </w:pPr>
            <w:r w:rsidRPr="001C6BCF">
              <w:t>5</w:t>
            </w:r>
            <w:r w:rsidR="00097A11" w:rsidRPr="001C6BCF">
              <w:t xml:space="preserve"> </w:t>
            </w:r>
            <w:r w:rsidRPr="001C6BCF">
              <w:t>460</w:t>
            </w:r>
          </w:p>
        </w:tc>
      </w:tr>
      <w:tr w:rsidR="006122B4" w:rsidRPr="003A18AD" w:rsidTr="00A07570">
        <w:tc>
          <w:tcPr>
            <w:tcW w:w="1871" w:type="pct"/>
            <w:tcBorders>
              <w:bottom w:val="single" w:sz="6" w:space="0" w:color="auto"/>
            </w:tcBorders>
            <w:shd w:val="clear" w:color="auto" w:fill="auto"/>
            <w:vAlign w:val="bottom"/>
          </w:tcPr>
          <w:p w:rsidR="006122B4" w:rsidRPr="003A18AD" w:rsidRDefault="005E28E3" w:rsidP="00B967D0">
            <w:pPr>
              <w:pStyle w:val="TableBodyText"/>
              <w:spacing w:before="40"/>
              <w:jc w:val="left"/>
              <w:rPr>
                <w:b/>
              </w:rPr>
            </w:pPr>
            <w:r w:rsidRPr="003A18AD">
              <w:rPr>
                <w:b/>
              </w:rPr>
              <w:t>Total chemicals and polymers</w:t>
            </w:r>
          </w:p>
        </w:tc>
        <w:tc>
          <w:tcPr>
            <w:tcW w:w="782" w:type="pct"/>
            <w:tcBorders>
              <w:bottom w:val="single" w:sz="6" w:space="0" w:color="auto"/>
            </w:tcBorders>
            <w:shd w:val="clear" w:color="auto" w:fill="auto"/>
            <w:vAlign w:val="bottom"/>
          </w:tcPr>
          <w:p w:rsidR="006122B4" w:rsidRPr="003A18AD" w:rsidRDefault="006122B4" w:rsidP="00B967D0">
            <w:pPr>
              <w:pStyle w:val="TableBodyText"/>
              <w:spacing w:before="40"/>
              <w:rPr>
                <w:b/>
              </w:rPr>
            </w:pPr>
            <w:r w:rsidRPr="003A18AD">
              <w:rPr>
                <w:rFonts w:cs="Arial"/>
                <w:b/>
                <w:color w:val="000000"/>
              </w:rPr>
              <w:t>5.8</w:t>
            </w:r>
          </w:p>
        </w:tc>
        <w:tc>
          <w:tcPr>
            <w:tcW w:w="782" w:type="pct"/>
            <w:tcBorders>
              <w:bottom w:val="single" w:sz="6" w:space="0" w:color="auto"/>
            </w:tcBorders>
            <w:shd w:val="clear" w:color="auto" w:fill="auto"/>
            <w:vAlign w:val="bottom"/>
          </w:tcPr>
          <w:p w:rsidR="006122B4" w:rsidRPr="003A18AD" w:rsidRDefault="006122B4" w:rsidP="00B967D0">
            <w:pPr>
              <w:pStyle w:val="TableBodyText"/>
              <w:spacing w:before="40"/>
              <w:rPr>
                <w:b/>
              </w:rPr>
            </w:pPr>
            <w:r w:rsidRPr="003A18AD">
              <w:rPr>
                <w:rFonts w:cs="Arial"/>
                <w:b/>
                <w:color w:val="000000"/>
              </w:rPr>
              <w:t>7.5</w:t>
            </w:r>
          </w:p>
        </w:tc>
        <w:tc>
          <w:tcPr>
            <w:tcW w:w="782" w:type="pct"/>
            <w:tcBorders>
              <w:bottom w:val="single" w:sz="6" w:space="0" w:color="auto"/>
            </w:tcBorders>
            <w:shd w:val="clear" w:color="auto" w:fill="auto"/>
            <w:vAlign w:val="bottom"/>
          </w:tcPr>
          <w:p w:rsidR="006122B4" w:rsidRPr="003A18AD" w:rsidRDefault="006122B4" w:rsidP="00B967D0">
            <w:pPr>
              <w:pStyle w:val="TableBodyText"/>
              <w:spacing w:before="40"/>
              <w:rPr>
                <w:b/>
              </w:rPr>
            </w:pPr>
            <w:r w:rsidRPr="003A18AD">
              <w:rPr>
                <w:rFonts w:cs="Arial"/>
                <w:b/>
                <w:color w:val="000000"/>
              </w:rPr>
              <w:t>1.7</w:t>
            </w:r>
          </w:p>
        </w:tc>
        <w:tc>
          <w:tcPr>
            <w:tcW w:w="783" w:type="pct"/>
            <w:tcBorders>
              <w:bottom w:val="single" w:sz="6" w:space="0" w:color="auto"/>
            </w:tcBorders>
            <w:shd w:val="clear" w:color="auto" w:fill="auto"/>
            <w:vAlign w:val="bottom"/>
          </w:tcPr>
          <w:p w:rsidR="006122B4" w:rsidRPr="003A18AD" w:rsidRDefault="006122B4" w:rsidP="00B967D0">
            <w:pPr>
              <w:pStyle w:val="TableBodyText"/>
              <w:spacing w:before="40"/>
              <w:ind w:right="142"/>
              <w:rPr>
                <w:b/>
              </w:rPr>
            </w:pPr>
            <w:r w:rsidRPr="003A18AD">
              <w:rPr>
                <w:rFonts w:cs="Arial"/>
                <w:b/>
                <w:color w:val="000000"/>
              </w:rPr>
              <w:t>16</w:t>
            </w:r>
            <w:r w:rsidR="00097A11" w:rsidRPr="003A18AD">
              <w:rPr>
                <w:rFonts w:cs="Arial"/>
                <w:b/>
                <w:color w:val="000000"/>
              </w:rPr>
              <w:t xml:space="preserve"> </w:t>
            </w:r>
            <w:r w:rsidR="003C6C11" w:rsidRPr="003A18AD">
              <w:rPr>
                <w:rFonts w:cs="Arial"/>
                <w:b/>
                <w:color w:val="000000"/>
              </w:rPr>
              <w:t>589</w:t>
            </w:r>
          </w:p>
        </w:tc>
      </w:tr>
    </w:tbl>
    <w:p w:rsidR="006122B4" w:rsidRPr="001C6BCF" w:rsidRDefault="006122B4" w:rsidP="001D4F78">
      <w:pPr>
        <w:pStyle w:val="Note"/>
      </w:pPr>
      <w:r w:rsidRPr="001C6BCF">
        <w:rPr>
          <w:rStyle w:val="NoteLabel"/>
        </w:rPr>
        <w:t>a</w:t>
      </w:r>
      <w:r w:rsidRPr="001C6BCF">
        <w:t xml:space="preserve"> </w:t>
      </w:r>
      <w:r w:rsidR="006929B0" w:rsidRPr="001C6BCF">
        <w:t>Based on the Standard International Trade Classification (</w:t>
      </w:r>
      <w:proofErr w:type="spellStart"/>
      <w:r w:rsidR="006929B0" w:rsidRPr="001C6BCF">
        <w:t>SITC</w:t>
      </w:r>
      <w:proofErr w:type="spellEnd"/>
      <w:r w:rsidR="006929B0" w:rsidRPr="001C6BCF">
        <w:t>). Does not include rubber products.</w:t>
      </w:r>
      <w:r w:rsidRPr="001C6BCF">
        <w:t xml:space="preserve"> Parts do not sum to total due to rounding.</w:t>
      </w:r>
      <w:r w:rsidR="001D4F78" w:rsidRPr="001C6BCF">
        <w:t xml:space="preserve"> </w:t>
      </w:r>
      <w:r w:rsidR="00692CC2">
        <w:t xml:space="preserve">More detail is provided in appendix F. </w:t>
      </w:r>
      <w:r w:rsidR="001D4F78" w:rsidRPr="001C6BCF">
        <w:rPr>
          <w:rStyle w:val="NoteLabel"/>
        </w:rPr>
        <w:t xml:space="preserve">b </w:t>
      </w:r>
      <w:r w:rsidR="00F470C3" w:rsidRPr="001C6BCF">
        <w:t>Average annual growth rates.</w:t>
      </w:r>
      <w:r w:rsidR="00785A96" w:rsidRPr="001C6BCF">
        <w:rPr>
          <w:rStyle w:val="NoteLabel"/>
        </w:rPr>
        <w:t xml:space="preserve"> </w:t>
      </w:r>
    </w:p>
    <w:p w:rsidR="006122B4" w:rsidRPr="001C6BCF" w:rsidRDefault="0018062F" w:rsidP="006122B4">
      <w:pPr>
        <w:pStyle w:val="Source"/>
      </w:pPr>
      <w:r w:rsidRPr="001C6BCF">
        <w:rPr>
          <w:i/>
        </w:rPr>
        <w:t>Sources</w:t>
      </w:r>
      <w:r w:rsidR="006122B4" w:rsidRPr="001C6BCF">
        <w:t>: Authors estimates’ based on ABS (</w:t>
      </w:r>
      <w:r w:rsidR="006122B4" w:rsidRPr="001C6BCF">
        <w:rPr>
          <w:i/>
        </w:rPr>
        <w:t>International Merchandise Imports,</w:t>
      </w:r>
      <w:r w:rsidR="00BE6DF6" w:rsidRPr="001C6BCF">
        <w:rPr>
          <w:i/>
        </w:rPr>
        <w:t xml:space="preserve"> January 2012,</w:t>
      </w:r>
      <w:r w:rsidR="006122B4" w:rsidRPr="001C6BCF">
        <w:rPr>
          <w:i/>
        </w:rPr>
        <w:t xml:space="preserve"> </w:t>
      </w:r>
      <w:r w:rsidRPr="001C6BCF">
        <w:t>Cat.</w:t>
      </w:r>
      <w:r w:rsidR="002133CB">
        <w:t> </w:t>
      </w:r>
      <w:r w:rsidRPr="001C6BCF">
        <w:t>no.</w:t>
      </w:r>
      <w:r w:rsidR="00C57A8F" w:rsidRPr="001C6BCF">
        <w:t> </w:t>
      </w:r>
      <w:r w:rsidRPr="001C6BCF">
        <w:t>5439.0</w:t>
      </w:r>
      <w:r w:rsidR="006122B4" w:rsidRPr="001C6BCF">
        <w:t>)</w:t>
      </w:r>
      <w:r w:rsidR="001B083D" w:rsidRPr="001C6BCF">
        <w:t>;</w:t>
      </w:r>
      <w:r w:rsidR="006122B4" w:rsidRPr="001C6BCF">
        <w:t xml:space="preserve"> and ABS (</w:t>
      </w:r>
      <w:r w:rsidR="006122B4" w:rsidRPr="001C6BCF">
        <w:rPr>
          <w:i/>
        </w:rPr>
        <w:t>International Trade Price Indexes</w:t>
      </w:r>
      <w:r w:rsidR="006122B4" w:rsidRPr="001C6BCF">
        <w:t>,</w:t>
      </w:r>
      <w:r w:rsidRPr="001C6BCF">
        <w:t xml:space="preserve"> </w:t>
      </w:r>
      <w:r w:rsidRPr="001C6BCF">
        <w:rPr>
          <w:i/>
        </w:rPr>
        <w:t>March 2013</w:t>
      </w:r>
      <w:r w:rsidRPr="00D75C16">
        <w:rPr>
          <w:i/>
        </w:rPr>
        <w:t>,</w:t>
      </w:r>
      <w:r w:rsidR="006122B4" w:rsidRPr="001C6BCF">
        <w:t xml:space="preserve"> Cat. no. 6457.0).</w:t>
      </w:r>
    </w:p>
    <w:p w:rsidR="00822E93" w:rsidRPr="001C6BCF" w:rsidRDefault="009B15EF" w:rsidP="00E878CB">
      <w:pPr>
        <w:pStyle w:val="BodyText"/>
      </w:pPr>
      <w:r>
        <w:t xml:space="preserve">Imported </w:t>
      </w:r>
      <w:r w:rsidR="00E878CB" w:rsidRPr="001C6BCF">
        <w:t>organic chemicals in cycle 4 appear to be</w:t>
      </w:r>
      <w:r w:rsidR="006E4BCE" w:rsidRPr="001C6BCF">
        <w:t xml:space="preserve">, in part, </w:t>
      </w:r>
      <w:r w:rsidR="00D11B0F">
        <w:t>i</w:t>
      </w:r>
      <w:r w:rsidR="006E4BCE" w:rsidRPr="001C6BCF">
        <w:t xml:space="preserve">mports of </w:t>
      </w:r>
      <w:r w:rsidR="00E878CB" w:rsidRPr="001C6BCF">
        <w:t xml:space="preserve">intermediate inputs used in the domestic production of other </w:t>
      </w:r>
      <w:proofErr w:type="spellStart"/>
      <w:r w:rsidR="00E878CB" w:rsidRPr="001C6BCF">
        <w:t>PCCR</w:t>
      </w:r>
      <w:proofErr w:type="spellEnd"/>
      <w:r w:rsidR="00E878CB" w:rsidRPr="001C6BCF">
        <w:t xml:space="preserve"> products, such as herbicides and pharmaceuticals.</w:t>
      </w:r>
      <w:r w:rsidR="00822E93" w:rsidRPr="001C6BCF">
        <w:t xml:space="preserve"> </w:t>
      </w:r>
      <w:r w:rsidR="00B2312D" w:rsidRPr="001C6BCF">
        <w:t xml:space="preserve">Accordingly, </w:t>
      </w:r>
      <w:r w:rsidR="00822E93" w:rsidRPr="001C6BCF">
        <w:t xml:space="preserve">the import growth may not be an indicator of import competition leading to slowing VA </w:t>
      </w:r>
      <w:r w:rsidR="0084650E" w:rsidRPr="001C6BCF">
        <w:t xml:space="preserve">in </w:t>
      </w:r>
      <w:proofErr w:type="spellStart"/>
      <w:r w:rsidR="00C55F8D" w:rsidRPr="001C6BCF">
        <w:t>PCCR</w:t>
      </w:r>
      <w:proofErr w:type="spellEnd"/>
      <w:r w:rsidR="00C55F8D" w:rsidRPr="001C6BCF">
        <w:t>, but instead may</w:t>
      </w:r>
      <w:r w:rsidR="0084650E" w:rsidRPr="001C6BCF">
        <w:t xml:space="preserve"> </w:t>
      </w:r>
      <w:r w:rsidR="0051115F" w:rsidRPr="001C6BCF">
        <w:t xml:space="preserve">be the result of additional demand for </w:t>
      </w:r>
      <w:r w:rsidR="0084650E" w:rsidRPr="001C6BCF">
        <w:t xml:space="preserve">intermediate inputs </w:t>
      </w:r>
      <w:r w:rsidR="003B4395" w:rsidRPr="001C6BCF">
        <w:t>by</w:t>
      </w:r>
      <w:r w:rsidR="0084650E" w:rsidRPr="001C6BCF">
        <w:t xml:space="preserve"> those parts of </w:t>
      </w:r>
      <w:proofErr w:type="spellStart"/>
      <w:r w:rsidR="0084650E" w:rsidRPr="001C6BCF">
        <w:t>PCCR</w:t>
      </w:r>
      <w:proofErr w:type="spellEnd"/>
      <w:r w:rsidR="0084650E" w:rsidRPr="001C6BCF">
        <w:t xml:space="preserve"> </w:t>
      </w:r>
      <w:r w:rsidR="003B4395" w:rsidRPr="001C6BCF">
        <w:t>with</w:t>
      </w:r>
      <w:r w:rsidR="0084650E" w:rsidRPr="001C6BCF">
        <w:t xml:space="preserve"> VA growth. </w:t>
      </w:r>
    </w:p>
    <w:p w:rsidR="0084650E" w:rsidRPr="001C6BCF" w:rsidRDefault="0084650E" w:rsidP="00B20C96">
      <w:pPr>
        <w:pStyle w:val="BodyText"/>
      </w:pPr>
      <w:r w:rsidRPr="001C6BCF">
        <w:t>The growth in imports of plastics in non-primary form comprises many subgroups</w:t>
      </w:r>
      <w:r w:rsidR="00E16F56" w:rsidRPr="001C6BCF">
        <w:t>,</w:t>
      </w:r>
      <w:r w:rsidRPr="001C6BCF">
        <w:t xml:space="preserve"> including fittings and packaging-related materials. The growth in fittings appears related to the strong growth in construc</w:t>
      </w:r>
      <w:r w:rsidR="000D3B02" w:rsidRPr="001C6BCF">
        <w:t xml:space="preserve">tion activity in cycle 4. Both types of imports </w:t>
      </w:r>
      <w:r w:rsidR="00F657F1" w:rsidRPr="001C6BCF">
        <w:t>were in</w:t>
      </w:r>
      <w:r w:rsidR="000D3B02" w:rsidRPr="001C6BCF">
        <w:t xml:space="preserve"> direct competition with Australian manufacturers, which may explain part of the slowdown in</w:t>
      </w:r>
      <w:r w:rsidR="003F4A5F" w:rsidRPr="001C6BCF">
        <w:t xml:space="preserve"> </w:t>
      </w:r>
      <w:proofErr w:type="spellStart"/>
      <w:r w:rsidR="003F4A5F" w:rsidRPr="001C6BCF">
        <w:t>PCCR</w:t>
      </w:r>
      <w:proofErr w:type="spellEnd"/>
      <w:r w:rsidR="000D3B02" w:rsidRPr="001C6BCF">
        <w:t xml:space="preserve"> VA growth observed over cycle 4. </w:t>
      </w:r>
    </w:p>
    <w:p w:rsidR="00AF08E6" w:rsidRPr="001C6BCF" w:rsidRDefault="00B67797" w:rsidP="00B67797">
      <w:pPr>
        <w:pStyle w:val="BodyText"/>
      </w:pPr>
      <w:r w:rsidRPr="001C6BCF">
        <w:t>Growth in fertiliser imp</w:t>
      </w:r>
      <w:r w:rsidR="001B652D" w:rsidRPr="001C6BCF">
        <w:t>orts is explained by</w:t>
      </w:r>
      <w:r w:rsidRPr="001C6BCF">
        <w:t xml:space="preserve"> </w:t>
      </w:r>
      <w:r w:rsidR="001B652D" w:rsidRPr="001C6BCF">
        <w:t xml:space="preserve">strong </w:t>
      </w:r>
      <w:r w:rsidR="005E6F41" w:rsidRPr="001C6BCF">
        <w:t xml:space="preserve">demand for fertiliser products toward </w:t>
      </w:r>
      <w:r w:rsidR="00B41B16" w:rsidRPr="001C6BCF">
        <w:t>the end of cycle 4</w:t>
      </w:r>
      <w:r w:rsidR="00532F15" w:rsidRPr="001C6BCF">
        <w:t>,</w:t>
      </w:r>
      <w:r w:rsidR="005E6F41" w:rsidRPr="001C6BCF">
        <w:t xml:space="preserve"> as the drought ended and as farmers attempted to purchase in advance to avoid predicted </w:t>
      </w:r>
      <w:r w:rsidR="009F0F7F" w:rsidRPr="001C6BCF">
        <w:t>price rises</w:t>
      </w:r>
      <w:r w:rsidR="005E6F41" w:rsidRPr="001C6BCF">
        <w:t xml:space="preserve"> in the near future</w:t>
      </w:r>
      <w:r w:rsidR="009F0F7F" w:rsidRPr="001C6BCF">
        <w:t xml:space="preserve"> (</w:t>
      </w:r>
      <w:proofErr w:type="spellStart"/>
      <w:r w:rsidR="009F0F7F" w:rsidRPr="001C6BCF">
        <w:t>ACCC</w:t>
      </w:r>
      <w:proofErr w:type="spellEnd"/>
      <w:r w:rsidR="009F0F7F" w:rsidRPr="001C6BCF">
        <w:t xml:space="preserve"> </w:t>
      </w:r>
      <w:r w:rsidR="002C793D" w:rsidRPr="001C6BCF">
        <w:t>2008</w:t>
      </w:r>
      <w:r w:rsidR="009F0F7F" w:rsidRPr="001C6BCF">
        <w:t xml:space="preserve">). </w:t>
      </w:r>
      <w:r w:rsidR="009F0F7F" w:rsidRPr="001C6BCF">
        <w:lastRenderedPageBreak/>
        <w:t>These imports are less likely to have had an effect on Australian manufacturing of fertilisers</w:t>
      </w:r>
      <w:r w:rsidR="00A321E8" w:rsidRPr="001C6BCF">
        <w:t xml:space="preserve"> (in the short</w:t>
      </w:r>
      <w:r w:rsidR="005F1D29">
        <w:t xml:space="preserve"> </w:t>
      </w:r>
      <w:r w:rsidR="00A321E8" w:rsidRPr="001C6BCF">
        <w:t>run)</w:t>
      </w:r>
      <w:r w:rsidR="009F0F7F" w:rsidRPr="001C6BCF">
        <w:t xml:space="preserve">, as the </w:t>
      </w:r>
      <w:r w:rsidR="001F21E2" w:rsidRPr="001C6BCF">
        <w:t>domestic manufacturers were unable to supply the increased demand during 2007-08 (</w:t>
      </w:r>
      <w:proofErr w:type="spellStart"/>
      <w:r w:rsidR="001F21E2" w:rsidRPr="001C6BCF">
        <w:t>ACCC</w:t>
      </w:r>
      <w:proofErr w:type="spellEnd"/>
      <w:r w:rsidR="001F21E2" w:rsidRPr="001C6BCF">
        <w:t xml:space="preserve"> </w:t>
      </w:r>
      <w:r w:rsidR="002C793D" w:rsidRPr="001C6BCF">
        <w:t>2008</w:t>
      </w:r>
      <w:r w:rsidR="001F21E2" w:rsidRPr="001C6BCF">
        <w:t xml:space="preserve">). </w:t>
      </w:r>
    </w:p>
    <w:p w:rsidR="00CB19F1" w:rsidRPr="001C6BCF" w:rsidRDefault="002E18AC" w:rsidP="00B967D0">
      <w:pPr>
        <w:pStyle w:val="Heading5"/>
        <w:spacing w:before="440"/>
      </w:pPr>
      <w:r w:rsidRPr="001C6BCF">
        <w:t>The effect of import competition on tyre manufacturing</w:t>
      </w:r>
    </w:p>
    <w:p w:rsidR="00CB19F1" w:rsidRPr="001C6BCF" w:rsidRDefault="00D676EE" w:rsidP="00B967D0">
      <w:pPr>
        <w:pStyle w:val="BodyText"/>
        <w:spacing w:before="200"/>
      </w:pPr>
      <w:r w:rsidRPr="001C6BCF">
        <w:t xml:space="preserve">Strong import competition contributed to the decline of domestic tyre production and ultimately the cessation of tyre manufacturing shortly after the end of </w:t>
      </w:r>
      <w:r w:rsidR="003523EB" w:rsidRPr="001C6BCF">
        <w:t>cycle 4</w:t>
      </w:r>
      <w:r w:rsidRPr="001C6BCF">
        <w:t>.</w:t>
      </w:r>
      <w:r w:rsidR="008434AD" w:rsidRPr="001C6BCF">
        <w:t xml:space="preserve"> Tyre manufacturing </w:t>
      </w:r>
      <w:r w:rsidR="00CB19F1" w:rsidRPr="001C6BCF">
        <w:t>had the strongest</w:t>
      </w:r>
      <w:r w:rsidR="00206432" w:rsidRPr="001C6BCF">
        <w:t xml:space="preserve"> rate of </w:t>
      </w:r>
      <w:r w:rsidR="00CB19F1" w:rsidRPr="001C6BCF">
        <w:t>decline in</w:t>
      </w:r>
      <w:r w:rsidR="009C1000" w:rsidRPr="001C6BCF">
        <w:t xml:space="preserve"> nominal</w:t>
      </w:r>
      <w:r w:rsidR="00CB19F1" w:rsidRPr="001C6BCF">
        <w:t xml:space="preserve"> </w:t>
      </w:r>
      <w:r w:rsidR="00783664">
        <w:t>VA</w:t>
      </w:r>
      <w:r w:rsidR="00CB19F1" w:rsidRPr="001C6BCF">
        <w:t xml:space="preserve"> of any of the classes in the </w:t>
      </w:r>
      <w:r w:rsidR="00074FD7" w:rsidRPr="001C6BCF">
        <w:t xml:space="preserve">Polymers </w:t>
      </w:r>
      <w:r w:rsidR="00CB19F1" w:rsidRPr="001C6BCF">
        <w:t>and rubber subdivision</w:t>
      </w:r>
      <w:r w:rsidR="000F0B93" w:rsidRPr="001C6BCF">
        <w:t xml:space="preserve"> — shrinking from 3.6 per cent of </w:t>
      </w:r>
      <w:proofErr w:type="spellStart"/>
      <w:r w:rsidR="000F0B93" w:rsidRPr="001C6BCF">
        <w:t>PCCR</w:t>
      </w:r>
      <w:proofErr w:type="spellEnd"/>
      <w:r w:rsidR="000F0B93" w:rsidRPr="001C6BCF">
        <w:t xml:space="preserve"> VA at the beginning of </w:t>
      </w:r>
      <w:r w:rsidR="003045D2" w:rsidRPr="001C6BCF">
        <w:t xml:space="preserve">cycle 3 </w:t>
      </w:r>
      <w:r w:rsidR="000F0B93" w:rsidRPr="001C6BCF">
        <w:t xml:space="preserve">to around 1 per cent by the end of </w:t>
      </w:r>
      <w:r w:rsidR="003045D2" w:rsidRPr="001C6BCF">
        <w:t>cycle 4</w:t>
      </w:r>
      <w:r w:rsidR="00E47911" w:rsidRPr="001C6BCF">
        <w:t>.</w:t>
      </w:r>
      <w:r w:rsidR="00873B3A" w:rsidRPr="001C6BCF">
        <w:t xml:space="preserve"> </w:t>
      </w:r>
      <w:r w:rsidR="007F6368" w:rsidRPr="001C6BCF">
        <w:t>In 2002, during cycle</w:t>
      </w:r>
      <w:r w:rsidR="00873B3A" w:rsidRPr="001C6BCF">
        <w:t xml:space="preserve"> 3</w:t>
      </w:r>
      <w:r w:rsidR="007F6368" w:rsidRPr="001C6BCF">
        <w:t xml:space="preserve">, </w:t>
      </w:r>
      <w:r w:rsidR="00CB19F1" w:rsidRPr="001C6BCF">
        <w:t xml:space="preserve">the domestic industry faced pressure from tyres </w:t>
      </w:r>
      <w:r w:rsidR="008328F7" w:rsidRPr="001C6BCF">
        <w:t xml:space="preserve">imported from </w:t>
      </w:r>
      <w:r w:rsidR="00CB19F1" w:rsidRPr="001C6BCF">
        <w:t xml:space="preserve">overseas as part of a tyre glut (South Pacific Tyres </w:t>
      </w:r>
      <w:r w:rsidR="00206432" w:rsidRPr="001C6BCF">
        <w:t>2002)</w:t>
      </w:r>
      <w:r w:rsidR="003150DC" w:rsidRPr="001C6BCF">
        <w:t>.</w:t>
      </w:r>
      <w:r w:rsidR="00206432" w:rsidRPr="001C6BCF">
        <w:t xml:space="preserve"> </w:t>
      </w:r>
      <w:r w:rsidR="00CB19F1" w:rsidRPr="001C6BCF">
        <w:t>It was also noted that the industry was too small to achieve the same economies of scale that overseas manufacturers had achieved (Australian Tyre Manufacturers</w:t>
      </w:r>
      <w:r w:rsidR="003150DC" w:rsidRPr="001C6BCF">
        <w:t>’</w:t>
      </w:r>
      <w:r w:rsidR="00CB19F1" w:rsidRPr="001C6BCF">
        <w:t xml:space="preserve"> Association </w:t>
      </w:r>
      <w:r w:rsidR="003150DC" w:rsidRPr="001C6BCF">
        <w:t>2002</w:t>
      </w:r>
      <w:r w:rsidR="00CB19F1" w:rsidRPr="001C6BCF">
        <w:t>). In 2005, tariffs on imports of tyres were reduced from 15</w:t>
      </w:r>
      <w:r w:rsidR="00962152" w:rsidRPr="001C6BCF">
        <w:t xml:space="preserve"> per cent</w:t>
      </w:r>
      <w:r w:rsidR="00CB19F1" w:rsidRPr="001C6BCF">
        <w:t xml:space="preserve"> to 5</w:t>
      </w:r>
      <w:r w:rsidR="00962152" w:rsidRPr="001C6BCF">
        <w:t xml:space="preserve"> per cent</w:t>
      </w:r>
      <w:r w:rsidR="00CB19F1" w:rsidRPr="001C6BCF">
        <w:t xml:space="preserve">, which </w:t>
      </w:r>
      <w:r w:rsidR="004F6D01">
        <w:t>further added to the competitive pressure from</w:t>
      </w:r>
      <w:r w:rsidR="004F6D01" w:rsidRPr="001C6BCF">
        <w:t xml:space="preserve"> </w:t>
      </w:r>
      <w:r w:rsidR="00CB19F1" w:rsidRPr="001C6BCF">
        <w:t>imports. In concert with a higher dollar, the rate of import growth accelerated while domestic production declined (</w:t>
      </w:r>
      <w:r w:rsidR="009D34F7" w:rsidRPr="001C6BCF">
        <w:t>figure</w:t>
      </w:r>
      <w:r w:rsidR="00EE4912" w:rsidRPr="001C6BCF">
        <w:t xml:space="preserve"> </w:t>
      </w:r>
      <w:r w:rsidR="006A7469">
        <w:t>4.9</w:t>
      </w:r>
      <w:r w:rsidR="00CB19F1" w:rsidRPr="001C6BCF">
        <w:t xml:space="preserve">). </w:t>
      </w:r>
    </w:p>
    <w:p w:rsidR="00CB19F1" w:rsidRPr="001C6BCF" w:rsidRDefault="00CB19F1" w:rsidP="00CB19F1">
      <w:pPr>
        <w:pStyle w:val="FigureTitle"/>
      </w:pPr>
      <w:r w:rsidRPr="001C6BCF">
        <w:rPr>
          <w:b w:val="0"/>
          <w:sz w:val="24"/>
        </w:rPr>
        <w:t xml:space="preserve">Figure </w:t>
      </w:r>
      <w:bookmarkStart w:id="19" w:name="OLE_LINK7"/>
      <w:r w:rsidR="006A7469">
        <w:rPr>
          <w:b w:val="0"/>
          <w:sz w:val="24"/>
        </w:rPr>
        <w:t>4.</w:t>
      </w:r>
      <w:r w:rsidR="007203B8">
        <w:rPr>
          <w:b w:val="0"/>
          <w:noProof/>
          <w:sz w:val="24"/>
        </w:rPr>
        <w:t>9</w:t>
      </w:r>
      <w:bookmarkEnd w:id="19"/>
      <w:r w:rsidRPr="001C6BCF">
        <w:rPr>
          <w:sz w:val="24"/>
        </w:rPr>
        <w:tab/>
      </w:r>
      <w:r w:rsidR="00783664">
        <w:rPr>
          <w:sz w:val="24"/>
        </w:rPr>
        <w:t>VA</w:t>
      </w:r>
      <w:r w:rsidRPr="001C6BCF">
        <w:rPr>
          <w:sz w:val="24"/>
        </w:rPr>
        <w:t xml:space="preserve"> and imports of tyres and related products</w:t>
      </w:r>
      <w:r w:rsidRPr="001C6BCF">
        <w:rPr>
          <w:rStyle w:val="NoteLabel"/>
          <w:b/>
        </w:rPr>
        <w:t>a</w:t>
      </w:r>
    </w:p>
    <w:p w:rsidR="00CB19F1" w:rsidRPr="001C6BCF" w:rsidRDefault="00855878" w:rsidP="00CB19F1">
      <w:pPr>
        <w:pStyle w:val="Subtitle"/>
      </w:pPr>
      <w:r>
        <w:t>$m</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CB19F1" w:rsidRPr="001C6BCF" w:rsidTr="008A5C63">
        <w:tc>
          <w:tcPr>
            <w:tcW w:w="8777" w:type="dxa"/>
          </w:tcPr>
          <w:p w:rsidR="00CB19F1" w:rsidRPr="001C6BCF" w:rsidRDefault="00D0322F" w:rsidP="00AA1153">
            <w:pPr>
              <w:pStyle w:val="Figure"/>
            </w:pPr>
            <w:r>
              <w:rPr>
                <w:noProof/>
              </w:rPr>
              <w:pict>
                <v:shape id="_x0000_i1036" type="#_x0000_t75" alt="This figure shows the current price value of imports and value added for tyres and related products over the period of 1998-99 to 2010-11. It shows that imports have been rising and at a faster rate in the later years, while value added has been declining slowly — and is approaching zero towards the end of the period." style="width:424.45pt;height:198.4pt;mso-position-vertical:absolute">
                  <v:imagedata r:id="rId20" o:title=""/>
                </v:shape>
              </w:pict>
            </w:r>
          </w:p>
        </w:tc>
      </w:tr>
    </w:tbl>
    <w:p w:rsidR="00CB19F1" w:rsidRPr="001C6BCF" w:rsidRDefault="00CB19F1" w:rsidP="00BC5107">
      <w:pPr>
        <w:pStyle w:val="Note"/>
      </w:pPr>
      <w:r w:rsidRPr="001C6BCF">
        <w:rPr>
          <w:rStyle w:val="NoteLabel"/>
        </w:rPr>
        <w:t>a</w:t>
      </w:r>
      <w:r w:rsidRPr="001C6BCF">
        <w:t xml:space="preserve"> </w:t>
      </w:r>
      <w:r w:rsidR="00534DC8">
        <w:t xml:space="preserve">Current prices. </w:t>
      </w:r>
      <w:r w:rsidR="00310DE5">
        <w:t>T</w:t>
      </w:r>
      <w:r w:rsidR="00844408" w:rsidRPr="001C6BCF">
        <w:t>here is a break</w:t>
      </w:r>
      <w:r w:rsidR="00D10790">
        <w:t xml:space="preserve"> in VA series</w:t>
      </w:r>
      <w:r w:rsidR="00844408" w:rsidRPr="001C6BCF">
        <w:t xml:space="preserve"> between 2005-06 and 2006-07 due to </w:t>
      </w:r>
      <w:proofErr w:type="spellStart"/>
      <w:r w:rsidR="00844408" w:rsidRPr="001C6BCF">
        <w:t>ANZSIC</w:t>
      </w:r>
      <w:proofErr w:type="spellEnd"/>
      <w:r w:rsidR="00844408" w:rsidRPr="001C6BCF">
        <w:t xml:space="preserve"> concordance issues.</w:t>
      </w:r>
      <w:r w:rsidRPr="001C6BCF">
        <w:t xml:space="preserve"> Imports are on an </w:t>
      </w:r>
      <w:proofErr w:type="spellStart"/>
      <w:r w:rsidRPr="001C6BCF">
        <w:t>SITC</w:t>
      </w:r>
      <w:proofErr w:type="spellEnd"/>
      <w:r w:rsidRPr="001C6BCF">
        <w:t xml:space="preserve"> basis (code 625). </w:t>
      </w:r>
    </w:p>
    <w:p w:rsidR="00CB19F1" w:rsidRPr="001C6BCF" w:rsidRDefault="00CB19F1" w:rsidP="00BC5107">
      <w:pPr>
        <w:pStyle w:val="Source"/>
      </w:pPr>
      <w:r w:rsidRPr="001C6BCF">
        <w:rPr>
          <w:i/>
        </w:rPr>
        <w:t>Data source</w:t>
      </w:r>
      <w:r w:rsidR="0059019B" w:rsidRPr="001C6BCF">
        <w:rPr>
          <w:i/>
        </w:rPr>
        <w:t>s</w:t>
      </w:r>
      <w:r w:rsidRPr="001C6BCF">
        <w:t>: ABS (</w:t>
      </w:r>
      <w:r w:rsidRPr="001C6BCF">
        <w:rPr>
          <w:i/>
        </w:rPr>
        <w:t>Australian Industry,</w:t>
      </w:r>
      <w:r w:rsidR="00651296" w:rsidRPr="001C6BCF">
        <w:rPr>
          <w:i/>
        </w:rPr>
        <w:t xml:space="preserve"> </w:t>
      </w:r>
      <w:r w:rsidR="00651296" w:rsidRPr="001C6BCF">
        <w:t>various issues,</w:t>
      </w:r>
      <w:r w:rsidRPr="001C6BCF">
        <w:rPr>
          <w:i/>
        </w:rPr>
        <w:t xml:space="preserve"> </w:t>
      </w:r>
      <w:r w:rsidR="003214F1" w:rsidRPr="001C6BCF">
        <w:t>Cat. no 8155.0)</w:t>
      </w:r>
      <w:r w:rsidR="00744310" w:rsidRPr="001C6BCF">
        <w:t>;</w:t>
      </w:r>
      <w:r w:rsidRPr="001C6BCF">
        <w:t xml:space="preserve"> ABS (</w:t>
      </w:r>
      <w:r w:rsidRPr="001C6BCF">
        <w:rPr>
          <w:i/>
        </w:rPr>
        <w:t xml:space="preserve">Australian Manufacturing, </w:t>
      </w:r>
      <w:r w:rsidR="00B213AD" w:rsidRPr="001C6BCF">
        <w:t xml:space="preserve">various issues, </w:t>
      </w:r>
      <w:r w:rsidR="003214F1" w:rsidRPr="001C6BCF">
        <w:t>Cat. no. 8221.0</w:t>
      </w:r>
      <w:r w:rsidRPr="001C6BCF">
        <w:t>)</w:t>
      </w:r>
      <w:r w:rsidR="00744310" w:rsidRPr="001C6BCF">
        <w:t>;</w:t>
      </w:r>
      <w:r w:rsidRPr="001C6BCF">
        <w:t xml:space="preserve"> </w:t>
      </w:r>
      <w:r w:rsidR="00547A34" w:rsidRPr="001C6BCF">
        <w:t xml:space="preserve">and </w:t>
      </w:r>
      <w:r w:rsidRPr="001C6BCF">
        <w:t>ABS (</w:t>
      </w:r>
      <w:r w:rsidRPr="001C6BCF">
        <w:rPr>
          <w:i/>
        </w:rPr>
        <w:t xml:space="preserve">International Merchandise Imports, </w:t>
      </w:r>
      <w:r w:rsidR="00744310" w:rsidRPr="001C6BCF">
        <w:rPr>
          <w:i/>
        </w:rPr>
        <w:t xml:space="preserve">January </w:t>
      </w:r>
      <w:r w:rsidR="00844408" w:rsidRPr="001C6BCF">
        <w:rPr>
          <w:i/>
        </w:rPr>
        <w:t>2012</w:t>
      </w:r>
      <w:r w:rsidR="00844408" w:rsidRPr="001C6BCF">
        <w:t xml:space="preserve">, </w:t>
      </w:r>
      <w:r w:rsidRPr="001C6BCF">
        <w:t>Cat.</w:t>
      </w:r>
      <w:r w:rsidR="002133CB">
        <w:t> </w:t>
      </w:r>
      <w:r w:rsidRPr="001C6BCF">
        <w:t>no.</w:t>
      </w:r>
      <w:r w:rsidR="00205A7E">
        <w:t> </w:t>
      </w:r>
      <w:r w:rsidRPr="001C6BCF">
        <w:t>5439.0).</w:t>
      </w:r>
    </w:p>
    <w:p w:rsidR="00CB19F1" w:rsidRPr="001C6BCF" w:rsidRDefault="00BC5107" w:rsidP="00B967D0">
      <w:pPr>
        <w:pStyle w:val="BodyText"/>
      </w:pPr>
      <w:r>
        <w:br w:type="page"/>
      </w:r>
      <w:r w:rsidR="00CB19F1" w:rsidRPr="001C6BCF">
        <w:lastRenderedPageBreak/>
        <w:t xml:space="preserve">In mid-2008, the South Pacific Tyres plant at Somerton </w:t>
      </w:r>
      <w:r w:rsidR="00795D11" w:rsidRPr="001C6BCF">
        <w:t>closed</w:t>
      </w:r>
      <w:r w:rsidR="001B5DBB" w:rsidRPr="001C6BCF">
        <w:t xml:space="preserve">, followed by </w:t>
      </w:r>
      <w:r w:rsidR="00CB19F1" w:rsidRPr="001C6BCF">
        <w:t>the Bridgestone plant in Adelaide in 2010. The latter closure marked the end of Australian tyre manufacturing</w:t>
      </w:r>
      <w:r w:rsidR="00B87B8B" w:rsidRPr="001C6BCF">
        <w:t xml:space="preserve"> </w:t>
      </w:r>
      <w:r w:rsidR="0051466E" w:rsidRPr="001C6BCF">
        <w:t>(Global Business Reports 2012)</w:t>
      </w:r>
      <w:r w:rsidR="00CB19F1" w:rsidRPr="001C6BCF">
        <w:t xml:space="preserve">. </w:t>
      </w:r>
      <w:r w:rsidR="007F7026" w:rsidRPr="001C6BCF">
        <w:t>The tyre-related manufacturing activities still undertaken in Australia are</w:t>
      </w:r>
      <w:r w:rsidR="00CB19F1" w:rsidRPr="001C6BCF">
        <w:t xml:space="preserve"> associated with the re</w:t>
      </w:r>
      <w:r w:rsidR="002133CB">
        <w:noBreakHyphen/>
      </w:r>
      <w:r w:rsidR="00CB19F1" w:rsidRPr="001C6BCF">
        <w:t>treading and repair</w:t>
      </w:r>
      <w:r w:rsidR="00B87B8B" w:rsidRPr="001C6BCF">
        <w:t xml:space="preserve"> of tyres rather than the manufacture</w:t>
      </w:r>
      <w:r w:rsidR="00783E47" w:rsidRPr="001C6BCF">
        <w:t xml:space="preserve"> new</w:t>
      </w:r>
      <w:r w:rsidR="00B87B8B" w:rsidRPr="001C6BCF">
        <w:t xml:space="preserve"> of tyre</w:t>
      </w:r>
      <w:r w:rsidR="00783E47" w:rsidRPr="001C6BCF">
        <w:t>s.</w:t>
      </w:r>
    </w:p>
    <w:p w:rsidR="00180880" w:rsidRPr="001C6BCF" w:rsidRDefault="003B2619" w:rsidP="0079479F">
      <w:pPr>
        <w:pStyle w:val="Heading4"/>
      </w:pPr>
      <w:r w:rsidRPr="001C6BCF">
        <w:t xml:space="preserve">Some </w:t>
      </w:r>
      <w:r w:rsidR="00180880" w:rsidRPr="001C6BCF">
        <w:t xml:space="preserve">parts of </w:t>
      </w:r>
      <w:proofErr w:type="spellStart"/>
      <w:r w:rsidR="00180880" w:rsidRPr="001C6BCF">
        <w:t>PCCR</w:t>
      </w:r>
      <w:proofErr w:type="spellEnd"/>
      <w:r w:rsidR="00180880" w:rsidRPr="001C6BCF">
        <w:t xml:space="preserve"> had an increase in VA </w:t>
      </w:r>
      <w:r w:rsidR="002D55E7" w:rsidRPr="001C6BCF">
        <w:t>growth</w:t>
      </w:r>
    </w:p>
    <w:p w:rsidR="00180880" w:rsidRPr="001C6BCF" w:rsidRDefault="00FD6670" w:rsidP="00FD6670">
      <w:pPr>
        <w:pStyle w:val="BodyText"/>
      </w:pPr>
      <w:r w:rsidRPr="001C6BCF">
        <w:t xml:space="preserve">While VA in </w:t>
      </w:r>
      <w:proofErr w:type="spellStart"/>
      <w:r w:rsidRPr="001C6BCF">
        <w:t>PCCR</w:t>
      </w:r>
      <w:proofErr w:type="spellEnd"/>
      <w:r w:rsidRPr="001C6BCF">
        <w:t xml:space="preserve"> has declined in aggregate, not every industry class within the </w:t>
      </w:r>
      <w:r w:rsidR="0001476C" w:rsidRPr="001C6BCF">
        <w:t>subsector</w:t>
      </w:r>
      <w:r w:rsidRPr="001C6BCF">
        <w:t xml:space="preserve"> has </w:t>
      </w:r>
      <w:r w:rsidR="00322D69" w:rsidRPr="001C6BCF">
        <w:t xml:space="preserve">experienced </w:t>
      </w:r>
      <w:r w:rsidRPr="001C6BCF">
        <w:t>a decline.</w:t>
      </w:r>
      <w:r w:rsidR="004374E6" w:rsidRPr="001C6BCF">
        <w:t xml:space="preserve"> Growth in </w:t>
      </w:r>
      <w:r w:rsidR="002D55E7" w:rsidRPr="001C6BCF">
        <w:t>Pharmaceuticals and some construction</w:t>
      </w:r>
      <w:r w:rsidR="0019098C" w:rsidRPr="001C6BCF">
        <w:t>-</w:t>
      </w:r>
      <w:r w:rsidR="002D55E7" w:rsidRPr="001C6BCF">
        <w:t xml:space="preserve">related materials within </w:t>
      </w:r>
      <w:proofErr w:type="spellStart"/>
      <w:r w:rsidR="002D55E7" w:rsidRPr="001C6BCF">
        <w:t>PCCR</w:t>
      </w:r>
      <w:proofErr w:type="spellEnd"/>
      <w:r w:rsidR="002D55E7" w:rsidRPr="001C6BCF">
        <w:t xml:space="preserve"> may have partially offset the VA slowdown elsewhere in the subsector.</w:t>
      </w:r>
    </w:p>
    <w:p w:rsidR="008A1103" w:rsidRPr="001C6BCF" w:rsidRDefault="000A1069" w:rsidP="00FE2667">
      <w:pPr>
        <w:pStyle w:val="Heading5"/>
      </w:pPr>
      <w:r w:rsidRPr="001C6BCF">
        <w:t>Increased production of p</w:t>
      </w:r>
      <w:r w:rsidR="0079479F" w:rsidRPr="001C6BCF">
        <w:t>harmaceuticals</w:t>
      </w:r>
      <w:r w:rsidRPr="001C6BCF">
        <w:t xml:space="preserve"> </w:t>
      </w:r>
    </w:p>
    <w:p w:rsidR="0079479F" w:rsidRPr="001C6BCF" w:rsidRDefault="00617054" w:rsidP="0079479F">
      <w:pPr>
        <w:pStyle w:val="BodyText"/>
      </w:pPr>
      <w:r>
        <w:t>Growth in</w:t>
      </w:r>
      <w:r w:rsidR="0079479F" w:rsidRPr="001C6BCF">
        <w:t xml:space="preserve"> </w:t>
      </w:r>
      <w:r w:rsidR="00C94D26" w:rsidRPr="001C6BCF">
        <w:t>Pharmaceuticals</w:t>
      </w:r>
      <w:r w:rsidR="008E3AD6" w:rsidRPr="001C6BCF">
        <w:rPr>
          <w:rStyle w:val="FootnoteReference"/>
        </w:rPr>
        <w:footnoteReference w:id="7"/>
      </w:r>
      <w:r w:rsidR="0079479F" w:rsidRPr="001C6BCF">
        <w:t xml:space="preserve"> </w:t>
      </w:r>
      <w:r w:rsidR="00883766" w:rsidRPr="001C6BCF">
        <w:t>provided</w:t>
      </w:r>
      <w:r w:rsidR="00C94D26" w:rsidRPr="001C6BCF">
        <w:t xml:space="preserve"> </w:t>
      </w:r>
      <w:r w:rsidR="0079479F" w:rsidRPr="001C6BCF">
        <w:t>about a quarter of</w:t>
      </w:r>
      <w:r w:rsidR="00D010DE" w:rsidRPr="001C6BCF">
        <w:t xml:space="preserve"> the</w:t>
      </w:r>
      <w:r w:rsidR="0079479F" w:rsidRPr="001C6BCF">
        <w:t xml:space="preserve"> </w:t>
      </w:r>
      <w:r w:rsidR="00783664">
        <w:t>VA</w:t>
      </w:r>
      <w:r w:rsidR="0079479F" w:rsidRPr="001C6BCF">
        <w:t xml:space="preserve"> for the </w:t>
      </w:r>
      <w:r w:rsidR="00567F41">
        <w:t>C</w:t>
      </w:r>
      <w:r w:rsidR="0079479F" w:rsidRPr="001C6BCF">
        <w:t xml:space="preserve">hemicals subdivision in </w:t>
      </w:r>
      <w:r w:rsidR="00C94D26" w:rsidRPr="001C6BCF">
        <w:t>2007-08</w:t>
      </w:r>
      <w:r w:rsidR="0079479F" w:rsidRPr="001C6BCF">
        <w:t xml:space="preserve">. </w:t>
      </w:r>
      <w:r w:rsidR="00EE106C" w:rsidRPr="001C6BCF">
        <w:t xml:space="preserve">Real </w:t>
      </w:r>
      <w:r w:rsidR="00783664">
        <w:t>VA</w:t>
      </w:r>
      <w:r w:rsidR="0079479F" w:rsidRPr="001C6BCF">
        <w:t xml:space="preserve"> in </w:t>
      </w:r>
      <w:r w:rsidR="00EE106C" w:rsidRPr="001C6BCF">
        <w:t>Pharmaceuticals</w:t>
      </w:r>
      <w:r w:rsidR="00E93CB6" w:rsidRPr="001C6BCF">
        <w:t xml:space="preserve"> </w:t>
      </w:r>
      <w:r w:rsidR="0079479F" w:rsidRPr="001C6BCF">
        <w:t xml:space="preserve">is estimated to have shrunk by 2.3 per cent </w:t>
      </w:r>
      <w:r w:rsidR="00E32142" w:rsidRPr="001C6BCF">
        <w:t xml:space="preserve">a </w:t>
      </w:r>
      <w:r w:rsidR="0079479F" w:rsidRPr="001C6BCF">
        <w:t>year over cycle</w:t>
      </w:r>
      <w:r w:rsidR="00481997" w:rsidRPr="001C6BCF">
        <w:t xml:space="preserve"> 3</w:t>
      </w:r>
      <w:r w:rsidR="0079479F" w:rsidRPr="001C6BCF">
        <w:t xml:space="preserve">, before growing by 6.0 per cent </w:t>
      </w:r>
      <w:r w:rsidR="00FB71AB" w:rsidRPr="001C6BCF">
        <w:t xml:space="preserve">a </w:t>
      </w:r>
      <w:r w:rsidR="0079479F" w:rsidRPr="001C6BCF">
        <w:t>year in the next cycle.</w:t>
      </w:r>
      <w:r w:rsidR="0079479F" w:rsidRPr="001C6BCF">
        <w:rPr>
          <w:rStyle w:val="FootnoteReference"/>
        </w:rPr>
        <w:footnoteReference w:id="8"/>
      </w:r>
      <w:r w:rsidR="0079479F" w:rsidRPr="001C6BCF">
        <w:t xml:space="preserve"> These growth patterns are the opposite </w:t>
      </w:r>
      <w:r w:rsidR="0019098C" w:rsidRPr="001C6BCF">
        <w:t>of</w:t>
      </w:r>
      <w:r w:rsidR="00FB71AB" w:rsidRPr="001C6BCF">
        <w:t xml:space="preserve"> those</w:t>
      </w:r>
      <w:r w:rsidR="0004036E" w:rsidRPr="001C6BCF">
        <w:t xml:space="preserve"> </w:t>
      </w:r>
      <w:r w:rsidR="0079479F" w:rsidRPr="001C6BCF">
        <w:t xml:space="preserve">observed </w:t>
      </w:r>
      <w:r w:rsidR="0004036E" w:rsidRPr="001C6BCF">
        <w:t xml:space="preserve">for </w:t>
      </w:r>
      <w:proofErr w:type="spellStart"/>
      <w:r w:rsidR="0004036E" w:rsidRPr="001C6BCF">
        <w:t>PCCR</w:t>
      </w:r>
      <w:proofErr w:type="spellEnd"/>
      <w:r w:rsidR="0004036E" w:rsidRPr="001C6BCF">
        <w:t xml:space="preserve"> in aggregate</w:t>
      </w:r>
      <w:r w:rsidR="00481997" w:rsidRPr="001C6BCF">
        <w:t>,</w:t>
      </w:r>
      <w:r w:rsidR="0079479F" w:rsidRPr="001C6BCF">
        <w:t xml:space="preserve"> </w:t>
      </w:r>
      <w:r w:rsidR="001B168F" w:rsidRPr="001C6BCF">
        <w:t>indicating</w:t>
      </w:r>
      <w:r w:rsidR="00481997" w:rsidRPr="001C6BCF">
        <w:t xml:space="preserve"> that </w:t>
      </w:r>
      <w:r w:rsidR="00A62B4B" w:rsidRPr="001C6BCF">
        <w:t xml:space="preserve">Pharmaceuticals </w:t>
      </w:r>
      <w:r w:rsidR="0006525B" w:rsidRPr="001C6BCF">
        <w:t xml:space="preserve">partially offset the decline in VA in other parts of </w:t>
      </w:r>
      <w:r w:rsidR="0079479F" w:rsidRPr="001C6BCF">
        <w:t>the subsector.</w:t>
      </w:r>
    </w:p>
    <w:p w:rsidR="00082ACC" w:rsidRPr="001C6BCF" w:rsidRDefault="00597903" w:rsidP="00082ACC">
      <w:pPr>
        <w:pStyle w:val="BodyText"/>
      </w:pPr>
      <w:r>
        <w:t>The</w:t>
      </w:r>
      <w:r w:rsidRPr="001C6BCF">
        <w:t xml:space="preserve"> </w:t>
      </w:r>
      <w:r w:rsidR="00783664">
        <w:t>VA</w:t>
      </w:r>
      <w:r w:rsidR="00082ACC" w:rsidRPr="001C6BCF">
        <w:t xml:space="preserve"> </w:t>
      </w:r>
      <w:r w:rsidRPr="001C6BCF">
        <w:t>r</w:t>
      </w:r>
      <w:r>
        <w:t>i</w:t>
      </w:r>
      <w:r w:rsidRPr="001C6BCF">
        <w:t xml:space="preserve">se </w:t>
      </w:r>
      <w:r w:rsidR="00082ACC" w:rsidRPr="001C6BCF">
        <w:t xml:space="preserve">in Pharmaceutical manufacturing </w:t>
      </w:r>
      <w:r w:rsidR="003142F2" w:rsidRPr="001C6BCF">
        <w:t xml:space="preserve">during </w:t>
      </w:r>
      <w:r w:rsidR="00082ACC" w:rsidRPr="001C6BCF">
        <w:t>cycle</w:t>
      </w:r>
      <w:r w:rsidR="00481997" w:rsidRPr="001C6BCF">
        <w:t xml:space="preserve"> 4</w:t>
      </w:r>
      <w:r w:rsidR="00082ACC" w:rsidRPr="001C6BCF">
        <w:t xml:space="preserve"> seems to have been driven by the production of a greater volume of lower-</w:t>
      </w:r>
      <w:r w:rsidR="00783664">
        <w:t>VA</w:t>
      </w:r>
      <w:r w:rsidR="00082ACC" w:rsidRPr="001C6BCF">
        <w:t xml:space="preserve"> products.</w:t>
      </w:r>
      <w:r w:rsidR="0019098C" w:rsidRPr="001C6BCF">
        <w:rPr>
          <w:rStyle w:val="FootnoteReference"/>
        </w:rPr>
        <w:footnoteReference w:id="9"/>
      </w:r>
      <w:r w:rsidR="00082ACC" w:rsidRPr="001C6BCF">
        <w:t xml:space="preserve"> A review of the various pharmaceutical incentive schemes </w:t>
      </w:r>
      <w:r w:rsidR="003142F2" w:rsidRPr="001C6BCF">
        <w:t>in place over cycles 3 and 4</w:t>
      </w:r>
      <w:r w:rsidR="002328DD" w:rsidRPr="001C6BCF">
        <w:rPr>
          <w:rStyle w:val="FootnoteReference"/>
        </w:rPr>
        <w:footnoteReference w:id="10"/>
      </w:r>
      <w:r w:rsidR="00082ACC" w:rsidRPr="001C6BCF">
        <w:t xml:space="preserve"> found that</w:t>
      </w:r>
      <w:r w:rsidR="006416AE" w:rsidRPr="001C6BCF">
        <w:t>:</w:t>
      </w:r>
      <w:r w:rsidR="00082ACC" w:rsidRPr="001C6BCF">
        <w:t xml:space="preserve"> </w:t>
      </w:r>
    </w:p>
    <w:p w:rsidR="00082ACC" w:rsidRPr="001C6BCF" w:rsidRDefault="00082ACC" w:rsidP="0023322F">
      <w:pPr>
        <w:pStyle w:val="Quote"/>
      </w:pPr>
      <w:r w:rsidRPr="001C6BCF">
        <w:t>The industry has become increasingly</w:t>
      </w:r>
      <w:r w:rsidR="00B8003E" w:rsidRPr="001C6BCF">
        <w:t xml:space="preserve"> characterised by lower value packaging activities at</w:t>
      </w:r>
      <w:r w:rsidRPr="001C6BCF">
        <w:t xml:space="preserve"> the expense of more highly valued manufacturing formulation activities. (Pharmaceuticals Industry Strategy Group</w:t>
      </w:r>
      <w:r w:rsidR="006F344D" w:rsidRPr="001C6BCF">
        <w:t xml:space="preserve"> </w:t>
      </w:r>
      <w:r w:rsidRPr="001C6BCF">
        <w:t>2008, p</w:t>
      </w:r>
      <w:r w:rsidR="006D7F8B" w:rsidRPr="001C6BCF">
        <w:t xml:space="preserve">. </w:t>
      </w:r>
      <w:r w:rsidRPr="001C6BCF">
        <w:t>15)</w:t>
      </w:r>
    </w:p>
    <w:p w:rsidR="005F66D0" w:rsidRPr="001C6BCF" w:rsidRDefault="009E3EFC" w:rsidP="00111C1F">
      <w:pPr>
        <w:pStyle w:val="BodyText"/>
      </w:pPr>
      <w:r w:rsidRPr="001C6BCF">
        <w:lastRenderedPageBreak/>
        <w:t>At</w:t>
      </w:r>
      <w:r w:rsidR="006416AE" w:rsidRPr="001C6BCF">
        <w:t xml:space="preserve"> </w:t>
      </w:r>
      <w:r w:rsidR="00EE3BAE" w:rsidRPr="001C6BCF">
        <w:t xml:space="preserve">the same time, </w:t>
      </w:r>
      <w:r w:rsidR="00FE2667" w:rsidRPr="001C6BCF">
        <w:t>there</w:t>
      </w:r>
      <w:r w:rsidR="00EE3BAE" w:rsidRPr="001C6BCF">
        <w:t xml:space="preserve"> was strong</w:t>
      </w:r>
      <w:r w:rsidR="007631B1" w:rsidRPr="001C6BCF">
        <w:t xml:space="preserve"> </w:t>
      </w:r>
      <w:r w:rsidR="00EE3BAE" w:rsidRPr="001C6BCF">
        <w:t xml:space="preserve">growth in pharmaceutical expenditure </w:t>
      </w:r>
      <w:r w:rsidR="00821282" w:rsidRPr="001C6BCF">
        <w:t xml:space="preserve">by consumers </w:t>
      </w:r>
      <w:r w:rsidR="00EE3BAE" w:rsidRPr="001C6BCF">
        <w:t xml:space="preserve">in Australia </w:t>
      </w:r>
      <w:r w:rsidR="00880683" w:rsidRPr="001C6BCF">
        <w:t xml:space="preserve">— </w:t>
      </w:r>
      <w:r w:rsidR="00EE3BAE" w:rsidRPr="001C6BCF">
        <w:t xml:space="preserve">around 6.7 per cent </w:t>
      </w:r>
      <w:r w:rsidR="009F2A31" w:rsidRPr="001C6BCF">
        <w:t xml:space="preserve">a </w:t>
      </w:r>
      <w:r w:rsidR="00EE3BAE" w:rsidRPr="001C6BCF">
        <w:t xml:space="preserve">year </w:t>
      </w:r>
      <w:r w:rsidR="00A2298D" w:rsidRPr="001C6BCF">
        <w:t xml:space="preserve">in </w:t>
      </w:r>
      <w:r w:rsidR="00EE3BAE" w:rsidRPr="001C6BCF">
        <w:t>cycle</w:t>
      </w:r>
      <w:r w:rsidR="009F2A31" w:rsidRPr="001C6BCF">
        <w:t xml:space="preserve"> 4</w:t>
      </w:r>
      <w:r w:rsidR="00E726C8" w:rsidRPr="001C6BCF">
        <w:t>.</w:t>
      </w:r>
      <w:r w:rsidR="00EE3BAE" w:rsidRPr="001C6BCF">
        <w:rPr>
          <w:rStyle w:val="FootnoteReference"/>
        </w:rPr>
        <w:footnoteReference w:id="11"/>
      </w:r>
      <w:r w:rsidR="007A7C32" w:rsidRPr="001C6BCF">
        <w:t xml:space="preserve"> </w:t>
      </w:r>
      <w:r w:rsidR="003D2BCA" w:rsidRPr="001C6BCF">
        <w:t>P</w:t>
      </w:r>
      <w:r w:rsidR="00B35F85" w:rsidRPr="001C6BCF">
        <w:t>harmaceutical</w:t>
      </w:r>
      <w:r w:rsidR="003D2BCA" w:rsidRPr="001C6BCF">
        <w:t>s</w:t>
      </w:r>
      <w:r w:rsidR="00B35F85" w:rsidRPr="001C6BCF">
        <w:t xml:space="preserve"> </w:t>
      </w:r>
      <w:r w:rsidR="00D008B2" w:rsidRPr="001C6BCF">
        <w:t xml:space="preserve">manufacturing </w:t>
      </w:r>
      <w:r w:rsidR="00FC5271" w:rsidRPr="001C6BCF">
        <w:t>is</w:t>
      </w:r>
      <w:r w:rsidR="003779EC" w:rsidRPr="001C6BCF">
        <w:t xml:space="preserve">, therefore, </w:t>
      </w:r>
      <w:r w:rsidR="00111C1F" w:rsidRPr="001C6BCF">
        <w:t xml:space="preserve">likely to have expanded the volume of production sufficiently to offset </w:t>
      </w:r>
      <w:r w:rsidR="000116FC" w:rsidRPr="001C6BCF">
        <w:t xml:space="preserve">the lower VA per unit </w:t>
      </w:r>
      <w:r w:rsidR="00111C1F" w:rsidRPr="001C6BCF">
        <w:t xml:space="preserve">and </w:t>
      </w:r>
      <w:r w:rsidR="00970EDD">
        <w:t xml:space="preserve">thus </w:t>
      </w:r>
      <w:r w:rsidR="0037213A">
        <w:t>had</w:t>
      </w:r>
      <w:r w:rsidR="0037213A" w:rsidRPr="001C6BCF">
        <w:t xml:space="preserve"> </w:t>
      </w:r>
      <w:r w:rsidR="00111C1F" w:rsidRPr="001C6BCF">
        <w:t xml:space="preserve">positive </w:t>
      </w:r>
      <w:r w:rsidR="00783664">
        <w:t>VA</w:t>
      </w:r>
      <w:r w:rsidR="00111C1F" w:rsidRPr="001C6BCF">
        <w:t xml:space="preserve"> growth in total.</w:t>
      </w:r>
    </w:p>
    <w:p w:rsidR="00754066" w:rsidRPr="001C6BCF" w:rsidRDefault="0078737F" w:rsidP="00FE2667">
      <w:pPr>
        <w:pStyle w:val="Heading5"/>
      </w:pPr>
      <w:r w:rsidRPr="001C6BCF">
        <w:t>Growth in construction activity</w:t>
      </w:r>
      <w:r w:rsidR="00754066" w:rsidRPr="001C6BCF">
        <w:t xml:space="preserve"> and its effect on </w:t>
      </w:r>
      <w:proofErr w:type="spellStart"/>
      <w:r w:rsidR="00754066" w:rsidRPr="001C6BCF">
        <w:t>PCCR</w:t>
      </w:r>
      <w:proofErr w:type="spellEnd"/>
    </w:p>
    <w:p w:rsidR="00754066" w:rsidRPr="001C6BCF" w:rsidRDefault="00F57FDE" w:rsidP="00832F3F">
      <w:pPr>
        <w:pStyle w:val="BodyText"/>
      </w:pPr>
      <w:r w:rsidRPr="001C6BCF">
        <w:t>Rapid</w:t>
      </w:r>
      <w:r w:rsidR="00FC77D5" w:rsidRPr="001C6BCF">
        <w:t xml:space="preserve"> growth in construction activity</w:t>
      </w:r>
      <w:r w:rsidR="00C5776D" w:rsidRPr="001C6BCF">
        <w:t xml:space="preserve"> between 2000-01 and 2008-09 </w:t>
      </w:r>
      <w:r w:rsidR="007265DE" w:rsidRPr="001C6BCF">
        <w:t>led to additional demand</w:t>
      </w:r>
      <w:r w:rsidR="00C5776D" w:rsidRPr="001C6BCF">
        <w:t xml:space="preserve"> </w:t>
      </w:r>
      <w:r w:rsidR="0027711A" w:rsidRPr="001C6BCF">
        <w:t xml:space="preserve">for construction materials produced by the </w:t>
      </w:r>
      <w:proofErr w:type="spellStart"/>
      <w:r w:rsidR="00C5776D" w:rsidRPr="001C6BCF">
        <w:t>PCCR</w:t>
      </w:r>
      <w:proofErr w:type="spellEnd"/>
      <w:r w:rsidR="00C5776D" w:rsidRPr="001C6BCF">
        <w:t xml:space="preserve"> </w:t>
      </w:r>
      <w:r w:rsidR="0027711A" w:rsidRPr="001C6BCF">
        <w:t>subsector</w:t>
      </w:r>
      <w:r w:rsidR="00FC77D5" w:rsidRPr="001C6BCF">
        <w:t xml:space="preserve">. </w:t>
      </w:r>
      <w:r w:rsidR="00C14831" w:rsidRPr="001C6BCF">
        <w:t>P</w:t>
      </w:r>
      <w:r w:rsidR="002D54CD" w:rsidRPr="001C6BCF">
        <w:t>aints and some plastic products</w:t>
      </w:r>
      <w:r w:rsidR="00476F5E" w:rsidRPr="001C6BCF">
        <w:t>,</w:t>
      </w:r>
      <w:r w:rsidR="00C14831" w:rsidRPr="001C6BCF">
        <w:t xml:space="preserve"> in particular</w:t>
      </w:r>
      <w:r w:rsidR="00476F5E" w:rsidRPr="001C6BCF">
        <w:t>,</w:t>
      </w:r>
      <w:r w:rsidR="00180880" w:rsidRPr="001C6BCF">
        <w:t xml:space="preserve"> appear to have </w:t>
      </w:r>
      <w:r w:rsidR="00F37D3B" w:rsidRPr="001C6BCF">
        <w:t xml:space="preserve">benefited from </w:t>
      </w:r>
      <w:r w:rsidR="006474A2">
        <w:t xml:space="preserve">the </w:t>
      </w:r>
      <w:r w:rsidR="00180880" w:rsidRPr="001C6BCF">
        <w:t>construction boom (f</w:t>
      </w:r>
      <w:r w:rsidR="00AE16CC" w:rsidRPr="001C6BCF">
        <w:t xml:space="preserve">igure </w:t>
      </w:r>
      <w:r w:rsidR="006A7469">
        <w:t>4.10</w:t>
      </w:r>
      <w:r w:rsidR="00180880" w:rsidRPr="001C6BCF">
        <w:t>).</w:t>
      </w:r>
    </w:p>
    <w:p w:rsidR="00AE16CC" w:rsidRPr="001C6BCF" w:rsidRDefault="00AE16CC" w:rsidP="00AE16CC">
      <w:pPr>
        <w:pStyle w:val="FigureTitle"/>
      </w:pPr>
      <w:r w:rsidRPr="001C6BCF">
        <w:rPr>
          <w:b w:val="0"/>
          <w:sz w:val="24"/>
        </w:rPr>
        <w:t xml:space="preserve">Figure </w:t>
      </w:r>
      <w:bookmarkStart w:id="20" w:name="OLE_LINK33"/>
      <w:r w:rsidR="006A7469">
        <w:rPr>
          <w:b w:val="0"/>
          <w:sz w:val="24"/>
        </w:rPr>
        <w:t>4.</w:t>
      </w:r>
      <w:r w:rsidR="007203B8">
        <w:rPr>
          <w:b w:val="0"/>
          <w:noProof/>
          <w:sz w:val="24"/>
        </w:rPr>
        <w:t>10</w:t>
      </w:r>
      <w:bookmarkEnd w:id="20"/>
      <w:r w:rsidRPr="001C6BCF">
        <w:rPr>
          <w:sz w:val="24"/>
        </w:rPr>
        <w:tab/>
        <w:t>Construction boom</w:t>
      </w:r>
      <w:r w:rsidR="00CB562F" w:rsidRPr="001C6BCF">
        <w:rPr>
          <w:sz w:val="24"/>
        </w:rPr>
        <w:t xml:space="preserve"> and </w:t>
      </w:r>
      <w:r w:rsidR="00783664">
        <w:rPr>
          <w:sz w:val="24"/>
        </w:rPr>
        <w:t>VA</w:t>
      </w:r>
      <w:r w:rsidR="00CB562F" w:rsidRPr="001C6BCF">
        <w:rPr>
          <w:sz w:val="24"/>
        </w:rPr>
        <w:t xml:space="preserve"> of selected </w:t>
      </w:r>
      <w:proofErr w:type="spellStart"/>
      <w:r w:rsidR="00CB562F" w:rsidRPr="001C6BCF">
        <w:rPr>
          <w:sz w:val="24"/>
        </w:rPr>
        <w:t>PCCR</w:t>
      </w:r>
      <w:proofErr w:type="spellEnd"/>
      <w:r w:rsidR="00CB562F" w:rsidRPr="001C6BCF">
        <w:rPr>
          <w:sz w:val="24"/>
        </w:rPr>
        <w:t xml:space="preserve"> products</w:t>
      </w:r>
      <w:r w:rsidRPr="001C6BCF">
        <w:rPr>
          <w:rStyle w:val="NoteLabel"/>
          <w:b/>
        </w:rPr>
        <w:t>a</w:t>
      </w:r>
    </w:p>
    <w:p w:rsidR="00AE16CC" w:rsidRPr="001C6BCF" w:rsidRDefault="006E6459" w:rsidP="00AE16CC">
      <w:pPr>
        <w:pStyle w:val="Subtitle"/>
      </w:pPr>
      <w:r w:rsidRPr="001C6BCF">
        <w:t>2009-10</w:t>
      </w:r>
      <w:r w:rsidR="00CB562F" w:rsidRPr="001C6BCF">
        <w:t xml:space="preserve"> $m</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AE16CC" w:rsidRPr="001C6BCF" w:rsidTr="00AE16CC">
        <w:tc>
          <w:tcPr>
            <w:tcW w:w="8777" w:type="dxa"/>
          </w:tcPr>
          <w:p w:rsidR="00AE16CC" w:rsidRPr="001C6BCF" w:rsidRDefault="00D0322F" w:rsidP="00AA1153">
            <w:pPr>
              <w:pStyle w:val="Figure"/>
            </w:pPr>
            <w:r>
              <w:pict>
                <v:shape id="_x0000_i1037" type="#_x0000_t75" alt="This figure shows, in real dollar terms, the value added of construction activity over the period of 1998-99 to 2010-11, and of paints and coatings and selected polymer products over the 2001-02 to 2010 11 period (right-hand axis) .It shows that construction activity has risen over the whole period, with rapid growth over cycle 4. There was also growth, on average in both paints and coatings and selected polymer products in cycle 4, but then a flattening and decline in the incomplete cycle. " style="width:424.45pt;height:199.25pt;mso-position-vertical:absolute">
                  <v:imagedata r:id="rId21" o:title=""/>
                </v:shape>
              </w:pict>
            </w:r>
          </w:p>
        </w:tc>
      </w:tr>
    </w:tbl>
    <w:p w:rsidR="00AE16CC" w:rsidRPr="001C6BCF" w:rsidRDefault="00AE16CC" w:rsidP="00E60A4D">
      <w:pPr>
        <w:pStyle w:val="Note"/>
      </w:pPr>
      <w:r w:rsidRPr="001C6BCF">
        <w:rPr>
          <w:rStyle w:val="NoteLabel"/>
        </w:rPr>
        <w:t>a</w:t>
      </w:r>
      <w:r w:rsidRPr="001C6BCF">
        <w:t xml:space="preserve"> </w:t>
      </w:r>
      <w:r w:rsidR="00CB562F" w:rsidRPr="001C6BCF">
        <w:t xml:space="preserve">Selected polymer products include </w:t>
      </w:r>
      <w:proofErr w:type="spellStart"/>
      <w:r w:rsidR="00CB562F" w:rsidRPr="001C6BCF">
        <w:t>ANZSIC06</w:t>
      </w:r>
      <w:proofErr w:type="spellEnd"/>
      <w:r w:rsidR="00CB562F" w:rsidRPr="001C6BCF">
        <w:t xml:space="preserve"> 1912 (‘Rigid and Semi-Rigid Polymer Product Manufacturing’) and 1919 (‘Other Polymer Product Manufacturing’). Paints and coatings are </w:t>
      </w:r>
      <w:proofErr w:type="spellStart"/>
      <w:r w:rsidR="00CB562F" w:rsidRPr="001C6BCF">
        <w:t>ANZSIC06</w:t>
      </w:r>
      <w:proofErr w:type="spellEnd"/>
      <w:r w:rsidR="00CB562F" w:rsidRPr="001C6BCF">
        <w:t xml:space="preserve"> 1916. Deflated using </w:t>
      </w:r>
      <w:r w:rsidR="00B56A79">
        <w:t>producer price indexe</w:t>
      </w:r>
      <w:r w:rsidR="00CB562F" w:rsidRPr="001C6BCF">
        <w:t xml:space="preserve">s </w:t>
      </w:r>
      <w:r w:rsidR="00B56A79">
        <w:t xml:space="preserve">for output </w:t>
      </w:r>
      <w:r w:rsidR="00CB562F" w:rsidRPr="001C6BCF">
        <w:t xml:space="preserve">for </w:t>
      </w:r>
      <w:proofErr w:type="spellStart"/>
      <w:r w:rsidR="00CB562F" w:rsidRPr="001C6BCF">
        <w:t>ANZSIC06</w:t>
      </w:r>
      <w:proofErr w:type="spellEnd"/>
      <w:r w:rsidR="00CB562F" w:rsidRPr="001C6BCF">
        <w:t xml:space="preserve"> series 1912 and 1916</w:t>
      </w:r>
      <w:r w:rsidR="00B56A79">
        <w:t xml:space="preserve"> (producer price indexes not </w:t>
      </w:r>
      <w:r w:rsidR="00471964" w:rsidRPr="001C6BCF">
        <w:t>available pre 2001-02</w:t>
      </w:r>
      <w:r w:rsidR="00B56A79">
        <w:t>)</w:t>
      </w:r>
      <w:r w:rsidR="00471964" w:rsidRPr="001C6BCF">
        <w:t xml:space="preserve">. </w:t>
      </w:r>
    </w:p>
    <w:p w:rsidR="00AE16CC" w:rsidRPr="001C6BCF" w:rsidRDefault="00AE16CC" w:rsidP="00E60A4D">
      <w:pPr>
        <w:pStyle w:val="Source"/>
        <w:spacing w:after="0"/>
      </w:pPr>
      <w:r w:rsidRPr="001C6BCF">
        <w:rPr>
          <w:i/>
        </w:rPr>
        <w:t>Data source</w:t>
      </w:r>
      <w:r w:rsidR="00DF2491" w:rsidRPr="001C6BCF">
        <w:rPr>
          <w:i/>
        </w:rPr>
        <w:t>s</w:t>
      </w:r>
      <w:r w:rsidRPr="001C6BCF">
        <w:t xml:space="preserve">: </w:t>
      </w:r>
      <w:r w:rsidR="00724D6C" w:rsidRPr="001C6BCF">
        <w:t>Authors’ estimates based on ABS (</w:t>
      </w:r>
      <w:r w:rsidR="00724D6C" w:rsidRPr="001C6BCF">
        <w:rPr>
          <w:i/>
        </w:rPr>
        <w:t xml:space="preserve">Australian Industry, </w:t>
      </w:r>
      <w:r w:rsidR="007167ED" w:rsidRPr="001C6BCF">
        <w:t xml:space="preserve">various issues, </w:t>
      </w:r>
      <w:r w:rsidR="00724D6C" w:rsidRPr="001C6BCF">
        <w:t>Cat. no 8155.0)</w:t>
      </w:r>
      <w:r w:rsidR="00501114" w:rsidRPr="001C6BCF">
        <w:t>;</w:t>
      </w:r>
      <w:r w:rsidR="00724D6C" w:rsidRPr="001C6BCF">
        <w:t xml:space="preserve"> ABS (</w:t>
      </w:r>
      <w:r w:rsidR="00724D6C" w:rsidRPr="001C6BCF">
        <w:rPr>
          <w:i/>
        </w:rPr>
        <w:t>Australian Manufacturing</w:t>
      </w:r>
      <w:r w:rsidR="00091920" w:rsidRPr="001C6BCF">
        <w:t>, various issues</w:t>
      </w:r>
      <w:r w:rsidR="00724D6C" w:rsidRPr="001C6BCF">
        <w:rPr>
          <w:i/>
        </w:rPr>
        <w:t xml:space="preserve">, </w:t>
      </w:r>
      <w:r w:rsidR="00724D6C" w:rsidRPr="001C6BCF">
        <w:t>Cat. no. 8221.0)</w:t>
      </w:r>
      <w:r w:rsidR="00501114" w:rsidRPr="001C6BCF">
        <w:t>;</w:t>
      </w:r>
      <w:r w:rsidR="00724D6C" w:rsidRPr="001C6BCF">
        <w:t xml:space="preserve"> ABS (</w:t>
      </w:r>
      <w:r w:rsidR="00724D6C" w:rsidRPr="001C6BCF">
        <w:rPr>
          <w:i/>
        </w:rPr>
        <w:t>Experimental Estimates for the Manufacturing Industry</w:t>
      </w:r>
      <w:r w:rsidR="00EE5E26" w:rsidRPr="001C6BCF">
        <w:t>, various issues</w:t>
      </w:r>
      <w:r w:rsidR="00724D6C" w:rsidRPr="001C6BCF">
        <w:rPr>
          <w:i/>
        </w:rPr>
        <w:t xml:space="preserve">, </w:t>
      </w:r>
      <w:r w:rsidR="00724D6C" w:rsidRPr="001C6BCF">
        <w:t>Cat. no. 8159.0)</w:t>
      </w:r>
      <w:r w:rsidR="00501114" w:rsidRPr="001C6BCF">
        <w:t>;</w:t>
      </w:r>
      <w:r w:rsidR="00234758" w:rsidRPr="001C6BCF">
        <w:t xml:space="preserve"> and</w:t>
      </w:r>
      <w:r w:rsidR="00724D6C" w:rsidRPr="001C6BCF">
        <w:t xml:space="preserve"> ABS (</w:t>
      </w:r>
      <w:r w:rsidR="00724D6C" w:rsidRPr="001C6BCF">
        <w:rPr>
          <w:i/>
        </w:rPr>
        <w:t>Producer Price Indexes</w:t>
      </w:r>
      <w:r w:rsidR="003A75E2" w:rsidRPr="001C6BCF">
        <w:t>, various issues</w:t>
      </w:r>
      <w:r w:rsidR="00724D6C" w:rsidRPr="001C6BCF">
        <w:t xml:space="preserve">, Cat. </w:t>
      </w:r>
      <w:r w:rsidR="00D6155C" w:rsidRPr="001C6BCF">
        <w:t>n</w:t>
      </w:r>
      <w:r w:rsidR="00724D6C" w:rsidRPr="001C6BCF">
        <w:t>o. 6427.0); ABS (</w:t>
      </w:r>
      <w:r w:rsidR="00724D6C" w:rsidRPr="001C6BCF">
        <w:rPr>
          <w:i/>
        </w:rPr>
        <w:t xml:space="preserve">Australian System of National Accounts, </w:t>
      </w:r>
      <w:r w:rsidR="006E6459" w:rsidRPr="001C6BCF">
        <w:rPr>
          <w:i/>
        </w:rPr>
        <w:t>2009-10</w:t>
      </w:r>
      <w:r w:rsidR="004567BF" w:rsidRPr="001C6BCF">
        <w:rPr>
          <w:i/>
        </w:rPr>
        <w:t xml:space="preserve">, </w:t>
      </w:r>
      <w:r w:rsidR="00724D6C" w:rsidRPr="001C6BCF">
        <w:t>Cat. no. 5204.0).</w:t>
      </w:r>
    </w:p>
    <w:p w:rsidR="00E60A4D" w:rsidRDefault="00E60A4D">
      <w:pPr>
        <w:rPr>
          <w:rFonts w:ascii="Times New Roman" w:eastAsia="Times New Roman" w:hAnsi="Times New Roman" w:cs="Times New Roman"/>
          <w:sz w:val="26"/>
          <w:szCs w:val="20"/>
          <w:lang w:eastAsia="en-AU"/>
        </w:rPr>
      </w:pPr>
      <w:r>
        <w:br w:type="page"/>
      </w:r>
    </w:p>
    <w:p w:rsidR="007463AE" w:rsidRPr="001C6BCF" w:rsidRDefault="007463AE" w:rsidP="00832F3F">
      <w:pPr>
        <w:pStyle w:val="BodyText"/>
      </w:pPr>
      <w:r w:rsidRPr="001C6BCF">
        <w:lastRenderedPageBreak/>
        <w:t xml:space="preserve">The greater use of plastics stems from an increasing use of plastic fittings, pipes and water tanks, while paints and coatings have </w:t>
      </w:r>
      <w:r w:rsidR="0065202B" w:rsidRPr="001C6BCF">
        <w:t>benefited</w:t>
      </w:r>
      <w:r w:rsidRPr="001C6BCF">
        <w:t xml:space="preserve"> from new construction and an increasing ‘DIY market’ over the period.</w:t>
      </w:r>
      <w:r w:rsidR="0018670C" w:rsidRPr="001C6BCF">
        <w:rPr>
          <w:rStyle w:val="FootnoteReference"/>
        </w:rPr>
        <w:footnoteReference w:id="12"/>
      </w:r>
      <w:r w:rsidR="000B1CF0" w:rsidRPr="001C6BCF">
        <w:t xml:space="preserve"> Indeed, growth in demand also saw an increase in the volume of imports (discussed above) for both plastics and paint, although the trend was more pronounced </w:t>
      </w:r>
      <w:r w:rsidR="009A595F" w:rsidRPr="001C6BCF">
        <w:t>for</w:t>
      </w:r>
      <w:r w:rsidR="000B1CF0" w:rsidRPr="001C6BCF">
        <w:t xml:space="preserve"> the former than the latter.</w:t>
      </w:r>
    </w:p>
    <w:p w:rsidR="008C4AFF" w:rsidRPr="001C6BCF" w:rsidRDefault="00D8403B" w:rsidP="00E81BC0">
      <w:pPr>
        <w:pStyle w:val="Heading3"/>
        <w:keepNext w:val="0"/>
        <w:widowControl w:val="0"/>
      </w:pPr>
      <w:r w:rsidRPr="001C6BCF">
        <w:t>Capital</w:t>
      </w:r>
    </w:p>
    <w:p w:rsidR="001360B3" w:rsidRPr="001C6BCF" w:rsidRDefault="00E6132D" w:rsidP="00E81BC0">
      <w:pPr>
        <w:pStyle w:val="BodyText"/>
      </w:pPr>
      <w:r w:rsidRPr="001C6BCF">
        <w:t xml:space="preserve">The </w:t>
      </w:r>
      <w:r w:rsidR="007121E5" w:rsidRPr="001C6BCF">
        <w:t xml:space="preserve">acceleration </w:t>
      </w:r>
      <w:r w:rsidRPr="001C6BCF">
        <w:t>in capital services</w:t>
      </w:r>
      <w:r w:rsidR="000135DD" w:rsidRPr="001C6BCF">
        <w:t xml:space="preserve"> growth </w:t>
      </w:r>
      <w:r w:rsidRPr="001C6BCF">
        <w:t>between cycle</w:t>
      </w:r>
      <w:r w:rsidR="00C17280" w:rsidRPr="001C6BCF">
        <w:t>s</w:t>
      </w:r>
      <w:r w:rsidRPr="001C6BCF">
        <w:t xml:space="preserve"> 3 and 4</w:t>
      </w:r>
      <w:r w:rsidR="00215023">
        <w:t xml:space="preserve">, without a proportionate increase in </w:t>
      </w:r>
      <w:r w:rsidR="008238A6">
        <w:t xml:space="preserve">measured </w:t>
      </w:r>
      <w:r w:rsidR="00783664">
        <w:t>VA</w:t>
      </w:r>
      <w:r w:rsidR="00215023">
        <w:t>,</w:t>
      </w:r>
      <w:r w:rsidRPr="001C6BCF">
        <w:t xml:space="preserve"> played a major role in the decline in </w:t>
      </w:r>
      <w:proofErr w:type="spellStart"/>
      <w:r w:rsidRPr="001C6BCF">
        <w:t>PCCR</w:t>
      </w:r>
      <w:proofErr w:type="spellEnd"/>
      <w:r w:rsidRPr="001C6BCF">
        <w:t xml:space="preserve"> MFP. </w:t>
      </w:r>
      <w:r w:rsidR="00A945ED" w:rsidRPr="001C6BCF">
        <w:t xml:space="preserve">Two specific elements are behind most of the growth in investment during these cycles — </w:t>
      </w:r>
      <w:r w:rsidR="008F2CA1" w:rsidRPr="001C6BCF">
        <w:t>investment associated with new capital equipment to reduce harmful pollutant</w:t>
      </w:r>
      <w:r w:rsidR="009B31BB" w:rsidRPr="001C6BCF">
        <w:t xml:space="preserve"> levels in </w:t>
      </w:r>
      <w:r w:rsidR="008F2CA1" w:rsidRPr="001C6BCF">
        <w:t>refined fuel</w:t>
      </w:r>
      <w:r w:rsidR="0026616E">
        <w:t>,</w:t>
      </w:r>
      <w:r w:rsidR="008F2CA1" w:rsidRPr="001C6BCF">
        <w:t xml:space="preserve"> and a string of new ammonia and ammonium nitrate projects to</w:t>
      </w:r>
      <w:r w:rsidR="00AF51CD">
        <w:t xml:space="preserve"> </w:t>
      </w:r>
      <w:r w:rsidR="002F6E9C" w:rsidRPr="001C6BCF">
        <w:t>m</w:t>
      </w:r>
      <w:r w:rsidR="000D7CFB" w:rsidRPr="001C6BCF">
        <w:t xml:space="preserve">eet </w:t>
      </w:r>
      <w:r w:rsidR="008F2CA1" w:rsidRPr="001C6BCF">
        <w:t xml:space="preserve">demand for fertilisers and explosives. It is estimated that investment associated with these projects accounts for around 85 per cent </w:t>
      </w:r>
      <w:r w:rsidR="007351FE" w:rsidRPr="001C6BCF">
        <w:t xml:space="preserve">of the </w:t>
      </w:r>
      <w:r w:rsidR="007351FE" w:rsidRPr="001C6BCF">
        <w:rPr>
          <w:i/>
        </w:rPr>
        <w:t>growth</w:t>
      </w:r>
      <w:r w:rsidR="007351FE" w:rsidRPr="001C6BCF">
        <w:t xml:space="preserve"> in investment between cycles 3 and 4</w:t>
      </w:r>
      <w:r w:rsidR="00337B6A" w:rsidRPr="001C6BCF">
        <w:t xml:space="preserve"> for </w:t>
      </w:r>
      <w:proofErr w:type="spellStart"/>
      <w:r w:rsidR="00337B6A" w:rsidRPr="001C6BCF">
        <w:t>PCCR</w:t>
      </w:r>
      <w:proofErr w:type="spellEnd"/>
      <w:r w:rsidR="007351FE" w:rsidRPr="001C6BCF">
        <w:t xml:space="preserve">. </w:t>
      </w:r>
    </w:p>
    <w:p w:rsidR="00A5646B" w:rsidRPr="001C6BCF" w:rsidRDefault="00A5646B" w:rsidP="0023322F">
      <w:pPr>
        <w:pStyle w:val="Heading4"/>
      </w:pPr>
      <w:r w:rsidRPr="001C6BCF">
        <w:t xml:space="preserve">Investment by asset and </w:t>
      </w:r>
      <w:r w:rsidR="00061AF8" w:rsidRPr="001C6BCF">
        <w:t>industry subdivision</w:t>
      </w:r>
    </w:p>
    <w:p w:rsidR="00E81BC0" w:rsidRPr="001C6BCF" w:rsidRDefault="005A0DE4" w:rsidP="00E81BC0">
      <w:pPr>
        <w:pStyle w:val="BodyText"/>
      </w:pPr>
      <w:r w:rsidRPr="001C6BCF">
        <w:t>G</w:t>
      </w:r>
      <w:r w:rsidR="00DE02A5" w:rsidRPr="001C6BCF">
        <w:t>rowth in capital services</w:t>
      </w:r>
      <w:r w:rsidR="00221608" w:rsidRPr="001C6BCF">
        <w:t xml:space="preserve"> in </w:t>
      </w:r>
      <w:proofErr w:type="spellStart"/>
      <w:r w:rsidR="00221608" w:rsidRPr="001C6BCF">
        <w:t>PCCR</w:t>
      </w:r>
      <w:proofErr w:type="spellEnd"/>
      <w:r w:rsidR="00221608" w:rsidRPr="001C6BCF">
        <w:t xml:space="preserve"> </w:t>
      </w:r>
      <w:r w:rsidRPr="001C6BCF">
        <w:t xml:space="preserve">almost doubled </w:t>
      </w:r>
      <w:r w:rsidR="00221608" w:rsidRPr="001C6BCF">
        <w:t>between cycles 3 and 4. Figure</w:t>
      </w:r>
      <w:r w:rsidR="00467A16">
        <w:t> </w:t>
      </w:r>
      <w:r w:rsidR="006A7469">
        <w:t>4.11</w:t>
      </w:r>
      <w:r w:rsidR="00221608" w:rsidRPr="001C6BCF">
        <w:t xml:space="preserve"> shows the real value of investment by asset type</w:t>
      </w:r>
      <w:r w:rsidR="0051329F" w:rsidRPr="001C6BCF">
        <w:t xml:space="preserve"> — </w:t>
      </w:r>
      <w:r w:rsidR="00E81BC0" w:rsidRPr="001C6BCF">
        <w:t>namely machinery and equipment</w:t>
      </w:r>
      <w:r w:rsidR="006E05FD" w:rsidRPr="001C6BCF">
        <w:t xml:space="preserve"> (</w:t>
      </w:r>
      <w:proofErr w:type="spellStart"/>
      <w:r w:rsidR="006E05FD" w:rsidRPr="001C6BCF">
        <w:t>M&amp;E</w:t>
      </w:r>
      <w:proofErr w:type="spellEnd"/>
      <w:r w:rsidR="006E05FD" w:rsidRPr="001C6BCF">
        <w:t>)</w:t>
      </w:r>
      <w:r w:rsidR="00E81BC0" w:rsidRPr="001C6BCF">
        <w:t>, non-dwelling construction</w:t>
      </w:r>
      <w:r w:rsidR="006E05FD" w:rsidRPr="001C6BCF">
        <w:t xml:space="preserve"> (</w:t>
      </w:r>
      <w:proofErr w:type="spellStart"/>
      <w:r w:rsidR="006E05FD" w:rsidRPr="001C6BCF">
        <w:t>NDC</w:t>
      </w:r>
      <w:proofErr w:type="spellEnd"/>
      <w:r w:rsidR="006E05FD" w:rsidRPr="001C6BCF">
        <w:t>)</w:t>
      </w:r>
      <w:r w:rsidR="00E81BC0" w:rsidRPr="001C6BCF">
        <w:t xml:space="preserve">, </w:t>
      </w:r>
      <w:r w:rsidR="006E05FD" w:rsidRPr="001C6BCF">
        <w:t>research &amp; development (</w:t>
      </w:r>
      <w:r w:rsidR="00E81BC0" w:rsidRPr="001C6BCF">
        <w:t>R&amp;D</w:t>
      </w:r>
      <w:r w:rsidR="006E05FD" w:rsidRPr="001C6BCF">
        <w:t>)</w:t>
      </w:r>
      <w:r w:rsidR="00E81BC0" w:rsidRPr="001C6BCF">
        <w:t xml:space="preserve"> and software.</w:t>
      </w:r>
      <w:r w:rsidR="0051329F" w:rsidRPr="001C6BCF">
        <w:t xml:space="preserve"> </w:t>
      </w:r>
      <w:proofErr w:type="spellStart"/>
      <w:r w:rsidR="00CE22BB" w:rsidRPr="001C6BCF">
        <w:t>M&amp;E</w:t>
      </w:r>
      <w:proofErr w:type="spellEnd"/>
      <w:r w:rsidR="00CE22BB" w:rsidRPr="001C6BCF">
        <w:t xml:space="preserve"> is generally the largest component of investment in </w:t>
      </w:r>
      <w:proofErr w:type="spellStart"/>
      <w:r w:rsidR="00CE22BB" w:rsidRPr="001C6BCF">
        <w:t>PCCR</w:t>
      </w:r>
      <w:proofErr w:type="spellEnd"/>
      <w:r w:rsidR="00CE22BB" w:rsidRPr="001C6BCF">
        <w:t xml:space="preserve">, followed by </w:t>
      </w:r>
      <w:proofErr w:type="spellStart"/>
      <w:r w:rsidR="00CE22BB" w:rsidRPr="001C6BCF">
        <w:t>ND</w:t>
      </w:r>
      <w:r w:rsidR="00706ADA" w:rsidRPr="001C6BCF">
        <w:t>C</w:t>
      </w:r>
      <w:proofErr w:type="spellEnd"/>
      <w:r w:rsidR="00CE22BB" w:rsidRPr="001C6BCF">
        <w:t xml:space="preserve">. </w:t>
      </w:r>
    </w:p>
    <w:p w:rsidR="0051329F" w:rsidRDefault="00501FFC" w:rsidP="0051329F">
      <w:pPr>
        <w:pStyle w:val="BodyText"/>
      </w:pPr>
      <w:r w:rsidRPr="001C6BCF">
        <w:t xml:space="preserve">Investment </w:t>
      </w:r>
      <w:r w:rsidR="0051329F" w:rsidRPr="001C6BCF">
        <w:t xml:space="preserve">in </w:t>
      </w:r>
      <w:r w:rsidR="007A6442" w:rsidRPr="001C6BCF">
        <w:t xml:space="preserve">both </w:t>
      </w:r>
      <w:proofErr w:type="spellStart"/>
      <w:r w:rsidR="006510C4" w:rsidRPr="001C6BCF">
        <w:t>M&amp;E</w:t>
      </w:r>
      <w:proofErr w:type="spellEnd"/>
      <w:r w:rsidR="006510C4" w:rsidRPr="001C6BCF">
        <w:t xml:space="preserve"> </w:t>
      </w:r>
      <w:r w:rsidR="0051329F" w:rsidRPr="001C6BCF">
        <w:t xml:space="preserve">and </w:t>
      </w:r>
      <w:proofErr w:type="spellStart"/>
      <w:r w:rsidR="006510C4" w:rsidRPr="001C6BCF">
        <w:t>NDC</w:t>
      </w:r>
      <w:proofErr w:type="spellEnd"/>
      <w:r w:rsidR="006510C4" w:rsidRPr="001C6BCF">
        <w:t xml:space="preserve"> </w:t>
      </w:r>
      <w:r w:rsidR="005626EA" w:rsidRPr="001C6BCF">
        <w:t>was</w:t>
      </w:r>
      <w:r w:rsidR="0051329F" w:rsidRPr="001C6BCF">
        <w:t xml:space="preserve"> fairly stable in </w:t>
      </w:r>
      <w:proofErr w:type="spellStart"/>
      <w:r w:rsidR="0051329F" w:rsidRPr="001C6BCF">
        <w:t>PCCR</w:t>
      </w:r>
      <w:proofErr w:type="spellEnd"/>
      <w:r w:rsidR="0051329F" w:rsidRPr="001C6BCF">
        <w:t xml:space="preserve"> </w:t>
      </w:r>
      <w:r w:rsidR="00F25629" w:rsidRPr="001C6BCF">
        <w:t>until near the end of cycle 3</w:t>
      </w:r>
      <w:r w:rsidR="005E0E90" w:rsidRPr="001C6BCF">
        <w:t>,</w:t>
      </w:r>
      <w:r w:rsidR="00F25629" w:rsidRPr="001C6BCF">
        <w:t xml:space="preserve"> after which there was a </w:t>
      </w:r>
      <w:r w:rsidR="0051329F" w:rsidRPr="001C6BCF">
        <w:t>pronounced acceleration</w:t>
      </w:r>
      <w:r w:rsidR="00675960" w:rsidRPr="001C6BCF">
        <w:t>. I</w:t>
      </w:r>
      <w:r w:rsidR="005E0E90" w:rsidRPr="001C6BCF">
        <w:t xml:space="preserve">nvestment </w:t>
      </w:r>
      <w:r w:rsidR="0051329F" w:rsidRPr="001C6BCF">
        <w:t xml:space="preserve">in </w:t>
      </w:r>
      <w:proofErr w:type="spellStart"/>
      <w:r w:rsidR="0060678B" w:rsidRPr="001C6BCF">
        <w:t>NDC</w:t>
      </w:r>
      <w:proofErr w:type="spellEnd"/>
      <w:r w:rsidR="0051329F" w:rsidRPr="001C6BCF">
        <w:t xml:space="preserve"> </w:t>
      </w:r>
      <w:r w:rsidR="00926041" w:rsidRPr="001C6BCF">
        <w:t>peaked</w:t>
      </w:r>
      <w:r w:rsidR="0051329F" w:rsidRPr="001C6BCF">
        <w:t xml:space="preserve"> in 2003-04 and </w:t>
      </w:r>
      <w:r w:rsidR="00926041" w:rsidRPr="001C6BCF">
        <w:t xml:space="preserve">returned </w:t>
      </w:r>
      <w:r w:rsidR="0051329F" w:rsidRPr="001C6BCF">
        <w:t xml:space="preserve">to around </w:t>
      </w:r>
      <w:r w:rsidR="00926041" w:rsidRPr="001C6BCF">
        <w:t xml:space="preserve">historical </w:t>
      </w:r>
      <w:r w:rsidR="0051329F" w:rsidRPr="001C6BCF">
        <w:t xml:space="preserve">levels in 2005-06, while </w:t>
      </w:r>
      <w:r w:rsidR="006510C4" w:rsidRPr="001C6BCF">
        <w:t xml:space="preserve">investment in </w:t>
      </w:r>
      <w:proofErr w:type="spellStart"/>
      <w:r w:rsidR="0051329F" w:rsidRPr="001C6BCF">
        <w:t>M&amp;E</w:t>
      </w:r>
      <w:proofErr w:type="spellEnd"/>
      <w:r w:rsidR="0051329F" w:rsidRPr="001C6BCF">
        <w:t xml:space="preserve"> continued to rise until </w:t>
      </w:r>
      <w:r w:rsidR="005D798C" w:rsidRPr="001C6BCF">
        <w:t>2005-06</w:t>
      </w:r>
      <w:r w:rsidR="0051329F" w:rsidRPr="001C6BCF">
        <w:t>.</w:t>
      </w:r>
    </w:p>
    <w:p w:rsidR="00E81BC0" w:rsidRPr="001C6BCF" w:rsidRDefault="00E81BC0" w:rsidP="00E81BC0">
      <w:pPr>
        <w:pStyle w:val="FigureTitle"/>
      </w:pPr>
      <w:r w:rsidRPr="001C6BCF">
        <w:rPr>
          <w:b w:val="0"/>
          <w:sz w:val="24"/>
        </w:rPr>
        <w:lastRenderedPageBreak/>
        <w:t xml:space="preserve">Figure </w:t>
      </w:r>
      <w:bookmarkStart w:id="21" w:name="OLE_LINK9"/>
      <w:r w:rsidR="006A7469">
        <w:rPr>
          <w:b w:val="0"/>
          <w:sz w:val="24"/>
        </w:rPr>
        <w:t>4.</w:t>
      </w:r>
      <w:r w:rsidR="007203B8">
        <w:rPr>
          <w:b w:val="0"/>
          <w:noProof/>
          <w:sz w:val="24"/>
        </w:rPr>
        <w:t>11</w:t>
      </w:r>
      <w:bookmarkEnd w:id="21"/>
      <w:r w:rsidRPr="001C6BCF">
        <w:rPr>
          <w:sz w:val="24"/>
        </w:rPr>
        <w:tab/>
      </w:r>
      <w:proofErr w:type="spellStart"/>
      <w:r w:rsidRPr="001C6BCF">
        <w:rPr>
          <w:sz w:val="24"/>
        </w:rPr>
        <w:t>PCCR</w:t>
      </w:r>
      <w:proofErr w:type="spellEnd"/>
      <w:r w:rsidRPr="001C6BCF">
        <w:rPr>
          <w:sz w:val="24"/>
        </w:rPr>
        <w:t xml:space="preserve"> </w:t>
      </w:r>
      <w:r w:rsidR="00BE5666" w:rsidRPr="001C6BCF">
        <w:rPr>
          <w:sz w:val="24"/>
        </w:rPr>
        <w:t>gross fixed capital formation</w:t>
      </w:r>
      <w:r w:rsidRPr="001C6BCF">
        <w:rPr>
          <w:sz w:val="24"/>
        </w:rPr>
        <w:t xml:space="preserve"> by asset</w:t>
      </w:r>
      <w:r w:rsidR="002B0C7A" w:rsidRPr="001C6BCF">
        <w:rPr>
          <w:sz w:val="24"/>
        </w:rPr>
        <w:t xml:space="preserve"> type</w:t>
      </w:r>
      <w:r w:rsidR="00D53653" w:rsidRPr="00D53653">
        <w:rPr>
          <w:rStyle w:val="NoteLabel"/>
          <w:b/>
        </w:rPr>
        <w:t>a</w:t>
      </w:r>
    </w:p>
    <w:p w:rsidR="00E81BC0" w:rsidRPr="001C6BCF" w:rsidRDefault="001067EA" w:rsidP="00E81BC0">
      <w:pPr>
        <w:pStyle w:val="Subtitle"/>
      </w:pPr>
      <w:r w:rsidRPr="001C6BCF">
        <w:t>2009-10</w:t>
      </w:r>
      <w:r w:rsidR="00E81BC0" w:rsidRPr="001C6BCF">
        <w:t xml:space="preserve"> $m</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3126F3" w:rsidRPr="001C6BCF" w:rsidTr="008A5C63">
        <w:tc>
          <w:tcPr>
            <w:tcW w:w="8777" w:type="dxa"/>
          </w:tcPr>
          <w:p w:rsidR="003126F3" w:rsidRPr="001C6BCF" w:rsidRDefault="00D0322F" w:rsidP="000B5BA5">
            <w:pPr>
              <w:pStyle w:val="Figure"/>
            </w:pPr>
            <w:r>
              <w:pict>
                <v:shape id="_x0000_i1038" type="#_x0000_t75" alt="This figure shows the real dollar value of investment for different asset types from 1988-89 to 2010-11, and comprises of two charts. The top chart shows investment in ‘machinery and equipment’ and in ‘non-dwelling construction’; the bottom chart shows investment in R&amp;D and software.  A description of the trends can be found in the text immediately preceding and following the figure." style="width:424.45pt;height:199.25pt;mso-position-vertical:absolute">
                  <v:imagedata r:id="rId22" o:title=""/>
                </v:shape>
              </w:pict>
            </w:r>
          </w:p>
        </w:tc>
      </w:tr>
      <w:tr w:rsidR="00E81BC0" w:rsidRPr="001C6BCF" w:rsidTr="008A5C63">
        <w:tc>
          <w:tcPr>
            <w:tcW w:w="8777" w:type="dxa"/>
          </w:tcPr>
          <w:p w:rsidR="00E81BC0" w:rsidRPr="001C6BCF" w:rsidRDefault="00D0322F" w:rsidP="00AA1153">
            <w:pPr>
              <w:pStyle w:val="Figure"/>
            </w:pPr>
            <w:r>
              <w:pict>
                <v:shape id="_x0000_i1039" type="#_x0000_t75" alt="This figure shows the real dollar value of investment for different asset types from 1988-89 to 2010-11, and comprises of two charts. The top chart shows investment in ‘machinery and equipment’ and in ‘non-dwelling construction’; the bottom chart shows investment in R&amp;D and software.  A description of the trends can be found in the text immediately preceding and following the figure." style="width:424.45pt;height:198.4pt">
                  <v:imagedata r:id="rId23" o:title=""/>
                </v:shape>
              </w:pict>
            </w:r>
          </w:p>
        </w:tc>
      </w:tr>
    </w:tbl>
    <w:p w:rsidR="00D53653" w:rsidRDefault="00D53653" w:rsidP="00D53653">
      <w:pPr>
        <w:pStyle w:val="Note"/>
        <w:rPr>
          <w:i/>
        </w:rPr>
      </w:pPr>
      <w:r>
        <w:rPr>
          <w:rStyle w:val="NoteLabel"/>
        </w:rPr>
        <w:t>a</w:t>
      </w:r>
      <w:r>
        <w:t xml:space="preserve"> The estimation of capital services for each subsector of Manufacturing (as discussed in chapter 3), involved apportioning Manufacturing investment (gross fixed capital formation from the ABS National Accounts) across the different subsectors. This allowed for the construction of a time series for </w:t>
      </w:r>
      <w:proofErr w:type="spellStart"/>
      <w:r>
        <w:t>PCCR</w:t>
      </w:r>
      <w:proofErr w:type="spellEnd"/>
      <w:r>
        <w:t xml:space="preserve"> investment in different capital asset types (see appendix A for details).</w:t>
      </w:r>
    </w:p>
    <w:p w:rsidR="00E81BC0" w:rsidRPr="001C6BCF" w:rsidRDefault="00E81BC0" w:rsidP="00E81BC0">
      <w:pPr>
        <w:pStyle w:val="Source"/>
      </w:pPr>
      <w:r w:rsidRPr="001C6BCF">
        <w:rPr>
          <w:i/>
        </w:rPr>
        <w:t>Data source</w:t>
      </w:r>
      <w:r w:rsidR="00205A7E">
        <w:rPr>
          <w:i/>
        </w:rPr>
        <w:t>s</w:t>
      </w:r>
      <w:r w:rsidRPr="001C6BCF">
        <w:t>: Authors’ estimates based on ABS (</w:t>
      </w:r>
      <w:r w:rsidRPr="001C6BCF">
        <w:rPr>
          <w:i/>
        </w:rPr>
        <w:t xml:space="preserve">Australian System of National Accounts, </w:t>
      </w:r>
      <w:r w:rsidR="00BF055A" w:rsidRPr="001C6BCF">
        <w:rPr>
          <w:i/>
        </w:rPr>
        <w:t xml:space="preserve">2010-11, </w:t>
      </w:r>
      <w:r w:rsidRPr="001C6BCF">
        <w:t>Cat.</w:t>
      </w:r>
      <w:r w:rsidR="002133CB">
        <w:t> </w:t>
      </w:r>
      <w:r w:rsidRPr="001C6BCF">
        <w:t>no</w:t>
      </w:r>
      <w:r w:rsidR="00C604C1" w:rsidRPr="001C6BCF">
        <w:t>. </w:t>
      </w:r>
      <w:r w:rsidRPr="001C6BCF">
        <w:t>5204.0)</w:t>
      </w:r>
      <w:r w:rsidR="006950D5" w:rsidRPr="001C6BCF">
        <w:t>;</w:t>
      </w:r>
      <w:r w:rsidR="00605E11" w:rsidRPr="001C6BCF">
        <w:t xml:space="preserve"> and </w:t>
      </w:r>
      <w:r w:rsidRPr="001C6BCF">
        <w:t>ABS (</w:t>
      </w:r>
      <w:r w:rsidR="00C41C0D" w:rsidRPr="001C6BCF">
        <w:t xml:space="preserve">unpublished </w:t>
      </w:r>
      <w:r w:rsidR="00D34096" w:rsidRPr="001C6BCF">
        <w:t xml:space="preserve">Survey </w:t>
      </w:r>
      <w:r w:rsidR="00D64B48" w:rsidRPr="001C6BCF">
        <w:t xml:space="preserve">of New Capital Expenditure </w:t>
      </w:r>
      <w:r w:rsidR="00C41C0D" w:rsidRPr="001C6BCF">
        <w:t>data</w:t>
      </w:r>
      <w:r w:rsidR="00963EAD" w:rsidRPr="001C6BCF">
        <w:t>)</w:t>
      </w:r>
      <w:r w:rsidR="000E1F35" w:rsidRPr="001C6BCF">
        <w:t>.</w:t>
      </w:r>
    </w:p>
    <w:p w:rsidR="00AA1153" w:rsidRDefault="00AA1153">
      <w:pPr>
        <w:rPr>
          <w:rFonts w:ascii="Times New Roman" w:eastAsia="Times New Roman" w:hAnsi="Times New Roman" w:cs="Times New Roman"/>
          <w:sz w:val="26"/>
          <w:szCs w:val="20"/>
          <w:lang w:eastAsia="en-AU"/>
        </w:rPr>
      </w:pPr>
      <w:r>
        <w:br w:type="page"/>
      </w:r>
    </w:p>
    <w:p w:rsidR="00AA1153" w:rsidRPr="001C6BCF" w:rsidRDefault="00AA1153" w:rsidP="00AA1153">
      <w:pPr>
        <w:pStyle w:val="BodyText"/>
      </w:pPr>
      <w:r w:rsidRPr="001C6BCF">
        <w:lastRenderedPageBreak/>
        <w:t xml:space="preserve">Both R&amp;D and software investment grew at fairly constant rates until the early </w:t>
      </w:r>
      <w:proofErr w:type="spellStart"/>
      <w:r w:rsidRPr="001C6BCF">
        <w:t>2000s</w:t>
      </w:r>
      <w:proofErr w:type="spellEnd"/>
      <w:r w:rsidRPr="001C6BCF">
        <w:t xml:space="preserve">, before the rate of investment in both asset types accelerated. Investment in R&amp;D and software has plateaued or decreased since 2007-08. While these asset types also contributed to the increase in the growth of capital services in </w:t>
      </w:r>
      <w:proofErr w:type="spellStart"/>
      <w:r w:rsidRPr="001C6BCF">
        <w:t>PCCR</w:t>
      </w:r>
      <w:proofErr w:type="spellEnd"/>
      <w:r w:rsidRPr="001C6BCF">
        <w:t xml:space="preserve"> </w:t>
      </w:r>
      <w:r>
        <w:t>b</w:t>
      </w:r>
      <w:r w:rsidRPr="001C6BCF">
        <w:t xml:space="preserve">etween cycles 3 and 4, their magnitude is much smaller than that of </w:t>
      </w:r>
      <w:proofErr w:type="spellStart"/>
      <w:r w:rsidRPr="001C6BCF">
        <w:t>M&amp;E</w:t>
      </w:r>
      <w:proofErr w:type="spellEnd"/>
      <w:r w:rsidRPr="001C6BCF">
        <w:t xml:space="preserve"> and </w:t>
      </w:r>
      <w:proofErr w:type="spellStart"/>
      <w:r w:rsidRPr="001C6BCF">
        <w:t>NDC</w:t>
      </w:r>
      <w:proofErr w:type="spellEnd"/>
      <w:r w:rsidRPr="001C6BCF">
        <w:t>.</w:t>
      </w:r>
      <w:r w:rsidRPr="001C6BCF">
        <w:rPr>
          <w:rStyle w:val="FootnoteReference"/>
        </w:rPr>
        <w:footnoteReference w:id="13"/>
      </w:r>
    </w:p>
    <w:p w:rsidR="001F28F9" w:rsidRDefault="00EA56DE" w:rsidP="008A5105">
      <w:pPr>
        <w:pStyle w:val="BodyText"/>
      </w:pPr>
      <w:r>
        <w:t>Subdivision level data</w:t>
      </w:r>
      <w:r w:rsidR="008A5105" w:rsidRPr="001C6BCF">
        <w:t xml:space="preserve"> </w:t>
      </w:r>
      <w:r w:rsidR="005D2939" w:rsidRPr="001C6BCF">
        <w:t>reveal</w:t>
      </w:r>
      <w:r w:rsidR="008A5105" w:rsidRPr="001C6BCF">
        <w:t xml:space="preserve"> which parts of </w:t>
      </w:r>
      <w:proofErr w:type="spellStart"/>
      <w:r w:rsidR="008A5105" w:rsidRPr="001C6BCF">
        <w:t>PCCR</w:t>
      </w:r>
      <w:proofErr w:type="spellEnd"/>
      <w:r w:rsidR="008A5105" w:rsidRPr="001C6BCF">
        <w:t xml:space="preserve"> drove the strong growth in investment, and ultimately capital services</w:t>
      </w:r>
      <w:r w:rsidR="00E02919" w:rsidRPr="001C6BCF">
        <w:t>,</w:t>
      </w:r>
      <w:r w:rsidR="008A5105" w:rsidRPr="001C6BCF">
        <w:t xml:space="preserve"> for the subsector.</w:t>
      </w:r>
      <w:r w:rsidR="00445981" w:rsidRPr="001C6BCF">
        <w:t xml:space="preserve"> Figure </w:t>
      </w:r>
      <w:r w:rsidR="006A7469">
        <w:t>4.12</w:t>
      </w:r>
      <w:r w:rsidR="001F28F9" w:rsidRPr="001C6BCF">
        <w:t xml:space="preserve"> shows</w:t>
      </w:r>
      <w:r w:rsidR="00E02919" w:rsidRPr="001C6BCF">
        <w:t xml:space="preserve"> </w:t>
      </w:r>
      <w:r w:rsidR="00574F9E">
        <w:t xml:space="preserve">that </w:t>
      </w:r>
      <w:r w:rsidR="00AB7704" w:rsidRPr="001C6BCF">
        <w:t>Chemicals</w:t>
      </w:r>
      <w:r w:rsidR="008E4239" w:rsidRPr="001C6BCF">
        <w:t xml:space="preserve"> accounted for around half (47 per cent</w:t>
      </w:r>
      <w:r w:rsidR="001D0891" w:rsidRPr="001C6BCF">
        <w:t>)</w:t>
      </w:r>
      <w:r w:rsidR="008E4239" w:rsidRPr="001C6BCF">
        <w:t xml:space="preserve"> of the growth</w:t>
      </w:r>
      <w:r w:rsidR="00970EDD">
        <w:t xml:space="preserve"> in </w:t>
      </w:r>
      <w:proofErr w:type="spellStart"/>
      <w:r w:rsidR="00970EDD">
        <w:t>M&amp;E</w:t>
      </w:r>
      <w:proofErr w:type="spellEnd"/>
      <w:r w:rsidR="00970EDD">
        <w:t xml:space="preserve"> and </w:t>
      </w:r>
      <w:proofErr w:type="spellStart"/>
      <w:r w:rsidR="00970EDD">
        <w:t>NDC</w:t>
      </w:r>
      <w:proofErr w:type="spellEnd"/>
      <w:r w:rsidR="008E4239" w:rsidRPr="001C6BCF">
        <w:t xml:space="preserve"> between cycles, while </w:t>
      </w:r>
      <w:r w:rsidR="00AB7704" w:rsidRPr="001C6BCF">
        <w:t>Petroleum</w:t>
      </w:r>
      <w:r w:rsidR="008E4239" w:rsidRPr="001C6BCF">
        <w:t xml:space="preserve"> accounted for about a third (32</w:t>
      </w:r>
      <w:r w:rsidR="001D0891" w:rsidRPr="001C6BCF">
        <w:t xml:space="preserve"> per cent</w:t>
      </w:r>
      <w:r w:rsidR="008E4239" w:rsidRPr="001C6BCF">
        <w:t>).</w:t>
      </w:r>
      <w:r w:rsidR="003A73C1" w:rsidRPr="001C6BCF">
        <w:t xml:space="preserve"> </w:t>
      </w:r>
    </w:p>
    <w:p w:rsidR="00247E12" w:rsidRPr="001C6BCF" w:rsidRDefault="00247E12" w:rsidP="00247E12">
      <w:pPr>
        <w:pStyle w:val="BodyText"/>
      </w:pPr>
      <w:r w:rsidRPr="001C6BCF">
        <w:t>There are different drivers and changes in the operating environment responsible for the investment growth in Petroleum and coal product manufacturing and Basic chemical and chemical product manufacturing.</w:t>
      </w:r>
    </w:p>
    <w:p w:rsidR="001F28F9" w:rsidRPr="001C6BCF" w:rsidRDefault="001F28F9">
      <w:pPr>
        <w:pStyle w:val="FigureTitle"/>
        <w:rPr>
          <w:sz w:val="24"/>
        </w:rPr>
      </w:pPr>
      <w:r w:rsidRPr="001C6BCF">
        <w:rPr>
          <w:b w:val="0"/>
          <w:sz w:val="24"/>
        </w:rPr>
        <w:lastRenderedPageBreak/>
        <w:t xml:space="preserve">Figure </w:t>
      </w:r>
      <w:bookmarkStart w:id="22" w:name="OLE_LINK20"/>
      <w:r w:rsidR="006A7469">
        <w:rPr>
          <w:b w:val="0"/>
          <w:sz w:val="24"/>
        </w:rPr>
        <w:t>4.</w:t>
      </w:r>
      <w:r w:rsidR="007203B8">
        <w:rPr>
          <w:b w:val="0"/>
          <w:noProof/>
          <w:sz w:val="24"/>
        </w:rPr>
        <w:t>12</w:t>
      </w:r>
      <w:bookmarkEnd w:id="22"/>
      <w:r w:rsidRPr="001C6BCF">
        <w:rPr>
          <w:sz w:val="24"/>
        </w:rPr>
        <w:tab/>
      </w:r>
      <w:proofErr w:type="spellStart"/>
      <w:r w:rsidR="0093176D" w:rsidRPr="001C6BCF">
        <w:rPr>
          <w:sz w:val="24"/>
        </w:rPr>
        <w:t>PCCR</w:t>
      </w:r>
      <w:proofErr w:type="spellEnd"/>
      <w:r w:rsidR="0093176D" w:rsidRPr="001C6BCF">
        <w:rPr>
          <w:sz w:val="24"/>
        </w:rPr>
        <w:t xml:space="preserve"> gross fixed capital formation by subdivision and asset type</w:t>
      </w:r>
      <w:r w:rsidR="00445AE6" w:rsidRPr="00445AE6">
        <w:rPr>
          <w:rStyle w:val="NoteLabel"/>
          <w:b/>
        </w:rPr>
        <w:t>a</w:t>
      </w:r>
    </w:p>
    <w:p w:rsidR="001F28F9" w:rsidRPr="001C6BCF" w:rsidRDefault="001F28F9">
      <w:pPr>
        <w:pStyle w:val="Subtitle"/>
      </w:pPr>
      <w:r w:rsidRPr="001C6BCF">
        <w:t>2009-10 $m</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EE6C79" w:rsidRPr="00A54859" w:rsidTr="00DA1027">
        <w:tc>
          <w:tcPr>
            <w:tcW w:w="8777" w:type="dxa"/>
          </w:tcPr>
          <w:p w:rsidR="00EE6C79" w:rsidRPr="00A54859" w:rsidRDefault="00EE6C79" w:rsidP="00A54859">
            <w:pPr>
              <w:pStyle w:val="Figure"/>
              <w:spacing w:after="0"/>
              <w:rPr>
                <w:i/>
                <w:sz w:val="22"/>
                <w:szCs w:val="22"/>
              </w:rPr>
            </w:pPr>
            <w:r w:rsidRPr="00A54859">
              <w:rPr>
                <w:i/>
                <w:sz w:val="22"/>
                <w:szCs w:val="22"/>
              </w:rPr>
              <w:t xml:space="preserve">Machinery </w:t>
            </w:r>
            <w:r w:rsidR="00861C4B" w:rsidRPr="00A54859">
              <w:rPr>
                <w:i/>
                <w:sz w:val="22"/>
                <w:szCs w:val="22"/>
              </w:rPr>
              <w:t>and</w:t>
            </w:r>
            <w:r w:rsidRPr="00A54859">
              <w:rPr>
                <w:i/>
                <w:sz w:val="22"/>
                <w:szCs w:val="22"/>
              </w:rPr>
              <w:t xml:space="preserve"> equipment</w:t>
            </w:r>
          </w:p>
        </w:tc>
      </w:tr>
      <w:tr w:rsidR="00EE6C79" w:rsidRPr="001C6BCF" w:rsidTr="00DA1027">
        <w:tc>
          <w:tcPr>
            <w:tcW w:w="8777" w:type="dxa"/>
          </w:tcPr>
          <w:p w:rsidR="00EE6C79" w:rsidRPr="001C6BCF" w:rsidRDefault="00D0322F" w:rsidP="00FD4ECD">
            <w:pPr>
              <w:pStyle w:val="Figure"/>
              <w:spacing w:before="0" w:after="0"/>
              <w:rPr>
                <w:i/>
              </w:rPr>
            </w:pPr>
            <w:r>
              <w:rPr>
                <w:i/>
              </w:rPr>
              <w:pict>
                <v:shape id="_x0000_i1040" type="#_x0000_t75" alt="This figure shows the real dollar value of investment for different asset types by subdivision of investment, and comprises of two charts. The top chart shows investment in machinery and equipment, and indicates strong growth in cycle 4 with Basic chemical and chemical product manufacturing making the biggest contribution, followed by Petroleum and coal product manufacturing. The bottom chart shows investment in non-dwelling construction, and indicates  a peak of investment in the latter part of cycle 3 and early part of cycle 4 with Basic chemical and chemical product manufacturing and Petroleum and coal product manufacturing both making relatively equal contributions to the growth. " style="width:424.45pt;height:198.4pt">
                  <v:imagedata r:id="rId24" o:title=""/>
                </v:shape>
              </w:pict>
            </w:r>
          </w:p>
        </w:tc>
      </w:tr>
      <w:tr w:rsidR="00EE6C79" w:rsidRPr="00A54859" w:rsidTr="00DA1027">
        <w:tc>
          <w:tcPr>
            <w:tcW w:w="8777" w:type="dxa"/>
          </w:tcPr>
          <w:p w:rsidR="00EE6C79" w:rsidRPr="00A54859" w:rsidRDefault="00EE6C79" w:rsidP="00A54859">
            <w:pPr>
              <w:pStyle w:val="Figure"/>
              <w:spacing w:after="0"/>
              <w:rPr>
                <w:i/>
                <w:sz w:val="22"/>
                <w:szCs w:val="22"/>
              </w:rPr>
            </w:pPr>
            <w:r w:rsidRPr="00A54859">
              <w:rPr>
                <w:i/>
                <w:sz w:val="22"/>
                <w:szCs w:val="22"/>
              </w:rPr>
              <w:t>Non-dwelling construction</w:t>
            </w:r>
          </w:p>
        </w:tc>
      </w:tr>
      <w:tr w:rsidR="00EE6C79" w:rsidRPr="001C6BCF" w:rsidTr="00DA1027">
        <w:tc>
          <w:tcPr>
            <w:tcW w:w="8777" w:type="dxa"/>
          </w:tcPr>
          <w:p w:rsidR="00EE6C79" w:rsidRDefault="00D0322F" w:rsidP="00FD4ECD">
            <w:pPr>
              <w:pStyle w:val="Figure"/>
              <w:spacing w:before="0" w:after="0"/>
            </w:pPr>
            <w:r>
              <w:pict>
                <v:shape id="_x0000_i1041" type="#_x0000_t75" alt="This figure shows the real dollar value of investment for different asset types by subdivision of investment, and comprises of two charts. The top chart shows investment in machinery and equipment, and indicates strong growth in cycle 4 with Basic chemical and chemical product manufacturing making the biggest contribution, followed by Petroleum and coal product manufacturing. The bottom chart shows investment in non-dwelling construction, and indicates  a peak of investment in the latter part of cycle 3 and early part of cycle 4 with Basic chemical and chemical product manufacturing and Petroleum and coal product manufacturing both making relatively equal contributions to the growth. " style="width:424.45pt;height:197.6pt">
                  <v:imagedata r:id="rId25" o:title=""/>
                </v:shape>
              </w:pict>
            </w:r>
          </w:p>
          <w:p w:rsidR="00A67AB2" w:rsidRPr="001C6BCF" w:rsidRDefault="00A67AB2" w:rsidP="00FD4ECD">
            <w:pPr>
              <w:pStyle w:val="Figure"/>
              <w:spacing w:before="0" w:after="0"/>
            </w:pPr>
          </w:p>
        </w:tc>
      </w:tr>
      <w:tr w:rsidR="001F28F9" w:rsidRPr="001C6BCF" w:rsidTr="00DA1027">
        <w:tc>
          <w:tcPr>
            <w:tcW w:w="8777" w:type="dxa"/>
          </w:tcPr>
          <w:p w:rsidR="001F28F9" w:rsidRPr="001C6BCF" w:rsidRDefault="00D0322F" w:rsidP="00DE1073">
            <w:pPr>
              <w:pStyle w:val="Figure"/>
              <w:spacing w:before="0" w:after="0"/>
            </w:pPr>
            <w:r>
              <w:pict>
                <v:shape id="_x0000_i1042" type="#_x0000_t75" alt="Legend for charts: Grey colour - Polymer product and rubber product manufacturing. Diagonal stripe pattern - Basic chemical and chemical product manufacturing. Dark Grey colour - Petroleum and coal product manufacturing." style="width:425.3pt;height:44.35pt">
                  <v:imagedata r:id="rId26" o:title=""/>
                </v:shape>
              </w:pict>
            </w:r>
          </w:p>
        </w:tc>
        <w:bookmarkStart w:id="23" w:name="_GoBack"/>
        <w:bookmarkEnd w:id="23"/>
      </w:tr>
    </w:tbl>
    <w:p w:rsidR="00445AE6" w:rsidRPr="00445AE6" w:rsidRDefault="00445AE6">
      <w:pPr>
        <w:pStyle w:val="Source"/>
      </w:pPr>
      <w:r>
        <w:rPr>
          <w:rStyle w:val="NoteLabel"/>
        </w:rPr>
        <w:t xml:space="preserve">a </w:t>
      </w:r>
      <w:r>
        <w:t>Breakdowns are available only for these capital types over the cycles of interest.</w:t>
      </w:r>
    </w:p>
    <w:p w:rsidR="001F28F9" w:rsidRPr="001C6BCF" w:rsidRDefault="00DA1027">
      <w:pPr>
        <w:pStyle w:val="Source"/>
      </w:pPr>
      <w:r w:rsidRPr="001C6BCF">
        <w:rPr>
          <w:i/>
        </w:rPr>
        <w:t>Data source</w:t>
      </w:r>
      <w:r w:rsidR="00205A7E">
        <w:rPr>
          <w:i/>
        </w:rPr>
        <w:t>s</w:t>
      </w:r>
      <w:r w:rsidRPr="001C6BCF">
        <w:t>: Authors’ estimates based on ABS (</w:t>
      </w:r>
      <w:r w:rsidRPr="001C6BCF">
        <w:rPr>
          <w:i/>
        </w:rPr>
        <w:t xml:space="preserve">Australian System of National Accounts, </w:t>
      </w:r>
      <w:r w:rsidR="0062342C" w:rsidRPr="001C6BCF">
        <w:rPr>
          <w:i/>
        </w:rPr>
        <w:t>2010-11,</w:t>
      </w:r>
      <w:r w:rsidR="00D6427A" w:rsidRPr="001C6BCF">
        <w:rPr>
          <w:i/>
        </w:rPr>
        <w:t xml:space="preserve"> </w:t>
      </w:r>
      <w:r w:rsidRPr="001C6BCF">
        <w:t>Cat.</w:t>
      </w:r>
      <w:r w:rsidR="0012694B">
        <w:t> </w:t>
      </w:r>
      <w:r w:rsidRPr="001C6BCF">
        <w:t>no</w:t>
      </w:r>
      <w:r w:rsidR="005173C3" w:rsidRPr="001C6BCF">
        <w:t>. </w:t>
      </w:r>
      <w:r w:rsidRPr="001C6BCF">
        <w:t>5204.0)</w:t>
      </w:r>
      <w:r w:rsidR="00B02726" w:rsidRPr="001C6BCF">
        <w:t>;</w:t>
      </w:r>
      <w:r w:rsidRPr="001C6BCF">
        <w:t xml:space="preserve"> </w:t>
      </w:r>
      <w:r w:rsidR="00205A7E">
        <w:t xml:space="preserve">and </w:t>
      </w:r>
      <w:r w:rsidRPr="001C6BCF">
        <w:t>ABS (</w:t>
      </w:r>
      <w:r w:rsidR="004A3AD1" w:rsidRPr="001C6BCF">
        <w:t>unpublished</w:t>
      </w:r>
      <w:r w:rsidR="003F5B0E" w:rsidRPr="001C6BCF">
        <w:t xml:space="preserve"> Survey of New Capital Expenditure data</w:t>
      </w:r>
      <w:r w:rsidR="004A3AD1" w:rsidRPr="001C6BCF">
        <w:t>)</w:t>
      </w:r>
      <w:r w:rsidRPr="001C6BCF">
        <w:t>.</w:t>
      </w:r>
    </w:p>
    <w:p w:rsidR="00247E12" w:rsidRDefault="00247E12">
      <w:pPr>
        <w:rPr>
          <w:rFonts w:ascii="Arial" w:eastAsia="Times New Roman" w:hAnsi="Arial" w:cs="Times New Roman"/>
          <w:i/>
          <w:sz w:val="24"/>
          <w:szCs w:val="20"/>
          <w:lang w:eastAsia="en-AU"/>
        </w:rPr>
      </w:pPr>
      <w:r>
        <w:br w:type="page"/>
      </w:r>
    </w:p>
    <w:p w:rsidR="00390329" w:rsidRPr="001C6BCF" w:rsidRDefault="00B91F63" w:rsidP="00390329">
      <w:pPr>
        <w:pStyle w:val="Heading4"/>
      </w:pPr>
      <w:r w:rsidRPr="001C6BCF">
        <w:lastRenderedPageBreak/>
        <w:t xml:space="preserve">Investment to meet new emission standards in </w:t>
      </w:r>
      <w:r w:rsidR="00390329" w:rsidRPr="001C6BCF">
        <w:t>Petroleum refining</w:t>
      </w:r>
    </w:p>
    <w:p w:rsidR="00E962A0" w:rsidRPr="001C6BCF" w:rsidRDefault="008C6D8D" w:rsidP="0066512A">
      <w:pPr>
        <w:pStyle w:val="BodyText"/>
      </w:pPr>
      <w:r w:rsidRPr="001C6BCF">
        <w:t xml:space="preserve">As discussed </w:t>
      </w:r>
      <w:r w:rsidR="00E962A0" w:rsidRPr="001C6BCF">
        <w:t>above</w:t>
      </w:r>
      <w:r w:rsidRPr="001C6BCF">
        <w:t xml:space="preserve">, </w:t>
      </w:r>
      <w:r w:rsidR="003376ED" w:rsidRPr="001C6BCF">
        <w:t xml:space="preserve">the introduction of the </w:t>
      </w:r>
      <w:r w:rsidR="00350D3D" w:rsidRPr="001C6BCF">
        <w:t xml:space="preserve">Commonwealth Government’s </w:t>
      </w:r>
      <w:r w:rsidR="00350D3D" w:rsidRPr="001C6BCF">
        <w:rPr>
          <w:i/>
        </w:rPr>
        <w:t>Cleaner Fuels</w:t>
      </w:r>
      <w:r w:rsidR="00350D3D" w:rsidRPr="001C6BCF">
        <w:t xml:space="preserve"> program</w:t>
      </w:r>
      <w:r w:rsidR="00862A0C" w:rsidRPr="001C6BCF">
        <w:t xml:space="preserve"> in 2000 mandated reductions in emissions of pollutants with progressive milestones from 2002 onwards</w:t>
      </w:r>
      <w:r w:rsidR="00350D3D" w:rsidRPr="001C6BCF">
        <w:t xml:space="preserve">. </w:t>
      </w:r>
      <w:r w:rsidR="003376ED" w:rsidRPr="001C6BCF">
        <w:t xml:space="preserve">It was anticipated </w:t>
      </w:r>
      <w:r w:rsidR="00862A0C" w:rsidRPr="001C6BCF">
        <w:t xml:space="preserve">at the time of the introduction of the program </w:t>
      </w:r>
      <w:r w:rsidR="003376ED" w:rsidRPr="001C6BCF">
        <w:t xml:space="preserve">that significant investment would be required at Australian refineries in order to comply with these changes in fuel standards (Environment Australia 2001). </w:t>
      </w:r>
    </w:p>
    <w:p w:rsidR="001411F2" w:rsidRPr="001C6BCF" w:rsidRDefault="00350D3D" w:rsidP="00390329">
      <w:pPr>
        <w:pStyle w:val="BodyText"/>
      </w:pPr>
      <w:r w:rsidRPr="001C6BCF">
        <w:t xml:space="preserve">The Australian Institute of Petroleum </w:t>
      </w:r>
      <w:r w:rsidR="00E02919" w:rsidRPr="001C6BCF">
        <w:t xml:space="preserve">indicated </w:t>
      </w:r>
      <w:r w:rsidRPr="001C6BCF">
        <w:t>that more than 3 billion dollars was invested in order to meet the new standards over the last decade (</w:t>
      </w:r>
      <w:proofErr w:type="spellStart"/>
      <w:r w:rsidRPr="001C6BCF">
        <w:t>AIP</w:t>
      </w:r>
      <w:proofErr w:type="spellEnd"/>
      <w:r w:rsidRPr="001C6BCF">
        <w:t xml:space="preserve"> 2011). </w:t>
      </w:r>
      <w:r w:rsidR="00390329" w:rsidRPr="001C6BCF">
        <w:t>A large proportion of th</w:t>
      </w:r>
      <w:r w:rsidR="00FB3B01" w:rsidRPr="001C6BCF">
        <w:t>is</w:t>
      </w:r>
      <w:r w:rsidR="00390329" w:rsidRPr="001C6BCF">
        <w:t xml:space="preserve"> investment occurred between 2005</w:t>
      </w:r>
      <w:r w:rsidR="0066512A" w:rsidRPr="001C6BCF">
        <w:t xml:space="preserve"> and 20</w:t>
      </w:r>
      <w:r w:rsidR="00390329" w:rsidRPr="001C6BCF">
        <w:t>08 (</w:t>
      </w:r>
      <w:proofErr w:type="spellStart"/>
      <w:r w:rsidR="00390329" w:rsidRPr="001C6BCF">
        <w:t>AIP</w:t>
      </w:r>
      <w:proofErr w:type="spellEnd"/>
      <w:r w:rsidR="00390329" w:rsidRPr="001C6BCF">
        <w:t xml:space="preserve"> 2011)</w:t>
      </w:r>
      <w:r w:rsidR="0066512A" w:rsidRPr="001C6BCF">
        <w:t>, a period which coincide</w:t>
      </w:r>
      <w:r w:rsidR="00FD6200" w:rsidRPr="001C6BCF">
        <w:t>d</w:t>
      </w:r>
      <w:r w:rsidR="0066512A" w:rsidRPr="001C6BCF">
        <w:t xml:space="preserve"> with the strong growth in investment over cycle 4</w:t>
      </w:r>
      <w:r w:rsidR="004E3C8F" w:rsidRPr="001C6BCF">
        <w:t>. Such an investment would account for around 14</w:t>
      </w:r>
      <w:r w:rsidR="00DB740D" w:rsidRPr="001C6BCF">
        <w:t xml:space="preserve"> per cent</w:t>
      </w:r>
      <w:r w:rsidR="004E3C8F" w:rsidRPr="001C6BCF">
        <w:t xml:space="preserve"> of total </w:t>
      </w:r>
      <w:proofErr w:type="spellStart"/>
      <w:r w:rsidR="004E3C8F" w:rsidRPr="001C6BCF">
        <w:t>GFCF</w:t>
      </w:r>
      <w:proofErr w:type="spellEnd"/>
      <w:r w:rsidR="004E3C8F" w:rsidRPr="001C6BCF">
        <w:t xml:space="preserve"> in </w:t>
      </w:r>
      <w:proofErr w:type="spellStart"/>
      <w:r w:rsidR="004E3C8F" w:rsidRPr="001C6BCF">
        <w:t>PCCR</w:t>
      </w:r>
      <w:proofErr w:type="spellEnd"/>
      <w:r w:rsidR="004E3C8F" w:rsidRPr="001C6BCF">
        <w:t xml:space="preserve"> over the cycle</w:t>
      </w:r>
      <w:r w:rsidR="00A66BA0" w:rsidRPr="001C6BCF">
        <w:t xml:space="preserve"> (or approximately 5</w:t>
      </w:r>
      <w:r w:rsidR="002A5AC3" w:rsidRPr="001C6BCF">
        <w:t>9</w:t>
      </w:r>
      <w:r w:rsidR="00A66BA0" w:rsidRPr="001C6BCF">
        <w:t xml:space="preserve"> </w:t>
      </w:r>
      <w:r w:rsidR="00BA2907" w:rsidRPr="001C6BCF">
        <w:t xml:space="preserve">per cent of </w:t>
      </w:r>
      <w:proofErr w:type="spellStart"/>
      <w:r w:rsidR="00BA2907" w:rsidRPr="001C6BCF">
        <w:t>GFCF</w:t>
      </w:r>
      <w:proofErr w:type="spellEnd"/>
      <w:r w:rsidR="00BA2907" w:rsidRPr="001C6BCF">
        <w:t xml:space="preserve"> growth between cycles</w:t>
      </w:r>
      <w:r w:rsidR="00A66BA0" w:rsidRPr="001C6BCF">
        <w:t>)</w:t>
      </w:r>
      <w:r w:rsidR="004E3C8F" w:rsidRPr="001C6BCF">
        <w:t>.</w:t>
      </w:r>
    </w:p>
    <w:p w:rsidR="001D0891" w:rsidRPr="001C6BCF" w:rsidRDefault="00E02919" w:rsidP="003D2BD2">
      <w:pPr>
        <w:pStyle w:val="BodyText"/>
      </w:pPr>
      <w:r w:rsidRPr="001C6BCF">
        <w:t>This</w:t>
      </w:r>
      <w:r w:rsidR="00AD1EEB" w:rsidRPr="001C6BCF">
        <w:t xml:space="preserve"> investment </w:t>
      </w:r>
      <w:r w:rsidR="005D62FB" w:rsidRPr="001C6BCF">
        <w:t>was</w:t>
      </w:r>
      <w:r w:rsidR="001D0891" w:rsidRPr="001C6BCF">
        <w:t xml:space="preserve"> aimed at </w:t>
      </w:r>
      <w:r w:rsidR="005D62FB" w:rsidRPr="001C6BCF">
        <w:t>improving</w:t>
      </w:r>
      <w:r w:rsidR="001D0891" w:rsidRPr="001C6BCF">
        <w:t xml:space="preserve"> fuel quality</w:t>
      </w:r>
      <w:r w:rsidRPr="001C6BCF">
        <w:t>, but</w:t>
      </w:r>
      <w:r w:rsidR="001D0891" w:rsidRPr="001C6BCF">
        <w:t xml:space="preserve"> </w:t>
      </w:r>
      <w:r w:rsidR="00AD1EEB" w:rsidRPr="001C6BCF">
        <w:t>the</w:t>
      </w:r>
      <w:r w:rsidR="00A56A74" w:rsidRPr="001C6BCF">
        <w:t xml:space="preserve"> benefit </w:t>
      </w:r>
      <w:r w:rsidR="00AD1EEB" w:rsidRPr="001C6BCF">
        <w:t xml:space="preserve">associated with the </w:t>
      </w:r>
      <w:r w:rsidR="00F06560" w:rsidRPr="001C6BCF">
        <w:rPr>
          <w:i/>
        </w:rPr>
        <w:t>Cleaner Fuels</w:t>
      </w:r>
      <w:r w:rsidR="00AD1EEB" w:rsidRPr="001C6BCF">
        <w:t xml:space="preserve"> program (less pollution) is not counted as an output from </w:t>
      </w:r>
      <w:r w:rsidR="00A56A74" w:rsidRPr="001C6BCF">
        <w:t>Petroleum refining</w:t>
      </w:r>
      <w:r w:rsidRPr="001C6BCF">
        <w:t xml:space="preserve">. </w:t>
      </w:r>
      <w:r w:rsidR="003D2BD2" w:rsidRPr="001C6BCF">
        <w:t>As this then represents greater investment without</w:t>
      </w:r>
      <w:r w:rsidR="00435952" w:rsidRPr="001C6BCF">
        <w:t xml:space="preserve"> additional</w:t>
      </w:r>
      <w:r w:rsidR="003D2BD2" w:rsidRPr="001C6BCF">
        <w:t xml:space="preserve"> measured output, the investment leads to measured productivity being understated for petroleum refining.</w:t>
      </w:r>
      <w:r w:rsidR="00AD1EEB" w:rsidRPr="001C6BCF">
        <w:t xml:space="preserve"> </w:t>
      </w:r>
    </w:p>
    <w:p w:rsidR="00E62F52" w:rsidRPr="001C6BCF" w:rsidRDefault="00E62F52" w:rsidP="00E62F52">
      <w:pPr>
        <w:pStyle w:val="BodyText"/>
      </w:pPr>
      <w:r w:rsidRPr="001C6BCF">
        <w:t>The rising fuel standards may have also led to periods of underutilised capacity</w:t>
      </w:r>
      <w:r w:rsidR="00EA46A3" w:rsidRPr="001C6BCF">
        <w:t>, which could have detracted from measured productivity</w:t>
      </w:r>
      <w:r w:rsidRPr="001C6BCF">
        <w:t>. There has been an increase in the incidence and severity of unexpected refinery shutdowns since 2004</w:t>
      </w:r>
      <w:r w:rsidR="00CA10BC" w:rsidRPr="001C6BCF">
        <w:t xml:space="preserve"> — </w:t>
      </w:r>
      <w:r w:rsidR="00AD6896" w:rsidRPr="001C6BCF">
        <w:t xml:space="preserve">around </w:t>
      </w:r>
      <w:r w:rsidR="00CA10BC" w:rsidRPr="001C6BCF">
        <w:t>the beginning of cycle 4</w:t>
      </w:r>
      <w:r w:rsidRPr="001C6BCF">
        <w:t xml:space="preserve">. It has been suggested that a greater reliance on imported feedstock from overseas and the work undertaken on refineries required to meet the new fuel standards </w:t>
      </w:r>
      <w:r w:rsidR="00574A3D" w:rsidRPr="001C6BCF">
        <w:t xml:space="preserve">were </w:t>
      </w:r>
      <w:r w:rsidRPr="001C6BCF">
        <w:t>contribu</w:t>
      </w:r>
      <w:r w:rsidR="00574A3D" w:rsidRPr="001C6BCF">
        <w:t>ting factors to these shutdowns.</w:t>
      </w:r>
    </w:p>
    <w:p w:rsidR="00E62F52" w:rsidRPr="001C6BCF" w:rsidRDefault="00E62F52" w:rsidP="00FE2667">
      <w:pPr>
        <w:pStyle w:val="Quote"/>
      </w:pPr>
      <w:r w:rsidRPr="001C6BCF">
        <w:t>The major change in supply security from refineries since 2004 is that the impact of unexpected refinery maintenance and shutdowns is more severe than earlier periods, due to the increased level of interdependence of refinery operating units to meet higher Australian fuel specifications. (</w:t>
      </w:r>
      <w:proofErr w:type="spellStart"/>
      <w:r w:rsidRPr="001C6BCF">
        <w:t>ACIL</w:t>
      </w:r>
      <w:proofErr w:type="spellEnd"/>
      <w:r w:rsidRPr="001C6BCF">
        <w:t xml:space="preserve"> Tasman 2008, p</w:t>
      </w:r>
      <w:r w:rsidR="00BB246A" w:rsidRPr="001C6BCF">
        <w:t>.</w:t>
      </w:r>
      <w:r w:rsidRPr="001C6BCF">
        <w:t xml:space="preserve"> XV)</w:t>
      </w:r>
    </w:p>
    <w:p w:rsidR="00390329" w:rsidRPr="001C6BCF" w:rsidRDefault="00B91F63" w:rsidP="00390329">
      <w:pPr>
        <w:pStyle w:val="Heading4"/>
      </w:pPr>
      <w:r w:rsidRPr="001C6BCF">
        <w:t xml:space="preserve">Investment to expand capacity in some parts of </w:t>
      </w:r>
      <w:r w:rsidR="00390329" w:rsidRPr="001C6BCF">
        <w:t>Chemicals</w:t>
      </w:r>
    </w:p>
    <w:p w:rsidR="009662B0" w:rsidRPr="001C6BCF" w:rsidRDefault="00512125" w:rsidP="00512125">
      <w:pPr>
        <w:pStyle w:val="BodyText"/>
      </w:pPr>
      <w:r w:rsidRPr="001C6BCF">
        <w:t>While there has been strong growth in investment in the Chemicals subdivision over cycle 4, this growth has not been uniform across the different parts of the subdivision.</w:t>
      </w:r>
      <w:r w:rsidR="003558A2" w:rsidRPr="001C6BCF">
        <w:t xml:space="preserve"> </w:t>
      </w:r>
    </w:p>
    <w:p w:rsidR="00390329" w:rsidRPr="001C6BCF" w:rsidRDefault="00390329" w:rsidP="00390329">
      <w:pPr>
        <w:pStyle w:val="Heading5"/>
      </w:pPr>
      <w:r w:rsidRPr="001C6BCF">
        <w:lastRenderedPageBreak/>
        <w:t xml:space="preserve">Ammonia and </w:t>
      </w:r>
      <w:r w:rsidR="00F215F7" w:rsidRPr="001C6BCF">
        <w:t>ammonium nitrate</w:t>
      </w:r>
    </w:p>
    <w:p w:rsidR="00F948C8" w:rsidRPr="001C6BCF" w:rsidRDefault="001247FA" w:rsidP="00274462">
      <w:pPr>
        <w:pStyle w:val="BodyText"/>
      </w:pPr>
      <w:r w:rsidRPr="001C6BCF">
        <w:t>There was particularly strong investment during cycle 4 in order to expand supply of ammonia and ammonium nitrate</w:t>
      </w:r>
      <w:r w:rsidR="00274462" w:rsidRPr="001C6BCF">
        <w:t xml:space="preserve"> </w:t>
      </w:r>
      <w:r w:rsidR="00657427" w:rsidRPr="001C6BCF">
        <w:t>in</w:t>
      </w:r>
      <w:r w:rsidRPr="001C6BCF">
        <w:t xml:space="preserve"> response to </w:t>
      </w:r>
      <w:r w:rsidR="009501B7" w:rsidRPr="001C6BCF">
        <w:t xml:space="preserve">increased </w:t>
      </w:r>
      <w:r w:rsidRPr="001C6BCF">
        <w:t xml:space="preserve">demand from the mining </w:t>
      </w:r>
      <w:r w:rsidR="009501B7" w:rsidRPr="001C6BCF">
        <w:t>and</w:t>
      </w:r>
      <w:r w:rsidR="00657427" w:rsidRPr="001C6BCF">
        <w:t xml:space="preserve"> a</w:t>
      </w:r>
      <w:r w:rsidRPr="001C6BCF">
        <w:t>gricultural sector</w:t>
      </w:r>
      <w:r w:rsidR="009501B7" w:rsidRPr="001C6BCF">
        <w:t>s</w:t>
      </w:r>
      <w:r w:rsidR="00657427" w:rsidRPr="001C6BCF">
        <w:t>.</w:t>
      </w:r>
      <w:r w:rsidR="002A0B10" w:rsidRPr="001C6BCF">
        <w:rPr>
          <w:rStyle w:val="FootnoteReference"/>
        </w:rPr>
        <w:footnoteReference w:id="14"/>
      </w:r>
      <w:r w:rsidRPr="001C6BCF">
        <w:t xml:space="preserve"> </w:t>
      </w:r>
      <w:r w:rsidR="00271FFE" w:rsidRPr="001C6BCF">
        <w:t xml:space="preserve">However, </w:t>
      </w:r>
      <w:r w:rsidR="005C21AE" w:rsidRPr="001C6BCF">
        <w:t xml:space="preserve">many </w:t>
      </w:r>
      <w:r w:rsidR="00274462" w:rsidRPr="001C6BCF">
        <w:t>of the projects associated with this investment had substantial lags between when investment was made and when</w:t>
      </w:r>
      <w:r w:rsidR="005222B2">
        <w:t xml:space="preserve"> additional</w:t>
      </w:r>
      <w:r w:rsidR="00274462" w:rsidRPr="001C6BCF">
        <w:t xml:space="preserve"> output was </w:t>
      </w:r>
      <w:r w:rsidR="00BC40F2">
        <w:t>produced</w:t>
      </w:r>
      <w:r w:rsidR="00274462" w:rsidRPr="001C6BCF">
        <w:t>. Such ‘capital lags’ can reduce measured productivity, particularly when</w:t>
      </w:r>
      <w:r w:rsidR="007D5F4F">
        <w:t xml:space="preserve"> there is an acceleration in the rate of</w:t>
      </w:r>
      <w:r w:rsidR="00274462" w:rsidRPr="001C6BCF">
        <w:t xml:space="preserve"> investment</w:t>
      </w:r>
      <w:r w:rsidR="00F1507D">
        <w:t xml:space="preserve">, as </w:t>
      </w:r>
      <w:r w:rsidR="00FE4523">
        <w:t>there</w:t>
      </w:r>
      <w:r w:rsidR="00F1507D">
        <w:t xml:space="preserve"> was in this case.</w:t>
      </w:r>
      <w:r w:rsidR="00274462" w:rsidRPr="001C6BCF">
        <w:t xml:space="preserve"> </w:t>
      </w:r>
    </w:p>
    <w:p w:rsidR="00390329" w:rsidRPr="001C6BCF" w:rsidRDefault="00274462" w:rsidP="00274462">
      <w:pPr>
        <w:pStyle w:val="BodyText"/>
      </w:pPr>
      <w:r w:rsidRPr="001C6BCF">
        <w:t>Some of the significant investments made during the period include:</w:t>
      </w:r>
    </w:p>
    <w:p w:rsidR="00390329" w:rsidRPr="001C6BCF" w:rsidRDefault="00BC22F8" w:rsidP="00CD765D">
      <w:pPr>
        <w:pStyle w:val="ListBullet"/>
      </w:pPr>
      <w:r w:rsidRPr="001C6BCF">
        <w:t>E</w:t>
      </w:r>
      <w:r w:rsidR="00390329" w:rsidRPr="001C6BCF">
        <w:t>xpansion of the Yarwun (Qld) ammonium nitrate plant</w:t>
      </w:r>
      <w:r w:rsidR="00040397" w:rsidRPr="001C6BCF">
        <w:t>,</w:t>
      </w:r>
      <w:r w:rsidR="00390329" w:rsidRPr="001C6BCF">
        <w:t xml:space="preserve"> operated by Orica</w:t>
      </w:r>
      <w:r w:rsidR="00040397" w:rsidRPr="001C6BCF">
        <w:t>,</w:t>
      </w:r>
      <w:r w:rsidR="00390329" w:rsidRPr="001C6BCF">
        <w:t xml:space="preserve"> during 2006 to </w:t>
      </w:r>
      <w:r w:rsidRPr="001C6BCF">
        <w:t xml:space="preserve">increase </w:t>
      </w:r>
      <w:r w:rsidR="00390329" w:rsidRPr="001C6BCF">
        <w:t>capacity by 300</w:t>
      </w:r>
      <w:r w:rsidR="004941EE">
        <w:t> </w:t>
      </w:r>
      <w:r w:rsidR="00390329" w:rsidRPr="001C6BCF">
        <w:t xml:space="preserve">000 tonnes per </w:t>
      </w:r>
      <w:r w:rsidR="00B0750D">
        <w:t>year</w:t>
      </w:r>
      <w:r w:rsidR="00390329" w:rsidRPr="001C6BCF">
        <w:t xml:space="preserve"> at a cost of around $110</w:t>
      </w:r>
      <w:r w:rsidR="00F60853">
        <w:t xml:space="preserve"> </w:t>
      </w:r>
      <w:r w:rsidR="00390329" w:rsidRPr="001C6BCF">
        <w:t>m</w:t>
      </w:r>
      <w:r w:rsidR="00F60853">
        <w:t>illion</w:t>
      </w:r>
      <w:r w:rsidR="00390329" w:rsidRPr="001C6BCF">
        <w:t xml:space="preserve"> (O</w:t>
      </w:r>
      <w:r w:rsidR="00AB0576" w:rsidRPr="001C6BCF">
        <w:t>rica 2004)</w:t>
      </w:r>
      <w:r w:rsidR="005565DA" w:rsidRPr="001C6BCF">
        <w:t>.</w:t>
      </w:r>
      <w:r w:rsidR="00AB0576" w:rsidRPr="001C6BCF">
        <w:t xml:space="preserve"> </w:t>
      </w:r>
    </w:p>
    <w:p w:rsidR="00390329" w:rsidRPr="001C6BCF" w:rsidRDefault="00BC22F8" w:rsidP="00390329">
      <w:pPr>
        <w:pStyle w:val="ListBullet"/>
      </w:pPr>
      <w:r w:rsidRPr="001C6BCF">
        <w:t>E</w:t>
      </w:r>
      <w:r w:rsidR="00390329" w:rsidRPr="001C6BCF">
        <w:t>xpansion of the Kwinana (WA) ammonium nitrate plant</w:t>
      </w:r>
      <w:r w:rsidR="00040397" w:rsidRPr="001C6BCF">
        <w:t>,</w:t>
      </w:r>
      <w:r w:rsidR="00390329" w:rsidRPr="001C6BCF">
        <w:t xml:space="preserve"> operated by Wesfarmers/</w:t>
      </w:r>
      <w:proofErr w:type="spellStart"/>
      <w:r w:rsidR="00390329" w:rsidRPr="001C6BCF">
        <w:t>CSBP</w:t>
      </w:r>
      <w:proofErr w:type="spellEnd"/>
      <w:r w:rsidR="00040397" w:rsidRPr="001C6BCF">
        <w:t>,</w:t>
      </w:r>
      <w:r w:rsidR="00390329" w:rsidRPr="001C6BCF">
        <w:t xml:space="preserve"> during 2006 and 2007 to increase capacity to 470</w:t>
      </w:r>
      <w:r w:rsidR="004941EE">
        <w:t> </w:t>
      </w:r>
      <w:r w:rsidR="00390329" w:rsidRPr="001C6BCF">
        <w:t xml:space="preserve">000 tonnes per </w:t>
      </w:r>
      <w:r w:rsidR="00B0750D">
        <w:t>year</w:t>
      </w:r>
      <w:r w:rsidR="00390329" w:rsidRPr="001C6BCF">
        <w:t xml:space="preserve"> at a cost of $200</w:t>
      </w:r>
      <w:r w:rsidR="00F60853">
        <w:t xml:space="preserve"> </w:t>
      </w:r>
      <w:r w:rsidR="00390329" w:rsidRPr="001C6BCF">
        <w:t>m</w:t>
      </w:r>
      <w:r w:rsidR="00F60853">
        <w:t>illion</w:t>
      </w:r>
      <w:r w:rsidR="00390329" w:rsidRPr="001C6BCF">
        <w:t xml:space="preserve"> (W</w:t>
      </w:r>
      <w:r w:rsidR="00C731A3" w:rsidRPr="001C6BCF">
        <w:t>esfarmers 2005</w:t>
      </w:r>
      <w:r w:rsidR="000257EA" w:rsidRPr="001C6BCF">
        <w:t>)</w:t>
      </w:r>
      <w:r w:rsidR="00C731A3" w:rsidRPr="001C6BCF">
        <w:t>.</w:t>
      </w:r>
    </w:p>
    <w:p w:rsidR="00390329" w:rsidRPr="001C6BCF" w:rsidRDefault="004E5539" w:rsidP="00390329">
      <w:pPr>
        <w:pStyle w:val="ListBullet"/>
      </w:pPr>
      <w:r w:rsidRPr="001C6BCF">
        <w:t>C</w:t>
      </w:r>
      <w:r w:rsidR="00390329" w:rsidRPr="001C6BCF">
        <w:t>onstruction of the Moranbah (Qld) ammonium nitrate plant, commenced in 2006 with a proposed output of 330</w:t>
      </w:r>
      <w:r w:rsidR="004941EE">
        <w:t> </w:t>
      </w:r>
      <w:r w:rsidR="00390329" w:rsidRPr="001C6BCF">
        <w:t xml:space="preserve">000 tonnes per </w:t>
      </w:r>
      <w:r w:rsidR="00B0750D">
        <w:t>year</w:t>
      </w:r>
      <w:r w:rsidR="00390329" w:rsidRPr="001C6BCF">
        <w:t>. However, construction on the plant was put on hold in 2007 with $305</w:t>
      </w:r>
      <w:r w:rsidR="00F60853">
        <w:t xml:space="preserve"> </w:t>
      </w:r>
      <w:r w:rsidR="00390329" w:rsidRPr="001C6BCF">
        <w:t>m</w:t>
      </w:r>
      <w:r w:rsidR="00F60853">
        <w:t>illion</w:t>
      </w:r>
      <w:r w:rsidR="00390329" w:rsidRPr="001C6BCF">
        <w:t xml:space="preserve"> already spent on the project (</w:t>
      </w:r>
      <w:proofErr w:type="spellStart"/>
      <w:r w:rsidR="000B5B58">
        <w:t>Trounson</w:t>
      </w:r>
      <w:proofErr w:type="spellEnd"/>
      <w:r w:rsidR="00BE1318" w:rsidRPr="001C6BCF">
        <w:t xml:space="preserve"> 2006; </w:t>
      </w:r>
      <w:r w:rsidR="000B5B58">
        <w:t>Grant-Taylor</w:t>
      </w:r>
      <w:r w:rsidR="00BE1318" w:rsidRPr="001C6BCF">
        <w:t xml:space="preserve"> </w:t>
      </w:r>
      <w:r w:rsidR="000257EA" w:rsidRPr="001C6BCF">
        <w:t>2010).</w:t>
      </w:r>
    </w:p>
    <w:p w:rsidR="00390329" w:rsidRPr="001C6BCF" w:rsidRDefault="00040397" w:rsidP="00390329">
      <w:pPr>
        <w:pStyle w:val="ListBullet"/>
      </w:pPr>
      <w:r w:rsidRPr="001C6BCF">
        <w:t>C</w:t>
      </w:r>
      <w:r w:rsidR="00390329" w:rsidRPr="001C6BCF">
        <w:t xml:space="preserve">onstruction of the Burrup (WA) ammonia plant, then operated by Burrup Holdings, commenced in late 2003 and </w:t>
      </w:r>
      <w:r w:rsidR="00384D99">
        <w:t xml:space="preserve">it </w:t>
      </w:r>
      <w:r w:rsidR="00390329" w:rsidRPr="001C6BCF">
        <w:t>came on stream in the first half of 2006 with a capacity of 760</w:t>
      </w:r>
      <w:r w:rsidR="004941EE">
        <w:t> </w:t>
      </w:r>
      <w:r w:rsidR="00390329" w:rsidRPr="001C6BCF">
        <w:t xml:space="preserve">000 tonnes per </w:t>
      </w:r>
      <w:r w:rsidR="00B0750D">
        <w:t>year</w:t>
      </w:r>
      <w:r w:rsidR="00390329" w:rsidRPr="001C6BCF">
        <w:t xml:space="preserve"> at a cost of $800</w:t>
      </w:r>
      <w:r w:rsidR="00F60853">
        <w:t xml:space="preserve"> </w:t>
      </w:r>
      <w:r w:rsidR="00390329" w:rsidRPr="001C6BCF">
        <w:t>m</w:t>
      </w:r>
      <w:r w:rsidR="00F60853">
        <w:t>illion</w:t>
      </w:r>
      <w:r w:rsidR="00390329" w:rsidRPr="001C6BCF">
        <w:t xml:space="preserve"> (</w:t>
      </w:r>
      <w:proofErr w:type="spellStart"/>
      <w:r w:rsidR="00390329" w:rsidRPr="001C6BCF">
        <w:t>ABARE</w:t>
      </w:r>
      <w:proofErr w:type="spellEnd"/>
      <w:r w:rsidR="000D57DE">
        <w:t> </w:t>
      </w:r>
      <w:r w:rsidR="00BE1318" w:rsidRPr="001C6BCF">
        <w:t>2003</w:t>
      </w:r>
      <w:r w:rsidR="005909A4" w:rsidRPr="001C6BCF">
        <w:t xml:space="preserve">, </w:t>
      </w:r>
      <w:proofErr w:type="spellStart"/>
      <w:r w:rsidR="00BE1318" w:rsidRPr="001C6BCF">
        <w:t>200</w:t>
      </w:r>
      <w:r w:rsidR="006F6679" w:rsidRPr="001C6BCF">
        <w:t>6</w:t>
      </w:r>
      <w:r w:rsidR="0035209A">
        <w:t>a</w:t>
      </w:r>
      <w:proofErr w:type="spellEnd"/>
      <w:r w:rsidR="00BE1318" w:rsidRPr="001C6BCF">
        <w:t xml:space="preserve">; </w:t>
      </w:r>
      <w:proofErr w:type="spellStart"/>
      <w:r w:rsidR="00BE1318" w:rsidRPr="001C6BCF">
        <w:t>ACCC</w:t>
      </w:r>
      <w:proofErr w:type="spellEnd"/>
      <w:r w:rsidR="00BE1318" w:rsidRPr="001C6BCF">
        <w:t xml:space="preserve"> 2011</w:t>
      </w:r>
      <w:r w:rsidR="00390329" w:rsidRPr="001C6BCF">
        <w:t>).</w:t>
      </w:r>
    </w:p>
    <w:p w:rsidR="00267E16" w:rsidRDefault="00390329" w:rsidP="00390329">
      <w:pPr>
        <w:pStyle w:val="BodyText"/>
      </w:pPr>
      <w:r w:rsidRPr="001C6BCF">
        <w:t xml:space="preserve">These substantial investments, the majority of which occurred </w:t>
      </w:r>
      <w:r w:rsidR="00796F71" w:rsidRPr="001C6BCF">
        <w:t>during</w:t>
      </w:r>
      <w:r w:rsidRPr="001C6BCF">
        <w:t xml:space="preserve"> cycle</w:t>
      </w:r>
      <w:r w:rsidR="00796F71" w:rsidRPr="001C6BCF">
        <w:t xml:space="preserve"> 4</w:t>
      </w:r>
      <w:r w:rsidRPr="001C6BCF">
        <w:t xml:space="preserve">, go some way </w:t>
      </w:r>
      <w:r w:rsidR="00C8209F" w:rsidRPr="001C6BCF">
        <w:t xml:space="preserve">to </w:t>
      </w:r>
      <w:r w:rsidRPr="001C6BCF">
        <w:t xml:space="preserve">explaining the greater capital investment </w:t>
      </w:r>
      <w:r w:rsidR="00F209B3" w:rsidRPr="001C6BCF">
        <w:t xml:space="preserve">in </w:t>
      </w:r>
      <w:proofErr w:type="spellStart"/>
      <w:r w:rsidR="00714E0F" w:rsidRPr="001C6BCF">
        <w:t>PCCR</w:t>
      </w:r>
      <w:proofErr w:type="spellEnd"/>
      <w:r w:rsidRPr="001C6BCF">
        <w:t xml:space="preserve"> over this period</w:t>
      </w:r>
      <w:r w:rsidR="00BF097A" w:rsidRPr="001C6BCF">
        <w:t xml:space="preserve">. </w:t>
      </w:r>
      <w:r w:rsidR="000F318C">
        <w:t xml:space="preserve">They </w:t>
      </w:r>
      <w:r w:rsidR="00BF097A" w:rsidRPr="001C6BCF">
        <w:t>a</w:t>
      </w:r>
      <w:r w:rsidR="00D867DB" w:rsidRPr="001C6BCF">
        <w:t xml:space="preserve">ccount for around 7 per cent of total </w:t>
      </w:r>
      <w:proofErr w:type="spellStart"/>
      <w:r w:rsidR="00D867DB" w:rsidRPr="001C6BCF">
        <w:t>PCCR</w:t>
      </w:r>
      <w:proofErr w:type="spellEnd"/>
      <w:r w:rsidR="00D867DB" w:rsidRPr="001C6BCF">
        <w:t xml:space="preserve"> </w:t>
      </w:r>
      <w:proofErr w:type="spellStart"/>
      <w:r w:rsidR="00D867DB" w:rsidRPr="001C6BCF">
        <w:t>GFCF</w:t>
      </w:r>
      <w:proofErr w:type="spellEnd"/>
      <w:r w:rsidR="00D867DB" w:rsidRPr="001C6BCF">
        <w:t xml:space="preserve"> </w:t>
      </w:r>
      <w:r w:rsidR="004D2DD7" w:rsidRPr="001C6BCF">
        <w:t>during cycle 4</w:t>
      </w:r>
      <w:r w:rsidR="00CD765D" w:rsidRPr="001C6BCF">
        <w:t xml:space="preserve"> (</w:t>
      </w:r>
      <w:r w:rsidR="00BF097A" w:rsidRPr="001C6BCF">
        <w:t xml:space="preserve">and </w:t>
      </w:r>
      <w:r w:rsidR="00CD765D" w:rsidRPr="001C6BCF">
        <w:t xml:space="preserve">approximately 28 per cent of </w:t>
      </w:r>
      <w:r w:rsidR="00A716C5" w:rsidRPr="001C6BCF">
        <w:t xml:space="preserve">the </w:t>
      </w:r>
      <w:r w:rsidR="00CD765D" w:rsidRPr="001C6BCF">
        <w:t>growth</w:t>
      </w:r>
      <w:r w:rsidR="005A20A3" w:rsidRPr="001C6BCF">
        <w:t xml:space="preserve"> in </w:t>
      </w:r>
      <w:proofErr w:type="spellStart"/>
      <w:r w:rsidR="005A20A3" w:rsidRPr="001C6BCF">
        <w:t>PCCR</w:t>
      </w:r>
      <w:proofErr w:type="spellEnd"/>
      <w:r w:rsidR="005A20A3" w:rsidRPr="001C6BCF">
        <w:t xml:space="preserve"> </w:t>
      </w:r>
      <w:proofErr w:type="spellStart"/>
      <w:r w:rsidR="005A20A3" w:rsidRPr="001C6BCF">
        <w:t>GFCF</w:t>
      </w:r>
      <w:proofErr w:type="spellEnd"/>
      <w:r w:rsidR="005A20A3" w:rsidRPr="001C6BCF">
        <w:t xml:space="preserve"> between 2003-04 to 2007</w:t>
      </w:r>
      <w:r w:rsidR="00D06AEF">
        <w:noBreakHyphen/>
      </w:r>
      <w:r w:rsidR="005A20A3" w:rsidRPr="001C6BCF">
        <w:t>08</w:t>
      </w:r>
      <w:r w:rsidR="00CD765D" w:rsidRPr="001C6BCF">
        <w:t>)</w:t>
      </w:r>
      <w:r w:rsidR="00D867DB" w:rsidRPr="001C6BCF">
        <w:t>.</w:t>
      </w:r>
      <w:r w:rsidRPr="001C6BCF">
        <w:t xml:space="preserve"> For the Yarwun, Kwinana and Burrup projects above, it </w:t>
      </w:r>
      <w:r w:rsidR="00796F71" w:rsidRPr="001C6BCF">
        <w:t xml:space="preserve">appears that there would also have been </w:t>
      </w:r>
      <w:r w:rsidRPr="001C6BCF">
        <w:t xml:space="preserve">some output </w:t>
      </w:r>
      <w:r w:rsidR="00796F71" w:rsidRPr="001C6BCF">
        <w:t>from</w:t>
      </w:r>
      <w:r w:rsidRPr="001C6BCF">
        <w:t xml:space="preserve"> these investments </w:t>
      </w:r>
      <w:r w:rsidR="00796F71" w:rsidRPr="001C6BCF">
        <w:t>during cycle 4</w:t>
      </w:r>
      <w:r w:rsidRPr="001C6BCF">
        <w:t xml:space="preserve">, which would explain the observed trend in increasing </w:t>
      </w:r>
      <w:r w:rsidR="005778B5" w:rsidRPr="001C6BCF">
        <w:t xml:space="preserve">nominal sales and service income within </w:t>
      </w:r>
      <w:r w:rsidR="00F215F7" w:rsidRPr="001C6BCF">
        <w:t xml:space="preserve">Chemicals </w:t>
      </w:r>
      <w:r w:rsidR="0055363C" w:rsidRPr="001C6BCF">
        <w:t>(</w:t>
      </w:r>
      <w:r w:rsidR="005778B5" w:rsidRPr="001C6BCF">
        <w:t xml:space="preserve">appendix </w:t>
      </w:r>
      <w:r w:rsidR="0054148B" w:rsidRPr="001C6BCF">
        <w:t>F</w:t>
      </w:r>
      <w:r w:rsidR="005778B5" w:rsidRPr="001C6BCF">
        <w:t>)</w:t>
      </w:r>
      <w:r w:rsidRPr="001C6BCF">
        <w:t xml:space="preserve">. </w:t>
      </w:r>
      <w:r w:rsidR="00960965" w:rsidRPr="001C6BCF">
        <w:t xml:space="preserve">By contrast, </w:t>
      </w:r>
      <w:r w:rsidRPr="001C6BCF">
        <w:t xml:space="preserve">the suspension of the Moranbah project </w:t>
      </w:r>
      <w:r w:rsidR="00796F71" w:rsidRPr="001C6BCF">
        <w:t>suggests that</w:t>
      </w:r>
      <w:r w:rsidRPr="001C6BCF">
        <w:t xml:space="preserve"> there was significant investment without any return (in terms of output) over cycle</w:t>
      </w:r>
      <w:r w:rsidR="00796F71" w:rsidRPr="001C6BCF">
        <w:t xml:space="preserve"> 4</w:t>
      </w:r>
      <w:r w:rsidRPr="001C6BCF">
        <w:t xml:space="preserve">. </w:t>
      </w:r>
    </w:p>
    <w:p w:rsidR="009A4519" w:rsidRDefault="009A4519">
      <w:pPr>
        <w:rPr>
          <w:rFonts w:ascii="Times New Roman" w:eastAsia="Times New Roman" w:hAnsi="Times New Roman" w:cs="Times New Roman"/>
          <w:sz w:val="26"/>
          <w:szCs w:val="20"/>
          <w:lang w:eastAsia="en-AU"/>
        </w:rPr>
      </w:pPr>
      <w:r>
        <w:br w:type="page"/>
      </w:r>
    </w:p>
    <w:p w:rsidR="00390329" w:rsidRPr="001C6BCF" w:rsidRDefault="00267E16" w:rsidP="00390329">
      <w:pPr>
        <w:pStyle w:val="BodyText"/>
      </w:pPr>
      <w:r>
        <w:lastRenderedPageBreak/>
        <w:t xml:space="preserve">There is some evidence to suggest that there was increased output growth in fertilisers and explosives over the incomplete cycle (ABS </w:t>
      </w:r>
      <w:proofErr w:type="spellStart"/>
      <w:r>
        <w:t>2012</w:t>
      </w:r>
      <w:r w:rsidR="006303A5">
        <w:t>d</w:t>
      </w:r>
      <w:proofErr w:type="spellEnd"/>
      <w:r>
        <w:t>), at least part of which represents a return on the substantial investments in ammonia and ammonium nitrate projects during cycle 4 (Wesfarmers 2008).</w:t>
      </w:r>
      <w:r w:rsidRPr="001C6BCF">
        <w:t xml:space="preserve"> </w:t>
      </w:r>
    </w:p>
    <w:p w:rsidR="00997079" w:rsidRPr="001C6BCF" w:rsidRDefault="00997079" w:rsidP="00FE2667">
      <w:pPr>
        <w:pStyle w:val="Heading5"/>
      </w:pPr>
      <w:r w:rsidRPr="001C6BCF">
        <w:t>Pharmaceuticals</w:t>
      </w:r>
      <w:r w:rsidR="00192855" w:rsidRPr="001C6BCF">
        <w:t xml:space="preserve"> </w:t>
      </w:r>
    </w:p>
    <w:p w:rsidR="00997079" w:rsidRPr="001C6BCF" w:rsidRDefault="00EA1516" w:rsidP="000D1243">
      <w:pPr>
        <w:pStyle w:val="BodyText"/>
      </w:pPr>
      <w:r w:rsidRPr="001C6BCF">
        <w:t>I</w:t>
      </w:r>
      <w:r w:rsidR="000D1243" w:rsidRPr="001C6BCF">
        <w:t>nvestment</w:t>
      </w:r>
      <w:r w:rsidRPr="001C6BCF">
        <w:t xml:space="preserve"> in tangible assets</w:t>
      </w:r>
      <w:r w:rsidR="000D1243" w:rsidRPr="001C6BCF">
        <w:t xml:space="preserve"> appears to have declined (in real terms) over cycle </w:t>
      </w:r>
      <w:r w:rsidR="003A1222" w:rsidRPr="001C6BCF">
        <w:t>4 in</w:t>
      </w:r>
      <w:r w:rsidR="000D1243" w:rsidRPr="001C6BCF">
        <w:t xml:space="preserve"> Pharmaceutical manufacturing </w:t>
      </w:r>
      <w:r w:rsidR="00997079" w:rsidRPr="001C6BCF">
        <w:t>(</w:t>
      </w:r>
      <w:r w:rsidR="008F553B" w:rsidRPr="001C6BCF">
        <w:t>Medicines Australia 2009</w:t>
      </w:r>
      <w:r w:rsidR="00997079" w:rsidRPr="001C6BCF">
        <w:t xml:space="preserve">). At the same time, R&amp;D in </w:t>
      </w:r>
      <w:r w:rsidR="0063496E" w:rsidRPr="001C6BCF">
        <w:t xml:space="preserve">Pharmaceuticals </w:t>
      </w:r>
      <w:r w:rsidR="00997079" w:rsidRPr="001C6BCF">
        <w:t xml:space="preserve">manufacturing </w:t>
      </w:r>
      <w:r w:rsidR="0063496E" w:rsidRPr="001C6BCF">
        <w:t>c</w:t>
      </w:r>
      <w:r w:rsidR="00997079" w:rsidRPr="001C6BCF">
        <w:t>ontinued to grow (</w:t>
      </w:r>
      <w:r w:rsidR="00CB338D" w:rsidRPr="001C6BCF">
        <w:t xml:space="preserve">Medicines Australia </w:t>
      </w:r>
      <w:r w:rsidR="00C233E8" w:rsidRPr="001C6BCF">
        <w:t>201</w:t>
      </w:r>
      <w:r w:rsidR="00C233E8">
        <w:t>2</w:t>
      </w:r>
      <w:r w:rsidR="00997079" w:rsidRPr="001C6BCF">
        <w:t>)</w:t>
      </w:r>
      <w:r w:rsidR="000D1243" w:rsidRPr="001C6BCF">
        <w:t>,</w:t>
      </w:r>
      <w:r w:rsidR="008B2DCD" w:rsidRPr="001C6BCF">
        <w:t xml:space="preserve"> but only</w:t>
      </w:r>
      <w:r w:rsidR="000D1243" w:rsidRPr="001C6BCF">
        <w:t xml:space="preserve"> </w:t>
      </w:r>
      <w:r w:rsidR="00EF063B" w:rsidRPr="001C6BCF">
        <w:t>partially offsetting the declin</w:t>
      </w:r>
      <w:r w:rsidR="00513F97" w:rsidRPr="001C6BCF">
        <w:t>e</w:t>
      </w:r>
      <w:r w:rsidR="00EF063B" w:rsidRPr="001C6BCF">
        <w:t xml:space="preserve"> in investment in tangible capital</w:t>
      </w:r>
      <w:r w:rsidR="000D1243" w:rsidRPr="001C6BCF">
        <w:t xml:space="preserve">. The </w:t>
      </w:r>
      <w:r w:rsidR="00216F98" w:rsidRPr="001C6BCF">
        <w:t xml:space="preserve">overall </w:t>
      </w:r>
      <w:r w:rsidR="000D1243" w:rsidRPr="001C6BCF">
        <w:t>decline in</w:t>
      </w:r>
      <w:r w:rsidR="004567B1" w:rsidRPr="001C6BCF">
        <w:t xml:space="preserve"> </w:t>
      </w:r>
      <w:r w:rsidR="002852CE" w:rsidRPr="001C6BCF">
        <w:t>investment</w:t>
      </w:r>
      <w:r w:rsidR="00216F98" w:rsidRPr="001C6BCF">
        <w:t xml:space="preserve"> by Pharmaceutical manufacturing</w:t>
      </w:r>
      <w:r w:rsidR="002852CE" w:rsidRPr="001C6BCF">
        <w:t>, however, was not sufficient to offset th</w:t>
      </w:r>
      <w:r w:rsidR="00551319">
        <w:t>e</w:t>
      </w:r>
      <w:r w:rsidR="002852CE" w:rsidRPr="001C6BCF">
        <w:t xml:space="preserve"> additional investments in ammonia and ammonia nitrate listed above.</w:t>
      </w:r>
    </w:p>
    <w:p w:rsidR="00E377F9" w:rsidRPr="001C6BCF" w:rsidRDefault="00D8403B" w:rsidP="00E377F9">
      <w:pPr>
        <w:pStyle w:val="Heading3"/>
        <w:keepNext w:val="0"/>
        <w:widowControl w:val="0"/>
      </w:pPr>
      <w:r w:rsidRPr="001C6BCF">
        <w:t>Labour</w:t>
      </w:r>
    </w:p>
    <w:p w:rsidR="008409D8" w:rsidRPr="001C6BCF" w:rsidRDefault="00E377F9" w:rsidP="00192855">
      <w:pPr>
        <w:pStyle w:val="BodyText"/>
      </w:pPr>
      <w:r w:rsidRPr="001C6BCF">
        <w:t xml:space="preserve">Around 90 per cent of the fall in </w:t>
      </w:r>
      <w:proofErr w:type="spellStart"/>
      <w:r w:rsidRPr="001C6BCF">
        <w:t>PCCR</w:t>
      </w:r>
      <w:proofErr w:type="spellEnd"/>
      <w:r w:rsidRPr="001C6BCF">
        <w:t xml:space="preserve"> manufacturing MFP between the last two complete productivity cycles was driven by a decline in </w:t>
      </w:r>
      <w:r w:rsidR="00783664">
        <w:t>VA</w:t>
      </w:r>
      <w:r w:rsidRPr="001C6BCF">
        <w:t xml:space="preserve"> and</w:t>
      </w:r>
      <w:r w:rsidR="007D5F4F">
        <w:t xml:space="preserve"> an</w:t>
      </w:r>
      <w:r w:rsidRPr="001C6BCF">
        <w:t xml:space="preserve"> increase in capital inputs</w:t>
      </w:r>
      <w:r w:rsidR="00D737A2" w:rsidRPr="001C6BCF">
        <w:t>.</w:t>
      </w:r>
      <w:r w:rsidRPr="001C6BCF">
        <w:t xml:space="preserve"> </w:t>
      </w:r>
      <w:r w:rsidR="00D737A2" w:rsidRPr="001C6BCF">
        <w:t>O</w:t>
      </w:r>
      <w:r w:rsidRPr="001C6BCF">
        <w:t xml:space="preserve">nly 10 per cent </w:t>
      </w:r>
      <w:r w:rsidR="00D737A2" w:rsidRPr="001C6BCF">
        <w:t xml:space="preserve">of the fall in MFP </w:t>
      </w:r>
      <w:r w:rsidRPr="001C6BCF">
        <w:t>was driven by</w:t>
      </w:r>
      <w:r w:rsidR="007D5F4F">
        <w:t xml:space="preserve"> an</w:t>
      </w:r>
      <w:r w:rsidRPr="001C6BCF">
        <w:t xml:space="preserve"> increased </w:t>
      </w:r>
      <w:r w:rsidR="008A2ADC" w:rsidRPr="001C6BCF">
        <w:t xml:space="preserve">rate of growth </w:t>
      </w:r>
      <w:r w:rsidRPr="001C6BCF">
        <w:t xml:space="preserve">of labour inputs. </w:t>
      </w:r>
      <w:r w:rsidR="008C2753" w:rsidRPr="001C6BCF">
        <w:t>Hours worked</w:t>
      </w:r>
      <w:r w:rsidR="00AE740E" w:rsidRPr="001C6BCF">
        <w:t xml:space="preserve"> had declined over cycle 3 and remained virtually constant over cycle 4. </w:t>
      </w:r>
      <w:r w:rsidR="00001094" w:rsidRPr="001C6BCF">
        <w:t xml:space="preserve">Table </w:t>
      </w:r>
      <w:r w:rsidR="006A7469">
        <w:t>4.4</w:t>
      </w:r>
      <w:r w:rsidR="00001094" w:rsidRPr="001C6BCF">
        <w:t xml:space="preserve"> shows the average annual rates of growth in hours worked for the </w:t>
      </w:r>
      <w:proofErr w:type="spellStart"/>
      <w:r w:rsidR="00001094" w:rsidRPr="001C6BCF">
        <w:t>PCCR</w:t>
      </w:r>
      <w:proofErr w:type="spellEnd"/>
      <w:r w:rsidR="00001094" w:rsidRPr="001C6BCF">
        <w:t xml:space="preserve"> subsector and its subdivisions</w:t>
      </w:r>
      <w:r w:rsidR="004B54ED" w:rsidRPr="001C6BCF">
        <w:t>.</w:t>
      </w:r>
    </w:p>
    <w:p w:rsidR="009A4B93" w:rsidRPr="001C6BCF" w:rsidRDefault="009A4B93" w:rsidP="009A4B93">
      <w:pPr>
        <w:pStyle w:val="TableTitle"/>
        <w:rPr>
          <w:sz w:val="24"/>
          <w:szCs w:val="24"/>
        </w:rPr>
      </w:pPr>
      <w:r w:rsidRPr="001C6BCF">
        <w:rPr>
          <w:b w:val="0"/>
          <w:sz w:val="24"/>
          <w:szCs w:val="24"/>
        </w:rPr>
        <w:t xml:space="preserve">Table </w:t>
      </w:r>
      <w:bookmarkStart w:id="24" w:name="OLE_LINK14"/>
      <w:r w:rsidR="006A7469">
        <w:rPr>
          <w:b w:val="0"/>
          <w:sz w:val="24"/>
          <w:szCs w:val="24"/>
        </w:rPr>
        <w:t>4.</w:t>
      </w:r>
      <w:r w:rsidR="007203B8">
        <w:rPr>
          <w:b w:val="0"/>
          <w:noProof/>
          <w:sz w:val="24"/>
          <w:szCs w:val="24"/>
        </w:rPr>
        <w:t>4</w:t>
      </w:r>
      <w:bookmarkEnd w:id="24"/>
      <w:r w:rsidRPr="001C6BCF">
        <w:rPr>
          <w:sz w:val="24"/>
          <w:szCs w:val="24"/>
        </w:rPr>
        <w:tab/>
        <w:t xml:space="preserve">Growth in hours worked for </w:t>
      </w:r>
      <w:proofErr w:type="spellStart"/>
      <w:r w:rsidRPr="001C6BCF">
        <w:rPr>
          <w:sz w:val="24"/>
          <w:szCs w:val="24"/>
        </w:rPr>
        <w:t>PCCR</w:t>
      </w:r>
      <w:proofErr w:type="spellEnd"/>
      <w:r w:rsidRPr="001C6BCF">
        <w:rPr>
          <w:sz w:val="24"/>
          <w:szCs w:val="24"/>
        </w:rPr>
        <w:t xml:space="preserve"> subdivisions</w:t>
      </w:r>
    </w:p>
    <w:p w:rsidR="0054360C" w:rsidRPr="001C6BCF" w:rsidRDefault="0054360C" w:rsidP="00E878CB">
      <w:pPr>
        <w:pStyle w:val="Subtitle"/>
      </w:pPr>
      <w:r w:rsidRPr="001C6BCF">
        <w:t>Average annual growth rate (per cent)</w:t>
      </w:r>
    </w:p>
    <w:tbl>
      <w:tblPr>
        <w:tblW w:w="5000" w:type="pct"/>
        <w:tblCellMar>
          <w:left w:w="0" w:type="dxa"/>
          <w:right w:w="0" w:type="dxa"/>
        </w:tblCellMar>
        <w:tblLook w:val="0000" w:firstRow="0" w:lastRow="0" w:firstColumn="0" w:lastColumn="0" w:noHBand="0" w:noVBand="0"/>
      </w:tblPr>
      <w:tblGrid>
        <w:gridCol w:w="3829"/>
        <w:gridCol w:w="1653"/>
        <w:gridCol w:w="1653"/>
        <w:gridCol w:w="1654"/>
      </w:tblGrid>
      <w:tr w:rsidR="009A4B93" w:rsidRPr="001C6BCF" w:rsidTr="0020514B">
        <w:tc>
          <w:tcPr>
            <w:tcW w:w="2178" w:type="pct"/>
            <w:tcBorders>
              <w:top w:val="single" w:sz="6" w:space="0" w:color="auto"/>
              <w:bottom w:val="single" w:sz="4" w:space="0" w:color="auto"/>
            </w:tcBorders>
            <w:shd w:val="clear" w:color="auto" w:fill="auto"/>
          </w:tcPr>
          <w:p w:rsidR="009A4B93" w:rsidRPr="001C6BCF" w:rsidRDefault="009A4B93" w:rsidP="00742CD5">
            <w:pPr>
              <w:pStyle w:val="TableColumnHeading"/>
              <w:jc w:val="left"/>
            </w:pPr>
          </w:p>
        </w:tc>
        <w:tc>
          <w:tcPr>
            <w:tcW w:w="940" w:type="pct"/>
            <w:tcBorders>
              <w:top w:val="single" w:sz="6" w:space="0" w:color="auto"/>
              <w:bottom w:val="single" w:sz="4" w:space="0" w:color="auto"/>
            </w:tcBorders>
            <w:shd w:val="clear" w:color="auto" w:fill="auto"/>
            <w:vAlign w:val="bottom"/>
          </w:tcPr>
          <w:p w:rsidR="009A4B93" w:rsidRPr="001C6BCF" w:rsidRDefault="009A4B93" w:rsidP="005C2782">
            <w:pPr>
              <w:pStyle w:val="TableColumnHeading"/>
            </w:pPr>
            <w:r w:rsidRPr="001C6BCF">
              <w:t>Cycle 3</w:t>
            </w:r>
            <w:r w:rsidR="00BB246A" w:rsidRPr="001C6BCF">
              <w:t>:</w:t>
            </w:r>
            <w:r w:rsidR="00BB246A" w:rsidRPr="001C6BCF">
              <w:br/>
            </w:r>
            <w:r w:rsidRPr="001C6BCF">
              <w:t xml:space="preserve">1998-99 </w:t>
            </w:r>
            <w:r w:rsidR="00C42AFB" w:rsidRPr="001C6BCF">
              <w:br/>
            </w:r>
            <w:r w:rsidRPr="001C6BCF">
              <w:t>to 2003-04</w:t>
            </w:r>
          </w:p>
        </w:tc>
        <w:tc>
          <w:tcPr>
            <w:tcW w:w="940" w:type="pct"/>
            <w:tcBorders>
              <w:top w:val="single" w:sz="6" w:space="0" w:color="auto"/>
              <w:bottom w:val="single" w:sz="4" w:space="0" w:color="auto"/>
            </w:tcBorders>
            <w:vAlign w:val="bottom"/>
          </w:tcPr>
          <w:p w:rsidR="009A4B93" w:rsidRPr="001C6BCF" w:rsidRDefault="009A4B93" w:rsidP="005C2782">
            <w:pPr>
              <w:pStyle w:val="TableColumnHeading"/>
            </w:pPr>
            <w:r w:rsidRPr="001C6BCF">
              <w:t>Cycle 4</w:t>
            </w:r>
            <w:r w:rsidR="00BB246A" w:rsidRPr="001C6BCF">
              <w:t xml:space="preserve">: </w:t>
            </w:r>
            <w:r w:rsidR="00BB246A" w:rsidRPr="001C6BCF">
              <w:br/>
            </w:r>
            <w:r w:rsidRPr="001C6BCF">
              <w:t xml:space="preserve">2003-04 </w:t>
            </w:r>
            <w:r w:rsidR="00C42AFB" w:rsidRPr="001C6BCF">
              <w:br/>
            </w:r>
            <w:r w:rsidRPr="001C6BCF">
              <w:t>to 2007-08</w:t>
            </w:r>
          </w:p>
        </w:tc>
        <w:tc>
          <w:tcPr>
            <w:tcW w:w="941" w:type="pct"/>
            <w:tcBorders>
              <w:top w:val="single" w:sz="6" w:space="0" w:color="auto"/>
              <w:bottom w:val="single" w:sz="4" w:space="0" w:color="auto"/>
            </w:tcBorders>
          </w:tcPr>
          <w:p w:rsidR="009A4B93" w:rsidRPr="001C6BCF" w:rsidRDefault="009A4B93" w:rsidP="005C2782">
            <w:pPr>
              <w:pStyle w:val="TableColumnHeading"/>
              <w:ind w:right="0"/>
              <w:rPr>
                <w:b/>
              </w:rPr>
            </w:pPr>
            <w:r w:rsidRPr="001C6BCF">
              <w:t>Incomplete cycle</w:t>
            </w:r>
            <w:r w:rsidR="00BB246A" w:rsidRPr="001C6BCF">
              <w:t xml:space="preserve">: </w:t>
            </w:r>
            <w:r w:rsidR="00BB246A" w:rsidRPr="001C6BCF">
              <w:br/>
            </w:r>
            <w:r w:rsidRPr="001C6BCF">
              <w:t xml:space="preserve">2007-08 </w:t>
            </w:r>
            <w:r w:rsidR="00C42AFB" w:rsidRPr="001C6BCF">
              <w:br/>
            </w:r>
            <w:r w:rsidRPr="001C6BCF">
              <w:t>to 2010-11</w:t>
            </w:r>
          </w:p>
        </w:tc>
      </w:tr>
      <w:tr w:rsidR="009A4B93" w:rsidRPr="001C6BCF" w:rsidTr="0020514B">
        <w:tc>
          <w:tcPr>
            <w:tcW w:w="2178" w:type="pct"/>
            <w:tcBorders>
              <w:top w:val="single" w:sz="4" w:space="0" w:color="auto"/>
            </w:tcBorders>
            <w:shd w:val="clear" w:color="auto" w:fill="D9D9D9" w:themeFill="background1" w:themeFillShade="D9"/>
            <w:vAlign w:val="bottom"/>
          </w:tcPr>
          <w:p w:rsidR="009A4B93" w:rsidRPr="001C6BCF" w:rsidRDefault="009A4B93" w:rsidP="00AE59F6">
            <w:pPr>
              <w:pStyle w:val="TableBodyText"/>
              <w:spacing w:before="40"/>
              <w:jc w:val="left"/>
            </w:pPr>
            <w:r w:rsidRPr="001C6BCF">
              <w:t xml:space="preserve">Petroleum and coal product </w:t>
            </w:r>
            <w:proofErr w:type="spellStart"/>
            <w:r w:rsidRPr="001C6BCF">
              <w:t>mfg</w:t>
            </w:r>
            <w:proofErr w:type="spellEnd"/>
          </w:p>
        </w:tc>
        <w:tc>
          <w:tcPr>
            <w:tcW w:w="940" w:type="pct"/>
            <w:tcBorders>
              <w:top w:val="single" w:sz="4" w:space="0" w:color="auto"/>
            </w:tcBorders>
            <w:shd w:val="clear" w:color="auto" w:fill="D9D9D9" w:themeFill="background1" w:themeFillShade="D9"/>
            <w:vAlign w:val="bottom"/>
          </w:tcPr>
          <w:p w:rsidR="009A4B93" w:rsidRPr="001C6BCF" w:rsidRDefault="009A4B93" w:rsidP="00AE59F6">
            <w:pPr>
              <w:pStyle w:val="TableBodyText"/>
              <w:spacing w:before="40"/>
            </w:pPr>
            <w:r w:rsidRPr="001C6BCF">
              <w:t>3.8</w:t>
            </w:r>
          </w:p>
        </w:tc>
        <w:tc>
          <w:tcPr>
            <w:tcW w:w="940" w:type="pct"/>
            <w:tcBorders>
              <w:top w:val="single" w:sz="4" w:space="0" w:color="auto"/>
            </w:tcBorders>
            <w:shd w:val="clear" w:color="auto" w:fill="D9D9D9" w:themeFill="background1" w:themeFillShade="D9"/>
            <w:vAlign w:val="bottom"/>
          </w:tcPr>
          <w:p w:rsidR="009A4B93" w:rsidRPr="001C6BCF" w:rsidRDefault="009A4B93" w:rsidP="00AE59F6">
            <w:pPr>
              <w:pStyle w:val="TableBodyText"/>
              <w:spacing w:before="40"/>
            </w:pPr>
            <w:r w:rsidRPr="001C6BCF">
              <w:t>1.1</w:t>
            </w:r>
          </w:p>
        </w:tc>
        <w:tc>
          <w:tcPr>
            <w:tcW w:w="941" w:type="pct"/>
            <w:tcBorders>
              <w:top w:val="single" w:sz="4" w:space="0" w:color="auto"/>
            </w:tcBorders>
            <w:shd w:val="clear" w:color="auto" w:fill="D9D9D9" w:themeFill="background1" w:themeFillShade="D9"/>
            <w:vAlign w:val="bottom"/>
          </w:tcPr>
          <w:p w:rsidR="009A4B93" w:rsidRPr="001C6BCF" w:rsidRDefault="009A4B93" w:rsidP="00AE59F6">
            <w:pPr>
              <w:pStyle w:val="TableBodyText"/>
              <w:spacing w:before="40"/>
            </w:pPr>
            <w:r w:rsidRPr="001C6BCF">
              <w:t>2.7</w:t>
            </w:r>
          </w:p>
        </w:tc>
      </w:tr>
      <w:tr w:rsidR="009A4B93" w:rsidRPr="001C6BCF" w:rsidTr="00742CD5">
        <w:tc>
          <w:tcPr>
            <w:tcW w:w="2178" w:type="pct"/>
            <w:vAlign w:val="bottom"/>
          </w:tcPr>
          <w:p w:rsidR="009A4B93" w:rsidRPr="001C6BCF" w:rsidRDefault="009A4B93" w:rsidP="00742CD5">
            <w:pPr>
              <w:pStyle w:val="TableBodyText"/>
              <w:jc w:val="left"/>
            </w:pPr>
            <w:r w:rsidRPr="001C6BCF">
              <w:t xml:space="preserve">Basic chemical and chemical product </w:t>
            </w:r>
            <w:proofErr w:type="spellStart"/>
            <w:r w:rsidRPr="001C6BCF">
              <w:t>mfg</w:t>
            </w:r>
            <w:proofErr w:type="spellEnd"/>
          </w:p>
        </w:tc>
        <w:tc>
          <w:tcPr>
            <w:tcW w:w="940" w:type="pct"/>
            <w:vAlign w:val="bottom"/>
          </w:tcPr>
          <w:p w:rsidR="009A4B93" w:rsidRPr="001C6BCF" w:rsidRDefault="009A4B93" w:rsidP="00742CD5">
            <w:pPr>
              <w:pStyle w:val="TableBodyText"/>
            </w:pPr>
            <w:r w:rsidRPr="001C6BCF">
              <w:t>-1.5</w:t>
            </w:r>
          </w:p>
        </w:tc>
        <w:tc>
          <w:tcPr>
            <w:tcW w:w="940" w:type="pct"/>
            <w:vAlign w:val="bottom"/>
          </w:tcPr>
          <w:p w:rsidR="009A4B93" w:rsidRPr="001C6BCF" w:rsidRDefault="009A4B93" w:rsidP="00742CD5">
            <w:pPr>
              <w:pStyle w:val="TableBodyText"/>
            </w:pPr>
            <w:r w:rsidRPr="001C6BCF">
              <w:t>-0.7</w:t>
            </w:r>
          </w:p>
        </w:tc>
        <w:tc>
          <w:tcPr>
            <w:tcW w:w="941" w:type="pct"/>
            <w:vAlign w:val="bottom"/>
          </w:tcPr>
          <w:p w:rsidR="009A4B93" w:rsidRPr="001C6BCF" w:rsidRDefault="009A4B93" w:rsidP="00742CD5">
            <w:pPr>
              <w:pStyle w:val="TableBodyText"/>
            </w:pPr>
            <w:r w:rsidRPr="001C6BCF">
              <w:t>-0.6</w:t>
            </w:r>
          </w:p>
        </w:tc>
      </w:tr>
      <w:tr w:rsidR="009A4B93" w:rsidRPr="001C6BCF" w:rsidTr="0020514B">
        <w:tc>
          <w:tcPr>
            <w:tcW w:w="2178" w:type="pct"/>
            <w:shd w:val="clear" w:color="auto" w:fill="D9D9D9" w:themeFill="background1" w:themeFillShade="D9"/>
            <w:vAlign w:val="bottom"/>
          </w:tcPr>
          <w:p w:rsidR="009A4B93" w:rsidRPr="001C6BCF" w:rsidRDefault="009A4B93" w:rsidP="00742CD5">
            <w:pPr>
              <w:pStyle w:val="TableBodyText"/>
              <w:jc w:val="left"/>
            </w:pPr>
            <w:r w:rsidRPr="001C6BCF">
              <w:t xml:space="preserve">Polymer product and rubber product </w:t>
            </w:r>
            <w:proofErr w:type="spellStart"/>
            <w:r w:rsidRPr="001C6BCF">
              <w:t>mfg</w:t>
            </w:r>
            <w:proofErr w:type="spellEnd"/>
          </w:p>
        </w:tc>
        <w:tc>
          <w:tcPr>
            <w:tcW w:w="940" w:type="pct"/>
            <w:shd w:val="clear" w:color="auto" w:fill="D9D9D9" w:themeFill="background1" w:themeFillShade="D9"/>
            <w:vAlign w:val="bottom"/>
          </w:tcPr>
          <w:p w:rsidR="009A4B93" w:rsidRPr="001C6BCF" w:rsidRDefault="009A4B93" w:rsidP="00742CD5">
            <w:pPr>
              <w:pStyle w:val="TableBodyText"/>
            </w:pPr>
            <w:r w:rsidRPr="001C6BCF">
              <w:t>-1.4</w:t>
            </w:r>
          </w:p>
        </w:tc>
        <w:tc>
          <w:tcPr>
            <w:tcW w:w="940" w:type="pct"/>
            <w:shd w:val="clear" w:color="auto" w:fill="D9D9D9" w:themeFill="background1" w:themeFillShade="D9"/>
            <w:vAlign w:val="bottom"/>
          </w:tcPr>
          <w:p w:rsidR="009A4B93" w:rsidRPr="001C6BCF" w:rsidRDefault="009A4B93" w:rsidP="00742CD5">
            <w:pPr>
              <w:pStyle w:val="TableBodyText"/>
            </w:pPr>
            <w:r w:rsidRPr="001C6BCF">
              <w:t>0.5</w:t>
            </w:r>
          </w:p>
        </w:tc>
        <w:tc>
          <w:tcPr>
            <w:tcW w:w="941" w:type="pct"/>
            <w:shd w:val="clear" w:color="auto" w:fill="D9D9D9" w:themeFill="background1" w:themeFillShade="D9"/>
            <w:vAlign w:val="bottom"/>
          </w:tcPr>
          <w:p w:rsidR="009A4B93" w:rsidRPr="001C6BCF" w:rsidRDefault="009A4B93" w:rsidP="00742CD5">
            <w:pPr>
              <w:pStyle w:val="TableBodyText"/>
            </w:pPr>
            <w:r w:rsidRPr="001C6BCF">
              <w:t>-11.8</w:t>
            </w:r>
          </w:p>
        </w:tc>
      </w:tr>
      <w:tr w:rsidR="00B160AB" w:rsidRPr="001C6BCF" w:rsidTr="00742CD5">
        <w:tc>
          <w:tcPr>
            <w:tcW w:w="2178" w:type="pct"/>
            <w:tcBorders>
              <w:bottom w:val="single" w:sz="4" w:space="0" w:color="auto"/>
            </w:tcBorders>
            <w:vAlign w:val="bottom"/>
          </w:tcPr>
          <w:p w:rsidR="00B160AB" w:rsidRPr="001C6BCF" w:rsidRDefault="0099016B" w:rsidP="00742CD5">
            <w:pPr>
              <w:pStyle w:val="TableBodyText"/>
              <w:jc w:val="left"/>
              <w:rPr>
                <w:b/>
              </w:rPr>
            </w:pPr>
            <w:proofErr w:type="spellStart"/>
            <w:r w:rsidRPr="001C6BCF">
              <w:rPr>
                <w:b/>
              </w:rPr>
              <w:t>PCCR</w:t>
            </w:r>
            <w:proofErr w:type="spellEnd"/>
          </w:p>
        </w:tc>
        <w:tc>
          <w:tcPr>
            <w:tcW w:w="940" w:type="pct"/>
            <w:tcBorders>
              <w:bottom w:val="single" w:sz="4" w:space="0" w:color="auto"/>
            </w:tcBorders>
            <w:vAlign w:val="bottom"/>
          </w:tcPr>
          <w:p w:rsidR="00B160AB" w:rsidRPr="001C6BCF" w:rsidRDefault="00ED0068" w:rsidP="00742CD5">
            <w:pPr>
              <w:pStyle w:val="TableBodyText"/>
              <w:rPr>
                <w:b/>
              </w:rPr>
            </w:pPr>
            <w:r w:rsidRPr="001C6BCF">
              <w:rPr>
                <w:b/>
              </w:rPr>
              <w:t>-1.1</w:t>
            </w:r>
          </w:p>
        </w:tc>
        <w:tc>
          <w:tcPr>
            <w:tcW w:w="940" w:type="pct"/>
            <w:tcBorders>
              <w:bottom w:val="single" w:sz="4" w:space="0" w:color="auto"/>
            </w:tcBorders>
            <w:vAlign w:val="bottom"/>
          </w:tcPr>
          <w:p w:rsidR="00B160AB" w:rsidRPr="001C6BCF" w:rsidRDefault="00ED0068" w:rsidP="00742CD5">
            <w:pPr>
              <w:pStyle w:val="TableBodyText"/>
              <w:rPr>
                <w:b/>
              </w:rPr>
            </w:pPr>
            <w:r w:rsidRPr="001C6BCF">
              <w:rPr>
                <w:b/>
              </w:rPr>
              <w:t>0.0</w:t>
            </w:r>
          </w:p>
        </w:tc>
        <w:tc>
          <w:tcPr>
            <w:tcW w:w="941" w:type="pct"/>
            <w:tcBorders>
              <w:bottom w:val="single" w:sz="4" w:space="0" w:color="auto"/>
            </w:tcBorders>
            <w:vAlign w:val="bottom"/>
          </w:tcPr>
          <w:p w:rsidR="00B160AB" w:rsidRPr="001C6BCF" w:rsidRDefault="00ED0068" w:rsidP="00742CD5">
            <w:pPr>
              <w:pStyle w:val="TableBodyText"/>
              <w:rPr>
                <w:b/>
              </w:rPr>
            </w:pPr>
            <w:r w:rsidRPr="001C6BCF">
              <w:rPr>
                <w:b/>
              </w:rPr>
              <w:t>-5.3</w:t>
            </w:r>
          </w:p>
        </w:tc>
      </w:tr>
    </w:tbl>
    <w:p w:rsidR="009A4B93" w:rsidRPr="001C6BCF" w:rsidRDefault="0017711C" w:rsidP="009A4B93">
      <w:pPr>
        <w:pStyle w:val="Source"/>
      </w:pPr>
      <w:r w:rsidRPr="001C6BCF">
        <w:rPr>
          <w:i/>
        </w:rPr>
        <w:t>Source</w:t>
      </w:r>
      <w:r w:rsidR="009A4B93" w:rsidRPr="001C6BCF">
        <w:t xml:space="preserve">: Authors’ estimates based </w:t>
      </w:r>
      <w:r w:rsidR="002D2CE9" w:rsidRPr="001C6BCF">
        <w:t>ABS (unpublished Labour Force Survey data)</w:t>
      </w:r>
      <w:r w:rsidR="009A4B93" w:rsidRPr="001C6BCF">
        <w:t>.</w:t>
      </w:r>
    </w:p>
    <w:p w:rsidR="00CE270C" w:rsidRPr="001C6BCF" w:rsidRDefault="004B54ED" w:rsidP="00FC34D1">
      <w:pPr>
        <w:pStyle w:val="BodyText"/>
      </w:pPr>
      <w:r w:rsidRPr="001C6BCF">
        <w:t xml:space="preserve">The data indicate that the rate of hours worked growth fell between cycles </w:t>
      </w:r>
      <w:r w:rsidR="00DA4959" w:rsidRPr="001C6BCF">
        <w:t xml:space="preserve">in </w:t>
      </w:r>
      <w:r w:rsidRPr="001C6BCF">
        <w:t xml:space="preserve">Petroleum (from 3.8 to 1.1 per cent a year); </w:t>
      </w:r>
      <w:r w:rsidR="008231A7" w:rsidRPr="001C6BCF">
        <w:t>rose</w:t>
      </w:r>
      <w:r w:rsidRPr="001C6BCF">
        <w:t xml:space="preserve"> </w:t>
      </w:r>
      <w:r w:rsidR="00DA4959" w:rsidRPr="001C6BCF">
        <w:t xml:space="preserve">in </w:t>
      </w:r>
      <w:r w:rsidR="008231A7" w:rsidRPr="001C6BCF">
        <w:t>Chemicals</w:t>
      </w:r>
      <w:r w:rsidRPr="001C6BCF">
        <w:t xml:space="preserve">, but was still negative in absolute terms (from -1.5 to -0.7 per cent a year); and </w:t>
      </w:r>
      <w:r w:rsidR="00DC3E8D" w:rsidRPr="001C6BCF">
        <w:t>became positive in</w:t>
      </w:r>
      <w:r w:rsidR="00DA4959" w:rsidRPr="001C6BCF">
        <w:t xml:space="preserve"> </w:t>
      </w:r>
      <w:r w:rsidRPr="001C6BCF">
        <w:t>Polymer products (-1.4 to 0.5 per cent a year).</w:t>
      </w:r>
      <w:r w:rsidR="00B06F5A" w:rsidRPr="001C6BCF">
        <w:t xml:space="preserve"> </w:t>
      </w:r>
      <w:r w:rsidR="00F02DBA" w:rsidRPr="001C6BCF">
        <w:t xml:space="preserve">The turnaround </w:t>
      </w:r>
      <w:r w:rsidR="006510BF">
        <w:t xml:space="preserve">in </w:t>
      </w:r>
      <w:r w:rsidR="00B06F5A" w:rsidRPr="001C6BCF">
        <w:t xml:space="preserve">hours worked </w:t>
      </w:r>
      <w:r w:rsidR="005F5B75" w:rsidRPr="001C6BCF">
        <w:t xml:space="preserve">growth </w:t>
      </w:r>
      <w:r w:rsidR="00D62060">
        <w:t xml:space="preserve">in </w:t>
      </w:r>
      <w:r w:rsidR="003E0381" w:rsidRPr="001C6BCF">
        <w:t xml:space="preserve">Polymer </w:t>
      </w:r>
      <w:r w:rsidR="00B06F5A" w:rsidRPr="001C6BCF">
        <w:t xml:space="preserve">products </w:t>
      </w:r>
      <w:r w:rsidR="00384D99">
        <w:t>wa</w:t>
      </w:r>
      <w:r w:rsidR="00B06F5A" w:rsidRPr="001C6BCF">
        <w:t xml:space="preserve">s the main driver of the growth in </w:t>
      </w:r>
      <w:proofErr w:type="spellStart"/>
      <w:r w:rsidR="00B06F5A" w:rsidRPr="001C6BCF">
        <w:t>PCCR</w:t>
      </w:r>
      <w:proofErr w:type="spellEnd"/>
      <w:r w:rsidR="00B06F5A" w:rsidRPr="001C6BCF">
        <w:t xml:space="preserve"> hours worked between the productivity cycles, more than offsetting the decline observed </w:t>
      </w:r>
      <w:r w:rsidR="00B06F5A" w:rsidRPr="001C6BCF">
        <w:lastRenderedPageBreak/>
        <w:t xml:space="preserve">in Petroleum. There </w:t>
      </w:r>
      <w:r w:rsidR="00605075">
        <w:t>are</w:t>
      </w:r>
      <w:r w:rsidR="00B06F5A" w:rsidRPr="001C6BCF">
        <w:t xml:space="preserve">, </w:t>
      </w:r>
      <w:r w:rsidR="00676148">
        <w:t>however</w:t>
      </w:r>
      <w:r w:rsidR="00B06F5A" w:rsidRPr="001C6BCF">
        <w:t xml:space="preserve">, </w:t>
      </w:r>
      <w:r w:rsidR="004D2C66">
        <w:t>insufficient</w:t>
      </w:r>
      <w:r w:rsidR="00B06F5A" w:rsidRPr="001C6BCF">
        <w:t xml:space="preserve"> data </w:t>
      </w:r>
      <w:r w:rsidR="004D2C66">
        <w:t xml:space="preserve">available </w:t>
      </w:r>
      <w:r w:rsidR="00B06F5A" w:rsidRPr="001C6BCF">
        <w:t>to identify</w:t>
      </w:r>
      <w:r w:rsidR="008F4409">
        <w:t xml:space="preserve"> the</w:t>
      </w:r>
      <w:r w:rsidR="00B06F5A" w:rsidRPr="001C6BCF">
        <w:t xml:space="preserve"> </w:t>
      </w:r>
      <w:r w:rsidR="004D2C66">
        <w:t>specific</w:t>
      </w:r>
      <w:r w:rsidR="004D2C66" w:rsidRPr="001C6BCF">
        <w:t xml:space="preserve"> </w:t>
      </w:r>
      <w:r w:rsidR="00B06F5A" w:rsidRPr="001C6BCF">
        <w:t>parts of Polymer</w:t>
      </w:r>
      <w:r w:rsidR="007F42BF" w:rsidRPr="001C6BCF">
        <w:t xml:space="preserve">s </w:t>
      </w:r>
      <w:r w:rsidR="004D2C66">
        <w:t>that had</w:t>
      </w:r>
      <w:r w:rsidR="00FC34D1" w:rsidRPr="001C6BCF">
        <w:t xml:space="preserve"> hours worked growth from cycle 3 to cycle 4</w:t>
      </w:r>
      <w:r w:rsidR="007B7755">
        <w:t xml:space="preserve"> </w:t>
      </w:r>
      <w:r w:rsidR="004D2C66">
        <w:t>(</w:t>
      </w:r>
      <w:r w:rsidR="007B7755">
        <w:t>appendix</w:t>
      </w:r>
      <w:r w:rsidR="00267E16">
        <w:t> </w:t>
      </w:r>
      <w:r w:rsidR="007B7755">
        <w:t>F</w:t>
      </w:r>
      <w:r w:rsidR="004D2C66">
        <w:t>)</w:t>
      </w:r>
      <w:r w:rsidR="00FC34D1" w:rsidRPr="001C6BCF">
        <w:t>.</w:t>
      </w:r>
      <w:r w:rsidR="00FC34D1" w:rsidRPr="001C6BCF" w:rsidDel="00AE740E">
        <w:t xml:space="preserve"> </w:t>
      </w:r>
    </w:p>
    <w:p w:rsidR="00303A75" w:rsidRPr="001C6BCF" w:rsidRDefault="006A7469" w:rsidP="00303A75">
      <w:pPr>
        <w:pStyle w:val="Heading2"/>
      </w:pPr>
      <w:r>
        <w:t>4.</w:t>
      </w:r>
      <w:r w:rsidR="007203B8">
        <w:rPr>
          <w:noProof/>
        </w:rPr>
        <w:t>4</w:t>
      </w:r>
      <w:r w:rsidR="00303A75" w:rsidRPr="001C6BCF">
        <w:tab/>
        <w:t>Drawing together the implications for productivity</w:t>
      </w:r>
    </w:p>
    <w:p w:rsidR="00E37F0B" w:rsidRPr="001C6BCF" w:rsidRDefault="008467DB" w:rsidP="002C04B7">
      <w:pPr>
        <w:pStyle w:val="BodyText"/>
      </w:pPr>
      <w:r w:rsidRPr="001C6BCF">
        <w:t xml:space="preserve">The decline in </w:t>
      </w:r>
      <w:proofErr w:type="spellStart"/>
      <w:r w:rsidRPr="001C6BCF">
        <w:t>PCCR’s</w:t>
      </w:r>
      <w:proofErr w:type="spellEnd"/>
      <w:r w:rsidRPr="001C6BCF">
        <w:t xml:space="preserve"> MFP growth rate, from positive in cycle 3 to negative in cycle 4, was driven by:</w:t>
      </w:r>
    </w:p>
    <w:p w:rsidR="008467DB" w:rsidRPr="001C6BCF" w:rsidRDefault="008467DB" w:rsidP="00C40801">
      <w:pPr>
        <w:pStyle w:val="ListBullet"/>
      </w:pPr>
      <w:r w:rsidRPr="001C6BCF">
        <w:t xml:space="preserve">a decline in </w:t>
      </w:r>
      <w:r w:rsidR="00783664">
        <w:t>VA</w:t>
      </w:r>
      <w:r w:rsidRPr="001C6BCF">
        <w:t xml:space="preserve"> growth (accounting for around 50 per cent of the MFP decline)</w:t>
      </w:r>
    </w:p>
    <w:p w:rsidR="008467DB" w:rsidRPr="001C6BCF" w:rsidRDefault="008467DB" w:rsidP="00C40801">
      <w:pPr>
        <w:pStyle w:val="ListBullet"/>
      </w:pPr>
      <w:r w:rsidRPr="001C6BCF">
        <w:t>strong growth in capital services (around 40 per cent of the MFP decline)</w:t>
      </w:r>
    </w:p>
    <w:p w:rsidR="008467DB" w:rsidRPr="001C6BCF" w:rsidRDefault="008467DB" w:rsidP="00C40801">
      <w:pPr>
        <w:pStyle w:val="ListBullet"/>
      </w:pPr>
      <w:r w:rsidRPr="001C6BCF">
        <w:t>a marginal rise in hours worked (around 10 per cent).</w:t>
      </w:r>
    </w:p>
    <w:p w:rsidR="00B54640" w:rsidRDefault="001207EC" w:rsidP="002C04B7">
      <w:pPr>
        <w:pStyle w:val="BodyText"/>
      </w:pPr>
      <w:r>
        <w:t>T</w:t>
      </w:r>
      <w:r w:rsidRPr="001C6BCF">
        <w:t xml:space="preserve">here </w:t>
      </w:r>
      <w:r w:rsidR="002C04B7" w:rsidRPr="001C6BCF">
        <w:t xml:space="preserve">appears to be strong evidence </w:t>
      </w:r>
      <w:r w:rsidR="00975E61" w:rsidRPr="001C6BCF">
        <w:t xml:space="preserve">that </w:t>
      </w:r>
      <w:r w:rsidR="002C04B7" w:rsidRPr="001C6BCF">
        <w:t>the decline</w:t>
      </w:r>
      <w:r w:rsidR="00402094">
        <w:t xml:space="preserve"> in </w:t>
      </w:r>
      <w:r w:rsidR="00783664">
        <w:t>VA</w:t>
      </w:r>
      <w:r w:rsidR="00402094">
        <w:t xml:space="preserve"> growth</w:t>
      </w:r>
      <w:r w:rsidR="002C04B7" w:rsidRPr="001C6BCF">
        <w:t xml:space="preserve"> </w:t>
      </w:r>
      <w:r>
        <w:t>(</w:t>
      </w:r>
      <w:r w:rsidRPr="001C6BCF">
        <w:t>between the productivity cycles</w:t>
      </w:r>
      <w:r>
        <w:t xml:space="preserve">) </w:t>
      </w:r>
      <w:r w:rsidR="002C04B7" w:rsidRPr="001C6BCF">
        <w:t xml:space="preserve">was driven </w:t>
      </w:r>
      <w:r w:rsidR="009A122A" w:rsidRPr="001C6BCF">
        <w:t xml:space="preserve">mainly </w:t>
      </w:r>
      <w:r w:rsidR="002C04B7" w:rsidRPr="001C6BCF">
        <w:t xml:space="preserve">by developments in the </w:t>
      </w:r>
      <w:r w:rsidR="00E063D1" w:rsidRPr="001C6BCF">
        <w:t xml:space="preserve">Petroleum </w:t>
      </w:r>
      <w:r w:rsidR="002C04B7" w:rsidRPr="001C6BCF">
        <w:t xml:space="preserve">and </w:t>
      </w:r>
      <w:r w:rsidR="00E063D1" w:rsidRPr="001C6BCF">
        <w:t xml:space="preserve">Polymer </w:t>
      </w:r>
      <w:r w:rsidR="002C04B7" w:rsidRPr="001C6BCF">
        <w:t>subdivisions</w:t>
      </w:r>
      <w:r w:rsidR="005F6847" w:rsidRPr="001C6BCF">
        <w:t>.</w:t>
      </w:r>
    </w:p>
    <w:p w:rsidR="009010DA" w:rsidRPr="001C6BCF" w:rsidRDefault="005F6847" w:rsidP="00C40801">
      <w:pPr>
        <w:pStyle w:val="ListBullet"/>
      </w:pPr>
      <w:r w:rsidRPr="001C6BCF">
        <w:t xml:space="preserve">In </w:t>
      </w:r>
      <w:r w:rsidR="002C04B7" w:rsidRPr="001C6BCF">
        <w:t xml:space="preserve">the case of </w:t>
      </w:r>
      <w:r w:rsidR="00D75257" w:rsidRPr="001C6BCF">
        <w:t>Petroleum</w:t>
      </w:r>
      <w:r w:rsidR="002C04B7" w:rsidRPr="001C6BCF">
        <w:t>, declining domestic feedstock and the availability of refined fuel from overseas refineries led to the importation of a greater volume of refined product, which in turn reduced</w:t>
      </w:r>
      <w:r w:rsidR="00B8316A" w:rsidRPr="001C6BCF">
        <w:t xml:space="preserve"> domestic</w:t>
      </w:r>
      <w:r w:rsidR="002C04B7" w:rsidRPr="001C6BCF">
        <w:t xml:space="preserve"> </w:t>
      </w:r>
      <w:r w:rsidR="00783664">
        <w:t>VA</w:t>
      </w:r>
      <w:r w:rsidRPr="001C6BCF">
        <w:t>.</w:t>
      </w:r>
    </w:p>
    <w:p w:rsidR="00730F34" w:rsidRPr="001C6BCF" w:rsidRDefault="009010DA" w:rsidP="00C40801">
      <w:pPr>
        <w:pStyle w:val="ListBullet"/>
      </w:pPr>
      <w:r w:rsidRPr="001C6BCF">
        <w:t xml:space="preserve">Within Polymers, finished </w:t>
      </w:r>
      <w:r w:rsidR="002C04B7" w:rsidRPr="001C6BCF">
        <w:t xml:space="preserve">plastic products and tyre manufacturing faced </w:t>
      </w:r>
      <w:r w:rsidR="00322D69" w:rsidRPr="001C6BCF">
        <w:t xml:space="preserve">strong </w:t>
      </w:r>
      <w:r w:rsidR="000D7D76" w:rsidRPr="001C6BCF">
        <w:t>import competition</w:t>
      </w:r>
      <w:r w:rsidR="002C04B7" w:rsidRPr="001C6BCF">
        <w:t xml:space="preserve"> </w:t>
      </w:r>
      <w:r w:rsidR="003B3B45">
        <w:t>and</w:t>
      </w:r>
      <w:r w:rsidR="000D7D76" w:rsidRPr="001C6BCF">
        <w:t>, in the case of</w:t>
      </w:r>
      <w:r w:rsidR="002C04B7" w:rsidRPr="001C6BCF">
        <w:t xml:space="preserve"> </w:t>
      </w:r>
      <w:r w:rsidR="000E20BD" w:rsidRPr="001C6BCF">
        <w:t>tyres</w:t>
      </w:r>
      <w:r w:rsidR="000D7D76" w:rsidRPr="001C6BCF">
        <w:t>,</w:t>
      </w:r>
      <w:r w:rsidR="002C04B7" w:rsidRPr="001C6BCF">
        <w:t xml:space="preserve"> </w:t>
      </w:r>
      <w:r w:rsidR="003B3B45">
        <w:t>domestic manufacturing has virtually ceased</w:t>
      </w:r>
      <w:r w:rsidR="002C04B7" w:rsidRPr="001C6BCF">
        <w:t xml:space="preserve">. </w:t>
      </w:r>
    </w:p>
    <w:p w:rsidR="000126F2" w:rsidRPr="001C6BCF" w:rsidRDefault="002C04B7" w:rsidP="002C04B7">
      <w:pPr>
        <w:pStyle w:val="BodyText"/>
      </w:pPr>
      <w:r w:rsidRPr="001C6BCF">
        <w:t xml:space="preserve">The accelerated </w:t>
      </w:r>
      <w:r w:rsidR="00672C99" w:rsidRPr="001C6BCF">
        <w:t xml:space="preserve">growth in </w:t>
      </w:r>
      <w:r w:rsidRPr="001C6BCF">
        <w:t xml:space="preserve">capital services is a product of strong investment, </w:t>
      </w:r>
      <w:r w:rsidR="00151CAE" w:rsidRPr="001C6BCF">
        <w:t xml:space="preserve">over cycle 4, </w:t>
      </w:r>
      <w:r w:rsidRPr="001C6BCF">
        <w:t xml:space="preserve">in </w:t>
      </w:r>
      <w:r w:rsidR="008A4094" w:rsidRPr="001C6BCF">
        <w:t xml:space="preserve">the Petroleum </w:t>
      </w:r>
      <w:r w:rsidR="00287B92" w:rsidRPr="001C6BCF">
        <w:t xml:space="preserve">and </w:t>
      </w:r>
      <w:r w:rsidR="00716FFC" w:rsidRPr="001C6BCF">
        <w:t>Chemicals subdivisions.</w:t>
      </w:r>
      <w:r w:rsidRPr="001C6BCF">
        <w:t xml:space="preserve"> </w:t>
      </w:r>
    </w:p>
    <w:p w:rsidR="002B6061" w:rsidRPr="001C6BCF" w:rsidRDefault="002B1B2A" w:rsidP="00C40801">
      <w:pPr>
        <w:pStyle w:val="ListBullet"/>
      </w:pPr>
      <w:r w:rsidRPr="001C6BCF">
        <w:t>T</w:t>
      </w:r>
      <w:r w:rsidR="002C04B7" w:rsidRPr="001C6BCF">
        <w:t xml:space="preserve">he investment in petroleum refining was associated with upgrading refineries to meet new environmental standards relating to fuels. These </w:t>
      </w:r>
      <w:r w:rsidR="003B6B34" w:rsidRPr="001C6BCF">
        <w:t xml:space="preserve">refining </w:t>
      </w:r>
      <w:r w:rsidR="002C04B7" w:rsidRPr="001C6BCF">
        <w:t xml:space="preserve">investments appear as additional inputs </w:t>
      </w:r>
      <w:r w:rsidR="002E09D6">
        <w:t>but</w:t>
      </w:r>
      <w:r w:rsidR="002C04B7" w:rsidRPr="001C6BCF">
        <w:t xml:space="preserve"> the environmental </w:t>
      </w:r>
      <w:r w:rsidR="00A737E6" w:rsidRPr="001C6BCF">
        <w:t xml:space="preserve">benefits </w:t>
      </w:r>
      <w:r w:rsidR="002C04B7" w:rsidRPr="001C6BCF">
        <w:t xml:space="preserve">are not </w:t>
      </w:r>
      <w:r w:rsidR="002E09D6">
        <w:t xml:space="preserve">completely </w:t>
      </w:r>
      <w:r w:rsidR="002C04B7" w:rsidRPr="001C6BCF">
        <w:t xml:space="preserve">included as part of the </w:t>
      </w:r>
      <w:r w:rsidR="00783664">
        <w:t>VA</w:t>
      </w:r>
      <w:r w:rsidR="002C04B7" w:rsidRPr="001C6BCF">
        <w:t xml:space="preserve"> measure. This</w:t>
      </w:r>
      <w:r w:rsidR="00050015" w:rsidRPr="001C6BCF">
        <w:t xml:space="preserve"> </w:t>
      </w:r>
      <w:r w:rsidR="00E67436" w:rsidRPr="001C6BCF">
        <w:t xml:space="preserve">depresses </w:t>
      </w:r>
      <w:r w:rsidR="00E67436" w:rsidRPr="001C6BCF">
        <w:rPr>
          <w:i/>
        </w:rPr>
        <w:t>measured</w:t>
      </w:r>
      <w:r w:rsidR="002C04B7" w:rsidRPr="001C6BCF">
        <w:t xml:space="preserve"> productivity</w:t>
      </w:r>
      <w:r w:rsidR="00455331" w:rsidRPr="001C6BCF">
        <w:t>.</w:t>
      </w:r>
      <w:r w:rsidR="002C04B7" w:rsidRPr="001C6BCF">
        <w:t xml:space="preserve"> </w:t>
      </w:r>
    </w:p>
    <w:p w:rsidR="002C04B7" w:rsidRPr="001C6BCF" w:rsidRDefault="002C04B7" w:rsidP="00C40801">
      <w:pPr>
        <w:pStyle w:val="ListBullet"/>
      </w:pPr>
      <w:r w:rsidRPr="001C6BCF">
        <w:t xml:space="preserve">In the case of ammonia and </w:t>
      </w:r>
      <w:r w:rsidR="002944C7" w:rsidRPr="001C6BCF">
        <w:t xml:space="preserve">ammonium </w:t>
      </w:r>
      <w:r w:rsidRPr="001C6BCF">
        <w:t>nitrate</w:t>
      </w:r>
      <w:r w:rsidR="00E5310E" w:rsidRPr="001C6BCF">
        <w:t xml:space="preserve"> in the Chemicals </w:t>
      </w:r>
      <w:r w:rsidR="005B61FC" w:rsidRPr="001C6BCF">
        <w:t>subdivision</w:t>
      </w:r>
      <w:r w:rsidRPr="001C6BCF">
        <w:t>, there were significant and large investments associated with increasing capacity in response to heightened demand</w:t>
      </w:r>
      <w:r w:rsidR="00062743" w:rsidRPr="001C6BCF">
        <w:t xml:space="preserve">, but additional output was not </w:t>
      </w:r>
      <w:r w:rsidR="00DA4AEE">
        <w:t xml:space="preserve">fully </w:t>
      </w:r>
      <w:r w:rsidR="00062743" w:rsidRPr="001C6BCF">
        <w:t xml:space="preserve">realised until the period after </w:t>
      </w:r>
      <w:r w:rsidR="00BD104C" w:rsidRPr="001C6BCF">
        <w:t>cycle 4</w:t>
      </w:r>
      <w:r w:rsidR="00062743" w:rsidRPr="001C6BCF">
        <w:t xml:space="preserve">. </w:t>
      </w:r>
      <w:r w:rsidR="00930DDE" w:rsidRPr="001C6BCF">
        <w:t>T</w:t>
      </w:r>
      <w:r w:rsidR="00062743" w:rsidRPr="001C6BCF">
        <w:t>his represents a growth in inputs with</w:t>
      </w:r>
      <w:r w:rsidR="00DA4AEE">
        <w:t xml:space="preserve"> little</w:t>
      </w:r>
      <w:r w:rsidR="00062743" w:rsidRPr="001C6BCF">
        <w:t xml:space="preserve"> commensurate growth in outputs, and so detracts from </w:t>
      </w:r>
      <w:r w:rsidR="00062743" w:rsidRPr="001C6BCF">
        <w:rPr>
          <w:i/>
        </w:rPr>
        <w:t>measured</w:t>
      </w:r>
      <w:r w:rsidR="00062743" w:rsidRPr="001C6BCF">
        <w:t xml:space="preserve"> productivity. </w:t>
      </w:r>
    </w:p>
    <w:p w:rsidR="00A910EA" w:rsidRDefault="00A910EA" w:rsidP="002C04B7">
      <w:pPr>
        <w:pStyle w:val="BodyText"/>
      </w:pPr>
      <w:r>
        <w:t xml:space="preserve">Hours worked declined in cycle 3 and was flat in cycle 4, meaning that there was positive growth in hours worked between the cycles. This growth made a relatively small contribution to the decline in </w:t>
      </w:r>
      <w:proofErr w:type="spellStart"/>
      <w:r>
        <w:t>PCCR</w:t>
      </w:r>
      <w:proofErr w:type="spellEnd"/>
      <w:r>
        <w:t xml:space="preserve"> MFP.</w:t>
      </w:r>
      <w:r w:rsidRPr="00A910EA">
        <w:t xml:space="preserve"> </w:t>
      </w:r>
      <w:r>
        <w:t>However, d</w:t>
      </w:r>
      <w:r w:rsidRPr="001C6BCF">
        <w:t xml:space="preserve">ata limitations make it </w:t>
      </w:r>
      <w:r w:rsidRPr="001C6BCF">
        <w:lastRenderedPageBreak/>
        <w:t xml:space="preserve">difficult to reliably determine which parts of </w:t>
      </w:r>
      <w:proofErr w:type="spellStart"/>
      <w:r w:rsidRPr="001C6BCF">
        <w:t>PCCR</w:t>
      </w:r>
      <w:proofErr w:type="spellEnd"/>
      <w:r w:rsidRPr="001C6BCF">
        <w:t xml:space="preserve"> experienced growth or declines in hours worked and why.</w:t>
      </w:r>
    </w:p>
    <w:p w:rsidR="00E84254" w:rsidRPr="001C6BCF" w:rsidRDefault="00E84254">
      <w:pPr>
        <w:pStyle w:val="BodyText"/>
      </w:pPr>
      <w:r w:rsidRPr="001C6BCF">
        <w:t xml:space="preserve">It is likely that each of the subdivisions within the </w:t>
      </w:r>
      <w:proofErr w:type="spellStart"/>
      <w:r w:rsidRPr="001C6BCF">
        <w:t>PCCR</w:t>
      </w:r>
      <w:proofErr w:type="spellEnd"/>
      <w:r w:rsidRPr="001C6BCF">
        <w:t xml:space="preserve"> subsector experienced input growth in excess of output growth — each contributing to the </w:t>
      </w:r>
      <w:proofErr w:type="spellStart"/>
      <w:r w:rsidRPr="001C6BCF">
        <w:t>PCCR</w:t>
      </w:r>
      <w:proofErr w:type="spellEnd"/>
      <w:r w:rsidRPr="001C6BCF">
        <w:t xml:space="preserve"> MFP decline in cycle 4 compared </w:t>
      </w:r>
      <w:r w:rsidR="00727D8F" w:rsidRPr="001C6BCF">
        <w:t xml:space="preserve">with </w:t>
      </w:r>
      <w:r w:rsidRPr="001C6BCF">
        <w:t xml:space="preserve">cycle 3. </w:t>
      </w:r>
      <w:r w:rsidR="00AD2F78" w:rsidRPr="001C6BCF">
        <w:t xml:space="preserve">This is not to say that every industry </w:t>
      </w:r>
      <w:r w:rsidR="00AD2F78" w:rsidRPr="001C6BCF">
        <w:rPr>
          <w:i/>
        </w:rPr>
        <w:t>class</w:t>
      </w:r>
      <w:r w:rsidR="00AD2F78" w:rsidRPr="001C6BCF">
        <w:t xml:space="preserve"> within</w:t>
      </w:r>
      <w:r w:rsidR="000D3635">
        <w:t xml:space="preserve"> each of the</w:t>
      </w:r>
      <w:r w:rsidR="00AD2F78" w:rsidRPr="001C6BCF">
        <w:t xml:space="preserve"> </w:t>
      </w:r>
      <w:proofErr w:type="spellStart"/>
      <w:r w:rsidR="00AD2F78" w:rsidRPr="001C6BCF">
        <w:t>PCCR</w:t>
      </w:r>
      <w:proofErr w:type="spellEnd"/>
      <w:r w:rsidR="00AD2F78" w:rsidRPr="001C6BCF">
        <w:t xml:space="preserve"> </w:t>
      </w:r>
      <w:r w:rsidR="000D3635">
        <w:t xml:space="preserve">subdivisions </w:t>
      </w:r>
      <w:r w:rsidR="00AD2F78" w:rsidRPr="001C6BCF">
        <w:t xml:space="preserve">experienced a productivity decline. Both Pharmaceuticals and Paint manufacturing appear to have increased their output over cycle 4 without increasing their inputs. But given their </w:t>
      </w:r>
      <w:r w:rsidR="00727D8F" w:rsidRPr="001C6BCF">
        <w:t>small</w:t>
      </w:r>
      <w:r w:rsidR="00AD2F78" w:rsidRPr="001C6BCF">
        <w:t xml:space="preserve"> size (</w:t>
      </w:r>
      <w:r w:rsidR="00727D8F" w:rsidRPr="001C6BCF">
        <w:t>relative to</w:t>
      </w:r>
      <w:r w:rsidR="00AD2F78" w:rsidRPr="001C6BCF">
        <w:t xml:space="preserve"> the rest of </w:t>
      </w:r>
      <w:proofErr w:type="spellStart"/>
      <w:r w:rsidR="00AD2F78" w:rsidRPr="001C6BCF">
        <w:t>PCCR</w:t>
      </w:r>
      <w:proofErr w:type="spellEnd"/>
      <w:r w:rsidR="00AD2F78" w:rsidRPr="001C6BCF">
        <w:t xml:space="preserve">), </w:t>
      </w:r>
      <w:r w:rsidR="00D646D2" w:rsidRPr="001C6BCF">
        <w:t xml:space="preserve">this </w:t>
      </w:r>
      <w:r w:rsidR="00AD2F78" w:rsidRPr="001C6BCF">
        <w:t>was not enough to offset the decline in productivity experienced in other parts of the subsector.</w:t>
      </w:r>
    </w:p>
    <w:p w:rsidR="003B6B34" w:rsidRDefault="00520BC8" w:rsidP="004A63E1">
      <w:pPr>
        <w:pStyle w:val="BodyText"/>
      </w:pPr>
      <w:r w:rsidRPr="001C6BCF">
        <w:t xml:space="preserve">Over the period since the end of cycle 4, MFP growth </w:t>
      </w:r>
      <w:r w:rsidR="00E16C64" w:rsidRPr="001C6BCF">
        <w:t xml:space="preserve">in </w:t>
      </w:r>
      <w:proofErr w:type="spellStart"/>
      <w:r w:rsidR="00E16C64" w:rsidRPr="001C6BCF">
        <w:t>PCCR</w:t>
      </w:r>
      <w:proofErr w:type="spellEnd"/>
      <w:r w:rsidR="00E16C64" w:rsidRPr="001C6BCF">
        <w:t xml:space="preserve"> </w:t>
      </w:r>
      <w:r w:rsidRPr="001C6BCF">
        <w:t xml:space="preserve">has remained negative on average, but is declining at a slower rate (-1.1 per cent a year). </w:t>
      </w:r>
      <w:r w:rsidR="00783664">
        <w:t>VA</w:t>
      </w:r>
      <w:r w:rsidRPr="001C6BCF">
        <w:t xml:space="preserve"> </w:t>
      </w:r>
      <w:r w:rsidR="00267E16">
        <w:t xml:space="preserve">for the subsector </w:t>
      </w:r>
      <w:r w:rsidRPr="001C6BCF">
        <w:t>has fallen at a faster rate</w:t>
      </w:r>
      <w:r w:rsidR="00267E16">
        <w:t xml:space="preserve"> (notwithstanding increases in some parts of </w:t>
      </w:r>
      <w:proofErr w:type="spellStart"/>
      <w:r w:rsidR="00267E16">
        <w:t>PCCR</w:t>
      </w:r>
      <w:proofErr w:type="spellEnd"/>
      <w:r w:rsidR="00267E16">
        <w:t>). B</w:t>
      </w:r>
      <w:r w:rsidRPr="001C6BCF">
        <w:t>ut there has also been some offsetting decline in combined inputs — with a steep decline in hours worked and slower capital services growth.</w:t>
      </w:r>
      <w:r w:rsidR="00AC11AE">
        <w:t xml:space="preserve"> </w:t>
      </w:r>
    </w:p>
    <w:p w:rsidR="007378D4" w:rsidRDefault="007378D4" w:rsidP="004A63E1">
      <w:pPr>
        <w:pStyle w:val="BodyText"/>
      </w:pPr>
    </w:p>
    <w:p w:rsidR="007378D4" w:rsidRDefault="007378D4" w:rsidP="004A63E1">
      <w:pPr>
        <w:pStyle w:val="BodyText"/>
      </w:pPr>
    </w:p>
    <w:p w:rsidR="006A7469" w:rsidRDefault="006A7469" w:rsidP="004A63E1">
      <w:pPr>
        <w:pStyle w:val="BodyText"/>
      </w:pPr>
    </w:p>
    <w:p w:rsidR="007378D4" w:rsidRDefault="007378D4" w:rsidP="004A63E1">
      <w:pPr>
        <w:pStyle w:val="BodyText"/>
        <w:sectPr w:rsidR="007378D4" w:rsidSect="003E41AF">
          <w:headerReference w:type="even" r:id="rId27"/>
          <w:headerReference w:type="default" r:id="rId28"/>
          <w:footerReference w:type="even" r:id="rId29"/>
          <w:footerReference w:type="default" r:id="rId30"/>
          <w:pgSz w:w="11907" w:h="16840" w:code="9"/>
          <w:pgMar w:top="1985" w:right="1304" w:bottom="1418" w:left="1814" w:header="1701" w:footer="567" w:gutter="0"/>
          <w:pgNumType w:start="69" w:chapSep="period"/>
          <w:cols w:space="720"/>
        </w:sectPr>
      </w:pPr>
    </w:p>
    <w:p w:rsidR="006A7469" w:rsidRPr="004D2C66" w:rsidRDefault="006A7469" w:rsidP="004A63E1">
      <w:pPr>
        <w:pStyle w:val="BodyText"/>
      </w:pPr>
    </w:p>
    <w:sectPr w:rsidR="006A7469" w:rsidRPr="004D2C66" w:rsidSect="007378D4">
      <w:headerReference w:type="even" r:id="rId31"/>
      <w:footerReference w:type="even" r:id="rId32"/>
      <w:type w:val="evenPage"/>
      <w:pgSz w:w="11907" w:h="16840" w:code="9"/>
      <w:pgMar w:top="1985" w:right="1304" w:bottom="1418" w:left="1814" w:header="1701" w:footer="567" w:gutter="0"/>
      <w:pgNumType w:start="53"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7AB2" w:rsidRDefault="00A67AB2">
      <w:r>
        <w:separator/>
      </w:r>
    </w:p>
  </w:endnote>
  <w:endnote w:type="continuationSeparator" w:id="0">
    <w:p w:rsidR="00A67AB2" w:rsidRDefault="00A67A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C46A0B">
      <w:trPr>
        <w:trHeight w:hRule="exact" w:val="740"/>
      </w:trPr>
      <w:tc>
        <w:tcPr>
          <w:tcW w:w="510" w:type="dxa"/>
          <w:tcBorders>
            <w:top w:val="single" w:sz="6" w:space="0" w:color="auto"/>
          </w:tcBorders>
        </w:tcPr>
        <w:p w:rsidR="00C46A0B" w:rsidRDefault="00C46A0B"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2C1C10">
            <w:rPr>
              <w:rStyle w:val="PageNumber"/>
              <w:noProof/>
            </w:rPr>
            <w:t>70</w:t>
          </w:r>
          <w:r>
            <w:rPr>
              <w:rStyle w:val="PageNumber"/>
            </w:rPr>
            <w:fldChar w:fldCharType="end"/>
          </w:r>
        </w:p>
      </w:tc>
      <w:tc>
        <w:tcPr>
          <w:tcW w:w="1644" w:type="dxa"/>
          <w:tcBorders>
            <w:top w:val="single" w:sz="6" w:space="0" w:color="auto"/>
          </w:tcBorders>
        </w:tcPr>
        <w:p w:rsidR="00C46A0B" w:rsidRDefault="002C1C10" w:rsidP="0019293B">
          <w:pPr>
            <w:pStyle w:val="Footer"/>
          </w:pPr>
          <w:r>
            <w:fldChar w:fldCharType="begin"/>
          </w:r>
          <w:r>
            <w:instrText xml:space="preserve"> SUBJECT  \* MERGEFORMAT </w:instrText>
          </w:r>
          <w:r>
            <w:fldChar w:fldCharType="separate"/>
          </w:r>
          <w:r w:rsidR="00B56B72">
            <w:t>Productivity in manufacturing</w:t>
          </w:r>
          <w:r>
            <w:fldChar w:fldCharType="end"/>
          </w:r>
        </w:p>
      </w:tc>
      <w:tc>
        <w:tcPr>
          <w:tcW w:w="6634" w:type="dxa"/>
        </w:tcPr>
        <w:p w:rsidR="00C46A0B" w:rsidRDefault="00C46A0B" w:rsidP="0019293B">
          <w:pPr>
            <w:pStyle w:val="Footer"/>
          </w:pPr>
        </w:p>
      </w:tc>
    </w:tr>
  </w:tbl>
  <w:p w:rsidR="00C46A0B" w:rsidRDefault="00C46A0B"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C46A0B">
      <w:trPr>
        <w:trHeight w:hRule="exact" w:val="740"/>
      </w:trPr>
      <w:tc>
        <w:tcPr>
          <w:tcW w:w="6634" w:type="dxa"/>
        </w:tcPr>
        <w:p w:rsidR="00C46A0B" w:rsidRDefault="00C46A0B" w:rsidP="00D05218">
          <w:pPr>
            <w:pStyle w:val="Footer"/>
            <w:ind w:right="360" w:firstLine="360"/>
          </w:pPr>
        </w:p>
      </w:tc>
      <w:tc>
        <w:tcPr>
          <w:tcW w:w="1644" w:type="dxa"/>
          <w:tcBorders>
            <w:top w:val="single" w:sz="6" w:space="0" w:color="auto"/>
          </w:tcBorders>
        </w:tcPr>
        <w:p w:rsidR="00C46A0B" w:rsidRDefault="00AA1153">
          <w:pPr>
            <w:pStyle w:val="Footer"/>
          </w:pPr>
          <w:r>
            <w:fldChar w:fldCharType="begin"/>
          </w:r>
          <w:r>
            <w:instrText xml:space="preserve"> TITLE  \* MERGEFORMAT </w:instrText>
          </w:r>
          <w:r>
            <w:fldChar w:fldCharType="separate"/>
          </w:r>
          <w:r w:rsidR="00B56B72">
            <w:t xml:space="preserve">Productivity in </w:t>
          </w:r>
          <w:proofErr w:type="spellStart"/>
          <w:r w:rsidR="00B56B72">
            <w:t>PCCR</w:t>
          </w:r>
          <w:proofErr w:type="spellEnd"/>
          <w:r>
            <w:fldChar w:fldCharType="end"/>
          </w:r>
        </w:p>
      </w:tc>
      <w:tc>
        <w:tcPr>
          <w:tcW w:w="510" w:type="dxa"/>
          <w:tcBorders>
            <w:top w:val="single" w:sz="6" w:space="0" w:color="auto"/>
          </w:tcBorders>
        </w:tcPr>
        <w:p w:rsidR="00C46A0B" w:rsidRDefault="00C46A0B">
          <w:pPr>
            <w:pStyle w:val="Footer"/>
            <w:jc w:val="right"/>
          </w:pPr>
          <w:r>
            <w:rPr>
              <w:rStyle w:val="PageNumber"/>
            </w:rPr>
            <w:fldChar w:fldCharType="begin"/>
          </w:r>
          <w:r>
            <w:rPr>
              <w:rStyle w:val="PageNumber"/>
            </w:rPr>
            <w:instrText xml:space="preserve">PAGE  </w:instrText>
          </w:r>
          <w:r>
            <w:rPr>
              <w:rStyle w:val="PageNumber"/>
            </w:rPr>
            <w:fldChar w:fldCharType="separate"/>
          </w:r>
          <w:r w:rsidR="002C1C10">
            <w:rPr>
              <w:rStyle w:val="PageNumber"/>
              <w:noProof/>
            </w:rPr>
            <w:t>69</w:t>
          </w:r>
          <w:r>
            <w:rPr>
              <w:rStyle w:val="PageNumber"/>
            </w:rPr>
            <w:fldChar w:fldCharType="end"/>
          </w:r>
        </w:p>
      </w:tc>
    </w:tr>
  </w:tbl>
  <w:p w:rsidR="00C46A0B" w:rsidRDefault="00C46A0B">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7AB2" w:rsidRDefault="00A67AB2" w:rsidP="0019293B">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7AB2" w:rsidRDefault="00A67AB2">
      <w:r>
        <w:separator/>
      </w:r>
    </w:p>
  </w:footnote>
  <w:footnote w:type="continuationSeparator" w:id="0">
    <w:p w:rsidR="00A67AB2" w:rsidRDefault="00A67AB2">
      <w:r>
        <w:continuationSeparator/>
      </w:r>
    </w:p>
  </w:footnote>
  <w:footnote w:id="1">
    <w:p w:rsidR="00C46A0B" w:rsidRDefault="00C46A0B" w:rsidP="0032380E">
      <w:pPr>
        <w:pStyle w:val="FootnoteText"/>
      </w:pPr>
      <w:r>
        <w:rPr>
          <w:rStyle w:val="FootnoteReference"/>
        </w:rPr>
        <w:footnoteRef/>
      </w:r>
      <w:r>
        <w:t xml:space="preserve"> </w:t>
      </w:r>
      <w:r>
        <w:tab/>
        <w:t>For example, for a given rate of VA growth, a 1 per cent growth in capital services would have a greater effect on MFP growth than a 1 per cent growth in hours worked.</w:t>
      </w:r>
    </w:p>
  </w:footnote>
  <w:footnote w:id="2">
    <w:p w:rsidR="00C46A0B" w:rsidRDefault="00C46A0B">
      <w:pPr>
        <w:pStyle w:val="FootnoteText"/>
      </w:pPr>
      <w:r>
        <w:rPr>
          <w:rStyle w:val="FootnoteReference"/>
        </w:rPr>
        <w:footnoteRef/>
      </w:r>
      <w:r>
        <w:t xml:space="preserve"> </w:t>
      </w:r>
      <w:r>
        <w:tab/>
        <w:t>The growth in the rate of hours worked also contributed to the faster input growth, but to a much smaller degree. Accordingly, it is not examined in as much detail as the trends in VA and capital.</w:t>
      </w:r>
    </w:p>
  </w:footnote>
  <w:footnote w:id="3">
    <w:p w:rsidR="00C46A0B" w:rsidRDefault="00C46A0B" w:rsidP="00D75C16">
      <w:pPr>
        <w:pStyle w:val="FootnoteText"/>
      </w:pPr>
      <w:r>
        <w:rPr>
          <w:rStyle w:val="FootnoteReference"/>
        </w:rPr>
        <w:footnoteRef/>
      </w:r>
      <w:r>
        <w:tab/>
      </w:r>
      <w:r w:rsidR="00417B5D">
        <w:t>VA</w:t>
      </w:r>
      <w:r w:rsidRPr="00DE48E8">
        <w:t xml:space="preserve"> is gross output less intermediate inputs used in producing that output. Intermediate inputs are the inputs used by the business other than capital and labour — for example, energy, raw materials and services. The volume of </w:t>
      </w:r>
      <w:r w:rsidR="00417B5D">
        <w:t>VA</w:t>
      </w:r>
      <w:r w:rsidRPr="00DE48E8">
        <w:t xml:space="preserve"> refers to </w:t>
      </w:r>
      <w:r w:rsidR="00A67AB2">
        <w:t>VA</w:t>
      </w:r>
      <w:r w:rsidRPr="00DE48E8">
        <w:t xml:space="preserve"> with the effect of price changes removed.</w:t>
      </w:r>
    </w:p>
  </w:footnote>
  <w:footnote w:id="4">
    <w:p w:rsidR="00C46A0B" w:rsidRDefault="00C46A0B">
      <w:pPr>
        <w:pStyle w:val="FootnoteText"/>
      </w:pPr>
      <w:r>
        <w:rPr>
          <w:rStyle w:val="FootnoteReference"/>
        </w:rPr>
        <w:footnoteRef/>
      </w:r>
      <w:r>
        <w:t xml:space="preserve"> </w:t>
      </w:r>
      <w:r>
        <w:tab/>
        <w:t>The program necessitated a greater volume of investment to adapt Australia’s existing refineries to comply with the new fuel standards. This is discussed in greater detail in the capital section.</w:t>
      </w:r>
    </w:p>
  </w:footnote>
  <w:footnote w:id="5">
    <w:p w:rsidR="00C46A0B" w:rsidRDefault="00C46A0B" w:rsidP="00CE121A">
      <w:pPr>
        <w:pStyle w:val="FootnoteText"/>
      </w:pPr>
      <w:r>
        <w:rPr>
          <w:rStyle w:val="FootnoteReference"/>
        </w:rPr>
        <w:footnoteRef/>
      </w:r>
      <w:r>
        <w:t xml:space="preserve"> </w:t>
      </w:r>
      <w:r>
        <w:tab/>
        <w:t xml:space="preserve">While the ABS data makes adjustments to deflators in order to account for changes in fuel quality such as energy content, they do not adjust for improvements in environmental quality (ABS </w:t>
      </w:r>
      <w:proofErr w:type="spellStart"/>
      <w:r>
        <w:t>2006a</w:t>
      </w:r>
      <w:proofErr w:type="spellEnd"/>
      <w:r>
        <w:t xml:space="preserve">). </w:t>
      </w:r>
    </w:p>
  </w:footnote>
  <w:footnote w:id="6">
    <w:p w:rsidR="00C46A0B" w:rsidRDefault="00C46A0B">
      <w:pPr>
        <w:pStyle w:val="FootnoteText"/>
      </w:pPr>
      <w:r>
        <w:rPr>
          <w:rStyle w:val="FootnoteReference"/>
        </w:rPr>
        <w:footnoteRef/>
      </w:r>
      <w:r>
        <w:t xml:space="preserve"> </w:t>
      </w:r>
      <w:r>
        <w:tab/>
        <w:t xml:space="preserve">The regulatory impact statement for the </w:t>
      </w:r>
      <w:r>
        <w:rPr>
          <w:i/>
        </w:rPr>
        <w:t xml:space="preserve">Cleaner Fuels </w:t>
      </w:r>
      <w:r>
        <w:t>program estimated that the policy change would yield total benefits over the 2000 to 2019 period of around $3.4 billion as a result of the ‘avoided health costs’ (Environment Australia 2001).</w:t>
      </w:r>
    </w:p>
  </w:footnote>
  <w:footnote w:id="7">
    <w:p w:rsidR="00C46A0B" w:rsidRDefault="00C46A0B">
      <w:pPr>
        <w:pStyle w:val="FootnoteText"/>
      </w:pPr>
      <w:r>
        <w:rPr>
          <w:rStyle w:val="FootnoteReference"/>
        </w:rPr>
        <w:footnoteRef/>
      </w:r>
      <w:r>
        <w:t xml:space="preserve"> </w:t>
      </w:r>
      <w:r>
        <w:tab/>
      </w:r>
      <w:proofErr w:type="spellStart"/>
      <w:r>
        <w:t>ANZSIC06</w:t>
      </w:r>
      <w:proofErr w:type="spellEnd"/>
      <w:r>
        <w:t xml:space="preserve"> class 1841 ‘Human pharmaceutical and medicinal product manufacturing’.</w:t>
      </w:r>
    </w:p>
  </w:footnote>
  <w:footnote w:id="8">
    <w:p w:rsidR="00C46A0B" w:rsidRDefault="00C46A0B" w:rsidP="0079479F">
      <w:pPr>
        <w:pStyle w:val="FootnoteText"/>
      </w:pPr>
      <w:r>
        <w:rPr>
          <w:rStyle w:val="FootnoteReference"/>
        </w:rPr>
        <w:footnoteRef/>
      </w:r>
      <w:r>
        <w:t xml:space="preserve"> </w:t>
      </w:r>
      <w:r>
        <w:tab/>
        <w:t xml:space="preserve">Based on authors’ estimates using current price value added data from ABS Cat. nos 8155.0 and 8221.0, which are in turn deflated using the output price deflator for pharmaceuticals from ABS Cat. no. 6247.0. </w:t>
      </w:r>
    </w:p>
  </w:footnote>
  <w:footnote w:id="9">
    <w:p w:rsidR="00C46A0B" w:rsidRDefault="00C46A0B">
      <w:pPr>
        <w:pStyle w:val="FootnoteText"/>
      </w:pPr>
      <w:r>
        <w:rPr>
          <w:rStyle w:val="FootnoteReference"/>
        </w:rPr>
        <w:footnoteRef/>
      </w:r>
      <w:r>
        <w:t xml:space="preserve"> </w:t>
      </w:r>
      <w:r>
        <w:tab/>
        <w:t>This is consistent with the observed increase in imports, discussed above.</w:t>
      </w:r>
    </w:p>
  </w:footnote>
  <w:footnote w:id="10">
    <w:p w:rsidR="00C46A0B" w:rsidRDefault="00C46A0B">
      <w:pPr>
        <w:pStyle w:val="FootnoteText"/>
      </w:pPr>
      <w:r>
        <w:rPr>
          <w:rStyle w:val="FootnoteReference"/>
        </w:rPr>
        <w:footnoteRef/>
      </w:r>
      <w:r>
        <w:tab/>
        <w:t xml:space="preserve">There were two government programs. The </w:t>
      </w:r>
      <w:r>
        <w:rPr>
          <w:i/>
        </w:rPr>
        <w:t xml:space="preserve">Pharmaceutical Industry Investment Program </w:t>
      </w:r>
      <w:r>
        <w:t xml:space="preserve">ran over the period from 1 July 1999 to 30 June 2004 (largely covering the third cycle), while the </w:t>
      </w:r>
      <w:r>
        <w:rPr>
          <w:i/>
        </w:rPr>
        <w:t xml:space="preserve">Pharmaceuticals Partnership Program </w:t>
      </w:r>
      <w:r>
        <w:t xml:space="preserve">ran over the period from 1 July 2004 to 30 June 2009 (covering all of the fourth and some of the incomplete cycle). The </w:t>
      </w:r>
      <w:r>
        <w:rPr>
          <w:i/>
        </w:rPr>
        <w:t xml:space="preserve">Pharmaceutical Industry Investment Program </w:t>
      </w:r>
      <w:r>
        <w:t xml:space="preserve">put in place incentives to encourage more value adding and R&amp;D, while the </w:t>
      </w:r>
      <w:r>
        <w:rPr>
          <w:i/>
        </w:rPr>
        <w:t xml:space="preserve">Pharmaceuticals Partnership Program </w:t>
      </w:r>
      <w:r>
        <w:t xml:space="preserve">was more R&amp;D orientated. See appendix C of </w:t>
      </w:r>
      <w:r w:rsidRPr="00082ACC">
        <w:t>Pharmaceuticals Industry Strategy Group</w:t>
      </w:r>
      <w:r>
        <w:t xml:space="preserve"> (2008).</w:t>
      </w:r>
    </w:p>
  </w:footnote>
  <w:footnote w:id="11">
    <w:p w:rsidR="00C46A0B" w:rsidRDefault="00C46A0B" w:rsidP="00C30C43">
      <w:pPr>
        <w:pStyle w:val="FootnoteText"/>
      </w:pPr>
      <w:r>
        <w:rPr>
          <w:rStyle w:val="FootnoteReference"/>
        </w:rPr>
        <w:footnoteRef/>
      </w:r>
      <w:r>
        <w:tab/>
      </w:r>
      <w:r w:rsidRPr="009B31BB">
        <w:t>Authors’</w:t>
      </w:r>
      <w:r>
        <w:t xml:space="preserve"> estimates of Pharmaceutical Benefits Scheme payments and other pharmaceutical expenses paid by consumers based on data from </w:t>
      </w:r>
      <w:proofErr w:type="spellStart"/>
      <w:r>
        <w:t>AIHW</w:t>
      </w:r>
      <w:proofErr w:type="spellEnd"/>
      <w:r>
        <w:t xml:space="preserve"> (2012).</w:t>
      </w:r>
    </w:p>
  </w:footnote>
  <w:footnote w:id="12">
    <w:p w:rsidR="00C46A0B" w:rsidRDefault="00C46A0B" w:rsidP="0018670C">
      <w:pPr>
        <w:pStyle w:val="FootnoteText"/>
      </w:pPr>
      <w:r>
        <w:rPr>
          <w:rStyle w:val="FootnoteReference"/>
        </w:rPr>
        <w:footnoteRef/>
      </w:r>
      <w:r>
        <w:t xml:space="preserve"> </w:t>
      </w:r>
      <w:r>
        <w:tab/>
        <w:t xml:space="preserve">For example, a major producer of paints (Dulux) noted that ‘Growth was driven primarily by increased renovation activity’ (Orica 2007); and the number of households that sourced water from water tanks rose from 16.9 per cent in 1998 to 26.4 per cent in 2010 (ABS </w:t>
      </w:r>
      <w:proofErr w:type="spellStart"/>
      <w:r>
        <w:t>2010b</w:t>
      </w:r>
      <w:proofErr w:type="spellEnd"/>
      <w:r>
        <w:t>).</w:t>
      </w:r>
    </w:p>
  </w:footnote>
  <w:footnote w:id="13">
    <w:p w:rsidR="00AA1153" w:rsidRDefault="00AA1153" w:rsidP="00AA1153">
      <w:pPr>
        <w:pStyle w:val="FootnoteText"/>
      </w:pPr>
      <w:r>
        <w:rPr>
          <w:rStyle w:val="FootnoteReference"/>
        </w:rPr>
        <w:footnoteRef/>
      </w:r>
      <w:r>
        <w:tab/>
        <w:t xml:space="preserve">The stronger period of investment between 2003-04 and 2007-08 had the effect of reducing the average age of capital within </w:t>
      </w:r>
      <w:proofErr w:type="spellStart"/>
      <w:r>
        <w:t>PCCR</w:t>
      </w:r>
      <w:proofErr w:type="spellEnd"/>
      <w:r>
        <w:t xml:space="preserve"> by about a year (from 5.6 years to 4.6 years). It is surprising that age of the capital stock itself starts from such a low base. The assumptions embodied in the derivation of capital services and net capital stock at the subsector level use the age profiles as determined by the ABS (detailed in ABS </w:t>
      </w:r>
      <w:proofErr w:type="spellStart"/>
      <w:r>
        <w:t>2012c</w:t>
      </w:r>
      <w:proofErr w:type="spellEnd"/>
      <w:r>
        <w:t xml:space="preserve">). This assumes that the maximum lifespans for different types of capital in Manufacturing are 38 years for non-dwelling construction, 14.4 years for machinery and equipment, 11 years for R&amp;D and between 4 and 8 years for software. This paper assumes that the same lifespans are applied to each Manufacturing subsector (appendix A). In the case of the older petroleum refineries (which were originally built between 1922 and 1965), most of the capital embodied is assumed to be already depreciated (notwithstanding capitalised maintenance), which may explain why the average ages observed are so low. </w:t>
      </w:r>
    </w:p>
  </w:footnote>
  <w:footnote w:id="14">
    <w:p w:rsidR="00C46A0B" w:rsidRDefault="00C46A0B">
      <w:pPr>
        <w:pStyle w:val="FootnoteText"/>
      </w:pPr>
      <w:r>
        <w:rPr>
          <w:rStyle w:val="FootnoteReference"/>
        </w:rPr>
        <w:footnoteRef/>
      </w:r>
      <w:r>
        <w:t xml:space="preserve"> </w:t>
      </w:r>
      <w:r>
        <w:tab/>
        <w:t>Ammonia and ammonium nitrate are key inputs to fertilisers and explosives.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A67AB2">
      <w:tc>
        <w:tcPr>
          <w:tcW w:w="2155" w:type="dxa"/>
          <w:tcBorders>
            <w:top w:val="single" w:sz="24" w:space="0" w:color="auto"/>
          </w:tcBorders>
        </w:tcPr>
        <w:p w:rsidR="00A67AB2" w:rsidRDefault="00A67AB2" w:rsidP="0019293B">
          <w:pPr>
            <w:pStyle w:val="HeaderEven"/>
          </w:pPr>
        </w:p>
      </w:tc>
      <w:tc>
        <w:tcPr>
          <w:tcW w:w="6634" w:type="dxa"/>
          <w:tcBorders>
            <w:top w:val="single" w:sz="6" w:space="0" w:color="auto"/>
          </w:tcBorders>
        </w:tcPr>
        <w:p w:rsidR="00A67AB2" w:rsidRDefault="00A67AB2" w:rsidP="0019293B">
          <w:pPr>
            <w:pStyle w:val="HeaderEven"/>
          </w:pPr>
        </w:p>
      </w:tc>
    </w:tr>
  </w:tbl>
  <w:p w:rsidR="00A67AB2" w:rsidRDefault="00A67AB2"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67AB2">
      <w:tc>
        <w:tcPr>
          <w:tcW w:w="6634" w:type="dxa"/>
          <w:tcBorders>
            <w:top w:val="single" w:sz="6" w:space="0" w:color="auto"/>
          </w:tcBorders>
        </w:tcPr>
        <w:p w:rsidR="00A67AB2" w:rsidRDefault="00A67AB2" w:rsidP="00E669E2">
          <w:pPr>
            <w:pStyle w:val="HeaderOdd"/>
          </w:pPr>
        </w:p>
      </w:tc>
      <w:tc>
        <w:tcPr>
          <w:tcW w:w="2155" w:type="dxa"/>
          <w:tcBorders>
            <w:top w:val="single" w:sz="24" w:space="0" w:color="auto"/>
          </w:tcBorders>
        </w:tcPr>
        <w:p w:rsidR="00A67AB2" w:rsidRDefault="00A67AB2" w:rsidP="00E669E2">
          <w:pPr>
            <w:pStyle w:val="HeaderOdd"/>
          </w:pPr>
        </w:p>
      </w:tc>
    </w:tr>
  </w:tbl>
  <w:p w:rsidR="00A67AB2" w:rsidRDefault="00A67AB2"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7AB2" w:rsidRDefault="00A67AB2" w:rsidP="0019293B">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0">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1">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2">
    <w:nsid w:val="51F74561"/>
    <w:multiLevelType w:val="singleLevel"/>
    <w:tmpl w:val="ED98921A"/>
    <w:lvl w:ilvl="0">
      <w:start w:val="1"/>
      <w:numFmt w:val="decimal"/>
      <w:lvlText w:val="%1."/>
      <w:legacy w:legacy="1" w:legacySpace="0" w:legacyIndent="340"/>
      <w:lvlJc w:val="left"/>
      <w:pPr>
        <w:ind w:left="340" w:hanging="340"/>
      </w:pPr>
    </w:lvl>
  </w:abstractNum>
  <w:abstractNum w:abstractNumId="2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5">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7">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28">
    <w:nsid w:val="59F132A3"/>
    <w:multiLevelType w:val="hybridMultilevel"/>
    <w:tmpl w:val="D06E9E0C"/>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5A096576"/>
    <w:multiLevelType w:val="singleLevel"/>
    <w:tmpl w:val="ED98921A"/>
    <w:lvl w:ilvl="0">
      <w:start w:val="1"/>
      <w:numFmt w:val="decimal"/>
      <w:lvlText w:val="%1."/>
      <w:legacy w:legacy="1" w:legacySpace="0" w:legacyIndent="340"/>
      <w:lvlJc w:val="left"/>
      <w:pPr>
        <w:ind w:left="340" w:hanging="340"/>
      </w:pPr>
    </w:lvl>
  </w:abstractNum>
  <w:abstractNum w:abstractNumId="30">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nsid w:val="60055F7F"/>
    <w:multiLevelType w:val="singleLevel"/>
    <w:tmpl w:val="ED98921A"/>
    <w:lvl w:ilvl="0">
      <w:start w:val="1"/>
      <w:numFmt w:val="decimal"/>
      <w:lvlText w:val="%1."/>
      <w:legacy w:legacy="1" w:legacySpace="0" w:legacyIndent="340"/>
      <w:lvlJc w:val="left"/>
      <w:pPr>
        <w:ind w:left="340" w:hanging="340"/>
      </w:pPr>
    </w:lvl>
  </w:abstractNum>
  <w:abstractNum w:abstractNumId="32">
    <w:nsid w:val="608E741E"/>
    <w:multiLevelType w:val="singleLevel"/>
    <w:tmpl w:val="ED98921A"/>
    <w:lvl w:ilvl="0">
      <w:start w:val="1"/>
      <w:numFmt w:val="decimal"/>
      <w:lvlText w:val="%1."/>
      <w:legacy w:legacy="1" w:legacySpace="0" w:legacyIndent="340"/>
      <w:lvlJc w:val="left"/>
      <w:pPr>
        <w:ind w:left="340" w:hanging="340"/>
      </w:pPr>
    </w:lvl>
  </w:abstractNum>
  <w:abstractNum w:abstractNumId="33">
    <w:nsid w:val="61320C1E"/>
    <w:multiLevelType w:val="singleLevel"/>
    <w:tmpl w:val="C444122C"/>
    <w:lvl w:ilvl="0">
      <w:start w:val="1"/>
      <w:numFmt w:val="decimal"/>
      <w:lvlText w:val="%1."/>
      <w:legacy w:legacy="1" w:legacySpace="0" w:legacyIndent="284"/>
      <w:lvlJc w:val="left"/>
      <w:pPr>
        <w:ind w:left="284" w:hanging="284"/>
      </w:pPr>
    </w:lvl>
  </w:abstractNum>
  <w:abstractNum w:abstractNumId="34">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5">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6">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7">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38">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1">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2">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9"/>
  </w:num>
  <w:num w:numId="2">
    <w:abstractNumId w:val="10"/>
  </w:num>
  <w:num w:numId="3">
    <w:abstractNumId w:val="40"/>
  </w:num>
  <w:num w:numId="4">
    <w:abstractNumId w:val="7"/>
  </w:num>
  <w:num w:numId="5">
    <w:abstractNumId w:val="5"/>
  </w:num>
  <w:num w:numId="6">
    <w:abstractNumId w:val="23"/>
  </w:num>
  <w:num w:numId="7">
    <w:abstractNumId w:val="3"/>
  </w:num>
  <w:num w:numId="8">
    <w:abstractNumId w:val="9"/>
  </w:num>
  <w:num w:numId="9">
    <w:abstractNumId w:val="2"/>
  </w:num>
  <w:num w:numId="10">
    <w:abstractNumId w:val="35"/>
  </w:num>
  <w:num w:numId="11">
    <w:abstractNumId w:val="4"/>
  </w:num>
  <w:num w:numId="12">
    <w:abstractNumId w:val="1"/>
  </w:num>
  <w:num w:numId="13">
    <w:abstractNumId w:val="0"/>
  </w:num>
  <w:num w:numId="14">
    <w:abstractNumId w:val="26"/>
  </w:num>
  <w:num w:numId="15">
    <w:abstractNumId w:val="41"/>
  </w:num>
  <w:num w:numId="16">
    <w:abstractNumId w:val="17"/>
  </w:num>
  <w:num w:numId="17">
    <w:abstractNumId w:val="16"/>
  </w:num>
  <w:num w:numId="18">
    <w:abstractNumId w:val="24"/>
  </w:num>
  <w:num w:numId="19">
    <w:abstractNumId w:val="12"/>
  </w:num>
  <w:num w:numId="20">
    <w:abstractNumId w:val="32"/>
  </w:num>
  <w:num w:numId="21">
    <w:abstractNumId w:val="34"/>
  </w:num>
  <w:num w:numId="22">
    <w:abstractNumId w:val="22"/>
  </w:num>
  <w:num w:numId="23">
    <w:abstractNumId w:val="25"/>
  </w:num>
  <w:num w:numId="24">
    <w:abstractNumId w:val="27"/>
  </w:num>
  <w:num w:numId="25">
    <w:abstractNumId w:val="39"/>
  </w:num>
  <w:num w:numId="26">
    <w:abstractNumId w:val="31"/>
  </w:num>
  <w:num w:numId="27">
    <w:abstractNumId w:val="36"/>
  </w:num>
  <w:num w:numId="28">
    <w:abstractNumId w:val="37"/>
  </w:num>
  <w:num w:numId="29">
    <w:abstractNumId w:val="29"/>
  </w:num>
  <w:num w:numId="30">
    <w:abstractNumId w:val="20"/>
  </w:num>
  <w:num w:numId="31">
    <w:abstractNumId w:val="42"/>
  </w:num>
  <w:num w:numId="32">
    <w:abstractNumId w:val="15"/>
  </w:num>
  <w:num w:numId="33">
    <w:abstractNumId w:val="8"/>
  </w:num>
  <w:num w:numId="34">
    <w:abstractNumId w:val="18"/>
  </w:num>
  <w:num w:numId="35">
    <w:abstractNumId w:val="38"/>
  </w:num>
  <w:num w:numId="36">
    <w:abstractNumId w:val="30"/>
  </w:num>
  <w:num w:numId="37">
    <w:abstractNumId w:val="13"/>
  </w:num>
  <w:num w:numId="38">
    <w:abstractNumId w:val="33"/>
  </w:num>
  <w:num w:numId="39">
    <w:abstractNumId w:val="14"/>
  </w:num>
  <w:num w:numId="40">
    <w:abstractNumId w:val="17"/>
  </w:num>
  <w:num w:numId="41">
    <w:abstractNumId w:val="9"/>
  </w:num>
  <w:num w:numId="42">
    <w:abstractNumId w:val="21"/>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4648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Productivity in PCCR"/>
    <w:docVar w:name="ShortReportTitle" w:val="Productivity in manufacturing"/>
  </w:docVars>
  <w:rsids>
    <w:rsidRoot w:val="00050368"/>
    <w:rsid w:val="00000AF7"/>
    <w:rsid w:val="00000C40"/>
    <w:rsid w:val="00001094"/>
    <w:rsid w:val="000011CA"/>
    <w:rsid w:val="0000127B"/>
    <w:rsid w:val="000012CD"/>
    <w:rsid w:val="00001726"/>
    <w:rsid w:val="00001A5C"/>
    <w:rsid w:val="000022CE"/>
    <w:rsid w:val="0000282C"/>
    <w:rsid w:val="00002B46"/>
    <w:rsid w:val="00003780"/>
    <w:rsid w:val="0000480B"/>
    <w:rsid w:val="00005E76"/>
    <w:rsid w:val="000073DD"/>
    <w:rsid w:val="000077B2"/>
    <w:rsid w:val="0001034E"/>
    <w:rsid w:val="000105DD"/>
    <w:rsid w:val="00010F5A"/>
    <w:rsid w:val="0001129B"/>
    <w:rsid w:val="000116FC"/>
    <w:rsid w:val="0001186E"/>
    <w:rsid w:val="00011D13"/>
    <w:rsid w:val="000126F2"/>
    <w:rsid w:val="00012738"/>
    <w:rsid w:val="00012C0D"/>
    <w:rsid w:val="000133E2"/>
    <w:rsid w:val="000135DD"/>
    <w:rsid w:val="00013620"/>
    <w:rsid w:val="00013628"/>
    <w:rsid w:val="000139F8"/>
    <w:rsid w:val="00013EF9"/>
    <w:rsid w:val="00014478"/>
    <w:rsid w:val="000145C2"/>
    <w:rsid w:val="0001476C"/>
    <w:rsid w:val="00014FB2"/>
    <w:rsid w:val="000153C4"/>
    <w:rsid w:val="000167AA"/>
    <w:rsid w:val="0001701D"/>
    <w:rsid w:val="0001778A"/>
    <w:rsid w:val="000202F1"/>
    <w:rsid w:val="00021029"/>
    <w:rsid w:val="00022B86"/>
    <w:rsid w:val="00022CB8"/>
    <w:rsid w:val="00022EA8"/>
    <w:rsid w:val="00023981"/>
    <w:rsid w:val="00023EAC"/>
    <w:rsid w:val="00024348"/>
    <w:rsid w:val="000245AA"/>
    <w:rsid w:val="00024877"/>
    <w:rsid w:val="00024CCA"/>
    <w:rsid w:val="000257EA"/>
    <w:rsid w:val="00025C16"/>
    <w:rsid w:val="00025FFD"/>
    <w:rsid w:val="00026010"/>
    <w:rsid w:val="00026168"/>
    <w:rsid w:val="00026258"/>
    <w:rsid w:val="00027BFB"/>
    <w:rsid w:val="0003025F"/>
    <w:rsid w:val="00030954"/>
    <w:rsid w:val="00030DAF"/>
    <w:rsid w:val="00031F3F"/>
    <w:rsid w:val="00032785"/>
    <w:rsid w:val="00032DE3"/>
    <w:rsid w:val="00033454"/>
    <w:rsid w:val="00034304"/>
    <w:rsid w:val="00034567"/>
    <w:rsid w:val="00034BF1"/>
    <w:rsid w:val="00035897"/>
    <w:rsid w:val="00036108"/>
    <w:rsid w:val="00036133"/>
    <w:rsid w:val="0003664B"/>
    <w:rsid w:val="000366E7"/>
    <w:rsid w:val="00036CBE"/>
    <w:rsid w:val="00036E6B"/>
    <w:rsid w:val="000372A8"/>
    <w:rsid w:val="0004036E"/>
    <w:rsid w:val="00040397"/>
    <w:rsid w:val="00040937"/>
    <w:rsid w:val="0004111F"/>
    <w:rsid w:val="00043837"/>
    <w:rsid w:val="00043E44"/>
    <w:rsid w:val="00044B4B"/>
    <w:rsid w:val="000453AB"/>
    <w:rsid w:val="000454A0"/>
    <w:rsid w:val="00045FCA"/>
    <w:rsid w:val="000467C0"/>
    <w:rsid w:val="00046DF8"/>
    <w:rsid w:val="000470D0"/>
    <w:rsid w:val="000471C6"/>
    <w:rsid w:val="00047427"/>
    <w:rsid w:val="00047A54"/>
    <w:rsid w:val="00047B23"/>
    <w:rsid w:val="00047D92"/>
    <w:rsid w:val="00050015"/>
    <w:rsid w:val="00050368"/>
    <w:rsid w:val="00051534"/>
    <w:rsid w:val="00051674"/>
    <w:rsid w:val="00052327"/>
    <w:rsid w:val="000524BF"/>
    <w:rsid w:val="00052EB9"/>
    <w:rsid w:val="00053B29"/>
    <w:rsid w:val="00053C0C"/>
    <w:rsid w:val="00053DFB"/>
    <w:rsid w:val="0005486D"/>
    <w:rsid w:val="00055589"/>
    <w:rsid w:val="00055825"/>
    <w:rsid w:val="00055AB8"/>
    <w:rsid w:val="00056408"/>
    <w:rsid w:val="000565B3"/>
    <w:rsid w:val="00060213"/>
    <w:rsid w:val="00060237"/>
    <w:rsid w:val="0006089F"/>
    <w:rsid w:val="0006167F"/>
    <w:rsid w:val="00061AF8"/>
    <w:rsid w:val="00062077"/>
    <w:rsid w:val="000625D8"/>
    <w:rsid w:val="00062654"/>
    <w:rsid w:val="00062743"/>
    <w:rsid w:val="000639EF"/>
    <w:rsid w:val="0006425D"/>
    <w:rsid w:val="00065193"/>
    <w:rsid w:val="0006525B"/>
    <w:rsid w:val="0006537C"/>
    <w:rsid w:val="00065A1D"/>
    <w:rsid w:val="00065FCA"/>
    <w:rsid w:val="00066206"/>
    <w:rsid w:val="0006719E"/>
    <w:rsid w:val="00067B05"/>
    <w:rsid w:val="00067FE8"/>
    <w:rsid w:val="00070414"/>
    <w:rsid w:val="0007134F"/>
    <w:rsid w:val="0007150B"/>
    <w:rsid w:val="00071D62"/>
    <w:rsid w:val="00071F55"/>
    <w:rsid w:val="0007207C"/>
    <w:rsid w:val="000729BD"/>
    <w:rsid w:val="0007487C"/>
    <w:rsid w:val="00074B41"/>
    <w:rsid w:val="00074D4C"/>
    <w:rsid w:val="00074FD7"/>
    <w:rsid w:val="00075155"/>
    <w:rsid w:val="000759F8"/>
    <w:rsid w:val="00075A72"/>
    <w:rsid w:val="00075D73"/>
    <w:rsid w:val="00075D95"/>
    <w:rsid w:val="00076860"/>
    <w:rsid w:val="0007706A"/>
    <w:rsid w:val="000774C8"/>
    <w:rsid w:val="00077A2F"/>
    <w:rsid w:val="000800A4"/>
    <w:rsid w:val="00080A31"/>
    <w:rsid w:val="000823BF"/>
    <w:rsid w:val="00082ACC"/>
    <w:rsid w:val="00082BC9"/>
    <w:rsid w:val="000833A9"/>
    <w:rsid w:val="00084462"/>
    <w:rsid w:val="0008477D"/>
    <w:rsid w:val="00084ACD"/>
    <w:rsid w:val="00084EBF"/>
    <w:rsid w:val="0008530F"/>
    <w:rsid w:val="00086177"/>
    <w:rsid w:val="00086558"/>
    <w:rsid w:val="0008684F"/>
    <w:rsid w:val="00086851"/>
    <w:rsid w:val="00090063"/>
    <w:rsid w:val="0009085C"/>
    <w:rsid w:val="000908D0"/>
    <w:rsid w:val="000911CA"/>
    <w:rsid w:val="00091887"/>
    <w:rsid w:val="00091920"/>
    <w:rsid w:val="000919B5"/>
    <w:rsid w:val="000938F5"/>
    <w:rsid w:val="00093906"/>
    <w:rsid w:val="000941F2"/>
    <w:rsid w:val="0009440D"/>
    <w:rsid w:val="00094C6B"/>
    <w:rsid w:val="00095F2B"/>
    <w:rsid w:val="00095FF3"/>
    <w:rsid w:val="00096B55"/>
    <w:rsid w:val="00096E65"/>
    <w:rsid w:val="00097A11"/>
    <w:rsid w:val="00097BAE"/>
    <w:rsid w:val="00097EA4"/>
    <w:rsid w:val="000A0435"/>
    <w:rsid w:val="000A0B46"/>
    <w:rsid w:val="000A1069"/>
    <w:rsid w:val="000A119F"/>
    <w:rsid w:val="000A2551"/>
    <w:rsid w:val="000A37A2"/>
    <w:rsid w:val="000A3D6D"/>
    <w:rsid w:val="000A47BE"/>
    <w:rsid w:val="000A4FAC"/>
    <w:rsid w:val="000A4FD1"/>
    <w:rsid w:val="000A5A3E"/>
    <w:rsid w:val="000A5BB0"/>
    <w:rsid w:val="000A66B9"/>
    <w:rsid w:val="000A68B2"/>
    <w:rsid w:val="000A6E88"/>
    <w:rsid w:val="000A7803"/>
    <w:rsid w:val="000A7E5C"/>
    <w:rsid w:val="000B0327"/>
    <w:rsid w:val="000B14E7"/>
    <w:rsid w:val="000B1698"/>
    <w:rsid w:val="000B1CF0"/>
    <w:rsid w:val="000B1F48"/>
    <w:rsid w:val="000B2DE5"/>
    <w:rsid w:val="000B357B"/>
    <w:rsid w:val="000B3F0F"/>
    <w:rsid w:val="000B3F49"/>
    <w:rsid w:val="000B4B81"/>
    <w:rsid w:val="000B4D02"/>
    <w:rsid w:val="000B5155"/>
    <w:rsid w:val="000B5B0F"/>
    <w:rsid w:val="000B5B58"/>
    <w:rsid w:val="000B5BA5"/>
    <w:rsid w:val="000B601B"/>
    <w:rsid w:val="000B6934"/>
    <w:rsid w:val="000B7439"/>
    <w:rsid w:val="000B7769"/>
    <w:rsid w:val="000C0197"/>
    <w:rsid w:val="000C033D"/>
    <w:rsid w:val="000C0AFC"/>
    <w:rsid w:val="000C0B77"/>
    <w:rsid w:val="000C1040"/>
    <w:rsid w:val="000C15EF"/>
    <w:rsid w:val="000C1D8F"/>
    <w:rsid w:val="000C207E"/>
    <w:rsid w:val="000C2125"/>
    <w:rsid w:val="000C2B5B"/>
    <w:rsid w:val="000C3045"/>
    <w:rsid w:val="000C32CA"/>
    <w:rsid w:val="000C3FBA"/>
    <w:rsid w:val="000C6283"/>
    <w:rsid w:val="000C7B66"/>
    <w:rsid w:val="000C7BF7"/>
    <w:rsid w:val="000D1243"/>
    <w:rsid w:val="000D1C9E"/>
    <w:rsid w:val="000D343C"/>
    <w:rsid w:val="000D3635"/>
    <w:rsid w:val="000D3B02"/>
    <w:rsid w:val="000D3B16"/>
    <w:rsid w:val="000D3D09"/>
    <w:rsid w:val="000D4226"/>
    <w:rsid w:val="000D4A13"/>
    <w:rsid w:val="000D4E9E"/>
    <w:rsid w:val="000D542A"/>
    <w:rsid w:val="000D546E"/>
    <w:rsid w:val="000D57DE"/>
    <w:rsid w:val="000D5A87"/>
    <w:rsid w:val="000D75F6"/>
    <w:rsid w:val="000D7C71"/>
    <w:rsid w:val="000D7CFB"/>
    <w:rsid w:val="000D7D76"/>
    <w:rsid w:val="000D7E3D"/>
    <w:rsid w:val="000E1226"/>
    <w:rsid w:val="000E122B"/>
    <w:rsid w:val="000E1E18"/>
    <w:rsid w:val="000E1F35"/>
    <w:rsid w:val="000E20BD"/>
    <w:rsid w:val="000E243B"/>
    <w:rsid w:val="000E26B4"/>
    <w:rsid w:val="000E2E5A"/>
    <w:rsid w:val="000E2FCF"/>
    <w:rsid w:val="000E31C6"/>
    <w:rsid w:val="000E3422"/>
    <w:rsid w:val="000E37D8"/>
    <w:rsid w:val="000E44F5"/>
    <w:rsid w:val="000E461F"/>
    <w:rsid w:val="000E4B5F"/>
    <w:rsid w:val="000E4BAE"/>
    <w:rsid w:val="000E5D27"/>
    <w:rsid w:val="000E6DB3"/>
    <w:rsid w:val="000E74B2"/>
    <w:rsid w:val="000E7F04"/>
    <w:rsid w:val="000F0A7C"/>
    <w:rsid w:val="000F0B93"/>
    <w:rsid w:val="000F0C3E"/>
    <w:rsid w:val="000F107A"/>
    <w:rsid w:val="000F2285"/>
    <w:rsid w:val="000F291F"/>
    <w:rsid w:val="000F318C"/>
    <w:rsid w:val="000F50FF"/>
    <w:rsid w:val="000F5594"/>
    <w:rsid w:val="000F55DA"/>
    <w:rsid w:val="000F57DB"/>
    <w:rsid w:val="000F60BE"/>
    <w:rsid w:val="000F648D"/>
    <w:rsid w:val="000F6D86"/>
    <w:rsid w:val="0010091D"/>
    <w:rsid w:val="00100BA6"/>
    <w:rsid w:val="00101311"/>
    <w:rsid w:val="00101588"/>
    <w:rsid w:val="00101C64"/>
    <w:rsid w:val="00102B75"/>
    <w:rsid w:val="00103DB7"/>
    <w:rsid w:val="00103E73"/>
    <w:rsid w:val="00104C7C"/>
    <w:rsid w:val="00104D38"/>
    <w:rsid w:val="00104E33"/>
    <w:rsid w:val="00105850"/>
    <w:rsid w:val="00105F13"/>
    <w:rsid w:val="001067EA"/>
    <w:rsid w:val="0010704F"/>
    <w:rsid w:val="001078A6"/>
    <w:rsid w:val="00110116"/>
    <w:rsid w:val="001103FE"/>
    <w:rsid w:val="001105BB"/>
    <w:rsid w:val="00110629"/>
    <w:rsid w:val="001106AF"/>
    <w:rsid w:val="001117A7"/>
    <w:rsid w:val="00111C1F"/>
    <w:rsid w:val="00111E3C"/>
    <w:rsid w:val="0011250D"/>
    <w:rsid w:val="001129B8"/>
    <w:rsid w:val="00112FA6"/>
    <w:rsid w:val="0011354B"/>
    <w:rsid w:val="001135FF"/>
    <w:rsid w:val="00113A7A"/>
    <w:rsid w:val="001150C4"/>
    <w:rsid w:val="00115709"/>
    <w:rsid w:val="00115711"/>
    <w:rsid w:val="001157EA"/>
    <w:rsid w:val="001161D1"/>
    <w:rsid w:val="001168D2"/>
    <w:rsid w:val="00117235"/>
    <w:rsid w:val="00117C43"/>
    <w:rsid w:val="00117D62"/>
    <w:rsid w:val="001200BE"/>
    <w:rsid w:val="001207EC"/>
    <w:rsid w:val="00120C14"/>
    <w:rsid w:val="00120EF1"/>
    <w:rsid w:val="00121CFF"/>
    <w:rsid w:val="00121E82"/>
    <w:rsid w:val="00121F3D"/>
    <w:rsid w:val="00122593"/>
    <w:rsid w:val="00122901"/>
    <w:rsid w:val="00122A7D"/>
    <w:rsid w:val="00122AEA"/>
    <w:rsid w:val="0012351B"/>
    <w:rsid w:val="001235BE"/>
    <w:rsid w:val="001237FF"/>
    <w:rsid w:val="001247FA"/>
    <w:rsid w:val="00125910"/>
    <w:rsid w:val="00125CA9"/>
    <w:rsid w:val="00125DCE"/>
    <w:rsid w:val="0012694B"/>
    <w:rsid w:val="00126EB8"/>
    <w:rsid w:val="001272FF"/>
    <w:rsid w:val="001300C5"/>
    <w:rsid w:val="00130FF0"/>
    <w:rsid w:val="001326DF"/>
    <w:rsid w:val="001329AD"/>
    <w:rsid w:val="00132EC0"/>
    <w:rsid w:val="00132F3F"/>
    <w:rsid w:val="00132F74"/>
    <w:rsid w:val="00132FAF"/>
    <w:rsid w:val="0013328B"/>
    <w:rsid w:val="001334F9"/>
    <w:rsid w:val="00135522"/>
    <w:rsid w:val="00135669"/>
    <w:rsid w:val="00135947"/>
    <w:rsid w:val="00135E8D"/>
    <w:rsid w:val="0013600C"/>
    <w:rsid w:val="00136018"/>
    <w:rsid w:val="001360B3"/>
    <w:rsid w:val="00136253"/>
    <w:rsid w:val="001363AA"/>
    <w:rsid w:val="00136794"/>
    <w:rsid w:val="00137201"/>
    <w:rsid w:val="001376C9"/>
    <w:rsid w:val="00140892"/>
    <w:rsid w:val="001411F2"/>
    <w:rsid w:val="00142DAB"/>
    <w:rsid w:val="001453E2"/>
    <w:rsid w:val="00145775"/>
    <w:rsid w:val="0014604A"/>
    <w:rsid w:val="00146420"/>
    <w:rsid w:val="00146A12"/>
    <w:rsid w:val="00146E06"/>
    <w:rsid w:val="00146F42"/>
    <w:rsid w:val="00147008"/>
    <w:rsid w:val="001471E0"/>
    <w:rsid w:val="00150258"/>
    <w:rsid w:val="001519CD"/>
    <w:rsid w:val="00151CAE"/>
    <w:rsid w:val="00152D3B"/>
    <w:rsid w:val="00152F1D"/>
    <w:rsid w:val="001531F3"/>
    <w:rsid w:val="001556A3"/>
    <w:rsid w:val="00156B2F"/>
    <w:rsid w:val="00156B99"/>
    <w:rsid w:val="00156CE6"/>
    <w:rsid w:val="00157617"/>
    <w:rsid w:val="00160678"/>
    <w:rsid w:val="001613E6"/>
    <w:rsid w:val="0016215C"/>
    <w:rsid w:val="00162301"/>
    <w:rsid w:val="00162FE4"/>
    <w:rsid w:val="001637CA"/>
    <w:rsid w:val="00163BE6"/>
    <w:rsid w:val="00163D14"/>
    <w:rsid w:val="001645FD"/>
    <w:rsid w:val="001654C3"/>
    <w:rsid w:val="00166EF0"/>
    <w:rsid w:val="001672A6"/>
    <w:rsid w:val="00167348"/>
    <w:rsid w:val="00167F45"/>
    <w:rsid w:val="00170DFF"/>
    <w:rsid w:val="00171322"/>
    <w:rsid w:val="00172B1D"/>
    <w:rsid w:val="00172FAD"/>
    <w:rsid w:val="00173388"/>
    <w:rsid w:val="00173BFE"/>
    <w:rsid w:val="001741BD"/>
    <w:rsid w:val="00174D6B"/>
    <w:rsid w:val="00175355"/>
    <w:rsid w:val="0017711C"/>
    <w:rsid w:val="00177BE6"/>
    <w:rsid w:val="0018062F"/>
    <w:rsid w:val="0018075B"/>
    <w:rsid w:val="0018075C"/>
    <w:rsid w:val="001807D6"/>
    <w:rsid w:val="00180880"/>
    <w:rsid w:val="00180F81"/>
    <w:rsid w:val="00181137"/>
    <w:rsid w:val="00181F1C"/>
    <w:rsid w:val="0018284C"/>
    <w:rsid w:val="00182CA1"/>
    <w:rsid w:val="001832CD"/>
    <w:rsid w:val="00183477"/>
    <w:rsid w:val="00183631"/>
    <w:rsid w:val="00183E82"/>
    <w:rsid w:val="001841CD"/>
    <w:rsid w:val="00184C8E"/>
    <w:rsid w:val="0018555C"/>
    <w:rsid w:val="0018670C"/>
    <w:rsid w:val="001867E3"/>
    <w:rsid w:val="00186C90"/>
    <w:rsid w:val="0018764B"/>
    <w:rsid w:val="00187730"/>
    <w:rsid w:val="00187D5B"/>
    <w:rsid w:val="00187DA7"/>
    <w:rsid w:val="0019035A"/>
    <w:rsid w:val="0019098C"/>
    <w:rsid w:val="00190C24"/>
    <w:rsid w:val="00191524"/>
    <w:rsid w:val="00191D30"/>
    <w:rsid w:val="001921C8"/>
    <w:rsid w:val="0019248A"/>
    <w:rsid w:val="00192855"/>
    <w:rsid w:val="0019293B"/>
    <w:rsid w:val="00192995"/>
    <w:rsid w:val="001944C4"/>
    <w:rsid w:val="0019496C"/>
    <w:rsid w:val="00194E16"/>
    <w:rsid w:val="00195B91"/>
    <w:rsid w:val="00196102"/>
    <w:rsid w:val="001966C3"/>
    <w:rsid w:val="001A06D9"/>
    <w:rsid w:val="001A2D12"/>
    <w:rsid w:val="001A4061"/>
    <w:rsid w:val="001A4509"/>
    <w:rsid w:val="001A5973"/>
    <w:rsid w:val="001A608F"/>
    <w:rsid w:val="001A7466"/>
    <w:rsid w:val="001A76B5"/>
    <w:rsid w:val="001A7FB5"/>
    <w:rsid w:val="001B083D"/>
    <w:rsid w:val="001B0DB0"/>
    <w:rsid w:val="001B168F"/>
    <w:rsid w:val="001B17CD"/>
    <w:rsid w:val="001B2327"/>
    <w:rsid w:val="001B3086"/>
    <w:rsid w:val="001B30A7"/>
    <w:rsid w:val="001B3A53"/>
    <w:rsid w:val="001B517B"/>
    <w:rsid w:val="001B5180"/>
    <w:rsid w:val="001B5296"/>
    <w:rsid w:val="001B52DE"/>
    <w:rsid w:val="001B5DBB"/>
    <w:rsid w:val="001B652D"/>
    <w:rsid w:val="001C0865"/>
    <w:rsid w:val="001C0CAA"/>
    <w:rsid w:val="001C163D"/>
    <w:rsid w:val="001C1C00"/>
    <w:rsid w:val="001C1C1F"/>
    <w:rsid w:val="001C3035"/>
    <w:rsid w:val="001C3884"/>
    <w:rsid w:val="001C3ABA"/>
    <w:rsid w:val="001C51A7"/>
    <w:rsid w:val="001C598B"/>
    <w:rsid w:val="001C6252"/>
    <w:rsid w:val="001C66B6"/>
    <w:rsid w:val="001C6BCF"/>
    <w:rsid w:val="001C6D8D"/>
    <w:rsid w:val="001C7146"/>
    <w:rsid w:val="001C7F5F"/>
    <w:rsid w:val="001D01B6"/>
    <w:rsid w:val="001D0607"/>
    <w:rsid w:val="001D0891"/>
    <w:rsid w:val="001D0AE1"/>
    <w:rsid w:val="001D0D99"/>
    <w:rsid w:val="001D0EF4"/>
    <w:rsid w:val="001D1298"/>
    <w:rsid w:val="001D1697"/>
    <w:rsid w:val="001D1705"/>
    <w:rsid w:val="001D194B"/>
    <w:rsid w:val="001D2075"/>
    <w:rsid w:val="001D2162"/>
    <w:rsid w:val="001D23B8"/>
    <w:rsid w:val="001D25C0"/>
    <w:rsid w:val="001D27E8"/>
    <w:rsid w:val="001D335E"/>
    <w:rsid w:val="001D3BBA"/>
    <w:rsid w:val="001D4F78"/>
    <w:rsid w:val="001D5A49"/>
    <w:rsid w:val="001D66ED"/>
    <w:rsid w:val="001D6716"/>
    <w:rsid w:val="001D77A2"/>
    <w:rsid w:val="001E14D0"/>
    <w:rsid w:val="001E17E5"/>
    <w:rsid w:val="001E20D1"/>
    <w:rsid w:val="001E36C2"/>
    <w:rsid w:val="001E469E"/>
    <w:rsid w:val="001E46C1"/>
    <w:rsid w:val="001E5124"/>
    <w:rsid w:val="001E57D6"/>
    <w:rsid w:val="001E600A"/>
    <w:rsid w:val="001E72ED"/>
    <w:rsid w:val="001E75DA"/>
    <w:rsid w:val="001E7BE8"/>
    <w:rsid w:val="001F0248"/>
    <w:rsid w:val="001F039D"/>
    <w:rsid w:val="001F07C9"/>
    <w:rsid w:val="001F1008"/>
    <w:rsid w:val="001F162C"/>
    <w:rsid w:val="001F16F8"/>
    <w:rsid w:val="001F209B"/>
    <w:rsid w:val="001F21E2"/>
    <w:rsid w:val="001F28F9"/>
    <w:rsid w:val="001F3275"/>
    <w:rsid w:val="001F327B"/>
    <w:rsid w:val="001F32E8"/>
    <w:rsid w:val="001F3B85"/>
    <w:rsid w:val="001F3C1D"/>
    <w:rsid w:val="001F3CDC"/>
    <w:rsid w:val="001F3DEC"/>
    <w:rsid w:val="001F3EB3"/>
    <w:rsid w:val="001F4366"/>
    <w:rsid w:val="001F538D"/>
    <w:rsid w:val="001F5C3C"/>
    <w:rsid w:val="001F5CAA"/>
    <w:rsid w:val="001F5FA1"/>
    <w:rsid w:val="001F5FFF"/>
    <w:rsid w:val="001F645E"/>
    <w:rsid w:val="001F6707"/>
    <w:rsid w:val="001F7263"/>
    <w:rsid w:val="001F75CD"/>
    <w:rsid w:val="001F7A09"/>
    <w:rsid w:val="00200ABA"/>
    <w:rsid w:val="0020122D"/>
    <w:rsid w:val="002021DF"/>
    <w:rsid w:val="00202737"/>
    <w:rsid w:val="00202C2C"/>
    <w:rsid w:val="00202FB8"/>
    <w:rsid w:val="002030E6"/>
    <w:rsid w:val="002031E9"/>
    <w:rsid w:val="002036EF"/>
    <w:rsid w:val="002037F4"/>
    <w:rsid w:val="0020399D"/>
    <w:rsid w:val="00203E3C"/>
    <w:rsid w:val="0020412E"/>
    <w:rsid w:val="002045E9"/>
    <w:rsid w:val="0020462F"/>
    <w:rsid w:val="00204BA4"/>
    <w:rsid w:val="00204DA7"/>
    <w:rsid w:val="00204E27"/>
    <w:rsid w:val="0020514B"/>
    <w:rsid w:val="00205A7E"/>
    <w:rsid w:val="0020603F"/>
    <w:rsid w:val="00206432"/>
    <w:rsid w:val="00206489"/>
    <w:rsid w:val="00206982"/>
    <w:rsid w:val="002074AD"/>
    <w:rsid w:val="00207643"/>
    <w:rsid w:val="00207A9F"/>
    <w:rsid w:val="00207E42"/>
    <w:rsid w:val="00207FD8"/>
    <w:rsid w:val="0021029E"/>
    <w:rsid w:val="0021084B"/>
    <w:rsid w:val="00210DC1"/>
    <w:rsid w:val="00211056"/>
    <w:rsid w:val="0021146E"/>
    <w:rsid w:val="00211855"/>
    <w:rsid w:val="00211869"/>
    <w:rsid w:val="00211A5D"/>
    <w:rsid w:val="00211AD4"/>
    <w:rsid w:val="00211AFA"/>
    <w:rsid w:val="0021210C"/>
    <w:rsid w:val="0021219C"/>
    <w:rsid w:val="0021309E"/>
    <w:rsid w:val="00213290"/>
    <w:rsid w:val="002133CB"/>
    <w:rsid w:val="00214103"/>
    <w:rsid w:val="00215023"/>
    <w:rsid w:val="002154E6"/>
    <w:rsid w:val="00215ACC"/>
    <w:rsid w:val="00216176"/>
    <w:rsid w:val="0021640D"/>
    <w:rsid w:val="00216F98"/>
    <w:rsid w:val="00220073"/>
    <w:rsid w:val="00220383"/>
    <w:rsid w:val="00220632"/>
    <w:rsid w:val="00220807"/>
    <w:rsid w:val="00220B39"/>
    <w:rsid w:val="00221608"/>
    <w:rsid w:val="002219BF"/>
    <w:rsid w:val="00222680"/>
    <w:rsid w:val="00223EB7"/>
    <w:rsid w:val="00224881"/>
    <w:rsid w:val="00224989"/>
    <w:rsid w:val="00225298"/>
    <w:rsid w:val="00225AAF"/>
    <w:rsid w:val="002264A9"/>
    <w:rsid w:val="00226604"/>
    <w:rsid w:val="00226FE1"/>
    <w:rsid w:val="00227044"/>
    <w:rsid w:val="00227B44"/>
    <w:rsid w:val="00231C57"/>
    <w:rsid w:val="002320F0"/>
    <w:rsid w:val="0023282F"/>
    <w:rsid w:val="00232831"/>
    <w:rsid w:val="002328DD"/>
    <w:rsid w:val="00232BA2"/>
    <w:rsid w:val="0023300C"/>
    <w:rsid w:val="0023322F"/>
    <w:rsid w:val="0023354F"/>
    <w:rsid w:val="00233585"/>
    <w:rsid w:val="0023391F"/>
    <w:rsid w:val="00233F08"/>
    <w:rsid w:val="00233F49"/>
    <w:rsid w:val="00234294"/>
    <w:rsid w:val="00234758"/>
    <w:rsid w:val="002351BD"/>
    <w:rsid w:val="002351C9"/>
    <w:rsid w:val="0023544D"/>
    <w:rsid w:val="0023546D"/>
    <w:rsid w:val="00235575"/>
    <w:rsid w:val="00236381"/>
    <w:rsid w:val="002369AE"/>
    <w:rsid w:val="00236B46"/>
    <w:rsid w:val="002372F6"/>
    <w:rsid w:val="002372F7"/>
    <w:rsid w:val="00237BA5"/>
    <w:rsid w:val="00237BB5"/>
    <w:rsid w:val="00237CDD"/>
    <w:rsid w:val="00237F1F"/>
    <w:rsid w:val="0024143C"/>
    <w:rsid w:val="00241BE5"/>
    <w:rsid w:val="00242279"/>
    <w:rsid w:val="00242374"/>
    <w:rsid w:val="002427CB"/>
    <w:rsid w:val="00242A21"/>
    <w:rsid w:val="00242FC5"/>
    <w:rsid w:val="002430C1"/>
    <w:rsid w:val="00243436"/>
    <w:rsid w:val="0024379B"/>
    <w:rsid w:val="00244030"/>
    <w:rsid w:val="00244C15"/>
    <w:rsid w:val="002458DA"/>
    <w:rsid w:val="00245C82"/>
    <w:rsid w:val="0024697C"/>
    <w:rsid w:val="00247706"/>
    <w:rsid w:val="00247E12"/>
    <w:rsid w:val="00250EA6"/>
    <w:rsid w:val="00251694"/>
    <w:rsid w:val="002528B0"/>
    <w:rsid w:val="002528E1"/>
    <w:rsid w:val="00252E5A"/>
    <w:rsid w:val="00254E67"/>
    <w:rsid w:val="0025531E"/>
    <w:rsid w:val="0025537C"/>
    <w:rsid w:val="00255708"/>
    <w:rsid w:val="00256683"/>
    <w:rsid w:val="00256696"/>
    <w:rsid w:val="0025758F"/>
    <w:rsid w:val="002609CA"/>
    <w:rsid w:val="00260F5A"/>
    <w:rsid w:val="0026131A"/>
    <w:rsid w:val="0026158B"/>
    <w:rsid w:val="00262186"/>
    <w:rsid w:val="00262204"/>
    <w:rsid w:val="00262256"/>
    <w:rsid w:val="00262B51"/>
    <w:rsid w:val="002635D2"/>
    <w:rsid w:val="00263E2C"/>
    <w:rsid w:val="00264AFE"/>
    <w:rsid w:val="002655DB"/>
    <w:rsid w:val="00265703"/>
    <w:rsid w:val="00265CD4"/>
    <w:rsid w:val="0026616E"/>
    <w:rsid w:val="0026616F"/>
    <w:rsid w:val="0026643B"/>
    <w:rsid w:val="0026649B"/>
    <w:rsid w:val="00267E16"/>
    <w:rsid w:val="0027041D"/>
    <w:rsid w:val="00271819"/>
    <w:rsid w:val="0027193E"/>
    <w:rsid w:val="00271FFE"/>
    <w:rsid w:val="00272057"/>
    <w:rsid w:val="00272C64"/>
    <w:rsid w:val="00273093"/>
    <w:rsid w:val="00274316"/>
    <w:rsid w:val="00274462"/>
    <w:rsid w:val="00274709"/>
    <w:rsid w:val="00274FBB"/>
    <w:rsid w:val="002752A8"/>
    <w:rsid w:val="0027531D"/>
    <w:rsid w:val="0027541D"/>
    <w:rsid w:val="00275DF7"/>
    <w:rsid w:val="0027671E"/>
    <w:rsid w:val="00276C04"/>
    <w:rsid w:val="0027711A"/>
    <w:rsid w:val="00280D80"/>
    <w:rsid w:val="0028123B"/>
    <w:rsid w:val="00281FC9"/>
    <w:rsid w:val="0028289D"/>
    <w:rsid w:val="00282BE7"/>
    <w:rsid w:val="00283C7D"/>
    <w:rsid w:val="00284A88"/>
    <w:rsid w:val="00284CE1"/>
    <w:rsid w:val="002851DE"/>
    <w:rsid w:val="002852CE"/>
    <w:rsid w:val="0028541A"/>
    <w:rsid w:val="00285AD1"/>
    <w:rsid w:val="00286E90"/>
    <w:rsid w:val="00287B92"/>
    <w:rsid w:val="002910D8"/>
    <w:rsid w:val="0029178F"/>
    <w:rsid w:val="00291B40"/>
    <w:rsid w:val="002925B8"/>
    <w:rsid w:val="00293876"/>
    <w:rsid w:val="00293916"/>
    <w:rsid w:val="00293E39"/>
    <w:rsid w:val="00293EB5"/>
    <w:rsid w:val="00293F46"/>
    <w:rsid w:val="00294335"/>
    <w:rsid w:val="002944C7"/>
    <w:rsid w:val="00294E01"/>
    <w:rsid w:val="00295313"/>
    <w:rsid w:val="00295577"/>
    <w:rsid w:val="00295DF9"/>
    <w:rsid w:val="00296741"/>
    <w:rsid w:val="00296CA6"/>
    <w:rsid w:val="00297476"/>
    <w:rsid w:val="002974CF"/>
    <w:rsid w:val="00297547"/>
    <w:rsid w:val="002979EE"/>
    <w:rsid w:val="002A054C"/>
    <w:rsid w:val="002A06F2"/>
    <w:rsid w:val="002A0B10"/>
    <w:rsid w:val="002A2668"/>
    <w:rsid w:val="002A342B"/>
    <w:rsid w:val="002A4132"/>
    <w:rsid w:val="002A47B5"/>
    <w:rsid w:val="002A4BDE"/>
    <w:rsid w:val="002A5AC3"/>
    <w:rsid w:val="002A5AD1"/>
    <w:rsid w:val="002A5B7E"/>
    <w:rsid w:val="002A66A9"/>
    <w:rsid w:val="002A6C4B"/>
    <w:rsid w:val="002A745A"/>
    <w:rsid w:val="002A7943"/>
    <w:rsid w:val="002B0C7A"/>
    <w:rsid w:val="002B0CD3"/>
    <w:rsid w:val="002B1126"/>
    <w:rsid w:val="002B12D1"/>
    <w:rsid w:val="002B1333"/>
    <w:rsid w:val="002B1B2A"/>
    <w:rsid w:val="002B1FFB"/>
    <w:rsid w:val="002B2F4F"/>
    <w:rsid w:val="002B4008"/>
    <w:rsid w:val="002B4D1B"/>
    <w:rsid w:val="002B4ECF"/>
    <w:rsid w:val="002B559C"/>
    <w:rsid w:val="002B5C7D"/>
    <w:rsid w:val="002B5FFD"/>
    <w:rsid w:val="002B6061"/>
    <w:rsid w:val="002B7961"/>
    <w:rsid w:val="002C01AB"/>
    <w:rsid w:val="002C04B7"/>
    <w:rsid w:val="002C07EB"/>
    <w:rsid w:val="002C0FFF"/>
    <w:rsid w:val="002C1010"/>
    <w:rsid w:val="002C15D6"/>
    <w:rsid w:val="002C1C10"/>
    <w:rsid w:val="002C1CA3"/>
    <w:rsid w:val="002C1E90"/>
    <w:rsid w:val="002C230B"/>
    <w:rsid w:val="002C2767"/>
    <w:rsid w:val="002C2D17"/>
    <w:rsid w:val="002C31FC"/>
    <w:rsid w:val="002C36AE"/>
    <w:rsid w:val="002C3E6A"/>
    <w:rsid w:val="002C44E6"/>
    <w:rsid w:val="002C49FF"/>
    <w:rsid w:val="002C566A"/>
    <w:rsid w:val="002C61AE"/>
    <w:rsid w:val="002C657F"/>
    <w:rsid w:val="002C793D"/>
    <w:rsid w:val="002C7D7A"/>
    <w:rsid w:val="002D0B9A"/>
    <w:rsid w:val="002D0C3F"/>
    <w:rsid w:val="002D0E8E"/>
    <w:rsid w:val="002D0FB4"/>
    <w:rsid w:val="002D1D0F"/>
    <w:rsid w:val="002D21F9"/>
    <w:rsid w:val="002D24D2"/>
    <w:rsid w:val="002D25CE"/>
    <w:rsid w:val="002D26B0"/>
    <w:rsid w:val="002D279D"/>
    <w:rsid w:val="002D2CE9"/>
    <w:rsid w:val="002D4982"/>
    <w:rsid w:val="002D54CD"/>
    <w:rsid w:val="002D55E7"/>
    <w:rsid w:val="002D5A95"/>
    <w:rsid w:val="002D6958"/>
    <w:rsid w:val="002D6F67"/>
    <w:rsid w:val="002D70EB"/>
    <w:rsid w:val="002D76AD"/>
    <w:rsid w:val="002D76FB"/>
    <w:rsid w:val="002D7724"/>
    <w:rsid w:val="002D7DD8"/>
    <w:rsid w:val="002D7F0D"/>
    <w:rsid w:val="002E09D6"/>
    <w:rsid w:val="002E0B1E"/>
    <w:rsid w:val="002E0DF7"/>
    <w:rsid w:val="002E18AC"/>
    <w:rsid w:val="002E1BB6"/>
    <w:rsid w:val="002E27F7"/>
    <w:rsid w:val="002E28EF"/>
    <w:rsid w:val="002E2A59"/>
    <w:rsid w:val="002E3392"/>
    <w:rsid w:val="002E39F9"/>
    <w:rsid w:val="002E436A"/>
    <w:rsid w:val="002E47EA"/>
    <w:rsid w:val="002E4EAA"/>
    <w:rsid w:val="002E5166"/>
    <w:rsid w:val="002E5499"/>
    <w:rsid w:val="002E6E06"/>
    <w:rsid w:val="002F044E"/>
    <w:rsid w:val="002F0E03"/>
    <w:rsid w:val="002F15AC"/>
    <w:rsid w:val="002F1E11"/>
    <w:rsid w:val="002F20BE"/>
    <w:rsid w:val="002F287D"/>
    <w:rsid w:val="002F2DBC"/>
    <w:rsid w:val="002F361A"/>
    <w:rsid w:val="002F3CE6"/>
    <w:rsid w:val="002F3F9B"/>
    <w:rsid w:val="002F605F"/>
    <w:rsid w:val="002F6710"/>
    <w:rsid w:val="002F6E9C"/>
    <w:rsid w:val="002F7952"/>
    <w:rsid w:val="0030031D"/>
    <w:rsid w:val="00301189"/>
    <w:rsid w:val="00301364"/>
    <w:rsid w:val="003022E1"/>
    <w:rsid w:val="0030346B"/>
    <w:rsid w:val="003036C0"/>
    <w:rsid w:val="00303A75"/>
    <w:rsid w:val="00303EE1"/>
    <w:rsid w:val="003043D5"/>
    <w:rsid w:val="003045D2"/>
    <w:rsid w:val="00305338"/>
    <w:rsid w:val="00305A90"/>
    <w:rsid w:val="00305E72"/>
    <w:rsid w:val="00305F88"/>
    <w:rsid w:val="003069CD"/>
    <w:rsid w:val="00307498"/>
    <w:rsid w:val="00310DE5"/>
    <w:rsid w:val="00312002"/>
    <w:rsid w:val="003126F3"/>
    <w:rsid w:val="0031282A"/>
    <w:rsid w:val="00313A58"/>
    <w:rsid w:val="00313B4D"/>
    <w:rsid w:val="00313ECA"/>
    <w:rsid w:val="003142F2"/>
    <w:rsid w:val="003150DC"/>
    <w:rsid w:val="00315D25"/>
    <w:rsid w:val="00316380"/>
    <w:rsid w:val="00317CEF"/>
    <w:rsid w:val="00320235"/>
    <w:rsid w:val="00320A51"/>
    <w:rsid w:val="00320F7D"/>
    <w:rsid w:val="003212EF"/>
    <w:rsid w:val="003214F1"/>
    <w:rsid w:val="003218B1"/>
    <w:rsid w:val="00321ED1"/>
    <w:rsid w:val="00322ACF"/>
    <w:rsid w:val="00322BBF"/>
    <w:rsid w:val="00322D69"/>
    <w:rsid w:val="00322E46"/>
    <w:rsid w:val="00322E76"/>
    <w:rsid w:val="00322E98"/>
    <w:rsid w:val="0032380E"/>
    <w:rsid w:val="00323CEC"/>
    <w:rsid w:val="00323E09"/>
    <w:rsid w:val="00323F08"/>
    <w:rsid w:val="0032420E"/>
    <w:rsid w:val="00324B22"/>
    <w:rsid w:val="003255AB"/>
    <w:rsid w:val="003255D7"/>
    <w:rsid w:val="00325C69"/>
    <w:rsid w:val="0032632B"/>
    <w:rsid w:val="003268BD"/>
    <w:rsid w:val="00326E59"/>
    <w:rsid w:val="003273B5"/>
    <w:rsid w:val="0033012C"/>
    <w:rsid w:val="00330BED"/>
    <w:rsid w:val="00330C4D"/>
    <w:rsid w:val="00331E80"/>
    <w:rsid w:val="00332CE5"/>
    <w:rsid w:val="00333932"/>
    <w:rsid w:val="0033465C"/>
    <w:rsid w:val="003349F0"/>
    <w:rsid w:val="00334AB8"/>
    <w:rsid w:val="00334C58"/>
    <w:rsid w:val="003356DE"/>
    <w:rsid w:val="003360BC"/>
    <w:rsid w:val="00336649"/>
    <w:rsid w:val="003371A4"/>
    <w:rsid w:val="003372A9"/>
    <w:rsid w:val="003374FD"/>
    <w:rsid w:val="003376ED"/>
    <w:rsid w:val="00337B6A"/>
    <w:rsid w:val="0034076B"/>
    <w:rsid w:val="00340A10"/>
    <w:rsid w:val="003417BB"/>
    <w:rsid w:val="00341F80"/>
    <w:rsid w:val="0034213C"/>
    <w:rsid w:val="003423EC"/>
    <w:rsid w:val="00342DBB"/>
    <w:rsid w:val="003433D6"/>
    <w:rsid w:val="003444E8"/>
    <w:rsid w:val="0034492D"/>
    <w:rsid w:val="0034627F"/>
    <w:rsid w:val="003464D0"/>
    <w:rsid w:val="00346788"/>
    <w:rsid w:val="00347523"/>
    <w:rsid w:val="003478E6"/>
    <w:rsid w:val="00350459"/>
    <w:rsid w:val="00350D3D"/>
    <w:rsid w:val="00350F0C"/>
    <w:rsid w:val="003518AA"/>
    <w:rsid w:val="0035209A"/>
    <w:rsid w:val="00352165"/>
    <w:rsid w:val="00352320"/>
    <w:rsid w:val="003523EB"/>
    <w:rsid w:val="00352DF5"/>
    <w:rsid w:val="00353182"/>
    <w:rsid w:val="00353CBF"/>
    <w:rsid w:val="0035455C"/>
    <w:rsid w:val="00354A1A"/>
    <w:rsid w:val="00355096"/>
    <w:rsid w:val="00355125"/>
    <w:rsid w:val="003558A2"/>
    <w:rsid w:val="00355E02"/>
    <w:rsid w:val="0035633A"/>
    <w:rsid w:val="003565D9"/>
    <w:rsid w:val="00356928"/>
    <w:rsid w:val="00356B39"/>
    <w:rsid w:val="00357597"/>
    <w:rsid w:val="003579BE"/>
    <w:rsid w:val="00357AAC"/>
    <w:rsid w:val="00357C60"/>
    <w:rsid w:val="00357E66"/>
    <w:rsid w:val="00357ED4"/>
    <w:rsid w:val="003602E1"/>
    <w:rsid w:val="003604F1"/>
    <w:rsid w:val="00360B02"/>
    <w:rsid w:val="00360B9E"/>
    <w:rsid w:val="003611BA"/>
    <w:rsid w:val="003614D2"/>
    <w:rsid w:val="003615F2"/>
    <w:rsid w:val="00361EC6"/>
    <w:rsid w:val="00362361"/>
    <w:rsid w:val="00363398"/>
    <w:rsid w:val="0036352C"/>
    <w:rsid w:val="00364023"/>
    <w:rsid w:val="00364082"/>
    <w:rsid w:val="003642D3"/>
    <w:rsid w:val="00364924"/>
    <w:rsid w:val="00366F9B"/>
    <w:rsid w:val="003670A4"/>
    <w:rsid w:val="0037026F"/>
    <w:rsid w:val="00370902"/>
    <w:rsid w:val="00370DB3"/>
    <w:rsid w:val="00371240"/>
    <w:rsid w:val="00371542"/>
    <w:rsid w:val="00371DCB"/>
    <w:rsid w:val="0037213A"/>
    <w:rsid w:val="00372A7F"/>
    <w:rsid w:val="00373502"/>
    <w:rsid w:val="00373DF9"/>
    <w:rsid w:val="0037414F"/>
    <w:rsid w:val="00374731"/>
    <w:rsid w:val="00374B98"/>
    <w:rsid w:val="00374E90"/>
    <w:rsid w:val="00374FDE"/>
    <w:rsid w:val="0037507E"/>
    <w:rsid w:val="00376098"/>
    <w:rsid w:val="00376759"/>
    <w:rsid w:val="00377037"/>
    <w:rsid w:val="00377599"/>
    <w:rsid w:val="0037769D"/>
    <w:rsid w:val="003779EC"/>
    <w:rsid w:val="00377E71"/>
    <w:rsid w:val="003811BB"/>
    <w:rsid w:val="003815EF"/>
    <w:rsid w:val="00381B42"/>
    <w:rsid w:val="00382F8F"/>
    <w:rsid w:val="003834EA"/>
    <w:rsid w:val="00383803"/>
    <w:rsid w:val="00384234"/>
    <w:rsid w:val="00384647"/>
    <w:rsid w:val="00384D24"/>
    <w:rsid w:val="00384D99"/>
    <w:rsid w:val="003862A5"/>
    <w:rsid w:val="0038660C"/>
    <w:rsid w:val="00387310"/>
    <w:rsid w:val="00387A86"/>
    <w:rsid w:val="00390329"/>
    <w:rsid w:val="00390F6B"/>
    <w:rsid w:val="003919F9"/>
    <w:rsid w:val="00392A40"/>
    <w:rsid w:val="00393A12"/>
    <w:rsid w:val="00393B3A"/>
    <w:rsid w:val="0039484D"/>
    <w:rsid w:val="003950CB"/>
    <w:rsid w:val="0039543D"/>
    <w:rsid w:val="003959CC"/>
    <w:rsid w:val="003966E4"/>
    <w:rsid w:val="003974E8"/>
    <w:rsid w:val="00397598"/>
    <w:rsid w:val="00397723"/>
    <w:rsid w:val="003978F0"/>
    <w:rsid w:val="003A1222"/>
    <w:rsid w:val="003A14FB"/>
    <w:rsid w:val="003A153B"/>
    <w:rsid w:val="003A18AD"/>
    <w:rsid w:val="003A2030"/>
    <w:rsid w:val="003A2310"/>
    <w:rsid w:val="003A2B11"/>
    <w:rsid w:val="003A2B36"/>
    <w:rsid w:val="003A4204"/>
    <w:rsid w:val="003A4655"/>
    <w:rsid w:val="003A46A0"/>
    <w:rsid w:val="003A4D2F"/>
    <w:rsid w:val="003A5117"/>
    <w:rsid w:val="003A598D"/>
    <w:rsid w:val="003A73C1"/>
    <w:rsid w:val="003A748C"/>
    <w:rsid w:val="003A75E2"/>
    <w:rsid w:val="003A77B5"/>
    <w:rsid w:val="003B0279"/>
    <w:rsid w:val="003B20A7"/>
    <w:rsid w:val="003B2619"/>
    <w:rsid w:val="003B2769"/>
    <w:rsid w:val="003B3B19"/>
    <w:rsid w:val="003B3B45"/>
    <w:rsid w:val="003B3EED"/>
    <w:rsid w:val="003B3F75"/>
    <w:rsid w:val="003B4395"/>
    <w:rsid w:val="003B45D8"/>
    <w:rsid w:val="003B65D2"/>
    <w:rsid w:val="003B6B34"/>
    <w:rsid w:val="003B6C4B"/>
    <w:rsid w:val="003B77EA"/>
    <w:rsid w:val="003C00BE"/>
    <w:rsid w:val="003C06F0"/>
    <w:rsid w:val="003C0D4D"/>
    <w:rsid w:val="003C1AF6"/>
    <w:rsid w:val="003C1C03"/>
    <w:rsid w:val="003C2923"/>
    <w:rsid w:val="003C38B5"/>
    <w:rsid w:val="003C39D0"/>
    <w:rsid w:val="003C3D62"/>
    <w:rsid w:val="003C4A28"/>
    <w:rsid w:val="003C5AED"/>
    <w:rsid w:val="003C5D99"/>
    <w:rsid w:val="003C5DA7"/>
    <w:rsid w:val="003C5E08"/>
    <w:rsid w:val="003C607B"/>
    <w:rsid w:val="003C6A19"/>
    <w:rsid w:val="003C6C11"/>
    <w:rsid w:val="003C7337"/>
    <w:rsid w:val="003C7A26"/>
    <w:rsid w:val="003D16CD"/>
    <w:rsid w:val="003D1DE2"/>
    <w:rsid w:val="003D2BCA"/>
    <w:rsid w:val="003D2BD2"/>
    <w:rsid w:val="003D3382"/>
    <w:rsid w:val="003D3C33"/>
    <w:rsid w:val="003D3CC1"/>
    <w:rsid w:val="003D40DE"/>
    <w:rsid w:val="003D4142"/>
    <w:rsid w:val="003D415A"/>
    <w:rsid w:val="003D42CB"/>
    <w:rsid w:val="003D4546"/>
    <w:rsid w:val="003D5FCE"/>
    <w:rsid w:val="003D6020"/>
    <w:rsid w:val="003D6ACF"/>
    <w:rsid w:val="003D6E5C"/>
    <w:rsid w:val="003D71FB"/>
    <w:rsid w:val="003D7899"/>
    <w:rsid w:val="003D7E60"/>
    <w:rsid w:val="003E0381"/>
    <w:rsid w:val="003E0413"/>
    <w:rsid w:val="003E181E"/>
    <w:rsid w:val="003E184D"/>
    <w:rsid w:val="003E1F26"/>
    <w:rsid w:val="003E205C"/>
    <w:rsid w:val="003E351C"/>
    <w:rsid w:val="003E3947"/>
    <w:rsid w:val="003E3DB5"/>
    <w:rsid w:val="003E41AF"/>
    <w:rsid w:val="003E5EAB"/>
    <w:rsid w:val="003E63F1"/>
    <w:rsid w:val="003E6437"/>
    <w:rsid w:val="003E74A7"/>
    <w:rsid w:val="003F03A3"/>
    <w:rsid w:val="003F0789"/>
    <w:rsid w:val="003F10C1"/>
    <w:rsid w:val="003F1C4C"/>
    <w:rsid w:val="003F1DD7"/>
    <w:rsid w:val="003F24D5"/>
    <w:rsid w:val="003F28E2"/>
    <w:rsid w:val="003F2F78"/>
    <w:rsid w:val="003F2F80"/>
    <w:rsid w:val="003F33F4"/>
    <w:rsid w:val="003F3F31"/>
    <w:rsid w:val="003F3F61"/>
    <w:rsid w:val="003F4A5F"/>
    <w:rsid w:val="003F4EB0"/>
    <w:rsid w:val="003F4F22"/>
    <w:rsid w:val="003F5381"/>
    <w:rsid w:val="003F5B0E"/>
    <w:rsid w:val="003F6DDC"/>
    <w:rsid w:val="003F77F9"/>
    <w:rsid w:val="003F7AFA"/>
    <w:rsid w:val="004007FD"/>
    <w:rsid w:val="00400CDC"/>
    <w:rsid w:val="00401310"/>
    <w:rsid w:val="0040132A"/>
    <w:rsid w:val="0040141C"/>
    <w:rsid w:val="00401656"/>
    <w:rsid w:val="00401882"/>
    <w:rsid w:val="004018C2"/>
    <w:rsid w:val="00401B9B"/>
    <w:rsid w:val="00402094"/>
    <w:rsid w:val="004027C5"/>
    <w:rsid w:val="00403446"/>
    <w:rsid w:val="00404280"/>
    <w:rsid w:val="004044C4"/>
    <w:rsid w:val="004049B5"/>
    <w:rsid w:val="00404A40"/>
    <w:rsid w:val="00404BD8"/>
    <w:rsid w:val="00404DE3"/>
    <w:rsid w:val="0040535F"/>
    <w:rsid w:val="004073F5"/>
    <w:rsid w:val="00407E0F"/>
    <w:rsid w:val="004100C8"/>
    <w:rsid w:val="004103AA"/>
    <w:rsid w:val="004109B7"/>
    <w:rsid w:val="00410A19"/>
    <w:rsid w:val="004110D1"/>
    <w:rsid w:val="00411130"/>
    <w:rsid w:val="0041255C"/>
    <w:rsid w:val="00412ACE"/>
    <w:rsid w:val="00412D9B"/>
    <w:rsid w:val="00413401"/>
    <w:rsid w:val="0041388D"/>
    <w:rsid w:val="00413F23"/>
    <w:rsid w:val="00416974"/>
    <w:rsid w:val="00416E56"/>
    <w:rsid w:val="00416E5F"/>
    <w:rsid w:val="00417B08"/>
    <w:rsid w:val="00417B5D"/>
    <w:rsid w:val="00417F47"/>
    <w:rsid w:val="0042006A"/>
    <w:rsid w:val="00420531"/>
    <w:rsid w:val="00420A92"/>
    <w:rsid w:val="00421661"/>
    <w:rsid w:val="00421A7B"/>
    <w:rsid w:val="00421B56"/>
    <w:rsid w:val="004226DA"/>
    <w:rsid w:val="00422760"/>
    <w:rsid w:val="0042318F"/>
    <w:rsid w:val="00424B9A"/>
    <w:rsid w:val="00425D1D"/>
    <w:rsid w:val="00426CD9"/>
    <w:rsid w:val="00427483"/>
    <w:rsid w:val="00427A45"/>
    <w:rsid w:val="00427C63"/>
    <w:rsid w:val="0043015D"/>
    <w:rsid w:val="0043045A"/>
    <w:rsid w:val="00430B1E"/>
    <w:rsid w:val="00430F1B"/>
    <w:rsid w:val="00431249"/>
    <w:rsid w:val="0043132A"/>
    <w:rsid w:val="00431D1A"/>
    <w:rsid w:val="004335EA"/>
    <w:rsid w:val="00434C19"/>
    <w:rsid w:val="004355D3"/>
    <w:rsid w:val="004356A8"/>
    <w:rsid w:val="00435808"/>
    <w:rsid w:val="00435952"/>
    <w:rsid w:val="00436117"/>
    <w:rsid w:val="00436A86"/>
    <w:rsid w:val="00437260"/>
    <w:rsid w:val="00437334"/>
    <w:rsid w:val="004374E6"/>
    <w:rsid w:val="004374F4"/>
    <w:rsid w:val="004376D7"/>
    <w:rsid w:val="00437A4C"/>
    <w:rsid w:val="004403FC"/>
    <w:rsid w:val="00440949"/>
    <w:rsid w:val="00440B56"/>
    <w:rsid w:val="00440CBD"/>
    <w:rsid w:val="00441689"/>
    <w:rsid w:val="00442F95"/>
    <w:rsid w:val="00443450"/>
    <w:rsid w:val="00443DE7"/>
    <w:rsid w:val="0044409F"/>
    <w:rsid w:val="00444846"/>
    <w:rsid w:val="00444A91"/>
    <w:rsid w:val="00444AA9"/>
    <w:rsid w:val="004453D6"/>
    <w:rsid w:val="00445981"/>
    <w:rsid w:val="00445AE6"/>
    <w:rsid w:val="00445ED0"/>
    <w:rsid w:val="00445F6C"/>
    <w:rsid w:val="00445FBD"/>
    <w:rsid w:val="00446A64"/>
    <w:rsid w:val="00446AEE"/>
    <w:rsid w:val="0044704A"/>
    <w:rsid w:val="0044732E"/>
    <w:rsid w:val="00447588"/>
    <w:rsid w:val="004504AD"/>
    <w:rsid w:val="00450810"/>
    <w:rsid w:val="00451B72"/>
    <w:rsid w:val="0045215F"/>
    <w:rsid w:val="004524B6"/>
    <w:rsid w:val="00452754"/>
    <w:rsid w:val="00452FC7"/>
    <w:rsid w:val="00453366"/>
    <w:rsid w:val="00454022"/>
    <w:rsid w:val="004542DB"/>
    <w:rsid w:val="00454804"/>
    <w:rsid w:val="00455331"/>
    <w:rsid w:val="00455457"/>
    <w:rsid w:val="00455CDF"/>
    <w:rsid w:val="004567B1"/>
    <w:rsid w:val="004567BF"/>
    <w:rsid w:val="00456D3A"/>
    <w:rsid w:val="00456E81"/>
    <w:rsid w:val="00456FAA"/>
    <w:rsid w:val="004570C9"/>
    <w:rsid w:val="00457722"/>
    <w:rsid w:val="00457FF3"/>
    <w:rsid w:val="004605A5"/>
    <w:rsid w:val="00461829"/>
    <w:rsid w:val="00461906"/>
    <w:rsid w:val="00461A2E"/>
    <w:rsid w:val="00461BA7"/>
    <w:rsid w:val="004627CF"/>
    <w:rsid w:val="0046281C"/>
    <w:rsid w:val="0046373F"/>
    <w:rsid w:val="00464520"/>
    <w:rsid w:val="00464F0D"/>
    <w:rsid w:val="00465126"/>
    <w:rsid w:val="00465D82"/>
    <w:rsid w:val="00465EA3"/>
    <w:rsid w:val="00465F2F"/>
    <w:rsid w:val="00467257"/>
    <w:rsid w:val="0046779D"/>
    <w:rsid w:val="00467A16"/>
    <w:rsid w:val="00470702"/>
    <w:rsid w:val="00470D9C"/>
    <w:rsid w:val="00471964"/>
    <w:rsid w:val="00471B0D"/>
    <w:rsid w:val="00471D68"/>
    <w:rsid w:val="00471E5D"/>
    <w:rsid w:val="0047277A"/>
    <w:rsid w:val="00472EE5"/>
    <w:rsid w:val="00472F67"/>
    <w:rsid w:val="00473391"/>
    <w:rsid w:val="00473575"/>
    <w:rsid w:val="00474993"/>
    <w:rsid w:val="004749BB"/>
    <w:rsid w:val="00475A96"/>
    <w:rsid w:val="00475DDC"/>
    <w:rsid w:val="004762D9"/>
    <w:rsid w:val="00476780"/>
    <w:rsid w:val="00476EAD"/>
    <w:rsid w:val="00476F5E"/>
    <w:rsid w:val="00477144"/>
    <w:rsid w:val="00477189"/>
    <w:rsid w:val="004775F4"/>
    <w:rsid w:val="00477C9C"/>
    <w:rsid w:val="004804D7"/>
    <w:rsid w:val="004811EF"/>
    <w:rsid w:val="00481281"/>
    <w:rsid w:val="00481593"/>
    <w:rsid w:val="00481628"/>
    <w:rsid w:val="00481822"/>
    <w:rsid w:val="00481997"/>
    <w:rsid w:val="00481C55"/>
    <w:rsid w:val="00482BE4"/>
    <w:rsid w:val="00482E1B"/>
    <w:rsid w:val="00483A65"/>
    <w:rsid w:val="00483B2D"/>
    <w:rsid w:val="004849C2"/>
    <w:rsid w:val="00484C5A"/>
    <w:rsid w:val="00484DBC"/>
    <w:rsid w:val="00485318"/>
    <w:rsid w:val="00485596"/>
    <w:rsid w:val="0048676C"/>
    <w:rsid w:val="004868E6"/>
    <w:rsid w:val="00486E18"/>
    <w:rsid w:val="00487204"/>
    <w:rsid w:val="004872C8"/>
    <w:rsid w:val="004906B8"/>
    <w:rsid w:val="00490870"/>
    <w:rsid w:val="00491148"/>
    <w:rsid w:val="00491C0C"/>
    <w:rsid w:val="004922C6"/>
    <w:rsid w:val="00492827"/>
    <w:rsid w:val="0049309A"/>
    <w:rsid w:val="00493B8F"/>
    <w:rsid w:val="00493D82"/>
    <w:rsid w:val="00493E2F"/>
    <w:rsid w:val="004941EE"/>
    <w:rsid w:val="0049459F"/>
    <w:rsid w:val="00494A3B"/>
    <w:rsid w:val="0049503F"/>
    <w:rsid w:val="004955B0"/>
    <w:rsid w:val="00495742"/>
    <w:rsid w:val="00495B81"/>
    <w:rsid w:val="00495F7E"/>
    <w:rsid w:val="00496087"/>
    <w:rsid w:val="0049645A"/>
    <w:rsid w:val="00497F72"/>
    <w:rsid w:val="004A017E"/>
    <w:rsid w:val="004A0698"/>
    <w:rsid w:val="004A19AE"/>
    <w:rsid w:val="004A24EB"/>
    <w:rsid w:val="004A38DD"/>
    <w:rsid w:val="004A3AD1"/>
    <w:rsid w:val="004A53A4"/>
    <w:rsid w:val="004A565B"/>
    <w:rsid w:val="004A5703"/>
    <w:rsid w:val="004A5706"/>
    <w:rsid w:val="004A5B87"/>
    <w:rsid w:val="004A63E1"/>
    <w:rsid w:val="004A69CB"/>
    <w:rsid w:val="004A6C9E"/>
    <w:rsid w:val="004A720C"/>
    <w:rsid w:val="004A76B8"/>
    <w:rsid w:val="004A7D28"/>
    <w:rsid w:val="004B0A99"/>
    <w:rsid w:val="004B1179"/>
    <w:rsid w:val="004B2E84"/>
    <w:rsid w:val="004B2EB3"/>
    <w:rsid w:val="004B352A"/>
    <w:rsid w:val="004B35D5"/>
    <w:rsid w:val="004B38A7"/>
    <w:rsid w:val="004B3F50"/>
    <w:rsid w:val="004B4204"/>
    <w:rsid w:val="004B43AE"/>
    <w:rsid w:val="004B465D"/>
    <w:rsid w:val="004B54DF"/>
    <w:rsid w:val="004B54ED"/>
    <w:rsid w:val="004B5E31"/>
    <w:rsid w:val="004B62D0"/>
    <w:rsid w:val="004B6385"/>
    <w:rsid w:val="004B6ACE"/>
    <w:rsid w:val="004B6EDD"/>
    <w:rsid w:val="004B75F5"/>
    <w:rsid w:val="004C04C8"/>
    <w:rsid w:val="004C0A1B"/>
    <w:rsid w:val="004C0A2B"/>
    <w:rsid w:val="004C10CE"/>
    <w:rsid w:val="004C1391"/>
    <w:rsid w:val="004C18FC"/>
    <w:rsid w:val="004C2519"/>
    <w:rsid w:val="004C2744"/>
    <w:rsid w:val="004C2883"/>
    <w:rsid w:val="004C2E58"/>
    <w:rsid w:val="004C30ED"/>
    <w:rsid w:val="004C32D0"/>
    <w:rsid w:val="004C3F3C"/>
    <w:rsid w:val="004C51AD"/>
    <w:rsid w:val="004C59E3"/>
    <w:rsid w:val="004C63B4"/>
    <w:rsid w:val="004D015B"/>
    <w:rsid w:val="004D03F3"/>
    <w:rsid w:val="004D0401"/>
    <w:rsid w:val="004D06A6"/>
    <w:rsid w:val="004D1C5D"/>
    <w:rsid w:val="004D1F83"/>
    <w:rsid w:val="004D2B70"/>
    <w:rsid w:val="004D2C66"/>
    <w:rsid w:val="004D2DD7"/>
    <w:rsid w:val="004D346D"/>
    <w:rsid w:val="004D3505"/>
    <w:rsid w:val="004D4D8B"/>
    <w:rsid w:val="004D5304"/>
    <w:rsid w:val="004D5375"/>
    <w:rsid w:val="004D5675"/>
    <w:rsid w:val="004D581B"/>
    <w:rsid w:val="004D59DF"/>
    <w:rsid w:val="004D5AE3"/>
    <w:rsid w:val="004D641F"/>
    <w:rsid w:val="004D6D6C"/>
    <w:rsid w:val="004E0B43"/>
    <w:rsid w:val="004E0E84"/>
    <w:rsid w:val="004E1AB3"/>
    <w:rsid w:val="004E24B3"/>
    <w:rsid w:val="004E2E80"/>
    <w:rsid w:val="004E3C8F"/>
    <w:rsid w:val="004E43BC"/>
    <w:rsid w:val="004E45E6"/>
    <w:rsid w:val="004E4A2D"/>
    <w:rsid w:val="004E5539"/>
    <w:rsid w:val="004E59F7"/>
    <w:rsid w:val="004E5E3D"/>
    <w:rsid w:val="004E6891"/>
    <w:rsid w:val="004E767D"/>
    <w:rsid w:val="004E767E"/>
    <w:rsid w:val="004E79BB"/>
    <w:rsid w:val="004E7DA1"/>
    <w:rsid w:val="004F02D9"/>
    <w:rsid w:val="004F0614"/>
    <w:rsid w:val="004F0C07"/>
    <w:rsid w:val="004F0D29"/>
    <w:rsid w:val="004F1152"/>
    <w:rsid w:val="004F1239"/>
    <w:rsid w:val="004F18C3"/>
    <w:rsid w:val="004F1AB2"/>
    <w:rsid w:val="004F1DFC"/>
    <w:rsid w:val="004F2277"/>
    <w:rsid w:val="004F235E"/>
    <w:rsid w:val="004F403B"/>
    <w:rsid w:val="004F48EE"/>
    <w:rsid w:val="004F4BF7"/>
    <w:rsid w:val="004F58B0"/>
    <w:rsid w:val="004F659E"/>
    <w:rsid w:val="004F6D01"/>
    <w:rsid w:val="0050059A"/>
    <w:rsid w:val="00501114"/>
    <w:rsid w:val="005017B2"/>
    <w:rsid w:val="00501B9E"/>
    <w:rsid w:val="00501FFC"/>
    <w:rsid w:val="00502E22"/>
    <w:rsid w:val="00502F32"/>
    <w:rsid w:val="00503437"/>
    <w:rsid w:val="005037AB"/>
    <w:rsid w:val="00505323"/>
    <w:rsid w:val="00506BBE"/>
    <w:rsid w:val="0050736D"/>
    <w:rsid w:val="00507392"/>
    <w:rsid w:val="0050771A"/>
    <w:rsid w:val="005077FD"/>
    <w:rsid w:val="00507CED"/>
    <w:rsid w:val="00510F7B"/>
    <w:rsid w:val="0051115F"/>
    <w:rsid w:val="00511266"/>
    <w:rsid w:val="00512125"/>
    <w:rsid w:val="005122BE"/>
    <w:rsid w:val="005128C7"/>
    <w:rsid w:val="00512E57"/>
    <w:rsid w:val="00512F32"/>
    <w:rsid w:val="0051329F"/>
    <w:rsid w:val="00513929"/>
    <w:rsid w:val="00513CB7"/>
    <w:rsid w:val="00513D2D"/>
    <w:rsid w:val="00513EA2"/>
    <w:rsid w:val="00513F97"/>
    <w:rsid w:val="00513FEC"/>
    <w:rsid w:val="0051466E"/>
    <w:rsid w:val="0051612B"/>
    <w:rsid w:val="005173C3"/>
    <w:rsid w:val="005178EF"/>
    <w:rsid w:val="0052006C"/>
    <w:rsid w:val="00520BC8"/>
    <w:rsid w:val="00521636"/>
    <w:rsid w:val="005217FF"/>
    <w:rsid w:val="00522044"/>
    <w:rsid w:val="005222B2"/>
    <w:rsid w:val="00522613"/>
    <w:rsid w:val="00522B06"/>
    <w:rsid w:val="00522C8C"/>
    <w:rsid w:val="0052300C"/>
    <w:rsid w:val="005231A7"/>
    <w:rsid w:val="0052344D"/>
    <w:rsid w:val="00523639"/>
    <w:rsid w:val="00523B82"/>
    <w:rsid w:val="00524826"/>
    <w:rsid w:val="00524876"/>
    <w:rsid w:val="00524C9A"/>
    <w:rsid w:val="005255ED"/>
    <w:rsid w:val="005272D6"/>
    <w:rsid w:val="00527316"/>
    <w:rsid w:val="00530243"/>
    <w:rsid w:val="00530307"/>
    <w:rsid w:val="005309B5"/>
    <w:rsid w:val="00532BCD"/>
    <w:rsid w:val="00532F15"/>
    <w:rsid w:val="005331CA"/>
    <w:rsid w:val="005336EB"/>
    <w:rsid w:val="00533C81"/>
    <w:rsid w:val="00533F8E"/>
    <w:rsid w:val="0053432F"/>
    <w:rsid w:val="00534408"/>
    <w:rsid w:val="005344A2"/>
    <w:rsid w:val="00534C4F"/>
    <w:rsid w:val="00534DA9"/>
    <w:rsid w:val="00534DC8"/>
    <w:rsid w:val="00535EF0"/>
    <w:rsid w:val="005368E5"/>
    <w:rsid w:val="005369E9"/>
    <w:rsid w:val="00536B23"/>
    <w:rsid w:val="00536B79"/>
    <w:rsid w:val="00537394"/>
    <w:rsid w:val="00540379"/>
    <w:rsid w:val="00540773"/>
    <w:rsid w:val="00540A71"/>
    <w:rsid w:val="00540F80"/>
    <w:rsid w:val="0054116B"/>
    <w:rsid w:val="0054148B"/>
    <w:rsid w:val="00541D20"/>
    <w:rsid w:val="00541F4A"/>
    <w:rsid w:val="005421D8"/>
    <w:rsid w:val="00542636"/>
    <w:rsid w:val="00542D05"/>
    <w:rsid w:val="0054307B"/>
    <w:rsid w:val="005434B9"/>
    <w:rsid w:val="0054360C"/>
    <w:rsid w:val="00543ABB"/>
    <w:rsid w:val="00543C89"/>
    <w:rsid w:val="0054436E"/>
    <w:rsid w:val="0054683B"/>
    <w:rsid w:val="005468AF"/>
    <w:rsid w:val="005468D2"/>
    <w:rsid w:val="00546A6C"/>
    <w:rsid w:val="00547A34"/>
    <w:rsid w:val="00547D31"/>
    <w:rsid w:val="00551054"/>
    <w:rsid w:val="00551319"/>
    <w:rsid w:val="00552027"/>
    <w:rsid w:val="005529ED"/>
    <w:rsid w:val="00552EDF"/>
    <w:rsid w:val="0055363C"/>
    <w:rsid w:val="0055371F"/>
    <w:rsid w:val="00553753"/>
    <w:rsid w:val="0055527E"/>
    <w:rsid w:val="00555738"/>
    <w:rsid w:val="005565DA"/>
    <w:rsid w:val="00556F31"/>
    <w:rsid w:val="0055763E"/>
    <w:rsid w:val="00557D80"/>
    <w:rsid w:val="005601C3"/>
    <w:rsid w:val="00560424"/>
    <w:rsid w:val="005619F9"/>
    <w:rsid w:val="005626EA"/>
    <w:rsid w:val="005638CE"/>
    <w:rsid w:val="005646A5"/>
    <w:rsid w:val="0056477B"/>
    <w:rsid w:val="00565088"/>
    <w:rsid w:val="005656ED"/>
    <w:rsid w:val="0056604A"/>
    <w:rsid w:val="00567F41"/>
    <w:rsid w:val="0057103D"/>
    <w:rsid w:val="005710B6"/>
    <w:rsid w:val="00571DC1"/>
    <w:rsid w:val="00573A97"/>
    <w:rsid w:val="00573C59"/>
    <w:rsid w:val="00573D30"/>
    <w:rsid w:val="00574666"/>
    <w:rsid w:val="00574A3D"/>
    <w:rsid w:val="00574C8D"/>
    <w:rsid w:val="00574F9E"/>
    <w:rsid w:val="00575C9F"/>
    <w:rsid w:val="005761AE"/>
    <w:rsid w:val="0057676D"/>
    <w:rsid w:val="005778B5"/>
    <w:rsid w:val="00577DF9"/>
    <w:rsid w:val="0058023A"/>
    <w:rsid w:val="0058090E"/>
    <w:rsid w:val="00580F93"/>
    <w:rsid w:val="005817B4"/>
    <w:rsid w:val="00581B6C"/>
    <w:rsid w:val="00581EFF"/>
    <w:rsid w:val="00582123"/>
    <w:rsid w:val="00582233"/>
    <w:rsid w:val="00582329"/>
    <w:rsid w:val="005830D7"/>
    <w:rsid w:val="0058351C"/>
    <w:rsid w:val="005839BA"/>
    <w:rsid w:val="00583B0B"/>
    <w:rsid w:val="00583C39"/>
    <w:rsid w:val="0058454F"/>
    <w:rsid w:val="00585297"/>
    <w:rsid w:val="00585525"/>
    <w:rsid w:val="00585A1B"/>
    <w:rsid w:val="00585AB7"/>
    <w:rsid w:val="00585D30"/>
    <w:rsid w:val="0058635F"/>
    <w:rsid w:val="00586904"/>
    <w:rsid w:val="0059019B"/>
    <w:rsid w:val="005907FF"/>
    <w:rsid w:val="00590991"/>
    <w:rsid w:val="005909A4"/>
    <w:rsid w:val="005909CF"/>
    <w:rsid w:val="00590AC1"/>
    <w:rsid w:val="00591ABF"/>
    <w:rsid w:val="00591E71"/>
    <w:rsid w:val="00592225"/>
    <w:rsid w:val="005924DC"/>
    <w:rsid w:val="00592646"/>
    <w:rsid w:val="00592C20"/>
    <w:rsid w:val="00594E5C"/>
    <w:rsid w:val="00595784"/>
    <w:rsid w:val="00597559"/>
    <w:rsid w:val="005977CA"/>
    <w:rsid w:val="00597903"/>
    <w:rsid w:val="00597E1D"/>
    <w:rsid w:val="005A0B30"/>
    <w:rsid w:val="005A0D41"/>
    <w:rsid w:val="005A0DE4"/>
    <w:rsid w:val="005A10C6"/>
    <w:rsid w:val="005A1715"/>
    <w:rsid w:val="005A1B0A"/>
    <w:rsid w:val="005A1F02"/>
    <w:rsid w:val="005A20A3"/>
    <w:rsid w:val="005A222F"/>
    <w:rsid w:val="005A2385"/>
    <w:rsid w:val="005A3396"/>
    <w:rsid w:val="005A4849"/>
    <w:rsid w:val="005A4E45"/>
    <w:rsid w:val="005A6F68"/>
    <w:rsid w:val="005A7EE9"/>
    <w:rsid w:val="005B105A"/>
    <w:rsid w:val="005B1BEC"/>
    <w:rsid w:val="005B3DF2"/>
    <w:rsid w:val="005B40D3"/>
    <w:rsid w:val="005B41F1"/>
    <w:rsid w:val="005B5D52"/>
    <w:rsid w:val="005B61FC"/>
    <w:rsid w:val="005B621A"/>
    <w:rsid w:val="005C08FC"/>
    <w:rsid w:val="005C0C11"/>
    <w:rsid w:val="005C0DBA"/>
    <w:rsid w:val="005C1553"/>
    <w:rsid w:val="005C15C0"/>
    <w:rsid w:val="005C1758"/>
    <w:rsid w:val="005C19D2"/>
    <w:rsid w:val="005C1D60"/>
    <w:rsid w:val="005C21AE"/>
    <w:rsid w:val="005C23BD"/>
    <w:rsid w:val="005C2782"/>
    <w:rsid w:val="005C281E"/>
    <w:rsid w:val="005C2B35"/>
    <w:rsid w:val="005C2D5B"/>
    <w:rsid w:val="005C31D8"/>
    <w:rsid w:val="005C32FD"/>
    <w:rsid w:val="005C3C76"/>
    <w:rsid w:val="005C652E"/>
    <w:rsid w:val="005C6568"/>
    <w:rsid w:val="005C68C9"/>
    <w:rsid w:val="005C7695"/>
    <w:rsid w:val="005C77DC"/>
    <w:rsid w:val="005D07D0"/>
    <w:rsid w:val="005D0CF5"/>
    <w:rsid w:val="005D1131"/>
    <w:rsid w:val="005D1817"/>
    <w:rsid w:val="005D269B"/>
    <w:rsid w:val="005D2939"/>
    <w:rsid w:val="005D2E2E"/>
    <w:rsid w:val="005D4757"/>
    <w:rsid w:val="005D49B5"/>
    <w:rsid w:val="005D4B13"/>
    <w:rsid w:val="005D4E8D"/>
    <w:rsid w:val="005D5597"/>
    <w:rsid w:val="005D6173"/>
    <w:rsid w:val="005D62FB"/>
    <w:rsid w:val="005D63B9"/>
    <w:rsid w:val="005D6A3C"/>
    <w:rsid w:val="005D6E47"/>
    <w:rsid w:val="005D6FBB"/>
    <w:rsid w:val="005D78F7"/>
    <w:rsid w:val="005D798C"/>
    <w:rsid w:val="005D7BA7"/>
    <w:rsid w:val="005D7C87"/>
    <w:rsid w:val="005E077A"/>
    <w:rsid w:val="005E0E90"/>
    <w:rsid w:val="005E14A6"/>
    <w:rsid w:val="005E16F4"/>
    <w:rsid w:val="005E1836"/>
    <w:rsid w:val="005E28E3"/>
    <w:rsid w:val="005E2EE5"/>
    <w:rsid w:val="005E39A4"/>
    <w:rsid w:val="005E4337"/>
    <w:rsid w:val="005E5279"/>
    <w:rsid w:val="005E52ED"/>
    <w:rsid w:val="005E5889"/>
    <w:rsid w:val="005E58C8"/>
    <w:rsid w:val="005E5B91"/>
    <w:rsid w:val="005E5FB1"/>
    <w:rsid w:val="005E6A26"/>
    <w:rsid w:val="005E6F41"/>
    <w:rsid w:val="005E79B7"/>
    <w:rsid w:val="005F0CA7"/>
    <w:rsid w:val="005F0D78"/>
    <w:rsid w:val="005F0FD4"/>
    <w:rsid w:val="005F148A"/>
    <w:rsid w:val="005F15AF"/>
    <w:rsid w:val="005F1AB0"/>
    <w:rsid w:val="005F1D29"/>
    <w:rsid w:val="005F2ECE"/>
    <w:rsid w:val="005F31CD"/>
    <w:rsid w:val="005F3650"/>
    <w:rsid w:val="005F3EF8"/>
    <w:rsid w:val="005F4802"/>
    <w:rsid w:val="005F5536"/>
    <w:rsid w:val="005F5B75"/>
    <w:rsid w:val="005F63E7"/>
    <w:rsid w:val="005F66D0"/>
    <w:rsid w:val="005F6847"/>
    <w:rsid w:val="005F7816"/>
    <w:rsid w:val="005F7839"/>
    <w:rsid w:val="005F7AB4"/>
    <w:rsid w:val="0060092F"/>
    <w:rsid w:val="006010B0"/>
    <w:rsid w:val="006013A1"/>
    <w:rsid w:val="006014D8"/>
    <w:rsid w:val="00601799"/>
    <w:rsid w:val="00601C83"/>
    <w:rsid w:val="00602877"/>
    <w:rsid w:val="00603AAD"/>
    <w:rsid w:val="0060425B"/>
    <w:rsid w:val="006046C9"/>
    <w:rsid w:val="00604DB0"/>
    <w:rsid w:val="00605075"/>
    <w:rsid w:val="00605E11"/>
    <w:rsid w:val="00606211"/>
    <w:rsid w:val="0060633E"/>
    <w:rsid w:val="0060678B"/>
    <w:rsid w:val="006067AC"/>
    <w:rsid w:val="00607BF1"/>
    <w:rsid w:val="006101B4"/>
    <w:rsid w:val="006108A9"/>
    <w:rsid w:val="00611323"/>
    <w:rsid w:val="00611838"/>
    <w:rsid w:val="00611F58"/>
    <w:rsid w:val="006120BB"/>
    <w:rsid w:val="006122B4"/>
    <w:rsid w:val="006131C3"/>
    <w:rsid w:val="006131DE"/>
    <w:rsid w:val="0061362C"/>
    <w:rsid w:val="00613C93"/>
    <w:rsid w:val="00614BB8"/>
    <w:rsid w:val="00614CE5"/>
    <w:rsid w:val="00615491"/>
    <w:rsid w:val="00616A68"/>
    <w:rsid w:val="00617054"/>
    <w:rsid w:val="00621550"/>
    <w:rsid w:val="006215D9"/>
    <w:rsid w:val="00621844"/>
    <w:rsid w:val="00621F6A"/>
    <w:rsid w:val="00622088"/>
    <w:rsid w:val="00622830"/>
    <w:rsid w:val="00622BEB"/>
    <w:rsid w:val="0062334F"/>
    <w:rsid w:val="0062342C"/>
    <w:rsid w:val="00623DF3"/>
    <w:rsid w:val="00624278"/>
    <w:rsid w:val="0062452F"/>
    <w:rsid w:val="00624CBD"/>
    <w:rsid w:val="00624E05"/>
    <w:rsid w:val="006257E6"/>
    <w:rsid w:val="00630062"/>
    <w:rsid w:val="006303A5"/>
    <w:rsid w:val="006307A8"/>
    <w:rsid w:val="006307F4"/>
    <w:rsid w:val="00630D4D"/>
    <w:rsid w:val="00631AF6"/>
    <w:rsid w:val="00632A74"/>
    <w:rsid w:val="006331A5"/>
    <w:rsid w:val="00633596"/>
    <w:rsid w:val="006337B0"/>
    <w:rsid w:val="006345EE"/>
    <w:rsid w:val="00634695"/>
    <w:rsid w:val="0063496E"/>
    <w:rsid w:val="00635942"/>
    <w:rsid w:val="00635C5E"/>
    <w:rsid w:val="00635EF8"/>
    <w:rsid w:val="00636DC9"/>
    <w:rsid w:val="0063744D"/>
    <w:rsid w:val="00637DA9"/>
    <w:rsid w:val="00637F18"/>
    <w:rsid w:val="00640DCB"/>
    <w:rsid w:val="006416AE"/>
    <w:rsid w:val="0064216A"/>
    <w:rsid w:val="006423A1"/>
    <w:rsid w:val="00642541"/>
    <w:rsid w:val="006426D9"/>
    <w:rsid w:val="0064272D"/>
    <w:rsid w:val="006434FC"/>
    <w:rsid w:val="00643BAE"/>
    <w:rsid w:val="00645252"/>
    <w:rsid w:val="0064692C"/>
    <w:rsid w:val="006474A2"/>
    <w:rsid w:val="006505C5"/>
    <w:rsid w:val="006509F6"/>
    <w:rsid w:val="00650BBD"/>
    <w:rsid w:val="006510BF"/>
    <w:rsid w:val="006510C4"/>
    <w:rsid w:val="00651171"/>
    <w:rsid w:val="00651296"/>
    <w:rsid w:val="0065202B"/>
    <w:rsid w:val="0065232A"/>
    <w:rsid w:val="006524C6"/>
    <w:rsid w:val="0065265D"/>
    <w:rsid w:val="00652982"/>
    <w:rsid w:val="00652C5B"/>
    <w:rsid w:val="00653389"/>
    <w:rsid w:val="006534F4"/>
    <w:rsid w:val="0065410A"/>
    <w:rsid w:val="00654792"/>
    <w:rsid w:val="00654C1A"/>
    <w:rsid w:val="00655072"/>
    <w:rsid w:val="00655671"/>
    <w:rsid w:val="006565B8"/>
    <w:rsid w:val="006570E7"/>
    <w:rsid w:val="006573A3"/>
    <w:rsid w:val="00657427"/>
    <w:rsid w:val="00657FB1"/>
    <w:rsid w:val="006612FE"/>
    <w:rsid w:val="006621D8"/>
    <w:rsid w:val="0066227A"/>
    <w:rsid w:val="0066258D"/>
    <w:rsid w:val="0066290B"/>
    <w:rsid w:val="00662BB5"/>
    <w:rsid w:val="006645EE"/>
    <w:rsid w:val="00664814"/>
    <w:rsid w:val="0066512A"/>
    <w:rsid w:val="006652F1"/>
    <w:rsid w:val="006655A2"/>
    <w:rsid w:val="00665F6C"/>
    <w:rsid w:val="006660BF"/>
    <w:rsid w:val="0066664F"/>
    <w:rsid w:val="0066696B"/>
    <w:rsid w:val="00670A31"/>
    <w:rsid w:val="0067114B"/>
    <w:rsid w:val="006717F7"/>
    <w:rsid w:val="00671C18"/>
    <w:rsid w:val="00672224"/>
    <w:rsid w:val="00672C99"/>
    <w:rsid w:val="00673028"/>
    <w:rsid w:val="006732C3"/>
    <w:rsid w:val="00673944"/>
    <w:rsid w:val="006748DC"/>
    <w:rsid w:val="00674DF9"/>
    <w:rsid w:val="00674FB8"/>
    <w:rsid w:val="0067524E"/>
    <w:rsid w:val="0067578E"/>
    <w:rsid w:val="00675960"/>
    <w:rsid w:val="00675C46"/>
    <w:rsid w:val="00676148"/>
    <w:rsid w:val="00677B5D"/>
    <w:rsid w:val="00680184"/>
    <w:rsid w:val="00680B04"/>
    <w:rsid w:val="00680D6A"/>
    <w:rsid w:val="006818B6"/>
    <w:rsid w:val="006824A7"/>
    <w:rsid w:val="0068291B"/>
    <w:rsid w:val="00683353"/>
    <w:rsid w:val="0068400E"/>
    <w:rsid w:val="006845CB"/>
    <w:rsid w:val="006847FD"/>
    <w:rsid w:val="00684E23"/>
    <w:rsid w:val="00685502"/>
    <w:rsid w:val="00685ACA"/>
    <w:rsid w:val="006860EE"/>
    <w:rsid w:val="0068636B"/>
    <w:rsid w:val="00686CEB"/>
    <w:rsid w:val="00686F61"/>
    <w:rsid w:val="006878D3"/>
    <w:rsid w:val="006879BA"/>
    <w:rsid w:val="00687E95"/>
    <w:rsid w:val="006902D5"/>
    <w:rsid w:val="00690895"/>
    <w:rsid w:val="006908AB"/>
    <w:rsid w:val="00690915"/>
    <w:rsid w:val="00690B38"/>
    <w:rsid w:val="00690C9B"/>
    <w:rsid w:val="00691310"/>
    <w:rsid w:val="0069168C"/>
    <w:rsid w:val="006916CC"/>
    <w:rsid w:val="00691F5C"/>
    <w:rsid w:val="00691FB5"/>
    <w:rsid w:val="006923CE"/>
    <w:rsid w:val="006927F3"/>
    <w:rsid w:val="006929B0"/>
    <w:rsid w:val="00692CC2"/>
    <w:rsid w:val="00692DA1"/>
    <w:rsid w:val="00692E63"/>
    <w:rsid w:val="00693312"/>
    <w:rsid w:val="00693F49"/>
    <w:rsid w:val="00694256"/>
    <w:rsid w:val="006942B3"/>
    <w:rsid w:val="00695045"/>
    <w:rsid w:val="006950D5"/>
    <w:rsid w:val="00697CFA"/>
    <w:rsid w:val="006A154D"/>
    <w:rsid w:val="006A21CA"/>
    <w:rsid w:val="006A2235"/>
    <w:rsid w:val="006A23B4"/>
    <w:rsid w:val="006A3648"/>
    <w:rsid w:val="006A3839"/>
    <w:rsid w:val="006A3DCC"/>
    <w:rsid w:val="006A4655"/>
    <w:rsid w:val="006A4835"/>
    <w:rsid w:val="006A58C0"/>
    <w:rsid w:val="006A5936"/>
    <w:rsid w:val="006A5DD3"/>
    <w:rsid w:val="006A5F50"/>
    <w:rsid w:val="006A6C6E"/>
    <w:rsid w:val="006A7469"/>
    <w:rsid w:val="006A7C33"/>
    <w:rsid w:val="006B07F2"/>
    <w:rsid w:val="006B0BE6"/>
    <w:rsid w:val="006B0CC5"/>
    <w:rsid w:val="006B0E66"/>
    <w:rsid w:val="006B19B8"/>
    <w:rsid w:val="006B21F3"/>
    <w:rsid w:val="006B2B3C"/>
    <w:rsid w:val="006B4151"/>
    <w:rsid w:val="006B441D"/>
    <w:rsid w:val="006B4B9B"/>
    <w:rsid w:val="006B4C89"/>
    <w:rsid w:val="006B57DC"/>
    <w:rsid w:val="006B5EDD"/>
    <w:rsid w:val="006B629A"/>
    <w:rsid w:val="006B666D"/>
    <w:rsid w:val="006B6FD9"/>
    <w:rsid w:val="006B771E"/>
    <w:rsid w:val="006B7DB0"/>
    <w:rsid w:val="006B7EB0"/>
    <w:rsid w:val="006C043D"/>
    <w:rsid w:val="006C073E"/>
    <w:rsid w:val="006C09FE"/>
    <w:rsid w:val="006C0BA3"/>
    <w:rsid w:val="006C1337"/>
    <w:rsid w:val="006C1AA0"/>
    <w:rsid w:val="006C2000"/>
    <w:rsid w:val="006C2A82"/>
    <w:rsid w:val="006C2C11"/>
    <w:rsid w:val="006C316E"/>
    <w:rsid w:val="006C3AD2"/>
    <w:rsid w:val="006C3D7E"/>
    <w:rsid w:val="006C420A"/>
    <w:rsid w:val="006C43B7"/>
    <w:rsid w:val="006C4765"/>
    <w:rsid w:val="006C560A"/>
    <w:rsid w:val="006C6308"/>
    <w:rsid w:val="006C7038"/>
    <w:rsid w:val="006C703B"/>
    <w:rsid w:val="006C733F"/>
    <w:rsid w:val="006C7B42"/>
    <w:rsid w:val="006C7CEE"/>
    <w:rsid w:val="006D03F3"/>
    <w:rsid w:val="006D1AC2"/>
    <w:rsid w:val="006D2E9D"/>
    <w:rsid w:val="006D3FD9"/>
    <w:rsid w:val="006D4ABB"/>
    <w:rsid w:val="006D5B52"/>
    <w:rsid w:val="006D6622"/>
    <w:rsid w:val="006D665B"/>
    <w:rsid w:val="006D67D4"/>
    <w:rsid w:val="006D6F1B"/>
    <w:rsid w:val="006D7218"/>
    <w:rsid w:val="006D7938"/>
    <w:rsid w:val="006D7B3F"/>
    <w:rsid w:val="006D7E8B"/>
    <w:rsid w:val="006D7F7B"/>
    <w:rsid w:val="006D7F8B"/>
    <w:rsid w:val="006E04E1"/>
    <w:rsid w:val="006E05FD"/>
    <w:rsid w:val="006E06CF"/>
    <w:rsid w:val="006E0D19"/>
    <w:rsid w:val="006E2525"/>
    <w:rsid w:val="006E2A02"/>
    <w:rsid w:val="006E3577"/>
    <w:rsid w:val="006E3C1C"/>
    <w:rsid w:val="006E4051"/>
    <w:rsid w:val="006E4BCE"/>
    <w:rsid w:val="006E510E"/>
    <w:rsid w:val="006E5E8E"/>
    <w:rsid w:val="006E610E"/>
    <w:rsid w:val="006E6459"/>
    <w:rsid w:val="006E695B"/>
    <w:rsid w:val="006E6ABE"/>
    <w:rsid w:val="006E6F1A"/>
    <w:rsid w:val="006E73EF"/>
    <w:rsid w:val="006E7548"/>
    <w:rsid w:val="006E776C"/>
    <w:rsid w:val="006F0726"/>
    <w:rsid w:val="006F10B4"/>
    <w:rsid w:val="006F18FE"/>
    <w:rsid w:val="006F1AE6"/>
    <w:rsid w:val="006F344D"/>
    <w:rsid w:val="006F3669"/>
    <w:rsid w:val="006F4B3B"/>
    <w:rsid w:val="006F5051"/>
    <w:rsid w:val="006F61BF"/>
    <w:rsid w:val="006F63AE"/>
    <w:rsid w:val="006F6679"/>
    <w:rsid w:val="006F6AB7"/>
    <w:rsid w:val="006F72D2"/>
    <w:rsid w:val="006F7B97"/>
    <w:rsid w:val="00701B2B"/>
    <w:rsid w:val="00701DFC"/>
    <w:rsid w:val="00701EE0"/>
    <w:rsid w:val="007028C6"/>
    <w:rsid w:val="007029D6"/>
    <w:rsid w:val="00702E08"/>
    <w:rsid w:val="00702E23"/>
    <w:rsid w:val="00703279"/>
    <w:rsid w:val="00703799"/>
    <w:rsid w:val="00703A17"/>
    <w:rsid w:val="00703C6F"/>
    <w:rsid w:val="00703E92"/>
    <w:rsid w:val="0070484A"/>
    <w:rsid w:val="00704B1B"/>
    <w:rsid w:val="00704B52"/>
    <w:rsid w:val="00704CC8"/>
    <w:rsid w:val="00704D28"/>
    <w:rsid w:val="0070507C"/>
    <w:rsid w:val="00705B7B"/>
    <w:rsid w:val="00705D3E"/>
    <w:rsid w:val="00706ADA"/>
    <w:rsid w:val="00707A9B"/>
    <w:rsid w:val="00707D10"/>
    <w:rsid w:val="00707F7A"/>
    <w:rsid w:val="0071005E"/>
    <w:rsid w:val="00710EF2"/>
    <w:rsid w:val="007121E5"/>
    <w:rsid w:val="00714D4D"/>
    <w:rsid w:val="00714E0F"/>
    <w:rsid w:val="00714FDD"/>
    <w:rsid w:val="007154E2"/>
    <w:rsid w:val="007156EE"/>
    <w:rsid w:val="007167ED"/>
    <w:rsid w:val="00716E2F"/>
    <w:rsid w:val="00716FFC"/>
    <w:rsid w:val="00717DE0"/>
    <w:rsid w:val="007203B8"/>
    <w:rsid w:val="00720CB1"/>
    <w:rsid w:val="00721304"/>
    <w:rsid w:val="007213E3"/>
    <w:rsid w:val="0072163F"/>
    <w:rsid w:val="0072169D"/>
    <w:rsid w:val="00722037"/>
    <w:rsid w:val="007222FF"/>
    <w:rsid w:val="00723313"/>
    <w:rsid w:val="007236CD"/>
    <w:rsid w:val="00723964"/>
    <w:rsid w:val="00723C06"/>
    <w:rsid w:val="00723F94"/>
    <w:rsid w:val="00724566"/>
    <w:rsid w:val="00724BF0"/>
    <w:rsid w:val="00724D6C"/>
    <w:rsid w:val="00724EEB"/>
    <w:rsid w:val="00725F63"/>
    <w:rsid w:val="00726011"/>
    <w:rsid w:val="007265DE"/>
    <w:rsid w:val="00726AD8"/>
    <w:rsid w:val="00726D7A"/>
    <w:rsid w:val="00727D8F"/>
    <w:rsid w:val="007303B5"/>
    <w:rsid w:val="00730BE5"/>
    <w:rsid w:val="00730F34"/>
    <w:rsid w:val="00730FA9"/>
    <w:rsid w:val="00731C32"/>
    <w:rsid w:val="00731F13"/>
    <w:rsid w:val="00732050"/>
    <w:rsid w:val="00732434"/>
    <w:rsid w:val="007348E2"/>
    <w:rsid w:val="00734CE5"/>
    <w:rsid w:val="007351FE"/>
    <w:rsid w:val="00735598"/>
    <w:rsid w:val="00735A80"/>
    <w:rsid w:val="00736220"/>
    <w:rsid w:val="00736558"/>
    <w:rsid w:val="00736C47"/>
    <w:rsid w:val="007378D4"/>
    <w:rsid w:val="00737EF1"/>
    <w:rsid w:val="0074026A"/>
    <w:rsid w:val="00740EB7"/>
    <w:rsid w:val="007417B0"/>
    <w:rsid w:val="00741CA6"/>
    <w:rsid w:val="00741CBC"/>
    <w:rsid w:val="00742674"/>
    <w:rsid w:val="007428C9"/>
    <w:rsid w:val="00742C3F"/>
    <w:rsid w:val="00742CD5"/>
    <w:rsid w:val="00742E46"/>
    <w:rsid w:val="007431D6"/>
    <w:rsid w:val="007438E1"/>
    <w:rsid w:val="00744183"/>
    <w:rsid w:val="00744310"/>
    <w:rsid w:val="00744822"/>
    <w:rsid w:val="00744838"/>
    <w:rsid w:val="00744A4A"/>
    <w:rsid w:val="00744DD1"/>
    <w:rsid w:val="00746170"/>
    <w:rsid w:val="007463AE"/>
    <w:rsid w:val="00746873"/>
    <w:rsid w:val="00746A31"/>
    <w:rsid w:val="00747B70"/>
    <w:rsid w:val="00750EF9"/>
    <w:rsid w:val="00751373"/>
    <w:rsid w:val="00752465"/>
    <w:rsid w:val="00752A10"/>
    <w:rsid w:val="007530A7"/>
    <w:rsid w:val="0075310F"/>
    <w:rsid w:val="00753633"/>
    <w:rsid w:val="00754066"/>
    <w:rsid w:val="007554BB"/>
    <w:rsid w:val="00755E5C"/>
    <w:rsid w:val="00756C3E"/>
    <w:rsid w:val="00756CFE"/>
    <w:rsid w:val="0075761C"/>
    <w:rsid w:val="0075797B"/>
    <w:rsid w:val="00757B2D"/>
    <w:rsid w:val="00757C67"/>
    <w:rsid w:val="00760254"/>
    <w:rsid w:val="007604BB"/>
    <w:rsid w:val="007609CB"/>
    <w:rsid w:val="00761448"/>
    <w:rsid w:val="00762EE4"/>
    <w:rsid w:val="007631B1"/>
    <w:rsid w:val="007634E2"/>
    <w:rsid w:val="00763509"/>
    <w:rsid w:val="0076390B"/>
    <w:rsid w:val="00763F1B"/>
    <w:rsid w:val="00764062"/>
    <w:rsid w:val="00764558"/>
    <w:rsid w:val="00765F99"/>
    <w:rsid w:val="00766800"/>
    <w:rsid w:val="00767337"/>
    <w:rsid w:val="00770AFF"/>
    <w:rsid w:val="00770EF8"/>
    <w:rsid w:val="0077172C"/>
    <w:rsid w:val="00772DD9"/>
    <w:rsid w:val="0077411D"/>
    <w:rsid w:val="007741D7"/>
    <w:rsid w:val="00776C0C"/>
    <w:rsid w:val="00776C98"/>
    <w:rsid w:val="00776DDA"/>
    <w:rsid w:val="00776EBF"/>
    <w:rsid w:val="00777693"/>
    <w:rsid w:val="007779FA"/>
    <w:rsid w:val="00780C60"/>
    <w:rsid w:val="00781FD3"/>
    <w:rsid w:val="007823DD"/>
    <w:rsid w:val="007824A7"/>
    <w:rsid w:val="00782E71"/>
    <w:rsid w:val="007830D1"/>
    <w:rsid w:val="00783357"/>
    <w:rsid w:val="00783664"/>
    <w:rsid w:val="00783E47"/>
    <w:rsid w:val="00784B92"/>
    <w:rsid w:val="00785232"/>
    <w:rsid w:val="00785323"/>
    <w:rsid w:val="00785A96"/>
    <w:rsid w:val="00786BCA"/>
    <w:rsid w:val="0078737F"/>
    <w:rsid w:val="007904DF"/>
    <w:rsid w:val="00790662"/>
    <w:rsid w:val="00790A8A"/>
    <w:rsid w:val="00791467"/>
    <w:rsid w:val="00792054"/>
    <w:rsid w:val="00792CF5"/>
    <w:rsid w:val="00793F9D"/>
    <w:rsid w:val="0079479F"/>
    <w:rsid w:val="00794A73"/>
    <w:rsid w:val="00794DB3"/>
    <w:rsid w:val="00795267"/>
    <w:rsid w:val="00795655"/>
    <w:rsid w:val="00795D11"/>
    <w:rsid w:val="00795FBC"/>
    <w:rsid w:val="00796A60"/>
    <w:rsid w:val="00796C0A"/>
    <w:rsid w:val="00796F71"/>
    <w:rsid w:val="007972D1"/>
    <w:rsid w:val="00797582"/>
    <w:rsid w:val="00797B45"/>
    <w:rsid w:val="007A21EB"/>
    <w:rsid w:val="007A2C7B"/>
    <w:rsid w:val="007A33C4"/>
    <w:rsid w:val="007A3CD7"/>
    <w:rsid w:val="007A550B"/>
    <w:rsid w:val="007A6356"/>
    <w:rsid w:val="007A6442"/>
    <w:rsid w:val="007A66EF"/>
    <w:rsid w:val="007A693D"/>
    <w:rsid w:val="007A7C32"/>
    <w:rsid w:val="007A7FAC"/>
    <w:rsid w:val="007B06C8"/>
    <w:rsid w:val="007B0AD1"/>
    <w:rsid w:val="007B1285"/>
    <w:rsid w:val="007B141B"/>
    <w:rsid w:val="007B18E1"/>
    <w:rsid w:val="007B1C78"/>
    <w:rsid w:val="007B1E14"/>
    <w:rsid w:val="007B2ADB"/>
    <w:rsid w:val="007B34BD"/>
    <w:rsid w:val="007B3713"/>
    <w:rsid w:val="007B3ADD"/>
    <w:rsid w:val="007B3BA9"/>
    <w:rsid w:val="007B3D5C"/>
    <w:rsid w:val="007B45C2"/>
    <w:rsid w:val="007B5197"/>
    <w:rsid w:val="007B5328"/>
    <w:rsid w:val="007B6445"/>
    <w:rsid w:val="007B656A"/>
    <w:rsid w:val="007B6EC0"/>
    <w:rsid w:val="007B7755"/>
    <w:rsid w:val="007B7952"/>
    <w:rsid w:val="007C2222"/>
    <w:rsid w:val="007C246F"/>
    <w:rsid w:val="007C24D6"/>
    <w:rsid w:val="007C2795"/>
    <w:rsid w:val="007C29DC"/>
    <w:rsid w:val="007C36C9"/>
    <w:rsid w:val="007C36EE"/>
    <w:rsid w:val="007C3A8C"/>
    <w:rsid w:val="007C446B"/>
    <w:rsid w:val="007C58D3"/>
    <w:rsid w:val="007C64F9"/>
    <w:rsid w:val="007C6EE2"/>
    <w:rsid w:val="007C6FA5"/>
    <w:rsid w:val="007C710F"/>
    <w:rsid w:val="007D131D"/>
    <w:rsid w:val="007D2066"/>
    <w:rsid w:val="007D275F"/>
    <w:rsid w:val="007D284E"/>
    <w:rsid w:val="007D2ABD"/>
    <w:rsid w:val="007D2C79"/>
    <w:rsid w:val="007D360F"/>
    <w:rsid w:val="007D477B"/>
    <w:rsid w:val="007D4B39"/>
    <w:rsid w:val="007D4CE3"/>
    <w:rsid w:val="007D4CF5"/>
    <w:rsid w:val="007D516B"/>
    <w:rsid w:val="007D52B9"/>
    <w:rsid w:val="007D5990"/>
    <w:rsid w:val="007D5ED2"/>
    <w:rsid w:val="007D5F4F"/>
    <w:rsid w:val="007D677A"/>
    <w:rsid w:val="007D6820"/>
    <w:rsid w:val="007D6965"/>
    <w:rsid w:val="007D7B9A"/>
    <w:rsid w:val="007D7E18"/>
    <w:rsid w:val="007D7F1F"/>
    <w:rsid w:val="007E01E4"/>
    <w:rsid w:val="007E0869"/>
    <w:rsid w:val="007E1154"/>
    <w:rsid w:val="007E180C"/>
    <w:rsid w:val="007E1901"/>
    <w:rsid w:val="007E1D4D"/>
    <w:rsid w:val="007E1F29"/>
    <w:rsid w:val="007E2711"/>
    <w:rsid w:val="007E2808"/>
    <w:rsid w:val="007E2921"/>
    <w:rsid w:val="007E2B08"/>
    <w:rsid w:val="007E2B8D"/>
    <w:rsid w:val="007E3571"/>
    <w:rsid w:val="007E3828"/>
    <w:rsid w:val="007E3AEA"/>
    <w:rsid w:val="007E435A"/>
    <w:rsid w:val="007E58A4"/>
    <w:rsid w:val="007E5A1B"/>
    <w:rsid w:val="007E5A26"/>
    <w:rsid w:val="007E5AF2"/>
    <w:rsid w:val="007E693E"/>
    <w:rsid w:val="007E6A86"/>
    <w:rsid w:val="007F0DB4"/>
    <w:rsid w:val="007F0FDB"/>
    <w:rsid w:val="007F1252"/>
    <w:rsid w:val="007F12B4"/>
    <w:rsid w:val="007F2055"/>
    <w:rsid w:val="007F29D4"/>
    <w:rsid w:val="007F410F"/>
    <w:rsid w:val="007F42BF"/>
    <w:rsid w:val="007F4510"/>
    <w:rsid w:val="007F485F"/>
    <w:rsid w:val="007F4914"/>
    <w:rsid w:val="007F4916"/>
    <w:rsid w:val="007F5225"/>
    <w:rsid w:val="007F5417"/>
    <w:rsid w:val="007F5633"/>
    <w:rsid w:val="007F5EF2"/>
    <w:rsid w:val="007F6368"/>
    <w:rsid w:val="007F669A"/>
    <w:rsid w:val="007F6B10"/>
    <w:rsid w:val="007F7026"/>
    <w:rsid w:val="007F7107"/>
    <w:rsid w:val="008014A2"/>
    <w:rsid w:val="00802290"/>
    <w:rsid w:val="008023BF"/>
    <w:rsid w:val="00802A69"/>
    <w:rsid w:val="00802B88"/>
    <w:rsid w:val="00802CFB"/>
    <w:rsid w:val="008042BA"/>
    <w:rsid w:val="00804512"/>
    <w:rsid w:val="00804F6A"/>
    <w:rsid w:val="0080526F"/>
    <w:rsid w:val="008055FB"/>
    <w:rsid w:val="00805B0E"/>
    <w:rsid w:val="00806ABC"/>
    <w:rsid w:val="00806F00"/>
    <w:rsid w:val="00807D3C"/>
    <w:rsid w:val="008102D0"/>
    <w:rsid w:val="0081030F"/>
    <w:rsid w:val="00810800"/>
    <w:rsid w:val="00810965"/>
    <w:rsid w:val="00810C42"/>
    <w:rsid w:val="00811D77"/>
    <w:rsid w:val="008120F3"/>
    <w:rsid w:val="0081251A"/>
    <w:rsid w:val="0081372E"/>
    <w:rsid w:val="00813A82"/>
    <w:rsid w:val="00813BDB"/>
    <w:rsid w:val="008150CE"/>
    <w:rsid w:val="00815B07"/>
    <w:rsid w:val="00815E97"/>
    <w:rsid w:val="008163C5"/>
    <w:rsid w:val="008165DC"/>
    <w:rsid w:val="00816CB9"/>
    <w:rsid w:val="00817185"/>
    <w:rsid w:val="00817C4C"/>
    <w:rsid w:val="00820681"/>
    <w:rsid w:val="0082087D"/>
    <w:rsid w:val="0082127F"/>
    <w:rsid w:val="00821282"/>
    <w:rsid w:val="00821286"/>
    <w:rsid w:val="00822D21"/>
    <w:rsid w:val="00822E93"/>
    <w:rsid w:val="008231A7"/>
    <w:rsid w:val="0082369C"/>
    <w:rsid w:val="00823727"/>
    <w:rsid w:val="008238A6"/>
    <w:rsid w:val="008254F2"/>
    <w:rsid w:val="008256F3"/>
    <w:rsid w:val="0082601F"/>
    <w:rsid w:val="008261CB"/>
    <w:rsid w:val="008266D6"/>
    <w:rsid w:val="0082726E"/>
    <w:rsid w:val="00827459"/>
    <w:rsid w:val="00827E4A"/>
    <w:rsid w:val="00831824"/>
    <w:rsid w:val="008324EE"/>
    <w:rsid w:val="008328F7"/>
    <w:rsid w:val="00832ADD"/>
    <w:rsid w:val="00832F3F"/>
    <w:rsid w:val="008331C1"/>
    <w:rsid w:val="00833AE4"/>
    <w:rsid w:val="00833FD5"/>
    <w:rsid w:val="00834669"/>
    <w:rsid w:val="00834797"/>
    <w:rsid w:val="00834884"/>
    <w:rsid w:val="00834CFC"/>
    <w:rsid w:val="00835253"/>
    <w:rsid w:val="00836506"/>
    <w:rsid w:val="00836597"/>
    <w:rsid w:val="00836E3E"/>
    <w:rsid w:val="00837258"/>
    <w:rsid w:val="00837775"/>
    <w:rsid w:val="008377FF"/>
    <w:rsid w:val="008409D8"/>
    <w:rsid w:val="00841886"/>
    <w:rsid w:val="008420D7"/>
    <w:rsid w:val="00842517"/>
    <w:rsid w:val="00842933"/>
    <w:rsid w:val="00843120"/>
    <w:rsid w:val="0084333B"/>
    <w:rsid w:val="008434AD"/>
    <w:rsid w:val="008434C1"/>
    <w:rsid w:val="00843919"/>
    <w:rsid w:val="00843AB2"/>
    <w:rsid w:val="00843FE2"/>
    <w:rsid w:val="00844228"/>
    <w:rsid w:val="00844408"/>
    <w:rsid w:val="008464DA"/>
    <w:rsid w:val="0084650E"/>
    <w:rsid w:val="008467DB"/>
    <w:rsid w:val="00846CF0"/>
    <w:rsid w:val="00846FF1"/>
    <w:rsid w:val="00850020"/>
    <w:rsid w:val="008509EA"/>
    <w:rsid w:val="00850B13"/>
    <w:rsid w:val="00851635"/>
    <w:rsid w:val="00851D4B"/>
    <w:rsid w:val="00851D6A"/>
    <w:rsid w:val="00851E7D"/>
    <w:rsid w:val="008529FD"/>
    <w:rsid w:val="00852A6F"/>
    <w:rsid w:val="008534D0"/>
    <w:rsid w:val="00853572"/>
    <w:rsid w:val="008535F1"/>
    <w:rsid w:val="008538EE"/>
    <w:rsid w:val="00853CCD"/>
    <w:rsid w:val="00853EA5"/>
    <w:rsid w:val="00854A3F"/>
    <w:rsid w:val="00854D2C"/>
    <w:rsid w:val="00855248"/>
    <w:rsid w:val="008556BF"/>
    <w:rsid w:val="00855754"/>
    <w:rsid w:val="00855878"/>
    <w:rsid w:val="00855A7F"/>
    <w:rsid w:val="00855D68"/>
    <w:rsid w:val="00856032"/>
    <w:rsid w:val="00856FCC"/>
    <w:rsid w:val="00857FAE"/>
    <w:rsid w:val="0086082C"/>
    <w:rsid w:val="00860B00"/>
    <w:rsid w:val="008614AF"/>
    <w:rsid w:val="0086188B"/>
    <w:rsid w:val="00861C4B"/>
    <w:rsid w:val="008623E2"/>
    <w:rsid w:val="008625BA"/>
    <w:rsid w:val="00862A0C"/>
    <w:rsid w:val="00862C8C"/>
    <w:rsid w:val="00862CC2"/>
    <w:rsid w:val="00862D18"/>
    <w:rsid w:val="0086351E"/>
    <w:rsid w:val="00863874"/>
    <w:rsid w:val="00863BEB"/>
    <w:rsid w:val="00864034"/>
    <w:rsid w:val="00864511"/>
    <w:rsid w:val="00864ADC"/>
    <w:rsid w:val="0086544D"/>
    <w:rsid w:val="00865748"/>
    <w:rsid w:val="00865893"/>
    <w:rsid w:val="00865E32"/>
    <w:rsid w:val="008661FA"/>
    <w:rsid w:val="00866527"/>
    <w:rsid w:val="0086663C"/>
    <w:rsid w:val="00866D38"/>
    <w:rsid w:val="0087039A"/>
    <w:rsid w:val="00870E7E"/>
    <w:rsid w:val="00871396"/>
    <w:rsid w:val="00871A6E"/>
    <w:rsid w:val="0087223A"/>
    <w:rsid w:val="00872322"/>
    <w:rsid w:val="00872CC8"/>
    <w:rsid w:val="008738B7"/>
    <w:rsid w:val="00873B3A"/>
    <w:rsid w:val="00874464"/>
    <w:rsid w:val="0087527C"/>
    <w:rsid w:val="0087565E"/>
    <w:rsid w:val="00876D05"/>
    <w:rsid w:val="008773BD"/>
    <w:rsid w:val="008773EF"/>
    <w:rsid w:val="00877DF1"/>
    <w:rsid w:val="00880153"/>
    <w:rsid w:val="00880683"/>
    <w:rsid w:val="00880F97"/>
    <w:rsid w:val="0088133A"/>
    <w:rsid w:val="00882961"/>
    <w:rsid w:val="008830C0"/>
    <w:rsid w:val="0088345A"/>
    <w:rsid w:val="00883766"/>
    <w:rsid w:val="00884AE3"/>
    <w:rsid w:val="008856F3"/>
    <w:rsid w:val="00886E3A"/>
    <w:rsid w:val="0089052F"/>
    <w:rsid w:val="008908E2"/>
    <w:rsid w:val="00891C41"/>
    <w:rsid w:val="0089285E"/>
    <w:rsid w:val="00892A77"/>
    <w:rsid w:val="00893F26"/>
    <w:rsid w:val="008940A8"/>
    <w:rsid w:val="0089436C"/>
    <w:rsid w:val="00894A3A"/>
    <w:rsid w:val="00894E42"/>
    <w:rsid w:val="00895599"/>
    <w:rsid w:val="00895E58"/>
    <w:rsid w:val="00896703"/>
    <w:rsid w:val="008967A1"/>
    <w:rsid w:val="0089728A"/>
    <w:rsid w:val="00897FF3"/>
    <w:rsid w:val="008A0424"/>
    <w:rsid w:val="008A0EB1"/>
    <w:rsid w:val="008A1103"/>
    <w:rsid w:val="008A14BB"/>
    <w:rsid w:val="008A2782"/>
    <w:rsid w:val="008A2ADC"/>
    <w:rsid w:val="008A33AC"/>
    <w:rsid w:val="008A3CB3"/>
    <w:rsid w:val="008A3D6E"/>
    <w:rsid w:val="008A3FA4"/>
    <w:rsid w:val="008A4094"/>
    <w:rsid w:val="008A440B"/>
    <w:rsid w:val="008A4C50"/>
    <w:rsid w:val="008A5105"/>
    <w:rsid w:val="008A51A5"/>
    <w:rsid w:val="008A578F"/>
    <w:rsid w:val="008A5A2C"/>
    <w:rsid w:val="008A5C63"/>
    <w:rsid w:val="008A63B6"/>
    <w:rsid w:val="008A6498"/>
    <w:rsid w:val="008A6611"/>
    <w:rsid w:val="008A74A8"/>
    <w:rsid w:val="008A7984"/>
    <w:rsid w:val="008B08D8"/>
    <w:rsid w:val="008B14FA"/>
    <w:rsid w:val="008B1CF6"/>
    <w:rsid w:val="008B204D"/>
    <w:rsid w:val="008B258C"/>
    <w:rsid w:val="008B28D8"/>
    <w:rsid w:val="008B2D6A"/>
    <w:rsid w:val="008B2DCD"/>
    <w:rsid w:val="008B3007"/>
    <w:rsid w:val="008B31EB"/>
    <w:rsid w:val="008B35A7"/>
    <w:rsid w:val="008B35E5"/>
    <w:rsid w:val="008B3F54"/>
    <w:rsid w:val="008B4844"/>
    <w:rsid w:val="008B4BEB"/>
    <w:rsid w:val="008B6473"/>
    <w:rsid w:val="008B6951"/>
    <w:rsid w:val="008B6BEF"/>
    <w:rsid w:val="008B7546"/>
    <w:rsid w:val="008B7819"/>
    <w:rsid w:val="008B7DF0"/>
    <w:rsid w:val="008B7E4B"/>
    <w:rsid w:val="008C1328"/>
    <w:rsid w:val="008C1490"/>
    <w:rsid w:val="008C1756"/>
    <w:rsid w:val="008C17BA"/>
    <w:rsid w:val="008C1EB5"/>
    <w:rsid w:val="008C2753"/>
    <w:rsid w:val="008C2B68"/>
    <w:rsid w:val="008C3360"/>
    <w:rsid w:val="008C3D02"/>
    <w:rsid w:val="008C44A3"/>
    <w:rsid w:val="008C4AFF"/>
    <w:rsid w:val="008C55F7"/>
    <w:rsid w:val="008C647E"/>
    <w:rsid w:val="008C6512"/>
    <w:rsid w:val="008C668E"/>
    <w:rsid w:val="008C6D8D"/>
    <w:rsid w:val="008C6DAB"/>
    <w:rsid w:val="008C791B"/>
    <w:rsid w:val="008D0095"/>
    <w:rsid w:val="008D0537"/>
    <w:rsid w:val="008D111C"/>
    <w:rsid w:val="008D1CBF"/>
    <w:rsid w:val="008D2E31"/>
    <w:rsid w:val="008D3250"/>
    <w:rsid w:val="008D365C"/>
    <w:rsid w:val="008D393D"/>
    <w:rsid w:val="008D5678"/>
    <w:rsid w:val="008D5AD5"/>
    <w:rsid w:val="008D674F"/>
    <w:rsid w:val="008D6754"/>
    <w:rsid w:val="008D6831"/>
    <w:rsid w:val="008D6D83"/>
    <w:rsid w:val="008D7D2E"/>
    <w:rsid w:val="008D7D37"/>
    <w:rsid w:val="008E03FE"/>
    <w:rsid w:val="008E1983"/>
    <w:rsid w:val="008E1D7F"/>
    <w:rsid w:val="008E1F7F"/>
    <w:rsid w:val="008E2909"/>
    <w:rsid w:val="008E3AA8"/>
    <w:rsid w:val="008E3AD6"/>
    <w:rsid w:val="008E40DC"/>
    <w:rsid w:val="008E4239"/>
    <w:rsid w:val="008E4699"/>
    <w:rsid w:val="008E4F41"/>
    <w:rsid w:val="008E5344"/>
    <w:rsid w:val="008E69C7"/>
    <w:rsid w:val="008E6BA6"/>
    <w:rsid w:val="008E722B"/>
    <w:rsid w:val="008E72A3"/>
    <w:rsid w:val="008E7555"/>
    <w:rsid w:val="008E7582"/>
    <w:rsid w:val="008E775A"/>
    <w:rsid w:val="008E79A6"/>
    <w:rsid w:val="008E7C72"/>
    <w:rsid w:val="008F0894"/>
    <w:rsid w:val="008F0A25"/>
    <w:rsid w:val="008F0C90"/>
    <w:rsid w:val="008F0FBA"/>
    <w:rsid w:val="008F120C"/>
    <w:rsid w:val="008F1976"/>
    <w:rsid w:val="008F2318"/>
    <w:rsid w:val="008F23B5"/>
    <w:rsid w:val="008F2490"/>
    <w:rsid w:val="008F2CA1"/>
    <w:rsid w:val="008F34F8"/>
    <w:rsid w:val="008F360F"/>
    <w:rsid w:val="008F3DDD"/>
    <w:rsid w:val="008F41F0"/>
    <w:rsid w:val="008F41FC"/>
    <w:rsid w:val="008F4409"/>
    <w:rsid w:val="008F4B47"/>
    <w:rsid w:val="008F553B"/>
    <w:rsid w:val="008F632F"/>
    <w:rsid w:val="008F67EB"/>
    <w:rsid w:val="008F69BD"/>
    <w:rsid w:val="008F6CA3"/>
    <w:rsid w:val="008F71D0"/>
    <w:rsid w:val="008F78CF"/>
    <w:rsid w:val="009010DA"/>
    <w:rsid w:val="00902A0C"/>
    <w:rsid w:val="009030BF"/>
    <w:rsid w:val="0090373B"/>
    <w:rsid w:val="00903CCB"/>
    <w:rsid w:val="00903D69"/>
    <w:rsid w:val="0090405F"/>
    <w:rsid w:val="00904920"/>
    <w:rsid w:val="00904DEC"/>
    <w:rsid w:val="00905324"/>
    <w:rsid w:val="009057E5"/>
    <w:rsid w:val="009059E5"/>
    <w:rsid w:val="00905BF3"/>
    <w:rsid w:val="00906008"/>
    <w:rsid w:val="0090629D"/>
    <w:rsid w:val="00906778"/>
    <w:rsid w:val="00906F7F"/>
    <w:rsid w:val="009077DC"/>
    <w:rsid w:val="009079A7"/>
    <w:rsid w:val="009109BA"/>
    <w:rsid w:val="0091156C"/>
    <w:rsid w:val="00912288"/>
    <w:rsid w:val="009123E0"/>
    <w:rsid w:val="00912AD9"/>
    <w:rsid w:val="00913413"/>
    <w:rsid w:val="00913A8F"/>
    <w:rsid w:val="00914368"/>
    <w:rsid w:val="00914B89"/>
    <w:rsid w:val="00916658"/>
    <w:rsid w:val="00916AB4"/>
    <w:rsid w:val="00916BD4"/>
    <w:rsid w:val="009172C4"/>
    <w:rsid w:val="00917C92"/>
    <w:rsid w:val="00917E4F"/>
    <w:rsid w:val="00921010"/>
    <w:rsid w:val="009211EA"/>
    <w:rsid w:val="00921493"/>
    <w:rsid w:val="00922C45"/>
    <w:rsid w:val="00922DA4"/>
    <w:rsid w:val="00923D65"/>
    <w:rsid w:val="00923E11"/>
    <w:rsid w:val="00924881"/>
    <w:rsid w:val="00924EA7"/>
    <w:rsid w:val="00925980"/>
    <w:rsid w:val="00925A9E"/>
    <w:rsid w:val="00926041"/>
    <w:rsid w:val="00926837"/>
    <w:rsid w:val="00926C85"/>
    <w:rsid w:val="009273FB"/>
    <w:rsid w:val="009278BD"/>
    <w:rsid w:val="00927A21"/>
    <w:rsid w:val="0093070B"/>
    <w:rsid w:val="00930AC7"/>
    <w:rsid w:val="00930DDE"/>
    <w:rsid w:val="00931076"/>
    <w:rsid w:val="009312FA"/>
    <w:rsid w:val="0093176D"/>
    <w:rsid w:val="00931D74"/>
    <w:rsid w:val="009324C8"/>
    <w:rsid w:val="009334C4"/>
    <w:rsid w:val="00933D74"/>
    <w:rsid w:val="009345D9"/>
    <w:rsid w:val="00934B15"/>
    <w:rsid w:val="009352F8"/>
    <w:rsid w:val="009365BD"/>
    <w:rsid w:val="00937470"/>
    <w:rsid w:val="00937FEB"/>
    <w:rsid w:val="009405E0"/>
    <w:rsid w:val="009407C9"/>
    <w:rsid w:val="009409B4"/>
    <w:rsid w:val="00940DC9"/>
    <w:rsid w:val="009413D6"/>
    <w:rsid w:val="009415BB"/>
    <w:rsid w:val="00941866"/>
    <w:rsid w:val="00941EAA"/>
    <w:rsid w:val="00942916"/>
    <w:rsid w:val="00942B62"/>
    <w:rsid w:val="00942E4A"/>
    <w:rsid w:val="0094384F"/>
    <w:rsid w:val="009440DF"/>
    <w:rsid w:val="00944A7B"/>
    <w:rsid w:val="00945C17"/>
    <w:rsid w:val="00946090"/>
    <w:rsid w:val="00947B86"/>
    <w:rsid w:val="00947BD2"/>
    <w:rsid w:val="009501B7"/>
    <w:rsid w:val="00950463"/>
    <w:rsid w:val="00951546"/>
    <w:rsid w:val="009516AA"/>
    <w:rsid w:val="009517E3"/>
    <w:rsid w:val="009519DE"/>
    <w:rsid w:val="00951CB1"/>
    <w:rsid w:val="00951ECA"/>
    <w:rsid w:val="00951F25"/>
    <w:rsid w:val="00952C36"/>
    <w:rsid w:val="00952D55"/>
    <w:rsid w:val="00952DBA"/>
    <w:rsid w:val="009533C9"/>
    <w:rsid w:val="0095527B"/>
    <w:rsid w:val="00955364"/>
    <w:rsid w:val="0095550E"/>
    <w:rsid w:val="00955875"/>
    <w:rsid w:val="009558D9"/>
    <w:rsid w:val="00956A0C"/>
    <w:rsid w:val="00956BD9"/>
    <w:rsid w:val="00960965"/>
    <w:rsid w:val="00960A81"/>
    <w:rsid w:val="00961640"/>
    <w:rsid w:val="00961EBF"/>
    <w:rsid w:val="00961F73"/>
    <w:rsid w:val="00962152"/>
    <w:rsid w:val="00962489"/>
    <w:rsid w:val="00963A9D"/>
    <w:rsid w:val="00963EAD"/>
    <w:rsid w:val="00964528"/>
    <w:rsid w:val="00964599"/>
    <w:rsid w:val="0096493B"/>
    <w:rsid w:val="009662B0"/>
    <w:rsid w:val="009677C7"/>
    <w:rsid w:val="00967D42"/>
    <w:rsid w:val="00970EDD"/>
    <w:rsid w:val="009719DF"/>
    <w:rsid w:val="00971A3C"/>
    <w:rsid w:val="00971DF1"/>
    <w:rsid w:val="0097227B"/>
    <w:rsid w:val="00972771"/>
    <w:rsid w:val="0097352F"/>
    <w:rsid w:val="009738F3"/>
    <w:rsid w:val="00974475"/>
    <w:rsid w:val="00974EA4"/>
    <w:rsid w:val="0097527F"/>
    <w:rsid w:val="00975E61"/>
    <w:rsid w:val="00977655"/>
    <w:rsid w:val="009810E7"/>
    <w:rsid w:val="00982247"/>
    <w:rsid w:val="00982574"/>
    <w:rsid w:val="00983900"/>
    <w:rsid w:val="0098399D"/>
    <w:rsid w:val="00985490"/>
    <w:rsid w:val="00985A1B"/>
    <w:rsid w:val="0098632B"/>
    <w:rsid w:val="0098650D"/>
    <w:rsid w:val="0098690B"/>
    <w:rsid w:val="00986B63"/>
    <w:rsid w:val="0098777B"/>
    <w:rsid w:val="0099016B"/>
    <w:rsid w:val="009903DD"/>
    <w:rsid w:val="00990C2C"/>
    <w:rsid w:val="0099123D"/>
    <w:rsid w:val="00991642"/>
    <w:rsid w:val="0099193B"/>
    <w:rsid w:val="009924DB"/>
    <w:rsid w:val="00992695"/>
    <w:rsid w:val="00992AF5"/>
    <w:rsid w:val="009939D2"/>
    <w:rsid w:val="00993B78"/>
    <w:rsid w:val="00993EBC"/>
    <w:rsid w:val="00993F96"/>
    <w:rsid w:val="00994AAB"/>
    <w:rsid w:val="009961E3"/>
    <w:rsid w:val="00997079"/>
    <w:rsid w:val="009976D6"/>
    <w:rsid w:val="00997ADB"/>
    <w:rsid w:val="009A0577"/>
    <w:rsid w:val="009A11CA"/>
    <w:rsid w:val="009A122A"/>
    <w:rsid w:val="009A1D67"/>
    <w:rsid w:val="009A2AAB"/>
    <w:rsid w:val="009A2EC5"/>
    <w:rsid w:val="009A30E7"/>
    <w:rsid w:val="009A3C5D"/>
    <w:rsid w:val="009A4519"/>
    <w:rsid w:val="009A4B93"/>
    <w:rsid w:val="009A529B"/>
    <w:rsid w:val="009A595F"/>
    <w:rsid w:val="009A5D86"/>
    <w:rsid w:val="009A60C7"/>
    <w:rsid w:val="009A66ED"/>
    <w:rsid w:val="009A7487"/>
    <w:rsid w:val="009A7B70"/>
    <w:rsid w:val="009B0447"/>
    <w:rsid w:val="009B0467"/>
    <w:rsid w:val="009B102B"/>
    <w:rsid w:val="009B15EF"/>
    <w:rsid w:val="009B20B8"/>
    <w:rsid w:val="009B2285"/>
    <w:rsid w:val="009B2B96"/>
    <w:rsid w:val="009B310E"/>
    <w:rsid w:val="009B316D"/>
    <w:rsid w:val="009B31BB"/>
    <w:rsid w:val="009B4270"/>
    <w:rsid w:val="009B51E0"/>
    <w:rsid w:val="009B520F"/>
    <w:rsid w:val="009B59DC"/>
    <w:rsid w:val="009B63E8"/>
    <w:rsid w:val="009B65E0"/>
    <w:rsid w:val="009B67F3"/>
    <w:rsid w:val="009B689A"/>
    <w:rsid w:val="009B6DE9"/>
    <w:rsid w:val="009B7263"/>
    <w:rsid w:val="009B748A"/>
    <w:rsid w:val="009B76CA"/>
    <w:rsid w:val="009B777D"/>
    <w:rsid w:val="009B7940"/>
    <w:rsid w:val="009C0115"/>
    <w:rsid w:val="009C0D77"/>
    <w:rsid w:val="009C1000"/>
    <w:rsid w:val="009C25CB"/>
    <w:rsid w:val="009C2BCB"/>
    <w:rsid w:val="009C330A"/>
    <w:rsid w:val="009C3D79"/>
    <w:rsid w:val="009C44FB"/>
    <w:rsid w:val="009C467C"/>
    <w:rsid w:val="009C5271"/>
    <w:rsid w:val="009C54E1"/>
    <w:rsid w:val="009C6340"/>
    <w:rsid w:val="009C6B5F"/>
    <w:rsid w:val="009C6C2E"/>
    <w:rsid w:val="009C6CC5"/>
    <w:rsid w:val="009C7063"/>
    <w:rsid w:val="009C77A9"/>
    <w:rsid w:val="009C7B3F"/>
    <w:rsid w:val="009C7F28"/>
    <w:rsid w:val="009D31A8"/>
    <w:rsid w:val="009D34F7"/>
    <w:rsid w:val="009D3B30"/>
    <w:rsid w:val="009D40D2"/>
    <w:rsid w:val="009D5118"/>
    <w:rsid w:val="009D5821"/>
    <w:rsid w:val="009D58E3"/>
    <w:rsid w:val="009D58F1"/>
    <w:rsid w:val="009D628A"/>
    <w:rsid w:val="009D6564"/>
    <w:rsid w:val="009D6794"/>
    <w:rsid w:val="009D6C36"/>
    <w:rsid w:val="009D7454"/>
    <w:rsid w:val="009D7C29"/>
    <w:rsid w:val="009E049A"/>
    <w:rsid w:val="009E04C1"/>
    <w:rsid w:val="009E0962"/>
    <w:rsid w:val="009E19A2"/>
    <w:rsid w:val="009E2C91"/>
    <w:rsid w:val="009E3266"/>
    <w:rsid w:val="009E36E8"/>
    <w:rsid w:val="009E3EFC"/>
    <w:rsid w:val="009E42C3"/>
    <w:rsid w:val="009E4766"/>
    <w:rsid w:val="009E5074"/>
    <w:rsid w:val="009E5DB7"/>
    <w:rsid w:val="009E5E0C"/>
    <w:rsid w:val="009E6723"/>
    <w:rsid w:val="009E68DD"/>
    <w:rsid w:val="009E6C93"/>
    <w:rsid w:val="009E745C"/>
    <w:rsid w:val="009F0F7F"/>
    <w:rsid w:val="009F1AD6"/>
    <w:rsid w:val="009F2104"/>
    <w:rsid w:val="009F2304"/>
    <w:rsid w:val="009F2A31"/>
    <w:rsid w:val="009F33A8"/>
    <w:rsid w:val="009F3569"/>
    <w:rsid w:val="009F362E"/>
    <w:rsid w:val="009F377C"/>
    <w:rsid w:val="009F38D1"/>
    <w:rsid w:val="009F3E8B"/>
    <w:rsid w:val="009F3FBC"/>
    <w:rsid w:val="009F44F1"/>
    <w:rsid w:val="009F4B93"/>
    <w:rsid w:val="009F5C77"/>
    <w:rsid w:val="009F6445"/>
    <w:rsid w:val="009F6627"/>
    <w:rsid w:val="009F696D"/>
    <w:rsid w:val="009F6AAA"/>
    <w:rsid w:val="009F6BC6"/>
    <w:rsid w:val="009F77A5"/>
    <w:rsid w:val="009F7B39"/>
    <w:rsid w:val="009F7E45"/>
    <w:rsid w:val="00A002D4"/>
    <w:rsid w:val="00A00BCB"/>
    <w:rsid w:val="00A01E1C"/>
    <w:rsid w:val="00A02D30"/>
    <w:rsid w:val="00A034D0"/>
    <w:rsid w:val="00A04410"/>
    <w:rsid w:val="00A04C1F"/>
    <w:rsid w:val="00A04E76"/>
    <w:rsid w:val="00A053C8"/>
    <w:rsid w:val="00A059C7"/>
    <w:rsid w:val="00A062C6"/>
    <w:rsid w:val="00A06C1A"/>
    <w:rsid w:val="00A071FE"/>
    <w:rsid w:val="00A07514"/>
    <w:rsid w:val="00A07570"/>
    <w:rsid w:val="00A1085A"/>
    <w:rsid w:val="00A11513"/>
    <w:rsid w:val="00A125C1"/>
    <w:rsid w:val="00A127E7"/>
    <w:rsid w:val="00A12C6C"/>
    <w:rsid w:val="00A14B82"/>
    <w:rsid w:val="00A14BC5"/>
    <w:rsid w:val="00A158AB"/>
    <w:rsid w:val="00A169D9"/>
    <w:rsid w:val="00A172EB"/>
    <w:rsid w:val="00A17328"/>
    <w:rsid w:val="00A200F9"/>
    <w:rsid w:val="00A20DE1"/>
    <w:rsid w:val="00A22872"/>
    <w:rsid w:val="00A2298D"/>
    <w:rsid w:val="00A22A21"/>
    <w:rsid w:val="00A22F31"/>
    <w:rsid w:val="00A2320D"/>
    <w:rsid w:val="00A23A20"/>
    <w:rsid w:val="00A23F03"/>
    <w:rsid w:val="00A24234"/>
    <w:rsid w:val="00A2467C"/>
    <w:rsid w:val="00A268B9"/>
    <w:rsid w:val="00A2703A"/>
    <w:rsid w:val="00A2724C"/>
    <w:rsid w:val="00A27D5F"/>
    <w:rsid w:val="00A30042"/>
    <w:rsid w:val="00A301AD"/>
    <w:rsid w:val="00A30422"/>
    <w:rsid w:val="00A30527"/>
    <w:rsid w:val="00A30C9D"/>
    <w:rsid w:val="00A31052"/>
    <w:rsid w:val="00A321E8"/>
    <w:rsid w:val="00A323C1"/>
    <w:rsid w:val="00A327F3"/>
    <w:rsid w:val="00A32976"/>
    <w:rsid w:val="00A337CB"/>
    <w:rsid w:val="00A33960"/>
    <w:rsid w:val="00A33DFF"/>
    <w:rsid w:val="00A3436D"/>
    <w:rsid w:val="00A34EC3"/>
    <w:rsid w:val="00A35115"/>
    <w:rsid w:val="00A35BB9"/>
    <w:rsid w:val="00A3700A"/>
    <w:rsid w:val="00A376A7"/>
    <w:rsid w:val="00A37D7C"/>
    <w:rsid w:val="00A41073"/>
    <w:rsid w:val="00A411BA"/>
    <w:rsid w:val="00A41D51"/>
    <w:rsid w:val="00A420BB"/>
    <w:rsid w:val="00A42392"/>
    <w:rsid w:val="00A42714"/>
    <w:rsid w:val="00A42A55"/>
    <w:rsid w:val="00A437AF"/>
    <w:rsid w:val="00A43852"/>
    <w:rsid w:val="00A43A4F"/>
    <w:rsid w:val="00A44144"/>
    <w:rsid w:val="00A455E8"/>
    <w:rsid w:val="00A45BB7"/>
    <w:rsid w:val="00A45F9C"/>
    <w:rsid w:val="00A45FAD"/>
    <w:rsid w:val="00A46627"/>
    <w:rsid w:val="00A4676C"/>
    <w:rsid w:val="00A46792"/>
    <w:rsid w:val="00A4679F"/>
    <w:rsid w:val="00A47DAF"/>
    <w:rsid w:val="00A5041C"/>
    <w:rsid w:val="00A50EE2"/>
    <w:rsid w:val="00A513B3"/>
    <w:rsid w:val="00A53046"/>
    <w:rsid w:val="00A54859"/>
    <w:rsid w:val="00A554AB"/>
    <w:rsid w:val="00A55E43"/>
    <w:rsid w:val="00A5646B"/>
    <w:rsid w:val="00A566E6"/>
    <w:rsid w:val="00A56707"/>
    <w:rsid w:val="00A567F4"/>
    <w:rsid w:val="00A56A74"/>
    <w:rsid w:val="00A57471"/>
    <w:rsid w:val="00A57771"/>
    <w:rsid w:val="00A57786"/>
    <w:rsid w:val="00A578C6"/>
    <w:rsid w:val="00A6168B"/>
    <w:rsid w:val="00A6187D"/>
    <w:rsid w:val="00A61DC8"/>
    <w:rsid w:val="00A6223C"/>
    <w:rsid w:val="00A62B4B"/>
    <w:rsid w:val="00A6326D"/>
    <w:rsid w:val="00A64A3C"/>
    <w:rsid w:val="00A66300"/>
    <w:rsid w:val="00A66A45"/>
    <w:rsid w:val="00A66AFA"/>
    <w:rsid w:val="00A66BA0"/>
    <w:rsid w:val="00A66E9F"/>
    <w:rsid w:val="00A67AB2"/>
    <w:rsid w:val="00A67B90"/>
    <w:rsid w:val="00A67F11"/>
    <w:rsid w:val="00A67F5A"/>
    <w:rsid w:val="00A70173"/>
    <w:rsid w:val="00A70642"/>
    <w:rsid w:val="00A70A8F"/>
    <w:rsid w:val="00A716C5"/>
    <w:rsid w:val="00A7191B"/>
    <w:rsid w:val="00A71E66"/>
    <w:rsid w:val="00A720ED"/>
    <w:rsid w:val="00A727CF"/>
    <w:rsid w:val="00A737DB"/>
    <w:rsid w:val="00A737E6"/>
    <w:rsid w:val="00A73F93"/>
    <w:rsid w:val="00A74EA6"/>
    <w:rsid w:val="00A75B68"/>
    <w:rsid w:val="00A76160"/>
    <w:rsid w:val="00A7638E"/>
    <w:rsid w:val="00A767D8"/>
    <w:rsid w:val="00A76B48"/>
    <w:rsid w:val="00A76EB6"/>
    <w:rsid w:val="00A77403"/>
    <w:rsid w:val="00A80D49"/>
    <w:rsid w:val="00A8147B"/>
    <w:rsid w:val="00A81991"/>
    <w:rsid w:val="00A81A08"/>
    <w:rsid w:val="00A81CED"/>
    <w:rsid w:val="00A82375"/>
    <w:rsid w:val="00A82BC4"/>
    <w:rsid w:val="00A8310B"/>
    <w:rsid w:val="00A850C5"/>
    <w:rsid w:val="00A85858"/>
    <w:rsid w:val="00A85D26"/>
    <w:rsid w:val="00A86484"/>
    <w:rsid w:val="00A8661F"/>
    <w:rsid w:val="00A8706F"/>
    <w:rsid w:val="00A876AF"/>
    <w:rsid w:val="00A87904"/>
    <w:rsid w:val="00A87B90"/>
    <w:rsid w:val="00A9061E"/>
    <w:rsid w:val="00A910EA"/>
    <w:rsid w:val="00A927AC"/>
    <w:rsid w:val="00A92A61"/>
    <w:rsid w:val="00A92B53"/>
    <w:rsid w:val="00A93119"/>
    <w:rsid w:val="00A93C26"/>
    <w:rsid w:val="00A941E5"/>
    <w:rsid w:val="00A945ED"/>
    <w:rsid w:val="00A94A14"/>
    <w:rsid w:val="00A94FA6"/>
    <w:rsid w:val="00A95A22"/>
    <w:rsid w:val="00A95E7F"/>
    <w:rsid w:val="00A9606E"/>
    <w:rsid w:val="00A9631C"/>
    <w:rsid w:val="00A96D62"/>
    <w:rsid w:val="00A96FD4"/>
    <w:rsid w:val="00A97180"/>
    <w:rsid w:val="00A9736A"/>
    <w:rsid w:val="00A97A93"/>
    <w:rsid w:val="00AA1153"/>
    <w:rsid w:val="00AA1757"/>
    <w:rsid w:val="00AA191B"/>
    <w:rsid w:val="00AA28CE"/>
    <w:rsid w:val="00AA2BB6"/>
    <w:rsid w:val="00AA2D36"/>
    <w:rsid w:val="00AA37A0"/>
    <w:rsid w:val="00AA3B76"/>
    <w:rsid w:val="00AA4142"/>
    <w:rsid w:val="00AA45A5"/>
    <w:rsid w:val="00AA49A0"/>
    <w:rsid w:val="00AA50B7"/>
    <w:rsid w:val="00AA5650"/>
    <w:rsid w:val="00AA583C"/>
    <w:rsid w:val="00AA5DF2"/>
    <w:rsid w:val="00AA6710"/>
    <w:rsid w:val="00AA762B"/>
    <w:rsid w:val="00AB0576"/>
    <w:rsid w:val="00AB0681"/>
    <w:rsid w:val="00AB0F2E"/>
    <w:rsid w:val="00AB1EDF"/>
    <w:rsid w:val="00AB2A7A"/>
    <w:rsid w:val="00AB2D83"/>
    <w:rsid w:val="00AB3AA9"/>
    <w:rsid w:val="00AB3EB5"/>
    <w:rsid w:val="00AB4166"/>
    <w:rsid w:val="00AB4A3E"/>
    <w:rsid w:val="00AB4BF2"/>
    <w:rsid w:val="00AB4CD6"/>
    <w:rsid w:val="00AB4EDF"/>
    <w:rsid w:val="00AB4EF7"/>
    <w:rsid w:val="00AB57F4"/>
    <w:rsid w:val="00AB633B"/>
    <w:rsid w:val="00AB64B3"/>
    <w:rsid w:val="00AB65FA"/>
    <w:rsid w:val="00AB68EC"/>
    <w:rsid w:val="00AB6B09"/>
    <w:rsid w:val="00AB6D5A"/>
    <w:rsid w:val="00AB736D"/>
    <w:rsid w:val="00AB7454"/>
    <w:rsid w:val="00AB7704"/>
    <w:rsid w:val="00AB7EAE"/>
    <w:rsid w:val="00AC11AE"/>
    <w:rsid w:val="00AC11E6"/>
    <w:rsid w:val="00AC1526"/>
    <w:rsid w:val="00AC2465"/>
    <w:rsid w:val="00AC2F74"/>
    <w:rsid w:val="00AC3FE1"/>
    <w:rsid w:val="00AC49A2"/>
    <w:rsid w:val="00AC5006"/>
    <w:rsid w:val="00AC51D1"/>
    <w:rsid w:val="00AC5570"/>
    <w:rsid w:val="00AC6461"/>
    <w:rsid w:val="00AC6905"/>
    <w:rsid w:val="00AC697B"/>
    <w:rsid w:val="00AD072A"/>
    <w:rsid w:val="00AD1EEB"/>
    <w:rsid w:val="00AD2521"/>
    <w:rsid w:val="00AD2C7F"/>
    <w:rsid w:val="00AD2F78"/>
    <w:rsid w:val="00AD3C0E"/>
    <w:rsid w:val="00AD402E"/>
    <w:rsid w:val="00AD479E"/>
    <w:rsid w:val="00AD6081"/>
    <w:rsid w:val="00AD6896"/>
    <w:rsid w:val="00AD6C14"/>
    <w:rsid w:val="00AE085B"/>
    <w:rsid w:val="00AE0D14"/>
    <w:rsid w:val="00AE16CC"/>
    <w:rsid w:val="00AE1804"/>
    <w:rsid w:val="00AE1C23"/>
    <w:rsid w:val="00AE21EA"/>
    <w:rsid w:val="00AE2B09"/>
    <w:rsid w:val="00AE2C14"/>
    <w:rsid w:val="00AE2DB3"/>
    <w:rsid w:val="00AE3083"/>
    <w:rsid w:val="00AE33D6"/>
    <w:rsid w:val="00AE38BF"/>
    <w:rsid w:val="00AE3D5A"/>
    <w:rsid w:val="00AE3EE5"/>
    <w:rsid w:val="00AE53FC"/>
    <w:rsid w:val="00AE55F6"/>
    <w:rsid w:val="00AE59F6"/>
    <w:rsid w:val="00AE5B44"/>
    <w:rsid w:val="00AE6284"/>
    <w:rsid w:val="00AE646D"/>
    <w:rsid w:val="00AE740E"/>
    <w:rsid w:val="00AE75BD"/>
    <w:rsid w:val="00AE7A0C"/>
    <w:rsid w:val="00AE7C89"/>
    <w:rsid w:val="00AE7F3A"/>
    <w:rsid w:val="00AF0213"/>
    <w:rsid w:val="00AF0442"/>
    <w:rsid w:val="00AF058B"/>
    <w:rsid w:val="00AF067C"/>
    <w:rsid w:val="00AF08E6"/>
    <w:rsid w:val="00AF0B06"/>
    <w:rsid w:val="00AF0C1D"/>
    <w:rsid w:val="00AF0D24"/>
    <w:rsid w:val="00AF1D2D"/>
    <w:rsid w:val="00AF22E1"/>
    <w:rsid w:val="00AF2794"/>
    <w:rsid w:val="00AF2AFD"/>
    <w:rsid w:val="00AF30A2"/>
    <w:rsid w:val="00AF32A0"/>
    <w:rsid w:val="00AF37AC"/>
    <w:rsid w:val="00AF38D1"/>
    <w:rsid w:val="00AF39B8"/>
    <w:rsid w:val="00AF41C8"/>
    <w:rsid w:val="00AF42AC"/>
    <w:rsid w:val="00AF51CD"/>
    <w:rsid w:val="00AF6F2E"/>
    <w:rsid w:val="00AF79F5"/>
    <w:rsid w:val="00B013C9"/>
    <w:rsid w:val="00B01A4A"/>
    <w:rsid w:val="00B024FB"/>
    <w:rsid w:val="00B02726"/>
    <w:rsid w:val="00B027FA"/>
    <w:rsid w:val="00B02E9B"/>
    <w:rsid w:val="00B03180"/>
    <w:rsid w:val="00B033CD"/>
    <w:rsid w:val="00B03648"/>
    <w:rsid w:val="00B043FD"/>
    <w:rsid w:val="00B054F5"/>
    <w:rsid w:val="00B062FB"/>
    <w:rsid w:val="00B063A1"/>
    <w:rsid w:val="00B06B39"/>
    <w:rsid w:val="00B06B82"/>
    <w:rsid w:val="00B06F5A"/>
    <w:rsid w:val="00B0750D"/>
    <w:rsid w:val="00B10217"/>
    <w:rsid w:val="00B10CF5"/>
    <w:rsid w:val="00B12C53"/>
    <w:rsid w:val="00B12CE4"/>
    <w:rsid w:val="00B12F2F"/>
    <w:rsid w:val="00B1314C"/>
    <w:rsid w:val="00B138A8"/>
    <w:rsid w:val="00B1403D"/>
    <w:rsid w:val="00B14137"/>
    <w:rsid w:val="00B157D0"/>
    <w:rsid w:val="00B15C61"/>
    <w:rsid w:val="00B15C91"/>
    <w:rsid w:val="00B160AB"/>
    <w:rsid w:val="00B16419"/>
    <w:rsid w:val="00B16612"/>
    <w:rsid w:val="00B17328"/>
    <w:rsid w:val="00B175E0"/>
    <w:rsid w:val="00B20290"/>
    <w:rsid w:val="00B2091D"/>
    <w:rsid w:val="00B20A9C"/>
    <w:rsid w:val="00B20C96"/>
    <w:rsid w:val="00B213AD"/>
    <w:rsid w:val="00B21FFD"/>
    <w:rsid w:val="00B22E0A"/>
    <w:rsid w:val="00B230C3"/>
    <w:rsid w:val="00B2312D"/>
    <w:rsid w:val="00B23444"/>
    <w:rsid w:val="00B23AEA"/>
    <w:rsid w:val="00B23F9D"/>
    <w:rsid w:val="00B269F7"/>
    <w:rsid w:val="00B26D15"/>
    <w:rsid w:val="00B27176"/>
    <w:rsid w:val="00B2730C"/>
    <w:rsid w:val="00B31E39"/>
    <w:rsid w:val="00B3232C"/>
    <w:rsid w:val="00B327D1"/>
    <w:rsid w:val="00B3448F"/>
    <w:rsid w:val="00B34A68"/>
    <w:rsid w:val="00B35F85"/>
    <w:rsid w:val="00B35F9C"/>
    <w:rsid w:val="00B36A51"/>
    <w:rsid w:val="00B37316"/>
    <w:rsid w:val="00B37A38"/>
    <w:rsid w:val="00B4021B"/>
    <w:rsid w:val="00B413B2"/>
    <w:rsid w:val="00B41B16"/>
    <w:rsid w:val="00B42EDC"/>
    <w:rsid w:val="00B43048"/>
    <w:rsid w:val="00B43B45"/>
    <w:rsid w:val="00B440AD"/>
    <w:rsid w:val="00B45320"/>
    <w:rsid w:val="00B453C0"/>
    <w:rsid w:val="00B46122"/>
    <w:rsid w:val="00B464A0"/>
    <w:rsid w:val="00B46C8E"/>
    <w:rsid w:val="00B46DE5"/>
    <w:rsid w:val="00B46EFA"/>
    <w:rsid w:val="00B471F0"/>
    <w:rsid w:val="00B47DD5"/>
    <w:rsid w:val="00B47E4E"/>
    <w:rsid w:val="00B50C71"/>
    <w:rsid w:val="00B521F5"/>
    <w:rsid w:val="00B52F37"/>
    <w:rsid w:val="00B537F9"/>
    <w:rsid w:val="00B53E7E"/>
    <w:rsid w:val="00B54640"/>
    <w:rsid w:val="00B55EE8"/>
    <w:rsid w:val="00B563E1"/>
    <w:rsid w:val="00B56A79"/>
    <w:rsid w:val="00B56B33"/>
    <w:rsid w:val="00B56B72"/>
    <w:rsid w:val="00B56E17"/>
    <w:rsid w:val="00B57683"/>
    <w:rsid w:val="00B60A49"/>
    <w:rsid w:val="00B633CF"/>
    <w:rsid w:val="00B633E0"/>
    <w:rsid w:val="00B6342E"/>
    <w:rsid w:val="00B63610"/>
    <w:rsid w:val="00B64171"/>
    <w:rsid w:val="00B654C4"/>
    <w:rsid w:val="00B6634E"/>
    <w:rsid w:val="00B66399"/>
    <w:rsid w:val="00B66C81"/>
    <w:rsid w:val="00B676BD"/>
    <w:rsid w:val="00B67797"/>
    <w:rsid w:val="00B67BAD"/>
    <w:rsid w:val="00B7060C"/>
    <w:rsid w:val="00B71022"/>
    <w:rsid w:val="00B7113F"/>
    <w:rsid w:val="00B7184C"/>
    <w:rsid w:val="00B720C6"/>
    <w:rsid w:val="00B720DE"/>
    <w:rsid w:val="00B72BA0"/>
    <w:rsid w:val="00B7304E"/>
    <w:rsid w:val="00B73383"/>
    <w:rsid w:val="00B7382C"/>
    <w:rsid w:val="00B73B46"/>
    <w:rsid w:val="00B74E23"/>
    <w:rsid w:val="00B75321"/>
    <w:rsid w:val="00B7536B"/>
    <w:rsid w:val="00B75B02"/>
    <w:rsid w:val="00B76B84"/>
    <w:rsid w:val="00B76B9A"/>
    <w:rsid w:val="00B76D18"/>
    <w:rsid w:val="00B776EA"/>
    <w:rsid w:val="00B77849"/>
    <w:rsid w:val="00B8003E"/>
    <w:rsid w:val="00B80B86"/>
    <w:rsid w:val="00B80F4D"/>
    <w:rsid w:val="00B814E2"/>
    <w:rsid w:val="00B8166B"/>
    <w:rsid w:val="00B82082"/>
    <w:rsid w:val="00B8316A"/>
    <w:rsid w:val="00B83C17"/>
    <w:rsid w:val="00B83CF3"/>
    <w:rsid w:val="00B83D96"/>
    <w:rsid w:val="00B8520A"/>
    <w:rsid w:val="00B8554A"/>
    <w:rsid w:val="00B85615"/>
    <w:rsid w:val="00B86D4D"/>
    <w:rsid w:val="00B8784F"/>
    <w:rsid w:val="00B87B8B"/>
    <w:rsid w:val="00B904CE"/>
    <w:rsid w:val="00B91C81"/>
    <w:rsid w:val="00B91D0F"/>
    <w:rsid w:val="00B91F63"/>
    <w:rsid w:val="00B924B3"/>
    <w:rsid w:val="00B92844"/>
    <w:rsid w:val="00B92A18"/>
    <w:rsid w:val="00B92B0B"/>
    <w:rsid w:val="00B932C2"/>
    <w:rsid w:val="00B938FB"/>
    <w:rsid w:val="00B955AE"/>
    <w:rsid w:val="00B9616F"/>
    <w:rsid w:val="00B967D0"/>
    <w:rsid w:val="00B969C0"/>
    <w:rsid w:val="00B96CBA"/>
    <w:rsid w:val="00B97041"/>
    <w:rsid w:val="00B970D5"/>
    <w:rsid w:val="00B97919"/>
    <w:rsid w:val="00BA0339"/>
    <w:rsid w:val="00BA11CD"/>
    <w:rsid w:val="00BA1B40"/>
    <w:rsid w:val="00BA2907"/>
    <w:rsid w:val="00BA3AC3"/>
    <w:rsid w:val="00BA4D02"/>
    <w:rsid w:val="00BA5C4D"/>
    <w:rsid w:val="00BA66B8"/>
    <w:rsid w:val="00BA73B6"/>
    <w:rsid w:val="00BB0109"/>
    <w:rsid w:val="00BB01C4"/>
    <w:rsid w:val="00BB05F0"/>
    <w:rsid w:val="00BB0659"/>
    <w:rsid w:val="00BB098F"/>
    <w:rsid w:val="00BB0BAF"/>
    <w:rsid w:val="00BB114A"/>
    <w:rsid w:val="00BB1BB9"/>
    <w:rsid w:val="00BB2338"/>
    <w:rsid w:val="00BB246A"/>
    <w:rsid w:val="00BB4A3B"/>
    <w:rsid w:val="00BB4FCD"/>
    <w:rsid w:val="00BB567D"/>
    <w:rsid w:val="00BB5F58"/>
    <w:rsid w:val="00BB6658"/>
    <w:rsid w:val="00BB698B"/>
    <w:rsid w:val="00BB6CCA"/>
    <w:rsid w:val="00BB7051"/>
    <w:rsid w:val="00BB7507"/>
    <w:rsid w:val="00BB7F8D"/>
    <w:rsid w:val="00BC0B0D"/>
    <w:rsid w:val="00BC0E9C"/>
    <w:rsid w:val="00BC15A6"/>
    <w:rsid w:val="00BC176C"/>
    <w:rsid w:val="00BC2180"/>
    <w:rsid w:val="00BC22F8"/>
    <w:rsid w:val="00BC2EFD"/>
    <w:rsid w:val="00BC2F43"/>
    <w:rsid w:val="00BC3267"/>
    <w:rsid w:val="00BC33E5"/>
    <w:rsid w:val="00BC3F87"/>
    <w:rsid w:val="00BC40F2"/>
    <w:rsid w:val="00BC44BA"/>
    <w:rsid w:val="00BC4D4D"/>
    <w:rsid w:val="00BC5048"/>
    <w:rsid w:val="00BC5107"/>
    <w:rsid w:val="00BC5778"/>
    <w:rsid w:val="00BC57FE"/>
    <w:rsid w:val="00BC5AEF"/>
    <w:rsid w:val="00BC5B2E"/>
    <w:rsid w:val="00BC5EDC"/>
    <w:rsid w:val="00BC5F90"/>
    <w:rsid w:val="00BC6263"/>
    <w:rsid w:val="00BC6D28"/>
    <w:rsid w:val="00BC7908"/>
    <w:rsid w:val="00BD0139"/>
    <w:rsid w:val="00BD0720"/>
    <w:rsid w:val="00BD104C"/>
    <w:rsid w:val="00BD13EA"/>
    <w:rsid w:val="00BD13FE"/>
    <w:rsid w:val="00BD25D9"/>
    <w:rsid w:val="00BD2C26"/>
    <w:rsid w:val="00BD3D55"/>
    <w:rsid w:val="00BD41FC"/>
    <w:rsid w:val="00BD4CFB"/>
    <w:rsid w:val="00BD4D47"/>
    <w:rsid w:val="00BD565C"/>
    <w:rsid w:val="00BD5813"/>
    <w:rsid w:val="00BD70FF"/>
    <w:rsid w:val="00BD71BA"/>
    <w:rsid w:val="00BD7E81"/>
    <w:rsid w:val="00BE127A"/>
    <w:rsid w:val="00BE1318"/>
    <w:rsid w:val="00BE250E"/>
    <w:rsid w:val="00BE3808"/>
    <w:rsid w:val="00BE384A"/>
    <w:rsid w:val="00BE3AC6"/>
    <w:rsid w:val="00BE4F9C"/>
    <w:rsid w:val="00BE52F6"/>
    <w:rsid w:val="00BE543C"/>
    <w:rsid w:val="00BE5666"/>
    <w:rsid w:val="00BE5AA4"/>
    <w:rsid w:val="00BE6438"/>
    <w:rsid w:val="00BE643C"/>
    <w:rsid w:val="00BE6DF6"/>
    <w:rsid w:val="00BE74D9"/>
    <w:rsid w:val="00BF023D"/>
    <w:rsid w:val="00BF055A"/>
    <w:rsid w:val="00BF097A"/>
    <w:rsid w:val="00BF11BE"/>
    <w:rsid w:val="00BF1AEB"/>
    <w:rsid w:val="00BF1BAE"/>
    <w:rsid w:val="00BF2205"/>
    <w:rsid w:val="00BF22ED"/>
    <w:rsid w:val="00BF2374"/>
    <w:rsid w:val="00BF292D"/>
    <w:rsid w:val="00BF38D6"/>
    <w:rsid w:val="00BF3A29"/>
    <w:rsid w:val="00BF4622"/>
    <w:rsid w:val="00BF49DF"/>
    <w:rsid w:val="00BF52FA"/>
    <w:rsid w:val="00BF62B3"/>
    <w:rsid w:val="00C01016"/>
    <w:rsid w:val="00C0176D"/>
    <w:rsid w:val="00C0242A"/>
    <w:rsid w:val="00C029E0"/>
    <w:rsid w:val="00C02E07"/>
    <w:rsid w:val="00C04517"/>
    <w:rsid w:val="00C047DB"/>
    <w:rsid w:val="00C04E81"/>
    <w:rsid w:val="00C04F1F"/>
    <w:rsid w:val="00C053FD"/>
    <w:rsid w:val="00C0611A"/>
    <w:rsid w:val="00C062E9"/>
    <w:rsid w:val="00C0631F"/>
    <w:rsid w:val="00C0666F"/>
    <w:rsid w:val="00C07266"/>
    <w:rsid w:val="00C07B64"/>
    <w:rsid w:val="00C07CAD"/>
    <w:rsid w:val="00C10002"/>
    <w:rsid w:val="00C1136A"/>
    <w:rsid w:val="00C1151B"/>
    <w:rsid w:val="00C116D0"/>
    <w:rsid w:val="00C11CB2"/>
    <w:rsid w:val="00C1208B"/>
    <w:rsid w:val="00C12676"/>
    <w:rsid w:val="00C12EDD"/>
    <w:rsid w:val="00C13721"/>
    <w:rsid w:val="00C144C3"/>
    <w:rsid w:val="00C14831"/>
    <w:rsid w:val="00C14AEA"/>
    <w:rsid w:val="00C15204"/>
    <w:rsid w:val="00C15EB5"/>
    <w:rsid w:val="00C16695"/>
    <w:rsid w:val="00C16FB8"/>
    <w:rsid w:val="00C17280"/>
    <w:rsid w:val="00C172B2"/>
    <w:rsid w:val="00C172C9"/>
    <w:rsid w:val="00C17400"/>
    <w:rsid w:val="00C20975"/>
    <w:rsid w:val="00C20FDE"/>
    <w:rsid w:val="00C21A86"/>
    <w:rsid w:val="00C21BCE"/>
    <w:rsid w:val="00C2301D"/>
    <w:rsid w:val="00C233E8"/>
    <w:rsid w:val="00C23EC0"/>
    <w:rsid w:val="00C2415B"/>
    <w:rsid w:val="00C24823"/>
    <w:rsid w:val="00C25028"/>
    <w:rsid w:val="00C25298"/>
    <w:rsid w:val="00C2559D"/>
    <w:rsid w:val="00C25650"/>
    <w:rsid w:val="00C26221"/>
    <w:rsid w:val="00C2660D"/>
    <w:rsid w:val="00C266FB"/>
    <w:rsid w:val="00C26DA6"/>
    <w:rsid w:val="00C276B1"/>
    <w:rsid w:val="00C3066D"/>
    <w:rsid w:val="00C30A2D"/>
    <w:rsid w:val="00C30C43"/>
    <w:rsid w:val="00C30DBF"/>
    <w:rsid w:val="00C32407"/>
    <w:rsid w:val="00C3351E"/>
    <w:rsid w:val="00C33AA9"/>
    <w:rsid w:val="00C33D01"/>
    <w:rsid w:val="00C33DA7"/>
    <w:rsid w:val="00C3428A"/>
    <w:rsid w:val="00C345F3"/>
    <w:rsid w:val="00C3462F"/>
    <w:rsid w:val="00C354DA"/>
    <w:rsid w:val="00C36483"/>
    <w:rsid w:val="00C36C00"/>
    <w:rsid w:val="00C36C5F"/>
    <w:rsid w:val="00C36EDB"/>
    <w:rsid w:val="00C371A1"/>
    <w:rsid w:val="00C37467"/>
    <w:rsid w:val="00C378AE"/>
    <w:rsid w:val="00C40801"/>
    <w:rsid w:val="00C40883"/>
    <w:rsid w:val="00C40892"/>
    <w:rsid w:val="00C4135C"/>
    <w:rsid w:val="00C4138C"/>
    <w:rsid w:val="00C416D0"/>
    <w:rsid w:val="00C4173B"/>
    <w:rsid w:val="00C41C0D"/>
    <w:rsid w:val="00C42AFB"/>
    <w:rsid w:val="00C42CDC"/>
    <w:rsid w:val="00C43604"/>
    <w:rsid w:val="00C438C3"/>
    <w:rsid w:val="00C441A9"/>
    <w:rsid w:val="00C44585"/>
    <w:rsid w:val="00C45544"/>
    <w:rsid w:val="00C45B20"/>
    <w:rsid w:val="00C46A0B"/>
    <w:rsid w:val="00C4711D"/>
    <w:rsid w:val="00C47B04"/>
    <w:rsid w:val="00C47D08"/>
    <w:rsid w:val="00C512F9"/>
    <w:rsid w:val="00C51353"/>
    <w:rsid w:val="00C51443"/>
    <w:rsid w:val="00C51F68"/>
    <w:rsid w:val="00C527ED"/>
    <w:rsid w:val="00C52B1A"/>
    <w:rsid w:val="00C52D93"/>
    <w:rsid w:val="00C539CE"/>
    <w:rsid w:val="00C543F4"/>
    <w:rsid w:val="00C54762"/>
    <w:rsid w:val="00C54CD4"/>
    <w:rsid w:val="00C55559"/>
    <w:rsid w:val="00C55F8D"/>
    <w:rsid w:val="00C55FD7"/>
    <w:rsid w:val="00C564F4"/>
    <w:rsid w:val="00C56C2D"/>
    <w:rsid w:val="00C5776D"/>
    <w:rsid w:val="00C57A8F"/>
    <w:rsid w:val="00C60018"/>
    <w:rsid w:val="00C604C1"/>
    <w:rsid w:val="00C6088E"/>
    <w:rsid w:val="00C60F56"/>
    <w:rsid w:val="00C61ABB"/>
    <w:rsid w:val="00C628FF"/>
    <w:rsid w:val="00C6291C"/>
    <w:rsid w:val="00C633CB"/>
    <w:rsid w:val="00C6348E"/>
    <w:rsid w:val="00C63839"/>
    <w:rsid w:val="00C63B98"/>
    <w:rsid w:val="00C64E4E"/>
    <w:rsid w:val="00C659C9"/>
    <w:rsid w:val="00C65D32"/>
    <w:rsid w:val="00C65E30"/>
    <w:rsid w:val="00C65F66"/>
    <w:rsid w:val="00C6629D"/>
    <w:rsid w:val="00C663D0"/>
    <w:rsid w:val="00C670FD"/>
    <w:rsid w:val="00C671A7"/>
    <w:rsid w:val="00C6791A"/>
    <w:rsid w:val="00C70782"/>
    <w:rsid w:val="00C70DA1"/>
    <w:rsid w:val="00C71095"/>
    <w:rsid w:val="00C71678"/>
    <w:rsid w:val="00C71868"/>
    <w:rsid w:val="00C728BC"/>
    <w:rsid w:val="00C728EC"/>
    <w:rsid w:val="00C72ABE"/>
    <w:rsid w:val="00C72D37"/>
    <w:rsid w:val="00C73071"/>
    <w:rsid w:val="00C731A3"/>
    <w:rsid w:val="00C73926"/>
    <w:rsid w:val="00C749AF"/>
    <w:rsid w:val="00C74B73"/>
    <w:rsid w:val="00C75834"/>
    <w:rsid w:val="00C75B71"/>
    <w:rsid w:val="00C75EB8"/>
    <w:rsid w:val="00C76150"/>
    <w:rsid w:val="00C77533"/>
    <w:rsid w:val="00C77848"/>
    <w:rsid w:val="00C77CF7"/>
    <w:rsid w:val="00C77D76"/>
    <w:rsid w:val="00C80048"/>
    <w:rsid w:val="00C80274"/>
    <w:rsid w:val="00C8156A"/>
    <w:rsid w:val="00C81571"/>
    <w:rsid w:val="00C81DAE"/>
    <w:rsid w:val="00C8209F"/>
    <w:rsid w:val="00C828AD"/>
    <w:rsid w:val="00C8291F"/>
    <w:rsid w:val="00C82A30"/>
    <w:rsid w:val="00C83BEF"/>
    <w:rsid w:val="00C83C00"/>
    <w:rsid w:val="00C83E54"/>
    <w:rsid w:val="00C8472C"/>
    <w:rsid w:val="00C8497D"/>
    <w:rsid w:val="00C85695"/>
    <w:rsid w:val="00C85A0F"/>
    <w:rsid w:val="00C86217"/>
    <w:rsid w:val="00C8662E"/>
    <w:rsid w:val="00C869DD"/>
    <w:rsid w:val="00C86D21"/>
    <w:rsid w:val="00C8762C"/>
    <w:rsid w:val="00C87828"/>
    <w:rsid w:val="00C87A74"/>
    <w:rsid w:val="00C90C49"/>
    <w:rsid w:val="00C912F4"/>
    <w:rsid w:val="00C91366"/>
    <w:rsid w:val="00C914D3"/>
    <w:rsid w:val="00C91899"/>
    <w:rsid w:val="00C92919"/>
    <w:rsid w:val="00C92B83"/>
    <w:rsid w:val="00C9455F"/>
    <w:rsid w:val="00C948F5"/>
    <w:rsid w:val="00C94D26"/>
    <w:rsid w:val="00C95BCE"/>
    <w:rsid w:val="00C966B1"/>
    <w:rsid w:val="00C9672C"/>
    <w:rsid w:val="00C973F9"/>
    <w:rsid w:val="00C976CE"/>
    <w:rsid w:val="00C97770"/>
    <w:rsid w:val="00CA00F9"/>
    <w:rsid w:val="00CA0BAB"/>
    <w:rsid w:val="00CA10BC"/>
    <w:rsid w:val="00CA1491"/>
    <w:rsid w:val="00CA17E9"/>
    <w:rsid w:val="00CA2961"/>
    <w:rsid w:val="00CA2AB3"/>
    <w:rsid w:val="00CA33F2"/>
    <w:rsid w:val="00CA3AD6"/>
    <w:rsid w:val="00CA3B47"/>
    <w:rsid w:val="00CA3DA3"/>
    <w:rsid w:val="00CA3E85"/>
    <w:rsid w:val="00CA41A4"/>
    <w:rsid w:val="00CA532E"/>
    <w:rsid w:val="00CA59A5"/>
    <w:rsid w:val="00CA6236"/>
    <w:rsid w:val="00CA75F9"/>
    <w:rsid w:val="00CA7D5E"/>
    <w:rsid w:val="00CB0A51"/>
    <w:rsid w:val="00CB161C"/>
    <w:rsid w:val="00CB19F1"/>
    <w:rsid w:val="00CB26A0"/>
    <w:rsid w:val="00CB2D43"/>
    <w:rsid w:val="00CB338D"/>
    <w:rsid w:val="00CB371D"/>
    <w:rsid w:val="00CB3860"/>
    <w:rsid w:val="00CB3CBB"/>
    <w:rsid w:val="00CB4834"/>
    <w:rsid w:val="00CB4E13"/>
    <w:rsid w:val="00CB4FC3"/>
    <w:rsid w:val="00CB50D7"/>
    <w:rsid w:val="00CB562F"/>
    <w:rsid w:val="00CB7177"/>
    <w:rsid w:val="00CB738C"/>
    <w:rsid w:val="00CB749C"/>
    <w:rsid w:val="00CC0170"/>
    <w:rsid w:val="00CC033D"/>
    <w:rsid w:val="00CC0487"/>
    <w:rsid w:val="00CC10DE"/>
    <w:rsid w:val="00CC1187"/>
    <w:rsid w:val="00CC1998"/>
    <w:rsid w:val="00CC3B15"/>
    <w:rsid w:val="00CC3CD6"/>
    <w:rsid w:val="00CC4946"/>
    <w:rsid w:val="00CC4EEC"/>
    <w:rsid w:val="00CC5750"/>
    <w:rsid w:val="00CC5BCB"/>
    <w:rsid w:val="00CC71F1"/>
    <w:rsid w:val="00CD2CAF"/>
    <w:rsid w:val="00CD3279"/>
    <w:rsid w:val="00CD33F5"/>
    <w:rsid w:val="00CD3A4C"/>
    <w:rsid w:val="00CD40E5"/>
    <w:rsid w:val="00CD47BC"/>
    <w:rsid w:val="00CD742C"/>
    <w:rsid w:val="00CD7549"/>
    <w:rsid w:val="00CD765D"/>
    <w:rsid w:val="00CD77C8"/>
    <w:rsid w:val="00CD7850"/>
    <w:rsid w:val="00CE0792"/>
    <w:rsid w:val="00CE0AC5"/>
    <w:rsid w:val="00CE1198"/>
    <w:rsid w:val="00CE121A"/>
    <w:rsid w:val="00CE1FFC"/>
    <w:rsid w:val="00CE22BB"/>
    <w:rsid w:val="00CE270C"/>
    <w:rsid w:val="00CE2B0E"/>
    <w:rsid w:val="00CE3029"/>
    <w:rsid w:val="00CE3D15"/>
    <w:rsid w:val="00CE44F8"/>
    <w:rsid w:val="00CE450D"/>
    <w:rsid w:val="00CE5449"/>
    <w:rsid w:val="00CE54D3"/>
    <w:rsid w:val="00CE7A7A"/>
    <w:rsid w:val="00CF0098"/>
    <w:rsid w:val="00CF1211"/>
    <w:rsid w:val="00CF1878"/>
    <w:rsid w:val="00CF2466"/>
    <w:rsid w:val="00CF2732"/>
    <w:rsid w:val="00CF2982"/>
    <w:rsid w:val="00CF2A9D"/>
    <w:rsid w:val="00CF30D6"/>
    <w:rsid w:val="00CF37A0"/>
    <w:rsid w:val="00CF3AD9"/>
    <w:rsid w:val="00CF44D2"/>
    <w:rsid w:val="00CF49DF"/>
    <w:rsid w:val="00CF4F3F"/>
    <w:rsid w:val="00CF54BC"/>
    <w:rsid w:val="00CF69CA"/>
    <w:rsid w:val="00CF7E65"/>
    <w:rsid w:val="00D0025F"/>
    <w:rsid w:val="00D008A8"/>
    <w:rsid w:val="00D008B2"/>
    <w:rsid w:val="00D010DE"/>
    <w:rsid w:val="00D01920"/>
    <w:rsid w:val="00D0292F"/>
    <w:rsid w:val="00D02B77"/>
    <w:rsid w:val="00D0322F"/>
    <w:rsid w:val="00D03A4F"/>
    <w:rsid w:val="00D03D5E"/>
    <w:rsid w:val="00D041D2"/>
    <w:rsid w:val="00D04414"/>
    <w:rsid w:val="00D04884"/>
    <w:rsid w:val="00D05218"/>
    <w:rsid w:val="00D055EF"/>
    <w:rsid w:val="00D06865"/>
    <w:rsid w:val="00D06AEF"/>
    <w:rsid w:val="00D0792B"/>
    <w:rsid w:val="00D10079"/>
    <w:rsid w:val="00D10106"/>
    <w:rsid w:val="00D10790"/>
    <w:rsid w:val="00D11B0F"/>
    <w:rsid w:val="00D11CD8"/>
    <w:rsid w:val="00D11FB4"/>
    <w:rsid w:val="00D12326"/>
    <w:rsid w:val="00D1261D"/>
    <w:rsid w:val="00D1293D"/>
    <w:rsid w:val="00D12CCB"/>
    <w:rsid w:val="00D13466"/>
    <w:rsid w:val="00D13956"/>
    <w:rsid w:val="00D141AD"/>
    <w:rsid w:val="00D14D66"/>
    <w:rsid w:val="00D15077"/>
    <w:rsid w:val="00D1521A"/>
    <w:rsid w:val="00D16840"/>
    <w:rsid w:val="00D2015B"/>
    <w:rsid w:val="00D209AD"/>
    <w:rsid w:val="00D20C60"/>
    <w:rsid w:val="00D20FBB"/>
    <w:rsid w:val="00D21403"/>
    <w:rsid w:val="00D2238C"/>
    <w:rsid w:val="00D224CB"/>
    <w:rsid w:val="00D22526"/>
    <w:rsid w:val="00D22CED"/>
    <w:rsid w:val="00D23FBD"/>
    <w:rsid w:val="00D25514"/>
    <w:rsid w:val="00D257CA"/>
    <w:rsid w:val="00D25BB1"/>
    <w:rsid w:val="00D25BD7"/>
    <w:rsid w:val="00D26143"/>
    <w:rsid w:val="00D266FE"/>
    <w:rsid w:val="00D26ACE"/>
    <w:rsid w:val="00D26CDA"/>
    <w:rsid w:val="00D26DC6"/>
    <w:rsid w:val="00D26DEE"/>
    <w:rsid w:val="00D270A4"/>
    <w:rsid w:val="00D270BD"/>
    <w:rsid w:val="00D271B2"/>
    <w:rsid w:val="00D272C7"/>
    <w:rsid w:val="00D2741E"/>
    <w:rsid w:val="00D30989"/>
    <w:rsid w:val="00D30B5F"/>
    <w:rsid w:val="00D3134F"/>
    <w:rsid w:val="00D31B34"/>
    <w:rsid w:val="00D324CE"/>
    <w:rsid w:val="00D32FFF"/>
    <w:rsid w:val="00D33086"/>
    <w:rsid w:val="00D333F3"/>
    <w:rsid w:val="00D3355E"/>
    <w:rsid w:val="00D33594"/>
    <w:rsid w:val="00D33678"/>
    <w:rsid w:val="00D34096"/>
    <w:rsid w:val="00D3422C"/>
    <w:rsid w:val="00D34E1B"/>
    <w:rsid w:val="00D34F31"/>
    <w:rsid w:val="00D35C1E"/>
    <w:rsid w:val="00D35E40"/>
    <w:rsid w:val="00D376BA"/>
    <w:rsid w:val="00D41112"/>
    <w:rsid w:val="00D425C4"/>
    <w:rsid w:val="00D431BB"/>
    <w:rsid w:val="00D43AD8"/>
    <w:rsid w:val="00D43D8E"/>
    <w:rsid w:val="00D447DE"/>
    <w:rsid w:val="00D454E2"/>
    <w:rsid w:val="00D45512"/>
    <w:rsid w:val="00D45549"/>
    <w:rsid w:val="00D4561A"/>
    <w:rsid w:val="00D45B47"/>
    <w:rsid w:val="00D46173"/>
    <w:rsid w:val="00D464C3"/>
    <w:rsid w:val="00D4664E"/>
    <w:rsid w:val="00D4683E"/>
    <w:rsid w:val="00D477E1"/>
    <w:rsid w:val="00D51793"/>
    <w:rsid w:val="00D51891"/>
    <w:rsid w:val="00D5239B"/>
    <w:rsid w:val="00D52823"/>
    <w:rsid w:val="00D53653"/>
    <w:rsid w:val="00D53F21"/>
    <w:rsid w:val="00D54368"/>
    <w:rsid w:val="00D54593"/>
    <w:rsid w:val="00D5568A"/>
    <w:rsid w:val="00D55A9E"/>
    <w:rsid w:val="00D56FCD"/>
    <w:rsid w:val="00D575A8"/>
    <w:rsid w:val="00D578C2"/>
    <w:rsid w:val="00D579FF"/>
    <w:rsid w:val="00D57C43"/>
    <w:rsid w:val="00D6155C"/>
    <w:rsid w:val="00D617B3"/>
    <w:rsid w:val="00D62060"/>
    <w:rsid w:val="00D6218A"/>
    <w:rsid w:val="00D62641"/>
    <w:rsid w:val="00D63B68"/>
    <w:rsid w:val="00D63BF9"/>
    <w:rsid w:val="00D63CC9"/>
    <w:rsid w:val="00D63D73"/>
    <w:rsid w:val="00D6427A"/>
    <w:rsid w:val="00D646D2"/>
    <w:rsid w:val="00D64B48"/>
    <w:rsid w:val="00D65253"/>
    <w:rsid w:val="00D65800"/>
    <w:rsid w:val="00D65B96"/>
    <w:rsid w:val="00D66021"/>
    <w:rsid w:val="00D6652E"/>
    <w:rsid w:val="00D666D8"/>
    <w:rsid w:val="00D66B4A"/>
    <w:rsid w:val="00D66E1E"/>
    <w:rsid w:val="00D671B4"/>
    <w:rsid w:val="00D676EE"/>
    <w:rsid w:val="00D67A01"/>
    <w:rsid w:val="00D703B5"/>
    <w:rsid w:val="00D70537"/>
    <w:rsid w:val="00D70DFE"/>
    <w:rsid w:val="00D71B47"/>
    <w:rsid w:val="00D71BEF"/>
    <w:rsid w:val="00D726E6"/>
    <w:rsid w:val="00D7272C"/>
    <w:rsid w:val="00D72A37"/>
    <w:rsid w:val="00D72D11"/>
    <w:rsid w:val="00D73144"/>
    <w:rsid w:val="00D737A2"/>
    <w:rsid w:val="00D743DC"/>
    <w:rsid w:val="00D74748"/>
    <w:rsid w:val="00D74D5F"/>
    <w:rsid w:val="00D74DA8"/>
    <w:rsid w:val="00D74FF7"/>
    <w:rsid w:val="00D75257"/>
    <w:rsid w:val="00D752D3"/>
    <w:rsid w:val="00D75722"/>
    <w:rsid w:val="00D75C16"/>
    <w:rsid w:val="00D75E4C"/>
    <w:rsid w:val="00D75EDF"/>
    <w:rsid w:val="00D760E2"/>
    <w:rsid w:val="00D7680F"/>
    <w:rsid w:val="00D77BA7"/>
    <w:rsid w:val="00D77D37"/>
    <w:rsid w:val="00D77E4A"/>
    <w:rsid w:val="00D77ECF"/>
    <w:rsid w:val="00D80EB6"/>
    <w:rsid w:val="00D82D9E"/>
    <w:rsid w:val="00D82DBB"/>
    <w:rsid w:val="00D8305D"/>
    <w:rsid w:val="00D8308C"/>
    <w:rsid w:val="00D83376"/>
    <w:rsid w:val="00D83674"/>
    <w:rsid w:val="00D8403B"/>
    <w:rsid w:val="00D84740"/>
    <w:rsid w:val="00D84BC6"/>
    <w:rsid w:val="00D84E81"/>
    <w:rsid w:val="00D8524E"/>
    <w:rsid w:val="00D85903"/>
    <w:rsid w:val="00D867DB"/>
    <w:rsid w:val="00D86932"/>
    <w:rsid w:val="00D903C4"/>
    <w:rsid w:val="00D908B3"/>
    <w:rsid w:val="00D90EF8"/>
    <w:rsid w:val="00D9113B"/>
    <w:rsid w:val="00D9116D"/>
    <w:rsid w:val="00D915AF"/>
    <w:rsid w:val="00D91B13"/>
    <w:rsid w:val="00D92311"/>
    <w:rsid w:val="00D92384"/>
    <w:rsid w:val="00D92568"/>
    <w:rsid w:val="00D92CE5"/>
    <w:rsid w:val="00D92DB0"/>
    <w:rsid w:val="00D93140"/>
    <w:rsid w:val="00D93285"/>
    <w:rsid w:val="00D93381"/>
    <w:rsid w:val="00D93530"/>
    <w:rsid w:val="00D94157"/>
    <w:rsid w:val="00D949FB"/>
    <w:rsid w:val="00D95762"/>
    <w:rsid w:val="00D9580A"/>
    <w:rsid w:val="00D9583D"/>
    <w:rsid w:val="00D95D93"/>
    <w:rsid w:val="00D960BC"/>
    <w:rsid w:val="00D9627D"/>
    <w:rsid w:val="00D962CE"/>
    <w:rsid w:val="00D9747C"/>
    <w:rsid w:val="00D979B5"/>
    <w:rsid w:val="00D97E4D"/>
    <w:rsid w:val="00DA0116"/>
    <w:rsid w:val="00DA0976"/>
    <w:rsid w:val="00DA0E25"/>
    <w:rsid w:val="00DA0FA9"/>
    <w:rsid w:val="00DA1027"/>
    <w:rsid w:val="00DA1581"/>
    <w:rsid w:val="00DA1E14"/>
    <w:rsid w:val="00DA2607"/>
    <w:rsid w:val="00DA2A98"/>
    <w:rsid w:val="00DA2C85"/>
    <w:rsid w:val="00DA31D9"/>
    <w:rsid w:val="00DA3357"/>
    <w:rsid w:val="00DA33BA"/>
    <w:rsid w:val="00DA4067"/>
    <w:rsid w:val="00DA41F2"/>
    <w:rsid w:val="00DA42D3"/>
    <w:rsid w:val="00DA4959"/>
    <w:rsid w:val="00DA4AEE"/>
    <w:rsid w:val="00DA4CE1"/>
    <w:rsid w:val="00DA4CE9"/>
    <w:rsid w:val="00DA5378"/>
    <w:rsid w:val="00DA56F2"/>
    <w:rsid w:val="00DA5A3E"/>
    <w:rsid w:val="00DA5B42"/>
    <w:rsid w:val="00DA5BBA"/>
    <w:rsid w:val="00DA60F0"/>
    <w:rsid w:val="00DA6550"/>
    <w:rsid w:val="00DB14FC"/>
    <w:rsid w:val="00DB184B"/>
    <w:rsid w:val="00DB3176"/>
    <w:rsid w:val="00DB3D1C"/>
    <w:rsid w:val="00DB3E27"/>
    <w:rsid w:val="00DB4372"/>
    <w:rsid w:val="00DB4407"/>
    <w:rsid w:val="00DB4B9E"/>
    <w:rsid w:val="00DB4F68"/>
    <w:rsid w:val="00DB5EA7"/>
    <w:rsid w:val="00DB6153"/>
    <w:rsid w:val="00DB670E"/>
    <w:rsid w:val="00DB67BB"/>
    <w:rsid w:val="00DB67C9"/>
    <w:rsid w:val="00DB6C6F"/>
    <w:rsid w:val="00DB740D"/>
    <w:rsid w:val="00DB7500"/>
    <w:rsid w:val="00DB76B5"/>
    <w:rsid w:val="00DC0C95"/>
    <w:rsid w:val="00DC0F01"/>
    <w:rsid w:val="00DC248B"/>
    <w:rsid w:val="00DC2B04"/>
    <w:rsid w:val="00DC3B57"/>
    <w:rsid w:val="00DC3E8D"/>
    <w:rsid w:val="00DC46D8"/>
    <w:rsid w:val="00DC4C07"/>
    <w:rsid w:val="00DC55E5"/>
    <w:rsid w:val="00DC5891"/>
    <w:rsid w:val="00DC6E05"/>
    <w:rsid w:val="00DC7A5B"/>
    <w:rsid w:val="00DD006E"/>
    <w:rsid w:val="00DD077F"/>
    <w:rsid w:val="00DD14F7"/>
    <w:rsid w:val="00DD17FE"/>
    <w:rsid w:val="00DD1A0F"/>
    <w:rsid w:val="00DD2AE5"/>
    <w:rsid w:val="00DD580D"/>
    <w:rsid w:val="00DD5F16"/>
    <w:rsid w:val="00DD6580"/>
    <w:rsid w:val="00DD65C8"/>
    <w:rsid w:val="00DD6C6D"/>
    <w:rsid w:val="00DD7256"/>
    <w:rsid w:val="00DD7603"/>
    <w:rsid w:val="00DE02A5"/>
    <w:rsid w:val="00DE0377"/>
    <w:rsid w:val="00DE0AF7"/>
    <w:rsid w:val="00DE0E12"/>
    <w:rsid w:val="00DE1073"/>
    <w:rsid w:val="00DE1C3C"/>
    <w:rsid w:val="00DE1E71"/>
    <w:rsid w:val="00DE21DC"/>
    <w:rsid w:val="00DE2BEC"/>
    <w:rsid w:val="00DE2DBC"/>
    <w:rsid w:val="00DE3637"/>
    <w:rsid w:val="00DE48E8"/>
    <w:rsid w:val="00DE4AAB"/>
    <w:rsid w:val="00DE4F88"/>
    <w:rsid w:val="00DE5DF3"/>
    <w:rsid w:val="00DE6919"/>
    <w:rsid w:val="00DE6C1F"/>
    <w:rsid w:val="00DE6DA5"/>
    <w:rsid w:val="00DE7497"/>
    <w:rsid w:val="00DF0A0D"/>
    <w:rsid w:val="00DF189E"/>
    <w:rsid w:val="00DF1F72"/>
    <w:rsid w:val="00DF2365"/>
    <w:rsid w:val="00DF2491"/>
    <w:rsid w:val="00DF2526"/>
    <w:rsid w:val="00DF3432"/>
    <w:rsid w:val="00DF3466"/>
    <w:rsid w:val="00DF380C"/>
    <w:rsid w:val="00DF3834"/>
    <w:rsid w:val="00DF42BF"/>
    <w:rsid w:val="00DF49F2"/>
    <w:rsid w:val="00DF4CAD"/>
    <w:rsid w:val="00DF5F7E"/>
    <w:rsid w:val="00DF735A"/>
    <w:rsid w:val="00E0101F"/>
    <w:rsid w:val="00E011DB"/>
    <w:rsid w:val="00E011E4"/>
    <w:rsid w:val="00E01DCB"/>
    <w:rsid w:val="00E027E5"/>
    <w:rsid w:val="00E028DC"/>
    <w:rsid w:val="00E02919"/>
    <w:rsid w:val="00E030A1"/>
    <w:rsid w:val="00E033B3"/>
    <w:rsid w:val="00E033CD"/>
    <w:rsid w:val="00E0383B"/>
    <w:rsid w:val="00E03BAB"/>
    <w:rsid w:val="00E04946"/>
    <w:rsid w:val="00E04A6F"/>
    <w:rsid w:val="00E04C35"/>
    <w:rsid w:val="00E05C23"/>
    <w:rsid w:val="00E05CC8"/>
    <w:rsid w:val="00E0600B"/>
    <w:rsid w:val="00E06229"/>
    <w:rsid w:val="00E063D1"/>
    <w:rsid w:val="00E100AD"/>
    <w:rsid w:val="00E10A76"/>
    <w:rsid w:val="00E11207"/>
    <w:rsid w:val="00E116B4"/>
    <w:rsid w:val="00E11787"/>
    <w:rsid w:val="00E1201D"/>
    <w:rsid w:val="00E12983"/>
    <w:rsid w:val="00E13391"/>
    <w:rsid w:val="00E1341F"/>
    <w:rsid w:val="00E143A0"/>
    <w:rsid w:val="00E157CD"/>
    <w:rsid w:val="00E15B0B"/>
    <w:rsid w:val="00E1603A"/>
    <w:rsid w:val="00E16872"/>
    <w:rsid w:val="00E16C64"/>
    <w:rsid w:val="00E16F56"/>
    <w:rsid w:val="00E173FB"/>
    <w:rsid w:val="00E174B1"/>
    <w:rsid w:val="00E17C72"/>
    <w:rsid w:val="00E17E8D"/>
    <w:rsid w:val="00E20124"/>
    <w:rsid w:val="00E20D1F"/>
    <w:rsid w:val="00E20F2C"/>
    <w:rsid w:val="00E2176E"/>
    <w:rsid w:val="00E21FC6"/>
    <w:rsid w:val="00E22032"/>
    <w:rsid w:val="00E22FB1"/>
    <w:rsid w:val="00E234B1"/>
    <w:rsid w:val="00E244B7"/>
    <w:rsid w:val="00E24E3F"/>
    <w:rsid w:val="00E27712"/>
    <w:rsid w:val="00E30373"/>
    <w:rsid w:val="00E305CD"/>
    <w:rsid w:val="00E30824"/>
    <w:rsid w:val="00E31BD5"/>
    <w:rsid w:val="00E32142"/>
    <w:rsid w:val="00E32F1B"/>
    <w:rsid w:val="00E33C93"/>
    <w:rsid w:val="00E3418E"/>
    <w:rsid w:val="00E34303"/>
    <w:rsid w:val="00E35031"/>
    <w:rsid w:val="00E3597E"/>
    <w:rsid w:val="00E377F9"/>
    <w:rsid w:val="00E37A82"/>
    <w:rsid w:val="00E37F0B"/>
    <w:rsid w:val="00E4044E"/>
    <w:rsid w:val="00E4127B"/>
    <w:rsid w:val="00E41BAC"/>
    <w:rsid w:val="00E41E40"/>
    <w:rsid w:val="00E425F5"/>
    <w:rsid w:val="00E4328D"/>
    <w:rsid w:val="00E43632"/>
    <w:rsid w:val="00E4401F"/>
    <w:rsid w:val="00E44067"/>
    <w:rsid w:val="00E44BC4"/>
    <w:rsid w:val="00E45403"/>
    <w:rsid w:val="00E45DCB"/>
    <w:rsid w:val="00E460EE"/>
    <w:rsid w:val="00E46DCA"/>
    <w:rsid w:val="00E470BA"/>
    <w:rsid w:val="00E47762"/>
    <w:rsid w:val="00E47911"/>
    <w:rsid w:val="00E47BCA"/>
    <w:rsid w:val="00E50B59"/>
    <w:rsid w:val="00E516FB"/>
    <w:rsid w:val="00E5241B"/>
    <w:rsid w:val="00E52F52"/>
    <w:rsid w:val="00E5310E"/>
    <w:rsid w:val="00E53119"/>
    <w:rsid w:val="00E532E3"/>
    <w:rsid w:val="00E546E0"/>
    <w:rsid w:val="00E54B2F"/>
    <w:rsid w:val="00E55130"/>
    <w:rsid w:val="00E56FEE"/>
    <w:rsid w:val="00E570F1"/>
    <w:rsid w:val="00E57686"/>
    <w:rsid w:val="00E6007D"/>
    <w:rsid w:val="00E603C4"/>
    <w:rsid w:val="00E6049E"/>
    <w:rsid w:val="00E60A4D"/>
    <w:rsid w:val="00E60F21"/>
    <w:rsid w:val="00E6132D"/>
    <w:rsid w:val="00E61D47"/>
    <w:rsid w:val="00E62722"/>
    <w:rsid w:val="00E62F52"/>
    <w:rsid w:val="00E62F89"/>
    <w:rsid w:val="00E63525"/>
    <w:rsid w:val="00E64235"/>
    <w:rsid w:val="00E647B1"/>
    <w:rsid w:val="00E648BA"/>
    <w:rsid w:val="00E65D78"/>
    <w:rsid w:val="00E669E2"/>
    <w:rsid w:val="00E670AE"/>
    <w:rsid w:val="00E672CD"/>
    <w:rsid w:val="00E67436"/>
    <w:rsid w:val="00E6763B"/>
    <w:rsid w:val="00E70194"/>
    <w:rsid w:val="00E70F89"/>
    <w:rsid w:val="00E7131B"/>
    <w:rsid w:val="00E713D3"/>
    <w:rsid w:val="00E72546"/>
    <w:rsid w:val="00E726C8"/>
    <w:rsid w:val="00E73651"/>
    <w:rsid w:val="00E73A98"/>
    <w:rsid w:val="00E74479"/>
    <w:rsid w:val="00E75778"/>
    <w:rsid w:val="00E75A15"/>
    <w:rsid w:val="00E75F35"/>
    <w:rsid w:val="00E76135"/>
    <w:rsid w:val="00E77B33"/>
    <w:rsid w:val="00E803EA"/>
    <w:rsid w:val="00E805B4"/>
    <w:rsid w:val="00E806C2"/>
    <w:rsid w:val="00E80B78"/>
    <w:rsid w:val="00E819F9"/>
    <w:rsid w:val="00E81BC0"/>
    <w:rsid w:val="00E82984"/>
    <w:rsid w:val="00E836C9"/>
    <w:rsid w:val="00E83F1B"/>
    <w:rsid w:val="00E84254"/>
    <w:rsid w:val="00E8451D"/>
    <w:rsid w:val="00E8452F"/>
    <w:rsid w:val="00E848CB"/>
    <w:rsid w:val="00E8655F"/>
    <w:rsid w:val="00E86D90"/>
    <w:rsid w:val="00E86F19"/>
    <w:rsid w:val="00E872BA"/>
    <w:rsid w:val="00E874B6"/>
    <w:rsid w:val="00E878A6"/>
    <w:rsid w:val="00E878CB"/>
    <w:rsid w:val="00E87A6D"/>
    <w:rsid w:val="00E87BF8"/>
    <w:rsid w:val="00E90FFC"/>
    <w:rsid w:val="00E9141F"/>
    <w:rsid w:val="00E9162E"/>
    <w:rsid w:val="00E92777"/>
    <w:rsid w:val="00E92F21"/>
    <w:rsid w:val="00E932A9"/>
    <w:rsid w:val="00E93561"/>
    <w:rsid w:val="00E93CB6"/>
    <w:rsid w:val="00E94091"/>
    <w:rsid w:val="00E9487E"/>
    <w:rsid w:val="00E96167"/>
    <w:rsid w:val="00E962A0"/>
    <w:rsid w:val="00E96624"/>
    <w:rsid w:val="00E96BD5"/>
    <w:rsid w:val="00E9702B"/>
    <w:rsid w:val="00E9710E"/>
    <w:rsid w:val="00E97254"/>
    <w:rsid w:val="00E97C53"/>
    <w:rsid w:val="00EA077B"/>
    <w:rsid w:val="00EA0F5E"/>
    <w:rsid w:val="00EA1516"/>
    <w:rsid w:val="00EA2F1C"/>
    <w:rsid w:val="00EA315C"/>
    <w:rsid w:val="00EA46A3"/>
    <w:rsid w:val="00EA4FAE"/>
    <w:rsid w:val="00EA56DE"/>
    <w:rsid w:val="00EA5A21"/>
    <w:rsid w:val="00EA6D26"/>
    <w:rsid w:val="00EA70EE"/>
    <w:rsid w:val="00EA7761"/>
    <w:rsid w:val="00EA7FC4"/>
    <w:rsid w:val="00EB0517"/>
    <w:rsid w:val="00EB08EC"/>
    <w:rsid w:val="00EB2401"/>
    <w:rsid w:val="00EB2766"/>
    <w:rsid w:val="00EB35B7"/>
    <w:rsid w:val="00EB408E"/>
    <w:rsid w:val="00EB41AC"/>
    <w:rsid w:val="00EB52A5"/>
    <w:rsid w:val="00EB5452"/>
    <w:rsid w:val="00EB5FC0"/>
    <w:rsid w:val="00EB63FF"/>
    <w:rsid w:val="00EB736E"/>
    <w:rsid w:val="00EB7380"/>
    <w:rsid w:val="00EC014D"/>
    <w:rsid w:val="00EC0A0C"/>
    <w:rsid w:val="00EC15DA"/>
    <w:rsid w:val="00EC191C"/>
    <w:rsid w:val="00EC21F7"/>
    <w:rsid w:val="00EC2844"/>
    <w:rsid w:val="00EC2FC1"/>
    <w:rsid w:val="00EC3064"/>
    <w:rsid w:val="00EC4771"/>
    <w:rsid w:val="00EC4B58"/>
    <w:rsid w:val="00EC5C94"/>
    <w:rsid w:val="00EC6567"/>
    <w:rsid w:val="00EC6C60"/>
    <w:rsid w:val="00EC7542"/>
    <w:rsid w:val="00EC754E"/>
    <w:rsid w:val="00EC77B1"/>
    <w:rsid w:val="00ED0068"/>
    <w:rsid w:val="00ED0267"/>
    <w:rsid w:val="00ED05E5"/>
    <w:rsid w:val="00ED0795"/>
    <w:rsid w:val="00ED08B1"/>
    <w:rsid w:val="00ED0A22"/>
    <w:rsid w:val="00ED19BD"/>
    <w:rsid w:val="00ED1A33"/>
    <w:rsid w:val="00ED1DF3"/>
    <w:rsid w:val="00ED213D"/>
    <w:rsid w:val="00ED22E4"/>
    <w:rsid w:val="00ED3B57"/>
    <w:rsid w:val="00ED3C66"/>
    <w:rsid w:val="00ED404A"/>
    <w:rsid w:val="00ED4E8F"/>
    <w:rsid w:val="00ED5093"/>
    <w:rsid w:val="00ED5253"/>
    <w:rsid w:val="00ED52CB"/>
    <w:rsid w:val="00ED5A0B"/>
    <w:rsid w:val="00ED5A4A"/>
    <w:rsid w:val="00ED6041"/>
    <w:rsid w:val="00ED6345"/>
    <w:rsid w:val="00ED6DD0"/>
    <w:rsid w:val="00EE0116"/>
    <w:rsid w:val="00EE027F"/>
    <w:rsid w:val="00EE0DF4"/>
    <w:rsid w:val="00EE106C"/>
    <w:rsid w:val="00EE1AE8"/>
    <w:rsid w:val="00EE2CDB"/>
    <w:rsid w:val="00EE3BAE"/>
    <w:rsid w:val="00EE3C2D"/>
    <w:rsid w:val="00EE4912"/>
    <w:rsid w:val="00EE4EA8"/>
    <w:rsid w:val="00EE57A4"/>
    <w:rsid w:val="00EE5DEF"/>
    <w:rsid w:val="00EE5E26"/>
    <w:rsid w:val="00EE6C79"/>
    <w:rsid w:val="00EE71BF"/>
    <w:rsid w:val="00EE7EC0"/>
    <w:rsid w:val="00EE7F64"/>
    <w:rsid w:val="00EF063B"/>
    <w:rsid w:val="00EF0ADB"/>
    <w:rsid w:val="00EF0D04"/>
    <w:rsid w:val="00EF0F73"/>
    <w:rsid w:val="00EF1550"/>
    <w:rsid w:val="00EF31ED"/>
    <w:rsid w:val="00EF4081"/>
    <w:rsid w:val="00EF42E8"/>
    <w:rsid w:val="00EF4601"/>
    <w:rsid w:val="00EF4658"/>
    <w:rsid w:val="00EF4973"/>
    <w:rsid w:val="00EF4D0F"/>
    <w:rsid w:val="00EF5022"/>
    <w:rsid w:val="00EF51AB"/>
    <w:rsid w:val="00EF52AC"/>
    <w:rsid w:val="00EF5546"/>
    <w:rsid w:val="00EF5830"/>
    <w:rsid w:val="00EF63E6"/>
    <w:rsid w:val="00EF6A64"/>
    <w:rsid w:val="00EF6C6C"/>
    <w:rsid w:val="00EF6E63"/>
    <w:rsid w:val="00F000F2"/>
    <w:rsid w:val="00F025FA"/>
    <w:rsid w:val="00F028B1"/>
    <w:rsid w:val="00F02C5D"/>
    <w:rsid w:val="00F02DBA"/>
    <w:rsid w:val="00F03682"/>
    <w:rsid w:val="00F03876"/>
    <w:rsid w:val="00F04DEF"/>
    <w:rsid w:val="00F052DE"/>
    <w:rsid w:val="00F056FC"/>
    <w:rsid w:val="00F0598D"/>
    <w:rsid w:val="00F06560"/>
    <w:rsid w:val="00F06A9E"/>
    <w:rsid w:val="00F06D59"/>
    <w:rsid w:val="00F072B1"/>
    <w:rsid w:val="00F10476"/>
    <w:rsid w:val="00F10585"/>
    <w:rsid w:val="00F10821"/>
    <w:rsid w:val="00F110AE"/>
    <w:rsid w:val="00F11568"/>
    <w:rsid w:val="00F11913"/>
    <w:rsid w:val="00F12639"/>
    <w:rsid w:val="00F135D8"/>
    <w:rsid w:val="00F13932"/>
    <w:rsid w:val="00F13AA1"/>
    <w:rsid w:val="00F14009"/>
    <w:rsid w:val="00F14F59"/>
    <w:rsid w:val="00F15012"/>
    <w:rsid w:val="00F1507D"/>
    <w:rsid w:val="00F15AA8"/>
    <w:rsid w:val="00F165DF"/>
    <w:rsid w:val="00F17008"/>
    <w:rsid w:val="00F2021F"/>
    <w:rsid w:val="00F203D5"/>
    <w:rsid w:val="00F2094D"/>
    <w:rsid w:val="00F209B3"/>
    <w:rsid w:val="00F20F41"/>
    <w:rsid w:val="00F215F7"/>
    <w:rsid w:val="00F22654"/>
    <w:rsid w:val="00F2401C"/>
    <w:rsid w:val="00F24F1D"/>
    <w:rsid w:val="00F24FB9"/>
    <w:rsid w:val="00F250CE"/>
    <w:rsid w:val="00F254F8"/>
    <w:rsid w:val="00F25629"/>
    <w:rsid w:val="00F266BD"/>
    <w:rsid w:val="00F26FC0"/>
    <w:rsid w:val="00F2705D"/>
    <w:rsid w:val="00F27E95"/>
    <w:rsid w:val="00F30C0E"/>
    <w:rsid w:val="00F30DD5"/>
    <w:rsid w:val="00F31299"/>
    <w:rsid w:val="00F31479"/>
    <w:rsid w:val="00F31AE3"/>
    <w:rsid w:val="00F31B7E"/>
    <w:rsid w:val="00F32DF5"/>
    <w:rsid w:val="00F32EA9"/>
    <w:rsid w:val="00F332FD"/>
    <w:rsid w:val="00F3343D"/>
    <w:rsid w:val="00F3393A"/>
    <w:rsid w:val="00F33B4B"/>
    <w:rsid w:val="00F3473D"/>
    <w:rsid w:val="00F34EF8"/>
    <w:rsid w:val="00F3534A"/>
    <w:rsid w:val="00F35444"/>
    <w:rsid w:val="00F35831"/>
    <w:rsid w:val="00F36245"/>
    <w:rsid w:val="00F367FD"/>
    <w:rsid w:val="00F36F99"/>
    <w:rsid w:val="00F37D3B"/>
    <w:rsid w:val="00F40D67"/>
    <w:rsid w:val="00F40E3E"/>
    <w:rsid w:val="00F4179E"/>
    <w:rsid w:val="00F4289A"/>
    <w:rsid w:val="00F42C03"/>
    <w:rsid w:val="00F4320B"/>
    <w:rsid w:val="00F43BFE"/>
    <w:rsid w:val="00F43DDF"/>
    <w:rsid w:val="00F4599A"/>
    <w:rsid w:val="00F46496"/>
    <w:rsid w:val="00F468E8"/>
    <w:rsid w:val="00F46CB5"/>
    <w:rsid w:val="00F470C3"/>
    <w:rsid w:val="00F47499"/>
    <w:rsid w:val="00F50445"/>
    <w:rsid w:val="00F50DB0"/>
    <w:rsid w:val="00F51260"/>
    <w:rsid w:val="00F512B3"/>
    <w:rsid w:val="00F5280E"/>
    <w:rsid w:val="00F52EC6"/>
    <w:rsid w:val="00F52F82"/>
    <w:rsid w:val="00F530BA"/>
    <w:rsid w:val="00F5515A"/>
    <w:rsid w:val="00F561F8"/>
    <w:rsid w:val="00F569F2"/>
    <w:rsid w:val="00F56F8B"/>
    <w:rsid w:val="00F56F9B"/>
    <w:rsid w:val="00F5726B"/>
    <w:rsid w:val="00F57644"/>
    <w:rsid w:val="00F57F5B"/>
    <w:rsid w:val="00F57FDE"/>
    <w:rsid w:val="00F60104"/>
    <w:rsid w:val="00F602EE"/>
    <w:rsid w:val="00F60618"/>
    <w:rsid w:val="00F60853"/>
    <w:rsid w:val="00F614C3"/>
    <w:rsid w:val="00F621C0"/>
    <w:rsid w:val="00F6279B"/>
    <w:rsid w:val="00F62C3A"/>
    <w:rsid w:val="00F631C4"/>
    <w:rsid w:val="00F64703"/>
    <w:rsid w:val="00F649BD"/>
    <w:rsid w:val="00F657F1"/>
    <w:rsid w:val="00F659B5"/>
    <w:rsid w:val="00F65ADC"/>
    <w:rsid w:val="00F66958"/>
    <w:rsid w:val="00F67B6E"/>
    <w:rsid w:val="00F67C21"/>
    <w:rsid w:val="00F72032"/>
    <w:rsid w:val="00F721CE"/>
    <w:rsid w:val="00F7280E"/>
    <w:rsid w:val="00F741BA"/>
    <w:rsid w:val="00F74C1A"/>
    <w:rsid w:val="00F7538F"/>
    <w:rsid w:val="00F75C70"/>
    <w:rsid w:val="00F770E4"/>
    <w:rsid w:val="00F77840"/>
    <w:rsid w:val="00F77FB5"/>
    <w:rsid w:val="00F81537"/>
    <w:rsid w:val="00F81C1B"/>
    <w:rsid w:val="00F82860"/>
    <w:rsid w:val="00F82CD0"/>
    <w:rsid w:val="00F82E57"/>
    <w:rsid w:val="00F834BF"/>
    <w:rsid w:val="00F83C91"/>
    <w:rsid w:val="00F8413D"/>
    <w:rsid w:val="00F84E51"/>
    <w:rsid w:val="00F85325"/>
    <w:rsid w:val="00F86FC1"/>
    <w:rsid w:val="00F87741"/>
    <w:rsid w:val="00F87744"/>
    <w:rsid w:val="00F877D0"/>
    <w:rsid w:val="00F87FF3"/>
    <w:rsid w:val="00F90920"/>
    <w:rsid w:val="00F9101B"/>
    <w:rsid w:val="00F91476"/>
    <w:rsid w:val="00F92386"/>
    <w:rsid w:val="00F925CE"/>
    <w:rsid w:val="00F9324F"/>
    <w:rsid w:val="00F934A9"/>
    <w:rsid w:val="00F93EDE"/>
    <w:rsid w:val="00F94853"/>
    <w:rsid w:val="00F948C8"/>
    <w:rsid w:val="00F95F76"/>
    <w:rsid w:val="00F96411"/>
    <w:rsid w:val="00F96C1C"/>
    <w:rsid w:val="00F97181"/>
    <w:rsid w:val="00F97197"/>
    <w:rsid w:val="00F97B9A"/>
    <w:rsid w:val="00FA08D6"/>
    <w:rsid w:val="00FA2A6A"/>
    <w:rsid w:val="00FA2DD1"/>
    <w:rsid w:val="00FA312D"/>
    <w:rsid w:val="00FA3509"/>
    <w:rsid w:val="00FA447D"/>
    <w:rsid w:val="00FA44DC"/>
    <w:rsid w:val="00FA5713"/>
    <w:rsid w:val="00FA6543"/>
    <w:rsid w:val="00FA65DD"/>
    <w:rsid w:val="00FA6E82"/>
    <w:rsid w:val="00FA714D"/>
    <w:rsid w:val="00FA7376"/>
    <w:rsid w:val="00FA7B9F"/>
    <w:rsid w:val="00FB01AC"/>
    <w:rsid w:val="00FB157E"/>
    <w:rsid w:val="00FB22BD"/>
    <w:rsid w:val="00FB27E3"/>
    <w:rsid w:val="00FB3B01"/>
    <w:rsid w:val="00FB45A9"/>
    <w:rsid w:val="00FB493D"/>
    <w:rsid w:val="00FB5703"/>
    <w:rsid w:val="00FB6249"/>
    <w:rsid w:val="00FB71AB"/>
    <w:rsid w:val="00FB7925"/>
    <w:rsid w:val="00FB7EEB"/>
    <w:rsid w:val="00FC0D52"/>
    <w:rsid w:val="00FC1D0A"/>
    <w:rsid w:val="00FC1EE3"/>
    <w:rsid w:val="00FC2170"/>
    <w:rsid w:val="00FC2A83"/>
    <w:rsid w:val="00FC34D1"/>
    <w:rsid w:val="00FC3803"/>
    <w:rsid w:val="00FC41AF"/>
    <w:rsid w:val="00FC449A"/>
    <w:rsid w:val="00FC462A"/>
    <w:rsid w:val="00FC47CB"/>
    <w:rsid w:val="00FC4C05"/>
    <w:rsid w:val="00FC5271"/>
    <w:rsid w:val="00FC5536"/>
    <w:rsid w:val="00FC5A17"/>
    <w:rsid w:val="00FC5A86"/>
    <w:rsid w:val="00FC5DDF"/>
    <w:rsid w:val="00FC665F"/>
    <w:rsid w:val="00FC6A40"/>
    <w:rsid w:val="00FC77D5"/>
    <w:rsid w:val="00FC7DE9"/>
    <w:rsid w:val="00FC7E18"/>
    <w:rsid w:val="00FD04EF"/>
    <w:rsid w:val="00FD22B1"/>
    <w:rsid w:val="00FD27EB"/>
    <w:rsid w:val="00FD29F6"/>
    <w:rsid w:val="00FD2C37"/>
    <w:rsid w:val="00FD2D93"/>
    <w:rsid w:val="00FD33AB"/>
    <w:rsid w:val="00FD4034"/>
    <w:rsid w:val="00FD40EB"/>
    <w:rsid w:val="00FD4880"/>
    <w:rsid w:val="00FD4D4F"/>
    <w:rsid w:val="00FD4ECD"/>
    <w:rsid w:val="00FD51E6"/>
    <w:rsid w:val="00FD5438"/>
    <w:rsid w:val="00FD5E95"/>
    <w:rsid w:val="00FD6200"/>
    <w:rsid w:val="00FD6670"/>
    <w:rsid w:val="00FD771E"/>
    <w:rsid w:val="00FD7938"/>
    <w:rsid w:val="00FE00EE"/>
    <w:rsid w:val="00FE0436"/>
    <w:rsid w:val="00FE076F"/>
    <w:rsid w:val="00FE0DD8"/>
    <w:rsid w:val="00FE1567"/>
    <w:rsid w:val="00FE188A"/>
    <w:rsid w:val="00FE1A99"/>
    <w:rsid w:val="00FE1B2F"/>
    <w:rsid w:val="00FE2493"/>
    <w:rsid w:val="00FE2667"/>
    <w:rsid w:val="00FE28F6"/>
    <w:rsid w:val="00FE2A20"/>
    <w:rsid w:val="00FE2B49"/>
    <w:rsid w:val="00FE2BF6"/>
    <w:rsid w:val="00FE2EBE"/>
    <w:rsid w:val="00FE4523"/>
    <w:rsid w:val="00FE4599"/>
    <w:rsid w:val="00FE4893"/>
    <w:rsid w:val="00FE4936"/>
    <w:rsid w:val="00FE4CEB"/>
    <w:rsid w:val="00FE5F4C"/>
    <w:rsid w:val="00FE64D2"/>
    <w:rsid w:val="00FE785A"/>
    <w:rsid w:val="00FE7D8C"/>
    <w:rsid w:val="00FF0306"/>
    <w:rsid w:val="00FF0C8D"/>
    <w:rsid w:val="00FF16D1"/>
    <w:rsid w:val="00FF18F8"/>
    <w:rsid w:val="00FF4934"/>
    <w:rsid w:val="00FF4D4F"/>
    <w:rsid w:val="00FF58F3"/>
    <w:rsid w:val="00FF5929"/>
    <w:rsid w:val="00FF59F4"/>
    <w:rsid w:val="00FF640E"/>
    <w:rsid w:val="00FF6A68"/>
    <w:rsid w:val="00FF768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48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3A4204"/>
    <w:rPr>
      <w:rFonts w:asciiTheme="minorHAnsi" w:eastAsiaTheme="minorHAnsi" w:hAnsiTheme="minorHAnsi" w:cstheme="minorBidi"/>
      <w:sz w:val="22"/>
      <w:szCs w:val="22"/>
      <w:lang w:eastAsia="en-US"/>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link w:val="FooterChar"/>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40"/>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character" w:customStyle="1" w:styleId="BodyTextChar">
    <w:name w:val="Body Text Char"/>
    <w:basedOn w:val="DefaultParagraphFont"/>
    <w:link w:val="BodyText"/>
    <w:rsid w:val="00D8403B"/>
    <w:rPr>
      <w:sz w:val="26"/>
    </w:rPr>
  </w:style>
  <w:style w:type="character" w:customStyle="1" w:styleId="CommentTextChar">
    <w:name w:val="Comment Text Char"/>
    <w:basedOn w:val="DefaultParagraphFont"/>
    <w:link w:val="CommentText"/>
    <w:semiHidden/>
    <w:rsid w:val="00D8403B"/>
    <w:rPr>
      <w:szCs w:val="24"/>
    </w:rPr>
  </w:style>
  <w:style w:type="character" w:styleId="Hyperlink">
    <w:name w:val="Hyperlink"/>
    <w:basedOn w:val="DefaultParagraphFont"/>
    <w:rsid w:val="00746170"/>
    <w:rPr>
      <w:color w:val="0000FF" w:themeColor="hyperlink"/>
      <w:u w:val="single"/>
    </w:rPr>
  </w:style>
  <w:style w:type="character" w:styleId="FollowedHyperlink">
    <w:name w:val="FollowedHyperlink"/>
    <w:basedOn w:val="DefaultParagraphFont"/>
    <w:rsid w:val="007D360F"/>
    <w:rPr>
      <w:color w:val="800080" w:themeColor="followedHyperlink"/>
      <w:u w:val="single"/>
    </w:rPr>
  </w:style>
  <w:style w:type="paragraph" w:styleId="CommentSubject">
    <w:name w:val="annotation subject"/>
    <w:basedOn w:val="CommentText"/>
    <w:next w:val="CommentText"/>
    <w:link w:val="CommentSubjectChar"/>
    <w:rsid w:val="0040132A"/>
    <w:pPr>
      <w:spacing w:before="0" w:line="240" w:lineRule="auto"/>
      <w:ind w:left="0" w:firstLine="0"/>
    </w:pPr>
    <w:rPr>
      <w:b/>
      <w:bCs/>
      <w:szCs w:val="20"/>
    </w:rPr>
  </w:style>
  <w:style w:type="character" w:customStyle="1" w:styleId="CommentSubjectChar">
    <w:name w:val="Comment Subject Char"/>
    <w:basedOn w:val="CommentTextChar"/>
    <w:link w:val="CommentSubject"/>
    <w:rsid w:val="0040132A"/>
    <w:rPr>
      <w:b/>
      <w:bCs/>
      <w:szCs w:val="24"/>
    </w:rPr>
  </w:style>
  <w:style w:type="paragraph" w:customStyle="1" w:styleId="BoxSpaceAbove">
    <w:name w:val="Box Space Above"/>
    <w:basedOn w:val="BodyText"/>
    <w:rsid w:val="00C8472C"/>
    <w:pPr>
      <w:keepNext/>
      <w:spacing w:before="360" w:line="80" w:lineRule="exact"/>
      <w:jc w:val="left"/>
    </w:pPr>
  </w:style>
  <w:style w:type="paragraph" w:customStyle="1" w:styleId="BoxSpaceBelow">
    <w:name w:val="Box Space Below"/>
    <w:basedOn w:val="Box"/>
    <w:rsid w:val="00C8472C"/>
    <w:pPr>
      <w:keepNext w:val="0"/>
      <w:spacing w:before="60" w:after="60" w:line="80" w:lineRule="exact"/>
    </w:pPr>
    <w:rPr>
      <w:sz w:val="14"/>
    </w:rPr>
  </w:style>
  <w:style w:type="paragraph" w:styleId="Revision">
    <w:name w:val="Revision"/>
    <w:hidden/>
    <w:uiPriority w:val="99"/>
    <w:semiHidden/>
    <w:rsid w:val="000F0A7C"/>
    <w:rPr>
      <w:sz w:val="26"/>
      <w:szCs w:val="24"/>
    </w:rPr>
  </w:style>
  <w:style w:type="character" w:customStyle="1" w:styleId="FooterChar">
    <w:name w:val="Footer Char"/>
    <w:basedOn w:val="DefaultParagraphFont"/>
    <w:link w:val="Footer"/>
    <w:rsid w:val="006013A1"/>
    <w:rPr>
      <w:caps/>
      <w:spacing w:val="-4"/>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3A4204"/>
    <w:rPr>
      <w:rFonts w:asciiTheme="minorHAnsi" w:eastAsiaTheme="minorHAnsi" w:hAnsiTheme="minorHAnsi" w:cstheme="minorBidi"/>
      <w:sz w:val="22"/>
      <w:szCs w:val="22"/>
      <w:lang w:eastAsia="en-US"/>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link w:val="FooterChar"/>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40"/>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character" w:customStyle="1" w:styleId="BodyTextChar">
    <w:name w:val="Body Text Char"/>
    <w:basedOn w:val="DefaultParagraphFont"/>
    <w:link w:val="BodyText"/>
    <w:rsid w:val="00D8403B"/>
    <w:rPr>
      <w:sz w:val="26"/>
    </w:rPr>
  </w:style>
  <w:style w:type="character" w:customStyle="1" w:styleId="CommentTextChar">
    <w:name w:val="Comment Text Char"/>
    <w:basedOn w:val="DefaultParagraphFont"/>
    <w:link w:val="CommentText"/>
    <w:semiHidden/>
    <w:rsid w:val="00D8403B"/>
    <w:rPr>
      <w:szCs w:val="24"/>
    </w:rPr>
  </w:style>
  <w:style w:type="character" w:styleId="Hyperlink">
    <w:name w:val="Hyperlink"/>
    <w:basedOn w:val="DefaultParagraphFont"/>
    <w:rsid w:val="00746170"/>
    <w:rPr>
      <w:color w:val="0000FF" w:themeColor="hyperlink"/>
      <w:u w:val="single"/>
    </w:rPr>
  </w:style>
  <w:style w:type="character" w:styleId="FollowedHyperlink">
    <w:name w:val="FollowedHyperlink"/>
    <w:basedOn w:val="DefaultParagraphFont"/>
    <w:rsid w:val="007D360F"/>
    <w:rPr>
      <w:color w:val="800080" w:themeColor="followedHyperlink"/>
      <w:u w:val="single"/>
    </w:rPr>
  </w:style>
  <w:style w:type="paragraph" w:styleId="CommentSubject">
    <w:name w:val="annotation subject"/>
    <w:basedOn w:val="CommentText"/>
    <w:next w:val="CommentText"/>
    <w:link w:val="CommentSubjectChar"/>
    <w:rsid w:val="0040132A"/>
    <w:pPr>
      <w:spacing w:before="0" w:line="240" w:lineRule="auto"/>
      <w:ind w:left="0" w:firstLine="0"/>
    </w:pPr>
    <w:rPr>
      <w:b/>
      <w:bCs/>
      <w:szCs w:val="20"/>
    </w:rPr>
  </w:style>
  <w:style w:type="character" w:customStyle="1" w:styleId="CommentSubjectChar">
    <w:name w:val="Comment Subject Char"/>
    <w:basedOn w:val="CommentTextChar"/>
    <w:link w:val="CommentSubject"/>
    <w:rsid w:val="0040132A"/>
    <w:rPr>
      <w:b/>
      <w:bCs/>
      <w:szCs w:val="24"/>
    </w:rPr>
  </w:style>
  <w:style w:type="paragraph" w:customStyle="1" w:styleId="BoxSpaceAbove">
    <w:name w:val="Box Space Above"/>
    <w:basedOn w:val="BodyText"/>
    <w:rsid w:val="00C8472C"/>
    <w:pPr>
      <w:keepNext/>
      <w:spacing w:before="360" w:line="80" w:lineRule="exact"/>
      <w:jc w:val="left"/>
    </w:pPr>
  </w:style>
  <w:style w:type="paragraph" w:customStyle="1" w:styleId="BoxSpaceBelow">
    <w:name w:val="Box Space Below"/>
    <w:basedOn w:val="Box"/>
    <w:rsid w:val="00C8472C"/>
    <w:pPr>
      <w:keepNext w:val="0"/>
      <w:spacing w:before="60" w:after="60" w:line="80" w:lineRule="exact"/>
    </w:pPr>
    <w:rPr>
      <w:sz w:val="14"/>
    </w:rPr>
  </w:style>
  <w:style w:type="paragraph" w:styleId="Revision">
    <w:name w:val="Revision"/>
    <w:hidden/>
    <w:uiPriority w:val="99"/>
    <w:semiHidden/>
    <w:rsid w:val="000F0A7C"/>
    <w:rPr>
      <w:sz w:val="26"/>
      <w:szCs w:val="24"/>
    </w:rPr>
  </w:style>
  <w:style w:type="character" w:customStyle="1" w:styleId="FooterChar">
    <w:name w:val="Footer Char"/>
    <w:basedOn w:val="DefaultParagraphFont"/>
    <w:link w:val="Footer"/>
    <w:rsid w:val="006013A1"/>
    <w:rPr>
      <w:caps/>
      <w:spacing w:val="-4"/>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518501">
      <w:bodyDiv w:val="1"/>
      <w:marLeft w:val="0"/>
      <w:marRight w:val="0"/>
      <w:marTop w:val="0"/>
      <w:marBottom w:val="0"/>
      <w:divBdr>
        <w:top w:val="none" w:sz="0" w:space="0" w:color="auto"/>
        <w:left w:val="none" w:sz="0" w:space="0" w:color="auto"/>
        <w:bottom w:val="none" w:sz="0" w:space="0" w:color="auto"/>
        <w:right w:val="none" w:sz="0" w:space="0" w:color="auto"/>
      </w:divBdr>
      <w:divsChild>
        <w:div w:id="997994973">
          <w:marLeft w:val="0"/>
          <w:marRight w:val="0"/>
          <w:marTop w:val="0"/>
          <w:marBottom w:val="0"/>
          <w:divBdr>
            <w:top w:val="none" w:sz="0" w:space="0" w:color="auto"/>
            <w:left w:val="none" w:sz="0" w:space="0" w:color="auto"/>
            <w:bottom w:val="none" w:sz="0" w:space="0" w:color="auto"/>
            <w:right w:val="none" w:sz="0" w:space="0" w:color="auto"/>
          </w:divBdr>
          <w:divsChild>
            <w:div w:id="437021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769030">
      <w:bodyDiv w:val="1"/>
      <w:marLeft w:val="0"/>
      <w:marRight w:val="0"/>
      <w:marTop w:val="0"/>
      <w:marBottom w:val="0"/>
      <w:divBdr>
        <w:top w:val="none" w:sz="0" w:space="0" w:color="auto"/>
        <w:left w:val="none" w:sz="0" w:space="0" w:color="auto"/>
        <w:bottom w:val="none" w:sz="0" w:space="0" w:color="auto"/>
        <w:right w:val="none" w:sz="0" w:space="0" w:color="auto"/>
      </w:divBdr>
    </w:div>
    <w:div w:id="333534655">
      <w:bodyDiv w:val="1"/>
      <w:marLeft w:val="0"/>
      <w:marRight w:val="0"/>
      <w:marTop w:val="0"/>
      <w:marBottom w:val="0"/>
      <w:divBdr>
        <w:top w:val="none" w:sz="0" w:space="0" w:color="auto"/>
        <w:left w:val="none" w:sz="0" w:space="0" w:color="auto"/>
        <w:bottom w:val="none" w:sz="0" w:space="0" w:color="auto"/>
        <w:right w:val="none" w:sz="0" w:space="0" w:color="auto"/>
      </w:divBdr>
    </w:div>
    <w:div w:id="451632948">
      <w:bodyDiv w:val="1"/>
      <w:marLeft w:val="0"/>
      <w:marRight w:val="0"/>
      <w:marTop w:val="0"/>
      <w:marBottom w:val="0"/>
      <w:divBdr>
        <w:top w:val="none" w:sz="0" w:space="0" w:color="auto"/>
        <w:left w:val="none" w:sz="0" w:space="0" w:color="auto"/>
        <w:bottom w:val="none" w:sz="0" w:space="0" w:color="auto"/>
        <w:right w:val="none" w:sz="0" w:space="0" w:color="auto"/>
      </w:divBdr>
    </w:div>
    <w:div w:id="802423381">
      <w:bodyDiv w:val="1"/>
      <w:marLeft w:val="0"/>
      <w:marRight w:val="0"/>
      <w:marTop w:val="0"/>
      <w:marBottom w:val="0"/>
      <w:divBdr>
        <w:top w:val="none" w:sz="0" w:space="0" w:color="auto"/>
        <w:left w:val="none" w:sz="0" w:space="0" w:color="auto"/>
        <w:bottom w:val="none" w:sz="0" w:space="0" w:color="auto"/>
        <w:right w:val="none" w:sz="0" w:space="0" w:color="auto"/>
      </w:divBdr>
    </w:div>
    <w:div w:id="807170229">
      <w:bodyDiv w:val="1"/>
      <w:marLeft w:val="0"/>
      <w:marRight w:val="0"/>
      <w:marTop w:val="0"/>
      <w:marBottom w:val="0"/>
      <w:divBdr>
        <w:top w:val="none" w:sz="0" w:space="0" w:color="auto"/>
        <w:left w:val="none" w:sz="0" w:space="0" w:color="auto"/>
        <w:bottom w:val="none" w:sz="0" w:space="0" w:color="auto"/>
        <w:right w:val="none" w:sz="0" w:space="0" w:color="auto"/>
      </w:divBdr>
      <w:divsChild>
        <w:div w:id="565147591">
          <w:marLeft w:val="0"/>
          <w:marRight w:val="0"/>
          <w:marTop w:val="0"/>
          <w:marBottom w:val="0"/>
          <w:divBdr>
            <w:top w:val="none" w:sz="0" w:space="0" w:color="auto"/>
            <w:left w:val="none" w:sz="0" w:space="0" w:color="auto"/>
            <w:bottom w:val="none" w:sz="0" w:space="0" w:color="auto"/>
            <w:right w:val="none" w:sz="0" w:space="0" w:color="auto"/>
          </w:divBdr>
          <w:divsChild>
            <w:div w:id="656299335">
              <w:marLeft w:val="0"/>
              <w:marRight w:val="0"/>
              <w:marTop w:val="0"/>
              <w:marBottom w:val="0"/>
              <w:divBdr>
                <w:top w:val="none" w:sz="0" w:space="0" w:color="auto"/>
                <w:left w:val="none" w:sz="0" w:space="0" w:color="auto"/>
                <w:bottom w:val="none" w:sz="0" w:space="0" w:color="auto"/>
                <w:right w:val="none" w:sz="0" w:space="0" w:color="auto"/>
              </w:divBdr>
              <w:divsChild>
                <w:div w:id="1847398609">
                  <w:marLeft w:val="0"/>
                  <w:marRight w:val="0"/>
                  <w:marTop w:val="0"/>
                  <w:marBottom w:val="0"/>
                  <w:divBdr>
                    <w:top w:val="none" w:sz="0" w:space="0" w:color="auto"/>
                    <w:left w:val="none" w:sz="0" w:space="0" w:color="auto"/>
                    <w:bottom w:val="none" w:sz="0" w:space="0" w:color="auto"/>
                    <w:right w:val="none" w:sz="0" w:space="0" w:color="auto"/>
                  </w:divBdr>
                  <w:divsChild>
                    <w:div w:id="1160003685">
                      <w:marLeft w:val="0"/>
                      <w:marRight w:val="0"/>
                      <w:marTop w:val="0"/>
                      <w:marBottom w:val="0"/>
                      <w:divBdr>
                        <w:top w:val="none" w:sz="0" w:space="0" w:color="auto"/>
                        <w:left w:val="none" w:sz="0" w:space="0" w:color="auto"/>
                        <w:bottom w:val="none" w:sz="0" w:space="0" w:color="auto"/>
                        <w:right w:val="none" w:sz="0" w:space="0" w:color="auto"/>
                      </w:divBdr>
                      <w:divsChild>
                        <w:div w:id="339550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351245">
      <w:bodyDiv w:val="1"/>
      <w:marLeft w:val="0"/>
      <w:marRight w:val="0"/>
      <w:marTop w:val="0"/>
      <w:marBottom w:val="0"/>
      <w:divBdr>
        <w:top w:val="none" w:sz="0" w:space="0" w:color="auto"/>
        <w:left w:val="none" w:sz="0" w:space="0" w:color="auto"/>
        <w:bottom w:val="none" w:sz="0" w:space="0" w:color="auto"/>
        <w:right w:val="none" w:sz="0" w:space="0" w:color="auto"/>
      </w:divBdr>
      <w:divsChild>
        <w:div w:id="439228893">
          <w:marLeft w:val="0"/>
          <w:marRight w:val="0"/>
          <w:marTop w:val="0"/>
          <w:marBottom w:val="0"/>
          <w:divBdr>
            <w:top w:val="none" w:sz="0" w:space="0" w:color="auto"/>
            <w:left w:val="none" w:sz="0" w:space="0" w:color="auto"/>
            <w:bottom w:val="none" w:sz="0" w:space="0" w:color="auto"/>
            <w:right w:val="none" w:sz="0" w:space="0" w:color="auto"/>
          </w:divBdr>
          <w:divsChild>
            <w:div w:id="183121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348042">
      <w:bodyDiv w:val="1"/>
      <w:marLeft w:val="0"/>
      <w:marRight w:val="0"/>
      <w:marTop w:val="0"/>
      <w:marBottom w:val="0"/>
      <w:divBdr>
        <w:top w:val="none" w:sz="0" w:space="0" w:color="auto"/>
        <w:left w:val="none" w:sz="0" w:space="0" w:color="auto"/>
        <w:bottom w:val="none" w:sz="0" w:space="0" w:color="auto"/>
        <w:right w:val="none" w:sz="0" w:space="0" w:color="auto"/>
      </w:divBdr>
    </w:div>
    <w:div w:id="1322464822">
      <w:bodyDiv w:val="1"/>
      <w:marLeft w:val="0"/>
      <w:marRight w:val="0"/>
      <w:marTop w:val="0"/>
      <w:marBottom w:val="0"/>
      <w:divBdr>
        <w:top w:val="none" w:sz="0" w:space="0" w:color="auto"/>
        <w:left w:val="none" w:sz="0" w:space="0" w:color="auto"/>
        <w:bottom w:val="none" w:sz="0" w:space="0" w:color="auto"/>
        <w:right w:val="none" w:sz="0" w:space="0" w:color="auto"/>
      </w:divBdr>
    </w:div>
    <w:div w:id="1325546768">
      <w:bodyDiv w:val="1"/>
      <w:marLeft w:val="0"/>
      <w:marRight w:val="0"/>
      <w:marTop w:val="0"/>
      <w:marBottom w:val="0"/>
      <w:divBdr>
        <w:top w:val="none" w:sz="0" w:space="0" w:color="auto"/>
        <w:left w:val="none" w:sz="0" w:space="0" w:color="auto"/>
        <w:bottom w:val="none" w:sz="0" w:space="0" w:color="auto"/>
        <w:right w:val="none" w:sz="0" w:space="0" w:color="auto"/>
      </w:divBdr>
    </w:div>
    <w:div w:id="1371028298">
      <w:bodyDiv w:val="1"/>
      <w:marLeft w:val="0"/>
      <w:marRight w:val="0"/>
      <w:marTop w:val="0"/>
      <w:marBottom w:val="0"/>
      <w:divBdr>
        <w:top w:val="none" w:sz="0" w:space="0" w:color="auto"/>
        <w:left w:val="none" w:sz="0" w:space="0" w:color="auto"/>
        <w:bottom w:val="none" w:sz="0" w:space="0" w:color="auto"/>
        <w:right w:val="none" w:sz="0" w:space="0" w:color="auto"/>
      </w:divBdr>
    </w:div>
    <w:div w:id="1395658921">
      <w:bodyDiv w:val="1"/>
      <w:marLeft w:val="0"/>
      <w:marRight w:val="0"/>
      <w:marTop w:val="0"/>
      <w:marBottom w:val="0"/>
      <w:divBdr>
        <w:top w:val="none" w:sz="0" w:space="0" w:color="auto"/>
        <w:left w:val="none" w:sz="0" w:space="0" w:color="auto"/>
        <w:bottom w:val="none" w:sz="0" w:space="0" w:color="auto"/>
        <w:right w:val="none" w:sz="0" w:space="0" w:color="auto"/>
      </w:divBdr>
    </w:div>
    <w:div w:id="1609653055">
      <w:bodyDiv w:val="1"/>
      <w:marLeft w:val="0"/>
      <w:marRight w:val="0"/>
      <w:marTop w:val="0"/>
      <w:marBottom w:val="0"/>
      <w:divBdr>
        <w:top w:val="none" w:sz="0" w:space="0" w:color="auto"/>
        <w:left w:val="none" w:sz="0" w:space="0" w:color="auto"/>
        <w:bottom w:val="none" w:sz="0" w:space="0" w:color="auto"/>
        <w:right w:val="none" w:sz="0" w:space="0" w:color="auto"/>
      </w:divBdr>
    </w:div>
    <w:div w:id="1659189404">
      <w:bodyDiv w:val="1"/>
      <w:marLeft w:val="0"/>
      <w:marRight w:val="0"/>
      <w:marTop w:val="0"/>
      <w:marBottom w:val="0"/>
      <w:divBdr>
        <w:top w:val="none" w:sz="0" w:space="0" w:color="auto"/>
        <w:left w:val="none" w:sz="0" w:space="0" w:color="auto"/>
        <w:bottom w:val="none" w:sz="0" w:space="0" w:color="auto"/>
        <w:right w:val="none" w:sz="0" w:space="0" w:color="auto"/>
      </w:divBdr>
    </w:div>
    <w:div w:id="1766267391">
      <w:bodyDiv w:val="1"/>
      <w:marLeft w:val="0"/>
      <w:marRight w:val="0"/>
      <w:marTop w:val="0"/>
      <w:marBottom w:val="0"/>
      <w:divBdr>
        <w:top w:val="none" w:sz="0" w:space="0" w:color="auto"/>
        <w:left w:val="none" w:sz="0" w:space="0" w:color="auto"/>
        <w:bottom w:val="none" w:sz="0" w:space="0" w:color="auto"/>
        <w:right w:val="none" w:sz="0" w:space="0" w:color="auto"/>
      </w:divBdr>
    </w:div>
    <w:div w:id="1966353790">
      <w:bodyDiv w:val="1"/>
      <w:marLeft w:val="0"/>
      <w:marRight w:val="0"/>
      <w:marTop w:val="0"/>
      <w:marBottom w:val="0"/>
      <w:divBdr>
        <w:top w:val="none" w:sz="0" w:space="0" w:color="auto"/>
        <w:left w:val="none" w:sz="0" w:space="0" w:color="auto"/>
        <w:bottom w:val="none" w:sz="0" w:space="0" w:color="auto"/>
        <w:right w:val="none" w:sz="0" w:space="0" w:color="auto"/>
      </w:divBdr>
    </w:div>
    <w:div w:id="1999722663">
      <w:bodyDiv w:val="1"/>
      <w:marLeft w:val="0"/>
      <w:marRight w:val="0"/>
      <w:marTop w:val="0"/>
      <w:marBottom w:val="0"/>
      <w:divBdr>
        <w:top w:val="none" w:sz="0" w:space="0" w:color="auto"/>
        <w:left w:val="none" w:sz="0" w:space="0" w:color="auto"/>
        <w:bottom w:val="none" w:sz="0" w:space="0" w:color="auto"/>
        <w:right w:val="none" w:sz="0" w:space="0" w:color="auto"/>
      </w:divBdr>
    </w:div>
    <w:div w:id="2080512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header" Target="header2.xml"/><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header" Target="header1.xml"/><Relationship Id="rId30"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26F12D-BF3E-4E27-BBC3-8E2393C19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28</Pages>
  <Words>6859</Words>
  <Characters>36606</Characters>
  <Application>Microsoft Office Word</Application>
  <DocSecurity>0</DocSecurity>
  <Lines>827</Lines>
  <Paragraphs>339</Paragraphs>
  <ScaleCrop>false</ScaleCrop>
  <HeadingPairs>
    <vt:vector size="2" baseType="variant">
      <vt:variant>
        <vt:lpstr>Title</vt:lpstr>
      </vt:variant>
      <vt:variant>
        <vt:i4>1</vt:i4>
      </vt:variant>
    </vt:vector>
  </HeadingPairs>
  <TitlesOfParts>
    <vt:vector size="1" baseType="lpstr">
      <vt:lpstr>Productivity in PCCR</vt:lpstr>
    </vt:vector>
  </TitlesOfParts>
  <Company>Productivity Commission</Company>
  <LinksUpToDate>false</LinksUpToDate>
  <CharactersWithSpaces>43255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Productivity in PCCR</dc:title>
  <dc:subject>Productivity in manufacturing</dc:subject>
  <dc:creator>Productivity Commission</dc:creator>
  <dc:description>4.</dc:description>
  <cp:lastModifiedBy>Productivity Commission</cp:lastModifiedBy>
  <cp:revision>2</cp:revision>
  <cp:lastPrinted>2013-11-27T23:34:00Z</cp:lastPrinted>
  <dcterms:created xsi:type="dcterms:W3CDTF">2013-12-03T23:02:00Z</dcterms:created>
  <dcterms:modified xsi:type="dcterms:W3CDTF">2013-12-03T23:02:00Z</dcterms:modified>
</cp:coreProperties>
</file>